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3AD39">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center"/>
        <w:rPr>
          <w:rFonts w:hint="default" w:ascii="Times New Roman" w:hAnsi="Times New Roman" w:cs="Times New Roman"/>
          <w:sz w:val="36"/>
          <w:szCs w:val="36"/>
        </w:rPr>
      </w:pPr>
      <w:bookmarkStart w:id="0" w:name="_GoBack"/>
      <w:bookmarkEnd w:id="0"/>
      <w:r>
        <w:rPr>
          <w:rFonts w:hint="default" w:ascii="Times New Roman" w:hAnsi="Times New Roman" w:cs="Times New Roman"/>
          <w:b/>
          <w:bCs/>
          <w:i w:val="0"/>
          <w:iCs w:val="0"/>
          <w:color w:val="000000"/>
          <w:sz w:val="36"/>
          <w:szCs w:val="36"/>
          <w:u w:val="none"/>
          <w:vertAlign w:val="baseline"/>
        </w:rPr>
        <w:t>Title</w:t>
      </w:r>
    </w:p>
    <w:p w14:paraId="59E976F4">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center"/>
        <w:rPr>
          <w:rFonts w:hint="default" w:ascii="Times New Roman" w:hAnsi="Times New Roman" w:cs="Times New Roman"/>
          <w:b/>
          <w:bCs/>
          <w:i w:val="0"/>
          <w:iCs w:val="0"/>
          <w:color w:val="000000"/>
          <w:sz w:val="36"/>
          <w:szCs w:val="36"/>
          <w:u w:val="none"/>
          <w:vertAlign w:val="baseline"/>
          <w:lang w:val="en-US"/>
        </w:rPr>
      </w:pPr>
      <w:r>
        <w:rPr>
          <w:rFonts w:hint="default" w:ascii="Times New Roman" w:hAnsi="Times New Roman" w:cs="Times New Roman"/>
          <w:b/>
          <w:bCs/>
          <w:i w:val="0"/>
          <w:iCs w:val="0"/>
          <w:color w:val="000000"/>
          <w:sz w:val="36"/>
          <w:szCs w:val="36"/>
          <w:u w:val="none"/>
          <w:vertAlign w:val="baseline"/>
        </w:rPr>
        <w:t>Human-Centric Skills in the Age of AI: Teacher Practices and Institutional Constraints in Rural Secondary Science Education in Bangladesh</w:t>
      </w:r>
    </w:p>
    <w:p w14:paraId="0FB34785">
      <w:pPr>
        <w:jc w:val="center"/>
        <w:rPr>
          <w:rFonts w:hint="default" w:ascii="Times New Roman" w:hAnsi="Times New Roman" w:cs="Times New Roman"/>
          <w:b/>
          <w:bCs/>
          <w:i w:val="0"/>
          <w:iCs w:val="0"/>
          <w:color w:val="000000"/>
          <w:sz w:val="24"/>
          <w:szCs w:val="24"/>
          <w:u w:val="none"/>
          <w:vertAlign w:val="superscript"/>
          <w:lang w:val="en-US"/>
        </w:rPr>
      </w:pPr>
      <w:r>
        <w:rPr>
          <w:rFonts w:hint="default" w:ascii="Times New Roman" w:hAnsi="Times New Roman" w:eastAsia="SimSun" w:cs="Times New Roman"/>
          <w:b/>
          <w:bCs/>
          <w:sz w:val="24"/>
          <w:szCs w:val="24"/>
        </w:rPr>
        <w:t>Most Rumana</w:t>
      </w:r>
      <w:r>
        <w:rPr>
          <w:rFonts w:hint="default" w:ascii="Times New Roman" w:hAnsi="Times New Roman" w:cs="Times New Roman"/>
          <w:b/>
          <w:bCs/>
          <w:sz w:val="24"/>
          <w:szCs w:val="24"/>
          <w:lang w:val="en-US"/>
        </w:rPr>
        <w:t xml:space="preserve"> Aktar</w:t>
      </w:r>
      <w:r>
        <w:rPr>
          <w:rFonts w:hint="default" w:ascii="Times New Roman" w:hAnsi="Times New Roman" w:cs="Times New Roman"/>
          <w:b/>
          <w:bCs/>
          <w:sz w:val="24"/>
          <w:szCs w:val="24"/>
          <w:vertAlign w:val="superscript"/>
          <w:lang w:val="en-US"/>
        </w:rPr>
        <w:t>1</w:t>
      </w:r>
      <w:r>
        <w:rPr>
          <w:rFonts w:hint="default" w:ascii="Times New Roman" w:hAnsi="Times New Roman" w:eastAsia="SimSun" w:cs="Times New Roman"/>
          <w:b/>
          <w:bCs/>
          <w:sz w:val="24"/>
          <w:szCs w:val="24"/>
        </w:rPr>
        <w:t>*</w:t>
      </w:r>
      <w:r>
        <w:rPr>
          <w:rFonts w:hint="default" w:ascii="Times New Roman" w:hAnsi="Times New Roman" w:cs="Times New Roman"/>
          <w:b/>
          <w:bCs/>
          <w:i w:val="0"/>
          <w:iCs w:val="0"/>
          <w:color w:val="000000"/>
          <w:sz w:val="24"/>
          <w:szCs w:val="24"/>
          <w:u w:val="none"/>
          <w:vertAlign w:val="baseline"/>
          <w:lang w:val="en-US"/>
        </w:rPr>
        <w:t>, Juliana Rosmidah Binti Jaafar</w:t>
      </w:r>
      <w:r>
        <w:rPr>
          <w:rFonts w:hint="default" w:ascii="Times New Roman" w:hAnsi="Times New Roman" w:cs="Times New Roman"/>
          <w:b/>
          <w:bCs/>
          <w:i w:val="0"/>
          <w:iCs w:val="0"/>
          <w:color w:val="000000"/>
          <w:sz w:val="24"/>
          <w:szCs w:val="24"/>
          <w:u w:val="none"/>
          <w:vertAlign w:val="superscript"/>
          <w:lang w:val="en-US"/>
        </w:rPr>
        <w:t>2</w:t>
      </w:r>
    </w:p>
    <w:p w14:paraId="5F4B76BB">
      <w:pPr>
        <w:jc w:val="center"/>
        <w:rPr>
          <w:rFonts w:hint="default" w:ascii="Times New Roman" w:hAnsi="Times New Roman" w:eastAsia="SimSun" w:cs="Times New Roman"/>
          <w:b/>
          <w:bCs/>
          <w:i w:val="0"/>
          <w:iCs w:val="0"/>
          <w:caps w:val="0"/>
          <w:color w:val="222222"/>
          <w:spacing w:val="0"/>
          <w:sz w:val="24"/>
          <w:szCs w:val="24"/>
          <w:shd w:val="clear" w:color="auto" w:fill="FFFFFF"/>
          <w:lang w:val="en-US"/>
        </w:rPr>
      </w:pPr>
      <w:r>
        <w:rPr>
          <w:rFonts w:hint="default" w:ascii="Times New Roman" w:hAnsi="Times New Roman" w:eastAsia="SimSun" w:cs="Times New Roman"/>
          <w:b/>
          <w:bCs/>
          <w:i w:val="0"/>
          <w:iCs w:val="0"/>
          <w:caps w:val="0"/>
          <w:color w:val="222222"/>
          <w:spacing w:val="0"/>
          <w:sz w:val="24"/>
          <w:szCs w:val="24"/>
          <w:shd w:val="clear" w:color="auto" w:fill="FFFFFF"/>
        </w:rPr>
        <w:t>Department of Arts and Education</w:t>
      </w:r>
    </w:p>
    <w:p w14:paraId="74909610">
      <w:pPr>
        <w:jc w:val="center"/>
        <w:rPr>
          <w:rFonts w:hint="default" w:ascii="Times New Roman" w:hAnsi="Times New Roman" w:eastAsia="SimSun" w:cs="Times New Roman"/>
          <w:b/>
          <w:bCs/>
          <w:i w:val="0"/>
          <w:iCs w:val="0"/>
          <w:caps w:val="0"/>
          <w:color w:val="222222"/>
          <w:spacing w:val="0"/>
          <w:sz w:val="24"/>
          <w:szCs w:val="24"/>
          <w:shd w:val="clear" w:color="auto" w:fill="FFFFFF"/>
          <w:lang w:val="en-US"/>
        </w:rPr>
      </w:pPr>
      <w:r>
        <w:rPr>
          <w:rFonts w:hint="default" w:ascii="Times New Roman" w:hAnsi="Times New Roman" w:eastAsia="SimSun" w:cs="Times New Roman"/>
          <w:b/>
          <w:bCs/>
          <w:i w:val="0"/>
          <w:iCs w:val="0"/>
          <w:caps w:val="0"/>
          <w:color w:val="000000"/>
          <w:spacing w:val="0"/>
          <w:sz w:val="24"/>
          <w:szCs w:val="24"/>
          <w:shd w:val="clear" w:color="auto" w:fill="FFFFFF"/>
        </w:rPr>
        <w:t>Kuala Lumpur University of Science &amp; Technology (KLUST)</w:t>
      </w:r>
      <w:r>
        <w:rPr>
          <w:rFonts w:hint="default" w:ascii="Times New Roman" w:hAnsi="Times New Roman" w:cs="Times New Roman"/>
          <w:b/>
          <w:bCs/>
          <w:i w:val="0"/>
          <w:iCs w:val="0"/>
          <w:caps w:val="0"/>
          <w:color w:val="000000"/>
          <w:spacing w:val="0"/>
          <w:sz w:val="24"/>
          <w:szCs w:val="24"/>
          <w:shd w:val="clear" w:color="auto" w:fill="FFFFFF"/>
          <w:lang w:val="en-US"/>
        </w:rPr>
        <w:t>, Malaysia</w:t>
      </w:r>
    </w:p>
    <w:p w14:paraId="30C82D39">
      <w:pPr>
        <w:jc w:val="center"/>
        <w:rPr>
          <w:rFonts w:hint="default" w:ascii="Times New Roman" w:hAnsi="Times New Roman" w:cs="Times New Roman"/>
          <w:b/>
          <w:bCs/>
          <w:sz w:val="24"/>
          <w:szCs w:val="24"/>
          <w:lang w:val="en-US"/>
        </w:rPr>
      </w:pPr>
      <w:r>
        <w:rPr>
          <w:rFonts w:hint="default" w:ascii="Times New Roman" w:hAnsi="Times New Roman" w:eastAsia="SimSun" w:cs="Times New Roman"/>
          <w:b/>
          <w:bCs/>
          <w:sz w:val="24"/>
          <w:szCs w:val="24"/>
        </w:rPr>
        <w:t>*Corresponding Author</w:t>
      </w:r>
      <w:r>
        <w:rPr>
          <w:rFonts w:hint="default" w:ascii="Times New Roman" w:hAnsi="Times New Roman" w:cs="Times New Roman"/>
          <w:b/>
          <w:bCs/>
          <w:sz w:val="24"/>
          <w:szCs w:val="24"/>
          <w:lang w:val="en-US"/>
        </w:rPr>
        <w:t>: Most Rumana Aktar</w:t>
      </w:r>
    </w:p>
    <w:p w14:paraId="2B3B9E4F">
      <w:pPr>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Email:</w:t>
      </w:r>
      <w:r>
        <w:rPr>
          <w:rFonts w:hint="default" w:ascii="Times New Roman" w:hAnsi="Times New Roman" w:cs="Times New Roman"/>
          <w:b/>
          <w:bCs/>
          <w:sz w:val="24"/>
          <w:szCs w:val="24"/>
          <w:u w:val="none"/>
          <w:lang w:val="en-US"/>
        </w:rPr>
        <w:t xml:space="preserve"> </w:t>
      </w:r>
      <w:r>
        <w:rPr>
          <w:rFonts w:hint="default" w:ascii="Times New Roman" w:hAnsi="Times New Roman" w:eastAsia="SimSun" w:cs="Times New Roman"/>
          <w:b w:val="0"/>
          <w:bCs w:val="0"/>
          <w:i w:val="0"/>
          <w:iCs w:val="0"/>
          <w:caps w:val="0"/>
          <w:color w:val="1155CC"/>
          <w:spacing w:val="0"/>
          <w:sz w:val="24"/>
          <w:szCs w:val="24"/>
          <w:u w:val="none"/>
          <w:shd w:val="clear" w:color="auto" w:fill="FFFFFF"/>
        </w:rPr>
        <w:fldChar w:fldCharType="begin"/>
      </w:r>
      <w:r>
        <w:rPr>
          <w:rFonts w:hint="default" w:ascii="Times New Roman" w:hAnsi="Times New Roman" w:eastAsia="SimSun" w:cs="Times New Roman"/>
          <w:b w:val="0"/>
          <w:bCs w:val="0"/>
          <w:i w:val="0"/>
          <w:iCs w:val="0"/>
          <w:caps w:val="0"/>
          <w:color w:val="1155CC"/>
          <w:spacing w:val="0"/>
          <w:sz w:val="24"/>
          <w:szCs w:val="24"/>
          <w:u w:val="none"/>
          <w:shd w:val="clear" w:color="auto" w:fill="FFFFFF"/>
        </w:rPr>
        <w:instrText xml:space="preserve"> HYPERLINK "mailto:243925274@s.klust.edu.my" \t "https://mail.google.com/mail/u/0/" \l "inbox/_blank" </w:instrText>
      </w:r>
      <w:r>
        <w:rPr>
          <w:rFonts w:hint="default" w:ascii="Times New Roman" w:hAnsi="Times New Roman" w:eastAsia="SimSun" w:cs="Times New Roman"/>
          <w:b w:val="0"/>
          <w:bCs w:val="0"/>
          <w:i w:val="0"/>
          <w:iCs w:val="0"/>
          <w:caps w:val="0"/>
          <w:color w:val="1155CC"/>
          <w:spacing w:val="0"/>
          <w:sz w:val="24"/>
          <w:szCs w:val="24"/>
          <w:u w:val="none"/>
          <w:shd w:val="clear" w:color="auto" w:fill="FFFFFF"/>
        </w:rPr>
        <w:fldChar w:fldCharType="separate"/>
      </w:r>
      <w:r>
        <w:rPr>
          <w:rStyle w:val="10"/>
          <w:rFonts w:hint="default" w:ascii="Times New Roman" w:hAnsi="Times New Roman" w:eastAsia="SimSun" w:cs="Times New Roman"/>
          <w:b w:val="0"/>
          <w:bCs w:val="0"/>
          <w:i w:val="0"/>
          <w:iCs w:val="0"/>
          <w:caps w:val="0"/>
          <w:color w:val="1155CC"/>
          <w:spacing w:val="0"/>
          <w:sz w:val="24"/>
          <w:szCs w:val="24"/>
          <w:u w:val="none"/>
          <w:shd w:val="clear" w:color="auto" w:fill="FFFFFF"/>
        </w:rPr>
        <w:t>243925274@s.klust.edu.my</w:t>
      </w:r>
      <w:r>
        <w:rPr>
          <w:rFonts w:hint="default" w:ascii="Times New Roman" w:hAnsi="Times New Roman" w:eastAsia="SimSun" w:cs="Times New Roman"/>
          <w:b w:val="0"/>
          <w:bCs w:val="0"/>
          <w:i w:val="0"/>
          <w:iCs w:val="0"/>
          <w:caps w:val="0"/>
          <w:color w:val="1155CC"/>
          <w:spacing w:val="0"/>
          <w:sz w:val="24"/>
          <w:szCs w:val="24"/>
          <w:u w:val="none"/>
          <w:shd w:val="clear" w:color="auto" w:fill="FFFFFF"/>
        </w:rPr>
        <w:fldChar w:fldCharType="end"/>
      </w:r>
    </w:p>
    <w:p w14:paraId="339C9DC9">
      <w:pPr>
        <w:jc w:val="both"/>
        <w:rPr>
          <w:rFonts w:hint="default" w:ascii="Times New Roman" w:hAnsi="Times New Roman" w:cs="Times New Roman"/>
          <w:b/>
          <w:bCs/>
          <w:i w:val="0"/>
          <w:iCs w:val="0"/>
          <w:color w:val="000000"/>
          <w:sz w:val="24"/>
          <w:szCs w:val="24"/>
          <w:u w:val="none"/>
          <w:vertAlign w:val="baseline"/>
        </w:rPr>
      </w:pPr>
      <w:r>
        <w:rPr>
          <w:rFonts w:hint="default" w:ascii="Times New Roman" w:hAnsi="Times New Roman" w:cs="Times New Roman"/>
          <w:b/>
          <w:bCs/>
          <w:i w:val="0"/>
          <w:iCs w:val="0"/>
          <w:color w:val="000000"/>
          <w:sz w:val="24"/>
          <w:szCs w:val="24"/>
          <w:u w:val="none"/>
          <w:vertAlign w:val="baseline"/>
        </w:rPr>
        <w:br w:type="page"/>
      </w:r>
      <w:r>
        <w:rPr>
          <w:rFonts w:hint="default" w:ascii="Times New Roman" w:hAnsi="Times New Roman" w:cs="Times New Roman"/>
          <w:b/>
          <w:bCs/>
          <w:i w:val="0"/>
          <w:iCs w:val="0"/>
          <w:color w:val="000000"/>
          <w:sz w:val="28"/>
          <w:szCs w:val="28"/>
          <w:u w:val="none"/>
          <w:vertAlign w:val="baseline"/>
        </w:rPr>
        <w:t>ABSTRACT</w:t>
      </w:r>
    </w:p>
    <w:p w14:paraId="463205C0">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cs="Times New Roman"/>
          <w:i w:val="0"/>
          <w:iCs w:val="0"/>
          <w:color w:val="000000"/>
          <w:sz w:val="24"/>
          <w:szCs w:val="24"/>
          <w:u w:val="none"/>
          <w:vertAlign w:val="baseline"/>
          <w:lang w:val="en-US"/>
        </w:rPr>
      </w:pPr>
      <w:r>
        <w:rPr>
          <w:rFonts w:hint="default" w:ascii="Times New Roman" w:hAnsi="Times New Roman" w:cs="Times New Roman"/>
          <w:i w:val="0"/>
          <w:iCs w:val="0"/>
          <w:color w:val="000000"/>
          <w:sz w:val="24"/>
          <w:szCs w:val="24"/>
          <w:u w:val="none"/>
          <w:vertAlign w:val="baseline"/>
        </w:rPr>
        <w:t>Amid the rapid evolution of artificial intelligence (AI), the demand for human-centr</w:t>
      </w:r>
      <w:r>
        <w:rPr>
          <w:rFonts w:hint="default" w:cs="Times New Roman"/>
          <w:i w:val="0"/>
          <w:iCs w:val="0"/>
          <w:color w:val="000000"/>
          <w:sz w:val="24"/>
          <w:szCs w:val="24"/>
          <w:u w:val="none"/>
          <w:vertAlign w:val="baseline"/>
          <w:lang w:val="en-US"/>
        </w:rPr>
        <w:t>ic</w:t>
      </w:r>
      <w:r>
        <w:rPr>
          <w:rFonts w:hint="default" w:ascii="Times New Roman" w:hAnsi="Times New Roman" w:cs="Times New Roman"/>
          <w:i w:val="0"/>
          <w:iCs w:val="0"/>
          <w:color w:val="000000"/>
          <w:sz w:val="24"/>
          <w:szCs w:val="24"/>
          <w:u w:val="none"/>
          <w:vertAlign w:val="baseline"/>
        </w:rPr>
        <w:t xml:space="preserve"> skills such as critical thinking, creativity, and collaboration has intensified. Teachers play a crucial role in translating these competencies into classroom practice, particularly in resource-constrained rural contexts. However, limited research has examined how these skills are enacted in rural science classrooms, especially in relation to the interaction between teacher practices and institutional constraints. This study investigates how science teachers in rural secondary schools in Bangladesh foster human-centric skill development and how institutional factors shape their pedagogical practices. Drawing on Self-Determination Theory</w:t>
      </w:r>
      <w:r>
        <w:rPr>
          <w:rFonts w:hint="default" w:cs="Times New Roman"/>
          <w:i w:val="0"/>
          <w:iCs w:val="0"/>
          <w:color w:val="000000"/>
          <w:sz w:val="24"/>
          <w:szCs w:val="24"/>
          <w:u w:val="none"/>
          <w:vertAlign w:val="baseline"/>
          <w:lang w:val="en-US"/>
        </w:rPr>
        <w:t xml:space="preserve"> (SDT)</w:t>
      </w:r>
      <w:r>
        <w:rPr>
          <w:rFonts w:hint="default" w:ascii="Times New Roman" w:hAnsi="Times New Roman" w:cs="Times New Roman"/>
          <w:i w:val="0"/>
          <w:iCs w:val="0"/>
          <w:color w:val="000000"/>
          <w:sz w:val="24"/>
          <w:szCs w:val="24"/>
          <w:u w:val="none"/>
          <w:vertAlign w:val="baseline"/>
        </w:rPr>
        <w:t xml:space="preserve"> and the 21st Century Skills Framework, a qualitative </w:t>
      </w:r>
      <w:r>
        <w:rPr>
          <w:rFonts w:hint="default" w:cs="Times New Roman"/>
          <w:i w:val="0"/>
          <w:iCs w:val="0"/>
          <w:color w:val="000000"/>
          <w:sz w:val="24"/>
          <w:szCs w:val="24"/>
          <w:u w:val="none"/>
          <w:vertAlign w:val="baseline"/>
          <w:lang w:val="en-US"/>
        </w:rPr>
        <w:t>multiple-case</w:t>
      </w:r>
      <w:r>
        <w:rPr>
          <w:rFonts w:hint="default" w:ascii="Times New Roman" w:hAnsi="Times New Roman" w:cs="Times New Roman"/>
          <w:i w:val="0"/>
          <w:iCs w:val="0"/>
          <w:color w:val="000000"/>
          <w:sz w:val="24"/>
          <w:szCs w:val="24"/>
          <w:u w:val="none"/>
          <w:vertAlign w:val="baseline"/>
        </w:rPr>
        <w:t xml:space="preserve"> study design within an interpretivist paradigm was employed. Data were collected through semi-structured interviews and classroom observations with eight purposively selected teachers across four rural schools. Thematic analysis, following Braun and Clarke, identified patterns and contextual barriers in instructional practices. Findings indicate that teachers adopt adaptive</w:t>
      </w:r>
      <w:r>
        <w:rPr>
          <w:rFonts w:hint="default" w:cs="Times New Roman"/>
          <w:i w:val="0"/>
          <w:iCs w:val="0"/>
          <w:color w:val="000000"/>
          <w:sz w:val="24"/>
          <w:szCs w:val="24"/>
          <w:u w:val="none"/>
          <w:vertAlign w:val="baseline"/>
          <w:lang w:val="en-US"/>
        </w:rPr>
        <w:t xml:space="preserve">, </w:t>
      </w:r>
      <w:r>
        <w:rPr>
          <w:rFonts w:hint="default" w:ascii="Times New Roman" w:hAnsi="Times New Roman" w:cs="Times New Roman"/>
          <w:i w:val="0"/>
          <w:iCs w:val="0"/>
          <w:color w:val="000000"/>
          <w:sz w:val="24"/>
          <w:szCs w:val="24"/>
          <w:u w:val="none"/>
          <w:vertAlign w:val="baseline"/>
        </w:rPr>
        <w:t xml:space="preserve">student-centred strategies to support autonomy, competence, and </w:t>
      </w:r>
      <w:r>
        <w:rPr>
          <w:rFonts w:hint="default" w:cs="Times New Roman"/>
          <w:i w:val="0"/>
          <w:iCs w:val="0"/>
          <w:color w:val="000000"/>
          <w:sz w:val="24"/>
          <w:szCs w:val="24"/>
          <w:u w:val="none"/>
          <w:vertAlign w:val="baseline"/>
          <w:lang w:val="en-US"/>
        </w:rPr>
        <w:t>relatedness</w:t>
      </w:r>
      <w:r>
        <w:rPr>
          <w:rFonts w:hint="default" w:ascii="Times New Roman" w:hAnsi="Times New Roman" w:cs="Times New Roman"/>
          <w:i w:val="0"/>
          <w:iCs w:val="0"/>
          <w:color w:val="000000"/>
          <w:sz w:val="24"/>
          <w:szCs w:val="24"/>
          <w:u w:val="none"/>
          <w:vertAlign w:val="baseline"/>
        </w:rPr>
        <w:t xml:space="preserve"> despite structural constraints such as limited resources and rigid curricula. The study highlights teacher agency, understood as their capacity to make pedagogical decisions, and offers context-sensitive insights for policy and practice in science </w:t>
      </w:r>
      <w:r>
        <w:rPr>
          <w:rFonts w:hint="default" w:cs="Times New Roman"/>
          <w:i w:val="0"/>
          <w:iCs w:val="0"/>
          <w:color w:val="000000"/>
          <w:sz w:val="24"/>
          <w:szCs w:val="24"/>
          <w:u w:val="none"/>
          <w:vertAlign w:val="baseline"/>
          <w:lang w:val="en-US"/>
        </w:rPr>
        <w:t>education.</w:t>
      </w:r>
    </w:p>
    <w:p w14:paraId="75689CD1">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Keywords</w:t>
      </w:r>
      <w:r>
        <w:rPr>
          <w:rFonts w:hint="default" w:ascii="Times New Roman" w:hAnsi="Times New Roman" w:cs="Times New Roman"/>
          <w:b/>
          <w:bCs/>
          <w:i/>
          <w:iCs/>
          <w:color w:val="000000"/>
          <w:sz w:val="24"/>
          <w:szCs w:val="24"/>
          <w:u w:val="none"/>
          <w:vertAlign w:val="baseline"/>
        </w:rPr>
        <w:t>-</w:t>
      </w:r>
      <w:r>
        <w:rPr>
          <w:rFonts w:hint="default" w:ascii="Times New Roman" w:hAnsi="Times New Roman" w:cs="Times New Roman"/>
          <w:i w:val="0"/>
          <w:iCs w:val="0"/>
          <w:color w:val="000000"/>
          <w:sz w:val="24"/>
          <w:szCs w:val="24"/>
          <w:u w:val="none"/>
          <w:vertAlign w:val="baseline"/>
        </w:rPr>
        <w:t xml:space="preserve"> Human-centric skills; Science education; Rural secondary </w:t>
      </w:r>
      <w:r>
        <w:rPr>
          <w:rFonts w:hint="default" w:ascii="Times New Roman" w:hAnsi="Times New Roman" w:cs="Times New Roman"/>
          <w:i w:val="0"/>
          <w:iCs w:val="0"/>
          <w:color w:val="000000"/>
          <w:sz w:val="24"/>
          <w:szCs w:val="24"/>
          <w:u w:val="none"/>
          <w:vertAlign w:val="baseline"/>
          <w:lang w:val="en-US"/>
        </w:rPr>
        <w:t xml:space="preserve">education; </w:t>
      </w:r>
      <w:r>
        <w:rPr>
          <w:rFonts w:hint="default" w:ascii="Times New Roman" w:hAnsi="Times New Roman" w:cs="Times New Roman"/>
          <w:i w:val="0"/>
          <w:iCs w:val="0"/>
          <w:color w:val="000000"/>
          <w:sz w:val="24"/>
          <w:szCs w:val="24"/>
          <w:u w:val="none"/>
          <w:vertAlign w:val="baseline"/>
        </w:rPr>
        <w:t xml:space="preserve">Self-Determination </w:t>
      </w:r>
      <w:r>
        <w:rPr>
          <w:rFonts w:hint="default" w:ascii="Times New Roman" w:hAnsi="Times New Roman" w:cs="Times New Roman"/>
          <w:i w:val="0"/>
          <w:iCs w:val="0"/>
          <w:color w:val="000000"/>
          <w:sz w:val="24"/>
          <w:szCs w:val="24"/>
          <w:u w:val="none"/>
          <w:vertAlign w:val="baseline"/>
          <w:lang w:val="en-US"/>
        </w:rPr>
        <w:t>Theory</w:t>
      </w:r>
      <w:r>
        <w:rPr>
          <w:rFonts w:hint="default" w:ascii="Times New Roman" w:hAnsi="Times New Roman" w:cs="Times New Roman"/>
          <w:i w:val="0"/>
          <w:iCs w:val="0"/>
          <w:color w:val="000000"/>
          <w:sz w:val="24"/>
          <w:szCs w:val="24"/>
          <w:u w:val="none"/>
          <w:vertAlign w:val="baseline"/>
        </w:rPr>
        <w:t>; Bangladesh</w:t>
      </w:r>
    </w:p>
    <w:p w14:paraId="6C65452B">
      <w:pPr>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textAlignment w:val="baseline"/>
        <w:rPr>
          <w:rFonts w:hint="default" w:ascii="Times New Roman" w:hAnsi="Times New Roman" w:cs="Times New Roman"/>
          <w:b/>
          <w:bCs/>
          <w:i w:val="0"/>
          <w:iCs w:val="0"/>
          <w:color w:val="000000"/>
          <w:sz w:val="28"/>
          <w:szCs w:val="28"/>
          <w:u w:val="none"/>
        </w:rPr>
      </w:pPr>
      <w:r>
        <w:rPr>
          <w:rFonts w:hint="default" w:ascii="Times New Roman" w:hAnsi="Times New Roman" w:cs="Times New Roman"/>
          <w:b/>
          <w:bCs/>
          <w:i w:val="0"/>
          <w:iCs w:val="0"/>
          <w:color w:val="000000"/>
          <w:sz w:val="28"/>
          <w:szCs w:val="28"/>
          <w:u w:val="none"/>
          <w:vertAlign w:val="baseline"/>
        </w:rPr>
        <w:t>INTRODUCTION</w:t>
      </w:r>
    </w:p>
    <w:p w14:paraId="59C7D978">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 rapid advancement of digital technologies, including artificial intelligence (AI), is reshaping educational priorities by redefining the competencies required for future learners. Within this technological context, education systems are increasingly expected to move beyond knowledge transmission. Instead, greater emphasis is placed on human-centric skills such as critical thinking, creativity, collaboration, and problem-solving that complement automated technologies (World Economic Forum, 2020; UNESCO, 2024). This signals a broader shift in how learners are prepared for increasingly complex, technology-driven environments. </w:t>
      </w:r>
    </w:p>
    <w:p w14:paraId="6933C248">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Within science education, this transformation is particularly significant due to the subject’s emphasis on inquiry, reasoning, and problem-solving. Evidence indicates that student engagement and deeper learning are enhanced through </w:t>
      </w:r>
      <w:r>
        <w:rPr>
          <w:rFonts w:hint="default" w:cs="Times New Roman"/>
          <w:i w:val="0"/>
          <w:iCs w:val="0"/>
          <w:color w:val="000000"/>
          <w:sz w:val="24"/>
          <w:szCs w:val="24"/>
          <w:u w:val="none"/>
          <w:vertAlign w:val="baseline"/>
          <w:lang w:val="en-US"/>
        </w:rPr>
        <w:t xml:space="preserve">interactive, </w:t>
      </w:r>
      <w:r>
        <w:rPr>
          <w:rFonts w:hint="default" w:ascii="Times New Roman" w:hAnsi="Times New Roman" w:cs="Times New Roman"/>
          <w:i w:val="0"/>
          <w:iCs w:val="0"/>
          <w:color w:val="000000"/>
          <w:sz w:val="24"/>
          <w:szCs w:val="24"/>
          <w:u w:val="none"/>
          <w:vertAlign w:val="baseline"/>
        </w:rPr>
        <w:t>learner-centred pedagogies (Reeve &amp; Cheon, 2024; Tao et al., 2025). However, classroom practices in many contexts remain dominated by examination-oriented approaches, limiting opportunities for higher-order skill development (Voogt &amp; Roblin, 2012).</w:t>
      </w:r>
    </w:p>
    <w:p w14:paraId="790CE403">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These pedagogical challenges are closely linked to institutional conditions. Teaching practices continue to be shaped by structural constraints, including limited resources, infrastructural challenges, and rigid curricula (World Bank, 2023; OECD, 2023). In rural secondary schools in Bangladesh, such constraints are especially pronounced, contributing to disparities in instructional quality and learning opportunities. Although policy agendas increasingly promote competency-based education aligned with contemporary skill demands, implementation remains uneven.</w:t>
      </w:r>
    </w:p>
    <w:p w14:paraId="7EC5F382">
      <w:pPr>
        <w:pStyle w:val="3"/>
        <w:keepNext w:val="0"/>
        <w:keepLines w:val="0"/>
        <w:pageBreakBefore w:val="0"/>
        <w:widowControl/>
        <w:numPr>
          <w:ilvl w:val="0"/>
          <w:numId w:val="1"/>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outlineLvl w:val="1"/>
        <w:rPr>
          <w:rFonts w:hint="default" w:ascii="Times New Roman" w:hAnsi="Times New Roman" w:cs="Times New Roman"/>
          <w:b/>
          <w:bCs/>
          <w:i w:val="0"/>
          <w:iCs w:val="0"/>
          <w:color w:val="000000"/>
          <w:sz w:val="28"/>
          <w:szCs w:val="28"/>
          <w:u w:val="none"/>
        </w:rPr>
      </w:pPr>
      <w:r>
        <w:rPr>
          <w:rFonts w:hint="default" w:ascii="Times New Roman" w:hAnsi="Times New Roman" w:cs="Times New Roman"/>
          <w:b/>
          <w:bCs/>
          <w:i w:val="0"/>
          <w:iCs w:val="0"/>
          <w:color w:val="000000"/>
          <w:sz w:val="28"/>
          <w:szCs w:val="28"/>
          <w:u w:val="none"/>
          <w:vertAlign w:val="baseline"/>
        </w:rPr>
        <w:t>STATEMENT OF</w:t>
      </w:r>
      <w:r>
        <w:rPr>
          <w:rFonts w:hint="default" w:ascii="Times New Roman" w:hAnsi="Times New Roman" w:cs="Times New Roman"/>
          <w:b/>
          <w:bCs/>
          <w:i w:val="0"/>
          <w:iCs w:val="0"/>
          <w:color w:val="000000"/>
          <w:sz w:val="28"/>
          <w:szCs w:val="28"/>
          <w:u w:val="none"/>
          <w:vertAlign w:val="baseline"/>
          <w:lang w:val="en-US"/>
        </w:rPr>
        <w:t xml:space="preserve"> </w:t>
      </w:r>
      <w:r>
        <w:rPr>
          <w:rFonts w:hint="default" w:ascii="Times New Roman" w:hAnsi="Times New Roman" w:cs="Times New Roman"/>
          <w:b/>
          <w:bCs/>
          <w:i w:val="0"/>
          <w:iCs w:val="0"/>
          <w:color w:val="000000"/>
          <w:sz w:val="28"/>
          <w:szCs w:val="28"/>
          <w:u w:val="none"/>
          <w:vertAlign w:val="baseline"/>
        </w:rPr>
        <w:t>PROBLEM </w:t>
      </w:r>
    </w:p>
    <w:p w14:paraId="337F5122">
      <w:pPr>
        <w:pStyle w:val="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Despite growing global and policy emphasis on human-centric skills, how these skills are enacted in classrooms remains under</w:t>
      </w:r>
      <w:r>
        <w:rPr>
          <w:rFonts w:hint="default" w:ascii="Times New Roman" w:hAnsi="Times New Roman" w:cs="Times New Roman"/>
          <w:b w:val="0"/>
          <w:bCs w:val="0"/>
          <w:i w:val="0"/>
          <w:iCs w:val="0"/>
          <w:color w:val="000000"/>
          <w:sz w:val="24"/>
          <w:szCs w:val="24"/>
          <w:u w:val="none"/>
          <w:vertAlign w:val="baseline"/>
          <w:lang w:val="en-US"/>
        </w:rPr>
        <w:t>-</w:t>
      </w:r>
      <w:r>
        <w:rPr>
          <w:rFonts w:hint="default" w:ascii="Times New Roman" w:hAnsi="Times New Roman" w:cs="Times New Roman"/>
          <w:b w:val="0"/>
          <w:bCs w:val="0"/>
          <w:i w:val="0"/>
          <w:iCs w:val="0"/>
          <w:color w:val="000000"/>
          <w:sz w:val="24"/>
          <w:szCs w:val="24"/>
          <w:u w:val="none"/>
          <w:vertAlign w:val="baseline"/>
        </w:rPr>
        <w:t xml:space="preserve">explored in context-specific ways. Existing theoretical frameworks, including Self-Determination Theory and 21st-century skills models, advocate for </w:t>
      </w:r>
      <w:r>
        <w:rPr>
          <w:rFonts w:hint="default" w:ascii="Times New Roman" w:hAnsi="Times New Roman" w:cs="Times New Roman"/>
          <w:b w:val="0"/>
          <w:bCs w:val="0"/>
          <w:i w:val="0"/>
          <w:iCs w:val="0"/>
          <w:color w:val="000000"/>
          <w:sz w:val="24"/>
          <w:szCs w:val="24"/>
          <w:u w:val="none"/>
          <w:vertAlign w:val="baseline"/>
          <w:lang w:val="en-US"/>
        </w:rPr>
        <w:t xml:space="preserve">learner-centred, </w:t>
      </w:r>
      <w:r>
        <w:rPr>
          <w:rFonts w:hint="default" w:ascii="Times New Roman" w:hAnsi="Times New Roman" w:cs="Times New Roman"/>
          <w:b w:val="0"/>
          <w:bCs w:val="0"/>
          <w:i w:val="0"/>
          <w:iCs w:val="0"/>
          <w:color w:val="000000"/>
          <w:sz w:val="24"/>
          <w:szCs w:val="24"/>
          <w:u w:val="none"/>
          <w:vertAlign w:val="baseline"/>
        </w:rPr>
        <w:t>autonomy-supportive pedagogies. However, responses to technological change, including AI, often remain weakly grounded in human-centr</w:t>
      </w:r>
      <w:r>
        <w:rPr>
          <w:rFonts w:hint="default" w:ascii="Times New Roman" w:hAnsi="Times New Roman" w:cs="Times New Roman"/>
          <w:b w:val="0"/>
          <w:bCs w:val="0"/>
          <w:i w:val="0"/>
          <w:iCs w:val="0"/>
          <w:color w:val="000000"/>
          <w:sz w:val="24"/>
          <w:szCs w:val="24"/>
          <w:u w:val="none"/>
          <w:vertAlign w:val="baseline"/>
          <w:lang w:val="en-US"/>
        </w:rPr>
        <w:t>ic,</w:t>
      </w:r>
      <w:r>
        <w:rPr>
          <w:rFonts w:hint="default" w:ascii="Times New Roman" w:hAnsi="Times New Roman" w:cs="Times New Roman"/>
          <w:b w:val="0"/>
          <w:bCs w:val="0"/>
          <w:i w:val="0"/>
          <w:iCs w:val="0"/>
          <w:color w:val="000000"/>
          <w:sz w:val="24"/>
          <w:szCs w:val="24"/>
          <w:u w:val="none"/>
          <w:vertAlign w:val="baseline"/>
        </w:rPr>
        <w:t xml:space="preserve"> </w:t>
      </w:r>
      <w:r>
        <w:rPr>
          <w:rFonts w:hint="default" w:ascii="Times New Roman" w:hAnsi="Times New Roman" w:cs="Times New Roman"/>
          <w:b w:val="0"/>
          <w:bCs w:val="0"/>
          <w:i w:val="0"/>
          <w:iCs w:val="0"/>
          <w:color w:val="000000"/>
          <w:sz w:val="24"/>
          <w:szCs w:val="24"/>
          <w:u w:val="none"/>
          <w:vertAlign w:val="baseline"/>
          <w:lang w:val="en-US"/>
        </w:rPr>
        <w:t xml:space="preserve">and </w:t>
      </w:r>
      <w:r>
        <w:rPr>
          <w:rFonts w:hint="default" w:ascii="Times New Roman" w:hAnsi="Times New Roman" w:cs="Times New Roman"/>
          <w:b w:val="0"/>
          <w:bCs w:val="0"/>
          <w:i w:val="0"/>
          <w:iCs w:val="0"/>
          <w:color w:val="000000"/>
          <w:sz w:val="24"/>
          <w:szCs w:val="24"/>
          <w:u w:val="none"/>
          <w:vertAlign w:val="baseline"/>
        </w:rPr>
        <w:t>context-sensitive approaches (Topali et al., 2025; Hu &amp; Chan, 2025).</w:t>
      </w:r>
    </w:p>
    <w:p w14:paraId="0570ADD1">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At the same time, empirical studies frequently examine teacher practices or institutional constraints in isolation, providing limited insight into how these dimensions interact in shaping classroom processes. This limitation is particularly critical in rural and resource-constrained settings, where contextual factors play a decisive role in mediating pedagogical possibilities. While contemporary technological developments are reshaping educational expectations, the implementation of human-centric pedagogies remains highly dependent on local institutional conditions (González-Rico &amp; Lluch Sintes, 2024).</w:t>
      </w:r>
    </w:p>
    <w:p w14:paraId="310C0987">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i w:val="0"/>
          <w:iCs w:val="0"/>
          <w:color w:val="000000"/>
          <w:sz w:val="24"/>
          <w:szCs w:val="24"/>
          <w:u w:val="none"/>
          <w:vertAlign w:val="baseline"/>
        </w:rPr>
        <w:t>Accordingly, a key gap remains in understanding how teachers interpret, negotiate, and enact human-centric skills within structurally constrained environments. Addressing this gap is essential for developing contextually grounded and theoretically informed accounts of science teaching and learning in contemporary education systems.</w:t>
      </w:r>
      <w:r>
        <w:rPr>
          <w:rFonts w:hint="default" w:cs="Times New Roman"/>
          <w:i w:val="0"/>
          <w:iCs w:val="0"/>
          <w:color w:val="000000"/>
          <w:sz w:val="24"/>
          <w:szCs w:val="24"/>
          <w:u w:val="none"/>
          <w:vertAlign w:val="baseline"/>
          <w:lang w:val="en-US"/>
        </w:rPr>
        <w:t xml:space="preserve"> </w:t>
      </w:r>
      <w:r>
        <w:rPr>
          <w:rFonts w:hint="default" w:ascii="Times New Roman" w:hAnsi="Times New Roman" w:eastAsia="SimSun" w:cs="Times New Roman"/>
          <w:sz w:val="24"/>
          <w:szCs w:val="24"/>
        </w:rPr>
        <w:t>This study addresses the following research questions:</w:t>
      </w:r>
    </w:p>
    <w:p w14:paraId="1D92D4EE">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How do science teachers conceptualize and enact human-centric skills within rural secondary classrooms?</w:t>
      </w:r>
    </w:p>
    <w:p w14:paraId="48F0E565">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How do institutional and structural conditions enable or constrain the enactment of these skills?</w:t>
      </w:r>
    </w:p>
    <w:p w14:paraId="72D0B0D9">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How do teachers navigate and mediate these constraints in practice?</w:t>
      </w:r>
    </w:p>
    <w:p w14:paraId="75AE6442">
      <w:pPr>
        <w:pStyle w:val="11"/>
        <w:keepNext w:val="0"/>
        <w:keepLines w:val="0"/>
        <w:pageBreakBefore w:val="0"/>
        <w:widowControl/>
        <w:numPr>
          <w:ilvl w:val="0"/>
          <w:numId w:val="2"/>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i w:val="0"/>
          <w:iCs w:val="0"/>
          <w:color w:val="000000"/>
          <w:sz w:val="24"/>
          <w:szCs w:val="24"/>
          <w:u w:val="none"/>
        </w:rPr>
      </w:pPr>
      <w:r>
        <w:rPr>
          <w:rFonts w:hint="default" w:ascii="Times New Roman" w:hAnsi="Times New Roman" w:cs="Times New Roman"/>
          <w:i w:val="0"/>
          <w:iCs w:val="0"/>
          <w:color w:val="000000"/>
          <w:sz w:val="24"/>
          <w:szCs w:val="24"/>
          <w:u w:val="none"/>
          <w:vertAlign w:val="baseline"/>
        </w:rPr>
        <w:t>How do these dynamics shape the realization of human-centric skill</w:t>
      </w:r>
      <w:r>
        <w:rPr>
          <w:rFonts w:hint="default" w:cs="Times New Roman"/>
          <w:i w:val="0"/>
          <w:iCs w:val="0"/>
          <w:color w:val="000000"/>
          <w:sz w:val="24"/>
          <w:szCs w:val="24"/>
          <w:u w:val="none"/>
          <w:vertAlign w:val="baseline"/>
          <w:lang w:val="en-US"/>
        </w:rPr>
        <w:t>s</w:t>
      </w:r>
      <w:r>
        <w:rPr>
          <w:rFonts w:hint="default" w:ascii="Times New Roman" w:hAnsi="Times New Roman" w:cs="Times New Roman"/>
          <w:i w:val="0"/>
          <w:iCs w:val="0"/>
          <w:color w:val="000000"/>
          <w:sz w:val="24"/>
          <w:szCs w:val="24"/>
          <w:u w:val="none"/>
          <w:vertAlign w:val="baseline"/>
        </w:rPr>
        <w:t xml:space="preserve"> development in science education?</w:t>
      </w:r>
      <w:r>
        <w:rPr>
          <w:rFonts w:hint="default" w:ascii="Times New Roman" w:hAnsi="Times New Roman" w:cs="Times New Roman"/>
          <w:i w:val="0"/>
          <w:iCs w:val="0"/>
          <w:color w:val="000000"/>
          <w:sz w:val="24"/>
          <w:szCs w:val="24"/>
          <w:u w:val="none"/>
          <w:vertAlign w:val="baseline"/>
          <w:lang w:val="en-US"/>
        </w:rPr>
        <w:t xml:space="preserve"> </w:t>
      </w:r>
    </w:p>
    <w:p w14:paraId="72FEACBF">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LITERATURE REVIEW</w:t>
      </w:r>
    </w:p>
    <w:p w14:paraId="3B6B3294">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3.</w:t>
      </w:r>
      <w:r>
        <w:rPr>
          <w:rFonts w:hint="default" w:ascii="Times New Roman" w:hAnsi="Times New Roman" w:cs="Times New Roman"/>
          <w:b/>
          <w:bCs/>
          <w:i w:val="0"/>
          <w:iCs w:val="0"/>
          <w:color w:val="000000"/>
          <w:sz w:val="24"/>
          <w:szCs w:val="24"/>
          <w:u w:val="none"/>
          <w:vertAlign w:val="baseline"/>
          <w:lang w:val="en-US"/>
        </w:rPr>
        <w:t xml:space="preserve">1 </w:t>
      </w:r>
      <w:r>
        <w:rPr>
          <w:rFonts w:hint="default" w:ascii="Times New Roman" w:hAnsi="Times New Roman" w:cs="Times New Roman"/>
          <w:b/>
          <w:bCs/>
          <w:i w:val="0"/>
          <w:iCs w:val="0"/>
          <w:color w:val="000000"/>
          <w:sz w:val="24"/>
          <w:szCs w:val="24"/>
          <w:u w:val="none"/>
          <w:vertAlign w:val="baseline"/>
        </w:rPr>
        <w:t>Human-Centric Skills in Contemporary Education</w:t>
      </w:r>
    </w:p>
    <w:p w14:paraId="14FDABE9">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Human-centric skills refer to a broad set of cognitive, social, emotional, and ethical competencies that enable individuals to function effectively in increasingly complex, technology-mediated societies. These include critical thinking, creativity, collaboration, communication, empathy, adaptability, and ethical reasoning. In contemporary educational discourse, these skills are increasingly positioned as essential learning outcomes in response to global digital transformation and changing labor market demands (World Economic Forum, 2020; OECD, 2023).</w:t>
      </w:r>
    </w:p>
    <w:p w14:paraId="6E1B36FD">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Unlike traditional academic achievement, human-centric skills emphasize agency, interaction, and relational capability. They require pedagogical environments that foster active engagement, autonomy, and meaningful participation. International frameworks such as the OECD Learning Compass 2030 and the Partnership for 21st Century Learning (P21) emphasize a shift from knowledge transmission toward competency-based learning models (OECD, 2019).</w:t>
      </w:r>
    </w:p>
    <w:p w14:paraId="32A5DC85">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3.2</w:t>
      </w:r>
      <w:r>
        <w:rPr>
          <w:rFonts w:hint="default" w:ascii="Times New Roman" w:hAnsi="Times New Roman" w:cs="Times New Roman"/>
          <w:b/>
          <w:bCs/>
          <w:i w:val="0"/>
          <w:iCs w:val="0"/>
          <w:color w:val="000000"/>
          <w:sz w:val="24"/>
          <w:szCs w:val="24"/>
          <w:u w:val="none"/>
          <w:vertAlign w:val="baseline"/>
          <w:lang w:val="en-US"/>
        </w:rPr>
        <w:t xml:space="preserve"> </w:t>
      </w:r>
      <w:r>
        <w:rPr>
          <w:rFonts w:hint="default" w:ascii="Times New Roman" w:hAnsi="Times New Roman" w:cs="Times New Roman"/>
          <w:b/>
          <w:bCs/>
          <w:i w:val="0"/>
          <w:iCs w:val="0"/>
          <w:color w:val="000000"/>
          <w:sz w:val="24"/>
          <w:szCs w:val="24"/>
          <w:u w:val="none"/>
          <w:vertAlign w:val="baseline"/>
        </w:rPr>
        <w:t>Self-Determination Theory (SDT)</w:t>
      </w:r>
    </w:p>
    <w:p w14:paraId="36C4D25A">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Self-Determination Theory (SDT), developed by Deci and Ryan, provides a foundational framework for understanding human motivation and psychological development. SDT proposes that optimal functioning occurs when three basic psychological needs are satisfied: autonomy, competence, and relatedness (Ryan &amp; Deci, 2017).</w:t>
      </w:r>
    </w:p>
    <w:p w14:paraId="119454D6">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 xml:space="preserve">Autonomy-supportive teaching </w:t>
      </w:r>
      <w:r>
        <w:rPr>
          <w:rFonts w:hint="default" w:ascii="Times New Roman" w:hAnsi="Times New Roman" w:cs="Times New Roman"/>
          <w:b w:val="0"/>
          <w:bCs w:val="0"/>
          <w:i w:val="0"/>
          <w:iCs w:val="0"/>
          <w:color w:val="000000"/>
          <w:sz w:val="24"/>
          <w:szCs w:val="24"/>
          <w:u w:val="none"/>
          <w:vertAlign w:val="baseline"/>
          <w:lang w:val="en-US"/>
        </w:rPr>
        <w:t>practices,</w:t>
      </w:r>
      <w:r>
        <w:rPr>
          <w:rFonts w:hint="default" w:ascii="Times New Roman" w:hAnsi="Times New Roman" w:cs="Times New Roman"/>
          <w:b w:val="0"/>
          <w:bCs w:val="0"/>
          <w:i w:val="0"/>
          <w:iCs w:val="0"/>
          <w:color w:val="000000"/>
          <w:sz w:val="24"/>
          <w:szCs w:val="24"/>
          <w:u w:val="none"/>
          <w:vertAlign w:val="baseline"/>
        </w:rPr>
        <w:t xml:space="preserve"> such as offering choice, encouraging reflection, and promoting </w:t>
      </w:r>
      <w:r>
        <w:rPr>
          <w:rFonts w:hint="default" w:ascii="Times New Roman" w:hAnsi="Times New Roman" w:cs="Times New Roman"/>
          <w:b w:val="0"/>
          <w:bCs w:val="0"/>
          <w:i w:val="0"/>
          <w:iCs w:val="0"/>
          <w:color w:val="000000"/>
          <w:sz w:val="24"/>
          <w:szCs w:val="24"/>
          <w:u w:val="none"/>
          <w:vertAlign w:val="baseline"/>
          <w:lang w:val="en-US"/>
        </w:rPr>
        <w:t>classroom dialogue,</w:t>
      </w:r>
      <w:r>
        <w:rPr>
          <w:rFonts w:hint="default" w:ascii="Times New Roman" w:hAnsi="Times New Roman" w:cs="Times New Roman"/>
          <w:b w:val="0"/>
          <w:bCs w:val="0"/>
          <w:i w:val="0"/>
          <w:iCs w:val="0"/>
          <w:color w:val="000000"/>
          <w:sz w:val="24"/>
          <w:szCs w:val="24"/>
          <w:u w:val="none"/>
          <w:vertAlign w:val="baseline"/>
        </w:rPr>
        <w:t xml:space="preserve"> enhance intrinsic motivation and engagement. Empirical research shows that SDT-based pedagogical approaches improve students’ self-regulation, engagement, and socio-emotional outcomes across contexts (Aelterman et al., 2024; Patall et al., 20</w:t>
      </w:r>
      <w:r>
        <w:rPr>
          <w:rFonts w:hint="default" w:ascii="Times New Roman" w:hAnsi="Times New Roman" w:cs="Times New Roman"/>
          <w:b w:val="0"/>
          <w:bCs w:val="0"/>
          <w:i w:val="0"/>
          <w:iCs w:val="0"/>
          <w:color w:val="000000"/>
          <w:sz w:val="24"/>
          <w:szCs w:val="24"/>
          <w:u w:val="none"/>
          <w:vertAlign w:val="baseline"/>
          <w:lang w:val="en-US"/>
        </w:rPr>
        <w:t>19</w:t>
      </w:r>
      <w:r>
        <w:rPr>
          <w:rFonts w:hint="default" w:ascii="Times New Roman" w:hAnsi="Times New Roman" w:cs="Times New Roman"/>
          <w:b w:val="0"/>
          <w:bCs w:val="0"/>
          <w:i w:val="0"/>
          <w:iCs w:val="0"/>
          <w:color w:val="000000"/>
          <w:sz w:val="24"/>
          <w:szCs w:val="24"/>
          <w:u w:val="none"/>
          <w:vertAlign w:val="baseline"/>
        </w:rPr>
        <w:t>). In science education, SDT is widely used to explain how teacher behaviors influence deeper learning, including conceptual understanding and collaborative engagement.</w:t>
      </w:r>
    </w:p>
    <w:p w14:paraId="095F539A">
      <w:pPr>
        <w:pStyle w:val="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3.3</w:t>
      </w:r>
      <w:r>
        <w:rPr>
          <w:rFonts w:hint="default" w:ascii="Times New Roman" w:hAnsi="Times New Roman" w:cs="Times New Roman"/>
          <w:b/>
          <w:bCs/>
          <w:i w:val="0"/>
          <w:iCs w:val="0"/>
          <w:color w:val="000000"/>
          <w:sz w:val="24"/>
          <w:szCs w:val="24"/>
          <w:u w:val="none"/>
          <w:vertAlign w:val="baseline"/>
          <w:lang w:val="en-US"/>
        </w:rPr>
        <w:t xml:space="preserve"> </w:t>
      </w:r>
      <w:r>
        <w:rPr>
          <w:rFonts w:hint="default" w:ascii="Times New Roman" w:hAnsi="Times New Roman" w:cs="Times New Roman"/>
          <w:b/>
          <w:bCs/>
          <w:i w:val="0"/>
          <w:iCs w:val="0"/>
          <w:color w:val="000000"/>
          <w:sz w:val="24"/>
          <w:szCs w:val="24"/>
          <w:u w:val="none"/>
          <w:vertAlign w:val="baseline"/>
        </w:rPr>
        <w:t>The 21st Century Skills Framework</w:t>
      </w:r>
    </w:p>
    <w:p w14:paraId="1C009AC5">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The 21st Century Skills Framework identifies competencies required for learners in contemporary societies. These are grouped into learning and innovation skills, digital literacy, and life and career skills (Partnership for 21st Century Learning, 2019).</w:t>
      </w:r>
    </w:p>
    <w:p w14:paraId="16BB3185">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Learning and innovation skills include critical thinking, creativity, communication, and collaboration. Life and career skills emphasize adaptability, leadership, initiative, and social responsibility. The OECD Learning Compass 2030 further extends this framework by emphasizing student agency, co-agency, and trans</w:t>
      </w:r>
      <w:r>
        <w:rPr>
          <w:rFonts w:hint="default" w:ascii="Times New Roman" w:hAnsi="Times New Roman" w:cs="Times New Roman"/>
          <w:b w:val="0"/>
          <w:bCs w:val="0"/>
          <w:i w:val="0"/>
          <w:iCs w:val="0"/>
          <w:color w:val="000000"/>
          <w:sz w:val="24"/>
          <w:szCs w:val="24"/>
          <w:u w:val="none"/>
          <w:vertAlign w:val="baseline"/>
          <w:lang w:val="en-US"/>
        </w:rPr>
        <w:t>-</w:t>
      </w:r>
      <w:r>
        <w:rPr>
          <w:rFonts w:hint="default" w:ascii="Times New Roman" w:hAnsi="Times New Roman" w:cs="Times New Roman"/>
          <w:b w:val="0"/>
          <w:bCs w:val="0"/>
          <w:i w:val="0"/>
          <w:iCs w:val="0"/>
          <w:color w:val="000000"/>
          <w:sz w:val="24"/>
          <w:szCs w:val="24"/>
          <w:u w:val="none"/>
          <w:vertAlign w:val="baseline"/>
        </w:rPr>
        <w:t>formative competencies</w:t>
      </w:r>
      <w:r>
        <w:rPr>
          <w:rFonts w:hint="default" w:ascii="Times New Roman" w:hAnsi="Times New Roman" w:cs="Times New Roman"/>
          <w:b w:val="0"/>
          <w:bCs w:val="0"/>
          <w:i w:val="0"/>
          <w:iCs w:val="0"/>
          <w:color w:val="000000"/>
          <w:sz w:val="24"/>
          <w:szCs w:val="24"/>
          <w:u w:val="none"/>
          <w:vertAlign w:val="baseline"/>
          <w:lang w:val="en-US"/>
        </w:rPr>
        <w:t>,</w:t>
      </w:r>
      <w:r>
        <w:rPr>
          <w:rFonts w:hint="default" w:ascii="Times New Roman" w:hAnsi="Times New Roman" w:cs="Times New Roman"/>
          <w:b w:val="0"/>
          <w:bCs w:val="0"/>
          <w:i w:val="0"/>
          <w:iCs w:val="0"/>
          <w:color w:val="000000"/>
          <w:sz w:val="24"/>
          <w:szCs w:val="24"/>
          <w:u w:val="none"/>
          <w:vertAlign w:val="baseline"/>
        </w:rPr>
        <w:t xml:space="preserve"> such as creating new valu</w:t>
      </w:r>
      <w:r>
        <w:rPr>
          <w:rFonts w:hint="default" w:ascii="Times New Roman" w:hAnsi="Times New Roman" w:cs="Times New Roman"/>
          <w:b w:val="0"/>
          <w:bCs w:val="0"/>
          <w:i w:val="0"/>
          <w:iCs w:val="0"/>
          <w:color w:val="000000"/>
          <w:sz w:val="24"/>
          <w:szCs w:val="24"/>
          <w:u w:val="none"/>
          <w:vertAlign w:val="baseline"/>
          <w:lang w:val="en-US"/>
        </w:rPr>
        <w:t xml:space="preserve">e </w:t>
      </w:r>
      <w:r>
        <w:rPr>
          <w:rFonts w:hint="default" w:ascii="Times New Roman" w:hAnsi="Times New Roman" w:cs="Times New Roman"/>
          <w:b w:val="0"/>
          <w:bCs w:val="0"/>
          <w:i w:val="0"/>
          <w:iCs w:val="0"/>
          <w:color w:val="000000"/>
          <w:sz w:val="24"/>
          <w:szCs w:val="24"/>
          <w:u w:val="none"/>
          <w:vertAlign w:val="baseline"/>
        </w:rPr>
        <w:t>and reconciling tensions (OECD, 2019).</w:t>
      </w:r>
    </w:p>
    <w:p w14:paraId="072C2EE7">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Together, these frameworks reflect a shift from rote learning toward learner-centered, competency-based education systems.</w:t>
      </w:r>
    </w:p>
    <w:p w14:paraId="72A6AF4A">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3.4</w:t>
      </w:r>
      <w:r>
        <w:rPr>
          <w:rFonts w:hint="default" w:ascii="Times New Roman" w:hAnsi="Times New Roman" w:cs="Times New Roman"/>
          <w:b/>
          <w:bCs/>
          <w:i w:val="0"/>
          <w:iCs w:val="0"/>
          <w:color w:val="000000"/>
          <w:sz w:val="24"/>
          <w:szCs w:val="24"/>
          <w:u w:val="none"/>
          <w:vertAlign w:val="baseline"/>
          <w:lang w:val="en-US"/>
        </w:rPr>
        <w:t xml:space="preserve"> </w:t>
      </w:r>
      <w:r>
        <w:rPr>
          <w:rFonts w:hint="default" w:ascii="Times New Roman" w:hAnsi="Times New Roman" w:cs="Times New Roman"/>
          <w:b/>
          <w:bCs/>
          <w:i w:val="0"/>
          <w:iCs w:val="0"/>
          <w:color w:val="000000"/>
          <w:sz w:val="24"/>
          <w:szCs w:val="24"/>
          <w:u w:val="none"/>
          <w:vertAlign w:val="baseline"/>
        </w:rPr>
        <w:t>Integration of SDT and 21st Century Skills</w:t>
      </w:r>
    </w:p>
    <w:p w14:paraId="15CAA5BB">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 xml:space="preserve">The integration of Self-Determination Theory and the 21st Century Skills Framework provides a comprehensive lens for understanding human-centric learning. SDT explains </w:t>
      </w:r>
      <w:r>
        <w:rPr>
          <w:rFonts w:hint="default" w:ascii="Times New Roman" w:hAnsi="Times New Roman" w:cs="Times New Roman"/>
          <w:b w:val="0"/>
          <w:bCs w:val="0"/>
          <w:i w:val="0"/>
          <w:iCs w:val="0"/>
          <w:color w:val="000000"/>
          <w:sz w:val="24"/>
          <w:szCs w:val="24"/>
          <w:u w:val="none"/>
          <w:vertAlign w:val="baseline"/>
          <w:lang w:val="en-US"/>
        </w:rPr>
        <w:t>the motivational</w:t>
      </w:r>
      <w:r>
        <w:rPr>
          <w:rFonts w:hint="default" w:ascii="Times New Roman" w:hAnsi="Times New Roman" w:cs="Times New Roman"/>
          <w:b w:val="0"/>
          <w:bCs w:val="0"/>
          <w:i w:val="0"/>
          <w:iCs w:val="0"/>
          <w:color w:val="000000"/>
          <w:sz w:val="24"/>
          <w:szCs w:val="24"/>
          <w:u w:val="none"/>
          <w:vertAlign w:val="baseline"/>
        </w:rPr>
        <w:t xml:space="preserve"> </w:t>
      </w:r>
      <w:r>
        <w:rPr>
          <w:rFonts w:hint="default" w:ascii="Times New Roman" w:hAnsi="Times New Roman" w:cs="Times New Roman"/>
          <w:b w:val="0"/>
          <w:bCs w:val="0"/>
          <w:i w:val="0"/>
          <w:iCs w:val="0"/>
          <w:color w:val="000000"/>
          <w:sz w:val="24"/>
          <w:szCs w:val="24"/>
          <w:u w:val="none"/>
          <w:vertAlign w:val="baseline"/>
          <w:lang w:val="en-US"/>
        </w:rPr>
        <w:t xml:space="preserve">processes for </w:t>
      </w:r>
      <w:r>
        <w:rPr>
          <w:rFonts w:hint="default" w:ascii="Times New Roman" w:hAnsi="Times New Roman" w:cs="Times New Roman"/>
          <w:b w:val="0"/>
          <w:bCs w:val="0"/>
          <w:i w:val="0"/>
          <w:iCs w:val="0"/>
          <w:color w:val="000000"/>
          <w:sz w:val="24"/>
          <w:szCs w:val="24"/>
          <w:u w:val="none"/>
          <w:vertAlign w:val="baseline"/>
        </w:rPr>
        <w:t xml:space="preserve">why students </w:t>
      </w:r>
      <w:r>
        <w:rPr>
          <w:rFonts w:hint="default" w:ascii="Times New Roman" w:hAnsi="Times New Roman" w:cs="Times New Roman"/>
          <w:b w:val="0"/>
          <w:bCs w:val="0"/>
          <w:i w:val="0"/>
          <w:iCs w:val="0"/>
          <w:color w:val="000000"/>
          <w:sz w:val="24"/>
          <w:szCs w:val="24"/>
          <w:u w:val="none"/>
          <w:vertAlign w:val="baseline"/>
          <w:lang w:val="en-US"/>
        </w:rPr>
        <w:t>engage,</w:t>
      </w:r>
      <w:r>
        <w:rPr>
          <w:rFonts w:hint="default" w:ascii="Times New Roman" w:hAnsi="Times New Roman" w:cs="Times New Roman"/>
          <w:b w:val="0"/>
          <w:bCs w:val="0"/>
          <w:i w:val="0"/>
          <w:iCs w:val="0"/>
          <w:color w:val="000000"/>
          <w:sz w:val="24"/>
          <w:szCs w:val="24"/>
          <w:u w:val="none"/>
          <w:vertAlign w:val="baseline"/>
        </w:rPr>
        <w:t xml:space="preserve"> while the 21st Century Skills Framework defines expected competencies.</w:t>
      </w:r>
    </w:p>
    <w:p w14:paraId="228A4738">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val="0"/>
          <w:bCs w:val="0"/>
          <w:i w:val="0"/>
          <w:iCs w:val="0"/>
          <w:color w:val="000000"/>
          <w:sz w:val="24"/>
          <w:szCs w:val="24"/>
          <w:u w:val="none"/>
          <w:vertAlign w:val="baseline"/>
        </w:rPr>
        <w:t>When combined, they suggest that human-centric skills emerge most effectively in environments that support autonomy, competence, and relatedness while fostering collaboration and inquiry. Teachers act as key mediators between motivational conditions and competency development. Recent studies confirm that SDT-based instructional approaches also enhance 21st-century competencies such as collaboration and critical thinking (Aelterman et al., 2024; Schmid et al., 2024).</w:t>
      </w:r>
    </w:p>
    <w:p w14:paraId="468E0DA2">
      <w:pPr>
        <w:pStyle w:val="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3.5</w:t>
      </w:r>
      <w:r>
        <w:rPr>
          <w:rFonts w:hint="default" w:ascii="Times New Roman" w:hAnsi="Times New Roman" w:cs="Times New Roman"/>
          <w:b/>
          <w:bCs/>
          <w:i w:val="0"/>
          <w:iCs w:val="0"/>
          <w:color w:val="000000"/>
          <w:sz w:val="24"/>
          <w:szCs w:val="24"/>
          <w:u w:val="none"/>
          <w:vertAlign w:val="baseline"/>
          <w:lang w:val="en-US"/>
        </w:rPr>
        <w:t xml:space="preserve"> </w:t>
      </w:r>
      <w:r>
        <w:rPr>
          <w:rFonts w:hint="default" w:ascii="Times New Roman" w:hAnsi="Times New Roman" w:cs="Times New Roman"/>
          <w:b/>
          <w:bCs/>
          <w:i w:val="0"/>
          <w:iCs w:val="0"/>
          <w:color w:val="000000"/>
          <w:sz w:val="24"/>
          <w:szCs w:val="24"/>
          <w:u w:val="none"/>
          <w:vertAlign w:val="baseline"/>
        </w:rPr>
        <w:t>Teacher Practices and Institutional Constraints</w:t>
      </w:r>
    </w:p>
    <w:p w14:paraId="6F3FEF36">
      <w:pPr>
        <w:pStyle w:val="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Teacher practices play a central role in human-centric skill development. Constructivist approaches such as inquiry-based learning, project-based learning, and collaborative activities are strongly associated with improved critical thinking, creativity, and communication skills (Voogt &amp; Roblin, 2012).</w:t>
      </w:r>
    </w:p>
    <w:p w14:paraId="6E211250">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From an SDT perspective, autonomy-supportive teaching enhances intrinsic motivation and engagement in higher-order learning. However, implementation is often constrained by curriculum rigidity, high-stakes examinations, and limited resources. In low-resource rural contexts, these constraints lead to teacher-centered instruction focused on exam preparation, limiting pedagogical innovation (World Bank, 2023; OECD, 2023).</w:t>
      </w:r>
    </w:p>
    <w:p w14:paraId="69FAD305">
      <w:pPr>
        <w:pStyle w:val="3"/>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3.</w:t>
      </w:r>
      <w:r>
        <w:rPr>
          <w:rFonts w:hint="default" w:ascii="Times New Roman" w:hAnsi="Times New Roman" w:cs="Times New Roman"/>
          <w:b/>
          <w:bCs/>
          <w:i w:val="0"/>
          <w:iCs w:val="0"/>
          <w:color w:val="000000"/>
          <w:sz w:val="24"/>
          <w:szCs w:val="24"/>
          <w:u w:val="none"/>
          <w:vertAlign w:val="baseline"/>
          <w:lang w:val="en-US"/>
        </w:rPr>
        <w:t xml:space="preserve">6 </w:t>
      </w:r>
      <w:r>
        <w:rPr>
          <w:rFonts w:hint="default" w:ascii="Times New Roman" w:hAnsi="Times New Roman" w:cs="Times New Roman"/>
          <w:b/>
          <w:bCs/>
          <w:i w:val="0"/>
          <w:iCs w:val="0"/>
          <w:color w:val="000000"/>
          <w:sz w:val="24"/>
          <w:szCs w:val="24"/>
          <w:u w:val="none"/>
          <w:vertAlign w:val="baseline"/>
        </w:rPr>
        <w:t>Synthesis and Research Gap</w:t>
      </w:r>
    </w:p>
    <w:p w14:paraId="3D806FE6">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Although SDT and the 21st Century Skills Framework are widely studied, limited research integrates them to explain human-centric skill development in rural, resource-constrained contexts. Most studies focus on urban or well-resourced settings, leaving a gap in understanding how institutional constraints shape teacher practices in rural schools.</w:t>
      </w:r>
    </w:p>
    <w:p w14:paraId="28961272">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Furthermore, there is insufficient qualitative evidence on how teachers operationalize SDT constructs autonomy, competence, and relatedness under structural limitations. The interaction between teacher agency and institutional constraints remains under</w:t>
      </w:r>
      <w:r>
        <w:rPr>
          <w:rFonts w:hint="default" w:ascii="Times New Roman" w:hAnsi="Times New Roman" w:cs="Times New Roman"/>
          <w:b w:val="0"/>
          <w:bCs w:val="0"/>
          <w:i w:val="0"/>
          <w:iCs w:val="0"/>
          <w:color w:val="000000"/>
          <w:sz w:val="24"/>
          <w:szCs w:val="24"/>
          <w:u w:val="none"/>
          <w:vertAlign w:val="baseline"/>
          <w:lang w:val="en-US"/>
        </w:rPr>
        <w:t>-</w:t>
      </w:r>
      <w:r>
        <w:rPr>
          <w:rFonts w:hint="default" w:ascii="Times New Roman" w:hAnsi="Times New Roman" w:cs="Times New Roman"/>
          <w:b w:val="0"/>
          <w:bCs w:val="0"/>
          <w:i w:val="0"/>
          <w:iCs w:val="0"/>
          <w:color w:val="000000"/>
          <w:sz w:val="24"/>
          <w:szCs w:val="24"/>
          <w:u w:val="none"/>
          <w:vertAlign w:val="baseline"/>
        </w:rPr>
        <w:t>explored in</w:t>
      </w:r>
      <w:r>
        <w:rPr>
          <w:rFonts w:hint="default" w:ascii="Times New Roman" w:hAnsi="Times New Roman" w:cs="Times New Roman"/>
          <w:b w:val="0"/>
          <w:bCs w:val="0"/>
          <w:i w:val="0"/>
          <w:iCs w:val="0"/>
          <w:color w:val="000000"/>
          <w:sz w:val="24"/>
          <w:szCs w:val="24"/>
          <w:u w:val="none"/>
          <w:vertAlign w:val="baseline"/>
          <w:lang w:val="en-US"/>
        </w:rPr>
        <w:t xml:space="preserve"> </w:t>
      </w:r>
      <w:r>
        <w:rPr>
          <w:rFonts w:hint="default" w:ascii="Times New Roman" w:hAnsi="Times New Roman" w:cs="Times New Roman"/>
          <w:b w:val="0"/>
          <w:bCs w:val="0"/>
          <w:i w:val="0"/>
          <w:iCs w:val="0"/>
          <w:color w:val="000000"/>
          <w:sz w:val="24"/>
          <w:szCs w:val="24"/>
          <w:u w:val="none"/>
          <w:vertAlign w:val="baseline"/>
        </w:rPr>
        <w:t>relation to human-centric skill development.</w:t>
      </w:r>
    </w:p>
    <w:p w14:paraId="0468EE79">
      <w:pPr>
        <w:pStyle w:val="2"/>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i w:val="0"/>
          <w:iCs w:val="0"/>
          <w:color w:val="000000"/>
          <w:sz w:val="24"/>
          <w:szCs w:val="24"/>
          <w:u w:val="none"/>
          <w:vertAlign w:val="baseline"/>
        </w:rPr>
        <w:t>Addressing this gap is essential for developing a context-sensitive understanding of how human-centric skills are fostered in rural secondary education systems, particularly in science education contexts such as Bangladesh.</w:t>
      </w:r>
    </w:p>
    <w:p w14:paraId="566C0350">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METHODOLOGY</w:t>
      </w:r>
    </w:p>
    <w:p w14:paraId="7B28B258">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This study adopted a qualitative multiple</w:t>
      </w:r>
      <w:r>
        <w:rPr>
          <w:rFonts w:hint="default" w:cs="Times New Roman"/>
          <w:i w:val="0"/>
          <w:iCs w:val="0"/>
          <w:color w:val="000000"/>
          <w:sz w:val="24"/>
          <w:szCs w:val="24"/>
          <w:u w:val="none"/>
          <w:vertAlign w:val="baseline"/>
          <w:lang w:val="en-US"/>
        </w:rPr>
        <w:t>-</w:t>
      </w:r>
      <w:r>
        <w:rPr>
          <w:rFonts w:hint="default" w:ascii="Times New Roman" w:hAnsi="Times New Roman" w:cs="Times New Roman"/>
          <w:i w:val="0"/>
          <w:iCs w:val="0"/>
          <w:color w:val="000000"/>
          <w:sz w:val="24"/>
          <w:szCs w:val="24"/>
          <w:u w:val="none"/>
          <w:vertAlign w:val="baseline"/>
        </w:rPr>
        <w:t>case study design within an interpretivist paradigm</w:t>
      </w:r>
      <w:r>
        <w:rPr>
          <w:rFonts w:hint="default" w:cs="Times New Roman"/>
          <w:i w:val="0"/>
          <w:iCs w:val="0"/>
          <w:color w:val="000000"/>
          <w:sz w:val="24"/>
          <w:szCs w:val="24"/>
          <w:u w:val="none"/>
          <w:vertAlign w:val="baseline"/>
          <w:lang w:val="en-US"/>
        </w:rPr>
        <w:t>. It was</w:t>
      </w:r>
      <w:r>
        <w:rPr>
          <w:rFonts w:hint="default" w:ascii="Times New Roman" w:hAnsi="Times New Roman" w:cs="Times New Roman"/>
          <w:i w:val="0"/>
          <w:iCs w:val="0"/>
          <w:color w:val="000000"/>
          <w:sz w:val="24"/>
          <w:szCs w:val="24"/>
          <w:u w:val="none"/>
          <w:vertAlign w:val="baseline"/>
        </w:rPr>
        <w:t xml:space="preserve"> informed by Self-Determination Theory (SDT) and the 21st Century Skills Framework</w:t>
      </w:r>
      <w:r>
        <w:rPr>
          <w:rFonts w:hint="default" w:cs="Times New Roman"/>
          <w:i w:val="0"/>
          <w:iCs w:val="0"/>
          <w:color w:val="000000"/>
          <w:sz w:val="24"/>
          <w:szCs w:val="24"/>
          <w:u w:val="none"/>
          <w:vertAlign w:val="baseline"/>
          <w:lang w:val="en-US"/>
        </w:rPr>
        <w:t xml:space="preserve"> </w:t>
      </w:r>
      <w:r>
        <w:rPr>
          <w:rFonts w:hint="default" w:ascii="Times New Roman" w:hAnsi="Times New Roman" w:cs="Times New Roman"/>
          <w:i w:val="0"/>
          <w:iCs w:val="0"/>
          <w:color w:val="000000"/>
          <w:sz w:val="24"/>
          <w:szCs w:val="24"/>
          <w:u w:val="none"/>
          <w:vertAlign w:val="baseline"/>
        </w:rPr>
        <w:t>to explore how teachers enact human-centric skills in classroom contexts. The study was conducted in four rural secondary schools in Bangladesh, selected to represent resource-constrained educational settings. These schools operate under similar curricular structures and examination-oriented assessment systems, providing a relevant context for examining institutional constraints on pedagogical practices.</w:t>
      </w:r>
    </w:p>
    <w:p w14:paraId="32DD7A4B">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A purposive sampling strategy was used to select eight science teachers based on teaching experience, subject specialization, and willingness to participate. This ensured that participants could provide rich, contextually grounded insights into rural science teaching.</w:t>
      </w:r>
    </w:p>
    <w:p w14:paraId="2EC33472">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Data were collected through semi-structured interviews and classroom observations. Interviews focused on teachers’ understanding of human-centric skills, instructional strategies, and challenges in implementing student-centred pedagogies. Classroom observations captured actual teaching practices, particularly the extent to which autonomy, collaboration, and inquiry-based learning were enacted.</w:t>
      </w:r>
    </w:p>
    <w:p w14:paraId="7B6F2D1F">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Interviews were audio-recorded and transcribed verbatim, while observation notes were documented during and after classroom sessions to ensure accuracy. Data were analyzed using thematic analysis following Braun and Clarke’s (2006) framework, including familiarization, coding, theme development, and reporting. This enabled identification of patterns related to teacher practices, institutional constraints, and human-centric skill development.</w:t>
      </w:r>
    </w:p>
    <w:p w14:paraId="35A6B7BE">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To enhance trustworthiness, data triangulation was achieved by comparing interview and observation data. Member checking was also conducted with selected participants to ensure credibility. The study adhered to ethical standards, including informed consent, voluntary participation, and confidentiality.</w:t>
      </w:r>
    </w:p>
    <w:p w14:paraId="1E708978">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FINDINGS</w:t>
      </w:r>
    </w:p>
    <w:p w14:paraId="54D9A6D1">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 analysis generated four key themes explaining how human-centric skills are enacted and constrained in rural secondary science classrooms.</w:t>
      </w:r>
    </w:p>
    <w:p w14:paraId="1AA7E7F5">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Theme 1: Examination Pressure Limits Human-Centric Practices</w:t>
      </w:r>
    </w:p>
    <w:p w14:paraId="0CD5D859">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Teaching is largely shaped by exam preparation, which limits opportunities for creativity, discussion, and inquiry-based learning. Instruction is primarily directed toward memorization and syllabus completion, reducing space for higher-order thinking and student engagement.</w:t>
      </w:r>
    </w:p>
    <w:p w14:paraId="7C2E3695">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left="600" w:right="60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“We focus on memorization because exams decide everything.” (T3)</w:t>
      </w:r>
    </w:p>
    <w:p w14:paraId="1FED70E9">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Classroom observations further confirmed a predominantly teacher-centered approach with minimal student interaction or exploratory learning.</w:t>
      </w:r>
    </w:p>
    <w:p w14:paraId="270419D2">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Theme 2: Resource Constraints Restrict Active Learning</w:t>
      </w:r>
    </w:p>
    <w:p w14:paraId="684D011F">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Limited instructional resources, large class sizes, and inadequate infrastructure significantly constrain the implementation of student-centered pedagogies. These structural limitations reduce opportunities for hands-on learning, experimentation, and collaborative activities.</w:t>
      </w:r>
    </w:p>
    <w:p w14:paraId="16517D69">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left="600" w:right="60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“We cannot do practical work properly due to</w:t>
      </w:r>
      <w:r>
        <w:rPr>
          <w:rFonts w:hint="default" w:ascii="Times New Roman" w:hAnsi="Times New Roman" w:cs="Times New Roman"/>
          <w:i w:val="0"/>
          <w:iCs w:val="0"/>
          <w:color w:val="000000"/>
          <w:sz w:val="24"/>
          <w:szCs w:val="24"/>
          <w:u w:val="none"/>
          <w:vertAlign w:val="baseline"/>
          <w:lang w:val="en-US"/>
        </w:rPr>
        <w:t xml:space="preserve"> a</w:t>
      </w:r>
      <w:r>
        <w:rPr>
          <w:rFonts w:hint="default" w:ascii="Times New Roman" w:hAnsi="Times New Roman" w:cs="Times New Roman"/>
          <w:i w:val="0"/>
          <w:iCs w:val="0"/>
          <w:color w:val="000000"/>
          <w:sz w:val="24"/>
          <w:szCs w:val="24"/>
          <w:u w:val="none"/>
          <w:vertAlign w:val="baseline"/>
        </w:rPr>
        <w:t xml:space="preserve"> lack of equipment.” (T1)</w:t>
      </w:r>
    </w:p>
    <w:p w14:paraId="48C3579D">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As a result, meaningful engagement in science inquiry and group-based learning remains restricted.</w:t>
      </w:r>
    </w:p>
    <w:p w14:paraId="236493B4">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Theme 3: Teacher Efforts to Support Human-Centric Skills</w:t>
      </w:r>
    </w:p>
    <w:p w14:paraId="0EE57E59">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Despite structural constraints, teachers demonstrate partial pedagogical agency by incorporating small-scale strategies to support student engagement. These include questioning techniques, peer discussions, and contextual examples to promote understanding.</w:t>
      </w:r>
    </w:p>
    <w:p w14:paraId="16463B6E">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left="600" w:right="60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“I try to let students discuss in pairs when possible.” (T2)</w:t>
      </w:r>
    </w:p>
    <w:p w14:paraId="1AA604A2">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However, these practices are informal and depend largely on individual teacher initiative rather than structured instructional design.</w:t>
      </w:r>
    </w:p>
    <w:p w14:paraId="1F86137B">
      <w:pPr>
        <w:pStyle w:val="4"/>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Theme 4: Inconsistent Development of Human-Centric Skills</w:t>
      </w:r>
    </w:p>
    <w:p w14:paraId="38BBFFBF">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Human-centric skills such as critical thinking, collaboration, and communication are not systematically developed in classroom practice. Instead, they emerge sporadically during teaching depending on time, content, and teacher effort.</w:t>
      </w:r>
    </w:p>
    <w:p w14:paraId="1A75A248">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left="600" w:right="60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“We don’t have structured time to develop these skills.” (T4)</w:t>
      </w:r>
    </w:p>
    <w:p w14:paraId="2866F13D">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This indicates a fragmented approach to skill development that is not embedded within the curriculum or assessment system.</w:t>
      </w:r>
    </w:p>
    <w:p w14:paraId="276903CE">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b/>
          <w:bCs/>
          <w:i w:val="0"/>
          <w:iCs w:val="0"/>
          <w:color w:val="000000"/>
          <w:sz w:val="24"/>
          <w:szCs w:val="24"/>
          <w:u w:val="none"/>
          <w:vertAlign w:val="baseline"/>
        </w:rPr>
        <w:t>Summary of Findings</w:t>
      </w:r>
    </w:p>
    <w:p w14:paraId="7B937E17">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Overall, the findings reveal that institutional constraints, particularly examination pressure, resource limitations, and structural conditions strongly shape classroom practices and restrict the systematic development of human-centric skills. Nevertheless, teachers exercise limited but meaningful agency by integrating informal strategies that partially support student engagement and interaction. This results in an uneven and inconsistent development of human-centric skills across rural secondary science classrooms.</w:t>
      </w:r>
    </w:p>
    <w:p w14:paraId="12E7AE78">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DISCUSSION</w:t>
      </w:r>
    </w:p>
    <w:p w14:paraId="08C417E3">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This study explored human-centric skill development in rural secondary science classrooms using Self-Determination Theory (SDT) and the 21st Century Skills Framework. Findings show that both motivational conditions and institutional constraints jointly shape classroom practices.</w:t>
      </w:r>
    </w:p>
    <w:p w14:paraId="5A924237">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Viewed through SDT, the basic psychological needs of autonomy, competence, and relatedness are only partially supported (Ryan &amp; Deci, 2017). This is reflected in examination pressure that reduces teacher autonomy and limits autonomy-supportive practices (Aelterman et al., 2024). Resource shortages and large class sizes further restrict inquiry-based learning and weaken competence development. Classroom interaction remains largely teacher-centered, limiting collaboration and relatedness.</w:t>
      </w:r>
    </w:p>
    <w:p w14:paraId="4FE9ADA9">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Through the lens of the 21st Century Skills Framework, critical thinking, creativity, and collaboration are not systematically developed, but appear inconsistently in practice (OECD, 2019; P21, 2019). Instead, teaching remains focused on examination preparation, aligning with findings from previous research on exam-driven systems (Voogt &amp; Roblin, 2012).</w:t>
      </w:r>
    </w:p>
    <w:p w14:paraId="52C3AEDC">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Despite these constraints, teachers show limited agency by using questioning, peer discussion, and contextual examples to support engagement, reflecting partial alignment with SDT-based autonomy-supportive practices (Patall et al., 2024).</w:t>
      </w:r>
    </w:p>
    <w:p w14:paraId="15CD3922">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Overall, curriculum rigidity and assessment pressure strongly constrain the development of human-centric skills, leading to inconsistent implementation in rural classrooms (World Bank, 2023; OECD, 2023).</w:t>
      </w:r>
    </w:p>
    <w:p w14:paraId="5163215B">
      <w:pPr>
        <w:pStyle w:val="3"/>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CONCLUSION</w:t>
      </w:r>
    </w:p>
    <w:p w14:paraId="4AF814F2">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This study shows that the development of human-centric skills in rural secondary science classrooms is shaped by the interaction of teacher practices and institutional constraints, interpreted through SDT and the 21st Century Skills Framework. Findings indicate that examination pressure, limited resources,</w:t>
      </w:r>
      <w:r>
        <w:rPr>
          <w:rFonts w:hint="default" w:cs="Times New Roman"/>
          <w:i w:val="0"/>
          <w:iCs w:val="0"/>
          <w:color w:val="000000"/>
          <w:sz w:val="24"/>
          <w:szCs w:val="24"/>
          <w:u w:val="none"/>
          <w:vertAlign w:val="baseline"/>
          <w:lang w:val="en-US"/>
        </w:rPr>
        <w:t xml:space="preserve"> </w:t>
      </w:r>
      <w:r>
        <w:rPr>
          <w:rFonts w:hint="default" w:ascii="Times New Roman" w:hAnsi="Times New Roman" w:cs="Times New Roman"/>
          <w:i w:val="0"/>
          <w:iCs w:val="0"/>
          <w:color w:val="000000"/>
          <w:sz w:val="24"/>
          <w:szCs w:val="24"/>
          <w:u w:val="none"/>
          <w:vertAlign w:val="baseline"/>
        </w:rPr>
        <w:t>structural barriers restrict autonomy-supportive and student-centered teaching, leading to fragmented development of skills such as critical thinking, collaboration, and creativity.</w:t>
      </w:r>
    </w:p>
    <w:p w14:paraId="25610592">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Despite these challenges, teachers demonstrate limited agency through informal strategies like questioning and peer discussion. Overall, human-centric skill development remains inconsistent, highlighting the need for stronger alignment between curriculum expectations and classroom realities in rural contexts.</w:t>
      </w:r>
    </w:p>
    <w:p w14:paraId="12546C73">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DATA AVAILABILITY STATEMENT</w:t>
      </w:r>
    </w:p>
    <w:p w14:paraId="0C20D706">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 data generated and analysed during this study are not publicly available due to ethical restrictions and participant confidentiality. Requests for anonymized data may be considered by the corresponding author upon reasonable request.</w:t>
      </w:r>
    </w:p>
    <w:p w14:paraId="1E7A21B0">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ETHICAL APPROVAL</w:t>
      </w:r>
    </w:p>
    <w:p w14:paraId="47EA162E">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left="605" w:right="605"/>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Ethical approval for this study was obtained from the relevant institutional ethics committee prior to data collection.</w:t>
      </w:r>
    </w:p>
    <w:p w14:paraId="137F9111">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lang w:val="en-US"/>
        </w:rPr>
        <w:t xml:space="preserve"> </w:t>
      </w:r>
      <w:r>
        <w:rPr>
          <w:rFonts w:hint="default" w:ascii="Times New Roman" w:hAnsi="Times New Roman" w:cs="Times New Roman"/>
          <w:b/>
          <w:bCs/>
          <w:i w:val="0"/>
          <w:iCs w:val="0"/>
          <w:color w:val="000000"/>
          <w:sz w:val="28"/>
          <w:szCs w:val="28"/>
          <w:u w:val="none"/>
          <w:vertAlign w:val="baseline"/>
        </w:rPr>
        <w:t>CONFLICT OF INTEREST</w:t>
      </w:r>
    </w:p>
    <w:p w14:paraId="55F0BE92">
      <w:pPr>
        <w:pStyle w:val="11"/>
        <w:keepNext w:val="0"/>
        <w:keepLines w:val="0"/>
        <w:pageBreakBefore w:val="0"/>
        <w:widowControl/>
        <w:suppressLineNumbers w:val="0"/>
        <w:kinsoku/>
        <w:wordWrap/>
        <w:overflowPunct/>
        <w:topLinePunct w:val="0"/>
        <w:autoSpaceDE/>
        <w:autoSpaceDN/>
        <w:bidi w:val="0"/>
        <w:adjustRightInd/>
        <w:snapToGrid/>
        <w:spacing w:before="240" w:beforeAutospacing="0" w:after="240" w:afterAutospacing="0" w:line="240" w:lineRule="auto"/>
        <w:ind w:left="605" w:right="605"/>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The authors declare no conflict of interest.</w:t>
      </w:r>
    </w:p>
    <w:p w14:paraId="1831A102">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240" w:beforeAutospacing="0" w:after="240" w:afterAutospacing="0" w:line="240" w:lineRule="auto"/>
        <w:ind w:left="425" w:leftChars="0" w:hanging="425" w:firstLineChars="0"/>
        <w:jc w:val="both"/>
        <w:textAlignment w:val="auto"/>
        <w:rPr>
          <w:rFonts w:hint="default" w:ascii="Times New Roman" w:hAnsi="Times New Roman" w:cs="Times New Roman"/>
          <w:sz w:val="28"/>
          <w:szCs w:val="28"/>
        </w:rPr>
      </w:pPr>
      <w:r>
        <w:rPr>
          <w:rFonts w:hint="default" w:ascii="Times New Roman" w:hAnsi="Times New Roman" w:cs="Times New Roman"/>
          <w:b/>
          <w:bCs/>
          <w:i w:val="0"/>
          <w:iCs w:val="0"/>
          <w:color w:val="000000"/>
          <w:sz w:val="28"/>
          <w:szCs w:val="28"/>
          <w:u w:val="none"/>
          <w:vertAlign w:val="baseline"/>
        </w:rPr>
        <w:t>REFERENCE</w:t>
      </w:r>
    </w:p>
    <w:p w14:paraId="3DC4071C">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i w:val="0"/>
          <w:iCs w:val="0"/>
          <w:color w:val="000000"/>
          <w:sz w:val="24"/>
          <w:szCs w:val="24"/>
          <w:u w:val="none"/>
          <w:vertAlign w:val="baseline"/>
        </w:rPr>
        <w:t xml:space="preserve">World Economic Forum. (2020). </w:t>
      </w:r>
      <w:r>
        <w:rPr>
          <w:rFonts w:hint="default" w:ascii="Times New Roman" w:hAnsi="Times New Roman" w:cs="Times New Roman"/>
          <w:i/>
          <w:iCs/>
          <w:color w:val="000000"/>
          <w:sz w:val="24"/>
          <w:szCs w:val="24"/>
          <w:u w:val="none"/>
          <w:vertAlign w:val="baseline"/>
        </w:rPr>
        <w:t>The future of jobs report 2020</w:t>
      </w:r>
      <w:r>
        <w:rPr>
          <w:rFonts w:hint="default" w:ascii="Times New Roman" w:hAnsi="Times New Roman" w:cs="Times New Roman"/>
          <w:i w:val="0"/>
          <w:iCs w:val="0"/>
          <w:color w:val="000000"/>
          <w:sz w:val="24"/>
          <w:szCs w:val="24"/>
          <w:u w:val="none"/>
          <w:vertAlign w:val="baseline"/>
        </w:rPr>
        <w:t>. WEF.</w:t>
      </w:r>
      <w:r>
        <w:rPr>
          <w:rFonts w:hint="default" w:ascii="Times New Roman" w:hAnsi="Times New Roman" w:cs="Times New Roman"/>
          <w:i w:val="0"/>
          <w:iCs w:val="0"/>
          <w:color w:val="000000"/>
          <w:sz w:val="24"/>
          <w:szCs w:val="24"/>
          <w:u w:val="none"/>
          <w:vertAlign w:val="baseline"/>
          <w:lang w:val="en-US"/>
        </w:rPr>
        <w:t xml:space="preserve"> </w:t>
      </w:r>
    </w:p>
    <w:p w14:paraId="01C20A93">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UNESCO. (2024). </w:t>
      </w:r>
      <w:r>
        <w:rPr>
          <w:rFonts w:hint="default" w:ascii="Times New Roman" w:hAnsi="Times New Roman" w:cs="Times New Roman"/>
          <w:i/>
          <w:iCs/>
          <w:color w:val="000000"/>
          <w:sz w:val="24"/>
          <w:szCs w:val="24"/>
          <w:u w:val="none"/>
          <w:vertAlign w:val="baseline"/>
        </w:rPr>
        <w:t>Reimagining education in the age of AI</w:t>
      </w:r>
      <w:r>
        <w:rPr>
          <w:rFonts w:hint="default" w:ascii="Times New Roman" w:hAnsi="Times New Roman" w:cs="Times New Roman"/>
          <w:i w:val="0"/>
          <w:iCs w:val="0"/>
          <w:color w:val="000000"/>
          <w:sz w:val="24"/>
          <w:szCs w:val="24"/>
          <w:u w:val="none"/>
          <w:vertAlign w:val="baseline"/>
        </w:rPr>
        <w:t>. UNESCO Publishing. </w:t>
      </w:r>
    </w:p>
    <w:p w14:paraId="7E9AA35D">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Reeve, J., &amp; Cheon, S. H. (2024). Learning how to become an autonomy-supportive teacher begins with perspective taking: A randomized control trial and model test. </w:t>
      </w:r>
      <w:r>
        <w:rPr>
          <w:rFonts w:hint="default" w:ascii="Times New Roman" w:hAnsi="Times New Roman" w:cs="Times New Roman"/>
          <w:i/>
          <w:iCs/>
          <w:color w:val="000000"/>
          <w:sz w:val="24"/>
          <w:szCs w:val="24"/>
          <w:u w:val="none"/>
          <w:vertAlign w:val="baseline"/>
        </w:rPr>
        <w:t>Teaching and Teacher Education, 14</w:t>
      </w:r>
      <w:r>
        <w:rPr>
          <w:rFonts w:hint="default" w:cs="Times New Roman"/>
          <w:i/>
          <w:iCs/>
          <w:color w:val="000000"/>
          <w:sz w:val="24"/>
          <w:szCs w:val="24"/>
          <w:u w:val="none"/>
          <w:vertAlign w:val="baseline"/>
          <w:lang w:val="en-US"/>
        </w:rPr>
        <w:t>8</w:t>
      </w:r>
      <w:r>
        <w:rPr>
          <w:rFonts w:hint="default" w:ascii="Times New Roman" w:hAnsi="Times New Roman" w:cs="Times New Roman"/>
          <w:i w:val="0"/>
          <w:iCs w:val="0"/>
          <w:color w:val="000000"/>
          <w:sz w:val="24"/>
          <w:szCs w:val="24"/>
          <w:u w:val="none"/>
          <w:vertAlign w:val="baseline"/>
        </w:rPr>
        <w:t>, 104702.</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"https://doi.org/10.1016/j.tate.2024.104702"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000000"/>
          <w:sz w:val="24"/>
          <w:szCs w:val="24"/>
          <w:u w:val="none"/>
          <w:vertAlign w:val="baseline"/>
        </w:rPr>
        <w:t xml:space="preserve"> </w:t>
      </w:r>
      <w:r>
        <w:rPr>
          <w:rStyle w:val="10"/>
          <w:rFonts w:hint="default" w:ascii="Times New Roman" w:hAnsi="Times New Roman" w:cs="Times New Roman"/>
          <w:i w:val="0"/>
          <w:iCs w:val="0"/>
          <w:color w:val="1155CC"/>
          <w:sz w:val="24"/>
          <w:szCs w:val="24"/>
          <w:u w:val="single"/>
          <w:vertAlign w:val="baseline"/>
        </w:rPr>
        <w:t>https://doi.org/10.1016/j.tate.2024.104702</w:t>
      </w:r>
      <w:r>
        <w:rPr>
          <w:rFonts w:hint="default" w:ascii="Times New Roman" w:hAnsi="Times New Roman" w:cs="Times New Roman"/>
          <w:i w:val="0"/>
          <w:iCs w:val="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rPr>
        <w:t> </w:t>
      </w:r>
    </w:p>
    <w:p w14:paraId="76F88996">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Tao, Y., Wang, D., &amp; Chen, G. (2025). How does dialogic teaching facilitate students’ creative thinking? Evidence from a sequential analysis of teacher–student dialogue in primary language classrooms. </w:t>
      </w:r>
      <w:r>
        <w:rPr>
          <w:rFonts w:hint="default" w:ascii="Times New Roman" w:hAnsi="Times New Roman" w:cs="Times New Roman"/>
          <w:i/>
          <w:iCs/>
          <w:color w:val="000000"/>
          <w:sz w:val="24"/>
          <w:szCs w:val="24"/>
          <w:u w:val="none"/>
          <w:vertAlign w:val="baseline"/>
        </w:rPr>
        <w:t>British Educational Research Journal, 52</w:t>
      </w:r>
      <w:r>
        <w:rPr>
          <w:rFonts w:hint="default" w:ascii="Times New Roman" w:hAnsi="Times New Roman" w:cs="Times New Roman"/>
          <w:i w:val="0"/>
          <w:iCs w:val="0"/>
          <w:color w:val="000000"/>
          <w:sz w:val="24"/>
          <w:szCs w:val="24"/>
          <w:u w:val="none"/>
          <w:vertAlign w:val="baseline"/>
        </w:rPr>
        <w:t>(1), 776–805.</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"https://doi.org/10.1002/berj.70031"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000000"/>
          <w:sz w:val="24"/>
          <w:szCs w:val="24"/>
          <w:u w:val="none"/>
          <w:vertAlign w:val="baseline"/>
        </w:rPr>
        <w:t xml:space="preserve"> </w:t>
      </w:r>
      <w:r>
        <w:rPr>
          <w:rStyle w:val="10"/>
          <w:rFonts w:hint="default" w:ascii="Times New Roman" w:hAnsi="Times New Roman" w:cs="Times New Roman"/>
          <w:i w:val="0"/>
          <w:iCs w:val="0"/>
          <w:color w:val="1155CC"/>
          <w:sz w:val="24"/>
          <w:szCs w:val="24"/>
          <w:u w:val="single"/>
          <w:vertAlign w:val="baseline"/>
        </w:rPr>
        <w:t>https://doi.org/10.1002/berj.70031</w:t>
      </w:r>
      <w:r>
        <w:rPr>
          <w:rFonts w:hint="default" w:ascii="Times New Roman" w:hAnsi="Times New Roman" w:cs="Times New Roman"/>
          <w:i w:val="0"/>
          <w:iCs w:val="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rPr>
        <w:t> </w:t>
      </w:r>
    </w:p>
    <w:p w14:paraId="2C1ACE62">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Voogt, J., &amp; Roblin, N. P. (2012). A comparative analysis of international frameworks for 21st century competences. </w:t>
      </w:r>
      <w:r>
        <w:rPr>
          <w:rFonts w:hint="default" w:ascii="Times New Roman" w:hAnsi="Times New Roman" w:cs="Times New Roman"/>
          <w:i/>
          <w:iCs/>
          <w:color w:val="000000"/>
          <w:sz w:val="24"/>
          <w:szCs w:val="24"/>
          <w:u w:val="none"/>
          <w:vertAlign w:val="baseline"/>
        </w:rPr>
        <w:t>Journal of Curriculum Studies, 44</w:t>
      </w:r>
      <w:r>
        <w:rPr>
          <w:rFonts w:hint="default" w:ascii="Times New Roman" w:hAnsi="Times New Roman" w:cs="Times New Roman"/>
          <w:i w:val="0"/>
          <w:iCs w:val="0"/>
          <w:color w:val="000000"/>
          <w:sz w:val="24"/>
          <w:szCs w:val="24"/>
          <w:u w:val="none"/>
          <w:vertAlign w:val="baseline"/>
        </w:rPr>
        <w:t xml:space="preserve">(3), 299–321. </w:t>
      </w:r>
      <w:r>
        <w:rPr>
          <w:rFonts w:hint="default" w:ascii="Times New Roman" w:hAnsi="Times New Roman" w:cs="Times New Roman"/>
          <w:i w:val="0"/>
          <w:iCs w:val="0"/>
          <w:color w:val="000000"/>
          <w:sz w:val="24"/>
          <w:szCs w:val="24"/>
          <w:u w:val="none"/>
          <w:vertAlign w:val="baseline"/>
        </w:rPr>
        <w:fldChar w:fldCharType="begin"/>
      </w:r>
      <w:r>
        <w:rPr>
          <w:rFonts w:hint="default" w:ascii="Times New Roman" w:hAnsi="Times New Roman" w:cs="Times New Roman"/>
          <w:i w:val="0"/>
          <w:iCs w:val="0"/>
          <w:color w:val="000000"/>
          <w:sz w:val="24"/>
          <w:szCs w:val="24"/>
          <w:u w:val="none"/>
          <w:vertAlign w:val="baseline"/>
        </w:rPr>
        <w:instrText xml:space="preserve"> HYPERLINK "https://doi.org/10.1080/00220272.2012.668938" </w:instrText>
      </w:r>
      <w:r>
        <w:rPr>
          <w:rFonts w:hint="default" w:ascii="Times New Roman" w:hAnsi="Times New Roman" w:cs="Times New Roman"/>
          <w:i w:val="0"/>
          <w:iCs w:val="0"/>
          <w:color w:val="000000"/>
          <w:sz w:val="24"/>
          <w:szCs w:val="24"/>
          <w:u w:val="none"/>
          <w:vertAlign w:val="baseline"/>
        </w:rPr>
        <w:fldChar w:fldCharType="separate"/>
      </w:r>
      <w:r>
        <w:rPr>
          <w:rStyle w:val="10"/>
          <w:rFonts w:hint="default" w:ascii="Times New Roman" w:hAnsi="Times New Roman" w:cs="Times New Roman"/>
          <w:i w:val="0"/>
          <w:iCs w:val="0"/>
          <w:sz w:val="24"/>
          <w:szCs w:val="24"/>
          <w:vertAlign w:val="baseline"/>
        </w:rPr>
        <w:t>https://doi.org/10.1080/00220272.2012.668938</w:t>
      </w:r>
      <w:r>
        <w:rPr>
          <w:rFonts w:hint="default" w:ascii="Times New Roman" w:hAnsi="Times New Roman" w:cs="Times New Roman"/>
          <w:i w:val="0"/>
          <w:iCs w:val="0"/>
          <w:color w:val="00000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lang w:val="en-US"/>
        </w:rPr>
        <w:t xml:space="preserve"> </w:t>
      </w:r>
    </w:p>
    <w:p w14:paraId="32CDD983">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Organisation for Economic Co-operation and Development (OECD). (2023). </w:t>
      </w:r>
      <w:r>
        <w:rPr>
          <w:rFonts w:hint="default" w:ascii="Times New Roman" w:hAnsi="Times New Roman" w:cs="Times New Roman"/>
          <w:i/>
          <w:iCs/>
          <w:color w:val="000000"/>
          <w:sz w:val="24"/>
          <w:szCs w:val="24"/>
          <w:u w:val="none"/>
          <w:vertAlign w:val="baseline"/>
        </w:rPr>
        <w:t>Education at a Glance 2023: OECD indicators</w:t>
      </w:r>
      <w:r>
        <w:rPr>
          <w:rFonts w:hint="default" w:ascii="Times New Roman" w:hAnsi="Times New Roman" w:cs="Times New Roman"/>
          <w:i w:val="0"/>
          <w:iCs w:val="0"/>
          <w:color w:val="000000"/>
          <w:sz w:val="24"/>
          <w:szCs w:val="24"/>
          <w:u w:val="none"/>
          <w:vertAlign w:val="baseline"/>
        </w:rPr>
        <w:t>. OECD Publishing.</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"https://doi.org/10.1787/e13bef63-en"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000000"/>
          <w:sz w:val="24"/>
          <w:szCs w:val="24"/>
          <w:u w:val="none"/>
          <w:vertAlign w:val="baseline"/>
        </w:rPr>
        <w:t xml:space="preserve"> </w:t>
      </w:r>
      <w:r>
        <w:rPr>
          <w:rStyle w:val="10"/>
          <w:rFonts w:hint="default" w:ascii="Times New Roman" w:hAnsi="Times New Roman" w:cs="Times New Roman"/>
          <w:i w:val="0"/>
          <w:iCs w:val="0"/>
          <w:color w:val="1155CC"/>
          <w:sz w:val="24"/>
          <w:szCs w:val="24"/>
          <w:u w:val="single"/>
          <w:vertAlign w:val="baseline"/>
        </w:rPr>
        <w:t>https://doi.org/10.1787/e13bef63-en</w:t>
      </w:r>
      <w:r>
        <w:rPr>
          <w:rFonts w:hint="default" w:ascii="Times New Roman" w:hAnsi="Times New Roman" w:cs="Times New Roman"/>
          <w:i w:val="0"/>
          <w:iCs w:val="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rPr>
        <w:t> </w:t>
      </w:r>
    </w:p>
    <w:p w14:paraId="3B38B836">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Topali, P., Ortega-Arranz, A., Rodríguez-Triana, M. J., Er, E., Khalil, M., &amp; Akçapınar, G. (2024). Designing human-centered learning analytics and artificial intelligence in education solutions: A systematic literature review. </w:t>
      </w:r>
      <w:r>
        <w:rPr>
          <w:rFonts w:hint="default" w:ascii="Times New Roman" w:hAnsi="Times New Roman" w:cs="Times New Roman"/>
          <w:i/>
          <w:iCs/>
          <w:color w:val="000000"/>
          <w:sz w:val="24"/>
          <w:szCs w:val="24"/>
          <w:u w:val="none"/>
          <w:vertAlign w:val="baseline"/>
        </w:rPr>
        <w:t>Behaviour &amp; Information Technology, 44</w:t>
      </w:r>
      <w:r>
        <w:rPr>
          <w:rFonts w:hint="default" w:ascii="Times New Roman" w:hAnsi="Times New Roman" w:cs="Times New Roman"/>
          <w:i w:val="0"/>
          <w:iCs w:val="0"/>
          <w:color w:val="000000"/>
          <w:sz w:val="24"/>
          <w:szCs w:val="24"/>
          <w:u w:val="none"/>
          <w:vertAlign w:val="baseline"/>
        </w:rPr>
        <w:t xml:space="preserve">(5), 1071–1098. </w:t>
      </w:r>
      <w:r>
        <w:rPr>
          <w:rFonts w:hint="default" w:ascii="Times New Roman" w:hAnsi="Times New Roman" w:cs="Times New Roman"/>
          <w:i w:val="0"/>
          <w:iCs w:val="0"/>
          <w:color w:val="000000"/>
          <w:sz w:val="24"/>
          <w:szCs w:val="24"/>
          <w:u w:val="none"/>
          <w:vertAlign w:val="baseline"/>
        </w:rPr>
        <w:fldChar w:fldCharType="begin"/>
      </w:r>
      <w:r>
        <w:rPr>
          <w:rFonts w:hint="default" w:ascii="Times New Roman" w:hAnsi="Times New Roman" w:cs="Times New Roman"/>
          <w:i w:val="0"/>
          <w:iCs w:val="0"/>
          <w:color w:val="000000"/>
          <w:sz w:val="24"/>
          <w:szCs w:val="24"/>
          <w:u w:val="none"/>
          <w:vertAlign w:val="baseline"/>
        </w:rPr>
        <w:instrText xml:space="preserve"> HYPERLINK "https://doi.org/10.1080/0144929X.2024.2345295" </w:instrText>
      </w:r>
      <w:r>
        <w:rPr>
          <w:rFonts w:hint="default" w:ascii="Times New Roman" w:hAnsi="Times New Roman" w:cs="Times New Roman"/>
          <w:i w:val="0"/>
          <w:iCs w:val="0"/>
          <w:color w:val="000000"/>
          <w:sz w:val="24"/>
          <w:szCs w:val="24"/>
          <w:u w:val="none"/>
          <w:vertAlign w:val="baseline"/>
        </w:rPr>
        <w:fldChar w:fldCharType="separate"/>
      </w:r>
      <w:r>
        <w:rPr>
          <w:rStyle w:val="10"/>
          <w:rFonts w:hint="default" w:ascii="Times New Roman" w:hAnsi="Times New Roman" w:cs="Times New Roman"/>
          <w:i w:val="0"/>
          <w:iCs w:val="0"/>
          <w:sz w:val="24"/>
          <w:szCs w:val="24"/>
          <w:vertAlign w:val="baseline"/>
        </w:rPr>
        <w:t>https://doi.org/10.1080/0144929X.2024.2345295</w:t>
      </w:r>
      <w:r>
        <w:rPr>
          <w:rFonts w:hint="default" w:ascii="Times New Roman" w:hAnsi="Times New Roman" w:cs="Times New Roman"/>
          <w:i w:val="0"/>
          <w:iCs w:val="0"/>
          <w:color w:val="00000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lang w:val="en-US"/>
        </w:rPr>
        <w:t xml:space="preserve"> </w:t>
      </w:r>
      <w:r>
        <w:rPr>
          <w:rFonts w:hint="default" w:ascii="Times New Roman" w:hAnsi="Times New Roman" w:cs="Times New Roman"/>
          <w:i w:val="0"/>
          <w:iCs w:val="0"/>
          <w:color w:val="000000"/>
          <w:sz w:val="24"/>
          <w:szCs w:val="24"/>
          <w:u w:val="none"/>
          <w:vertAlign w:val="baseline"/>
        </w:rPr>
        <w:t> </w:t>
      </w:r>
    </w:p>
    <w:p w14:paraId="6A94A98F">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Hu, W., &amp; Chan, C. K. Y. (2025). From user needs to AI solutions: A human-centered design approach for AI-powered virtual teamwork competency training. </w:t>
      </w:r>
      <w:r>
        <w:rPr>
          <w:rFonts w:hint="default" w:ascii="Times New Roman" w:hAnsi="Times New Roman" w:cs="Times New Roman"/>
          <w:i/>
          <w:iCs/>
          <w:color w:val="000000"/>
          <w:sz w:val="24"/>
          <w:szCs w:val="24"/>
          <w:u w:val="none"/>
          <w:vertAlign w:val="baseline"/>
        </w:rPr>
        <w:t>International Journal of Educational Technology in Higher Education, 22</w:t>
      </w:r>
      <w:r>
        <w:rPr>
          <w:rFonts w:hint="default" w:cs="Times New Roman"/>
          <w:i/>
          <w:iCs/>
          <w:color w:val="000000"/>
          <w:sz w:val="24"/>
          <w:szCs w:val="24"/>
          <w:u w:val="none"/>
          <w:vertAlign w:val="baseline"/>
          <w:lang w:val="en-US"/>
        </w:rPr>
        <w:t xml:space="preserve"> </w:t>
      </w:r>
      <w:r>
        <w:rPr>
          <w:rFonts w:hint="default" w:cs="Times New Roman"/>
          <w:i w:val="0"/>
          <w:iCs w:val="0"/>
          <w:color w:val="000000"/>
          <w:sz w:val="24"/>
          <w:szCs w:val="24"/>
          <w:u w:val="none"/>
          <w:vertAlign w:val="baseline"/>
          <w:lang w:val="en-US"/>
        </w:rPr>
        <w:t>(1)</w:t>
      </w:r>
      <w:r>
        <w:rPr>
          <w:rFonts w:hint="default" w:ascii="Times New Roman" w:hAnsi="Times New Roman" w:cs="Times New Roman"/>
          <w:i w:val="0"/>
          <w:iCs w:val="0"/>
          <w:color w:val="000000"/>
          <w:sz w:val="24"/>
          <w:szCs w:val="24"/>
          <w:u w:val="none"/>
          <w:vertAlign w:val="baseline"/>
        </w:rPr>
        <w:t>,</w:t>
      </w:r>
      <w:r>
        <w:rPr>
          <w:rFonts w:hint="default" w:cs="Times New Roman"/>
          <w:i w:val="0"/>
          <w:iCs w:val="0"/>
          <w:color w:val="000000"/>
          <w:sz w:val="24"/>
          <w:szCs w:val="24"/>
          <w:u w:val="none"/>
          <w:vertAlign w:val="baseline"/>
          <w:lang w:val="en-US"/>
        </w:rPr>
        <w:t xml:space="preserve"> </w:t>
      </w:r>
      <w:r>
        <w:rPr>
          <w:rFonts w:hint="default" w:ascii="Times New Roman" w:hAnsi="Times New Roman" w:cs="Times New Roman"/>
          <w:i w:val="0"/>
          <w:iCs w:val="0"/>
          <w:color w:val="000000"/>
          <w:sz w:val="24"/>
          <w:szCs w:val="24"/>
          <w:u w:val="none"/>
          <w:vertAlign w:val="baseline"/>
        </w:rPr>
        <w:t xml:space="preserve">52. </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"https://doi.org/10.1186/s41239-025-00551-z"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1155CC"/>
          <w:sz w:val="24"/>
          <w:szCs w:val="24"/>
          <w:u w:val="single"/>
          <w:vertAlign w:val="baseline"/>
        </w:rPr>
        <w:t>https://doi.org/10.1186/s41239-025-00551-z</w:t>
      </w:r>
      <w:r>
        <w:rPr>
          <w:rFonts w:hint="default" w:ascii="Times New Roman" w:hAnsi="Times New Roman" w:cs="Times New Roman"/>
          <w:i w:val="0"/>
          <w:iCs w:val="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rPr>
        <w:t> </w:t>
      </w:r>
    </w:p>
    <w:p w14:paraId="56457914">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i w:val="0"/>
          <w:iCs w:val="0"/>
          <w:color w:val="000000"/>
          <w:sz w:val="24"/>
          <w:szCs w:val="24"/>
          <w:u w:val="none"/>
          <w:vertAlign w:val="baseline"/>
        </w:rPr>
        <w:t xml:space="preserve">González-Rico, P., &amp; Lluch Sintes, J. (2024). Educational innovation and contextual constraints in digital transformation. </w:t>
      </w:r>
      <w:r>
        <w:rPr>
          <w:rFonts w:hint="default" w:ascii="Times New Roman" w:hAnsi="Times New Roman" w:cs="Times New Roman"/>
          <w:i/>
          <w:iCs/>
          <w:color w:val="000000"/>
          <w:sz w:val="24"/>
          <w:szCs w:val="24"/>
          <w:u w:val="none"/>
          <w:vertAlign w:val="baseline"/>
        </w:rPr>
        <w:t>Educational Technology Research and Development, 72</w:t>
      </w:r>
      <w:r>
        <w:rPr>
          <w:rFonts w:hint="default" w:ascii="Times New Roman" w:hAnsi="Times New Roman" w:cs="Times New Roman"/>
          <w:i w:val="0"/>
          <w:iCs w:val="0"/>
          <w:color w:val="000000"/>
          <w:sz w:val="24"/>
          <w:szCs w:val="24"/>
          <w:u w:val="none"/>
          <w:vertAlign w:val="baseline"/>
        </w:rPr>
        <w:t xml:space="preserve">(2), 345–362. </w:t>
      </w:r>
      <w:r>
        <w:rPr>
          <w:rFonts w:hint="default" w:ascii="Times New Roman" w:hAnsi="Times New Roman" w:cs="Times New Roman"/>
          <w:i w:val="0"/>
          <w:iCs w:val="0"/>
          <w:color w:val="000000"/>
          <w:sz w:val="24"/>
          <w:szCs w:val="24"/>
          <w:u w:val="none"/>
          <w:vertAlign w:val="baseline"/>
        </w:rPr>
        <w:fldChar w:fldCharType="begin"/>
      </w:r>
      <w:r>
        <w:rPr>
          <w:rFonts w:hint="default" w:ascii="Times New Roman" w:hAnsi="Times New Roman" w:cs="Times New Roman"/>
          <w:i w:val="0"/>
          <w:iCs w:val="0"/>
          <w:color w:val="000000"/>
          <w:sz w:val="24"/>
          <w:szCs w:val="24"/>
          <w:u w:val="none"/>
          <w:vertAlign w:val="baseline"/>
        </w:rPr>
        <w:instrText xml:space="preserve"> HYPERLINK "https://doi.org/10.1007/s11423-024-10234-8" </w:instrText>
      </w:r>
      <w:r>
        <w:rPr>
          <w:rFonts w:hint="default" w:ascii="Times New Roman" w:hAnsi="Times New Roman" w:cs="Times New Roman"/>
          <w:i w:val="0"/>
          <w:iCs w:val="0"/>
          <w:color w:val="000000"/>
          <w:sz w:val="24"/>
          <w:szCs w:val="24"/>
          <w:u w:val="none"/>
          <w:vertAlign w:val="baseline"/>
        </w:rPr>
        <w:fldChar w:fldCharType="separate"/>
      </w:r>
      <w:r>
        <w:rPr>
          <w:rStyle w:val="10"/>
          <w:rFonts w:hint="default" w:ascii="Times New Roman" w:hAnsi="Times New Roman" w:cs="Times New Roman"/>
          <w:i w:val="0"/>
          <w:iCs w:val="0"/>
          <w:sz w:val="24"/>
          <w:szCs w:val="24"/>
          <w:vertAlign w:val="baseline"/>
        </w:rPr>
        <w:t>https://doi.org/10.1007/s11423-024-10234-8</w:t>
      </w:r>
      <w:r>
        <w:rPr>
          <w:rFonts w:hint="default" w:ascii="Times New Roman" w:hAnsi="Times New Roman" w:cs="Times New Roman"/>
          <w:i w:val="0"/>
          <w:iCs w:val="0"/>
          <w:color w:val="00000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lang w:val="en-US"/>
        </w:rPr>
        <w:t xml:space="preserve"> </w:t>
      </w:r>
    </w:p>
    <w:p w14:paraId="27B6A7F8">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OECD. (2019). </w:t>
      </w:r>
      <w:r>
        <w:rPr>
          <w:rFonts w:hint="default" w:ascii="Times New Roman" w:hAnsi="Times New Roman" w:cs="Times New Roman"/>
          <w:i/>
          <w:iCs/>
          <w:color w:val="000000"/>
          <w:sz w:val="24"/>
          <w:szCs w:val="24"/>
          <w:u w:val="none"/>
          <w:vertAlign w:val="baseline"/>
        </w:rPr>
        <w:t>OECD learning compass 2030: A framework for future learning</w:t>
      </w:r>
      <w:r>
        <w:rPr>
          <w:rFonts w:hint="default" w:ascii="Times New Roman" w:hAnsi="Times New Roman" w:cs="Times New Roman"/>
          <w:i w:val="0"/>
          <w:iCs w:val="0"/>
          <w:color w:val="000000"/>
          <w:sz w:val="24"/>
          <w:szCs w:val="24"/>
          <w:u w:val="none"/>
          <w:vertAlign w:val="baseline"/>
        </w:rPr>
        <w:t>. Organisation for Economic Co-operation and Development.</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"https://www.oecd.org/education/2030-project/"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sz w:val="24"/>
          <w:szCs w:val="24"/>
          <w:u w:val="none"/>
          <w:vertAlign w:val="baseline"/>
        </w:rPr>
        <w:fldChar w:fldCharType="end"/>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"https://www.oecd.org/education/2030-project"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1155CC"/>
          <w:sz w:val="24"/>
          <w:szCs w:val="24"/>
          <w:u w:val="single"/>
          <w:vertAlign w:val="baseline"/>
        </w:rPr>
        <w:t>https://www.oecd.org/education/2030-project</w:t>
      </w:r>
      <w:r>
        <w:rPr>
          <w:rFonts w:hint="default" w:ascii="Times New Roman" w:hAnsi="Times New Roman" w:cs="Times New Roman"/>
          <w:i w:val="0"/>
          <w:iCs w:val="0"/>
          <w:sz w:val="24"/>
          <w:szCs w:val="24"/>
          <w:u w:val="none"/>
          <w:vertAlign w:val="baseline"/>
        </w:rPr>
        <w:fldChar w:fldCharType="end"/>
      </w:r>
    </w:p>
    <w:p w14:paraId="5A9A6BC6">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333333"/>
          <w:sz w:val="24"/>
          <w:szCs w:val="24"/>
          <w:u w:val="none"/>
          <w:shd w:val="clear" w:color="auto" w:fill="FFFFFF"/>
          <w:vertAlign w:val="baseline"/>
        </w:rPr>
        <w:t xml:space="preserve">Ryan, R. M., &amp; Deci, E. L. (2017). </w:t>
      </w:r>
      <w:r>
        <w:rPr>
          <w:rFonts w:hint="default" w:ascii="Times New Roman" w:hAnsi="Times New Roman" w:cs="Times New Roman"/>
          <w:i/>
          <w:iCs/>
          <w:color w:val="333333"/>
          <w:sz w:val="24"/>
          <w:szCs w:val="24"/>
          <w:u w:val="none"/>
          <w:shd w:val="clear" w:color="auto" w:fill="FFFFFF"/>
          <w:vertAlign w:val="baseline"/>
        </w:rPr>
        <w:t>Self-determination theory: Basic psychological needs in motivation, development, and wellness.</w:t>
      </w:r>
      <w:r>
        <w:rPr>
          <w:rFonts w:hint="default" w:ascii="Times New Roman" w:hAnsi="Times New Roman" w:cs="Times New Roman"/>
          <w:i w:val="0"/>
          <w:iCs w:val="0"/>
          <w:color w:val="333333"/>
          <w:sz w:val="24"/>
          <w:szCs w:val="24"/>
          <w:u w:val="none"/>
          <w:shd w:val="clear" w:color="auto" w:fill="FFFFFF"/>
          <w:vertAlign w:val="baseline"/>
        </w:rPr>
        <w:t xml:space="preserve"> The Guilford Press. </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"https://psycnet.apa.org/doi/10.1521/978.14625/28806"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2C72B7"/>
          <w:sz w:val="24"/>
          <w:szCs w:val="24"/>
          <w:u w:val="none"/>
          <w:shd w:val="clear" w:color="auto" w:fill="FFFFFF"/>
          <w:vertAlign w:val="baseline"/>
        </w:rPr>
        <w:t>https://doi.org/10.1521/978.14625/28806</w:t>
      </w:r>
      <w:r>
        <w:rPr>
          <w:rFonts w:hint="default" w:ascii="Times New Roman" w:hAnsi="Times New Roman" w:cs="Times New Roman"/>
          <w:i w:val="0"/>
          <w:iCs w:val="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rPr>
        <w:t> </w:t>
      </w:r>
    </w:p>
    <w:p w14:paraId="7BB6D896">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Aelterman, N., Vansteenkiste, M., Haerens, L., Soenens, B., Fontaine, J. R. J., &amp; Reeve, J. (20</w:t>
      </w:r>
      <w:r>
        <w:rPr>
          <w:rFonts w:hint="default" w:cs="Times New Roman"/>
          <w:i w:val="0"/>
          <w:iCs w:val="0"/>
          <w:color w:val="000000"/>
          <w:sz w:val="24"/>
          <w:szCs w:val="24"/>
          <w:u w:val="none"/>
          <w:vertAlign w:val="baseline"/>
          <w:lang w:val="en-US"/>
        </w:rPr>
        <w:t>19</w:t>
      </w:r>
      <w:r>
        <w:rPr>
          <w:rFonts w:hint="default" w:ascii="Times New Roman" w:hAnsi="Times New Roman" w:cs="Times New Roman"/>
          <w:i w:val="0"/>
          <w:iCs w:val="0"/>
          <w:color w:val="000000"/>
          <w:sz w:val="24"/>
          <w:szCs w:val="24"/>
          <w:u w:val="none"/>
          <w:vertAlign w:val="baseline"/>
        </w:rPr>
        <w:t>). Toward an integrative and fine-grained insight in motivating and demotivating teaching styles: The merits of a circumplex approach</w:t>
      </w:r>
      <w:r>
        <w:rPr>
          <w:rFonts w:hint="default" w:cs="Times New Roman"/>
          <w:i w:val="0"/>
          <w:iCs w:val="0"/>
          <w:color w:val="000000"/>
          <w:sz w:val="24"/>
          <w:szCs w:val="24"/>
          <w:u w:val="none"/>
          <w:vertAlign w:val="baseline"/>
          <w:lang w:val="en-US"/>
        </w:rPr>
        <w:t xml:space="preserve">. </w:t>
      </w:r>
      <w:r>
        <w:rPr>
          <w:rStyle w:val="7"/>
          <w:rFonts w:ascii="SimSun" w:hAnsi="SimSun" w:eastAsia="SimSun" w:cs="SimSun"/>
          <w:sz w:val="24"/>
          <w:szCs w:val="24"/>
        </w:rPr>
        <w:t>J</w:t>
      </w:r>
      <w:r>
        <w:rPr>
          <w:rStyle w:val="7"/>
          <w:rFonts w:hint="default" w:ascii="Times New Roman" w:hAnsi="Times New Roman" w:eastAsia="SimSun" w:cs="Times New Roman"/>
          <w:sz w:val="24"/>
          <w:szCs w:val="24"/>
        </w:rPr>
        <w:t>ournal of Educational</w:t>
      </w:r>
      <w:r>
        <w:rPr>
          <w:rStyle w:val="7"/>
          <w:rFonts w:hint="default" w:cs="Times New Roman"/>
          <w:sz w:val="24"/>
          <w:szCs w:val="24"/>
          <w:lang w:val="en-US"/>
        </w:rPr>
        <w:t xml:space="preserve"> </w:t>
      </w:r>
      <w:r>
        <w:rPr>
          <w:rStyle w:val="7"/>
          <w:rFonts w:hint="default" w:ascii="Times New Roman" w:hAnsi="Times New Roman" w:eastAsia="SimSun" w:cs="Times New Roman"/>
          <w:sz w:val="24"/>
          <w:szCs w:val="24"/>
        </w:rPr>
        <w:t>Psychology, 111</w:t>
      </w:r>
      <w:r>
        <w:rPr>
          <w:rFonts w:hint="default" w:ascii="Times New Roman" w:hAnsi="Times New Roman" w:eastAsia="SimSun" w:cs="Times New Roman"/>
          <w:sz w:val="24"/>
          <w:szCs w:val="24"/>
        </w:rPr>
        <w:t>(3), 497–521</w:t>
      </w:r>
      <w:r>
        <w:rPr>
          <w:rFonts w:ascii="SimSun" w:hAnsi="SimSun" w:eastAsia="SimSun" w:cs="SimSun"/>
          <w:sz w:val="24"/>
          <w:szCs w:val="24"/>
        </w:rPr>
        <w:t xml:space="preserve">. </w:t>
      </w:r>
      <w:r>
        <w:rPr>
          <w:rFonts w:ascii="SimSun" w:hAnsi="SimSun" w:eastAsia="SimSun" w:cs="SimSun"/>
          <w:sz w:val="24"/>
          <w:szCs w:val="24"/>
        </w:rPr>
        <w:fldChar w:fldCharType="begin"/>
      </w:r>
      <w:r>
        <w:rPr>
          <w:rFonts w:ascii="SimSun" w:hAnsi="SimSun" w:eastAsia="SimSun" w:cs="SimSun"/>
          <w:sz w:val="24"/>
          <w:szCs w:val="24"/>
        </w:rPr>
        <w:instrText xml:space="preserve"> HYPERLINK "https://doi.org/10.1037/edu0000293" \t "_new" </w:instrText>
      </w:r>
      <w:r>
        <w:rPr>
          <w:rFonts w:ascii="SimSun" w:hAnsi="SimSun" w:eastAsia="SimSun" w:cs="SimSun"/>
          <w:sz w:val="24"/>
          <w:szCs w:val="24"/>
        </w:rPr>
        <w:fldChar w:fldCharType="separate"/>
      </w:r>
      <w:r>
        <w:rPr>
          <w:rStyle w:val="10"/>
          <w:rFonts w:ascii="SimSun" w:hAnsi="SimSun" w:eastAsia="SimSun" w:cs="SimSun"/>
          <w:sz w:val="24"/>
          <w:szCs w:val="24"/>
        </w:rPr>
        <w:t>https://doi.org/10.1037/edu000029</w:t>
      </w:r>
      <w:r>
        <w:rPr>
          <w:rFonts w:ascii="SimSun" w:hAnsi="SimSun" w:eastAsia="SimSun" w:cs="SimSun"/>
          <w:sz w:val="24"/>
          <w:szCs w:val="24"/>
        </w:rPr>
        <w:fldChar w:fldCharType="end"/>
      </w:r>
      <w:r>
        <w:rPr>
          <w:rFonts w:hint="default" w:ascii="SimSun" w:hAnsi="SimSun" w:cs="SimSun"/>
          <w:sz w:val="24"/>
          <w:szCs w:val="24"/>
          <w:lang w:val="en-US"/>
        </w:rPr>
        <w:t>3</w:t>
      </w:r>
    </w:p>
    <w:p w14:paraId="57EEB382">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Patall, E. A., Cooper, H., &amp; Wynn, S. R. (2024). Autonomy-supportive instruction and student motivation: A meta-analytic review. </w:t>
      </w:r>
      <w:r>
        <w:rPr>
          <w:rFonts w:hint="default" w:ascii="Times New Roman" w:hAnsi="Times New Roman" w:cs="Times New Roman"/>
          <w:i/>
          <w:iCs/>
          <w:color w:val="000000"/>
          <w:sz w:val="24"/>
          <w:szCs w:val="24"/>
          <w:u w:val="none"/>
          <w:vertAlign w:val="baseline"/>
        </w:rPr>
        <w:t>Scientific Reports, 14</w:t>
      </w:r>
      <w:r>
        <w:rPr>
          <w:rFonts w:hint="default" w:ascii="Times New Roman" w:hAnsi="Times New Roman" w:cs="Times New Roman"/>
          <w:i w:val="0"/>
          <w:iCs w:val="0"/>
          <w:color w:val="000000"/>
          <w:sz w:val="24"/>
          <w:szCs w:val="24"/>
          <w:u w:val="none"/>
          <w:vertAlign w:val="baseline"/>
        </w:rPr>
        <w:t>, Article 74878.</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"https://doi.org/10.1038/s41598-024-74878-4"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000000"/>
          <w:sz w:val="24"/>
          <w:szCs w:val="24"/>
          <w:u w:val="none"/>
          <w:vertAlign w:val="baseline"/>
        </w:rPr>
        <w:t xml:space="preserve"> </w:t>
      </w:r>
      <w:r>
        <w:rPr>
          <w:rStyle w:val="10"/>
          <w:rFonts w:hint="default" w:ascii="Times New Roman" w:hAnsi="Times New Roman" w:cs="Times New Roman"/>
          <w:i w:val="0"/>
          <w:iCs w:val="0"/>
          <w:color w:val="1155CC"/>
          <w:sz w:val="24"/>
          <w:szCs w:val="24"/>
          <w:u w:val="single"/>
          <w:vertAlign w:val="baseline"/>
        </w:rPr>
        <w:t>https://doi.org/10.1038/s41598-024-74878-4</w:t>
      </w:r>
      <w:r>
        <w:rPr>
          <w:rFonts w:hint="default" w:ascii="Times New Roman" w:hAnsi="Times New Roman" w:cs="Times New Roman"/>
          <w:i w:val="0"/>
          <w:iCs w:val="0"/>
          <w:sz w:val="24"/>
          <w:szCs w:val="24"/>
          <w:u w:val="none"/>
          <w:vertAlign w:val="baseline"/>
        </w:rPr>
        <w:fldChar w:fldCharType="end"/>
      </w:r>
    </w:p>
    <w:p w14:paraId="1A7062A1">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lang w:val="en-US"/>
        </w:rPr>
      </w:pPr>
      <w:r>
        <w:rPr>
          <w:rFonts w:hint="default" w:ascii="Times New Roman" w:hAnsi="Times New Roman" w:cs="Times New Roman"/>
          <w:i w:val="0"/>
          <w:iCs w:val="0"/>
          <w:color w:val="000000"/>
          <w:sz w:val="24"/>
          <w:szCs w:val="24"/>
          <w:u w:val="none"/>
          <w:vertAlign w:val="baseline"/>
        </w:rPr>
        <w:t xml:space="preserve">Partnership for 21st Century Learning. (2019). </w:t>
      </w:r>
      <w:r>
        <w:rPr>
          <w:rFonts w:hint="default" w:ascii="Times New Roman" w:hAnsi="Times New Roman" w:cs="Times New Roman"/>
          <w:i/>
          <w:iCs/>
          <w:color w:val="000000"/>
          <w:sz w:val="24"/>
          <w:szCs w:val="24"/>
          <w:u w:val="none"/>
          <w:vertAlign w:val="baseline"/>
        </w:rPr>
        <w:t>Framework for 21st century learning</w:t>
      </w:r>
      <w:r>
        <w:rPr>
          <w:rFonts w:hint="default" w:ascii="Times New Roman" w:hAnsi="Times New Roman" w:cs="Times New Roman"/>
          <w:i w:val="0"/>
          <w:iCs w:val="0"/>
          <w:color w:val="000000"/>
          <w:sz w:val="24"/>
          <w:szCs w:val="24"/>
          <w:u w:val="none"/>
          <w:vertAlign w:val="baseline"/>
        </w:rPr>
        <w:t xml:space="preserve">. </w:t>
      </w:r>
      <w:r>
        <w:rPr>
          <w:rFonts w:hint="default" w:ascii="Times New Roman" w:hAnsi="Times New Roman" w:cs="Times New Roman"/>
          <w:i w:val="0"/>
          <w:iCs w:val="0"/>
          <w:color w:val="000000"/>
          <w:sz w:val="24"/>
          <w:szCs w:val="24"/>
          <w:u w:val="none"/>
          <w:vertAlign w:val="baseline"/>
        </w:rPr>
        <w:fldChar w:fldCharType="begin"/>
      </w:r>
      <w:r>
        <w:rPr>
          <w:rFonts w:hint="default" w:ascii="Times New Roman" w:hAnsi="Times New Roman" w:cs="Times New Roman"/>
          <w:i w:val="0"/>
          <w:iCs w:val="0"/>
          <w:color w:val="000000"/>
          <w:sz w:val="24"/>
          <w:szCs w:val="24"/>
          <w:u w:val="none"/>
          <w:vertAlign w:val="baseline"/>
        </w:rPr>
        <w:instrText xml:space="preserve"> HYPERLINK "http://www.battelleforkids.org" </w:instrText>
      </w:r>
      <w:r>
        <w:rPr>
          <w:rFonts w:hint="default" w:ascii="Times New Roman" w:hAnsi="Times New Roman" w:cs="Times New Roman"/>
          <w:i w:val="0"/>
          <w:iCs w:val="0"/>
          <w:color w:val="000000"/>
          <w:sz w:val="24"/>
          <w:szCs w:val="24"/>
          <w:u w:val="none"/>
          <w:vertAlign w:val="baseline"/>
        </w:rPr>
        <w:fldChar w:fldCharType="separate"/>
      </w:r>
      <w:r>
        <w:rPr>
          <w:rStyle w:val="10"/>
          <w:rFonts w:hint="default" w:ascii="Times New Roman" w:hAnsi="Times New Roman" w:cs="Times New Roman"/>
          <w:i w:val="0"/>
          <w:iCs w:val="0"/>
          <w:sz w:val="24"/>
          <w:szCs w:val="24"/>
          <w:vertAlign w:val="baseline"/>
        </w:rPr>
        <w:t>http://www.battelleforkids.org</w:t>
      </w:r>
      <w:r>
        <w:rPr>
          <w:rFonts w:hint="default" w:ascii="Times New Roman" w:hAnsi="Times New Roman" w:cs="Times New Roman"/>
          <w:i w:val="0"/>
          <w:iCs w:val="0"/>
          <w:color w:val="00000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lang w:val="en-US"/>
        </w:rPr>
        <w:t xml:space="preserve"> </w:t>
      </w:r>
    </w:p>
    <w:p w14:paraId="17AF9321">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Schmid, R., Brianza, E., &amp; Petko, D. (2024). Developing 21st-century skills through digital learning: A meta-analysis. </w:t>
      </w:r>
      <w:r>
        <w:rPr>
          <w:rFonts w:hint="default" w:ascii="Times New Roman" w:hAnsi="Times New Roman" w:cs="Times New Roman"/>
          <w:i/>
          <w:iCs/>
          <w:color w:val="000000"/>
          <w:sz w:val="24"/>
          <w:szCs w:val="24"/>
          <w:u w:val="none"/>
          <w:vertAlign w:val="baseline"/>
        </w:rPr>
        <w:t>Computers &amp; Education, 200</w:t>
      </w:r>
      <w:r>
        <w:rPr>
          <w:rFonts w:hint="default" w:ascii="Times New Roman" w:hAnsi="Times New Roman" w:cs="Times New Roman"/>
          <w:i w:val="0"/>
          <w:iCs w:val="0"/>
          <w:color w:val="000000"/>
          <w:sz w:val="24"/>
          <w:szCs w:val="24"/>
          <w:u w:val="none"/>
          <w:vertAlign w:val="baseline"/>
        </w:rPr>
        <w:t xml:space="preserve">, 104828. </w:t>
      </w:r>
      <w:r>
        <w:rPr>
          <w:rFonts w:hint="default" w:ascii="Times New Roman" w:hAnsi="Times New Roman" w:cs="Times New Roman"/>
          <w:i w:val="0"/>
          <w:iCs w:val="0"/>
          <w:color w:val="000000"/>
          <w:sz w:val="24"/>
          <w:szCs w:val="24"/>
          <w:u w:val="none"/>
          <w:vertAlign w:val="baseline"/>
        </w:rPr>
        <w:fldChar w:fldCharType="begin"/>
      </w:r>
      <w:r>
        <w:rPr>
          <w:rFonts w:hint="default" w:ascii="Times New Roman" w:hAnsi="Times New Roman" w:cs="Times New Roman"/>
          <w:i w:val="0"/>
          <w:iCs w:val="0"/>
          <w:color w:val="000000"/>
          <w:sz w:val="24"/>
          <w:szCs w:val="24"/>
          <w:u w:val="none"/>
          <w:vertAlign w:val="baseline"/>
        </w:rPr>
        <w:instrText xml:space="preserve"> HYPERLINK "https://doi.org/10.1016/j.compedu.2023.104828" </w:instrText>
      </w:r>
      <w:r>
        <w:rPr>
          <w:rFonts w:hint="default" w:ascii="Times New Roman" w:hAnsi="Times New Roman" w:cs="Times New Roman"/>
          <w:i w:val="0"/>
          <w:iCs w:val="0"/>
          <w:color w:val="000000"/>
          <w:sz w:val="24"/>
          <w:szCs w:val="24"/>
          <w:u w:val="none"/>
          <w:vertAlign w:val="baseline"/>
        </w:rPr>
        <w:fldChar w:fldCharType="separate"/>
      </w:r>
      <w:r>
        <w:rPr>
          <w:rStyle w:val="10"/>
          <w:rFonts w:hint="default" w:ascii="Times New Roman" w:hAnsi="Times New Roman" w:cs="Times New Roman"/>
          <w:i w:val="0"/>
          <w:iCs w:val="0"/>
          <w:sz w:val="24"/>
          <w:szCs w:val="24"/>
          <w:vertAlign w:val="baseline"/>
        </w:rPr>
        <w:t>https://doi.org/10.1016/j.compedu.2023.104828</w:t>
      </w:r>
      <w:r>
        <w:rPr>
          <w:rFonts w:hint="default" w:ascii="Times New Roman" w:hAnsi="Times New Roman" w:cs="Times New Roman"/>
          <w:i w:val="0"/>
          <w:iCs w:val="0"/>
          <w:color w:val="000000"/>
          <w:sz w:val="24"/>
          <w:szCs w:val="24"/>
          <w:u w:val="none"/>
          <w:vertAlign w:val="baseline"/>
        </w:rPr>
        <w:fldChar w:fldCharType="end"/>
      </w:r>
      <w:r>
        <w:rPr>
          <w:rFonts w:hint="default" w:ascii="Times New Roman" w:hAnsi="Times New Roman" w:cs="Times New Roman"/>
          <w:i w:val="0"/>
          <w:iCs w:val="0"/>
          <w:color w:val="000000"/>
          <w:sz w:val="24"/>
          <w:szCs w:val="24"/>
          <w:u w:val="none"/>
          <w:vertAlign w:val="baseline"/>
          <w:lang w:val="en-US"/>
        </w:rPr>
        <w:t xml:space="preserve"> </w:t>
      </w:r>
      <w:r>
        <w:rPr>
          <w:rFonts w:hint="default" w:ascii="Times New Roman" w:hAnsi="Times New Roman" w:cs="Times New Roman"/>
          <w:i w:val="0"/>
          <w:iCs w:val="0"/>
          <w:color w:val="000000"/>
          <w:sz w:val="24"/>
          <w:szCs w:val="24"/>
          <w:u w:val="none"/>
          <w:vertAlign w:val="baseline"/>
        </w:rPr>
        <w:t> </w:t>
      </w:r>
    </w:p>
    <w:p w14:paraId="523DFDA8">
      <w:pPr>
        <w:pStyle w:val="11"/>
        <w:keepNext w:val="0"/>
        <w:keepLines w:val="0"/>
        <w:pageBreakBefore w:val="0"/>
        <w:widowControl/>
        <w:numPr>
          <w:ilvl w:val="0"/>
          <w:numId w:val="3"/>
        </w:numPr>
        <w:suppressLineNumbers w:val="0"/>
        <w:tabs>
          <w:tab w:val="clear" w:pos="425"/>
        </w:tabs>
        <w:kinsoku/>
        <w:wordWrap/>
        <w:overflowPunct/>
        <w:topLinePunct w:val="0"/>
        <w:autoSpaceDE/>
        <w:autoSpaceDN/>
        <w:bidi w:val="0"/>
        <w:adjustRightInd/>
        <w:snapToGrid/>
        <w:spacing w:before="240" w:beforeAutospacing="0" w:after="240" w:afterAutospacing="0" w:line="240" w:lineRule="auto"/>
        <w:ind w:left="425" w:leftChars="0" w:right="0" w:rightChars="0" w:hanging="425" w:firstLineChars="0"/>
        <w:jc w:val="both"/>
        <w:textAlignment w:val="auto"/>
        <w:rPr>
          <w:rFonts w:hint="default" w:ascii="Times New Roman" w:hAnsi="Times New Roman" w:cs="Times New Roman"/>
          <w:sz w:val="24"/>
          <w:szCs w:val="24"/>
        </w:rPr>
      </w:pPr>
      <w:r>
        <w:rPr>
          <w:rFonts w:hint="default" w:ascii="Times New Roman" w:hAnsi="Times New Roman" w:cs="Times New Roman"/>
          <w:i w:val="0"/>
          <w:iCs w:val="0"/>
          <w:color w:val="000000"/>
          <w:sz w:val="24"/>
          <w:szCs w:val="24"/>
          <w:u w:val="none"/>
          <w:vertAlign w:val="baseline"/>
        </w:rPr>
        <w:t xml:space="preserve">Braun, V., &amp; Clarke, V. (2006). Using thematic analysis in psychology. </w:t>
      </w:r>
      <w:r>
        <w:rPr>
          <w:rFonts w:hint="default" w:ascii="Times New Roman" w:hAnsi="Times New Roman" w:cs="Times New Roman"/>
          <w:i/>
          <w:iCs/>
          <w:color w:val="000000"/>
          <w:sz w:val="24"/>
          <w:szCs w:val="24"/>
          <w:u w:val="none"/>
          <w:vertAlign w:val="baseline"/>
        </w:rPr>
        <w:t>Qualitative Research in Psychology, 3</w:t>
      </w:r>
      <w:r>
        <w:rPr>
          <w:rFonts w:hint="default" w:ascii="Times New Roman" w:hAnsi="Times New Roman" w:cs="Times New Roman"/>
          <w:i w:val="0"/>
          <w:iCs w:val="0"/>
          <w:color w:val="000000"/>
          <w:sz w:val="24"/>
          <w:szCs w:val="24"/>
          <w:u w:val="none"/>
          <w:vertAlign w:val="baseline"/>
        </w:rPr>
        <w:t>(2), 77–101.</w:t>
      </w:r>
      <w:r>
        <w:rPr>
          <w:rFonts w:hint="default" w:ascii="Times New Roman" w:hAnsi="Times New Roman" w:cs="Times New Roman"/>
          <w:i w:val="0"/>
          <w:iCs w:val="0"/>
          <w:sz w:val="24"/>
          <w:szCs w:val="24"/>
          <w:u w:val="none"/>
          <w:vertAlign w:val="baseline"/>
        </w:rPr>
        <w:fldChar w:fldCharType="begin"/>
      </w:r>
      <w:r>
        <w:rPr>
          <w:rFonts w:hint="default" w:ascii="Times New Roman" w:hAnsi="Times New Roman" w:cs="Times New Roman"/>
          <w:i w:val="0"/>
          <w:iCs w:val="0"/>
          <w:sz w:val="24"/>
          <w:szCs w:val="24"/>
          <w:u w:val="none"/>
          <w:vertAlign w:val="baseline"/>
        </w:rPr>
        <w:instrText xml:space="preserve"> HYPERLINK "https://doi.org/10.1191/1478088706qp063oa" </w:instrText>
      </w:r>
      <w:r>
        <w:rPr>
          <w:rFonts w:hint="default" w:ascii="Times New Roman" w:hAnsi="Times New Roman" w:cs="Times New Roman"/>
          <w:i w:val="0"/>
          <w:iCs w:val="0"/>
          <w:sz w:val="24"/>
          <w:szCs w:val="24"/>
          <w:u w:val="none"/>
          <w:vertAlign w:val="baseline"/>
        </w:rPr>
        <w:fldChar w:fldCharType="separate"/>
      </w:r>
      <w:r>
        <w:rPr>
          <w:rStyle w:val="10"/>
          <w:rFonts w:hint="default" w:ascii="Times New Roman" w:hAnsi="Times New Roman" w:cs="Times New Roman"/>
          <w:i w:val="0"/>
          <w:iCs w:val="0"/>
          <w:color w:val="000000"/>
          <w:sz w:val="24"/>
          <w:szCs w:val="24"/>
          <w:u w:val="none"/>
          <w:vertAlign w:val="baseline"/>
        </w:rPr>
        <w:t xml:space="preserve"> </w:t>
      </w:r>
      <w:r>
        <w:rPr>
          <w:rStyle w:val="10"/>
          <w:rFonts w:hint="default" w:ascii="Times New Roman" w:hAnsi="Times New Roman" w:cs="Times New Roman"/>
          <w:i w:val="0"/>
          <w:iCs w:val="0"/>
          <w:color w:val="1155CC"/>
          <w:sz w:val="24"/>
          <w:szCs w:val="24"/>
          <w:u w:val="none"/>
          <w:vertAlign w:val="baseline"/>
        </w:rPr>
        <w:t>https://doi.org/10.1191/1478088706qp063oa</w:t>
      </w:r>
      <w:r>
        <w:rPr>
          <w:rFonts w:hint="default" w:ascii="Times New Roman" w:hAnsi="Times New Roman" w:cs="Times New Roman"/>
          <w:i w:val="0"/>
          <w:iCs w:val="0"/>
          <w:sz w:val="24"/>
          <w:szCs w:val="24"/>
          <w:u w:val="none"/>
          <w:vertAlign w:val="baseline"/>
        </w:rPr>
        <w:fldChar w:fldCharType="end"/>
      </w:r>
      <w:r>
        <w:rPr>
          <w:rFonts w:hint="default" w:ascii="Times New Roman" w:hAnsi="Times New Roman" w:cs="Times New Roman"/>
          <w:i w:val="0"/>
          <w:iCs w:val="0"/>
          <w:sz w:val="24"/>
          <w:szCs w:val="24"/>
          <w:u w:val="none"/>
          <w:vertAlign w:val="baseline"/>
          <w:lang w:val="en-US"/>
        </w:rPr>
        <w:t xml:space="preserve"> </w:t>
      </w:r>
      <w:r>
        <w:rPr>
          <w:rFonts w:hint="default" w:ascii="Times New Roman" w:hAnsi="Times New Roman" w:cs="Times New Roman"/>
          <w:i w:val="0"/>
          <w:iCs w:val="0"/>
          <w:color w:val="000000"/>
          <w:sz w:val="24"/>
          <w:szCs w:val="24"/>
          <w:u w:val="none"/>
          <w:vertAlign w:val="baseline"/>
        </w:rPr>
        <w:t> </w:t>
      </w:r>
    </w:p>
    <w:sectPr>
      <w:footerReference r:id="rId3" w:type="default"/>
      <w:pgSz w:w="11906" w:h="16838"/>
      <w:pgMar w:top="1094" w:right="605" w:bottom="605" w:left="605" w:header="346" w:footer="403" w:gutter="0"/>
      <w:cols w:space="72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BA9C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7A5E77">
                          <w:pPr>
                            <w:pStyle w:val="8"/>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NjsZ/OAQAAvQMAAA4AAAAAAAAAAQAgAAAAHgEAAGRycy9l&#10;Mm9Eb2MueG1sUEsFBgAAAAAGAAYAWQEAAF4FAAAAAA==&#10;">
              <v:fill on="f" focussize="0,0"/>
              <v:stroke on="f"/>
              <v:imagedata o:title=""/>
              <o:lock v:ext="edit" aspectratio="f"/>
              <v:textbox inset="0mm,0mm,0mm,0mm" style="mso-fit-shape-to-text:t;">
                <w:txbxContent>
                  <w:p w14:paraId="327A5E77">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169F94"/>
    <w:multiLevelType w:val="singleLevel"/>
    <w:tmpl w:val="36169F94"/>
    <w:lvl w:ilvl="0" w:tentative="0">
      <w:start w:val="1"/>
      <w:numFmt w:val="decimal"/>
      <w:lvlText w:val="%1."/>
      <w:lvlJc w:val="left"/>
      <w:pPr>
        <w:tabs>
          <w:tab w:val="left" w:pos="425"/>
        </w:tabs>
        <w:ind w:left="425" w:hanging="425"/>
      </w:pPr>
      <w:rPr>
        <w:rFonts w:hint="default"/>
      </w:rPr>
    </w:lvl>
  </w:abstractNum>
  <w:abstractNum w:abstractNumId="1">
    <w:nsid w:val="5C662BD2"/>
    <w:multiLevelType w:val="singleLevel"/>
    <w:tmpl w:val="5C662BD2"/>
    <w:lvl w:ilvl="0" w:tentative="0">
      <w:start w:val="1"/>
      <w:numFmt w:val="decimal"/>
      <w:lvlText w:val="%1."/>
      <w:lvlJc w:val="left"/>
      <w:pPr>
        <w:tabs>
          <w:tab w:val="left" w:pos="425"/>
        </w:tabs>
        <w:ind w:left="425" w:hanging="425"/>
      </w:pPr>
      <w:rPr>
        <w:rFonts w:hint="default"/>
      </w:rPr>
    </w:lvl>
  </w:abstractNum>
  <w:abstractNum w:abstractNumId="2">
    <w:nsid w:val="7B127036"/>
    <w:multiLevelType w:val="singleLevel"/>
    <w:tmpl w:val="7B127036"/>
    <w:lvl w:ilvl="0" w:tentative="0">
      <w:start w:val="1"/>
      <w:numFmt w:val="decimal"/>
      <w:lvlText w:val="%1."/>
      <w:lvlJc w:val="left"/>
      <w:pPr>
        <w:tabs>
          <w:tab w:val="left" w:pos="425"/>
        </w:tabs>
        <w:ind w:left="425" w:hanging="42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hyphenationZone w:val="36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74971"/>
    <w:rsid w:val="09ED3AD6"/>
    <w:rsid w:val="0D8920C3"/>
    <w:rsid w:val="0EFE76A6"/>
    <w:rsid w:val="14057D41"/>
    <w:rsid w:val="17D74971"/>
    <w:rsid w:val="202C1558"/>
    <w:rsid w:val="22866336"/>
    <w:rsid w:val="247321DC"/>
    <w:rsid w:val="5FEA0F76"/>
    <w:rsid w:val="67F14C93"/>
    <w:rsid w:val="6B365819"/>
    <w:rsid w:val="73E443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SimSun" w:cs="Times New Roman"/>
      <w:lang w:val="en-US" w:eastAsia="zh-CN" w:bidi="ar-SA"/>
    </w:rPr>
  </w:style>
  <w:style w:type="paragraph" w:styleId="2">
    <w:name w:val="heading 1"/>
    <w:next w:val="1"/>
    <w:qFormat/>
    <w:uiPriority w:val="0"/>
    <w:pPr>
      <w:spacing w:before="100" w:beforeAutospacing="1" w:after="100" w:afterAutospacing="1"/>
      <w:jc w:val="left"/>
      <w:outlineLvl w:val="0"/>
    </w:pPr>
    <w:rPr>
      <w:rFonts w:hint="eastAsia" w:ascii="SimSun" w:hAnsi="SimSun" w:eastAsia="SimSun" w:cs="SimSun"/>
      <w:b/>
      <w:bCs/>
      <w:kern w:val="44"/>
      <w:sz w:val="48"/>
      <w:szCs w:val="48"/>
      <w:lang w:val="en-US" w:eastAsia="zh-CN" w:bidi="ar"/>
    </w:rPr>
  </w:style>
  <w:style w:type="paragraph" w:styleId="3">
    <w:name w:val="heading 2"/>
    <w:next w:val="1"/>
    <w:unhideWhenUsed/>
    <w:qFormat/>
    <w:uiPriority w:val="0"/>
    <w:pPr>
      <w:spacing w:before="100" w:beforeAutospacing="1" w:after="100" w:afterAutospacing="1"/>
      <w:jc w:val="left"/>
      <w:outlineLvl w:val="1"/>
    </w:pPr>
    <w:rPr>
      <w:rFonts w:hint="eastAsia" w:ascii="SimSun" w:hAnsi="SimSun" w:eastAsia="SimSun" w:cs="SimSun"/>
      <w:b/>
      <w:bCs/>
      <w:kern w:val="0"/>
      <w:sz w:val="36"/>
      <w:szCs w:val="36"/>
      <w:lang w:val="en-US" w:eastAsia="zh-CN" w:bidi="ar"/>
    </w:rPr>
  </w:style>
  <w:style w:type="paragraph" w:styleId="4">
    <w:name w:val="heading 3"/>
    <w:next w:val="1"/>
    <w:unhideWhenUsed/>
    <w:qFormat/>
    <w:uiPriority w:val="0"/>
    <w:pPr>
      <w:spacing w:before="100" w:beforeAutospacing="1" w:after="100" w:afterAutospacing="1"/>
      <w:jc w:val="left"/>
      <w:outlineLvl w:val="2"/>
    </w:pPr>
    <w:rPr>
      <w:rFonts w:hint="eastAsia" w:ascii="SimSun" w:hAnsi="SimSun" w:eastAsia="SimSun" w:cs="SimSun"/>
      <w:b/>
      <w:bCs/>
      <w:kern w:val="0"/>
      <w:sz w:val="27"/>
      <w:szCs w:val="27"/>
      <w:lang w:val="en-US" w:eastAsia="zh-CN" w:bidi="ar"/>
    </w:rPr>
  </w:style>
  <w:style w:type="character" w:default="1" w:styleId="5">
    <w:name w:val="Default Paragraph Font"/>
    <w:semiHidden/>
    <w:qFormat/>
    <w:uiPriority w:val="0"/>
  </w:style>
  <w:style w:type="table" w:default="1" w:styleId="6">
    <w:name w:val="Normal Table"/>
    <w:semiHidden/>
    <w:uiPriority w:val="0"/>
    <w:tblPr>
      <w:tblStyle w:val="6"/>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uiPriority w:val="0"/>
    <w:pPr>
      <w:tabs>
        <w:tab w:val="center" w:pos="4153"/>
        <w:tab w:val="right" w:pos="8306"/>
      </w:tabs>
      <w:snapToGrid w:val="0"/>
    </w:pPr>
    <w:rPr>
      <w:sz w:val="18"/>
      <w:szCs w:val="18"/>
    </w:rPr>
  </w:style>
  <w:style w:type="character" w:styleId="10">
    <w:name w:val="Hyperlink"/>
    <w:basedOn w:val="5"/>
    <w:qFormat/>
    <w:uiPriority w:val="0"/>
    <w:rPr>
      <w:color w:val="0000FF"/>
      <w:u w:val="single"/>
    </w:rPr>
  </w:style>
  <w:style w:type="paragraph" w:styleId="11">
    <w:name w:val="Normal (Web)"/>
    <w:qFormat/>
    <w:uiPriority w:val="0"/>
    <w:pPr>
      <w:spacing w:before="100" w:beforeAutospacing="1" w:after="10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2663</Words>
  <Characters>19116</Characters>
  <Lines>0</Lines>
  <Paragraphs>0</Paragraphs>
  <TotalTime>175</TotalTime>
  <ScaleCrop>false</ScaleCrop>
  <LinksUpToDate>false</LinksUpToDate>
  <CharactersWithSpaces>21698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2026-05-05T15:35:00Z</dcterms:created>
  <dc:creator>USER</dc:creator>
  <cp:lastModifiedBy>Rumana Aktar</cp:lastModifiedBy>
  <dcterms:modified xsi:type="dcterms:W3CDTF">2026-05-08T15:55:59Z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38A3F2ADAFFC41C48D386B3EF33A33BD_13</vt:lpwstr>
  </property>
  <property fmtid="{D5CDD505-2E9C-101B-9397-08002B2CF9AE}" pid="4" name="KSOTemplateDocerSaveRecord">
    <vt:lpwstr>eyJoZGlkIjoiZDBhMDFkMTA2MDQyOTkwYWI1YThjMTlkYzZlYjBhNjAiLCJ1c2VySWQiOiI4ODEzOTUyNjE0NjYzIn0=</vt:lpwstr>
  </property>
</Properties>
</file>