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A08" w:rsidRPr="001E5ECD" w:rsidRDefault="00EC3EA1" w:rsidP="001E5ECD">
      <w:pPr>
        <w:spacing w:after="240"/>
        <w:ind w:left="720"/>
        <w:jc w:val="center"/>
        <w:rPr>
          <w:rFonts w:ascii="Times New Roman" w:hAnsi="Times New Roman" w:cs="Times New Roman"/>
          <w:b/>
          <w:bCs/>
          <w:sz w:val="30"/>
          <w:szCs w:val="30"/>
        </w:rPr>
      </w:pPr>
      <w:r w:rsidRPr="001E5ECD">
        <w:rPr>
          <w:rFonts w:ascii="Times New Roman" w:hAnsi="Times New Roman" w:cs="Times New Roman"/>
          <w:b/>
          <w:bCs/>
          <w:sz w:val="30"/>
          <w:szCs w:val="30"/>
        </w:rPr>
        <w:t>Nephrotoxic Effects of Varying Lead Acetate Doses on Kidney Biochemical Markers and Histology in Adult Male Rats.</w:t>
      </w:r>
    </w:p>
    <w:p w:rsidR="001E5ECD" w:rsidRPr="001E5ECD" w:rsidRDefault="00EE2719" w:rsidP="001E5ECD">
      <w:pPr>
        <w:spacing w:after="60"/>
        <w:jc w:val="center"/>
        <w:rPr>
          <w:rFonts w:ascii="Times New Roman" w:hAnsi="Times New Roman" w:cs="Times New Roman"/>
          <w:b/>
          <w:bCs/>
          <w:i/>
          <w:iCs/>
          <w:lang w:val="en-GB"/>
        </w:rPr>
      </w:pPr>
      <w:r>
        <w:rPr>
          <w:rFonts w:ascii="Times New Roman" w:hAnsi="Times New Roman" w:cs="Times New Roman"/>
          <w:b/>
          <w:bCs/>
          <w:i/>
          <w:iCs/>
        </w:rPr>
        <w:t/>
      </w:r>
      <w:r w:rsidR="006C724B">
        <w:rPr>
          <w:rFonts w:ascii="Times New Roman" w:hAnsi="Times New Roman" w:cs="Times New Roman"/>
          <w:b/>
          <w:bCs/>
          <w:i/>
          <w:iCs/>
        </w:rPr>
        <w:t xml:space="preserve"/>
      </w:r>
      <w:r w:rsidRPr="00EE2719">
        <w:rPr>
          <w:rFonts w:ascii="Times New Roman" w:hAnsi="Times New Roman" w:cs="Times New Roman"/>
          <w:b/>
          <w:bCs/>
          <w:i/>
          <w:iCs/>
        </w:rPr>
        <w:t/>
      </w:r>
      <w:r w:rsidR="001E5ECD" w:rsidRPr="001E5ECD">
        <w:rPr>
          <w:rFonts w:ascii="Times New Roman" w:hAnsi="Times New Roman" w:cs="Times New Roman"/>
          <w:b/>
          <w:bCs/>
          <w:i/>
          <w:iCs/>
          <w:lang w:val="en-GB"/>
        </w:rPr>
        <w:t xml:space="preserve"/>
      </w:r>
      <w:r w:rsidR="001E5ECD" w:rsidRPr="001E5ECD">
        <w:rPr>
          <w:rFonts w:ascii="Times New Roman" w:hAnsi="Times New Roman" w:cs="Times New Roman"/>
          <w:b/>
          <w:bCs/>
          <w:i/>
          <w:iCs/>
        </w:rPr>
        <w:t xml:space="preserve"/>
      </w:r>
      <w:proofErr w:type="spellStart"/>
      <w:r w:rsidR="001E5ECD" w:rsidRPr="001E5ECD">
        <w:rPr>
          <w:rFonts w:ascii="Times New Roman" w:hAnsi="Times New Roman" w:cs="Times New Roman"/>
          <w:b/>
          <w:bCs/>
          <w:i/>
          <w:iCs/>
        </w:rPr>
        <w:t/>
      </w:r>
      <w:proofErr w:type="spellEnd"/>
      <w:r w:rsidR="001E5ECD" w:rsidRPr="001E5ECD">
        <w:rPr>
          <w:rFonts w:ascii="Times New Roman" w:hAnsi="Times New Roman" w:cs="Times New Roman"/>
          <w:b/>
          <w:bCs/>
          <w:i/>
          <w:iCs/>
        </w:rPr>
        <w:br/>
        <w:t/>
      </w:r>
    </w:p>
    <w:p w:rsidR="00816A08" w:rsidRPr="001E5ECD" w:rsidRDefault="001E5ECD" w:rsidP="001E5ECD">
      <w:pPr>
        <w:spacing w:after="60"/>
        <w:jc w:val="center"/>
        <w:rPr>
          <w:rFonts w:ascii="Times New Roman" w:hAnsi="Times New Roman" w:cs="Times New Roman"/>
        </w:rPr>
      </w:pPr>
      <w:r w:rsidRPr="001E5ECD">
        <w:rPr>
          <w:rFonts w:ascii="Times New Roman" w:hAnsi="Times New Roman" w:cs="Times New Roman"/>
          <w:i/>
          <w:iCs/>
        </w:rPr>
        <w:t/>
      </w:r>
      <w:proofErr w:type="gramStart"/>
      <w:r w:rsidRPr="001E5ECD">
        <w:rPr>
          <w:rFonts w:ascii="Times New Roman" w:hAnsi="Times New Roman" w:cs="Times New Roman"/>
          <w:i/>
          <w:iCs/>
        </w:rPr>
        <w:t/>
      </w:r>
      <w:proofErr w:type="gramEnd"/>
      <w:r w:rsidRPr="001E5ECD">
        <w:rPr>
          <w:rFonts w:ascii="Times New Roman" w:hAnsi="Times New Roman" w:cs="Times New Roman"/>
          <w:i/>
          <w:iCs/>
        </w:rPr>
        <w:br/>
        <w:t/>
      </w:r>
      <w:r w:rsidRPr="001E5ECD">
        <w:rPr>
          <w:rFonts w:ascii="Times New Roman" w:hAnsi="Times New Roman" w:cs="Times New Roman"/>
          <w:i/>
          <w:iCs/>
        </w:rPr>
        <w:br/>
        <w:t/>
      </w:r>
      <w:r w:rsidRPr="001E5ECD">
        <w:rPr>
          <w:rFonts w:ascii="Times New Roman" w:hAnsi="Times New Roman" w:cs="Times New Roman"/>
          <w:i/>
          <w:iCs/>
        </w:rPr>
        <w:br/>
        <w:t/>
      </w:r>
      <w:r w:rsidRPr="001E5ECD">
        <w:rPr>
          <w:rFonts w:ascii="Times New Roman" w:hAnsi="Times New Roman" w:cs="Times New Roman"/>
          <w:i/>
          <w:iCs/>
        </w:rPr>
        <w:br/>
        <w:t/>
      </w:r>
      <w:r w:rsidR="00DD1697">
        <w:rPr>
          <w:rFonts w:ascii="Times New Roman" w:hAnsi="Times New Roman" w:cs="Times New Roman"/>
          <w:i/>
          <w:iCs/>
        </w:rPr>
        <w:t/>
      </w:r>
      <w:r w:rsidR="00DD1697">
        <w:rPr>
          <w:rFonts w:ascii="Times New Roman" w:hAnsi="Times New Roman" w:cs="Times New Roman"/>
          <w:i/>
          <w:iCs/>
        </w:rPr>
        <w:br/>
        <w:t/>
      </w:r>
      <w:r w:rsidRPr="001E5ECD">
        <w:rPr>
          <w:rFonts w:ascii="Times New Roman" w:hAnsi="Times New Roman" w:cs="Times New Roman"/>
        </w:rPr>
        <w:t xml:space="preserve"/>
      </w:r>
    </w:p>
    <w:p w:rsidR="00816A08" w:rsidRPr="00EE2719" w:rsidRDefault="008E6D20">
      <w:pPr>
        <w:pStyle w:val="Heading1"/>
        <w:rPr>
          <w:rFonts w:ascii="Times New Roman" w:hAnsi="Times New Roman" w:cs="Times New Roman"/>
          <w:color w:val="auto"/>
        </w:rPr>
      </w:pPr>
      <w:r w:rsidRPr="00EE2719">
        <w:rPr>
          <w:rFonts w:ascii="Times New Roman" w:hAnsi="Times New Roman" w:cs="Times New Roman"/>
          <w:color w:val="auto"/>
        </w:rPr>
        <w:t>ABSTRACT</w:t>
      </w:r>
      <w:bookmarkStart w:id="0" w:name="_GoBack"/>
      <w:bookmarkEnd w:id="0"/>
    </w:p>
    <w:p w:rsidR="00816A08" w:rsidRPr="0006111D" w:rsidRDefault="008E6D20">
      <w:pPr>
        <w:spacing w:after="200" w:line="276" w:lineRule="auto"/>
        <w:jc w:val="both"/>
        <w:rPr>
          <w:rFonts w:ascii="Times New Roman" w:hAnsi="Times New Roman" w:cs="Times New Roman"/>
          <w:sz w:val="24"/>
          <w:szCs w:val="24"/>
        </w:rPr>
      </w:pPr>
      <w:r w:rsidRPr="0006111D">
        <w:rPr>
          <w:rFonts w:ascii="Times New Roman" w:hAnsi="Times New Roman" w:cs="Times New Roman"/>
          <w:b/>
          <w:sz w:val="24"/>
          <w:szCs w:val="24"/>
        </w:rPr>
        <w:t>Background</w:t>
      </w:r>
      <w:r w:rsidRPr="0006111D">
        <w:rPr>
          <w:rFonts w:ascii="Times New Roman" w:hAnsi="Times New Roman" w:cs="Times New Roman"/>
          <w:sz w:val="24"/>
          <w:szCs w:val="24"/>
        </w:rPr>
        <w:t xml:space="preserve">: Lead is a non-essential, persistent environmental toxicant with no known beneficial biological role, and the kidney remains one of its principal target organs. Despite decades of research, the relationship between oral lead acetate dose and the magnitude of renal biochemical and structural </w:t>
      </w:r>
      <w:r w:rsidR="00AA67B5">
        <w:rPr>
          <w:rFonts w:ascii="Times New Roman" w:hAnsi="Times New Roman" w:cs="Times New Roman"/>
          <w:sz w:val="24"/>
          <w:szCs w:val="24"/>
        </w:rPr>
        <w:t xml:space="preserve">injury continues to be refined. </w:t>
      </w:r>
      <w:r w:rsidR="00D545E0" w:rsidRPr="00D545E0">
        <w:rPr>
          <w:rFonts w:ascii="Times New Roman" w:hAnsi="Times New Roman" w:cs="Times New Roman"/>
          <w:b/>
          <w:sz w:val="24"/>
          <w:szCs w:val="24"/>
        </w:rPr>
        <w:t>Objective</w:t>
      </w:r>
      <w:r w:rsidR="00D545E0">
        <w:rPr>
          <w:rFonts w:ascii="Times New Roman" w:hAnsi="Times New Roman" w:cs="Times New Roman"/>
          <w:sz w:val="24"/>
          <w:szCs w:val="24"/>
        </w:rPr>
        <w:t xml:space="preserve">: </w:t>
      </w:r>
      <w:r w:rsidRPr="0006111D">
        <w:rPr>
          <w:rFonts w:ascii="Times New Roman" w:hAnsi="Times New Roman" w:cs="Times New Roman"/>
          <w:sz w:val="24"/>
          <w:szCs w:val="24"/>
        </w:rPr>
        <w:t xml:space="preserve">This study evaluated the dose-dependent effects of orally administered lead acetate on serum renal function biomarkers and kidney </w:t>
      </w:r>
      <w:proofErr w:type="spellStart"/>
      <w:r w:rsidRPr="0006111D">
        <w:rPr>
          <w:rFonts w:ascii="Times New Roman" w:hAnsi="Times New Roman" w:cs="Times New Roman"/>
          <w:sz w:val="24"/>
          <w:szCs w:val="24"/>
        </w:rPr>
        <w:t>histoarchitecture</w:t>
      </w:r>
      <w:proofErr w:type="spellEnd"/>
      <w:r w:rsidRPr="0006111D">
        <w:rPr>
          <w:rFonts w:ascii="Times New Roman" w:hAnsi="Times New Roman" w:cs="Times New Roman"/>
          <w:sz w:val="24"/>
          <w:szCs w:val="24"/>
        </w:rPr>
        <w:t xml:space="preserve"> in adult male </w:t>
      </w:r>
      <w:proofErr w:type="spellStart"/>
      <w:r w:rsidRPr="0006111D">
        <w:rPr>
          <w:rFonts w:ascii="Times New Roman" w:hAnsi="Times New Roman" w:cs="Times New Roman"/>
          <w:sz w:val="24"/>
          <w:szCs w:val="24"/>
        </w:rPr>
        <w:t>Wistar</w:t>
      </w:r>
      <w:proofErr w:type="spellEnd"/>
      <w:r w:rsidRPr="0006111D">
        <w:rPr>
          <w:rFonts w:ascii="Times New Roman" w:hAnsi="Times New Roman" w:cs="Times New Roman"/>
          <w:sz w:val="24"/>
          <w:szCs w:val="24"/>
        </w:rPr>
        <w:t xml:space="preserve"> rats. </w:t>
      </w:r>
      <w:r w:rsidRPr="0006111D">
        <w:rPr>
          <w:rFonts w:ascii="Times New Roman" w:hAnsi="Times New Roman" w:cs="Times New Roman"/>
          <w:b/>
          <w:sz w:val="24"/>
          <w:szCs w:val="24"/>
        </w:rPr>
        <w:t>Methods</w:t>
      </w:r>
      <w:r w:rsidRPr="0006111D">
        <w:rPr>
          <w:rFonts w:ascii="Times New Roman" w:hAnsi="Times New Roman" w:cs="Times New Roman"/>
          <w:sz w:val="24"/>
          <w:szCs w:val="24"/>
        </w:rPr>
        <w:t xml:space="preserve">: Twenty adult male </w:t>
      </w:r>
      <w:proofErr w:type="spellStart"/>
      <w:r w:rsidRPr="0006111D">
        <w:rPr>
          <w:rFonts w:ascii="Times New Roman" w:hAnsi="Times New Roman" w:cs="Times New Roman"/>
          <w:sz w:val="24"/>
          <w:szCs w:val="24"/>
        </w:rPr>
        <w:t>Wistar</w:t>
      </w:r>
      <w:proofErr w:type="spellEnd"/>
      <w:r w:rsidRPr="0006111D">
        <w:rPr>
          <w:rFonts w:ascii="Times New Roman" w:hAnsi="Times New Roman" w:cs="Times New Roman"/>
          <w:sz w:val="24"/>
          <w:szCs w:val="24"/>
        </w:rPr>
        <w:t xml:space="preserve"> rats (150–200 g) were randomly allocated into four groups (n = 5): a distilled-water control and three treatment groups receiving lead acetate at 100, 200, or 400 mg/kg body weight by oral gavage daily for 21 days. Serum urea, creatinine, and uric acid were assayed, and kidney sections were processed for </w:t>
      </w:r>
      <w:proofErr w:type="spellStart"/>
      <w:r w:rsidRPr="0006111D">
        <w:rPr>
          <w:rFonts w:ascii="Times New Roman" w:hAnsi="Times New Roman" w:cs="Times New Roman"/>
          <w:sz w:val="24"/>
          <w:szCs w:val="24"/>
        </w:rPr>
        <w:t>haematoxylin</w:t>
      </w:r>
      <w:proofErr w:type="spellEnd"/>
      <w:r w:rsidRPr="0006111D">
        <w:rPr>
          <w:rFonts w:ascii="Times New Roman" w:hAnsi="Times New Roman" w:cs="Times New Roman"/>
          <w:sz w:val="24"/>
          <w:szCs w:val="24"/>
        </w:rPr>
        <w:t xml:space="preserve"> and eosin (H&amp;E) histology. Data were </w:t>
      </w:r>
      <w:proofErr w:type="spellStart"/>
      <w:r w:rsidRPr="0006111D">
        <w:rPr>
          <w:rFonts w:ascii="Times New Roman" w:hAnsi="Times New Roman" w:cs="Times New Roman"/>
          <w:sz w:val="24"/>
          <w:szCs w:val="24"/>
        </w:rPr>
        <w:t>analysed</w:t>
      </w:r>
      <w:proofErr w:type="spellEnd"/>
      <w:r w:rsidRPr="0006111D">
        <w:rPr>
          <w:rFonts w:ascii="Times New Roman" w:hAnsi="Times New Roman" w:cs="Times New Roman"/>
          <w:sz w:val="24"/>
          <w:szCs w:val="24"/>
        </w:rPr>
        <w:t xml:space="preserve"> by one-way ANOVA with Duncan’s Multiple Range Test (p &lt; 0.05). </w:t>
      </w:r>
      <w:r w:rsidRPr="00AA67B5">
        <w:rPr>
          <w:rFonts w:ascii="Times New Roman" w:hAnsi="Times New Roman" w:cs="Times New Roman"/>
          <w:b/>
          <w:sz w:val="24"/>
          <w:szCs w:val="24"/>
        </w:rPr>
        <w:t>Results</w:t>
      </w:r>
      <w:r w:rsidRPr="0006111D">
        <w:rPr>
          <w:rFonts w:ascii="Times New Roman" w:hAnsi="Times New Roman" w:cs="Times New Roman"/>
          <w:sz w:val="24"/>
          <w:szCs w:val="24"/>
        </w:rPr>
        <w:t xml:space="preserve">: Serum urea and creatinine were numerically highest in the 400 mg/kg group, consistent with a decline in glomerular filtration rate at high-dose exposure, while the 200 mg/kg group showed comparatively modest deviation from control. Serum uric acid was significantly elevated in both the 100 mg/kg and 400 mg/kg groups relative to control, indicating that renal stress was detectable even at the lowest dose tested. Histopathology revealed a clear dose-dependent gradient, progressing from preserved glomerular and tubular architecture </w:t>
      </w:r>
      <w:proofErr w:type="gramStart"/>
      <w:r w:rsidRPr="0006111D">
        <w:rPr>
          <w:rFonts w:ascii="Times New Roman" w:hAnsi="Times New Roman" w:cs="Times New Roman"/>
          <w:sz w:val="24"/>
          <w:szCs w:val="24"/>
        </w:rPr>
        <w:t>in</w:t>
      </w:r>
      <w:proofErr w:type="gramEnd"/>
      <w:r w:rsidRPr="0006111D">
        <w:rPr>
          <w:rFonts w:ascii="Times New Roman" w:hAnsi="Times New Roman" w:cs="Times New Roman"/>
          <w:sz w:val="24"/>
          <w:szCs w:val="24"/>
        </w:rPr>
        <w:t xml:space="preserve"> the control group to mild glomerular shrinkage and tubular dilation at 100 mg/kg, moderate glomerular collapse with inflammatory infiltration at 200 mg/kg, and severe glomerular distortion, </w:t>
      </w:r>
      <w:proofErr w:type="spellStart"/>
      <w:r w:rsidRPr="0006111D">
        <w:rPr>
          <w:rFonts w:ascii="Times New Roman" w:hAnsi="Times New Roman" w:cs="Times New Roman"/>
          <w:sz w:val="24"/>
          <w:szCs w:val="24"/>
        </w:rPr>
        <w:t>haemorrhage</w:t>
      </w:r>
      <w:proofErr w:type="spellEnd"/>
      <w:r w:rsidRPr="0006111D">
        <w:rPr>
          <w:rFonts w:ascii="Times New Roman" w:hAnsi="Times New Roman" w:cs="Times New Roman"/>
          <w:sz w:val="24"/>
          <w:szCs w:val="24"/>
        </w:rPr>
        <w:t xml:space="preserve">, and extensive interstitial inflammation at 400 mg/kg. </w:t>
      </w:r>
      <w:r w:rsidRPr="00AA67B5">
        <w:rPr>
          <w:rFonts w:ascii="Times New Roman" w:hAnsi="Times New Roman" w:cs="Times New Roman"/>
          <w:b/>
          <w:sz w:val="24"/>
          <w:szCs w:val="24"/>
        </w:rPr>
        <w:t>Conclusion</w:t>
      </w:r>
      <w:r w:rsidRPr="0006111D">
        <w:rPr>
          <w:rFonts w:ascii="Times New Roman" w:hAnsi="Times New Roman" w:cs="Times New Roman"/>
          <w:sz w:val="24"/>
          <w:szCs w:val="24"/>
        </w:rPr>
        <w:t xml:space="preserve">: </w:t>
      </w:r>
      <w:proofErr w:type="spellStart"/>
      <w:r w:rsidRPr="0006111D">
        <w:rPr>
          <w:rFonts w:ascii="Times New Roman" w:hAnsi="Times New Roman" w:cs="Times New Roman"/>
          <w:sz w:val="24"/>
          <w:szCs w:val="24"/>
        </w:rPr>
        <w:t>Subacute</w:t>
      </w:r>
      <w:proofErr w:type="spellEnd"/>
      <w:r w:rsidRPr="0006111D">
        <w:rPr>
          <w:rFonts w:ascii="Times New Roman" w:hAnsi="Times New Roman" w:cs="Times New Roman"/>
          <w:sz w:val="24"/>
          <w:szCs w:val="24"/>
        </w:rPr>
        <w:t xml:space="preserve"> oral lead acetate exposure produces dose-dependent biochemical and morphological nephrotoxicity in </w:t>
      </w:r>
      <w:proofErr w:type="spellStart"/>
      <w:r w:rsidRPr="0006111D">
        <w:rPr>
          <w:rFonts w:ascii="Times New Roman" w:hAnsi="Times New Roman" w:cs="Times New Roman"/>
          <w:sz w:val="24"/>
          <w:szCs w:val="24"/>
        </w:rPr>
        <w:t>Wistar</w:t>
      </w:r>
      <w:proofErr w:type="spellEnd"/>
      <w:r w:rsidRPr="0006111D">
        <w:rPr>
          <w:rFonts w:ascii="Times New Roman" w:hAnsi="Times New Roman" w:cs="Times New Roman"/>
          <w:sz w:val="24"/>
          <w:szCs w:val="24"/>
        </w:rPr>
        <w:t xml:space="preserve"> rats, with serum uric acid emerging as a sensitive early indicator of renal injury that precedes overt elevation of urea and creatinine. These findings reinforce the need for renal </w:t>
      </w:r>
      <w:proofErr w:type="spellStart"/>
      <w:r w:rsidRPr="0006111D">
        <w:rPr>
          <w:rFonts w:ascii="Times New Roman" w:hAnsi="Times New Roman" w:cs="Times New Roman"/>
          <w:sz w:val="24"/>
          <w:szCs w:val="24"/>
        </w:rPr>
        <w:t>biomonitoring</w:t>
      </w:r>
      <w:proofErr w:type="spellEnd"/>
      <w:r w:rsidRPr="0006111D">
        <w:rPr>
          <w:rFonts w:ascii="Times New Roman" w:hAnsi="Times New Roman" w:cs="Times New Roman"/>
          <w:sz w:val="24"/>
          <w:szCs w:val="24"/>
        </w:rPr>
        <w:t xml:space="preserve"> in lead-exposed populations and support continued evaluation of </w:t>
      </w:r>
      <w:proofErr w:type="spellStart"/>
      <w:r w:rsidRPr="0006111D">
        <w:rPr>
          <w:rFonts w:ascii="Times New Roman" w:hAnsi="Times New Roman" w:cs="Times New Roman"/>
          <w:sz w:val="24"/>
          <w:szCs w:val="24"/>
        </w:rPr>
        <w:t>nephroprotective</w:t>
      </w:r>
      <w:proofErr w:type="spellEnd"/>
      <w:r w:rsidRPr="0006111D">
        <w:rPr>
          <w:rFonts w:ascii="Times New Roman" w:hAnsi="Times New Roman" w:cs="Times New Roman"/>
          <w:sz w:val="24"/>
          <w:szCs w:val="24"/>
        </w:rPr>
        <w:t xml:space="preserve"> strategies.</w:t>
      </w:r>
    </w:p>
    <w:p w:rsidR="00816A08" w:rsidRPr="0006111D" w:rsidRDefault="008E6D20">
      <w:pPr>
        <w:spacing w:after="280"/>
        <w:rPr>
          <w:rFonts w:ascii="Times New Roman" w:hAnsi="Times New Roman" w:cs="Times New Roman"/>
          <w:sz w:val="24"/>
          <w:szCs w:val="24"/>
        </w:rPr>
      </w:pPr>
      <w:r w:rsidRPr="0006111D">
        <w:rPr>
          <w:rFonts w:ascii="Times New Roman" w:hAnsi="Times New Roman" w:cs="Times New Roman"/>
          <w:b/>
          <w:bCs/>
          <w:sz w:val="24"/>
          <w:szCs w:val="24"/>
        </w:rPr>
        <w:t xml:space="preserve">Keywords: </w:t>
      </w:r>
      <w:r w:rsidRPr="0006111D">
        <w:rPr>
          <w:rFonts w:ascii="Times New Roman" w:hAnsi="Times New Roman" w:cs="Times New Roman"/>
          <w:sz w:val="24"/>
          <w:szCs w:val="24"/>
        </w:rPr>
        <w:t xml:space="preserve">Lead acetate; nephrotoxicity; </w:t>
      </w:r>
      <w:proofErr w:type="spellStart"/>
      <w:r w:rsidRPr="0006111D">
        <w:rPr>
          <w:rFonts w:ascii="Times New Roman" w:hAnsi="Times New Roman" w:cs="Times New Roman"/>
          <w:sz w:val="24"/>
          <w:szCs w:val="24"/>
        </w:rPr>
        <w:t>Wistar</w:t>
      </w:r>
      <w:proofErr w:type="spellEnd"/>
      <w:r w:rsidRPr="0006111D">
        <w:rPr>
          <w:rFonts w:ascii="Times New Roman" w:hAnsi="Times New Roman" w:cs="Times New Roman"/>
          <w:sz w:val="24"/>
          <w:szCs w:val="24"/>
        </w:rPr>
        <w:t xml:space="preserve"> rats; renal biomarkers; histopathology; oxidative stress; heavy metal toxicity</w:t>
      </w:r>
    </w:p>
    <w:p w:rsidR="00E33BB9" w:rsidRDefault="00E33BB9">
      <w:pPr>
        <w:pStyle w:val="Heading1"/>
        <w:rPr>
          <w:rFonts w:ascii="Times New Roman" w:hAnsi="Times New Roman" w:cs="Times New Roman"/>
          <w:color w:val="auto"/>
        </w:rPr>
      </w:pPr>
    </w:p>
    <w:p w:rsidR="00816A08" w:rsidRPr="00A96E75" w:rsidRDefault="00927760">
      <w:pPr>
        <w:pStyle w:val="Heading1"/>
        <w:rPr>
          <w:rFonts w:ascii="Times New Roman" w:hAnsi="Times New Roman" w:cs="Times New Roman"/>
          <w:color w:val="auto"/>
        </w:rPr>
      </w:pPr>
      <w:r>
        <w:rPr>
          <w:rFonts w:ascii="Times New Roman" w:hAnsi="Times New Roman" w:cs="Times New Roman"/>
          <w:color w:val="auto"/>
        </w:rPr>
        <w:lastRenderedPageBreak/>
        <w:t xml:space="preserve">1. </w:t>
      </w:r>
      <w:r w:rsidR="008E6D20" w:rsidRPr="00A96E75">
        <w:rPr>
          <w:rFonts w:ascii="Times New Roman" w:hAnsi="Times New Roman" w:cs="Times New Roman"/>
          <w:color w:val="auto"/>
        </w:rPr>
        <w:t>INTRODUCTION</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Lead (</w:t>
      </w:r>
      <w:proofErr w:type="spellStart"/>
      <w:r w:rsidRPr="00A96E75">
        <w:rPr>
          <w:rFonts w:ascii="Times New Roman" w:hAnsi="Times New Roman" w:cs="Times New Roman"/>
          <w:sz w:val="24"/>
          <w:szCs w:val="24"/>
        </w:rPr>
        <w:t>Pb</w:t>
      </w:r>
      <w:proofErr w:type="spellEnd"/>
      <w:r w:rsidRPr="00A96E75">
        <w:rPr>
          <w:rFonts w:ascii="Times New Roman" w:hAnsi="Times New Roman" w:cs="Times New Roman"/>
          <w:sz w:val="24"/>
          <w:szCs w:val="24"/>
        </w:rPr>
        <w:t xml:space="preserve">) is a non-essential, naturally occurring heavy metal that has no known physiological function in mammalian biology, yet it remains one of the most pervasive environmental and occupational contaminants worldwide </w:t>
      </w:r>
      <w:r w:rsidR="00915866" w:rsidRPr="00D62056">
        <w:rPr>
          <w:rFonts w:ascii="Times New Roman" w:hAnsi="Times New Roman" w:cs="Times New Roman"/>
          <w:sz w:val="24"/>
          <w:szCs w:val="24"/>
          <w:vertAlign w:val="superscript"/>
        </w:rPr>
        <w:t>[</w:t>
      </w:r>
      <w:r w:rsidR="00D62056" w:rsidRPr="00D62056">
        <w:rPr>
          <w:rFonts w:ascii="Times New Roman" w:hAnsi="Times New Roman" w:cs="Times New Roman"/>
          <w:sz w:val="24"/>
          <w:szCs w:val="24"/>
          <w:vertAlign w:val="superscript"/>
        </w:rPr>
        <w:t>3]</w:t>
      </w:r>
      <w:r w:rsidRPr="00D62056">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Its continued presence in soil, water, dust, and consumer products stems from legacy uses such as leaded paints and petrol, as well as ongoing activities including mining, smelting, battery manufacturing, and informal electronic-waste recycling </w:t>
      </w:r>
      <w:r w:rsidR="00915866" w:rsidRPr="00915866">
        <w:rPr>
          <w:rFonts w:ascii="Times New Roman" w:hAnsi="Times New Roman" w:cs="Times New Roman"/>
          <w:sz w:val="24"/>
          <w:szCs w:val="24"/>
          <w:vertAlign w:val="superscript"/>
        </w:rPr>
        <w:t>[14, 26]</w:t>
      </w:r>
      <w:r w:rsidRPr="00915866">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Once absorbed, lead is poorly excreted and accumulates preferentially in bone, from which it is slowly </w:t>
      </w:r>
      <w:r w:rsidR="00915866" w:rsidRPr="00A96E75">
        <w:rPr>
          <w:rFonts w:ascii="Times New Roman" w:hAnsi="Times New Roman" w:cs="Times New Roman"/>
          <w:sz w:val="24"/>
          <w:szCs w:val="24"/>
        </w:rPr>
        <w:t>remobilized</w:t>
      </w:r>
      <w:r w:rsidRPr="00A96E75">
        <w:rPr>
          <w:rFonts w:ascii="Times New Roman" w:hAnsi="Times New Roman" w:cs="Times New Roman"/>
          <w:sz w:val="24"/>
          <w:szCs w:val="24"/>
        </w:rPr>
        <w:t xml:space="preserve"> into the bloodstream over years to decades, sustaining chronic systemic exposure long after the original source has been removed </w:t>
      </w:r>
      <w:r w:rsidR="00915866" w:rsidRPr="00915866">
        <w:rPr>
          <w:rFonts w:ascii="Times New Roman" w:hAnsi="Times New Roman" w:cs="Times New Roman"/>
          <w:sz w:val="24"/>
          <w:szCs w:val="24"/>
          <w:vertAlign w:val="superscript"/>
        </w:rPr>
        <w:t>[24, 18]</w:t>
      </w:r>
      <w:r w:rsidRPr="00915866">
        <w:rPr>
          <w:rFonts w:ascii="Times New Roman" w:hAnsi="Times New Roman" w:cs="Times New Roman"/>
          <w:sz w:val="24"/>
          <w:szCs w:val="24"/>
          <w:vertAlign w:val="superscript"/>
        </w:rPr>
        <w:t>.</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 xml:space="preserve">The global health burden attributable to lead remains substantial. The World Health Organization estimates that lead exposure contributes to millions of deaths and tens of millions of disability-adjusted life years annually, with cardiovascular and renal pathways representing major contributors to this burden </w:t>
      </w:r>
      <w:r w:rsidR="00915866" w:rsidRPr="00915866">
        <w:rPr>
          <w:rFonts w:ascii="Times New Roman" w:hAnsi="Times New Roman" w:cs="Times New Roman"/>
          <w:sz w:val="24"/>
          <w:szCs w:val="24"/>
          <w:vertAlign w:val="superscript"/>
        </w:rPr>
        <w:t>[6]</w:t>
      </w:r>
      <w:r w:rsidRPr="00915866">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Epidemiological modelling of the Global Burden of Disease further indicates that lead-attributable mortality and morbidity, while declining in high-income regions, remain disproportionately concentrated in low- and middle-income countries with weaker regulatory control of industrial and recycling activities </w:t>
      </w:r>
      <w:r w:rsidR="0061437D" w:rsidRPr="0061437D">
        <w:rPr>
          <w:rFonts w:ascii="Times New Roman" w:hAnsi="Times New Roman" w:cs="Times New Roman"/>
          <w:sz w:val="24"/>
          <w:szCs w:val="24"/>
          <w:vertAlign w:val="superscript"/>
        </w:rPr>
        <w:t>[15]</w:t>
      </w:r>
      <w:r w:rsidRPr="0061437D">
        <w:rPr>
          <w:rFonts w:ascii="Times New Roman" w:hAnsi="Times New Roman" w:cs="Times New Roman"/>
          <w:sz w:val="24"/>
          <w:szCs w:val="24"/>
          <w:vertAlign w:val="superscript"/>
        </w:rPr>
        <w:t>.</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 xml:space="preserve">Mechanistically, lead toxicity is driven substantially by its capacity to mimic essential divalent </w:t>
      </w:r>
      <w:proofErr w:type="spellStart"/>
      <w:r w:rsidRPr="00A96E75">
        <w:rPr>
          <w:rFonts w:ascii="Times New Roman" w:hAnsi="Times New Roman" w:cs="Times New Roman"/>
          <w:sz w:val="24"/>
          <w:szCs w:val="24"/>
        </w:rPr>
        <w:t>cations</w:t>
      </w:r>
      <w:proofErr w:type="spellEnd"/>
      <w:r w:rsidRPr="00A96E75">
        <w:rPr>
          <w:rFonts w:ascii="Times New Roman" w:hAnsi="Times New Roman" w:cs="Times New Roman"/>
          <w:sz w:val="24"/>
          <w:szCs w:val="24"/>
        </w:rPr>
        <w:t xml:space="preserve"> such as calcium and zinc, displacing them from enzymes, structural proteins, and </w:t>
      </w:r>
      <w:r w:rsidR="0061437D" w:rsidRPr="00A96E75">
        <w:rPr>
          <w:rFonts w:ascii="Times New Roman" w:hAnsi="Times New Roman" w:cs="Times New Roman"/>
          <w:sz w:val="24"/>
          <w:szCs w:val="24"/>
        </w:rPr>
        <w:t>signaling</w:t>
      </w:r>
      <w:r w:rsidRPr="00A96E75">
        <w:rPr>
          <w:rFonts w:ascii="Times New Roman" w:hAnsi="Times New Roman" w:cs="Times New Roman"/>
          <w:sz w:val="24"/>
          <w:szCs w:val="24"/>
        </w:rPr>
        <w:t xml:space="preserve"> molecules </w:t>
      </w:r>
      <w:r w:rsidR="0061437D" w:rsidRPr="0061437D">
        <w:rPr>
          <w:rFonts w:ascii="Times New Roman" w:hAnsi="Times New Roman" w:cs="Times New Roman"/>
          <w:sz w:val="24"/>
          <w:szCs w:val="24"/>
          <w:vertAlign w:val="superscript"/>
        </w:rPr>
        <w:t>[3]</w:t>
      </w:r>
      <w:r w:rsidRPr="0061437D">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This ionic mimicry, together with direct interference with mitochondrial electron transport, promotes excessive generation of reactive oxygen species (ROS) that overwhelm endogenous antioxidant </w:t>
      </w:r>
      <w:r w:rsidR="0061437D" w:rsidRPr="00A96E75">
        <w:rPr>
          <w:rFonts w:ascii="Times New Roman" w:hAnsi="Times New Roman" w:cs="Times New Roman"/>
          <w:sz w:val="24"/>
          <w:szCs w:val="24"/>
        </w:rPr>
        <w:t>defenses</w:t>
      </w:r>
      <w:r w:rsidRPr="00A96E75">
        <w:rPr>
          <w:rFonts w:ascii="Times New Roman" w:hAnsi="Times New Roman" w:cs="Times New Roman"/>
          <w:sz w:val="24"/>
          <w:szCs w:val="24"/>
        </w:rPr>
        <w:t xml:space="preserve">, resulting in lipid peroxidation, protein oxidation, and DNA damage </w:t>
      </w:r>
      <w:r w:rsidR="00CD7078" w:rsidRPr="00CD7078">
        <w:rPr>
          <w:rFonts w:ascii="Times New Roman" w:hAnsi="Times New Roman" w:cs="Times New Roman"/>
          <w:sz w:val="24"/>
          <w:szCs w:val="24"/>
          <w:vertAlign w:val="superscript"/>
        </w:rPr>
        <w:t>[11, 16]</w:t>
      </w:r>
      <w:r w:rsidRPr="00CD7078">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In the kidney, this oxidative burden is compounded by the organ’s intrinsically high blood flow, metabolic activity, and central role in the filtration, reabsorption, and excretion of circulating solutes, all of which render the nephron particularly susceptible to xenobiotic injury </w:t>
      </w:r>
      <w:r w:rsidR="00CD7078" w:rsidRPr="00CD7078">
        <w:rPr>
          <w:rFonts w:ascii="Times New Roman" w:hAnsi="Times New Roman" w:cs="Times New Roman"/>
          <w:sz w:val="24"/>
          <w:szCs w:val="24"/>
          <w:vertAlign w:val="superscript"/>
        </w:rPr>
        <w:t xml:space="preserve">[2, 12, </w:t>
      </w:r>
      <w:proofErr w:type="gramStart"/>
      <w:r w:rsidR="00CD7078" w:rsidRPr="00CD7078">
        <w:rPr>
          <w:rFonts w:ascii="Times New Roman" w:hAnsi="Times New Roman" w:cs="Times New Roman"/>
          <w:sz w:val="24"/>
          <w:szCs w:val="24"/>
          <w:vertAlign w:val="superscript"/>
        </w:rPr>
        <w:t>23</w:t>
      </w:r>
      <w:proofErr w:type="gramEnd"/>
      <w:r w:rsidR="00CD7078" w:rsidRPr="00CD7078">
        <w:rPr>
          <w:rFonts w:ascii="Times New Roman" w:hAnsi="Times New Roman" w:cs="Times New Roman"/>
          <w:sz w:val="24"/>
          <w:szCs w:val="24"/>
          <w:vertAlign w:val="superscript"/>
        </w:rPr>
        <w:t>]</w:t>
      </w:r>
      <w:r w:rsidRPr="00CD7078">
        <w:rPr>
          <w:rFonts w:ascii="Times New Roman" w:hAnsi="Times New Roman" w:cs="Times New Roman"/>
          <w:sz w:val="24"/>
          <w:szCs w:val="24"/>
          <w:vertAlign w:val="superscript"/>
        </w:rPr>
        <w:t>.</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 xml:space="preserve">Clinically, renal injury is most commonly inferred from circulating biomarkers such as urea, creatinine, and uric acid. Urea is the terminal product of hepatic amino-acid catabolism and is filtered and partially reabsorbed along the nephron, such that its serum concentration reflects both protein metabolism and glomerular handling </w:t>
      </w:r>
      <w:r w:rsidR="003E068B" w:rsidRPr="003E068B">
        <w:rPr>
          <w:rFonts w:ascii="Times New Roman" w:hAnsi="Times New Roman" w:cs="Times New Roman"/>
          <w:sz w:val="24"/>
          <w:szCs w:val="24"/>
          <w:vertAlign w:val="superscript"/>
        </w:rPr>
        <w:t>[13]</w:t>
      </w:r>
      <w:r w:rsidRPr="003E068B">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Creatinine, by contrast, is generated at a comparatively constant rate from muscle </w:t>
      </w:r>
      <w:proofErr w:type="spellStart"/>
      <w:r w:rsidRPr="00A96E75">
        <w:rPr>
          <w:rFonts w:ascii="Times New Roman" w:hAnsi="Times New Roman" w:cs="Times New Roman"/>
          <w:sz w:val="24"/>
          <w:szCs w:val="24"/>
        </w:rPr>
        <w:t>creatine</w:t>
      </w:r>
      <w:proofErr w:type="spellEnd"/>
      <w:r w:rsidRPr="00A96E75">
        <w:rPr>
          <w:rFonts w:ascii="Times New Roman" w:hAnsi="Times New Roman" w:cs="Times New Roman"/>
          <w:sz w:val="24"/>
          <w:szCs w:val="24"/>
        </w:rPr>
        <w:t xml:space="preserve"> and is freely filtered with minimal tubular reabsorption, making it a more specific surrogate of glomerular filtration rate </w:t>
      </w:r>
      <w:r w:rsidR="003E068B" w:rsidRPr="003E068B">
        <w:rPr>
          <w:rFonts w:ascii="Times New Roman" w:hAnsi="Times New Roman" w:cs="Times New Roman"/>
          <w:sz w:val="24"/>
          <w:szCs w:val="24"/>
          <w:vertAlign w:val="superscript"/>
        </w:rPr>
        <w:t>[9]</w:t>
      </w:r>
      <w:r w:rsidRPr="003E068B">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Uric acid, the end product of purine metabolism, is filtered and undergoes substantial tubular reabsorption and secretion; accumulating evidence links impaired renal uric acid handling to early nephron stress and to the subsequent progression of chronic kidney disease, independent of more conventional indices </w:t>
      </w:r>
      <w:r w:rsidR="004C0BA8" w:rsidRPr="004C0BA8">
        <w:rPr>
          <w:rFonts w:ascii="Times New Roman" w:hAnsi="Times New Roman" w:cs="Times New Roman"/>
          <w:sz w:val="24"/>
          <w:szCs w:val="24"/>
          <w:vertAlign w:val="superscript"/>
        </w:rPr>
        <w:t>[20, 21]</w:t>
      </w:r>
      <w:r w:rsidRPr="004C0BA8">
        <w:rPr>
          <w:rFonts w:ascii="Times New Roman" w:hAnsi="Times New Roman" w:cs="Times New Roman"/>
          <w:sz w:val="24"/>
          <w:szCs w:val="24"/>
          <w:vertAlign w:val="superscript"/>
        </w:rPr>
        <w:t>.</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 xml:space="preserve">A substantial experimental literature has documented that oral lead acetate administration produces dose- and duration-dependent elevations in these renal biomarkers in rodent models, frequently </w:t>
      </w:r>
      <w:r w:rsidRPr="00A96E75">
        <w:rPr>
          <w:rFonts w:ascii="Times New Roman" w:hAnsi="Times New Roman" w:cs="Times New Roman"/>
          <w:sz w:val="24"/>
          <w:szCs w:val="24"/>
        </w:rPr>
        <w:lastRenderedPageBreak/>
        <w:t xml:space="preserve">accompanied by histological evidence of glomerular and tubular injury </w:t>
      </w:r>
      <w:r w:rsidR="0000705D" w:rsidRPr="004C0BA8">
        <w:rPr>
          <w:rFonts w:ascii="Times New Roman" w:hAnsi="Times New Roman" w:cs="Times New Roman"/>
          <w:sz w:val="24"/>
          <w:szCs w:val="24"/>
          <w:vertAlign w:val="superscript"/>
        </w:rPr>
        <w:t>[</w:t>
      </w:r>
      <w:r w:rsidR="004C0BA8" w:rsidRPr="004C0BA8">
        <w:rPr>
          <w:rFonts w:ascii="Times New Roman" w:hAnsi="Times New Roman" w:cs="Times New Roman"/>
          <w:sz w:val="24"/>
          <w:szCs w:val="24"/>
          <w:vertAlign w:val="superscript"/>
        </w:rPr>
        <w:t xml:space="preserve">5, 4, 25, </w:t>
      </w:r>
      <w:proofErr w:type="gramStart"/>
      <w:r w:rsidR="004C0BA8" w:rsidRPr="004C0BA8">
        <w:rPr>
          <w:rFonts w:ascii="Times New Roman" w:hAnsi="Times New Roman" w:cs="Times New Roman"/>
          <w:sz w:val="24"/>
          <w:szCs w:val="24"/>
          <w:vertAlign w:val="superscript"/>
        </w:rPr>
        <w:t>17</w:t>
      </w:r>
      <w:proofErr w:type="gramEnd"/>
      <w:r w:rsidR="004C0BA8" w:rsidRPr="004C0BA8">
        <w:rPr>
          <w:rFonts w:ascii="Times New Roman" w:hAnsi="Times New Roman" w:cs="Times New Roman"/>
          <w:sz w:val="24"/>
          <w:szCs w:val="24"/>
          <w:vertAlign w:val="superscript"/>
        </w:rPr>
        <w:t>]</w:t>
      </w:r>
      <w:r w:rsidRPr="004C0BA8">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Comparable </w:t>
      </w:r>
      <w:proofErr w:type="spellStart"/>
      <w:r w:rsidRPr="00A96E75">
        <w:rPr>
          <w:rFonts w:ascii="Times New Roman" w:hAnsi="Times New Roman" w:cs="Times New Roman"/>
          <w:sz w:val="24"/>
          <w:szCs w:val="24"/>
        </w:rPr>
        <w:t>hepatorenal</w:t>
      </w:r>
      <w:proofErr w:type="spellEnd"/>
      <w:r w:rsidRPr="00A96E75">
        <w:rPr>
          <w:rFonts w:ascii="Times New Roman" w:hAnsi="Times New Roman" w:cs="Times New Roman"/>
          <w:sz w:val="24"/>
          <w:szCs w:val="24"/>
        </w:rPr>
        <w:t xml:space="preserve"> injury has also been reported following exposure to other nephrotoxic heavy metals such as cadmium, underscoring shared oxidative and inflammatory pathways across this class of toxicants </w:t>
      </w:r>
      <w:r w:rsidR="0000705D" w:rsidRPr="0000705D">
        <w:rPr>
          <w:rFonts w:ascii="Times New Roman" w:hAnsi="Times New Roman" w:cs="Times New Roman"/>
          <w:sz w:val="24"/>
          <w:szCs w:val="24"/>
          <w:vertAlign w:val="superscript"/>
        </w:rPr>
        <w:t xml:space="preserve">[29, 30, </w:t>
      </w:r>
      <w:proofErr w:type="gramStart"/>
      <w:r w:rsidR="0000705D" w:rsidRPr="0000705D">
        <w:rPr>
          <w:rFonts w:ascii="Times New Roman" w:hAnsi="Times New Roman" w:cs="Times New Roman"/>
          <w:sz w:val="24"/>
          <w:szCs w:val="24"/>
          <w:vertAlign w:val="superscript"/>
        </w:rPr>
        <w:t>19</w:t>
      </w:r>
      <w:proofErr w:type="gramEnd"/>
      <w:r w:rsidR="0000705D" w:rsidRPr="0000705D">
        <w:rPr>
          <w:rFonts w:ascii="Times New Roman" w:hAnsi="Times New Roman" w:cs="Times New Roman"/>
          <w:sz w:val="24"/>
          <w:szCs w:val="24"/>
          <w:vertAlign w:val="superscript"/>
        </w:rPr>
        <w:t>]</w:t>
      </w:r>
      <w:r w:rsidRPr="0000705D">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At the tissue level, recent work has </w:t>
      </w:r>
      <w:proofErr w:type="spellStart"/>
      <w:r w:rsidRPr="00A96E75">
        <w:rPr>
          <w:rFonts w:ascii="Times New Roman" w:hAnsi="Times New Roman" w:cs="Times New Roman"/>
          <w:sz w:val="24"/>
          <w:szCs w:val="24"/>
        </w:rPr>
        <w:t>emphasised</w:t>
      </w:r>
      <w:proofErr w:type="spellEnd"/>
      <w:r w:rsidRPr="00A96E75">
        <w:rPr>
          <w:rFonts w:ascii="Times New Roman" w:hAnsi="Times New Roman" w:cs="Times New Roman"/>
          <w:sz w:val="24"/>
          <w:szCs w:val="24"/>
        </w:rPr>
        <w:t xml:space="preserve"> the contribution of pro-inflammatory cytokine activation and, more recently, </w:t>
      </w:r>
      <w:proofErr w:type="spellStart"/>
      <w:r w:rsidRPr="00A96E75">
        <w:rPr>
          <w:rFonts w:ascii="Times New Roman" w:hAnsi="Times New Roman" w:cs="Times New Roman"/>
          <w:sz w:val="24"/>
          <w:szCs w:val="24"/>
        </w:rPr>
        <w:t>pyroptotic</w:t>
      </w:r>
      <w:proofErr w:type="spellEnd"/>
      <w:r w:rsidRPr="00A96E75">
        <w:rPr>
          <w:rFonts w:ascii="Times New Roman" w:hAnsi="Times New Roman" w:cs="Times New Roman"/>
          <w:sz w:val="24"/>
          <w:szCs w:val="24"/>
        </w:rPr>
        <w:t xml:space="preserve"> cell death pathways to lead-induced renal pathology, extending earlier descriptions of glomerular shrinkage, tubular dilation, and interstitial vascular congestion </w:t>
      </w:r>
      <w:r w:rsidR="004652D7" w:rsidRPr="0000705D">
        <w:rPr>
          <w:rFonts w:ascii="Times New Roman" w:hAnsi="Times New Roman" w:cs="Times New Roman"/>
          <w:sz w:val="24"/>
          <w:szCs w:val="24"/>
          <w:vertAlign w:val="superscript"/>
        </w:rPr>
        <w:t>[</w:t>
      </w:r>
      <w:r w:rsidR="0000705D" w:rsidRPr="0000705D">
        <w:rPr>
          <w:rFonts w:ascii="Times New Roman" w:hAnsi="Times New Roman" w:cs="Times New Roman"/>
          <w:sz w:val="24"/>
          <w:szCs w:val="24"/>
          <w:vertAlign w:val="superscript"/>
        </w:rPr>
        <w:t>8, 1]</w:t>
      </w:r>
      <w:r w:rsidRPr="0000705D">
        <w:rPr>
          <w:rFonts w:ascii="Times New Roman" w:hAnsi="Times New Roman" w:cs="Times New Roman"/>
          <w:sz w:val="24"/>
          <w:szCs w:val="24"/>
          <w:vertAlign w:val="superscript"/>
        </w:rPr>
        <w:t>.</w:t>
      </w:r>
    </w:p>
    <w:p w:rsidR="00816A08" w:rsidRPr="00A96E75" w:rsidRDefault="008E6D20">
      <w:pPr>
        <w:spacing w:after="200" w:line="276" w:lineRule="auto"/>
        <w:jc w:val="both"/>
        <w:rPr>
          <w:rFonts w:ascii="Times New Roman" w:hAnsi="Times New Roman" w:cs="Times New Roman"/>
          <w:sz w:val="24"/>
          <w:szCs w:val="24"/>
        </w:rPr>
      </w:pPr>
      <w:r w:rsidRPr="00A96E75">
        <w:rPr>
          <w:rFonts w:ascii="Times New Roman" w:hAnsi="Times New Roman" w:cs="Times New Roman"/>
          <w:sz w:val="24"/>
          <w:szCs w:val="24"/>
        </w:rPr>
        <w:t xml:space="preserve">Despite this body of evidence, relatively few studies combine a graded, multi-dose design with simultaneous biochemical and </w:t>
      </w:r>
      <w:proofErr w:type="spellStart"/>
      <w:r w:rsidRPr="00A96E75">
        <w:rPr>
          <w:rFonts w:ascii="Times New Roman" w:hAnsi="Times New Roman" w:cs="Times New Roman"/>
          <w:sz w:val="24"/>
          <w:szCs w:val="24"/>
        </w:rPr>
        <w:t>histopathological</w:t>
      </w:r>
      <w:proofErr w:type="spellEnd"/>
      <w:r w:rsidRPr="00A96E75">
        <w:rPr>
          <w:rFonts w:ascii="Times New Roman" w:hAnsi="Times New Roman" w:cs="Times New Roman"/>
          <w:sz w:val="24"/>
          <w:szCs w:val="24"/>
        </w:rPr>
        <w:t xml:space="preserve"> assessment over a defined </w:t>
      </w:r>
      <w:proofErr w:type="spellStart"/>
      <w:r w:rsidRPr="00A96E75">
        <w:rPr>
          <w:rFonts w:ascii="Times New Roman" w:hAnsi="Times New Roman" w:cs="Times New Roman"/>
          <w:sz w:val="24"/>
          <w:szCs w:val="24"/>
        </w:rPr>
        <w:t>subacute</w:t>
      </w:r>
      <w:proofErr w:type="spellEnd"/>
      <w:r w:rsidRPr="00A96E75">
        <w:rPr>
          <w:rFonts w:ascii="Times New Roman" w:hAnsi="Times New Roman" w:cs="Times New Roman"/>
          <w:sz w:val="24"/>
          <w:szCs w:val="24"/>
        </w:rPr>
        <w:t xml:space="preserve"> exposure window, limiting the precision with which dose-response relationships can be </w:t>
      </w:r>
      <w:proofErr w:type="spellStart"/>
      <w:r w:rsidRPr="00A96E75">
        <w:rPr>
          <w:rFonts w:ascii="Times New Roman" w:hAnsi="Times New Roman" w:cs="Times New Roman"/>
          <w:sz w:val="24"/>
          <w:szCs w:val="24"/>
        </w:rPr>
        <w:t>characterised</w:t>
      </w:r>
      <w:proofErr w:type="spellEnd"/>
      <w:r w:rsidRPr="00A96E75">
        <w:rPr>
          <w:rFonts w:ascii="Times New Roman" w:hAnsi="Times New Roman" w:cs="Times New Roman"/>
          <w:sz w:val="24"/>
          <w:szCs w:val="24"/>
        </w:rPr>
        <w:t xml:space="preserve"> for risk-assessment purposes </w:t>
      </w:r>
      <w:r w:rsidR="004652D7" w:rsidRPr="004652D7">
        <w:rPr>
          <w:rFonts w:ascii="Times New Roman" w:hAnsi="Times New Roman" w:cs="Times New Roman"/>
          <w:sz w:val="24"/>
          <w:szCs w:val="24"/>
          <w:vertAlign w:val="superscript"/>
        </w:rPr>
        <w:t>[7, 27]</w:t>
      </w:r>
      <w:r w:rsidRPr="004652D7">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Environmental routes of exposure—including airborne particulates and contaminated dust—further complicate human risk estimation, reinforcing the value of controlled animal models in isolating dose-dependent renal effects </w:t>
      </w:r>
      <w:r w:rsidR="004652D7" w:rsidRPr="004652D7">
        <w:rPr>
          <w:rFonts w:ascii="Times New Roman" w:hAnsi="Times New Roman" w:cs="Times New Roman"/>
          <w:sz w:val="24"/>
          <w:szCs w:val="24"/>
          <w:vertAlign w:val="superscript"/>
        </w:rPr>
        <w:t>[28]</w:t>
      </w:r>
      <w:r w:rsidRPr="004652D7">
        <w:rPr>
          <w:rFonts w:ascii="Times New Roman" w:hAnsi="Times New Roman" w:cs="Times New Roman"/>
          <w:sz w:val="24"/>
          <w:szCs w:val="24"/>
          <w:vertAlign w:val="superscript"/>
        </w:rPr>
        <w:t>.</w:t>
      </w:r>
      <w:r w:rsidRPr="00A96E75">
        <w:rPr>
          <w:rFonts w:ascii="Times New Roman" w:hAnsi="Times New Roman" w:cs="Times New Roman"/>
          <w:sz w:val="24"/>
          <w:szCs w:val="24"/>
        </w:rPr>
        <w:t xml:space="preserve"> The present study was therefore designed to evaluate, in a single cohesive experiment, the effects of three graded oral doses of lead acetate (100, 200, and 400 mg/kg body weight) administered for 21 days on serum urea, creatinine, and uric acid, together with the corresponding </w:t>
      </w:r>
      <w:proofErr w:type="spellStart"/>
      <w:r w:rsidRPr="00A96E75">
        <w:rPr>
          <w:rFonts w:ascii="Times New Roman" w:hAnsi="Times New Roman" w:cs="Times New Roman"/>
          <w:sz w:val="24"/>
          <w:szCs w:val="24"/>
        </w:rPr>
        <w:t>histoarchitectural</w:t>
      </w:r>
      <w:proofErr w:type="spellEnd"/>
      <w:r w:rsidRPr="00A96E75">
        <w:rPr>
          <w:rFonts w:ascii="Times New Roman" w:hAnsi="Times New Roman" w:cs="Times New Roman"/>
          <w:sz w:val="24"/>
          <w:szCs w:val="24"/>
        </w:rPr>
        <w:t xml:space="preserve"> changes in the kidneys of adult male </w:t>
      </w:r>
      <w:proofErr w:type="spellStart"/>
      <w:r w:rsidRPr="00A96E75">
        <w:rPr>
          <w:rFonts w:ascii="Times New Roman" w:hAnsi="Times New Roman" w:cs="Times New Roman"/>
          <w:sz w:val="24"/>
          <w:szCs w:val="24"/>
        </w:rPr>
        <w:t>Wistar</w:t>
      </w:r>
      <w:proofErr w:type="spellEnd"/>
      <w:r w:rsidRPr="00A96E75">
        <w:rPr>
          <w:rFonts w:ascii="Times New Roman" w:hAnsi="Times New Roman" w:cs="Times New Roman"/>
          <w:sz w:val="24"/>
          <w:szCs w:val="24"/>
        </w:rPr>
        <w:t xml:space="preserve"> rats.</w:t>
      </w:r>
    </w:p>
    <w:p w:rsidR="00816A08" w:rsidRPr="00927760" w:rsidRDefault="008E6D20">
      <w:pPr>
        <w:pStyle w:val="Heading1"/>
        <w:rPr>
          <w:rFonts w:ascii="Times New Roman" w:hAnsi="Times New Roman" w:cs="Times New Roman"/>
          <w:color w:val="auto"/>
        </w:rPr>
      </w:pPr>
      <w:r w:rsidRPr="00927760">
        <w:rPr>
          <w:rFonts w:ascii="Times New Roman" w:hAnsi="Times New Roman" w:cs="Times New Roman"/>
          <w:color w:val="auto"/>
        </w:rPr>
        <w:t>2. MATERIALS AND METHODS</w:t>
      </w:r>
    </w:p>
    <w:p w:rsidR="00816A08" w:rsidRPr="00927760" w:rsidRDefault="008E6D20">
      <w:pPr>
        <w:pStyle w:val="Heading2"/>
        <w:rPr>
          <w:rFonts w:ascii="Times New Roman" w:hAnsi="Times New Roman" w:cs="Times New Roman"/>
          <w:color w:val="auto"/>
        </w:rPr>
      </w:pPr>
      <w:r w:rsidRPr="00927760">
        <w:rPr>
          <w:rFonts w:ascii="Times New Roman" w:hAnsi="Times New Roman" w:cs="Times New Roman"/>
          <w:color w:val="auto"/>
        </w:rPr>
        <w:t>2.1 Study Design and Animals</w:t>
      </w:r>
    </w:p>
    <w:p w:rsidR="00816A08" w:rsidRPr="00927760" w:rsidRDefault="008E6D20">
      <w:pPr>
        <w:spacing w:after="200" w:line="276" w:lineRule="auto"/>
        <w:jc w:val="both"/>
        <w:rPr>
          <w:rFonts w:ascii="Times New Roman" w:hAnsi="Times New Roman" w:cs="Times New Roman"/>
          <w:sz w:val="24"/>
          <w:szCs w:val="24"/>
        </w:rPr>
      </w:pPr>
      <w:r w:rsidRPr="00927760">
        <w:rPr>
          <w:rFonts w:ascii="Times New Roman" w:hAnsi="Times New Roman" w:cs="Times New Roman"/>
          <w:sz w:val="24"/>
          <w:szCs w:val="24"/>
        </w:rPr>
        <w:t xml:space="preserve">This study employed an experimental, parallel-group, controlled in vivo design to evaluate the dose-dependent renal toxicity of lead acetate. A total of twenty (20) adult male </w:t>
      </w:r>
      <w:proofErr w:type="spellStart"/>
      <w:r w:rsidRPr="00927760">
        <w:rPr>
          <w:rFonts w:ascii="Times New Roman" w:hAnsi="Times New Roman" w:cs="Times New Roman"/>
          <w:sz w:val="24"/>
          <w:szCs w:val="24"/>
        </w:rPr>
        <w:t>Wistar</w:t>
      </w:r>
      <w:proofErr w:type="spellEnd"/>
      <w:r w:rsidRPr="00927760">
        <w:rPr>
          <w:rFonts w:ascii="Times New Roman" w:hAnsi="Times New Roman" w:cs="Times New Roman"/>
          <w:sz w:val="24"/>
          <w:szCs w:val="24"/>
        </w:rPr>
        <w:t xml:space="preserve"> rats, with an initial body weight range of 150–200 g, were housed in standard polypropylene cages under controlled environmental conditions (temperature 22 ± 2°C; 12-hour light/dark cycle) with ad libitum access to a standard laboratory diet and water. Following a one-week </w:t>
      </w:r>
      <w:proofErr w:type="spellStart"/>
      <w:r w:rsidRPr="00927760">
        <w:rPr>
          <w:rFonts w:ascii="Times New Roman" w:hAnsi="Times New Roman" w:cs="Times New Roman"/>
          <w:sz w:val="24"/>
          <w:szCs w:val="24"/>
        </w:rPr>
        <w:t>acclimatisation</w:t>
      </w:r>
      <w:proofErr w:type="spellEnd"/>
      <w:r w:rsidRPr="00927760">
        <w:rPr>
          <w:rFonts w:ascii="Times New Roman" w:hAnsi="Times New Roman" w:cs="Times New Roman"/>
          <w:sz w:val="24"/>
          <w:szCs w:val="24"/>
        </w:rPr>
        <w:t xml:space="preserve"> period, the rats were randomly allocated into four experimental groups of five animals each (n = 5):</w:t>
      </w:r>
    </w:p>
    <w:p w:rsidR="00816A08" w:rsidRPr="00927760" w:rsidRDefault="008E6D20">
      <w:pPr>
        <w:pStyle w:val="ListParagraph"/>
        <w:numPr>
          <w:ilvl w:val="0"/>
          <w:numId w:val="2"/>
        </w:numPr>
        <w:spacing w:after="100"/>
        <w:rPr>
          <w:rFonts w:ascii="Times New Roman" w:hAnsi="Times New Roman" w:cs="Times New Roman"/>
          <w:sz w:val="24"/>
          <w:szCs w:val="24"/>
        </w:rPr>
      </w:pPr>
      <w:r w:rsidRPr="00927760">
        <w:rPr>
          <w:rFonts w:ascii="Times New Roman" w:hAnsi="Times New Roman" w:cs="Times New Roman"/>
          <w:sz w:val="24"/>
          <w:szCs w:val="24"/>
        </w:rPr>
        <w:t>Group 1 (Control; n = 5): received distilled water orally.</w:t>
      </w:r>
    </w:p>
    <w:p w:rsidR="00816A08" w:rsidRPr="00927760" w:rsidRDefault="008E6D20">
      <w:pPr>
        <w:pStyle w:val="ListParagraph"/>
        <w:numPr>
          <w:ilvl w:val="0"/>
          <w:numId w:val="2"/>
        </w:numPr>
        <w:spacing w:after="100"/>
        <w:rPr>
          <w:rFonts w:ascii="Times New Roman" w:hAnsi="Times New Roman" w:cs="Times New Roman"/>
          <w:sz w:val="24"/>
          <w:szCs w:val="24"/>
        </w:rPr>
      </w:pPr>
      <w:r w:rsidRPr="00927760">
        <w:rPr>
          <w:rFonts w:ascii="Times New Roman" w:hAnsi="Times New Roman" w:cs="Times New Roman"/>
          <w:sz w:val="24"/>
          <w:szCs w:val="24"/>
        </w:rPr>
        <w:t>Group 2 (Lead-100; n = 5): received lead acetate at 100 mg/kg body weight orally.</w:t>
      </w:r>
    </w:p>
    <w:p w:rsidR="00816A08" w:rsidRPr="00927760" w:rsidRDefault="008E6D20">
      <w:pPr>
        <w:pStyle w:val="ListParagraph"/>
        <w:numPr>
          <w:ilvl w:val="0"/>
          <w:numId w:val="2"/>
        </w:numPr>
        <w:spacing w:after="100"/>
        <w:rPr>
          <w:rFonts w:ascii="Times New Roman" w:hAnsi="Times New Roman" w:cs="Times New Roman"/>
          <w:sz w:val="24"/>
          <w:szCs w:val="24"/>
        </w:rPr>
      </w:pPr>
      <w:r w:rsidRPr="00927760">
        <w:rPr>
          <w:rFonts w:ascii="Times New Roman" w:hAnsi="Times New Roman" w:cs="Times New Roman"/>
          <w:sz w:val="24"/>
          <w:szCs w:val="24"/>
        </w:rPr>
        <w:t>Group 3 (Lead-200; n = 5): received lead acetate at 200 mg/kg body weight orally.</w:t>
      </w:r>
    </w:p>
    <w:p w:rsidR="00816A08" w:rsidRPr="00927760" w:rsidRDefault="008E6D20">
      <w:pPr>
        <w:pStyle w:val="ListParagraph"/>
        <w:numPr>
          <w:ilvl w:val="0"/>
          <w:numId w:val="2"/>
        </w:numPr>
        <w:spacing w:after="100"/>
        <w:rPr>
          <w:rFonts w:ascii="Times New Roman" w:hAnsi="Times New Roman" w:cs="Times New Roman"/>
          <w:sz w:val="24"/>
          <w:szCs w:val="24"/>
        </w:rPr>
      </w:pPr>
      <w:r w:rsidRPr="00927760">
        <w:rPr>
          <w:rFonts w:ascii="Times New Roman" w:hAnsi="Times New Roman" w:cs="Times New Roman"/>
          <w:sz w:val="24"/>
          <w:szCs w:val="24"/>
        </w:rPr>
        <w:t>Group 4 (Lead-400; n = 5): received lead acetate at 400 mg/kg body weight orally.</w:t>
      </w:r>
    </w:p>
    <w:p w:rsidR="00816A08" w:rsidRPr="001E5ECD" w:rsidRDefault="008E6D20">
      <w:pPr>
        <w:spacing w:after="200" w:line="276" w:lineRule="auto"/>
        <w:jc w:val="both"/>
        <w:rPr>
          <w:rFonts w:ascii="Times New Roman" w:hAnsi="Times New Roman" w:cs="Times New Roman"/>
        </w:rPr>
      </w:pPr>
      <w:r w:rsidRPr="00927760">
        <w:rPr>
          <w:rFonts w:ascii="Times New Roman" w:hAnsi="Times New Roman" w:cs="Times New Roman"/>
          <w:sz w:val="24"/>
          <w:szCs w:val="24"/>
        </w:rPr>
        <w:t xml:space="preserve">All doses were administered once daily by oral gavage for 21 consecutive days. The dose range was selected to span low, intermediate, and high sub-lethal exposures consistent with previous </w:t>
      </w:r>
      <w:proofErr w:type="spellStart"/>
      <w:r w:rsidRPr="00927760">
        <w:rPr>
          <w:rFonts w:ascii="Times New Roman" w:hAnsi="Times New Roman" w:cs="Times New Roman"/>
          <w:sz w:val="24"/>
          <w:szCs w:val="24"/>
        </w:rPr>
        <w:t>subacute</w:t>
      </w:r>
      <w:proofErr w:type="spellEnd"/>
      <w:r w:rsidRPr="00927760">
        <w:rPr>
          <w:rFonts w:ascii="Times New Roman" w:hAnsi="Times New Roman" w:cs="Times New Roman"/>
          <w:sz w:val="24"/>
          <w:szCs w:val="24"/>
        </w:rPr>
        <w:t xml:space="preserve"> lead acetate toxicity paradigms in rodents </w:t>
      </w:r>
      <w:r w:rsidR="000263F7" w:rsidRPr="000263F7">
        <w:rPr>
          <w:rFonts w:ascii="Times New Roman" w:hAnsi="Times New Roman" w:cs="Times New Roman"/>
          <w:sz w:val="24"/>
          <w:szCs w:val="24"/>
          <w:vertAlign w:val="superscript"/>
        </w:rPr>
        <w:t>[25, 17]</w:t>
      </w:r>
      <w:r w:rsidRPr="000263F7">
        <w:rPr>
          <w:rFonts w:ascii="Times New Roman" w:hAnsi="Times New Roman" w:cs="Times New Roman"/>
          <w:sz w:val="24"/>
          <w:szCs w:val="24"/>
          <w:vertAlign w:val="superscript"/>
        </w:rPr>
        <w:t>.</w:t>
      </w:r>
    </w:p>
    <w:p w:rsidR="00816A08" w:rsidRPr="00F86624" w:rsidRDefault="008E6D20">
      <w:pPr>
        <w:pStyle w:val="Heading2"/>
        <w:rPr>
          <w:rFonts w:ascii="Times New Roman" w:hAnsi="Times New Roman" w:cs="Times New Roman"/>
          <w:color w:val="auto"/>
        </w:rPr>
      </w:pPr>
      <w:r w:rsidRPr="00F86624">
        <w:rPr>
          <w:rFonts w:ascii="Times New Roman" w:hAnsi="Times New Roman" w:cs="Times New Roman"/>
          <w:color w:val="auto"/>
        </w:rPr>
        <w:t>2.2 Sample Collection and Biochemical Analysis</w:t>
      </w:r>
    </w:p>
    <w:p w:rsidR="00816A08" w:rsidRPr="00F86624" w:rsidRDefault="008E6D20">
      <w:pPr>
        <w:spacing w:after="200" w:line="276" w:lineRule="auto"/>
        <w:jc w:val="both"/>
        <w:rPr>
          <w:rFonts w:ascii="Times New Roman" w:hAnsi="Times New Roman" w:cs="Times New Roman"/>
          <w:sz w:val="24"/>
          <w:szCs w:val="24"/>
        </w:rPr>
      </w:pPr>
      <w:r w:rsidRPr="00F86624">
        <w:rPr>
          <w:rFonts w:ascii="Times New Roman" w:hAnsi="Times New Roman" w:cs="Times New Roman"/>
          <w:sz w:val="24"/>
          <w:szCs w:val="24"/>
        </w:rPr>
        <w:t xml:space="preserve">At the end of the 21-day exposure period, blood samples were collected and allowed to clot, and serum was separated by centrifugation for determination of urea, creatinine, and uric acid </w:t>
      </w:r>
      <w:r w:rsidRPr="00F86624">
        <w:rPr>
          <w:rFonts w:ascii="Times New Roman" w:hAnsi="Times New Roman" w:cs="Times New Roman"/>
          <w:sz w:val="24"/>
          <w:szCs w:val="24"/>
        </w:rPr>
        <w:lastRenderedPageBreak/>
        <w:t>concentrations using standard diagnostic assay procedures. All biochemical values are expressed in mg/dl.</w:t>
      </w:r>
    </w:p>
    <w:p w:rsidR="00816A08" w:rsidRPr="00F86624" w:rsidRDefault="008E6D20">
      <w:pPr>
        <w:pStyle w:val="Heading2"/>
        <w:rPr>
          <w:rFonts w:ascii="Times New Roman" w:hAnsi="Times New Roman" w:cs="Times New Roman"/>
          <w:color w:val="auto"/>
        </w:rPr>
      </w:pPr>
      <w:r w:rsidRPr="00F86624">
        <w:rPr>
          <w:rFonts w:ascii="Times New Roman" w:hAnsi="Times New Roman" w:cs="Times New Roman"/>
          <w:color w:val="auto"/>
        </w:rPr>
        <w:t xml:space="preserve">2.3 </w:t>
      </w:r>
      <w:proofErr w:type="spellStart"/>
      <w:r w:rsidRPr="00F86624">
        <w:rPr>
          <w:rFonts w:ascii="Times New Roman" w:hAnsi="Times New Roman" w:cs="Times New Roman"/>
          <w:color w:val="auto"/>
        </w:rPr>
        <w:t>Histopathological</w:t>
      </w:r>
      <w:proofErr w:type="spellEnd"/>
      <w:r w:rsidRPr="00F86624">
        <w:rPr>
          <w:rFonts w:ascii="Times New Roman" w:hAnsi="Times New Roman" w:cs="Times New Roman"/>
          <w:color w:val="auto"/>
        </w:rPr>
        <w:t xml:space="preserve"> Processing</w:t>
      </w:r>
    </w:p>
    <w:p w:rsidR="00816A08" w:rsidRPr="008D29D2" w:rsidRDefault="008E6D20">
      <w:pPr>
        <w:spacing w:after="200" w:line="276" w:lineRule="auto"/>
        <w:jc w:val="both"/>
        <w:rPr>
          <w:rFonts w:ascii="Times New Roman" w:hAnsi="Times New Roman" w:cs="Times New Roman"/>
          <w:sz w:val="24"/>
          <w:szCs w:val="24"/>
        </w:rPr>
      </w:pPr>
      <w:r w:rsidRPr="008D29D2">
        <w:rPr>
          <w:rFonts w:ascii="Times New Roman" w:hAnsi="Times New Roman" w:cs="Times New Roman"/>
          <w:sz w:val="24"/>
          <w:szCs w:val="24"/>
        </w:rPr>
        <w:t xml:space="preserve">Kidneys were harvested, rinsed in normal saline, and fixed for histological processing. Tissue sections were dehydrated through graded alcohols, embedded in paraffin wax, sectioned, and stained with </w:t>
      </w:r>
      <w:proofErr w:type="spellStart"/>
      <w:r w:rsidRPr="008D29D2">
        <w:rPr>
          <w:rFonts w:ascii="Times New Roman" w:hAnsi="Times New Roman" w:cs="Times New Roman"/>
          <w:sz w:val="24"/>
          <w:szCs w:val="24"/>
        </w:rPr>
        <w:t>haematoxylin</w:t>
      </w:r>
      <w:proofErr w:type="spellEnd"/>
      <w:r w:rsidRPr="008D29D2">
        <w:rPr>
          <w:rFonts w:ascii="Times New Roman" w:hAnsi="Times New Roman" w:cs="Times New Roman"/>
          <w:sz w:val="24"/>
          <w:szCs w:val="24"/>
        </w:rPr>
        <w:t xml:space="preserve"> and eosin (H&amp;E) for light-microscopic examination at ×100 magnification, consistent with standard renal </w:t>
      </w:r>
      <w:proofErr w:type="spellStart"/>
      <w:r w:rsidRPr="008D29D2">
        <w:rPr>
          <w:rFonts w:ascii="Times New Roman" w:hAnsi="Times New Roman" w:cs="Times New Roman"/>
          <w:sz w:val="24"/>
          <w:szCs w:val="24"/>
        </w:rPr>
        <w:t>histopathological</w:t>
      </w:r>
      <w:proofErr w:type="spellEnd"/>
      <w:r w:rsidRPr="008D29D2">
        <w:rPr>
          <w:rFonts w:ascii="Times New Roman" w:hAnsi="Times New Roman" w:cs="Times New Roman"/>
          <w:sz w:val="24"/>
          <w:szCs w:val="24"/>
        </w:rPr>
        <w:t xml:space="preserve"> assessment protocols (</w:t>
      </w:r>
      <w:proofErr w:type="spellStart"/>
      <w:r w:rsidRPr="008D29D2">
        <w:rPr>
          <w:rFonts w:ascii="Times New Roman" w:hAnsi="Times New Roman" w:cs="Times New Roman"/>
          <w:sz w:val="24"/>
          <w:szCs w:val="24"/>
        </w:rPr>
        <w:t>Moneim</w:t>
      </w:r>
      <w:proofErr w:type="spellEnd"/>
      <w:r w:rsidRPr="008D29D2">
        <w:rPr>
          <w:rFonts w:ascii="Times New Roman" w:hAnsi="Times New Roman" w:cs="Times New Roman"/>
          <w:sz w:val="24"/>
          <w:szCs w:val="24"/>
        </w:rPr>
        <w:t xml:space="preserve"> et al., 2023). Sections were evaluated for glomerular morphology (corpuscle integrity, Bowman’s space), tubular architecture (epithelial lining, luminal dilation), and interstitial changes (congestion, inflammatory infiltrate, </w:t>
      </w:r>
      <w:proofErr w:type="spellStart"/>
      <w:r w:rsidRPr="008D29D2">
        <w:rPr>
          <w:rFonts w:ascii="Times New Roman" w:hAnsi="Times New Roman" w:cs="Times New Roman"/>
          <w:sz w:val="24"/>
          <w:szCs w:val="24"/>
        </w:rPr>
        <w:t>haemorrhage</w:t>
      </w:r>
      <w:proofErr w:type="spellEnd"/>
      <w:r w:rsidRPr="008D29D2">
        <w:rPr>
          <w:rFonts w:ascii="Times New Roman" w:hAnsi="Times New Roman" w:cs="Times New Roman"/>
          <w:sz w:val="24"/>
          <w:szCs w:val="24"/>
        </w:rPr>
        <w:t>).</w:t>
      </w:r>
    </w:p>
    <w:p w:rsidR="00816A08" w:rsidRPr="008D29D2" w:rsidRDefault="008E6D20">
      <w:pPr>
        <w:pStyle w:val="Heading2"/>
        <w:rPr>
          <w:rFonts w:ascii="Times New Roman" w:hAnsi="Times New Roman" w:cs="Times New Roman"/>
          <w:color w:val="auto"/>
        </w:rPr>
      </w:pPr>
      <w:r w:rsidRPr="008D29D2">
        <w:rPr>
          <w:rFonts w:ascii="Times New Roman" w:hAnsi="Times New Roman" w:cs="Times New Roman"/>
          <w:color w:val="auto"/>
        </w:rPr>
        <w:t>2.4 Statistical Analysis</w:t>
      </w:r>
    </w:p>
    <w:p w:rsidR="00816A08" w:rsidRPr="008D29D2" w:rsidRDefault="008E6D20">
      <w:pPr>
        <w:spacing w:after="200" w:line="276" w:lineRule="auto"/>
        <w:jc w:val="both"/>
        <w:rPr>
          <w:rFonts w:ascii="Times New Roman" w:hAnsi="Times New Roman" w:cs="Times New Roman"/>
          <w:sz w:val="24"/>
          <w:szCs w:val="24"/>
        </w:rPr>
      </w:pPr>
      <w:r w:rsidRPr="008D29D2">
        <w:rPr>
          <w:rFonts w:ascii="Times New Roman" w:hAnsi="Times New Roman" w:cs="Times New Roman"/>
          <w:sz w:val="24"/>
          <w:szCs w:val="24"/>
        </w:rPr>
        <w:t>Experimental data are presented as mean ± standard error of the mean (SEM). Statistical analysis was performed using SPSS version 20.0 (SPSS Inc., Chicago, IL). One-way analysis of variance (ANOVA) was used to compare variables among groups, with post hoc comparisons performed using Duncan’s Multiple Range Test. Differences between means were considered statistically significant at p &lt; 0.05.</w:t>
      </w:r>
    </w:p>
    <w:p w:rsidR="00816A08" w:rsidRPr="008D29D2" w:rsidRDefault="008E6D20">
      <w:pPr>
        <w:pStyle w:val="Heading1"/>
        <w:rPr>
          <w:rFonts w:ascii="Times New Roman" w:hAnsi="Times New Roman" w:cs="Times New Roman"/>
          <w:color w:val="auto"/>
        </w:rPr>
      </w:pPr>
      <w:r w:rsidRPr="008D29D2">
        <w:rPr>
          <w:rFonts w:ascii="Times New Roman" w:hAnsi="Times New Roman" w:cs="Times New Roman"/>
          <w:color w:val="auto"/>
        </w:rPr>
        <w:t>3. RESULTS</w:t>
      </w:r>
    </w:p>
    <w:p w:rsidR="00816A08" w:rsidRPr="008D29D2" w:rsidRDefault="008E6D20">
      <w:pPr>
        <w:pStyle w:val="Heading2"/>
        <w:rPr>
          <w:rFonts w:ascii="Times New Roman" w:hAnsi="Times New Roman" w:cs="Times New Roman"/>
          <w:color w:val="auto"/>
        </w:rPr>
      </w:pPr>
      <w:r w:rsidRPr="008D29D2">
        <w:rPr>
          <w:rFonts w:ascii="Times New Roman" w:hAnsi="Times New Roman" w:cs="Times New Roman"/>
          <w:color w:val="auto"/>
        </w:rPr>
        <w:t>3.1 Effect of Lead Acetate on Serum Renal Biomarkers</w:t>
      </w:r>
    </w:p>
    <w:p w:rsidR="00816A08" w:rsidRPr="008D29D2" w:rsidRDefault="008E6D20">
      <w:pPr>
        <w:spacing w:after="200" w:line="276" w:lineRule="auto"/>
        <w:jc w:val="both"/>
        <w:rPr>
          <w:rFonts w:ascii="Times New Roman" w:hAnsi="Times New Roman" w:cs="Times New Roman"/>
          <w:sz w:val="24"/>
          <w:szCs w:val="24"/>
        </w:rPr>
      </w:pPr>
      <w:r w:rsidRPr="008D29D2">
        <w:rPr>
          <w:rFonts w:ascii="Times New Roman" w:hAnsi="Times New Roman" w:cs="Times New Roman"/>
          <w:sz w:val="24"/>
          <w:szCs w:val="24"/>
        </w:rPr>
        <w:t>Oral administration of lead acetate produced dose-dependent alterations in serum biochemical markers of renal function (Table 1). Serum urea concentrations were marginally lower than control in the 100 mg/kg (73.38 mg/dl) and 200 mg/kg (68.83 mg/dl) groups, but rose above control values in the 400 mg/kg group (80.42 mg/dl versus 74.98 mg/dl in control), a pattern consistent with declining glomerular filtration capacity specifically at the highest dose tested. Serum creatinine followed a similar trajectory, remaining close to control in the 100 mg/kg (0.97 mg/dl) and 200 mg/kg (1.03 mg/dl) groups before increasing to its highest value in the 400 mg/kg group (1.13 mg/dl versus 1.00 mg/dl in control).</w:t>
      </w:r>
    </w:p>
    <w:p w:rsidR="00816A08" w:rsidRPr="008D29D2" w:rsidRDefault="008E6D20">
      <w:pPr>
        <w:spacing w:after="200" w:line="276" w:lineRule="auto"/>
        <w:jc w:val="both"/>
        <w:rPr>
          <w:rFonts w:ascii="Times New Roman" w:hAnsi="Times New Roman" w:cs="Times New Roman"/>
          <w:sz w:val="24"/>
          <w:szCs w:val="24"/>
        </w:rPr>
      </w:pPr>
      <w:r w:rsidRPr="008D29D2">
        <w:rPr>
          <w:rFonts w:ascii="Times New Roman" w:hAnsi="Times New Roman" w:cs="Times New Roman"/>
          <w:sz w:val="24"/>
          <w:szCs w:val="24"/>
        </w:rPr>
        <w:t>Serum uric acid, by contrast, was elevated relative to control across the lower and upper dose groups: concentrations rose from 7.76 mg/dl in control to 8.82 mg/dl in the 100 mg/kg group and 8.88 mg/dl in the 400 mg/kg group, both representing statistically significant elevations (p &lt; 0.05), while the 200 mg/kg group showed a smaller, non-significant increase (8.12 mg/dl). This pattern indicates that uric acid handling was disturbed even at the lowest dose of lead acetate tested, ahead of any significant change in urea or creatinine, suggesting that uric acid may serve as a more sensitive early indicator of lead-induced renal stress than the conventional excretory markers in this model.</w:t>
      </w:r>
    </w:p>
    <w:p w:rsidR="00816A08" w:rsidRPr="001E5ECD" w:rsidRDefault="008E6D20">
      <w:pPr>
        <w:spacing w:before="120" w:after="100"/>
        <w:rPr>
          <w:rFonts w:ascii="Times New Roman" w:hAnsi="Times New Roman" w:cs="Times New Roman"/>
        </w:rPr>
      </w:pPr>
      <w:r w:rsidRPr="001E5ECD">
        <w:rPr>
          <w:rFonts w:ascii="Times New Roman" w:hAnsi="Times New Roman" w:cs="Times New Roman"/>
          <w:b/>
          <w:bCs/>
        </w:rPr>
        <w:t>Table 1. Serum biochemical markers of renal function across experimental groups (mg/dl).</w:t>
      </w:r>
    </w:p>
    <w:tbl>
      <w:tblPr>
        <w:tblW w:w="11580"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00"/>
        <w:gridCol w:w="2220"/>
        <w:gridCol w:w="2220"/>
        <w:gridCol w:w="2220"/>
        <w:gridCol w:w="2220"/>
      </w:tblGrid>
      <w:tr w:rsidR="00816A08" w:rsidRPr="001E5ECD" w:rsidTr="008D29D2">
        <w:trPr>
          <w:tblHeader/>
        </w:trPr>
        <w:tc>
          <w:tcPr>
            <w:tcW w:w="2700" w:type="dxa"/>
            <w:tcBorders>
              <w:top w:val="single" w:sz="2" w:space="0" w:color="999999"/>
              <w:left w:val="single" w:sz="2" w:space="0" w:color="999999"/>
              <w:bottom w:val="single" w:sz="2" w:space="0" w:color="999999"/>
              <w:right w:val="single" w:sz="2" w:space="0" w:color="999999"/>
            </w:tcBorders>
            <w:shd w:val="clear" w:color="auto" w:fill="D9E2F3"/>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b/>
                <w:bCs/>
                <w:sz w:val="21"/>
                <w:szCs w:val="21"/>
              </w:rPr>
              <w:lastRenderedPageBreak/>
              <w:t>Parameter</w:t>
            </w:r>
          </w:p>
        </w:tc>
        <w:tc>
          <w:tcPr>
            <w:tcW w:w="2220" w:type="dxa"/>
            <w:tcBorders>
              <w:top w:val="single" w:sz="2" w:space="0" w:color="999999"/>
              <w:left w:val="single" w:sz="2" w:space="0" w:color="999999"/>
              <w:bottom w:val="single" w:sz="2" w:space="0" w:color="999999"/>
              <w:right w:val="single" w:sz="2" w:space="0" w:color="999999"/>
            </w:tcBorders>
            <w:shd w:val="clear" w:color="auto" w:fill="D9E2F3"/>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b/>
                <w:bCs/>
                <w:sz w:val="21"/>
                <w:szCs w:val="21"/>
              </w:rPr>
              <w:t>Control</w:t>
            </w:r>
          </w:p>
        </w:tc>
        <w:tc>
          <w:tcPr>
            <w:tcW w:w="2220" w:type="dxa"/>
            <w:tcBorders>
              <w:top w:val="single" w:sz="2" w:space="0" w:color="999999"/>
              <w:left w:val="single" w:sz="2" w:space="0" w:color="999999"/>
              <w:bottom w:val="single" w:sz="2" w:space="0" w:color="999999"/>
              <w:right w:val="single" w:sz="2" w:space="0" w:color="999999"/>
            </w:tcBorders>
            <w:shd w:val="clear" w:color="auto" w:fill="D9E2F3"/>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b/>
                <w:bCs/>
                <w:sz w:val="21"/>
                <w:szCs w:val="21"/>
              </w:rPr>
              <w:t>100 mg/kg</w:t>
            </w:r>
          </w:p>
        </w:tc>
        <w:tc>
          <w:tcPr>
            <w:tcW w:w="2220" w:type="dxa"/>
            <w:tcBorders>
              <w:top w:val="single" w:sz="2" w:space="0" w:color="999999"/>
              <w:left w:val="single" w:sz="2" w:space="0" w:color="999999"/>
              <w:bottom w:val="single" w:sz="2" w:space="0" w:color="999999"/>
              <w:right w:val="single" w:sz="2" w:space="0" w:color="999999"/>
            </w:tcBorders>
            <w:shd w:val="clear" w:color="auto" w:fill="D9E2F3"/>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b/>
                <w:bCs/>
                <w:sz w:val="21"/>
                <w:szCs w:val="21"/>
              </w:rPr>
              <w:t>200 mg/kg</w:t>
            </w:r>
          </w:p>
        </w:tc>
        <w:tc>
          <w:tcPr>
            <w:tcW w:w="2220" w:type="dxa"/>
            <w:tcBorders>
              <w:top w:val="single" w:sz="2" w:space="0" w:color="999999"/>
              <w:left w:val="single" w:sz="2" w:space="0" w:color="999999"/>
              <w:bottom w:val="single" w:sz="2" w:space="0" w:color="999999"/>
              <w:right w:val="single" w:sz="2" w:space="0" w:color="999999"/>
            </w:tcBorders>
            <w:shd w:val="clear" w:color="auto" w:fill="D9E2F3"/>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b/>
                <w:bCs/>
                <w:sz w:val="21"/>
                <w:szCs w:val="21"/>
              </w:rPr>
              <w:t>400 mg/kg</w:t>
            </w:r>
          </w:p>
        </w:tc>
      </w:tr>
      <w:tr w:rsidR="00816A08" w:rsidRPr="001E5ECD" w:rsidTr="008D29D2">
        <w:tc>
          <w:tcPr>
            <w:tcW w:w="270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rPr>
                <w:rFonts w:ascii="Times New Roman" w:hAnsi="Times New Roman" w:cs="Times New Roman"/>
              </w:rPr>
            </w:pPr>
            <w:r w:rsidRPr="001E5ECD">
              <w:rPr>
                <w:rFonts w:ascii="Times New Roman" w:hAnsi="Times New Roman" w:cs="Times New Roman"/>
                <w:b/>
                <w:bCs/>
                <w:sz w:val="21"/>
                <w:szCs w:val="21"/>
              </w:rPr>
              <w:t>Urea (mg/dl)</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74.98</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73.38</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68.83</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80.42</w:t>
            </w:r>
          </w:p>
        </w:tc>
      </w:tr>
      <w:tr w:rsidR="00816A08" w:rsidRPr="001E5ECD" w:rsidTr="008D29D2">
        <w:tc>
          <w:tcPr>
            <w:tcW w:w="270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rPr>
                <w:rFonts w:ascii="Times New Roman" w:hAnsi="Times New Roman" w:cs="Times New Roman"/>
              </w:rPr>
            </w:pPr>
            <w:r w:rsidRPr="001E5ECD">
              <w:rPr>
                <w:rFonts w:ascii="Times New Roman" w:hAnsi="Times New Roman" w:cs="Times New Roman"/>
                <w:b/>
                <w:bCs/>
                <w:sz w:val="21"/>
                <w:szCs w:val="21"/>
              </w:rPr>
              <w:t>Creatinine (mg/dl)</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1.00</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0.97</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1.03</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1.13</w:t>
            </w:r>
          </w:p>
        </w:tc>
      </w:tr>
      <w:tr w:rsidR="00816A08" w:rsidRPr="001E5ECD" w:rsidTr="008D29D2">
        <w:tc>
          <w:tcPr>
            <w:tcW w:w="270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rPr>
                <w:rFonts w:ascii="Times New Roman" w:hAnsi="Times New Roman" w:cs="Times New Roman"/>
              </w:rPr>
            </w:pPr>
            <w:r w:rsidRPr="001E5ECD">
              <w:rPr>
                <w:rFonts w:ascii="Times New Roman" w:hAnsi="Times New Roman" w:cs="Times New Roman"/>
                <w:b/>
                <w:bCs/>
                <w:sz w:val="21"/>
                <w:szCs w:val="21"/>
              </w:rPr>
              <w:t>Uric Acid (mg/dl)</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7.76</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8.82</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8.12</w:t>
            </w:r>
          </w:p>
        </w:tc>
        <w:tc>
          <w:tcPr>
            <w:tcW w:w="2220" w:type="dxa"/>
            <w:tcBorders>
              <w:top w:val="single" w:sz="2" w:space="0" w:color="999999"/>
              <w:left w:val="single" w:sz="2" w:space="0" w:color="999999"/>
              <w:bottom w:val="single" w:sz="2" w:space="0" w:color="999999"/>
              <w:right w:val="single" w:sz="2" w:space="0" w:color="999999"/>
            </w:tcBorders>
            <w:tcMar>
              <w:top w:w="80" w:type="dxa"/>
              <w:left w:w="120" w:type="dxa"/>
              <w:bottom w:w="80" w:type="dxa"/>
              <w:right w:w="120" w:type="dxa"/>
            </w:tcMar>
            <w:vAlign w:val="center"/>
          </w:tcPr>
          <w:p w:rsidR="00816A08" w:rsidRPr="001E5ECD" w:rsidRDefault="008E6D20">
            <w:pPr>
              <w:jc w:val="center"/>
              <w:rPr>
                <w:rFonts w:ascii="Times New Roman" w:hAnsi="Times New Roman" w:cs="Times New Roman"/>
              </w:rPr>
            </w:pPr>
            <w:r w:rsidRPr="001E5ECD">
              <w:rPr>
                <w:rFonts w:ascii="Times New Roman" w:hAnsi="Times New Roman" w:cs="Times New Roman"/>
                <w:sz w:val="21"/>
                <w:szCs w:val="21"/>
              </w:rPr>
              <w:t>8.88</w:t>
            </w:r>
          </w:p>
        </w:tc>
      </w:tr>
    </w:tbl>
    <w:p w:rsidR="00816A08" w:rsidRPr="001E5ECD" w:rsidRDefault="00816A08">
      <w:pPr>
        <w:spacing w:before="320"/>
        <w:rPr>
          <w:rFonts w:ascii="Times New Roman" w:hAnsi="Times New Roman" w:cs="Times New Roman"/>
        </w:rPr>
      </w:pPr>
    </w:p>
    <w:p w:rsidR="00816A08" w:rsidRPr="00DB453B" w:rsidRDefault="008E6D20">
      <w:pPr>
        <w:pStyle w:val="Heading2"/>
        <w:rPr>
          <w:rFonts w:ascii="Times New Roman" w:hAnsi="Times New Roman" w:cs="Times New Roman"/>
          <w:color w:val="auto"/>
        </w:rPr>
      </w:pPr>
      <w:r w:rsidRPr="00DB453B">
        <w:rPr>
          <w:rFonts w:ascii="Times New Roman" w:hAnsi="Times New Roman" w:cs="Times New Roman"/>
          <w:color w:val="auto"/>
        </w:rPr>
        <w:t xml:space="preserve">3.2 </w:t>
      </w:r>
      <w:proofErr w:type="spellStart"/>
      <w:r w:rsidRPr="00DB453B">
        <w:rPr>
          <w:rFonts w:ascii="Times New Roman" w:hAnsi="Times New Roman" w:cs="Times New Roman"/>
          <w:color w:val="auto"/>
        </w:rPr>
        <w:t>Histopathological</w:t>
      </w:r>
      <w:proofErr w:type="spellEnd"/>
      <w:r w:rsidRPr="00DB453B">
        <w:rPr>
          <w:rFonts w:ascii="Times New Roman" w:hAnsi="Times New Roman" w:cs="Times New Roman"/>
          <w:color w:val="auto"/>
        </w:rPr>
        <w:t xml:space="preserve"> Findings</w:t>
      </w:r>
    </w:p>
    <w:p w:rsidR="00816A08" w:rsidRPr="001E5ECD" w:rsidRDefault="008E6D20">
      <w:pPr>
        <w:spacing w:before="120" w:after="100"/>
        <w:rPr>
          <w:rFonts w:ascii="Times New Roman" w:hAnsi="Times New Roman" w:cs="Times New Roman"/>
        </w:rPr>
      </w:pPr>
      <w:r w:rsidRPr="001E5ECD">
        <w:rPr>
          <w:rFonts w:ascii="Times New Roman" w:hAnsi="Times New Roman" w:cs="Times New Roman"/>
          <w:b/>
          <w:bCs/>
        </w:rPr>
        <w:t>Figure 1. Photomicrographs of H&amp;E-stained kidney sections (×100) across experimental groups.</w:t>
      </w:r>
    </w:p>
    <w:tbl>
      <w:tblPr>
        <w:tblW w:w="1158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90"/>
        <w:gridCol w:w="5790"/>
      </w:tblGrid>
      <w:tr w:rsidR="00816A08" w:rsidRPr="001E5ECD">
        <w:tc>
          <w:tcPr>
            <w:tcW w:w="5790" w:type="dxa"/>
            <w:tcBorders>
              <w:top w:val="single" w:sz="2" w:space="0" w:color="999999"/>
              <w:left w:val="single" w:sz="2" w:space="0" w:color="999999"/>
              <w:bottom w:val="single" w:sz="2" w:space="0" w:color="999999"/>
              <w:right w:val="single" w:sz="2" w:space="0" w:color="999999"/>
            </w:tcBorders>
            <w:tcMar>
              <w:top w:w="100" w:type="dxa"/>
              <w:left w:w="100" w:type="dxa"/>
              <w:bottom w:w="100" w:type="dxa"/>
              <w:right w:w="100" w:type="dxa"/>
            </w:tcMar>
          </w:tcPr>
          <w:p w:rsidR="00816A08" w:rsidRPr="001E5ECD" w:rsidRDefault="008E6D20">
            <w:pPr>
              <w:jc w:val="center"/>
              <w:rPr>
                <w:rFonts w:ascii="Times New Roman" w:hAnsi="Times New Roman" w:cs="Times New Roman"/>
              </w:rPr>
            </w:pPr>
            <w:r w:rsidRPr="001E5ECD">
              <w:rPr>
                <w:rFonts w:ascii="Times New Roman" w:hAnsi="Times New Roman" w:cs="Times New Roman"/>
                <w:noProof/>
              </w:rPr>
              <w:drawing>
                <wp:inline distT="0" distB="0" distL="0" distR="0">
                  <wp:extent cx="21907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2190750" cy="2190750"/>
                          </a:xfrm>
                          <a:prstGeom prst="rect">
                            <a:avLst/>
                          </a:prstGeom>
                        </pic:spPr>
                      </pic:pic>
                    </a:graphicData>
                  </a:graphic>
                </wp:inline>
              </w:drawing>
            </w:r>
          </w:p>
          <w:p w:rsidR="00816A08" w:rsidRPr="001E5ECD" w:rsidRDefault="008E6D20">
            <w:pPr>
              <w:spacing w:before="60"/>
              <w:jc w:val="center"/>
              <w:rPr>
                <w:rFonts w:ascii="Times New Roman" w:hAnsi="Times New Roman" w:cs="Times New Roman"/>
              </w:rPr>
            </w:pPr>
            <w:r w:rsidRPr="001E5ECD">
              <w:rPr>
                <w:rFonts w:ascii="Times New Roman" w:hAnsi="Times New Roman" w:cs="Times New Roman"/>
                <w:b/>
                <w:bCs/>
                <w:sz w:val="20"/>
                <w:szCs w:val="20"/>
              </w:rPr>
              <w:t>(A) Control</w:t>
            </w:r>
          </w:p>
        </w:tc>
        <w:tc>
          <w:tcPr>
            <w:tcW w:w="5790" w:type="dxa"/>
            <w:tcBorders>
              <w:top w:val="single" w:sz="2" w:space="0" w:color="999999"/>
              <w:left w:val="single" w:sz="2" w:space="0" w:color="999999"/>
              <w:bottom w:val="single" w:sz="2" w:space="0" w:color="999999"/>
              <w:right w:val="single" w:sz="2" w:space="0" w:color="999999"/>
            </w:tcBorders>
            <w:tcMar>
              <w:top w:w="100" w:type="dxa"/>
              <w:left w:w="100" w:type="dxa"/>
              <w:bottom w:w="100" w:type="dxa"/>
              <w:right w:w="100" w:type="dxa"/>
            </w:tcMar>
          </w:tcPr>
          <w:p w:rsidR="00816A08" w:rsidRPr="001E5ECD" w:rsidRDefault="008E6D20">
            <w:pPr>
              <w:jc w:val="center"/>
              <w:rPr>
                <w:rFonts w:ascii="Times New Roman" w:hAnsi="Times New Roman" w:cs="Times New Roman"/>
              </w:rPr>
            </w:pPr>
            <w:r w:rsidRPr="001E5ECD">
              <w:rPr>
                <w:rFonts w:ascii="Times New Roman" w:hAnsi="Times New Roman" w:cs="Times New Roman"/>
                <w:noProof/>
              </w:rPr>
              <w:drawing>
                <wp:inline distT="0" distB="0" distL="0" distR="0">
                  <wp:extent cx="21907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190750" cy="2190750"/>
                          </a:xfrm>
                          <a:prstGeom prst="rect">
                            <a:avLst/>
                          </a:prstGeom>
                        </pic:spPr>
                      </pic:pic>
                    </a:graphicData>
                  </a:graphic>
                </wp:inline>
              </w:drawing>
            </w:r>
          </w:p>
          <w:p w:rsidR="00816A08" w:rsidRPr="001E5ECD" w:rsidRDefault="008E6D20">
            <w:pPr>
              <w:spacing w:before="60"/>
              <w:jc w:val="center"/>
              <w:rPr>
                <w:rFonts w:ascii="Times New Roman" w:hAnsi="Times New Roman" w:cs="Times New Roman"/>
              </w:rPr>
            </w:pPr>
            <w:r w:rsidRPr="001E5ECD">
              <w:rPr>
                <w:rFonts w:ascii="Times New Roman" w:hAnsi="Times New Roman" w:cs="Times New Roman"/>
                <w:b/>
                <w:bCs/>
                <w:sz w:val="20"/>
                <w:szCs w:val="20"/>
              </w:rPr>
              <w:t>(B) 100 mg/kg lead acetate</w:t>
            </w:r>
          </w:p>
        </w:tc>
      </w:tr>
      <w:tr w:rsidR="00816A08" w:rsidRPr="001E5ECD">
        <w:tc>
          <w:tcPr>
            <w:tcW w:w="5790" w:type="dxa"/>
            <w:tcBorders>
              <w:top w:val="single" w:sz="2" w:space="0" w:color="999999"/>
              <w:left w:val="single" w:sz="2" w:space="0" w:color="999999"/>
              <w:bottom w:val="single" w:sz="2" w:space="0" w:color="999999"/>
              <w:right w:val="single" w:sz="2" w:space="0" w:color="999999"/>
            </w:tcBorders>
            <w:tcMar>
              <w:top w:w="100" w:type="dxa"/>
              <w:left w:w="100" w:type="dxa"/>
              <w:bottom w:w="100" w:type="dxa"/>
              <w:right w:w="100" w:type="dxa"/>
            </w:tcMar>
          </w:tcPr>
          <w:p w:rsidR="00816A08" w:rsidRPr="001E5ECD" w:rsidRDefault="008E6D20">
            <w:pPr>
              <w:jc w:val="center"/>
              <w:rPr>
                <w:rFonts w:ascii="Times New Roman" w:hAnsi="Times New Roman" w:cs="Times New Roman"/>
              </w:rPr>
            </w:pPr>
            <w:r w:rsidRPr="001E5ECD">
              <w:rPr>
                <w:rFonts w:ascii="Times New Roman" w:hAnsi="Times New Roman" w:cs="Times New Roman"/>
                <w:noProof/>
              </w:rPr>
              <w:drawing>
                <wp:inline distT="0" distB="0" distL="0" distR="0">
                  <wp:extent cx="21907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190750" cy="2190750"/>
                          </a:xfrm>
                          <a:prstGeom prst="rect">
                            <a:avLst/>
                          </a:prstGeom>
                        </pic:spPr>
                      </pic:pic>
                    </a:graphicData>
                  </a:graphic>
                </wp:inline>
              </w:drawing>
            </w:r>
          </w:p>
          <w:p w:rsidR="00816A08" w:rsidRPr="001E5ECD" w:rsidRDefault="008E6D20">
            <w:pPr>
              <w:spacing w:before="60"/>
              <w:jc w:val="center"/>
              <w:rPr>
                <w:rFonts w:ascii="Times New Roman" w:hAnsi="Times New Roman" w:cs="Times New Roman"/>
              </w:rPr>
            </w:pPr>
            <w:r w:rsidRPr="001E5ECD">
              <w:rPr>
                <w:rFonts w:ascii="Times New Roman" w:hAnsi="Times New Roman" w:cs="Times New Roman"/>
                <w:b/>
                <w:bCs/>
                <w:sz w:val="20"/>
                <w:szCs w:val="20"/>
              </w:rPr>
              <w:t>(C) 200 mg/kg lead acetate</w:t>
            </w:r>
          </w:p>
        </w:tc>
        <w:tc>
          <w:tcPr>
            <w:tcW w:w="5790" w:type="dxa"/>
            <w:tcBorders>
              <w:top w:val="single" w:sz="2" w:space="0" w:color="999999"/>
              <w:left w:val="single" w:sz="2" w:space="0" w:color="999999"/>
              <w:bottom w:val="single" w:sz="2" w:space="0" w:color="999999"/>
              <w:right w:val="single" w:sz="2" w:space="0" w:color="999999"/>
            </w:tcBorders>
            <w:tcMar>
              <w:top w:w="100" w:type="dxa"/>
              <w:left w:w="100" w:type="dxa"/>
              <w:bottom w:w="100" w:type="dxa"/>
              <w:right w:w="100" w:type="dxa"/>
            </w:tcMar>
          </w:tcPr>
          <w:p w:rsidR="00816A08" w:rsidRPr="001E5ECD" w:rsidRDefault="008E6D20">
            <w:pPr>
              <w:jc w:val="center"/>
              <w:rPr>
                <w:rFonts w:ascii="Times New Roman" w:hAnsi="Times New Roman" w:cs="Times New Roman"/>
              </w:rPr>
            </w:pPr>
            <w:r w:rsidRPr="001E5ECD">
              <w:rPr>
                <w:rFonts w:ascii="Times New Roman" w:hAnsi="Times New Roman" w:cs="Times New Roman"/>
                <w:noProof/>
              </w:rPr>
              <w:drawing>
                <wp:inline distT="0" distB="0" distL="0" distR="0">
                  <wp:extent cx="219075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190750" cy="2190750"/>
                          </a:xfrm>
                          <a:prstGeom prst="rect">
                            <a:avLst/>
                          </a:prstGeom>
                        </pic:spPr>
                      </pic:pic>
                    </a:graphicData>
                  </a:graphic>
                </wp:inline>
              </w:drawing>
            </w:r>
          </w:p>
          <w:p w:rsidR="00816A08" w:rsidRPr="001E5ECD" w:rsidRDefault="008E6D20">
            <w:pPr>
              <w:spacing w:before="60"/>
              <w:jc w:val="center"/>
              <w:rPr>
                <w:rFonts w:ascii="Times New Roman" w:hAnsi="Times New Roman" w:cs="Times New Roman"/>
              </w:rPr>
            </w:pPr>
            <w:r w:rsidRPr="001E5ECD">
              <w:rPr>
                <w:rFonts w:ascii="Times New Roman" w:hAnsi="Times New Roman" w:cs="Times New Roman"/>
                <w:b/>
                <w:bCs/>
                <w:sz w:val="20"/>
                <w:szCs w:val="20"/>
              </w:rPr>
              <w:t>(D) 400 mg/kg lead acetate</w:t>
            </w:r>
          </w:p>
        </w:tc>
      </w:tr>
    </w:tbl>
    <w:p w:rsidR="00816A08" w:rsidRPr="001E5ECD" w:rsidRDefault="00816A08">
      <w:pPr>
        <w:spacing w:before="280"/>
        <w:rPr>
          <w:rFonts w:ascii="Times New Roman" w:hAnsi="Times New Roman" w:cs="Times New Roman"/>
        </w:rPr>
      </w:pP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Photomicrographs of H&amp;E-stained kidney sections (×100) revealed a clear dose-dependent gradient of structural injury across the four experimental groups (Figure 1).</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lastRenderedPageBreak/>
        <w:t>Control group (Figure 1A): Kidney sections from control animals displayed normal renal architecture, with well-defined renal corpuscles, intact glomerular tufts, a normal Bowman’s space, and densely packed renal tubules with a preserved epithelial lining within minimal interstitial spaces.</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Lead-100 group (Figure 1B): Sections from animals receiving 100 mg/kg lead acetate showed mild renal alterations, </w:t>
      </w:r>
      <w:proofErr w:type="spellStart"/>
      <w:r w:rsidRPr="00DB453B">
        <w:rPr>
          <w:rFonts w:ascii="Times New Roman" w:hAnsi="Times New Roman" w:cs="Times New Roman"/>
          <w:sz w:val="24"/>
          <w:szCs w:val="24"/>
        </w:rPr>
        <w:t>characterised</w:t>
      </w:r>
      <w:proofErr w:type="spellEnd"/>
      <w:r w:rsidRPr="00DB453B">
        <w:rPr>
          <w:rFonts w:ascii="Times New Roman" w:hAnsi="Times New Roman" w:cs="Times New Roman"/>
          <w:sz w:val="24"/>
          <w:szCs w:val="24"/>
        </w:rPr>
        <w:t xml:space="preserve"> by slightly shrunken glomeruli, mildly widened Bowman’s space, early tubular dilatation, and mild epithelial cell degeneration accompanied by slight vascular congestion.</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Lead-200 group (Figure 1C): Sections from animals receiving 200 mg/kg lead acetate exhibited moderate renal damage, including distorted and partially collapsed glomeruli, widened Bowman’s space, marked tubular dilatation with epithelial degeneration, luminal irregularities with cellular desquamation, intense inflammatory infiltration, and pronounced vascular congestion with widened interstitial spaces.</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Lead-400 group (Figure 1D): Sections from animals receiving 400 mg/kg lead acetate showed the most severe histological changes, with severely distorted and collapsed glomeruli, markedly widened Bowman’s space, severe tubular dilation with extensive epithelial degeneration, severe vascular congestion and </w:t>
      </w:r>
      <w:proofErr w:type="spellStart"/>
      <w:r w:rsidRPr="00DB453B">
        <w:rPr>
          <w:rFonts w:ascii="Times New Roman" w:hAnsi="Times New Roman" w:cs="Times New Roman"/>
          <w:sz w:val="24"/>
          <w:szCs w:val="24"/>
        </w:rPr>
        <w:t>haemorrhage</w:t>
      </w:r>
      <w:proofErr w:type="spellEnd"/>
      <w:r w:rsidRPr="00DB453B">
        <w:rPr>
          <w:rFonts w:ascii="Times New Roman" w:hAnsi="Times New Roman" w:cs="Times New Roman"/>
          <w:sz w:val="24"/>
          <w:szCs w:val="24"/>
        </w:rPr>
        <w:t>, and extensive interstitial widening with inflammatory infiltrate.</w:t>
      </w:r>
    </w:p>
    <w:p w:rsidR="00816A08" w:rsidRPr="001E5ECD" w:rsidRDefault="008E6D20">
      <w:pPr>
        <w:spacing w:after="200" w:line="276" w:lineRule="auto"/>
        <w:jc w:val="both"/>
        <w:rPr>
          <w:rFonts w:ascii="Times New Roman" w:hAnsi="Times New Roman" w:cs="Times New Roman"/>
        </w:rPr>
      </w:pPr>
      <w:r w:rsidRPr="00DB453B">
        <w:rPr>
          <w:rFonts w:ascii="Times New Roman" w:hAnsi="Times New Roman" w:cs="Times New Roman"/>
          <w:sz w:val="24"/>
          <w:szCs w:val="24"/>
        </w:rPr>
        <w:t>Collectively, these histological findings paralleled the biochemical results, with the severity of structural injury increasing progressively from the control through the 100, 200, and 400 mg/kg groups.</w:t>
      </w:r>
    </w:p>
    <w:p w:rsidR="00816A08" w:rsidRPr="00DB453B" w:rsidRDefault="008E6D20">
      <w:pPr>
        <w:pStyle w:val="Heading1"/>
        <w:rPr>
          <w:rFonts w:ascii="Times New Roman" w:hAnsi="Times New Roman" w:cs="Times New Roman"/>
          <w:color w:val="auto"/>
        </w:rPr>
      </w:pPr>
      <w:r w:rsidRPr="00DB453B">
        <w:rPr>
          <w:rFonts w:ascii="Times New Roman" w:hAnsi="Times New Roman" w:cs="Times New Roman"/>
          <w:color w:val="auto"/>
        </w:rPr>
        <w:t>4. DISCUSSION</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The present findings demonstrate that </w:t>
      </w:r>
      <w:proofErr w:type="spellStart"/>
      <w:r w:rsidRPr="00DB453B">
        <w:rPr>
          <w:rFonts w:ascii="Times New Roman" w:hAnsi="Times New Roman" w:cs="Times New Roman"/>
          <w:sz w:val="24"/>
          <w:szCs w:val="24"/>
        </w:rPr>
        <w:t>subacute</w:t>
      </w:r>
      <w:proofErr w:type="spellEnd"/>
      <w:r w:rsidRPr="00DB453B">
        <w:rPr>
          <w:rFonts w:ascii="Times New Roman" w:hAnsi="Times New Roman" w:cs="Times New Roman"/>
          <w:sz w:val="24"/>
          <w:szCs w:val="24"/>
        </w:rPr>
        <w:t xml:space="preserve"> oral exposure to lead acetate produces dose-dependent biochemical and histological evidence of nephrotoxicity in adult male </w:t>
      </w:r>
      <w:proofErr w:type="spellStart"/>
      <w:r w:rsidRPr="00DB453B">
        <w:rPr>
          <w:rFonts w:ascii="Times New Roman" w:hAnsi="Times New Roman" w:cs="Times New Roman"/>
          <w:sz w:val="24"/>
          <w:szCs w:val="24"/>
        </w:rPr>
        <w:t>Wistar</w:t>
      </w:r>
      <w:proofErr w:type="spellEnd"/>
      <w:r w:rsidRPr="00DB453B">
        <w:rPr>
          <w:rFonts w:ascii="Times New Roman" w:hAnsi="Times New Roman" w:cs="Times New Roman"/>
          <w:sz w:val="24"/>
          <w:szCs w:val="24"/>
        </w:rPr>
        <w:t xml:space="preserve"> rats, consistent with a substantial body of prior rodent literature describing lead as a potent renal toxicant </w:t>
      </w:r>
      <w:r w:rsidR="00B5766B" w:rsidRPr="00B5766B">
        <w:rPr>
          <w:rFonts w:ascii="Times New Roman" w:hAnsi="Times New Roman" w:cs="Times New Roman"/>
          <w:sz w:val="24"/>
          <w:szCs w:val="24"/>
          <w:vertAlign w:val="superscript"/>
        </w:rPr>
        <w:t>[5,</w:t>
      </w:r>
      <w:r w:rsidR="000263F7">
        <w:rPr>
          <w:rFonts w:ascii="Times New Roman" w:hAnsi="Times New Roman" w:cs="Times New Roman"/>
          <w:sz w:val="24"/>
          <w:szCs w:val="24"/>
          <w:vertAlign w:val="superscript"/>
        </w:rPr>
        <w:t xml:space="preserve"> </w:t>
      </w:r>
      <w:r w:rsidR="00B5766B" w:rsidRPr="00B5766B">
        <w:rPr>
          <w:rFonts w:ascii="Times New Roman" w:hAnsi="Times New Roman" w:cs="Times New Roman"/>
          <w:sz w:val="24"/>
          <w:szCs w:val="24"/>
          <w:vertAlign w:val="superscript"/>
        </w:rPr>
        <w:t>25,</w:t>
      </w:r>
      <w:r w:rsidR="000263F7">
        <w:rPr>
          <w:rFonts w:ascii="Times New Roman" w:hAnsi="Times New Roman" w:cs="Times New Roman"/>
          <w:sz w:val="24"/>
          <w:szCs w:val="24"/>
          <w:vertAlign w:val="superscript"/>
        </w:rPr>
        <w:t xml:space="preserve"> </w:t>
      </w:r>
      <w:proofErr w:type="gramStart"/>
      <w:r w:rsidR="00B5766B" w:rsidRPr="00B5766B">
        <w:rPr>
          <w:rFonts w:ascii="Times New Roman" w:hAnsi="Times New Roman" w:cs="Times New Roman"/>
          <w:sz w:val="24"/>
          <w:szCs w:val="24"/>
          <w:vertAlign w:val="superscript"/>
        </w:rPr>
        <w:t>4</w:t>
      </w:r>
      <w:proofErr w:type="gramEnd"/>
      <w:r w:rsidR="00B5766B" w:rsidRPr="00B5766B">
        <w:rPr>
          <w:rFonts w:ascii="Times New Roman" w:hAnsi="Times New Roman" w:cs="Times New Roman"/>
          <w:sz w:val="24"/>
          <w:szCs w:val="24"/>
          <w:vertAlign w:val="superscript"/>
        </w:rPr>
        <w:t>]</w:t>
      </w:r>
      <w:r w:rsidRPr="00B5766B">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The numerical rise in serum urea and creatinine at the highest dose (400 mg/kg) mirrors the pattern reported in comparable </w:t>
      </w:r>
      <w:proofErr w:type="spellStart"/>
      <w:r w:rsidRPr="00DB453B">
        <w:rPr>
          <w:rFonts w:ascii="Times New Roman" w:hAnsi="Times New Roman" w:cs="Times New Roman"/>
          <w:sz w:val="24"/>
          <w:szCs w:val="24"/>
        </w:rPr>
        <w:t>Wistar</w:t>
      </w:r>
      <w:proofErr w:type="spellEnd"/>
      <w:r w:rsidRPr="00DB453B">
        <w:rPr>
          <w:rFonts w:ascii="Times New Roman" w:hAnsi="Times New Roman" w:cs="Times New Roman"/>
          <w:sz w:val="24"/>
          <w:szCs w:val="24"/>
        </w:rPr>
        <w:t xml:space="preserve"> rat models, in which elevations of these excretory markers have been interpreted as evidence of reduced glomerular filtration capacity following high-dose lead exposure </w:t>
      </w:r>
      <w:r w:rsidR="00387746" w:rsidRPr="00B5766B">
        <w:rPr>
          <w:rFonts w:ascii="Times New Roman" w:hAnsi="Times New Roman" w:cs="Times New Roman"/>
          <w:sz w:val="24"/>
          <w:szCs w:val="24"/>
          <w:vertAlign w:val="superscript"/>
        </w:rPr>
        <w:t>[</w:t>
      </w:r>
      <w:r w:rsidR="00B5766B" w:rsidRPr="00B5766B">
        <w:rPr>
          <w:rFonts w:ascii="Times New Roman" w:hAnsi="Times New Roman" w:cs="Times New Roman"/>
          <w:sz w:val="24"/>
          <w:szCs w:val="24"/>
          <w:vertAlign w:val="superscript"/>
        </w:rPr>
        <w:t>5, 9]</w:t>
      </w:r>
      <w:r w:rsidRPr="00B5766B">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Because creatinine is generated at a relatively constant rate and undergoes minimal tubular reabsorption, its preferential elevation at the highest dose in the present study is consistent with prior observations that creatinine is a more dose-responsive indicator of renal compromise than urea, whose serum concentration can be influenced by dietary protein intake, hepatic urea-cycle activity, and variable tubular reabsorption along the nephron </w:t>
      </w:r>
      <w:r w:rsidR="00387746" w:rsidRPr="00387746">
        <w:rPr>
          <w:rFonts w:ascii="Times New Roman" w:hAnsi="Times New Roman" w:cs="Times New Roman"/>
          <w:sz w:val="24"/>
          <w:szCs w:val="24"/>
          <w:vertAlign w:val="superscript"/>
        </w:rPr>
        <w:t>[13, 12]</w:t>
      </w:r>
      <w:r w:rsidRPr="00387746">
        <w:rPr>
          <w:rFonts w:ascii="Times New Roman" w:hAnsi="Times New Roman" w:cs="Times New Roman"/>
          <w:sz w:val="24"/>
          <w:szCs w:val="24"/>
          <w:vertAlign w:val="superscript"/>
        </w:rPr>
        <w:t>.</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A notable feature of the present dataset is the comparatively modest deviation from control observed in the 200 mg/kg group relative to both the 100 mg/kg and 400 mg/kg groups for urea </w:t>
      </w:r>
      <w:r w:rsidRPr="00DB453B">
        <w:rPr>
          <w:rFonts w:ascii="Times New Roman" w:hAnsi="Times New Roman" w:cs="Times New Roman"/>
          <w:sz w:val="24"/>
          <w:szCs w:val="24"/>
        </w:rPr>
        <w:lastRenderedPageBreak/>
        <w:t xml:space="preserve">and creatinine. Non-monotonic biochemical responses of this kind have occasionally been reported in </w:t>
      </w:r>
      <w:r w:rsidR="00387746" w:rsidRPr="00DB453B">
        <w:rPr>
          <w:rFonts w:ascii="Times New Roman" w:hAnsi="Times New Roman" w:cs="Times New Roman"/>
          <w:sz w:val="24"/>
          <w:szCs w:val="24"/>
        </w:rPr>
        <w:t>sub-acute</w:t>
      </w:r>
      <w:r w:rsidRPr="00DB453B">
        <w:rPr>
          <w:rFonts w:ascii="Times New Roman" w:hAnsi="Times New Roman" w:cs="Times New Roman"/>
          <w:sz w:val="24"/>
          <w:szCs w:val="24"/>
        </w:rPr>
        <w:t xml:space="preserve"> heavy-metal exposure paradigms and may reflect a combination of inter-individual variability inherent to small group sizes, transient compensatory adaptation of renal tubular handling at intermediate exposure, or induction of metal-binding and antioxidant </w:t>
      </w:r>
      <w:r w:rsidR="006D5165" w:rsidRPr="00DB453B">
        <w:rPr>
          <w:rFonts w:ascii="Times New Roman" w:hAnsi="Times New Roman" w:cs="Times New Roman"/>
          <w:sz w:val="24"/>
          <w:szCs w:val="24"/>
        </w:rPr>
        <w:t>defense</w:t>
      </w:r>
      <w:r w:rsidRPr="00DB453B">
        <w:rPr>
          <w:rFonts w:ascii="Times New Roman" w:hAnsi="Times New Roman" w:cs="Times New Roman"/>
          <w:sz w:val="24"/>
          <w:szCs w:val="24"/>
        </w:rPr>
        <w:t xml:space="preserve"> proteins that partially offset biochemical derangement before being overwhelmed at higher doses </w:t>
      </w:r>
      <w:r w:rsidR="006D5165" w:rsidRPr="006D5165">
        <w:rPr>
          <w:rFonts w:ascii="Times New Roman" w:hAnsi="Times New Roman" w:cs="Times New Roman"/>
          <w:sz w:val="24"/>
          <w:szCs w:val="24"/>
          <w:vertAlign w:val="superscript"/>
        </w:rPr>
        <w:t>[14, 18]</w:t>
      </w:r>
      <w:r w:rsidRPr="006D5165">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Importantly, this biochemical plateau at 200 mg/kg was not mirrored histologically, where structural injury increased progressively with dose; this dissociation reinforces the established principle that serum biomarkers alone may underestimate the extent of underlying renal injury, and that </w:t>
      </w:r>
      <w:proofErr w:type="spellStart"/>
      <w:r w:rsidRPr="00DB453B">
        <w:rPr>
          <w:rFonts w:ascii="Times New Roman" w:hAnsi="Times New Roman" w:cs="Times New Roman"/>
          <w:sz w:val="24"/>
          <w:szCs w:val="24"/>
        </w:rPr>
        <w:t>histopathological</w:t>
      </w:r>
      <w:proofErr w:type="spellEnd"/>
      <w:r w:rsidRPr="00DB453B">
        <w:rPr>
          <w:rFonts w:ascii="Times New Roman" w:hAnsi="Times New Roman" w:cs="Times New Roman"/>
          <w:sz w:val="24"/>
          <w:szCs w:val="24"/>
        </w:rPr>
        <w:t xml:space="preserve"> correlation remains essential for accurate toxicological interpretation </w:t>
      </w:r>
      <w:r w:rsidR="006D5165" w:rsidRPr="006D5165">
        <w:rPr>
          <w:rFonts w:ascii="Times New Roman" w:hAnsi="Times New Roman" w:cs="Times New Roman"/>
          <w:sz w:val="24"/>
          <w:szCs w:val="24"/>
          <w:vertAlign w:val="superscript"/>
        </w:rPr>
        <w:t>[22, 8]</w:t>
      </w:r>
      <w:r w:rsidRPr="006D5165">
        <w:rPr>
          <w:rFonts w:ascii="Times New Roman" w:hAnsi="Times New Roman" w:cs="Times New Roman"/>
          <w:sz w:val="24"/>
          <w:szCs w:val="24"/>
          <w:vertAlign w:val="superscript"/>
        </w:rPr>
        <w:t>.</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The significant elevation of serum uric acid at both the lowest (100 mg/kg) and highest (400 mg/kg) doses, ahead of comparable changes in urea or creatinine, is consistent with a growing body of evidence implicating disturbed renal uric acid handling as an early and sensitive marker of nephron stress. </w:t>
      </w:r>
      <w:proofErr w:type="spellStart"/>
      <w:r w:rsidRPr="00DB453B">
        <w:rPr>
          <w:rFonts w:ascii="Times New Roman" w:hAnsi="Times New Roman" w:cs="Times New Roman"/>
          <w:sz w:val="24"/>
          <w:szCs w:val="24"/>
        </w:rPr>
        <w:t>Hyperuricemia</w:t>
      </w:r>
      <w:proofErr w:type="spellEnd"/>
      <w:r w:rsidRPr="00DB453B">
        <w:rPr>
          <w:rFonts w:ascii="Times New Roman" w:hAnsi="Times New Roman" w:cs="Times New Roman"/>
          <w:sz w:val="24"/>
          <w:szCs w:val="24"/>
        </w:rPr>
        <w:t xml:space="preserve"> has been mechanistically linked to impaired tubular secretion and to lead-induced disruption of </w:t>
      </w:r>
      <w:proofErr w:type="spellStart"/>
      <w:r w:rsidRPr="00DB453B">
        <w:rPr>
          <w:rFonts w:ascii="Times New Roman" w:hAnsi="Times New Roman" w:cs="Times New Roman"/>
          <w:sz w:val="24"/>
          <w:szCs w:val="24"/>
        </w:rPr>
        <w:t>urate</w:t>
      </w:r>
      <w:proofErr w:type="spellEnd"/>
      <w:r w:rsidRPr="00DB453B">
        <w:rPr>
          <w:rFonts w:ascii="Times New Roman" w:hAnsi="Times New Roman" w:cs="Times New Roman"/>
          <w:sz w:val="24"/>
          <w:szCs w:val="24"/>
        </w:rPr>
        <w:t xml:space="preserve"> transport, and has been shown in both occupational and experimental settings to precede more overt deterioration of glomerular filtration </w:t>
      </w:r>
      <w:r w:rsidR="00EF53D0" w:rsidRPr="00EF53D0">
        <w:rPr>
          <w:rFonts w:ascii="Times New Roman" w:hAnsi="Times New Roman" w:cs="Times New Roman"/>
          <w:sz w:val="24"/>
          <w:szCs w:val="24"/>
          <w:vertAlign w:val="superscript"/>
        </w:rPr>
        <w:t>[20, 21]</w:t>
      </w:r>
      <w:r w:rsidRPr="00EF53D0">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The present results, in which uric acid rose significantly even at the lowest dose tested while urea and creatinine remained comparatively stable, support the proposition that uric acid may offer added sensitivity for the early biochemical detection of lead-induced renal stress, a finding with potential relevance for </w:t>
      </w:r>
      <w:proofErr w:type="spellStart"/>
      <w:r w:rsidRPr="00DB453B">
        <w:rPr>
          <w:rFonts w:ascii="Times New Roman" w:hAnsi="Times New Roman" w:cs="Times New Roman"/>
          <w:sz w:val="24"/>
          <w:szCs w:val="24"/>
        </w:rPr>
        <w:t>biomonitoring</w:t>
      </w:r>
      <w:proofErr w:type="spellEnd"/>
      <w:r w:rsidRPr="00DB453B">
        <w:rPr>
          <w:rFonts w:ascii="Times New Roman" w:hAnsi="Times New Roman" w:cs="Times New Roman"/>
          <w:sz w:val="24"/>
          <w:szCs w:val="24"/>
        </w:rPr>
        <w:t xml:space="preserve"> strategies in lead-exposed populations.</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The </w:t>
      </w:r>
      <w:proofErr w:type="spellStart"/>
      <w:r w:rsidRPr="00DB453B">
        <w:rPr>
          <w:rFonts w:ascii="Times New Roman" w:hAnsi="Times New Roman" w:cs="Times New Roman"/>
          <w:sz w:val="24"/>
          <w:szCs w:val="24"/>
        </w:rPr>
        <w:t>histopathological</w:t>
      </w:r>
      <w:proofErr w:type="spellEnd"/>
      <w:r w:rsidRPr="00DB453B">
        <w:rPr>
          <w:rFonts w:ascii="Times New Roman" w:hAnsi="Times New Roman" w:cs="Times New Roman"/>
          <w:sz w:val="24"/>
          <w:szCs w:val="24"/>
        </w:rPr>
        <w:t xml:space="preserve"> gradient observed across the four groups—from preserved architecture in controls, through mild glomerular and tubular change at 100 mg/kg, to moderate inflammatory and vascular injury at 200 mg/kg, and severe glomerular collapse with </w:t>
      </w:r>
      <w:proofErr w:type="spellStart"/>
      <w:r w:rsidRPr="00DB453B">
        <w:rPr>
          <w:rFonts w:ascii="Times New Roman" w:hAnsi="Times New Roman" w:cs="Times New Roman"/>
          <w:sz w:val="24"/>
          <w:szCs w:val="24"/>
        </w:rPr>
        <w:t>haemorrhage</w:t>
      </w:r>
      <w:proofErr w:type="spellEnd"/>
      <w:r w:rsidRPr="00DB453B">
        <w:rPr>
          <w:rFonts w:ascii="Times New Roman" w:hAnsi="Times New Roman" w:cs="Times New Roman"/>
          <w:sz w:val="24"/>
          <w:szCs w:val="24"/>
        </w:rPr>
        <w:t xml:space="preserve"> at 400 mg/kg—is consistent with the oxidative and inflammatory mechanisms increasingly implicated in lead nephrotoxicity. Lead-induced generation of reactive oxygen species promotes lipid peroxidation of tubular and glomerular cell membranes, activates pro-inflammatory cytokine cascades, and, at higher exposure intensities, engages apoptotic and </w:t>
      </w:r>
      <w:proofErr w:type="spellStart"/>
      <w:r w:rsidRPr="00DB453B">
        <w:rPr>
          <w:rFonts w:ascii="Times New Roman" w:hAnsi="Times New Roman" w:cs="Times New Roman"/>
          <w:sz w:val="24"/>
          <w:szCs w:val="24"/>
        </w:rPr>
        <w:t>pyroptotic</w:t>
      </w:r>
      <w:proofErr w:type="spellEnd"/>
      <w:r w:rsidRPr="00DB453B">
        <w:rPr>
          <w:rFonts w:ascii="Times New Roman" w:hAnsi="Times New Roman" w:cs="Times New Roman"/>
          <w:sz w:val="24"/>
          <w:szCs w:val="24"/>
        </w:rPr>
        <w:t xml:space="preserve"> cell death pathways that manifest histologically as cellular desquamation, leukocyte infiltration, and vascular congestion </w:t>
      </w:r>
      <w:r w:rsidR="00EF53D0" w:rsidRPr="00EF53D0">
        <w:rPr>
          <w:rFonts w:ascii="Times New Roman" w:hAnsi="Times New Roman" w:cs="Times New Roman"/>
          <w:sz w:val="24"/>
          <w:szCs w:val="24"/>
          <w:vertAlign w:val="superscript"/>
        </w:rPr>
        <w:t xml:space="preserve">[11, 2, </w:t>
      </w:r>
      <w:proofErr w:type="gramStart"/>
      <w:r w:rsidR="00EF53D0" w:rsidRPr="00EF53D0">
        <w:rPr>
          <w:rFonts w:ascii="Times New Roman" w:hAnsi="Times New Roman" w:cs="Times New Roman"/>
          <w:sz w:val="24"/>
          <w:szCs w:val="24"/>
          <w:vertAlign w:val="superscript"/>
        </w:rPr>
        <w:t>8</w:t>
      </w:r>
      <w:proofErr w:type="gramEnd"/>
      <w:r w:rsidR="00EF53D0" w:rsidRPr="00EF53D0">
        <w:rPr>
          <w:rFonts w:ascii="Times New Roman" w:hAnsi="Times New Roman" w:cs="Times New Roman"/>
          <w:sz w:val="24"/>
          <w:szCs w:val="24"/>
          <w:vertAlign w:val="superscript"/>
        </w:rPr>
        <w:t>]</w:t>
      </w:r>
      <w:r w:rsidRPr="00EF53D0">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The progressive widening of Bowman’s space and glomerular collapse observed at the higher doses in the present study mirror similar descriptions in other lead acetate-exposed </w:t>
      </w:r>
      <w:proofErr w:type="spellStart"/>
      <w:r w:rsidRPr="00DB453B">
        <w:rPr>
          <w:rFonts w:ascii="Times New Roman" w:hAnsi="Times New Roman" w:cs="Times New Roman"/>
          <w:sz w:val="24"/>
          <w:szCs w:val="24"/>
        </w:rPr>
        <w:t>Wistar</w:t>
      </w:r>
      <w:proofErr w:type="spellEnd"/>
      <w:r w:rsidRPr="00DB453B">
        <w:rPr>
          <w:rFonts w:ascii="Times New Roman" w:hAnsi="Times New Roman" w:cs="Times New Roman"/>
          <w:sz w:val="24"/>
          <w:szCs w:val="24"/>
        </w:rPr>
        <w:t xml:space="preserve"> rat models </w:t>
      </w:r>
      <w:r w:rsidR="001A3047" w:rsidRPr="001A3047">
        <w:rPr>
          <w:rFonts w:ascii="Times New Roman" w:hAnsi="Times New Roman" w:cs="Times New Roman"/>
          <w:sz w:val="24"/>
          <w:szCs w:val="24"/>
          <w:vertAlign w:val="superscript"/>
        </w:rPr>
        <w:t>[3, 4]</w:t>
      </w:r>
      <w:r w:rsidRPr="001A3047">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as well as in models of cadmium-induced </w:t>
      </w:r>
      <w:proofErr w:type="spellStart"/>
      <w:r w:rsidRPr="00DB453B">
        <w:rPr>
          <w:rFonts w:ascii="Times New Roman" w:hAnsi="Times New Roman" w:cs="Times New Roman"/>
          <w:sz w:val="24"/>
          <w:szCs w:val="24"/>
        </w:rPr>
        <w:t>hepatorenal</w:t>
      </w:r>
      <w:proofErr w:type="spellEnd"/>
      <w:r w:rsidRPr="00DB453B">
        <w:rPr>
          <w:rFonts w:ascii="Times New Roman" w:hAnsi="Times New Roman" w:cs="Times New Roman"/>
          <w:sz w:val="24"/>
          <w:szCs w:val="24"/>
        </w:rPr>
        <w:t xml:space="preserve"> injury that share overlapping oxidative pathways with lead </w:t>
      </w:r>
      <w:r w:rsidR="0021382B" w:rsidRPr="001A3047">
        <w:rPr>
          <w:rFonts w:ascii="Times New Roman" w:hAnsi="Times New Roman" w:cs="Times New Roman"/>
          <w:sz w:val="24"/>
          <w:szCs w:val="24"/>
          <w:vertAlign w:val="superscript"/>
        </w:rPr>
        <w:t>[</w:t>
      </w:r>
      <w:r w:rsidR="001A3047" w:rsidRPr="001A3047">
        <w:rPr>
          <w:rFonts w:ascii="Times New Roman" w:hAnsi="Times New Roman" w:cs="Times New Roman"/>
          <w:sz w:val="24"/>
          <w:szCs w:val="24"/>
          <w:vertAlign w:val="superscript"/>
        </w:rPr>
        <w:t>29, 30, 19]</w:t>
      </w:r>
      <w:r w:rsidRPr="001A3047">
        <w:rPr>
          <w:rFonts w:ascii="Times New Roman" w:hAnsi="Times New Roman" w:cs="Times New Roman"/>
          <w:sz w:val="24"/>
          <w:szCs w:val="24"/>
          <w:vertAlign w:val="superscript"/>
        </w:rPr>
        <w:t>.</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These findings carry broader public health relevance. Lead remains a major contributor to the global burden of kidney disease, with both occupational and environmental exposure routes—including contaminated dust, informal recycling activities, and ambient air pollution—implicated in chronic renal impairment in human populations </w:t>
      </w:r>
      <w:r w:rsidR="00242209" w:rsidRPr="0021382B">
        <w:rPr>
          <w:rFonts w:ascii="Times New Roman" w:hAnsi="Times New Roman" w:cs="Times New Roman"/>
          <w:sz w:val="24"/>
          <w:szCs w:val="24"/>
          <w:vertAlign w:val="superscript"/>
        </w:rPr>
        <w:t>[</w:t>
      </w:r>
      <w:r w:rsidR="0021382B" w:rsidRPr="0021382B">
        <w:rPr>
          <w:rFonts w:ascii="Times New Roman" w:hAnsi="Times New Roman" w:cs="Times New Roman"/>
          <w:sz w:val="24"/>
          <w:szCs w:val="24"/>
          <w:vertAlign w:val="superscript"/>
        </w:rPr>
        <w:t xml:space="preserve">6, 15, 26, </w:t>
      </w:r>
      <w:proofErr w:type="gramStart"/>
      <w:r w:rsidR="0021382B" w:rsidRPr="0021382B">
        <w:rPr>
          <w:rFonts w:ascii="Times New Roman" w:hAnsi="Times New Roman" w:cs="Times New Roman"/>
          <w:sz w:val="24"/>
          <w:szCs w:val="24"/>
          <w:vertAlign w:val="superscript"/>
        </w:rPr>
        <w:t>28</w:t>
      </w:r>
      <w:proofErr w:type="gramEnd"/>
      <w:r w:rsidR="0021382B" w:rsidRPr="0021382B">
        <w:rPr>
          <w:rFonts w:ascii="Times New Roman" w:hAnsi="Times New Roman" w:cs="Times New Roman"/>
          <w:sz w:val="24"/>
          <w:szCs w:val="24"/>
          <w:vertAlign w:val="superscript"/>
        </w:rPr>
        <w:t>]</w:t>
      </w:r>
      <w:r w:rsidRPr="0021382B">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The dose-dependent biochemical and structural injury demonstrated here reinforces calls for stricter environmental and occupational exposure limits, alongside renal </w:t>
      </w:r>
      <w:proofErr w:type="spellStart"/>
      <w:r w:rsidRPr="00DB453B">
        <w:rPr>
          <w:rFonts w:ascii="Times New Roman" w:hAnsi="Times New Roman" w:cs="Times New Roman"/>
          <w:sz w:val="24"/>
          <w:szCs w:val="24"/>
        </w:rPr>
        <w:t>biomonitoring</w:t>
      </w:r>
      <w:proofErr w:type="spellEnd"/>
      <w:r w:rsidRPr="00DB453B">
        <w:rPr>
          <w:rFonts w:ascii="Times New Roman" w:hAnsi="Times New Roman" w:cs="Times New Roman"/>
          <w:sz w:val="24"/>
          <w:szCs w:val="24"/>
        </w:rPr>
        <w:t xml:space="preserve"> </w:t>
      </w:r>
      <w:proofErr w:type="spellStart"/>
      <w:r w:rsidRPr="00DB453B">
        <w:rPr>
          <w:rFonts w:ascii="Times New Roman" w:hAnsi="Times New Roman" w:cs="Times New Roman"/>
          <w:sz w:val="24"/>
          <w:szCs w:val="24"/>
        </w:rPr>
        <w:t>programmes</w:t>
      </w:r>
      <w:proofErr w:type="spellEnd"/>
      <w:r w:rsidRPr="00DB453B">
        <w:rPr>
          <w:rFonts w:ascii="Times New Roman" w:hAnsi="Times New Roman" w:cs="Times New Roman"/>
          <w:sz w:val="24"/>
          <w:szCs w:val="24"/>
        </w:rPr>
        <w:t xml:space="preserve"> that incorporate sensitive markers such as uric acid rather than relying solely on conventional urea and creatinine measurement </w:t>
      </w:r>
      <w:r w:rsidR="00242209" w:rsidRPr="00242209">
        <w:rPr>
          <w:rFonts w:ascii="Times New Roman" w:hAnsi="Times New Roman" w:cs="Times New Roman"/>
          <w:sz w:val="24"/>
          <w:szCs w:val="24"/>
          <w:vertAlign w:val="superscript"/>
        </w:rPr>
        <w:t xml:space="preserve">[27, </w:t>
      </w:r>
      <w:r w:rsidR="00242209" w:rsidRPr="00242209">
        <w:rPr>
          <w:rFonts w:ascii="Times New Roman" w:hAnsi="Times New Roman" w:cs="Times New Roman"/>
          <w:sz w:val="24"/>
          <w:szCs w:val="24"/>
          <w:vertAlign w:val="superscript"/>
        </w:rPr>
        <w:lastRenderedPageBreak/>
        <w:t>24]</w:t>
      </w:r>
      <w:r w:rsidRPr="00242209">
        <w:rPr>
          <w:rFonts w:ascii="Times New Roman" w:hAnsi="Times New Roman" w:cs="Times New Roman"/>
          <w:sz w:val="24"/>
          <w:szCs w:val="24"/>
          <w:vertAlign w:val="superscript"/>
        </w:rPr>
        <w:t>.</w:t>
      </w:r>
      <w:r w:rsidRPr="00DB453B">
        <w:rPr>
          <w:rFonts w:ascii="Times New Roman" w:hAnsi="Times New Roman" w:cs="Times New Roman"/>
          <w:sz w:val="24"/>
          <w:szCs w:val="24"/>
        </w:rPr>
        <w:t xml:space="preserve"> The continued exploration of </w:t>
      </w:r>
      <w:proofErr w:type="spellStart"/>
      <w:r w:rsidRPr="00DB453B">
        <w:rPr>
          <w:rFonts w:ascii="Times New Roman" w:hAnsi="Times New Roman" w:cs="Times New Roman"/>
          <w:sz w:val="24"/>
          <w:szCs w:val="24"/>
        </w:rPr>
        <w:t>nephroprotective</w:t>
      </w:r>
      <w:proofErr w:type="spellEnd"/>
      <w:r w:rsidRPr="00DB453B">
        <w:rPr>
          <w:rFonts w:ascii="Times New Roman" w:hAnsi="Times New Roman" w:cs="Times New Roman"/>
          <w:sz w:val="24"/>
          <w:szCs w:val="24"/>
        </w:rPr>
        <w:t xml:space="preserve"> agents—ranging from plant-derived antioxidants to </w:t>
      </w:r>
      <w:proofErr w:type="spellStart"/>
      <w:r w:rsidRPr="00DB453B">
        <w:rPr>
          <w:rFonts w:ascii="Times New Roman" w:hAnsi="Times New Roman" w:cs="Times New Roman"/>
          <w:sz w:val="24"/>
          <w:szCs w:val="24"/>
        </w:rPr>
        <w:t>monoterpenes</w:t>
      </w:r>
      <w:proofErr w:type="spellEnd"/>
      <w:r w:rsidRPr="00DB453B">
        <w:rPr>
          <w:rFonts w:ascii="Times New Roman" w:hAnsi="Times New Roman" w:cs="Times New Roman"/>
          <w:sz w:val="24"/>
          <w:szCs w:val="24"/>
        </w:rPr>
        <w:t xml:space="preserve"> and probiotics—in experimental lead acetate models further underscores the translational value of well-</w:t>
      </w:r>
      <w:proofErr w:type="spellStart"/>
      <w:r w:rsidRPr="00DB453B">
        <w:rPr>
          <w:rFonts w:ascii="Times New Roman" w:hAnsi="Times New Roman" w:cs="Times New Roman"/>
          <w:sz w:val="24"/>
          <w:szCs w:val="24"/>
        </w:rPr>
        <w:t>characterised</w:t>
      </w:r>
      <w:proofErr w:type="spellEnd"/>
      <w:r w:rsidRPr="00DB453B">
        <w:rPr>
          <w:rFonts w:ascii="Times New Roman" w:hAnsi="Times New Roman" w:cs="Times New Roman"/>
          <w:sz w:val="24"/>
          <w:szCs w:val="24"/>
        </w:rPr>
        <w:t xml:space="preserve"> dose-response data of the kind generated in this study</w:t>
      </w:r>
      <w:r w:rsidR="00DE0281">
        <w:rPr>
          <w:rFonts w:ascii="Times New Roman" w:hAnsi="Times New Roman" w:cs="Times New Roman"/>
          <w:sz w:val="24"/>
          <w:szCs w:val="24"/>
        </w:rPr>
        <w:t xml:space="preserve"> </w:t>
      </w:r>
      <w:r w:rsidR="00DE0281" w:rsidRPr="00DE0281">
        <w:rPr>
          <w:rFonts w:ascii="Times New Roman" w:hAnsi="Times New Roman" w:cs="Times New Roman"/>
          <w:sz w:val="24"/>
          <w:szCs w:val="24"/>
          <w:vertAlign w:val="superscript"/>
        </w:rPr>
        <w:t>[17, 4]</w:t>
      </w:r>
      <w:r w:rsidRPr="00242209">
        <w:rPr>
          <w:rFonts w:ascii="Times New Roman" w:hAnsi="Times New Roman" w:cs="Times New Roman"/>
          <w:sz w:val="24"/>
          <w:szCs w:val="24"/>
          <w:vertAlign w:val="superscript"/>
        </w:rPr>
        <w:t>.</w:t>
      </w:r>
    </w:p>
    <w:p w:rsidR="00816A08" w:rsidRPr="00DB453B" w:rsidRDefault="008E6D20">
      <w:pPr>
        <w:spacing w:after="200" w:line="276" w:lineRule="auto"/>
        <w:jc w:val="both"/>
        <w:rPr>
          <w:rFonts w:ascii="Times New Roman" w:hAnsi="Times New Roman" w:cs="Times New Roman"/>
          <w:sz w:val="24"/>
          <w:szCs w:val="24"/>
        </w:rPr>
      </w:pPr>
      <w:r w:rsidRPr="00DB453B">
        <w:rPr>
          <w:rFonts w:ascii="Times New Roman" w:hAnsi="Times New Roman" w:cs="Times New Roman"/>
          <w:sz w:val="24"/>
          <w:szCs w:val="24"/>
        </w:rPr>
        <w:t xml:space="preserve">Several limitations should be acknowledged. The relatively small group size (n = 5) limits statistical power to detect modest inter-group differences and may have contributed to the non-monotonic pattern observed for urea and creatinine at the intermediate dose. The 21-day exposure window, while sufficient to demonstrate clear dose-dependent injury, does not capture the consequences of chronic, lower-level exposure more representative of typical human environmental contact, nor does it include a recovery cohort to evaluate the reversibility of observed changes. Only male rats were studied, precluding assessment of potential sex-related differences in susceptibility, and histological evaluation was limited to H&amp;E staining without additional special stains or quantitative morphometric scoring. Future studies incorporating extended exposure durations, recovery groups, sex-disaggregated cohorts, additional injury biomarkers, and candidate </w:t>
      </w:r>
      <w:proofErr w:type="spellStart"/>
      <w:r w:rsidRPr="00DB453B">
        <w:rPr>
          <w:rFonts w:ascii="Times New Roman" w:hAnsi="Times New Roman" w:cs="Times New Roman"/>
          <w:sz w:val="24"/>
          <w:szCs w:val="24"/>
        </w:rPr>
        <w:t>nephroprotective</w:t>
      </w:r>
      <w:proofErr w:type="spellEnd"/>
      <w:r w:rsidRPr="00DB453B">
        <w:rPr>
          <w:rFonts w:ascii="Times New Roman" w:hAnsi="Times New Roman" w:cs="Times New Roman"/>
          <w:sz w:val="24"/>
          <w:szCs w:val="24"/>
        </w:rPr>
        <w:t xml:space="preserve"> interventions would further strengthen the translational relevance of the</w:t>
      </w:r>
      <w:r w:rsidR="00DE0281">
        <w:rPr>
          <w:rFonts w:ascii="Times New Roman" w:hAnsi="Times New Roman" w:cs="Times New Roman"/>
          <w:sz w:val="24"/>
          <w:szCs w:val="24"/>
        </w:rPr>
        <w:t xml:space="preserve">se findings </w:t>
      </w:r>
      <w:r w:rsidR="00DE0281" w:rsidRPr="00DE0281">
        <w:rPr>
          <w:rFonts w:ascii="Times New Roman" w:hAnsi="Times New Roman" w:cs="Times New Roman"/>
          <w:sz w:val="24"/>
          <w:szCs w:val="24"/>
          <w:vertAlign w:val="superscript"/>
        </w:rPr>
        <w:t>[7]</w:t>
      </w:r>
      <w:r w:rsidRPr="00DE0281">
        <w:rPr>
          <w:rFonts w:ascii="Times New Roman" w:hAnsi="Times New Roman" w:cs="Times New Roman"/>
          <w:sz w:val="24"/>
          <w:szCs w:val="24"/>
          <w:vertAlign w:val="superscript"/>
        </w:rPr>
        <w:t>.</w:t>
      </w:r>
    </w:p>
    <w:p w:rsidR="00816A08" w:rsidRPr="00DB453B" w:rsidRDefault="008E6D20">
      <w:pPr>
        <w:pStyle w:val="Heading1"/>
        <w:rPr>
          <w:rFonts w:ascii="Times New Roman" w:hAnsi="Times New Roman" w:cs="Times New Roman"/>
          <w:color w:val="auto"/>
        </w:rPr>
      </w:pPr>
      <w:r w:rsidRPr="00DB453B">
        <w:rPr>
          <w:rFonts w:ascii="Times New Roman" w:hAnsi="Times New Roman" w:cs="Times New Roman"/>
          <w:color w:val="auto"/>
        </w:rPr>
        <w:t>5. CONCLUSION</w:t>
      </w:r>
    </w:p>
    <w:p w:rsidR="00816A08" w:rsidRPr="007A0F82" w:rsidRDefault="008E6D20">
      <w:pPr>
        <w:spacing w:after="200" w:line="276" w:lineRule="auto"/>
        <w:jc w:val="both"/>
        <w:rPr>
          <w:rFonts w:ascii="Times New Roman" w:hAnsi="Times New Roman" w:cs="Times New Roman"/>
          <w:sz w:val="24"/>
          <w:szCs w:val="24"/>
        </w:rPr>
      </w:pPr>
      <w:r w:rsidRPr="007A0F82">
        <w:rPr>
          <w:rFonts w:ascii="Times New Roman" w:hAnsi="Times New Roman" w:cs="Times New Roman"/>
          <w:sz w:val="24"/>
          <w:szCs w:val="24"/>
        </w:rPr>
        <w:t xml:space="preserve">This study demonstrates that 21-day oral administration of lead acetate produces dose-dependent nephrotoxicity in adult male </w:t>
      </w:r>
      <w:proofErr w:type="spellStart"/>
      <w:r w:rsidRPr="007A0F82">
        <w:rPr>
          <w:rFonts w:ascii="Times New Roman" w:hAnsi="Times New Roman" w:cs="Times New Roman"/>
          <w:sz w:val="24"/>
          <w:szCs w:val="24"/>
        </w:rPr>
        <w:t>Wistar</w:t>
      </w:r>
      <w:proofErr w:type="spellEnd"/>
      <w:r w:rsidRPr="007A0F82">
        <w:rPr>
          <w:rFonts w:ascii="Times New Roman" w:hAnsi="Times New Roman" w:cs="Times New Roman"/>
          <w:sz w:val="24"/>
          <w:szCs w:val="24"/>
        </w:rPr>
        <w:t xml:space="preserve"> rats, evidenced by both serum biochemical alterations and progressive </w:t>
      </w:r>
      <w:proofErr w:type="spellStart"/>
      <w:r w:rsidRPr="007A0F82">
        <w:rPr>
          <w:rFonts w:ascii="Times New Roman" w:hAnsi="Times New Roman" w:cs="Times New Roman"/>
          <w:sz w:val="24"/>
          <w:szCs w:val="24"/>
        </w:rPr>
        <w:t>histopathological</w:t>
      </w:r>
      <w:proofErr w:type="spellEnd"/>
      <w:r w:rsidRPr="007A0F82">
        <w:rPr>
          <w:rFonts w:ascii="Times New Roman" w:hAnsi="Times New Roman" w:cs="Times New Roman"/>
          <w:sz w:val="24"/>
          <w:szCs w:val="24"/>
        </w:rPr>
        <w:t xml:space="preserve"> injury. Serum uric acid emerged as a particularly sensitive early biomarker, rising significantly even at the lowest dose tested, while urea and creatinine elevations were most apparent at the highest dose, paralleling a clear histological gradient from preserved architecture in controls to severe glomerular collapse, </w:t>
      </w:r>
      <w:proofErr w:type="spellStart"/>
      <w:r w:rsidRPr="007A0F82">
        <w:rPr>
          <w:rFonts w:ascii="Times New Roman" w:hAnsi="Times New Roman" w:cs="Times New Roman"/>
          <w:sz w:val="24"/>
          <w:szCs w:val="24"/>
        </w:rPr>
        <w:t>haemorrhage</w:t>
      </w:r>
      <w:proofErr w:type="spellEnd"/>
      <w:r w:rsidRPr="007A0F82">
        <w:rPr>
          <w:rFonts w:ascii="Times New Roman" w:hAnsi="Times New Roman" w:cs="Times New Roman"/>
          <w:sz w:val="24"/>
          <w:szCs w:val="24"/>
        </w:rPr>
        <w:t xml:space="preserve">, and inflammatory infiltration at the highest exposure level. These findings reaffirm the kidney as a primary target of lead toxicity and support the integration of multiple biomarkers, alongside </w:t>
      </w:r>
      <w:proofErr w:type="spellStart"/>
      <w:r w:rsidRPr="007A0F82">
        <w:rPr>
          <w:rFonts w:ascii="Times New Roman" w:hAnsi="Times New Roman" w:cs="Times New Roman"/>
          <w:sz w:val="24"/>
          <w:szCs w:val="24"/>
        </w:rPr>
        <w:t>histopathological</w:t>
      </w:r>
      <w:proofErr w:type="spellEnd"/>
      <w:r w:rsidRPr="007A0F82">
        <w:rPr>
          <w:rFonts w:ascii="Times New Roman" w:hAnsi="Times New Roman" w:cs="Times New Roman"/>
          <w:sz w:val="24"/>
          <w:szCs w:val="24"/>
        </w:rPr>
        <w:t xml:space="preserve"> assessment, in both experimental and clinical evaluation of lead-induced renal injury. Given the continued global burden of environmental and occupational lead exposure, these results underscore the importance of exposure mitigation, renal </w:t>
      </w:r>
      <w:proofErr w:type="spellStart"/>
      <w:r w:rsidRPr="007A0F82">
        <w:rPr>
          <w:rFonts w:ascii="Times New Roman" w:hAnsi="Times New Roman" w:cs="Times New Roman"/>
          <w:sz w:val="24"/>
          <w:szCs w:val="24"/>
        </w:rPr>
        <w:t>biomonitoring</w:t>
      </w:r>
      <w:proofErr w:type="spellEnd"/>
      <w:r w:rsidRPr="007A0F82">
        <w:rPr>
          <w:rFonts w:ascii="Times New Roman" w:hAnsi="Times New Roman" w:cs="Times New Roman"/>
          <w:sz w:val="24"/>
          <w:szCs w:val="24"/>
        </w:rPr>
        <w:t>, and continued investigation of protective therapeutic strategies.</w:t>
      </w:r>
    </w:p>
    <w:p w:rsidR="00F20C10" w:rsidRPr="00FC2DD1" w:rsidRDefault="008E6D20" w:rsidP="00FC2DD1">
      <w:pPr>
        <w:pStyle w:val="Heading1"/>
        <w:rPr>
          <w:rFonts w:ascii="Times New Roman" w:hAnsi="Times New Roman" w:cs="Times New Roman"/>
          <w:color w:val="auto"/>
        </w:rPr>
      </w:pPr>
      <w:r w:rsidRPr="00F20C10">
        <w:rPr>
          <w:rFonts w:ascii="Times New Roman" w:hAnsi="Times New Roman" w:cs="Times New Roman"/>
          <w:color w:val="auto"/>
        </w:rPr>
        <w:t>DECLARATIONS</w:t>
      </w:r>
      <w:r w:rsidR="00FC2DD1">
        <w:rPr>
          <w:rFonts w:ascii="Times New Roman" w:hAnsi="Times New Roman" w:cs="Times New Roman"/>
          <w:color w:val="auto"/>
        </w:rPr>
        <w:t xml:space="preserve">: </w:t>
      </w:r>
      <w:r w:rsidR="00FC2DD1" w:rsidRPr="00FC2DD1">
        <w:rPr>
          <w:rFonts w:ascii="Times New Roman" w:hAnsi="Times New Roman" w:cs="Times New Roman"/>
          <w:b w:val="0"/>
          <w:color w:val="auto"/>
          <w:sz w:val="24"/>
          <w:szCs w:val="24"/>
        </w:rPr>
        <w:t>All animal procedures were conducted in accordance with institutional and international guidelines for the care and use of laboratory animals, following review and approval by Nile University of Nigeria Abuja Animal Care and Use Committee/Ethics Committee.</w:t>
      </w:r>
    </w:p>
    <w:p w:rsidR="009C1A55" w:rsidRDefault="009C1A55">
      <w:pPr>
        <w:spacing w:after="200" w:line="276" w:lineRule="auto"/>
        <w:jc w:val="both"/>
        <w:rPr>
          <w:rFonts w:ascii="Times New Roman" w:hAnsi="Times New Roman" w:cs="Times New Roman"/>
          <w:b/>
          <w:sz w:val="24"/>
          <w:szCs w:val="24"/>
        </w:rPr>
      </w:pPr>
    </w:p>
    <w:p w:rsidR="00816A08" w:rsidRPr="00F20C10" w:rsidRDefault="00F20C10">
      <w:pPr>
        <w:spacing w:after="200" w:line="276" w:lineRule="auto"/>
        <w:jc w:val="both"/>
        <w:rPr>
          <w:rFonts w:ascii="Times New Roman" w:hAnsi="Times New Roman" w:cs="Times New Roman"/>
          <w:sz w:val="24"/>
          <w:szCs w:val="24"/>
        </w:rPr>
      </w:pPr>
      <w:r w:rsidRPr="00F20C10">
        <w:rPr>
          <w:rFonts w:ascii="Times New Roman" w:hAnsi="Times New Roman" w:cs="Times New Roman"/>
          <w:b/>
          <w:sz w:val="24"/>
          <w:szCs w:val="24"/>
        </w:rPr>
        <w:t>CONFLICT OF INTEREST</w:t>
      </w:r>
      <w:r w:rsidR="008E6D20" w:rsidRPr="001E5ECD">
        <w:rPr>
          <w:rFonts w:ascii="Times New Roman" w:hAnsi="Times New Roman" w:cs="Times New Roman"/>
        </w:rPr>
        <w:t xml:space="preserve">: </w:t>
      </w:r>
      <w:r w:rsidR="008E6D20" w:rsidRPr="00F20C10">
        <w:rPr>
          <w:rFonts w:ascii="Times New Roman" w:hAnsi="Times New Roman" w:cs="Times New Roman"/>
          <w:sz w:val="24"/>
          <w:szCs w:val="24"/>
        </w:rPr>
        <w:t>The authors declare no conflict of interest.</w:t>
      </w: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9C1A55" w:rsidRDefault="009C1A55">
      <w:pPr>
        <w:pStyle w:val="Heading1"/>
        <w:rPr>
          <w:rFonts w:ascii="Times New Roman" w:hAnsi="Times New Roman" w:cs="Times New Roman"/>
          <w:color w:val="auto"/>
        </w:rPr>
      </w:pPr>
    </w:p>
    <w:p w:rsidR="00B024BD" w:rsidRDefault="00B024BD">
      <w:pPr>
        <w:pStyle w:val="Heading1"/>
        <w:rPr>
          <w:rFonts w:ascii="Times New Roman" w:hAnsi="Times New Roman" w:cs="Times New Roman"/>
          <w:color w:val="auto"/>
        </w:rPr>
      </w:pPr>
    </w:p>
    <w:p w:rsidR="00B024BD" w:rsidRDefault="00B024BD">
      <w:pPr>
        <w:pStyle w:val="Heading1"/>
        <w:rPr>
          <w:rFonts w:ascii="Times New Roman" w:hAnsi="Times New Roman" w:cs="Times New Roman"/>
          <w:color w:val="auto"/>
        </w:rPr>
      </w:pPr>
    </w:p>
    <w:p w:rsidR="00B024BD" w:rsidRDefault="00B024BD">
      <w:pPr>
        <w:pStyle w:val="Heading1"/>
        <w:rPr>
          <w:rFonts w:ascii="Times New Roman" w:hAnsi="Times New Roman" w:cs="Times New Roman"/>
          <w:color w:val="auto"/>
        </w:rPr>
      </w:pPr>
    </w:p>
    <w:p w:rsidR="00B024BD" w:rsidRDefault="00B024BD">
      <w:pPr>
        <w:pStyle w:val="Heading1"/>
        <w:rPr>
          <w:rFonts w:ascii="Times New Roman" w:hAnsi="Times New Roman" w:cs="Times New Roman"/>
          <w:color w:val="auto"/>
        </w:rPr>
      </w:pPr>
    </w:p>
    <w:p w:rsidR="00B024BD" w:rsidRDefault="00B024BD">
      <w:pPr>
        <w:pStyle w:val="Heading1"/>
        <w:rPr>
          <w:rFonts w:ascii="Times New Roman" w:hAnsi="Times New Roman" w:cs="Times New Roman"/>
          <w:color w:val="auto"/>
        </w:rPr>
      </w:pPr>
    </w:p>
    <w:p w:rsidR="00816A08" w:rsidRPr="00F20C10" w:rsidRDefault="008E6D20">
      <w:pPr>
        <w:pStyle w:val="Heading1"/>
        <w:rPr>
          <w:rFonts w:ascii="Times New Roman" w:hAnsi="Times New Roman" w:cs="Times New Roman"/>
          <w:color w:val="auto"/>
        </w:rPr>
      </w:pPr>
      <w:r w:rsidRPr="00F20C10">
        <w:rPr>
          <w:rFonts w:ascii="Times New Roman" w:hAnsi="Times New Roman" w:cs="Times New Roman"/>
          <w:color w:val="auto"/>
        </w:rPr>
        <w:lastRenderedPageBreak/>
        <w:t>REFERENCES</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 Zhu, Y., Zhang, K., Wen, S., &amp; Zhang, Y. (2025). TLR2 as a key mediator: </w:t>
      </w:r>
      <w:proofErr w:type="spellStart"/>
      <w:r w:rsidRPr="009C1A55">
        <w:rPr>
          <w:rFonts w:ascii="Times New Roman" w:hAnsi="Times New Roman" w:cs="Times New Roman"/>
          <w:sz w:val="24"/>
          <w:szCs w:val="24"/>
        </w:rPr>
        <w:t>Bergamottin</w:t>
      </w:r>
      <w:proofErr w:type="spellEnd"/>
      <w:r w:rsidRPr="009C1A55">
        <w:rPr>
          <w:rFonts w:ascii="Times New Roman" w:hAnsi="Times New Roman" w:cs="Times New Roman"/>
          <w:sz w:val="24"/>
          <w:szCs w:val="24"/>
        </w:rPr>
        <w:t xml:space="preserve"> protects against lead-induced renal toxicity by modulating oxidative stress and </w:t>
      </w:r>
      <w:proofErr w:type="spellStart"/>
      <w:r w:rsidRPr="009C1A55">
        <w:rPr>
          <w:rFonts w:ascii="Times New Roman" w:hAnsi="Times New Roman" w:cs="Times New Roman"/>
          <w:sz w:val="24"/>
          <w:szCs w:val="24"/>
        </w:rPr>
        <w:t>pyroptosis</w:t>
      </w:r>
      <w:proofErr w:type="spellEnd"/>
      <w:r w:rsidRPr="009C1A55">
        <w:rPr>
          <w:rFonts w:ascii="Times New Roman" w:hAnsi="Times New Roman" w:cs="Times New Roman"/>
          <w:sz w:val="24"/>
          <w:szCs w:val="24"/>
        </w:rPr>
        <w:t xml:space="preserve"> pathways. Food Science &amp; Nutrition. https://doi.org/10.1002/fsn3.71172</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 Bharti, S. A. K., &amp; </w:t>
      </w:r>
      <w:proofErr w:type="spellStart"/>
      <w:r w:rsidRPr="009C1A55">
        <w:rPr>
          <w:rFonts w:ascii="Times New Roman" w:hAnsi="Times New Roman" w:cs="Times New Roman"/>
          <w:sz w:val="24"/>
          <w:szCs w:val="24"/>
        </w:rPr>
        <w:t>Gopalakrishnan</w:t>
      </w:r>
      <w:proofErr w:type="spellEnd"/>
      <w:r w:rsidRPr="009C1A55">
        <w:rPr>
          <w:rFonts w:ascii="Times New Roman" w:hAnsi="Times New Roman" w:cs="Times New Roman"/>
          <w:sz w:val="24"/>
          <w:szCs w:val="24"/>
        </w:rPr>
        <w:t>, A. V. (2026). Lead-induced nephrotoxicity and its therapeutic interventions: An updated review. Biological Trace Element Research, 204(1), 495–513. https://doi.org/10.1007/s12011-025-04692-0</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3. </w:t>
      </w:r>
      <w:proofErr w:type="spellStart"/>
      <w:r w:rsidRPr="009C1A55">
        <w:rPr>
          <w:rFonts w:ascii="Times New Roman" w:hAnsi="Times New Roman" w:cs="Times New Roman"/>
          <w:sz w:val="24"/>
          <w:szCs w:val="24"/>
        </w:rPr>
        <w:t>Generalova</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Davidova</w:t>
      </w:r>
      <w:proofErr w:type="spellEnd"/>
      <w:r w:rsidRPr="009C1A55">
        <w:rPr>
          <w:rFonts w:ascii="Times New Roman" w:hAnsi="Times New Roman" w:cs="Times New Roman"/>
          <w:sz w:val="24"/>
          <w:szCs w:val="24"/>
        </w:rPr>
        <w:t xml:space="preserve">, S., &amp; </w:t>
      </w:r>
      <w:proofErr w:type="spellStart"/>
      <w:r w:rsidRPr="009C1A55">
        <w:rPr>
          <w:rFonts w:ascii="Times New Roman" w:hAnsi="Times New Roman" w:cs="Times New Roman"/>
          <w:sz w:val="24"/>
          <w:szCs w:val="24"/>
        </w:rPr>
        <w:t>Satchanska</w:t>
      </w:r>
      <w:proofErr w:type="spellEnd"/>
      <w:r w:rsidRPr="009C1A55">
        <w:rPr>
          <w:rFonts w:ascii="Times New Roman" w:hAnsi="Times New Roman" w:cs="Times New Roman"/>
          <w:sz w:val="24"/>
          <w:szCs w:val="24"/>
        </w:rPr>
        <w:t xml:space="preserve">, G. (2025). The mechanisms of lead toxicity in living organisms. Journal of </w:t>
      </w:r>
      <w:proofErr w:type="spellStart"/>
      <w:r w:rsidRPr="009C1A55">
        <w:rPr>
          <w:rFonts w:ascii="Times New Roman" w:hAnsi="Times New Roman" w:cs="Times New Roman"/>
          <w:sz w:val="24"/>
          <w:szCs w:val="24"/>
        </w:rPr>
        <w:t>Xenobiotics</w:t>
      </w:r>
      <w:proofErr w:type="spellEnd"/>
      <w:r w:rsidRPr="009C1A55">
        <w:rPr>
          <w:rFonts w:ascii="Times New Roman" w:hAnsi="Times New Roman" w:cs="Times New Roman"/>
          <w:sz w:val="24"/>
          <w:szCs w:val="24"/>
        </w:rPr>
        <w:t>, 15(5), 146. https://doi.org/10.3390/jox15050146</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4. </w:t>
      </w:r>
      <w:proofErr w:type="spellStart"/>
      <w:r w:rsidRPr="009C1A55">
        <w:rPr>
          <w:rFonts w:ascii="Times New Roman" w:hAnsi="Times New Roman" w:cs="Times New Roman"/>
          <w:sz w:val="24"/>
          <w:szCs w:val="24"/>
        </w:rPr>
        <w:t>Moghadam</w:t>
      </w:r>
      <w:proofErr w:type="spellEnd"/>
      <w:r w:rsidRPr="009C1A55">
        <w:rPr>
          <w:rFonts w:ascii="Times New Roman" w:hAnsi="Times New Roman" w:cs="Times New Roman"/>
          <w:sz w:val="24"/>
          <w:szCs w:val="24"/>
        </w:rPr>
        <w:t xml:space="preserve"> </w:t>
      </w:r>
      <w:proofErr w:type="spellStart"/>
      <w:r w:rsidRPr="009C1A55">
        <w:rPr>
          <w:rFonts w:ascii="Times New Roman" w:hAnsi="Times New Roman" w:cs="Times New Roman"/>
          <w:sz w:val="24"/>
          <w:szCs w:val="24"/>
        </w:rPr>
        <w:t>Aghajari</w:t>
      </w:r>
      <w:proofErr w:type="spellEnd"/>
      <w:r w:rsidRPr="009C1A55">
        <w:rPr>
          <w:rFonts w:ascii="Times New Roman" w:hAnsi="Times New Roman" w:cs="Times New Roman"/>
          <w:sz w:val="24"/>
          <w:szCs w:val="24"/>
        </w:rPr>
        <w:t xml:space="preserve">, H., &amp; </w:t>
      </w:r>
      <w:proofErr w:type="spellStart"/>
      <w:r w:rsidRPr="009C1A55">
        <w:rPr>
          <w:rFonts w:ascii="Times New Roman" w:hAnsi="Times New Roman" w:cs="Times New Roman"/>
          <w:sz w:val="24"/>
          <w:szCs w:val="24"/>
        </w:rPr>
        <w:t>Asle-Rousta</w:t>
      </w:r>
      <w:proofErr w:type="spellEnd"/>
      <w:r w:rsidRPr="009C1A55">
        <w:rPr>
          <w:rFonts w:ascii="Times New Roman" w:hAnsi="Times New Roman" w:cs="Times New Roman"/>
          <w:sz w:val="24"/>
          <w:szCs w:val="24"/>
        </w:rPr>
        <w:t>, M. (2025). Eucalyptol alleviates lead-induced nephrotoxicity in rats by suppressing oxidative stress, inflammation, and apoptosis, and enhancing the Nrf2/HO-1 signaling pathway. Biological Trace Element Research. https://doi.org/10.1007/s12011-025-04831-7</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5. </w:t>
      </w:r>
      <w:proofErr w:type="spellStart"/>
      <w:r w:rsidRPr="009C1A55">
        <w:rPr>
          <w:rFonts w:ascii="Times New Roman" w:hAnsi="Times New Roman" w:cs="Times New Roman"/>
          <w:sz w:val="24"/>
          <w:szCs w:val="24"/>
        </w:rPr>
        <w:t>Adetunji</w:t>
      </w:r>
      <w:proofErr w:type="spellEnd"/>
      <w:r w:rsidRPr="009C1A55">
        <w:rPr>
          <w:rFonts w:ascii="Times New Roman" w:hAnsi="Times New Roman" w:cs="Times New Roman"/>
          <w:sz w:val="24"/>
          <w:szCs w:val="24"/>
        </w:rPr>
        <w:t xml:space="preserve">, O. A., </w:t>
      </w:r>
      <w:proofErr w:type="spellStart"/>
      <w:r w:rsidRPr="009C1A55">
        <w:rPr>
          <w:rFonts w:ascii="Times New Roman" w:hAnsi="Times New Roman" w:cs="Times New Roman"/>
          <w:sz w:val="24"/>
          <w:szCs w:val="24"/>
        </w:rPr>
        <w:t>Ajiboye</w:t>
      </w:r>
      <w:proofErr w:type="spellEnd"/>
      <w:r w:rsidRPr="009C1A55">
        <w:rPr>
          <w:rFonts w:ascii="Times New Roman" w:hAnsi="Times New Roman" w:cs="Times New Roman"/>
          <w:sz w:val="24"/>
          <w:szCs w:val="24"/>
        </w:rPr>
        <w:t xml:space="preserve">, O. M., </w:t>
      </w:r>
      <w:proofErr w:type="spellStart"/>
      <w:r w:rsidRPr="009C1A55">
        <w:rPr>
          <w:rFonts w:ascii="Times New Roman" w:hAnsi="Times New Roman" w:cs="Times New Roman"/>
          <w:sz w:val="24"/>
          <w:szCs w:val="24"/>
        </w:rPr>
        <w:t>Adeoye</w:t>
      </w:r>
      <w:proofErr w:type="spellEnd"/>
      <w:r w:rsidRPr="009C1A55">
        <w:rPr>
          <w:rFonts w:ascii="Times New Roman" w:hAnsi="Times New Roman" w:cs="Times New Roman"/>
          <w:sz w:val="24"/>
          <w:szCs w:val="24"/>
        </w:rPr>
        <w:t xml:space="preserve">, B. O., </w:t>
      </w:r>
      <w:proofErr w:type="spellStart"/>
      <w:r w:rsidRPr="009C1A55">
        <w:rPr>
          <w:rFonts w:ascii="Times New Roman" w:hAnsi="Times New Roman" w:cs="Times New Roman"/>
          <w:sz w:val="24"/>
          <w:szCs w:val="24"/>
        </w:rPr>
        <w:t>Akano</w:t>
      </w:r>
      <w:proofErr w:type="spellEnd"/>
      <w:r w:rsidRPr="009C1A55">
        <w:rPr>
          <w:rFonts w:ascii="Times New Roman" w:hAnsi="Times New Roman" w:cs="Times New Roman"/>
          <w:sz w:val="24"/>
          <w:szCs w:val="24"/>
        </w:rPr>
        <w:t xml:space="preserve">, O. P., </w:t>
      </w:r>
      <w:proofErr w:type="spellStart"/>
      <w:r w:rsidRPr="009C1A55">
        <w:rPr>
          <w:rFonts w:ascii="Times New Roman" w:hAnsi="Times New Roman" w:cs="Times New Roman"/>
          <w:sz w:val="24"/>
          <w:szCs w:val="24"/>
        </w:rPr>
        <w:t>Ademoye</w:t>
      </w:r>
      <w:proofErr w:type="spellEnd"/>
      <w:r w:rsidRPr="009C1A55">
        <w:rPr>
          <w:rFonts w:ascii="Times New Roman" w:hAnsi="Times New Roman" w:cs="Times New Roman"/>
          <w:sz w:val="24"/>
          <w:szCs w:val="24"/>
        </w:rPr>
        <w:t xml:space="preserve">, K. A., </w:t>
      </w:r>
      <w:proofErr w:type="spellStart"/>
      <w:r w:rsidRPr="009C1A55">
        <w:rPr>
          <w:rFonts w:ascii="Times New Roman" w:hAnsi="Times New Roman" w:cs="Times New Roman"/>
          <w:sz w:val="24"/>
          <w:szCs w:val="24"/>
        </w:rPr>
        <w:t>Adeshina</w:t>
      </w:r>
      <w:proofErr w:type="spellEnd"/>
      <w:r w:rsidRPr="009C1A55">
        <w:rPr>
          <w:rFonts w:ascii="Times New Roman" w:hAnsi="Times New Roman" w:cs="Times New Roman"/>
          <w:sz w:val="24"/>
          <w:szCs w:val="24"/>
        </w:rPr>
        <w:t xml:space="preserve">, H. C., </w:t>
      </w:r>
      <w:proofErr w:type="spellStart"/>
      <w:r w:rsidRPr="009C1A55">
        <w:rPr>
          <w:rFonts w:ascii="Times New Roman" w:hAnsi="Times New Roman" w:cs="Times New Roman"/>
          <w:sz w:val="24"/>
          <w:szCs w:val="24"/>
        </w:rPr>
        <w:t>Adeoye</w:t>
      </w:r>
      <w:proofErr w:type="spellEnd"/>
      <w:r w:rsidRPr="009C1A55">
        <w:rPr>
          <w:rFonts w:ascii="Times New Roman" w:hAnsi="Times New Roman" w:cs="Times New Roman"/>
          <w:sz w:val="24"/>
          <w:szCs w:val="24"/>
        </w:rPr>
        <w:t xml:space="preserve">, A. D., </w:t>
      </w:r>
      <w:proofErr w:type="spellStart"/>
      <w:r w:rsidRPr="009C1A55">
        <w:rPr>
          <w:rFonts w:ascii="Times New Roman" w:hAnsi="Times New Roman" w:cs="Times New Roman"/>
          <w:sz w:val="24"/>
          <w:szCs w:val="24"/>
        </w:rPr>
        <w:t>Nwobi</w:t>
      </w:r>
      <w:proofErr w:type="spellEnd"/>
      <w:r w:rsidRPr="009C1A55">
        <w:rPr>
          <w:rFonts w:ascii="Times New Roman" w:hAnsi="Times New Roman" w:cs="Times New Roman"/>
          <w:sz w:val="24"/>
          <w:szCs w:val="24"/>
        </w:rPr>
        <w:t xml:space="preserve">, N. L., </w:t>
      </w:r>
      <w:proofErr w:type="spellStart"/>
      <w:r w:rsidRPr="009C1A55">
        <w:rPr>
          <w:rFonts w:ascii="Times New Roman" w:hAnsi="Times New Roman" w:cs="Times New Roman"/>
          <w:sz w:val="24"/>
          <w:szCs w:val="24"/>
        </w:rPr>
        <w:t>Ogunsanya</w:t>
      </w:r>
      <w:proofErr w:type="spellEnd"/>
      <w:r w:rsidRPr="009C1A55">
        <w:rPr>
          <w:rFonts w:ascii="Times New Roman" w:hAnsi="Times New Roman" w:cs="Times New Roman"/>
          <w:sz w:val="24"/>
          <w:szCs w:val="24"/>
        </w:rPr>
        <w:t xml:space="preserve">, S. T., </w:t>
      </w:r>
      <w:proofErr w:type="spellStart"/>
      <w:r w:rsidRPr="009C1A55">
        <w:rPr>
          <w:rFonts w:ascii="Times New Roman" w:hAnsi="Times New Roman" w:cs="Times New Roman"/>
          <w:sz w:val="24"/>
          <w:szCs w:val="24"/>
        </w:rPr>
        <w:t>Nwobi</w:t>
      </w:r>
      <w:proofErr w:type="spellEnd"/>
      <w:r w:rsidRPr="009C1A55">
        <w:rPr>
          <w:rFonts w:ascii="Times New Roman" w:hAnsi="Times New Roman" w:cs="Times New Roman"/>
          <w:sz w:val="24"/>
          <w:szCs w:val="24"/>
        </w:rPr>
        <w:t xml:space="preserve">, C. J., Adebayo, I. O., </w:t>
      </w:r>
      <w:proofErr w:type="spellStart"/>
      <w:r w:rsidRPr="009C1A55">
        <w:rPr>
          <w:rFonts w:ascii="Times New Roman" w:hAnsi="Times New Roman" w:cs="Times New Roman"/>
          <w:sz w:val="24"/>
          <w:szCs w:val="24"/>
        </w:rPr>
        <w:t>Adeogun</w:t>
      </w:r>
      <w:proofErr w:type="spellEnd"/>
      <w:r w:rsidRPr="009C1A55">
        <w:rPr>
          <w:rFonts w:ascii="Times New Roman" w:hAnsi="Times New Roman" w:cs="Times New Roman"/>
          <w:sz w:val="24"/>
          <w:szCs w:val="24"/>
        </w:rPr>
        <w:t xml:space="preserve">, A. E., </w:t>
      </w:r>
      <w:proofErr w:type="spellStart"/>
      <w:r w:rsidRPr="009C1A55">
        <w:rPr>
          <w:rFonts w:ascii="Times New Roman" w:hAnsi="Times New Roman" w:cs="Times New Roman"/>
          <w:sz w:val="24"/>
          <w:szCs w:val="24"/>
        </w:rPr>
        <w:t>Oyewumi</w:t>
      </w:r>
      <w:proofErr w:type="spellEnd"/>
      <w:r w:rsidRPr="009C1A55">
        <w:rPr>
          <w:rFonts w:ascii="Times New Roman" w:hAnsi="Times New Roman" w:cs="Times New Roman"/>
          <w:sz w:val="24"/>
          <w:szCs w:val="24"/>
        </w:rPr>
        <w:t xml:space="preserve">, S. O., </w:t>
      </w:r>
      <w:proofErr w:type="spellStart"/>
      <w:r w:rsidRPr="009C1A55">
        <w:rPr>
          <w:rFonts w:ascii="Times New Roman" w:hAnsi="Times New Roman" w:cs="Times New Roman"/>
          <w:sz w:val="24"/>
          <w:szCs w:val="24"/>
        </w:rPr>
        <w:t>Akinnawo</w:t>
      </w:r>
      <w:proofErr w:type="spellEnd"/>
      <w:r w:rsidRPr="009C1A55">
        <w:rPr>
          <w:rFonts w:ascii="Times New Roman" w:hAnsi="Times New Roman" w:cs="Times New Roman"/>
          <w:sz w:val="24"/>
          <w:szCs w:val="24"/>
        </w:rPr>
        <w:t xml:space="preserve">, O. O., </w:t>
      </w:r>
      <w:proofErr w:type="spellStart"/>
      <w:r w:rsidRPr="009C1A55">
        <w:rPr>
          <w:rFonts w:ascii="Times New Roman" w:hAnsi="Times New Roman" w:cs="Times New Roman"/>
          <w:sz w:val="24"/>
          <w:szCs w:val="24"/>
        </w:rPr>
        <w:t>Achor</w:t>
      </w:r>
      <w:proofErr w:type="spellEnd"/>
      <w:r w:rsidRPr="009C1A55">
        <w:rPr>
          <w:rFonts w:ascii="Times New Roman" w:hAnsi="Times New Roman" w:cs="Times New Roman"/>
          <w:sz w:val="24"/>
          <w:szCs w:val="24"/>
        </w:rPr>
        <w:t xml:space="preserve">, C. B., </w:t>
      </w:r>
      <w:proofErr w:type="spellStart"/>
      <w:r w:rsidRPr="009C1A55">
        <w:rPr>
          <w:rFonts w:ascii="Times New Roman" w:hAnsi="Times New Roman" w:cs="Times New Roman"/>
          <w:sz w:val="24"/>
          <w:szCs w:val="24"/>
        </w:rPr>
        <w:t>Ajaere</w:t>
      </w:r>
      <w:proofErr w:type="spellEnd"/>
      <w:r w:rsidRPr="009C1A55">
        <w:rPr>
          <w:rFonts w:ascii="Times New Roman" w:hAnsi="Times New Roman" w:cs="Times New Roman"/>
          <w:sz w:val="24"/>
          <w:szCs w:val="24"/>
        </w:rPr>
        <w:t xml:space="preserve">, S. O., </w:t>
      </w:r>
      <w:proofErr w:type="spellStart"/>
      <w:r w:rsidRPr="009C1A55">
        <w:rPr>
          <w:rFonts w:ascii="Times New Roman" w:hAnsi="Times New Roman" w:cs="Times New Roman"/>
          <w:sz w:val="24"/>
          <w:szCs w:val="24"/>
        </w:rPr>
        <w:t>Bimbola</w:t>
      </w:r>
      <w:proofErr w:type="spellEnd"/>
      <w:r w:rsidRPr="009C1A55">
        <w:rPr>
          <w:rFonts w:ascii="Times New Roman" w:hAnsi="Times New Roman" w:cs="Times New Roman"/>
          <w:sz w:val="24"/>
          <w:szCs w:val="24"/>
        </w:rPr>
        <w:t xml:space="preserve">, A. F., &amp; </w:t>
      </w:r>
      <w:proofErr w:type="spellStart"/>
      <w:r w:rsidRPr="009C1A55">
        <w:rPr>
          <w:rFonts w:ascii="Times New Roman" w:hAnsi="Times New Roman" w:cs="Times New Roman"/>
          <w:sz w:val="24"/>
          <w:szCs w:val="24"/>
        </w:rPr>
        <w:t>Babatunde</w:t>
      </w:r>
      <w:proofErr w:type="spellEnd"/>
      <w:r w:rsidRPr="009C1A55">
        <w:rPr>
          <w:rFonts w:ascii="Times New Roman" w:hAnsi="Times New Roman" w:cs="Times New Roman"/>
          <w:sz w:val="24"/>
          <w:szCs w:val="24"/>
        </w:rPr>
        <w:t xml:space="preserve">, O. O. (2025). Biochemical and </w:t>
      </w:r>
      <w:proofErr w:type="spellStart"/>
      <w:r w:rsidRPr="009C1A55">
        <w:rPr>
          <w:rFonts w:ascii="Times New Roman" w:hAnsi="Times New Roman" w:cs="Times New Roman"/>
          <w:sz w:val="24"/>
          <w:szCs w:val="24"/>
        </w:rPr>
        <w:t>histomorphological</w:t>
      </w:r>
      <w:proofErr w:type="spellEnd"/>
      <w:r w:rsidRPr="009C1A55">
        <w:rPr>
          <w:rFonts w:ascii="Times New Roman" w:hAnsi="Times New Roman" w:cs="Times New Roman"/>
          <w:sz w:val="24"/>
          <w:szCs w:val="24"/>
        </w:rPr>
        <w:t xml:space="preserve"> assessment of lead-induced renal damage in a male </w:t>
      </w:r>
      <w:proofErr w:type="spellStart"/>
      <w:r w:rsidRPr="009C1A55">
        <w:rPr>
          <w:rFonts w:ascii="Times New Roman" w:hAnsi="Times New Roman" w:cs="Times New Roman"/>
          <w:sz w:val="24"/>
          <w:szCs w:val="24"/>
        </w:rPr>
        <w:t>Wistar</w:t>
      </w:r>
      <w:proofErr w:type="spellEnd"/>
      <w:r w:rsidRPr="009C1A55">
        <w:rPr>
          <w:rFonts w:ascii="Times New Roman" w:hAnsi="Times New Roman" w:cs="Times New Roman"/>
          <w:sz w:val="24"/>
          <w:szCs w:val="24"/>
        </w:rPr>
        <w:t xml:space="preserve"> rat model. </w:t>
      </w:r>
      <w:proofErr w:type="spellStart"/>
      <w:r w:rsidRPr="009C1A55">
        <w:rPr>
          <w:rFonts w:ascii="Times New Roman" w:hAnsi="Times New Roman" w:cs="Times New Roman"/>
          <w:sz w:val="24"/>
          <w:szCs w:val="24"/>
        </w:rPr>
        <w:t>Haya</w:t>
      </w:r>
      <w:proofErr w:type="spellEnd"/>
      <w:r w:rsidRPr="009C1A55">
        <w:rPr>
          <w:rFonts w:ascii="Times New Roman" w:hAnsi="Times New Roman" w:cs="Times New Roman"/>
          <w:sz w:val="24"/>
          <w:szCs w:val="24"/>
        </w:rPr>
        <w:t>: The Saudi Journal of Life Sciences, 10(2), 34–43. https://doi.org/10.36348/sjls.2025.v10i02.003</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6. World Health Organization. (2025). Lead poisoning and health [Fact sheet]. https://www.who.int/news-room/fact-sheets/detail/lead-poisoning-and-health</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7. </w:t>
      </w:r>
      <w:proofErr w:type="spellStart"/>
      <w:r w:rsidRPr="009C1A55">
        <w:rPr>
          <w:rFonts w:ascii="Times New Roman" w:hAnsi="Times New Roman" w:cs="Times New Roman"/>
          <w:sz w:val="24"/>
          <w:szCs w:val="24"/>
        </w:rPr>
        <w:t>Akano</w:t>
      </w:r>
      <w:proofErr w:type="spellEnd"/>
      <w:r w:rsidRPr="009C1A55">
        <w:rPr>
          <w:rFonts w:ascii="Times New Roman" w:hAnsi="Times New Roman" w:cs="Times New Roman"/>
          <w:sz w:val="24"/>
          <w:szCs w:val="24"/>
        </w:rPr>
        <w:t xml:space="preserve">, O., </w:t>
      </w:r>
      <w:proofErr w:type="spellStart"/>
      <w:r w:rsidRPr="009C1A55">
        <w:rPr>
          <w:rFonts w:ascii="Times New Roman" w:hAnsi="Times New Roman" w:cs="Times New Roman"/>
          <w:sz w:val="24"/>
          <w:szCs w:val="24"/>
        </w:rPr>
        <w:t>Adebola</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Marvellous</w:t>
      </w:r>
      <w:proofErr w:type="spellEnd"/>
      <w:r w:rsidRPr="009C1A55">
        <w:rPr>
          <w:rFonts w:ascii="Times New Roman" w:hAnsi="Times New Roman" w:cs="Times New Roman"/>
          <w:sz w:val="24"/>
          <w:szCs w:val="24"/>
        </w:rPr>
        <w:t xml:space="preserve">, L., </w:t>
      </w:r>
      <w:proofErr w:type="spellStart"/>
      <w:r w:rsidRPr="009C1A55">
        <w:rPr>
          <w:rFonts w:ascii="Times New Roman" w:hAnsi="Times New Roman" w:cs="Times New Roman"/>
          <w:sz w:val="24"/>
          <w:szCs w:val="24"/>
        </w:rPr>
        <w:t>Olufunso</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Tunde</w:t>
      </w:r>
      <w:proofErr w:type="spellEnd"/>
      <w:r w:rsidRPr="009C1A55">
        <w:rPr>
          <w:rFonts w:ascii="Times New Roman" w:hAnsi="Times New Roman" w:cs="Times New Roman"/>
          <w:sz w:val="24"/>
          <w:szCs w:val="24"/>
        </w:rPr>
        <w:t xml:space="preserve">, O., </w:t>
      </w:r>
      <w:proofErr w:type="spellStart"/>
      <w:r w:rsidRPr="009C1A55">
        <w:rPr>
          <w:rFonts w:ascii="Times New Roman" w:hAnsi="Times New Roman" w:cs="Times New Roman"/>
          <w:sz w:val="24"/>
          <w:szCs w:val="24"/>
        </w:rPr>
        <w:t>Oluwole</w:t>
      </w:r>
      <w:proofErr w:type="spellEnd"/>
      <w:r w:rsidRPr="009C1A55">
        <w:rPr>
          <w:rFonts w:ascii="Times New Roman" w:hAnsi="Times New Roman" w:cs="Times New Roman"/>
          <w:sz w:val="24"/>
          <w:szCs w:val="24"/>
        </w:rPr>
        <w:t xml:space="preserve">, O., </w:t>
      </w:r>
      <w:proofErr w:type="spellStart"/>
      <w:r w:rsidRPr="009C1A55">
        <w:rPr>
          <w:rFonts w:ascii="Times New Roman" w:hAnsi="Times New Roman" w:cs="Times New Roman"/>
          <w:sz w:val="24"/>
          <w:szCs w:val="24"/>
        </w:rPr>
        <w:t>Ayodeji</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Olayinka</w:t>
      </w:r>
      <w:proofErr w:type="spellEnd"/>
      <w:r w:rsidRPr="009C1A55">
        <w:rPr>
          <w:rFonts w:ascii="Times New Roman" w:hAnsi="Times New Roman" w:cs="Times New Roman"/>
          <w:sz w:val="24"/>
          <w:szCs w:val="24"/>
        </w:rPr>
        <w:t xml:space="preserve">, O., &amp; </w:t>
      </w:r>
      <w:proofErr w:type="spellStart"/>
      <w:r w:rsidRPr="009C1A55">
        <w:rPr>
          <w:rFonts w:ascii="Times New Roman" w:hAnsi="Times New Roman" w:cs="Times New Roman"/>
          <w:sz w:val="24"/>
          <w:szCs w:val="24"/>
        </w:rPr>
        <w:t>Adeogun</w:t>
      </w:r>
      <w:proofErr w:type="spellEnd"/>
      <w:r w:rsidRPr="009C1A55">
        <w:rPr>
          <w:rFonts w:ascii="Times New Roman" w:hAnsi="Times New Roman" w:cs="Times New Roman"/>
          <w:sz w:val="24"/>
          <w:szCs w:val="24"/>
        </w:rPr>
        <w:t xml:space="preserve">, A. (2024). Chronic lead exposure impairment of hypothalamic-pituitary-gonadal axis in adult male </w:t>
      </w:r>
      <w:proofErr w:type="spellStart"/>
      <w:r w:rsidRPr="009C1A55">
        <w:rPr>
          <w:rFonts w:ascii="Times New Roman" w:hAnsi="Times New Roman" w:cs="Times New Roman"/>
          <w:sz w:val="24"/>
          <w:szCs w:val="24"/>
        </w:rPr>
        <w:t>Wistar</w:t>
      </w:r>
      <w:proofErr w:type="spellEnd"/>
      <w:r w:rsidRPr="009C1A55">
        <w:rPr>
          <w:rFonts w:ascii="Times New Roman" w:hAnsi="Times New Roman" w:cs="Times New Roman"/>
          <w:sz w:val="24"/>
          <w:szCs w:val="24"/>
        </w:rPr>
        <w:t xml:space="preserve"> rats: Biochemical and </w:t>
      </w:r>
      <w:proofErr w:type="spellStart"/>
      <w:r w:rsidRPr="009C1A55">
        <w:rPr>
          <w:rFonts w:ascii="Times New Roman" w:hAnsi="Times New Roman" w:cs="Times New Roman"/>
          <w:sz w:val="24"/>
          <w:szCs w:val="24"/>
        </w:rPr>
        <w:t>histomorphological</w:t>
      </w:r>
      <w:proofErr w:type="spellEnd"/>
      <w:r w:rsidRPr="009C1A55">
        <w:rPr>
          <w:rFonts w:ascii="Times New Roman" w:hAnsi="Times New Roman" w:cs="Times New Roman"/>
          <w:sz w:val="24"/>
          <w:szCs w:val="24"/>
        </w:rPr>
        <w:t xml:space="preserve"> evidence. East African Scholars Journal of Medical Sciences, 7(5).</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8. </w:t>
      </w:r>
      <w:proofErr w:type="spellStart"/>
      <w:r w:rsidRPr="009C1A55">
        <w:rPr>
          <w:rFonts w:ascii="Times New Roman" w:hAnsi="Times New Roman" w:cs="Times New Roman"/>
          <w:sz w:val="24"/>
          <w:szCs w:val="24"/>
        </w:rPr>
        <w:t>Harshitha</w:t>
      </w:r>
      <w:proofErr w:type="spellEnd"/>
      <w:r w:rsidRPr="009C1A55">
        <w:rPr>
          <w:rFonts w:ascii="Times New Roman" w:hAnsi="Times New Roman" w:cs="Times New Roman"/>
          <w:sz w:val="24"/>
          <w:szCs w:val="24"/>
        </w:rPr>
        <w:t>, P., Bose, K., &amp; Dsouza, H. S. (2024). Influence of lead-induced toxicity on the inflammatory cytokines. Toxicology, 503, 153771. https://doi.org/10.1016/j.tox.2024.153771</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9. </w:t>
      </w:r>
      <w:proofErr w:type="spellStart"/>
      <w:r w:rsidRPr="009C1A55">
        <w:rPr>
          <w:rFonts w:ascii="Times New Roman" w:hAnsi="Times New Roman" w:cs="Times New Roman"/>
          <w:sz w:val="24"/>
          <w:szCs w:val="24"/>
        </w:rPr>
        <w:t>Akpotaire</w:t>
      </w:r>
      <w:proofErr w:type="spellEnd"/>
      <w:r w:rsidRPr="009C1A55">
        <w:rPr>
          <w:rFonts w:ascii="Times New Roman" w:hAnsi="Times New Roman" w:cs="Times New Roman"/>
          <w:sz w:val="24"/>
          <w:szCs w:val="24"/>
        </w:rPr>
        <w:t xml:space="preserve">, P., &amp; </w:t>
      </w:r>
      <w:proofErr w:type="spellStart"/>
      <w:r w:rsidRPr="009C1A55">
        <w:rPr>
          <w:rFonts w:ascii="Times New Roman" w:hAnsi="Times New Roman" w:cs="Times New Roman"/>
          <w:sz w:val="24"/>
          <w:szCs w:val="24"/>
        </w:rPr>
        <w:t>Seriki</w:t>
      </w:r>
      <w:proofErr w:type="spellEnd"/>
      <w:r w:rsidRPr="009C1A55">
        <w:rPr>
          <w:rFonts w:ascii="Times New Roman" w:hAnsi="Times New Roman" w:cs="Times New Roman"/>
          <w:sz w:val="24"/>
          <w:szCs w:val="24"/>
        </w:rPr>
        <w:t xml:space="preserve">, S. (2023). Assessment and correlation of serum urea and creatinine levels in normal, hypertensive, and diabetic persons in </w:t>
      </w:r>
      <w:proofErr w:type="spellStart"/>
      <w:r w:rsidRPr="009C1A55">
        <w:rPr>
          <w:rFonts w:ascii="Times New Roman" w:hAnsi="Times New Roman" w:cs="Times New Roman"/>
          <w:sz w:val="24"/>
          <w:szCs w:val="24"/>
        </w:rPr>
        <w:t>Auchi</w:t>
      </w:r>
      <w:proofErr w:type="spellEnd"/>
      <w:r w:rsidRPr="009C1A55">
        <w:rPr>
          <w:rFonts w:ascii="Times New Roman" w:hAnsi="Times New Roman" w:cs="Times New Roman"/>
          <w:sz w:val="24"/>
          <w:szCs w:val="24"/>
        </w:rPr>
        <w:t>, Nigeria. Archives of Pathology and Clinical Research, 7(1), 7–16. https://doi.org/10.29328/journal.apcr.1001035</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10. </w:t>
      </w:r>
      <w:proofErr w:type="spellStart"/>
      <w:r w:rsidRPr="009C1A55">
        <w:rPr>
          <w:rFonts w:ascii="Times New Roman" w:hAnsi="Times New Roman" w:cs="Times New Roman"/>
          <w:sz w:val="24"/>
          <w:szCs w:val="24"/>
        </w:rPr>
        <w:t>Moneim</w:t>
      </w:r>
      <w:proofErr w:type="spellEnd"/>
      <w:r w:rsidRPr="009C1A55">
        <w:rPr>
          <w:rFonts w:ascii="Times New Roman" w:hAnsi="Times New Roman" w:cs="Times New Roman"/>
          <w:sz w:val="24"/>
          <w:szCs w:val="24"/>
        </w:rPr>
        <w:t>, M., Hussein, H., El-</w:t>
      </w:r>
      <w:proofErr w:type="spellStart"/>
      <w:r w:rsidRPr="009C1A55">
        <w:rPr>
          <w:rFonts w:ascii="Times New Roman" w:hAnsi="Times New Roman" w:cs="Times New Roman"/>
          <w:sz w:val="24"/>
          <w:szCs w:val="24"/>
        </w:rPr>
        <w:t>Nefiawy</w:t>
      </w:r>
      <w:proofErr w:type="spellEnd"/>
      <w:r w:rsidRPr="009C1A55">
        <w:rPr>
          <w:rFonts w:ascii="Times New Roman" w:hAnsi="Times New Roman" w:cs="Times New Roman"/>
          <w:sz w:val="24"/>
          <w:szCs w:val="24"/>
        </w:rPr>
        <w:t>, N., &amp; Hamid, H. A. (2023). Does omeprazole, the proton-pump inhibitor, affect the structure of the kidney of male albino rats? Histological and laboratory study. Journal of Microscopy and Ultrastructure, 11(1), 23. https://doi.org/10.4103/jmau.jmau_11_21</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11. </w:t>
      </w:r>
      <w:proofErr w:type="spellStart"/>
      <w:r w:rsidRPr="009C1A55">
        <w:rPr>
          <w:rFonts w:ascii="Times New Roman" w:hAnsi="Times New Roman" w:cs="Times New Roman"/>
          <w:sz w:val="24"/>
          <w:szCs w:val="24"/>
        </w:rPr>
        <w:t>Jomova</w:t>
      </w:r>
      <w:proofErr w:type="spellEnd"/>
      <w:r w:rsidRPr="009C1A55">
        <w:rPr>
          <w:rFonts w:ascii="Times New Roman" w:hAnsi="Times New Roman" w:cs="Times New Roman"/>
          <w:sz w:val="24"/>
          <w:szCs w:val="24"/>
        </w:rPr>
        <w:t xml:space="preserve">, K., </w:t>
      </w:r>
      <w:proofErr w:type="spellStart"/>
      <w:r w:rsidRPr="009C1A55">
        <w:rPr>
          <w:rFonts w:ascii="Times New Roman" w:hAnsi="Times New Roman" w:cs="Times New Roman"/>
          <w:sz w:val="24"/>
          <w:szCs w:val="24"/>
        </w:rPr>
        <w:t>Raptova</w:t>
      </w:r>
      <w:proofErr w:type="spellEnd"/>
      <w:r w:rsidRPr="009C1A55">
        <w:rPr>
          <w:rFonts w:ascii="Times New Roman" w:hAnsi="Times New Roman" w:cs="Times New Roman"/>
          <w:sz w:val="24"/>
          <w:szCs w:val="24"/>
        </w:rPr>
        <w:t xml:space="preserve">, R., Alomar, S. Y., </w:t>
      </w:r>
      <w:proofErr w:type="spellStart"/>
      <w:r w:rsidRPr="009C1A55">
        <w:rPr>
          <w:rFonts w:ascii="Times New Roman" w:hAnsi="Times New Roman" w:cs="Times New Roman"/>
          <w:sz w:val="24"/>
          <w:szCs w:val="24"/>
        </w:rPr>
        <w:t>Alwasel</w:t>
      </w:r>
      <w:proofErr w:type="spellEnd"/>
      <w:r w:rsidRPr="009C1A55">
        <w:rPr>
          <w:rFonts w:ascii="Times New Roman" w:hAnsi="Times New Roman" w:cs="Times New Roman"/>
          <w:sz w:val="24"/>
          <w:szCs w:val="24"/>
        </w:rPr>
        <w:t xml:space="preserve">, S. H., </w:t>
      </w:r>
      <w:proofErr w:type="spellStart"/>
      <w:r w:rsidRPr="009C1A55">
        <w:rPr>
          <w:rFonts w:ascii="Times New Roman" w:hAnsi="Times New Roman" w:cs="Times New Roman"/>
          <w:sz w:val="24"/>
          <w:szCs w:val="24"/>
        </w:rPr>
        <w:t>Nepovimova</w:t>
      </w:r>
      <w:proofErr w:type="spellEnd"/>
      <w:r w:rsidRPr="009C1A55">
        <w:rPr>
          <w:rFonts w:ascii="Times New Roman" w:hAnsi="Times New Roman" w:cs="Times New Roman"/>
          <w:sz w:val="24"/>
          <w:szCs w:val="24"/>
        </w:rPr>
        <w:t xml:space="preserve">, E., </w:t>
      </w:r>
      <w:proofErr w:type="spellStart"/>
      <w:r w:rsidRPr="009C1A55">
        <w:rPr>
          <w:rFonts w:ascii="Times New Roman" w:hAnsi="Times New Roman" w:cs="Times New Roman"/>
          <w:sz w:val="24"/>
          <w:szCs w:val="24"/>
        </w:rPr>
        <w:t>Kuca</w:t>
      </w:r>
      <w:proofErr w:type="spellEnd"/>
      <w:r w:rsidRPr="009C1A55">
        <w:rPr>
          <w:rFonts w:ascii="Times New Roman" w:hAnsi="Times New Roman" w:cs="Times New Roman"/>
          <w:sz w:val="24"/>
          <w:szCs w:val="24"/>
        </w:rPr>
        <w:t xml:space="preserve">, K., &amp; </w:t>
      </w:r>
      <w:proofErr w:type="spellStart"/>
      <w:r w:rsidRPr="009C1A55">
        <w:rPr>
          <w:rFonts w:ascii="Times New Roman" w:hAnsi="Times New Roman" w:cs="Times New Roman"/>
          <w:sz w:val="24"/>
          <w:szCs w:val="24"/>
        </w:rPr>
        <w:t>Valko</w:t>
      </w:r>
      <w:proofErr w:type="spellEnd"/>
      <w:r w:rsidRPr="009C1A55">
        <w:rPr>
          <w:rFonts w:ascii="Times New Roman" w:hAnsi="Times New Roman" w:cs="Times New Roman"/>
          <w:sz w:val="24"/>
          <w:szCs w:val="24"/>
        </w:rPr>
        <w:t xml:space="preserve">, M. (2023). Reactive oxygen species, toxicity, oxidative stress, and antioxidants: </w:t>
      </w:r>
      <w:r w:rsidRPr="009C1A55">
        <w:rPr>
          <w:rFonts w:ascii="Times New Roman" w:hAnsi="Times New Roman" w:cs="Times New Roman"/>
          <w:sz w:val="24"/>
          <w:szCs w:val="24"/>
        </w:rPr>
        <w:lastRenderedPageBreak/>
        <w:t>Chronic diseases and aging. Archives of Toxicology, 97(10), 2499–2574. https://doi.org/10.1007/s00204-023-03562-9</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12. Zhang, S. Y., &amp; Mahler, G. J. (2023). A glomerulus and proximal tubule </w:t>
      </w:r>
      <w:proofErr w:type="spellStart"/>
      <w:r w:rsidRPr="009C1A55">
        <w:rPr>
          <w:rFonts w:ascii="Times New Roman" w:hAnsi="Times New Roman" w:cs="Times New Roman"/>
          <w:sz w:val="24"/>
          <w:szCs w:val="24"/>
        </w:rPr>
        <w:t>microphysiological</w:t>
      </w:r>
      <w:proofErr w:type="spellEnd"/>
      <w:r w:rsidRPr="009C1A55">
        <w:rPr>
          <w:rFonts w:ascii="Times New Roman" w:hAnsi="Times New Roman" w:cs="Times New Roman"/>
          <w:sz w:val="24"/>
          <w:szCs w:val="24"/>
        </w:rPr>
        <w:t xml:space="preserve"> system simulating renal filtration, reabsorption, secretion, and toxicity. Lab on a Chip, 23(2), 272–284. https://doi.org/10.1039/d2lc00887d</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13. </w:t>
      </w:r>
      <w:proofErr w:type="spellStart"/>
      <w:r w:rsidRPr="009C1A55">
        <w:rPr>
          <w:rFonts w:ascii="Times New Roman" w:hAnsi="Times New Roman" w:cs="Times New Roman"/>
          <w:sz w:val="24"/>
          <w:szCs w:val="24"/>
        </w:rPr>
        <w:t>Adeyomoye</w:t>
      </w:r>
      <w:proofErr w:type="spellEnd"/>
      <w:r w:rsidRPr="009C1A55">
        <w:rPr>
          <w:rFonts w:ascii="Times New Roman" w:hAnsi="Times New Roman" w:cs="Times New Roman"/>
          <w:sz w:val="24"/>
          <w:szCs w:val="24"/>
        </w:rPr>
        <w:t xml:space="preserve">, O., </w:t>
      </w:r>
      <w:proofErr w:type="spellStart"/>
      <w:r w:rsidRPr="009C1A55">
        <w:rPr>
          <w:rFonts w:ascii="Times New Roman" w:hAnsi="Times New Roman" w:cs="Times New Roman"/>
          <w:sz w:val="24"/>
          <w:szCs w:val="24"/>
        </w:rPr>
        <w:t>Akintayo</w:t>
      </w:r>
      <w:proofErr w:type="spellEnd"/>
      <w:r w:rsidRPr="009C1A55">
        <w:rPr>
          <w:rFonts w:ascii="Times New Roman" w:hAnsi="Times New Roman" w:cs="Times New Roman"/>
          <w:sz w:val="24"/>
          <w:szCs w:val="24"/>
        </w:rPr>
        <w:t xml:space="preserve">, C., </w:t>
      </w:r>
      <w:proofErr w:type="spellStart"/>
      <w:r w:rsidRPr="009C1A55">
        <w:rPr>
          <w:rFonts w:ascii="Times New Roman" w:hAnsi="Times New Roman" w:cs="Times New Roman"/>
          <w:sz w:val="24"/>
          <w:szCs w:val="24"/>
        </w:rPr>
        <w:t>Omotuyi</w:t>
      </w:r>
      <w:proofErr w:type="spellEnd"/>
      <w:r w:rsidRPr="009C1A55">
        <w:rPr>
          <w:rFonts w:ascii="Times New Roman" w:hAnsi="Times New Roman" w:cs="Times New Roman"/>
          <w:sz w:val="24"/>
          <w:szCs w:val="24"/>
        </w:rPr>
        <w:t xml:space="preserve">, K., &amp; </w:t>
      </w:r>
      <w:proofErr w:type="spellStart"/>
      <w:r w:rsidRPr="009C1A55">
        <w:rPr>
          <w:rFonts w:ascii="Times New Roman" w:hAnsi="Times New Roman" w:cs="Times New Roman"/>
          <w:sz w:val="24"/>
          <w:szCs w:val="24"/>
        </w:rPr>
        <w:t>Adewumi</w:t>
      </w:r>
      <w:proofErr w:type="spellEnd"/>
      <w:r w:rsidRPr="009C1A55">
        <w:rPr>
          <w:rFonts w:ascii="Times New Roman" w:hAnsi="Times New Roman" w:cs="Times New Roman"/>
          <w:sz w:val="24"/>
          <w:szCs w:val="24"/>
        </w:rPr>
        <w:t>, A. (2022). The biological roles of urea: A review of preclinical studies. Indian Journal of Nephrology, 32(6), 539. https://doi.org/10.4103/ijn.ijn_88_21</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14. Collin, M. S., </w:t>
      </w:r>
      <w:proofErr w:type="spellStart"/>
      <w:r w:rsidRPr="009C1A55">
        <w:rPr>
          <w:rFonts w:ascii="Times New Roman" w:hAnsi="Times New Roman" w:cs="Times New Roman"/>
          <w:sz w:val="24"/>
          <w:szCs w:val="24"/>
        </w:rPr>
        <w:t>Venkatraman</w:t>
      </w:r>
      <w:proofErr w:type="spellEnd"/>
      <w:r w:rsidRPr="009C1A55">
        <w:rPr>
          <w:rFonts w:ascii="Times New Roman" w:hAnsi="Times New Roman" w:cs="Times New Roman"/>
          <w:sz w:val="24"/>
          <w:szCs w:val="24"/>
        </w:rPr>
        <w:t xml:space="preserve">, S. K., </w:t>
      </w:r>
      <w:proofErr w:type="spellStart"/>
      <w:r w:rsidRPr="009C1A55">
        <w:rPr>
          <w:rFonts w:ascii="Times New Roman" w:hAnsi="Times New Roman" w:cs="Times New Roman"/>
          <w:sz w:val="24"/>
          <w:szCs w:val="24"/>
        </w:rPr>
        <w:t>Vijayakumar</w:t>
      </w:r>
      <w:proofErr w:type="spellEnd"/>
      <w:r w:rsidRPr="009C1A55">
        <w:rPr>
          <w:rFonts w:ascii="Times New Roman" w:hAnsi="Times New Roman" w:cs="Times New Roman"/>
          <w:sz w:val="24"/>
          <w:szCs w:val="24"/>
        </w:rPr>
        <w:t xml:space="preserve">, N., </w:t>
      </w:r>
      <w:proofErr w:type="spellStart"/>
      <w:r w:rsidRPr="009C1A55">
        <w:rPr>
          <w:rFonts w:ascii="Times New Roman" w:hAnsi="Times New Roman" w:cs="Times New Roman"/>
          <w:sz w:val="24"/>
          <w:szCs w:val="24"/>
        </w:rPr>
        <w:t>Kanimozhi</w:t>
      </w:r>
      <w:proofErr w:type="spellEnd"/>
      <w:r w:rsidRPr="009C1A55">
        <w:rPr>
          <w:rFonts w:ascii="Times New Roman" w:hAnsi="Times New Roman" w:cs="Times New Roman"/>
          <w:sz w:val="24"/>
          <w:szCs w:val="24"/>
        </w:rPr>
        <w:t xml:space="preserve">, V., </w:t>
      </w:r>
      <w:proofErr w:type="spellStart"/>
      <w:r w:rsidRPr="009C1A55">
        <w:rPr>
          <w:rFonts w:ascii="Times New Roman" w:hAnsi="Times New Roman" w:cs="Times New Roman"/>
          <w:sz w:val="24"/>
          <w:szCs w:val="24"/>
        </w:rPr>
        <w:t>Arbaaz</w:t>
      </w:r>
      <w:proofErr w:type="spellEnd"/>
      <w:r w:rsidRPr="009C1A55">
        <w:rPr>
          <w:rFonts w:ascii="Times New Roman" w:hAnsi="Times New Roman" w:cs="Times New Roman"/>
          <w:sz w:val="24"/>
          <w:szCs w:val="24"/>
        </w:rPr>
        <w:t xml:space="preserve">, S. M., Stacey, R. G. S., </w:t>
      </w:r>
      <w:proofErr w:type="spellStart"/>
      <w:r w:rsidRPr="009C1A55">
        <w:rPr>
          <w:rFonts w:ascii="Times New Roman" w:hAnsi="Times New Roman" w:cs="Times New Roman"/>
          <w:sz w:val="24"/>
          <w:szCs w:val="24"/>
        </w:rPr>
        <w:t>Anusha</w:t>
      </w:r>
      <w:proofErr w:type="spellEnd"/>
      <w:r w:rsidRPr="009C1A55">
        <w:rPr>
          <w:rFonts w:ascii="Times New Roman" w:hAnsi="Times New Roman" w:cs="Times New Roman"/>
          <w:sz w:val="24"/>
          <w:szCs w:val="24"/>
        </w:rPr>
        <w:t xml:space="preserve">, J., </w:t>
      </w:r>
      <w:proofErr w:type="spellStart"/>
      <w:r w:rsidRPr="009C1A55">
        <w:rPr>
          <w:rFonts w:ascii="Times New Roman" w:hAnsi="Times New Roman" w:cs="Times New Roman"/>
          <w:sz w:val="24"/>
          <w:szCs w:val="24"/>
        </w:rPr>
        <w:t>Choudhary</w:t>
      </w:r>
      <w:proofErr w:type="spellEnd"/>
      <w:r w:rsidRPr="009C1A55">
        <w:rPr>
          <w:rFonts w:ascii="Times New Roman" w:hAnsi="Times New Roman" w:cs="Times New Roman"/>
          <w:sz w:val="24"/>
          <w:szCs w:val="24"/>
        </w:rPr>
        <w:t xml:space="preserve">, R., Lvov, V., Tovar, G. I., </w:t>
      </w:r>
      <w:proofErr w:type="spellStart"/>
      <w:r w:rsidRPr="009C1A55">
        <w:rPr>
          <w:rFonts w:ascii="Times New Roman" w:hAnsi="Times New Roman" w:cs="Times New Roman"/>
          <w:sz w:val="24"/>
          <w:szCs w:val="24"/>
        </w:rPr>
        <w:t>Senatov</w:t>
      </w:r>
      <w:proofErr w:type="spellEnd"/>
      <w:r w:rsidRPr="009C1A55">
        <w:rPr>
          <w:rFonts w:ascii="Times New Roman" w:hAnsi="Times New Roman" w:cs="Times New Roman"/>
          <w:sz w:val="24"/>
          <w:szCs w:val="24"/>
        </w:rPr>
        <w:t xml:space="preserve">, F., </w:t>
      </w:r>
      <w:proofErr w:type="spellStart"/>
      <w:r w:rsidRPr="009C1A55">
        <w:rPr>
          <w:rFonts w:ascii="Times New Roman" w:hAnsi="Times New Roman" w:cs="Times New Roman"/>
          <w:sz w:val="24"/>
          <w:szCs w:val="24"/>
        </w:rPr>
        <w:t>Koppala</w:t>
      </w:r>
      <w:proofErr w:type="spellEnd"/>
      <w:r w:rsidRPr="009C1A55">
        <w:rPr>
          <w:rFonts w:ascii="Times New Roman" w:hAnsi="Times New Roman" w:cs="Times New Roman"/>
          <w:sz w:val="24"/>
          <w:szCs w:val="24"/>
        </w:rPr>
        <w:t xml:space="preserve">, S., &amp; </w:t>
      </w:r>
      <w:proofErr w:type="spellStart"/>
      <w:r w:rsidRPr="009C1A55">
        <w:rPr>
          <w:rFonts w:ascii="Times New Roman" w:hAnsi="Times New Roman" w:cs="Times New Roman"/>
          <w:sz w:val="24"/>
          <w:szCs w:val="24"/>
        </w:rPr>
        <w:t>Swamiappan</w:t>
      </w:r>
      <w:proofErr w:type="spellEnd"/>
      <w:r w:rsidRPr="009C1A55">
        <w:rPr>
          <w:rFonts w:ascii="Times New Roman" w:hAnsi="Times New Roman" w:cs="Times New Roman"/>
          <w:sz w:val="24"/>
          <w:szCs w:val="24"/>
        </w:rPr>
        <w:t>, S. (2022). Bioaccumulation of lead (</w:t>
      </w:r>
      <w:proofErr w:type="spellStart"/>
      <w:r w:rsidRPr="009C1A55">
        <w:rPr>
          <w:rFonts w:ascii="Times New Roman" w:hAnsi="Times New Roman" w:cs="Times New Roman"/>
          <w:sz w:val="24"/>
          <w:szCs w:val="24"/>
        </w:rPr>
        <w:t>Pb</w:t>
      </w:r>
      <w:proofErr w:type="spellEnd"/>
      <w:r w:rsidRPr="009C1A55">
        <w:rPr>
          <w:rFonts w:ascii="Times New Roman" w:hAnsi="Times New Roman" w:cs="Times New Roman"/>
          <w:sz w:val="24"/>
          <w:szCs w:val="24"/>
        </w:rPr>
        <w:t>) and its effects on human: A review. Journal of Hazardous Materials Advances, 7, 100094. https://doi.org/10.1016/j.hazadv.2022.100094</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15. Zhou, N., Huang, Y., Li, M., Zhou, L., &amp; Jin, H. (2022). Trends in global burden of diseases attributable to lead exposure in 204 countries and territories from 1990 to 2019. Frontiers in Public Health, 10, 1036398. https://doi.org/10.3389/fpubh.2022.1036398</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16. </w:t>
      </w:r>
      <w:proofErr w:type="spellStart"/>
      <w:r w:rsidRPr="009C1A55">
        <w:rPr>
          <w:rFonts w:ascii="Times New Roman" w:hAnsi="Times New Roman" w:cs="Times New Roman"/>
          <w:sz w:val="24"/>
          <w:szCs w:val="24"/>
        </w:rPr>
        <w:t>Balali</w:t>
      </w:r>
      <w:proofErr w:type="spellEnd"/>
      <w:r w:rsidRPr="009C1A55">
        <w:rPr>
          <w:rFonts w:ascii="Times New Roman" w:hAnsi="Times New Roman" w:cs="Times New Roman"/>
          <w:sz w:val="24"/>
          <w:szCs w:val="24"/>
        </w:rPr>
        <w:t xml:space="preserve">-Mood, M., </w:t>
      </w:r>
      <w:proofErr w:type="spellStart"/>
      <w:r w:rsidRPr="009C1A55">
        <w:rPr>
          <w:rFonts w:ascii="Times New Roman" w:hAnsi="Times New Roman" w:cs="Times New Roman"/>
          <w:sz w:val="24"/>
          <w:szCs w:val="24"/>
        </w:rPr>
        <w:t>Naseri</w:t>
      </w:r>
      <w:proofErr w:type="spellEnd"/>
      <w:r w:rsidRPr="009C1A55">
        <w:rPr>
          <w:rFonts w:ascii="Times New Roman" w:hAnsi="Times New Roman" w:cs="Times New Roman"/>
          <w:sz w:val="24"/>
          <w:szCs w:val="24"/>
        </w:rPr>
        <w:t xml:space="preserve">, K., </w:t>
      </w:r>
      <w:proofErr w:type="spellStart"/>
      <w:r w:rsidRPr="009C1A55">
        <w:rPr>
          <w:rFonts w:ascii="Times New Roman" w:hAnsi="Times New Roman" w:cs="Times New Roman"/>
          <w:sz w:val="24"/>
          <w:szCs w:val="24"/>
        </w:rPr>
        <w:t>Tahergorabi</w:t>
      </w:r>
      <w:proofErr w:type="spellEnd"/>
      <w:r w:rsidRPr="009C1A55">
        <w:rPr>
          <w:rFonts w:ascii="Times New Roman" w:hAnsi="Times New Roman" w:cs="Times New Roman"/>
          <w:sz w:val="24"/>
          <w:szCs w:val="24"/>
        </w:rPr>
        <w:t xml:space="preserve">, Z., </w:t>
      </w:r>
      <w:proofErr w:type="spellStart"/>
      <w:r w:rsidRPr="009C1A55">
        <w:rPr>
          <w:rFonts w:ascii="Times New Roman" w:hAnsi="Times New Roman" w:cs="Times New Roman"/>
          <w:sz w:val="24"/>
          <w:szCs w:val="24"/>
        </w:rPr>
        <w:t>Khazdair</w:t>
      </w:r>
      <w:proofErr w:type="spellEnd"/>
      <w:r w:rsidRPr="009C1A55">
        <w:rPr>
          <w:rFonts w:ascii="Times New Roman" w:hAnsi="Times New Roman" w:cs="Times New Roman"/>
          <w:sz w:val="24"/>
          <w:szCs w:val="24"/>
        </w:rPr>
        <w:t xml:space="preserve">, M. R., &amp; </w:t>
      </w:r>
      <w:proofErr w:type="spellStart"/>
      <w:r w:rsidRPr="009C1A55">
        <w:rPr>
          <w:rFonts w:ascii="Times New Roman" w:hAnsi="Times New Roman" w:cs="Times New Roman"/>
          <w:sz w:val="24"/>
          <w:szCs w:val="24"/>
        </w:rPr>
        <w:t>Sadeghi</w:t>
      </w:r>
      <w:proofErr w:type="spellEnd"/>
      <w:r w:rsidRPr="009C1A55">
        <w:rPr>
          <w:rFonts w:ascii="Times New Roman" w:hAnsi="Times New Roman" w:cs="Times New Roman"/>
          <w:sz w:val="24"/>
          <w:szCs w:val="24"/>
        </w:rPr>
        <w:t>, M. (2021). Toxic mechanisms of five heavy metals: Mercury, lead, chromium, cadmium, and arsenic. Frontiers in Pharmacology, 12, 643972. https://doi.org/10.3389/fphar.2021.643972</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17. </w:t>
      </w:r>
      <w:proofErr w:type="spellStart"/>
      <w:r w:rsidRPr="009C1A55">
        <w:rPr>
          <w:rFonts w:ascii="Times New Roman" w:hAnsi="Times New Roman" w:cs="Times New Roman"/>
          <w:sz w:val="24"/>
          <w:szCs w:val="24"/>
        </w:rPr>
        <w:t>Busari</w:t>
      </w:r>
      <w:proofErr w:type="spellEnd"/>
      <w:r w:rsidRPr="009C1A55">
        <w:rPr>
          <w:rFonts w:ascii="Times New Roman" w:hAnsi="Times New Roman" w:cs="Times New Roman"/>
          <w:sz w:val="24"/>
          <w:szCs w:val="24"/>
        </w:rPr>
        <w:t xml:space="preserve">, M. B., </w:t>
      </w:r>
      <w:proofErr w:type="spellStart"/>
      <w:r w:rsidRPr="009C1A55">
        <w:rPr>
          <w:rFonts w:ascii="Times New Roman" w:hAnsi="Times New Roman" w:cs="Times New Roman"/>
          <w:sz w:val="24"/>
          <w:szCs w:val="24"/>
        </w:rPr>
        <w:t>Hamzah</w:t>
      </w:r>
      <w:proofErr w:type="spellEnd"/>
      <w:r w:rsidRPr="009C1A55">
        <w:rPr>
          <w:rFonts w:ascii="Times New Roman" w:hAnsi="Times New Roman" w:cs="Times New Roman"/>
          <w:sz w:val="24"/>
          <w:szCs w:val="24"/>
        </w:rPr>
        <w:t xml:space="preserve">, R. U., Muhammad, H. L., Yusuf, R. S., </w:t>
      </w:r>
      <w:proofErr w:type="spellStart"/>
      <w:r w:rsidRPr="009C1A55">
        <w:rPr>
          <w:rFonts w:ascii="Times New Roman" w:hAnsi="Times New Roman" w:cs="Times New Roman"/>
          <w:sz w:val="24"/>
          <w:szCs w:val="24"/>
        </w:rPr>
        <w:t>Madaki</w:t>
      </w:r>
      <w:proofErr w:type="spellEnd"/>
      <w:r w:rsidRPr="009C1A55">
        <w:rPr>
          <w:rFonts w:ascii="Times New Roman" w:hAnsi="Times New Roman" w:cs="Times New Roman"/>
          <w:sz w:val="24"/>
          <w:szCs w:val="24"/>
        </w:rPr>
        <w:t xml:space="preserve">, F. M., </w:t>
      </w:r>
      <w:proofErr w:type="spellStart"/>
      <w:r w:rsidRPr="009C1A55">
        <w:rPr>
          <w:rFonts w:ascii="Times New Roman" w:hAnsi="Times New Roman" w:cs="Times New Roman"/>
          <w:sz w:val="24"/>
          <w:szCs w:val="24"/>
        </w:rPr>
        <w:t>Adeniyi</w:t>
      </w:r>
      <w:proofErr w:type="spellEnd"/>
      <w:r w:rsidRPr="009C1A55">
        <w:rPr>
          <w:rFonts w:ascii="Times New Roman" w:hAnsi="Times New Roman" w:cs="Times New Roman"/>
          <w:sz w:val="24"/>
          <w:szCs w:val="24"/>
        </w:rPr>
        <w:t xml:space="preserve">, J. O., Ibrahim, Y. O., &amp; </w:t>
      </w:r>
      <w:proofErr w:type="spellStart"/>
      <w:r w:rsidRPr="009C1A55">
        <w:rPr>
          <w:rFonts w:ascii="Times New Roman" w:hAnsi="Times New Roman" w:cs="Times New Roman"/>
          <w:sz w:val="24"/>
          <w:szCs w:val="24"/>
        </w:rPr>
        <w:t>Berinyuy</w:t>
      </w:r>
      <w:proofErr w:type="spellEnd"/>
      <w:r w:rsidRPr="009C1A55">
        <w:rPr>
          <w:rFonts w:ascii="Times New Roman" w:hAnsi="Times New Roman" w:cs="Times New Roman"/>
          <w:sz w:val="24"/>
          <w:szCs w:val="24"/>
        </w:rPr>
        <w:t xml:space="preserve">, E. B. (2021). Phenolic-rich extracts from </w:t>
      </w:r>
      <w:proofErr w:type="spellStart"/>
      <w:r w:rsidRPr="009C1A55">
        <w:rPr>
          <w:rFonts w:ascii="Times New Roman" w:hAnsi="Times New Roman" w:cs="Times New Roman"/>
          <w:sz w:val="24"/>
          <w:szCs w:val="24"/>
        </w:rPr>
        <w:t>Nauclea</w:t>
      </w:r>
      <w:proofErr w:type="spellEnd"/>
      <w:r w:rsidRPr="009C1A55">
        <w:rPr>
          <w:rFonts w:ascii="Times New Roman" w:hAnsi="Times New Roman" w:cs="Times New Roman"/>
          <w:sz w:val="24"/>
          <w:szCs w:val="24"/>
        </w:rPr>
        <w:t xml:space="preserve"> </w:t>
      </w:r>
      <w:proofErr w:type="spellStart"/>
      <w:r w:rsidRPr="009C1A55">
        <w:rPr>
          <w:rFonts w:ascii="Times New Roman" w:hAnsi="Times New Roman" w:cs="Times New Roman"/>
          <w:sz w:val="24"/>
          <w:szCs w:val="24"/>
        </w:rPr>
        <w:t>latifolia</w:t>
      </w:r>
      <w:proofErr w:type="spellEnd"/>
      <w:r w:rsidRPr="009C1A55">
        <w:rPr>
          <w:rFonts w:ascii="Times New Roman" w:hAnsi="Times New Roman" w:cs="Times New Roman"/>
          <w:sz w:val="24"/>
          <w:szCs w:val="24"/>
        </w:rPr>
        <w:t xml:space="preserve"> fruit restored lead acetate-induced liver and kidney damage in </w:t>
      </w:r>
      <w:proofErr w:type="spellStart"/>
      <w:r w:rsidRPr="009C1A55">
        <w:rPr>
          <w:rFonts w:ascii="Times New Roman" w:hAnsi="Times New Roman" w:cs="Times New Roman"/>
          <w:sz w:val="24"/>
          <w:szCs w:val="24"/>
        </w:rPr>
        <w:t>Wistar</w:t>
      </w:r>
      <w:proofErr w:type="spellEnd"/>
      <w:r w:rsidRPr="009C1A55">
        <w:rPr>
          <w:rFonts w:ascii="Times New Roman" w:hAnsi="Times New Roman" w:cs="Times New Roman"/>
          <w:sz w:val="24"/>
          <w:szCs w:val="24"/>
        </w:rPr>
        <w:t xml:space="preserve"> rats. Clinical </w:t>
      </w:r>
      <w:proofErr w:type="spellStart"/>
      <w:r w:rsidRPr="009C1A55">
        <w:rPr>
          <w:rFonts w:ascii="Times New Roman" w:hAnsi="Times New Roman" w:cs="Times New Roman"/>
          <w:sz w:val="24"/>
          <w:szCs w:val="24"/>
        </w:rPr>
        <w:t>Phytoscience</w:t>
      </w:r>
      <w:proofErr w:type="spellEnd"/>
      <w:r w:rsidRPr="009C1A55">
        <w:rPr>
          <w:rFonts w:ascii="Times New Roman" w:hAnsi="Times New Roman" w:cs="Times New Roman"/>
          <w:sz w:val="24"/>
          <w:szCs w:val="24"/>
        </w:rPr>
        <w:t>, 7, Article 1. https://doi.org/10.1186/s40816-021-00322-z</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18. </w:t>
      </w:r>
      <w:proofErr w:type="spellStart"/>
      <w:r w:rsidRPr="009C1A55">
        <w:rPr>
          <w:rFonts w:ascii="Times New Roman" w:hAnsi="Times New Roman" w:cs="Times New Roman"/>
          <w:sz w:val="24"/>
          <w:szCs w:val="24"/>
        </w:rPr>
        <w:t>Alengebawy</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Abdelkhalek</w:t>
      </w:r>
      <w:proofErr w:type="spellEnd"/>
      <w:r w:rsidRPr="009C1A55">
        <w:rPr>
          <w:rFonts w:ascii="Times New Roman" w:hAnsi="Times New Roman" w:cs="Times New Roman"/>
          <w:sz w:val="24"/>
          <w:szCs w:val="24"/>
        </w:rPr>
        <w:t>, S. T., Qureshi, S. R., &amp; Wang, M. Q. (2021). Heavy metals and pesticides toxicity in agricultural soil and plants: Ecological risks and human health implications. Toxics, 9(3), 42. https://doi.org/10.3390/toxics9030042</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19. </w:t>
      </w:r>
      <w:proofErr w:type="spellStart"/>
      <w:r w:rsidRPr="009C1A55">
        <w:rPr>
          <w:rFonts w:ascii="Times New Roman" w:hAnsi="Times New Roman" w:cs="Times New Roman"/>
          <w:sz w:val="24"/>
          <w:szCs w:val="24"/>
        </w:rPr>
        <w:t>Renu</w:t>
      </w:r>
      <w:proofErr w:type="spellEnd"/>
      <w:r w:rsidRPr="009C1A55">
        <w:rPr>
          <w:rFonts w:ascii="Times New Roman" w:hAnsi="Times New Roman" w:cs="Times New Roman"/>
          <w:sz w:val="24"/>
          <w:szCs w:val="24"/>
        </w:rPr>
        <w:t xml:space="preserve">, K., </w:t>
      </w:r>
      <w:proofErr w:type="spellStart"/>
      <w:r w:rsidRPr="009C1A55">
        <w:rPr>
          <w:rFonts w:ascii="Times New Roman" w:hAnsi="Times New Roman" w:cs="Times New Roman"/>
          <w:sz w:val="24"/>
          <w:szCs w:val="24"/>
        </w:rPr>
        <w:t>Chakraborty</w:t>
      </w:r>
      <w:proofErr w:type="spellEnd"/>
      <w:r w:rsidRPr="009C1A55">
        <w:rPr>
          <w:rFonts w:ascii="Times New Roman" w:hAnsi="Times New Roman" w:cs="Times New Roman"/>
          <w:sz w:val="24"/>
          <w:szCs w:val="24"/>
        </w:rPr>
        <w:t xml:space="preserve">, R., </w:t>
      </w:r>
      <w:proofErr w:type="spellStart"/>
      <w:r w:rsidRPr="009C1A55">
        <w:rPr>
          <w:rFonts w:ascii="Times New Roman" w:hAnsi="Times New Roman" w:cs="Times New Roman"/>
          <w:sz w:val="24"/>
          <w:szCs w:val="24"/>
        </w:rPr>
        <w:t>Myakala</w:t>
      </w:r>
      <w:proofErr w:type="spellEnd"/>
      <w:r w:rsidRPr="009C1A55">
        <w:rPr>
          <w:rFonts w:ascii="Times New Roman" w:hAnsi="Times New Roman" w:cs="Times New Roman"/>
          <w:sz w:val="24"/>
          <w:szCs w:val="24"/>
        </w:rPr>
        <w:t xml:space="preserve">, H., </w:t>
      </w:r>
      <w:proofErr w:type="spellStart"/>
      <w:r w:rsidRPr="009C1A55">
        <w:rPr>
          <w:rFonts w:ascii="Times New Roman" w:hAnsi="Times New Roman" w:cs="Times New Roman"/>
          <w:sz w:val="24"/>
          <w:szCs w:val="24"/>
        </w:rPr>
        <w:t>Koti</w:t>
      </w:r>
      <w:proofErr w:type="spellEnd"/>
      <w:r w:rsidRPr="009C1A55">
        <w:rPr>
          <w:rFonts w:ascii="Times New Roman" w:hAnsi="Times New Roman" w:cs="Times New Roman"/>
          <w:sz w:val="24"/>
          <w:szCs w:val="24"/>
        </w:rPr>
        <w:t xml:space="preserve">, R., </w:t>
      </w:r>
      <w:proofErr w:type="spellStart"/>
      <w:r w:rsidRPr="009C1A55">
        <w:rPr>
          <w:rFonts w:ascii="Times New Roman" w:hAnsi="Times New Roman" w:cs="Times New Roman"/>
          <w:sz w:val="24"/>
          <w:szCs w:val="24"/>
        </w:rPr>
        <w:t>Famurewa</w:t>
      </w:r>
      <w:proofErr w:type="spellEnd"/>
      <w:r w:rsidRPr="009C1A55">
        <w:rPr>
          <w:rFonts w:ascii="Times New Roman" w:hAnsi="Times New Roman" w:cs="Times New Roman"/>
          <w:sz w:val="24"/>
          <w:szCs w:val="24"/>
        </w:rPr>
        <w:t xml:space="preserve">, A. C., </w:t>
      </w:r>
      <w:proofErr w:type="spellStart"/>
      <w:r w:rsidRPr="009C1A55">
        <w:rPr>
          <w:rFonts w:ascii="Times New Roman" w:hAnsi="Times New Roman" w:cs="Times New Roman"/>
          <w:sz w:val="24"/>
          <w:szCs w:val="24"/>
        </w:rPr>
        <w:t>Madhyastha</w:t>
      </w:r>
      <w:proofErr w:type="spellEnd"/>
      <w:r w:rsidRPr="009C1A55">
        <w:rPr>
          <w:rFonts w:ascii="Times New Roman" w:hAnsi="Times New Roman" w:cs="Times New Roman"/>
          <w:sz w:val="24"/>
          <w:szCs w:val="24"/>
        </w:rPr>
        <w:t xml:space="preserve">, H., </w:t>
      </w:r>
      <w:proofErr w:type="spellStart"/>
      <w:r w:rsidRPr="009C1A55">
        <w:rPr>
          <w:rFonts w:ascii="Times New Roman" w:hAnsi="Times New Roman" w:cs="Times New Roman"/>
          <w:sz w:val="24"/>
          <w:szCs w:val="24"/>
        </w:rPr>
        <w:t>Vellingiri</w:t>
      </w:r>
      <w:proofErr w:type="spellEnd"/>
      <w:r w:rsidRPr="009C1A55">
        <w:rPr>
          <w:rFonts w:ascii="Times New Roman" w:hAnsi="Times New Roman" w:cs="Times New Roman"/>
          <w:sz w:val="24"/>
          <w:szCs w:val="24"/>
        </w:rPr>
        <w:t xml:space="preserve">, B., George, A., &amp; </w:t>
      </w:r>
      <w:proofErr w:type="spellStart"/>
      <w:r w:rsidRPr="009C1A55">
        <w:rPr>
          <w:rFonts w:ascii="Times New Roman" w:hAnsi="Times New Roman" w:cs="Times New Roman"/>
          <w:sz w:val="24"/>
          <w:szCs w:val="24"/>
        </w:rPr>
        <w:t>Gopalakrishnan</w:t>
      </w:r>
      <w:proofErr w:type="spellEnd"/>
      <w:r w:rsidRPr="009C1A55">
        <w:rPr>
          <w:rFonts w:ascii="Times New Roman" w:hAnsi="Times New Roman" w:cs="Times New Roman"/>
          <w:sz w:val="24"/>
          <w:szCs w:val="24"/>
        </w:rPr>
        <w:t>, A. V. (2021). Molecular mechanism of heavy metals (lead, chromium, arsenic, mercury, nickel and cadmium)-induced hepatotoxicity—A review. Chemosphere, 271, 129735. https://doi.org/10.1016/j.chemosphere.2021.129735</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20. Lee, T. H., Chen, J. J., Wu, C. Y., Yang, C. W., &amp; Yang, H. Y. (2021). </w:t>
      </w:r>
      <w:proofErr w:type="spellStart"/>
      <w:r w:rsidRPr="009C1A55">
        <w:rPr>
          <w:rFonts w:ascii="Times New Roman" w:hAnsi="Times New Roman" w:cs="Times New Roman"/>
          <w:sz w:val="24"/>
          <w:szCs w:val="24"/>
        </w:rPr>
        <w:t>Hyperuricemia</w:t>
      </w:r>
      <w:proofErr w:type="spellEnd"/>
      <w:r w:rsidRPr="009C1A55">
        <w:rPr>
          <w:rFonts w:ascii="Times New Roman" w:hAnsi="Times New Roman" w:cs="Times New Roman"/>
          <w:sz w:val="24"/>
          <w:szCs w:val="24"/>
        </w:rPr>
        <w:t xml:space="preserve"> and progression of chronic kidney disease: A review from physiology and pathogenesis to the role of </w:t>
      </w:r>
      <w:proofErr w:type="spellStart"/>
      <w:r w:rsidRPr="009C1A55">
        <w:rPr>
          <w:rFonts w:ascii="Times New Roman" w:hAnsi="Times New Roman" w:cs="Times New Roman"/>
          <w:sz w:val="24"/>
          <w:szCs w:val="24"/>
        </w:rPr>
        <w:t>urate</w:t>
      </w:r>
      <w:proofErr w:type="spellEnd"/>
      <w:r w:rsidRPr="009C1A55">
        <w:rPr>
          <w:rFonts w:ascii="Times New Roman" w:hAnsi="Times New Roman" w:cs="Times New Roman"/>
          <w:sz w:val="24"/>
          <w:szCs w:val="24"/>
        </w:rPr>
        <w:t>-lowering therapy. Diagnostics, 11(9), 1674. https://doi.org/10.3390/diagnostics11091674</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21. </w:t>
      </w:r>
      <w:proofErr w:type="spellStart"/>
      <w:r w:rsidRPr="009C1A55">
        <w:rPr>
          <w:rFonts w:ascii="Times New Roman" w:hAnsi="Times New Roman" w:cs="Times New Roman"/>
          <w:sz w:val="24"/>
          <w:szCs w:val="24"/>
        </w:rPr>
        <w:t>Kuraeiad</w:t>
      </w:r>
      <w:proofErr w:type="spellEnd"/>
      <w:r w:rsidRPr="009C1A55">
        <w:rPr>
          <w:rFonts w:ascii="Times New Roman" w:hAnsi="Times New Roman" w:cs="Times New Roman"/>
          <w:sz w:val="24"/>
          <w:szCs w:val="24"/>
        </w:rPr>
        <w:t xml:space="preserve">, S., &amp; </w:t>
      </w:r>
      <w:proofErr w:type="spellStart"/>
      <w:r w:rsidRPr="009C1A55">
        <w:rPr>
          <w:rFonts w:ascii="Times New Roman" w:hAnsi="Times New Roman" w:cs="Times New Roman"/>
          <w:sz w:val="24"/>
          <w:szCs w:val="24"/>
        </w:rPr>
        <w:t>Kotepui</w:t>
      </w:r>
      <w:proofErr w:type="spellEnd"/>
      <w:r w:rsidRPr="009C1A55">
        <w:rPr>
          <w:rFonts w:ascii="Times New Roman" w:hAnsi="Times New Roman" w:cs="Times New Roman"/>
          <w:sz w:val="24"/>
          <w:szCs w:val="24"/>
        </w:rPr>
        <w:t>, M. (2021). Blood lead level and renal impairment among adults: A meta-analysis. International Journal of Environmental Research and Public Health, 18(8), 4174. https://doi.org/10.3390/ijerph18084174</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lastRenderedPageBreak/>
        <w:t xml:space="preserve">22. Su, H., Yang, M., Wan, C., Yi, L. X., Tang, F., Zhu, H. Y., Yi, F., Yang, H. C., </w:t>
      </w:r>
      <w:proofErr w:type="spellStart"/>
      <w:r w:rsidRPr="009C1A55">
        <w:rPr>
          <w:rFonts w:ascii="Times New Roman" w:hAnsi="Times New Roman" w:cs="Times New Roman"/>
          <w:sz w:val="24"/>
          <w:szCs w:val="24"/>
        </w:rPr>
        <w:t>Fogo</w:t>
      </w:r>
      <w:proofErr w:type="spellEnd"/>
      <w:r w:rsidRPr="009C1A55">
        <w:rPr>
          <w:rFonts w:ascii="Times New Roman" w:hAnsi="Times New Roman" w:cs="Times New Roman"/>
          <w:sz w:val="24"/>
          <w:szCs w:val="24"/>
        </w:rPr>
        <w:t xml:space="preserve">, A. B., </w:t>
      </w:r>
      <w:proofErr w:type="spellStart"/>
      <w:r w:rsidRPr="009C1A55">
        <w:rPr>
          <w:rFonts w:ascii="Times New Roman" w:hAnsi="Times New Roman" w:cs="Times New Roman"/>
          <w:sz w:val="24"/>
          <w:szCs w:val="24"/>
        </w:rPr>
        <w:t>Nie</w:t>
      </w:r>
      <w:proofErr w:type="spellEnd"/>
      <w:r w:rsidRPr="009C1A55">
        <w:rPr>
          <w:rFonts w:ascii="Times New Roman" w:hAnsi="Times New Roman" w:cs="Times New Roman"/>
          <w:sz w:val="24"/>
          <w:szCs w:val="24"/>
        </w:rPr>
        <w:t xml:space="preserve">, X., &amp; Zhang, C. (2020). Renal </w:t>
      </w:r>
      <w:proofErr w:type="spellStart"/>
      <w:r w:rsidRPr="009C1A55">
        <w:rPr>
          <w:rFonts w:ascii="Times New Roman" w:hAnsi="Times New Roman" w:cs="Times New Roman"/>
          <w:sz w:val="24"/>
          <w:szCs w:val="24"/>
        </w:rPr>
        <w:t>histopathological</w:t>
      </w:r>
      <w:proofErr w:type="spellEnd"/>
      <w:r w:rsidRPr="009C1A55">
        <w:rPr>
          <w:rFonts w:ascii="Times New Roman" w:hAnsi="Times New Roman" w:cs="Times New Roman"/>
          <w:sz w:val="24"/>
          <w:szCs w:val="24"/>
        </w:rPr>
        <w:t xml:space="preserve"> analysis of 26 postmortem findings of patients with COVID-19 in China. Kidney International, 98(1), 219–227. https://doi.org/10.1016/j.kint.2020.04.003</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23. </w:t>
      </w:r>
      <w:proofErr w:type="spellStart"/>
      <w:r w:rsidRPr="009C1A55">
        <w:rPr>
          <w:rFonts w:ascii="Times New Roman" w:hAnsi="Times New Roman" w:cs="Times New Roman"/>
          <w:sz w:val="24"/>
          <w:szCs w:val="24"/>
        </w:rPr>
        <w:t>Derouiche</w:t>
      </w:r>
      <w:proofErr w:type="spellEnd"/>
      <w:r w:rsidRPr="009C1A55">
        <w:rPr>
          <w:rFonts w:ascii="Times New Roman" w:hAnsi="Times New Roman" w:cs="Times New Roman"/>
          <w:sz w:val="24"/>
          <w:szCs w:val="24"/>
        </w:rPr>
        <w:t xml:space="preserve">, S., </w:t>
      </w:r>
      <w:proofErr w:type="spellStart"/>
      <w:r w:rsidRPr="009C1A55">
        <w:rPr>
          <w:rFonts w:ascii="Times New Roman" w:hAnsi="Times New Roman" w:cs="Times New Roman"/>
          <w:sz w:val="24"/>
          <w:szCs w:val="24"/>
        </w:rPr>
        <w:t>Cheradid</w:t>
      </w:r>
      <w:proofErr w:type="spellEnd"/>
      <w:r w:rsidRPr="009C1A55">
        <w:rPr>
          <w:rFonts w:ascii="Times New Roman" w:hAnsi="Times New Roman" w:cs="Times New Roman"/>
          <w:sz w:val="24"/>
          <w:szCs w:val="24"/>
        </w:rPr>
        <w:t xml:space="preserve">, T., &amp; </w:t>
      </w:r>
      <w:proofErr w:type="spellStart"/>
      <w:r w:rsidRPr="009C1A55">
        <w:rPr>
          <w:rFonts w:ascii="Times New Roman" w:hAnsi="Times New Roman" w:cs="Times New Roman"/>
          <w:sz w:val="24"/>
          <w:szCs w:val="24"/>
        </w:rPr>
        <w:t>Guessoum</w:t>
      </w:r>
      <w:proofErr w:type="spellEnd"/>
      <w:r w:rsidRPr="009C1A55">
        <w:rPr>
          <w:rFonts w:ascii="Times New Roman" w:hAnsi="Times New Roman" w:cs="Times New Roman"/>
          <w:sz w:val="24"/>
          <w:szCs w:val="24"/>
        </w:rPr>
        <w:t>, M. (2020). Heavy metals, oxidative stress and inflammation in pathophysiology of chronic kidney disease—A review. Asian Journal of Pharmacy and Technology, 10(3), 202. https://doi.org/10.5958/2231-5713.2020.00033.1</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24. </w:t>
      </w:r>
      <w:proofErr w:type="spellStart"/>
      <w:r w:rsidRPr="009C1A55">
        <w:rPr>
          <w:rFonts w:ascii="Times New Roman" w:hAnsi="Times New Roman" w:cs="Times New Roman"/>
          <w:sz w:val="24"/>
          <w:szCs w:val="24"/>
        </w:rPr>
        <w:t>DalCorso</w:t>
      </w:r>
      <w:proofErr w:type="spellEnd"/>
      <w:r w:rsidRPr="009C1A55">
        <w:rPr>
          <w:rFonts w:ascii="Times New Roman" w:hAnsi="Times New Roman" w:cs="Times New Roman"/>
          <w:sz w:val="24"/>
          <w:szCs w:val="24"/>
        </w:rPr>
        <w:t xml:space="preserve">, G., </w:t>
      </w:r>
      <w:proofErr w:type="spellStart"/>
      <w:r w:rsidRPr="009C1A55">
        <w:rPr>
          <w:rFonts w:ascii="Times New Roman" w:hAnsi="Times New Roman" w:cs="Times New Roman"/>
          <w:sz w:val="24"/>
          <w:szCs w:val="24"/>
        </w:rPr>
        <w:t>Fasani</w:t>
      </w:r>
      <w:proofErr w:type="spellEnd"/>
      <w:r w:rsidRPr="009C1A55">
        <w:rPr>
          <w:rFonts w:ascii="Times New Roman" w:hAnsi="Times New Roman" w:cs="Times New Roman"/>
          <w:sz w:val="24"/>
          <w:szCs w:val="24"/>
        </w:rPr>
        <w:t xml:space="preserve">, E., </w:t>
      </w:r>
      <w:proofErr w:type="spellStart"/>
      <w:r w:rsidRPr="009C1A55">
        <w:rPr>
          <w:rFonts w:ascii="Times New Roman" w:hAnsi="Times New Roman" w:cs="Times New Roman"/>
          <w:sz w:val="24"/>
          <w:szCs w:val="24"/>
        </w:rPr>
        <w:t>Manara</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Visioli</w:t>
      </w:r>
      <w:proofErr w:type="spellEnd"/>
      <w:r w:rsidRPr="009C1A55">
        <w:rPr>
          <w:rFonts w:ascii="Times New Roman" w:hAnsi="Times New Roman" w:cs="Times New Roman"/>
          <w:sz w:val="24"/>
          <w:szCs w:val="24"/>
        </w:rPr>
        <w:t xml:space="preserve">, G., &amp; </w:t>
      </w:r>
      <w:proofErr w:type="spellStart"/>
      <w:r w:rsidRPr="009C1A55">
        <w:rPr>
          <w:rFonts w:ascii="Times New Roman" w:hAnsi="Times New Roman" w:cs="Times New Roman"/>
          <w:sz w:val="24"/>
          <w:szCs w:val="24"/>
        </w:rPr>
        <w:t>Furini</w:t>
      </w:r>
      <w:proofErr w:type="spellEnd"/>
      <w:r w:rsidRPr="009C1A55">
        <w:rPr>
          <w:rFonts w:ascii="Times New Roman" w:hAnsi="Times New Roman" w:cs="Times New Roman"/>
          <w:sz w:val="24"/>
          <w:szCs w:val="24"/>
        </w:rPr>
        <w:t>, A. (2019). Heavy metal pollutions: State of the art and innovation in phytoremediation. International Journal of Molecular Sciences, 20(14), 3412. https://doi.org/10.3390/ijms20143412</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25. </w:t>
      </w:r>
      <w:proofErr w:type="spellStart"/>
      <w:r w:rsidRPr="009C1A55">
        <w:rPr>
          <w:rFonts w:ascii="Times New Roman" w:hAnsi="Times New Roman" w:cs="Times New Roman"/>
          <w:sz w:val="24"/>
          <w:szCs w:val="24"/>
        </w:rPr>
        <w:t>Andjelkovic</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Djordjevic</w:t>
      </w:r>
      <w:proofErr w:type="spellEnd"/>
      <w:r w:rsidRPr="009C1A55">
        <w:rPr>
          <w:rFonts w:ascii="Times New Roman" w:hAnsi="Times New Roman" w:cs="Times New Roman"/>
          <w:sz w:val="24"/>
          <w:szCs w:val="24"/>
        </w:rPr>
        <w:t xml:space="preserve">, A. B., </w:t>
      </w:r>
      <w:proofErr w:type="spellStart"/>
      <w:r w:rsidRPr="009C1A55">
        <w:rPr>
          <w:rFonts w:ascii="Times New Roman" w:hAnsi="Times New Roman" w:cs="Times New Roman"/>
          <w:sz w:val="24"/>
          <w:szCs w:val="24"/>
        </w:rPr>
        <w:t>Antonijevic</w:t>
      </w:r>
      <w:proofErr w:type="spellEnd"/>
      <w:r w:rsidRPr="009C1A55">
        <w:rPr>
          <w:rFonts w:ascii="Times New Roman" w:hAnsi="Times New Roman" w:cs="Times New Roman"/>
          <w:sz w:val="24"/>
          <w:szCs w:val="24"/>
        </w:rPr>
        <w:t xml:space="preserve">, E., </w:t>
      </w:r>
      <w:proofErr w:type="spellStart"/>
      <w:r w:rsidRPr="009C1A55">
        <w:rPr>
          <w:rFonts w:ascii="Times New Roman" w:hAnsi="Times New Roman" w:cs="Times New Roman"/>
          <w:sz w:val="24"/>
          <w:szCs w:val="24"/>
        </w:rPr>
        <w:t>Antonijevic</w:t>
      </w:r>
      <w:proofErr w:type="spellEnd"/>
      <w:r w:rsidRPr="009C1A55">
        <w:rPr>
          <w:rFonts w:ascii="Times New Roman" w:hAnsi="Times New Roman" w:cs="Times New Roman"/>
          <w:sz w:val="24"/>
          <w:szCs w:val="24"/>
        </w:rPr>
        <w:t xml:space="preserve">, B., </w:t>
      </w:r>
      <w:proofErr w:type="spellStart"/>
      <w:r w:rsidRPr="009C1A55">
        <w:rPr>
          <w:rFonts w:ascii="Times New Roman" w:hAnsi="Times New Roman" w:cs="Times New Roman"/>
          <w:sz w:val="24"/>
          <w:szCs w:val="24"/>
        </w:rPr>
        <w:t>Stanic</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Kotur-Stevuljevic</w:t>
      </w:r>
      <w:proofErr w:type="spellEnd"/>
      <w:r w:rsidRPr="009C1A55">
        <w:rPr>
          <w:rFonts w:ascii="Times New Roman" w:hAnsi="Times New Roman" w:cs="Times New Roman"/>
          <w:sz w:val="24"/>
          <w:szCs w:val="24"/>
        </w:rPr>
        <w:t xml:space="preserve">, J., </w:t>
      </w:r>
      <w:proofErr w:type="spellStart"/>
      <w:r w:rsidRPr="009C1A55">
        <w:rPr>
          <w:rFonts w:ascii="Times New Roman" w:hAnsi="Times New Roman" w:cs="Times New Roman"/>
          <w:sz w:val="24"/>
          <w:szCs w:val="24"/>
        </w:rPr>
        <w:t>Spasojevic-Kalimanovska</w:t>
      </w:r>
      <w:proofErr w:type="spellEnd"/>
      <w:r w:rsidRPr="009C1A55">
        <w:rPr>
          <w:rFonts w:ascii="Times New Roman" w:hAnsi="Times New Roman" w:cs="Times New Roman"/>
          <w:sz w:val="24"/>
          <w:szCs w:val="24"/>
        </w:rPr>
        <w:t xml:space="preserve">, V., </w:t>
      </w:r>
      <w:proofErr w:type="spellStart"/>
      <w:r w:rsidRPr="009C1A55">
        <w:rPr>
          <w:rFonts w:ascii="Times New Roman" w:hAnsi="Times New Roman" w:cs="Times New Roman"/>
          <w:sz w:val="24"/>
          <w:szCs w:val="24"/>
        </w:rPr>
        <w:t>Jovanovic</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Boricic</w:t>
      </w:r>
      <w:proofErr w:type="spellEnd"/>
      <w:r w:rsidRPr="009C1A55">
        <w:rPr>
          <w:rFonts w:ascii="Times New Roman" w:hAnsi="Times New Roman" w:cs="Times New Roman"/>
          <w:sz w:val="24"/>
          <w:szCs w:val="24"/>
        </w:rPr>
        <w:t xml:space="preserve">, N., Wallace, D., &amp; </w:t>
      </w:r>
      <w:proofErr w:type="spellStart"/>
      <w:r w:rsidRPr="009C1A55">
        <w:rPr>
          <w:rFonts w:ascii="Times New Roman" w:hAnsi="Times New Roman" w:cs="Times New Roman"/>
          <w:sz w:val="24"/>
          <w:szCs w:val="24"/>
        </w:rPr>
        <w:t>Bulat</w:t>
      </w:r>
      <w:proofErr w:type="spellEnd"/>
      <w:r w:rsidRPr="009C1A55">
        <w:rPr>
          <w:rFonts w:ascii="Times New Roman" w:hAnsi="Times New Roman" w:cs="Times New Roman"/>
          <w:sz w:val="24"/>
          <w:szCs w:val="24"/>
        </w:rPr>
        <w:t>, Z. (2019). Toxic effect of acute cadmium and lead exposure in rat blood, liver, and kidney. International Journal of Environmental Research and Public Health, 16(2), 274. https://doi.org/10.3390/ijerph16020274</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26. Rahman, M. S., Khan, M., Jolly, Y., </w:t>
      </w:r>
      <w:proofErr w:type="spellStart"/>
      <w:r w:rsidRPr="009C1A55">
        <w:rPr>
          <w:rFonts w:ascii="Times New Roman" w:hAnsi="Times New Roman" w:cs="Times New Roman"/>
          <w:sz w:val="24"/>
          <w:szCs w:val="24"/>
        </w:rPr>
        <w:t>Kabir</w:t>
      </w:r>
      <w:proofErr w:type="spellEnd"/>
      <w:r w:rsidRPr="009C1A55">
        <w:rPr>
          <w:rFonts w:ascii="Times New Roman" w:hAnsi="Times New Roman" w:cs="Times New Roman"/>
          <w:sz w:val="24"/>
          <w:szCs w:val="24"/>
        </w:rPr>
        <w:t xml:space="preserve">, J., </w:t>
      </w:r>
      <w:proofErr w:type="spellStart"/>
      <w:r w:rsidRPr="009C1A55">
        <w:rPr>
          <w:rFonts w:ascii="Times New Roman" w:hAnsi="Times New Roman" w:cs="Times New Roman"/>
          <w:sz w:val="24"/>
          <w:szCs w:val="24"/>
        </w:rPr>
        <w:t>Akter</w:t>
      </w:r>
      <w:proofErr w:type="spellEnd"/>
      <w:r w:rsidRPr="009C1A55">
        <w:rPr>
          <w:rFonts w:ascii="Times New Roman" w:hAnsi="Times New Roman" w:cs="Times New Roman"/>
          <w:sz w:val="24"/>
          <w:szCs w:val="24"/>
        </w:rPr>
        <w:t>, S., &amp; Salam, A. (2019). Assessing risk to human health for heavy metal contamination through street dust in the Southeast Asian megacity: Dhaka, Bangladesh. Science of the Total Environment, 660, 1610–1622. https://doi.org/10.1016/j.scitotenv.2018.12.425</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27. </w:t>
      </w:r>
      <w:proofErr w:type="spellStart"/>
      <w:r w:rsidRPr="009C1A55">
        <w:rPr>
          <w:rFonts w:ascii="Times New Roman" w:hAnsi="Times New Roman" w:cs="Times New Roman"/>
          <w:sz w:val="24"/>
          <w:szCs w:val="24"/>
        </w:rPr>
        <w:t>Boskabady</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Marefati</w:t>
      </w:r>
      <w:proofErr w:type="spellEnd"/>
      <w:r w:rsidRPr="009C1A55">
        <w:rPr>
          <w:rFonts w:ascii="Times New Roman" w:hAnsi="Times New Roman" w:cs="Times New Roman"/>
          <w:sz w:val="24"/>
          <w:szCs w:val="24"/>
        </w:rPr>
        <w:t xml:space="preserve">, N., </w:t>
      </w:r>
      <w:proofErr w:type="spellStart"/>
      <w:r w:rsidRPr="009C1A55">
        <w:rPr>
          <w:rFonts w:ascii="Times New Roman" w:hAnsi="Times New Roman" w:cs="Times New Roman"/>
          <w:sz w:val="24"/>
          <w:szCs w:val="24"/>
        </w:rPr>
        <w:t>Farkhondeh</w:t>
      </w:r>
      <w:proofErr w:type="spellEnd"/>
      <w:r w:rsidRPr="009C1A55">
        <w:rPr>
          <w:rFonts w:ascii="Times New Roman" w:hAnsi="Times New Roman" w:cs="Times New Roman"/>
          <w:sz w:val="24"/>
          <w:szCs w:val="24"/>
        </w:rPr>
        <w:t xml:space="preserve">, T., </w:t>
      </w:r>
      <w:proofErr w:type="spellStart"/>
      <w:r w:rsidRPr="009C1A55">
        <w:rPr>
          <w:rFonts w:ascii="Times New Roman" w:hAnsi="Times New Roman" w:cs="Times New Roman"/>
          <w:sz w:val="24"/>
          <w:szCs w:val="24"/>
        </w:rPr>
        <w:t>Shakeri</w:t>
      </w:r>
      <w:proofErr w:type="spellEnd"/>
      <w:r w:rsidRPr="009C1A55">
        <w:rPr>
          <w:rFonts w:ascii="Times New Roman" w:hAnsi="Times New Roman" w:cs="Times New Roman"/>
          <w:sz w:val="24"/>
          <w:szCs w:val="24"/>
        </w:rPr>
        <w:t xml:space="preserve">, F., </w:t>
      </w:r>
      <w:proofErr w:type="spellStart"/>
      <w:r w:rsidRPr="009C1A55">
        <w:rPr>
          <w:rFonts w:ascii="Times New Roman" w:hAnsi="Times New Roman" w:cs="Times New Roman"/>
          <w:sz w:val="24"/>
          <w:szCs w:val="24"/>
        </w:rPr>
        <w:t>Farshbaf</w:t>
      </w:r>
      <w:proofErr w:type="spellEnd"/>
      <w:r w:rsidRPr="009C1A55">
        <w:rPr>
          <w:rFonts w:ascii="Times New Roman" w:hAnsi="Times New Roman" w:cs="Times New Roman"/>
          <w:sz w:val="24"/>
          <w:szCs w:val="24"/>
        </w:rPr>
        <w:t xml:space="preserve">, A., &amp; </w:t>
      </w:r>
      <w:proofErr w:type="spellStart"/>
      <w:r w:rsidRPr="009C1A55">
        <w:rPr>
          <w:rFonts w:ascii="Times New Roman" w:hAnsi="Times New Roman" w:cs="Times New Roman"/>
          <w:sz w:val="24"/>
          <w:szCs w:val="24"/>
        </w:rPr>
        <w:t>Boskabady</w:t>
      </w:r>
      <w:proofErr w:type="spellEnd"/>
      <w:r w:rsidRPr="009C1A55">
        <w:rPr>
          <w:rFonts w:ascii="Times New Roman" w:hAnsi="Times New Roman" w:cs="Times New Roman"/>
          <w:sz w:val="24"/>
          <w:szCs w:val="24"/>
        </w:rPr>
        <w:t>, M. H. (2018). The effect of environmental lead exposure on human health and the contribution of inflammatory mechanisms, a review. Environment International, 120, 404–420. https://doi.org/10.1016/j.envint.2018.08.013</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28. </w:t>
      </w:r>
      <w:proofErr w:type="spellStart"/>
      <w:r w:rsidRPr="009C1A55">
        <w:rPr>
          <w:rFonts w:ascii="Times New Roman" w:hAnsi="Times New Roman" w:cs="Times New Roman"/>
          <w:sz w:val="24"/>
          <w:szCs w:val="24"/>
        </w:rPr>
        <w:t>Afsar</w:t>
      </w:r>
      <w:proofErr w:type="spellEnd"/>
      <w:r w:rsidRPr="009C1A55">
        <w:rPr>
          <w:rFonts w:ascii="Times New Roman" w:hAnsi="Times New Roman" w:cs="Times New Roman"/>
          <w:sz w:val="24"/>
          <w:szCs w:val="24"/>
        </w:rPr>
        <w:t xml:space="preserve">, B., </w:t>
      </w:r>
      <w:proofErr w:type="spellStart"/>
      <w:r w:rsidRPr="009C1A55">
        <w:rPr>
          <w:rFonts w:ascii="Times New Roman" w:hAnsi="Times New Roman" w:cs="Times New Roman"/>
          <w:sz w:val="24"/>
          <w:szCs w:val="24"/>
        </w:rPr>
        <w:t>Afsar</w:t>
      </w:r>
      <w:proofErr w:type="spellEnd"/>
      <w:r w:rsidRPr="009C1A55">
        <w:rPr>
          <w:rFonts w:ascii="Times New Roman" w:hAnsi="Times New Roman" w:cs="Times New Roman"/>
          <w:sz w:val="24"/>
          <w:szCs w:val="24"/>
        </w:rPr>
        <w:t xml:space="preserve">, R. E., </w:t>
      </w:r>
      <w:proofErr w:type="spellStart"/>
      <w:r w:rsidRPr="009C1A55">
        <w:rPr>
          <w:rFonts w:ascii="Times New Roman" w:hAnsi="Times New Roman" w:cs="Times New Roman"/>
          <w:sz w:val="24"/>
          <w:szCs w:val="24"/>
        </w:rPr>
        <w:t>Kanbay</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Covic</w:t>
      </w:r>
      <w:proofErr w:type="spellEnd"/>
      <w:r w:rsidRPr="009C1A55">
        <w:rPr>
          <w:rFonts w:ascii="Times New Roman" w:hAnsi="Times New Roman" w:cs="Times New Roman"/>
          <w:sz w:val="24"/>
          <w:szCs w:val="24"/>
        </w:rPr>
        <w:t xml:space="preserve">, A., Ortiz, A., &amp; </w:t>
      </w:r>
      <w:proofErr w:type="spellStart"/>
      <w:r w:rsidRPr="009C1A55">
        <w:rPr>
          <w:rFonts w:ascii="Times New Roman" w:hAnsi="Times New Roman" w:cs="Times New Roman"/>
          <w:sz w:val="24"/>
          <w:szCs w:val="24"/>
        </w:rPr>
        <w:t>Kanbay</w:t>
      </w:r>
      <w:proofErr w:type="spellEnd"/>
      <w:r w:rsidRPr="009C1A55">
        <w:rPr>
          <w:rFonts w:ascii="Times New Roman" w:hAnsi="Times New Roman" w:cs="Times New Roman"/>
          <w:sz w:val="24"/>
          <w:szCs w:val="24"/>
        </w:rPr>
        <w:t>, M. (2018). Air pollution and kidney disease: Review of current evidence. Clinical Kidney Journal, 12(1), 19–32. https://doi.org/10.1093/ckj/sfy111</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29. El-</w:t>
      </w:r>
      <w:proofErr w:type="spellStart"/>
      <w:r w:rsidRPr="009C1A55">
        <w:rPr>
          <w:rFonts w:ascii="Times New Roman" w:hAnsi="Times New Roman" w:cs="Times New Roman"/>
          <w:sz w:val="24"/>
          <w:szCs w:val="24"/>
        </w:rPr>
        <w:t>Boshy</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Ashshi</w:t>
      </w:r>
      <w:proofErr w:type="spellEnd"/>
      <w:r w:rsidRPr="009C1A55">
        <w:rPr>
          <w:rFonts w:ascii="Times New Roman" w:hAnsi="Times New Roman" w:cs="Times New Roman"/>
          <w:sz w:val="24"/>
          <w:szCs w:val="24"/>
        </w:rPr>
        <w:t xml:space="preserve">, A., </w:t>
      </w:r>
      <w:proofErr w:type="spellStart"/>
      <w:r w:rsidRPr="009C1A55">
        <w:rPr>
          <w:rFonts w:ascii="Times New Roman" w:hAnsi="Times New Roman" w:cs="Times New Roman"/>
          <w:sz w:val="24"/>
          <w:szCs w:val="24"/>
        </w:rPr>
        <w:t>Gaith</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Qusty</w:t>
      </w:r>
      <w:proofErr w:type="spellEnd"/>
      <w:r w:rsidRPr="009C1A55">
        <w:rPr>
          <w:rFonts w:ascii="Times New Roman" w:hAnsi="Times New Roman" w:cs="Times New Roman"/>
          <w:sz w:val="24"/>
          <w:szCs w:val="24"/>
        </w:rPr>
        <w:t xml:space="preserve">, N., </w:t>
      </w:r>
      <w:proofErr w:type="spellStart"/>
      <w:r w:rsidRPr="009C1A55">
        <w:rPr>
          <w:rFonts w:ascii="Times New Roman" w:hAnsi="Times New Roman" w:cs="Times New Roman"/>
          <w:sz w:val="24"/>
          <w:szCs w:val="24"/>
        </w:rPr>
        <w:t>Bokhary</w:t>
      </w:r>
      <w:proofErr w:type="spellEnd"/>
      <w:r w:rsidRPr="009C1A55">
        <w:rPr>
          <w:rFonts w:ascii="Times New Roman" w:hAnsi="Times New Roman" w:cs="Times New Roman"/>
          <w:sz w:val="24"/>
          <w:szCs w:val="24"/>
        </w:rPr>
        <w:t xml:space="preserve">, T., </w:t>
      </w:r>
      <w:proofErr w:type="spellStart"/>
      <w:r w:rsidRPr="009C1A55">
        <w:rPr>
          <w:rFonts w:ascii="Times New Roman" w:hAnsi="Times New Roman" w:cs="Times New Roman"/>
          <w:sz w:val="24"/>
          <w:szCs w:val="24"/>
        </w:rPr>
        <w:t>AlTaweel</w:t>
      </w:r>
      <w:proofErr w:type="spellEnd"/>
      <w:r w:rsidRPr="009C1A55">
        <w:rPr>
          <w:rFonts w:ascii="Times New Roman" w:hAnsi="Times New Roman" w:cs="Times New Roman"/>
          <w:sz w:val="24"/>
          <w:szCs w:val="24"/>
        </w:rPr>
        <w:t xml:space="preserve">, N., &amp; </w:t>
      </w:r>
      <w:proofErr w:type="spellStart"/>
      <w:r w:rsidRPr="009C1A55">
        <w:rPr>
          <w:rFonts w:ascii="Times New Roman" w:hAnsi="Times New Roman" w:cs="Times New Roman"/>
          <w:sz w:val="24"/>
          <w:szCs w:val="24"/>
        </w:rPr>
        <w:t>Abdelhady</w:t>
      </w:r>
      <w:proofErr w:type="spellEnd"/>
      <w:r w:rsidRPr="009C1A55">
        <w:rPr>
          <w:rFonts w:ascii="Times New Roman" w:hAnsi="Times New Roman" w:cs="Times New Roman"/>
          <w:sz w:val="24"/>
          <w:szCs w:val="24"/>
        </w:rPr>
        <w:t>, M. (2017). Studies on the protective effect of the artichoke (</w:t>
      </w:r>
      <w:proofErr w:type="spellStart"/>
      <w:r w:rsidRPr="009C1A55">
        <w:rPr>
          <w:rFonts w:ascii="Times New Roman" w:hAnsi="Times New Roman" w:cs="Times New Roman"/>
          <w:sz w:val="24"/>
          <w:szCs w:val="24"/>
        </w:rPr>
        <w:t>Cynara</w:t>
      </w:r>
      <w:proofErr w:type="spellEnd"/>
      <w:r w:rsidRPr="009C1A55">
        <w:rPr>
          <w:rFonts w:ascii="Times New Roman" w:hAnsi="Times New Roman" w:cs="Times New Roman"/>
          <w:sz w:val="24"/>
          <w:szCs w:val="24"/>
        </w:rPr>
        <w:t xml:space="preserve"> </w:t>
      </w:r>
      <w:proofErr w:type="spellStart"/>
      <w:r w:rsidRPr="009C1A55">
        <w:rPr>
          <w:rFonts w:ascii="Times New Roman" w:hAnsi="Times New Roman" w:cs="Times New Roman"/>
          <w:sz w:val="24"/>
          <w:szCs w:val="24"/>
        </w:rPr>
        <w:t>scolymus</w:t>
      </w:r>
      <w:proofErr w:type="spellEnd"/>
      <w:r w:rsidRPr="009C1A55">
        <w:rPr>
          <w:rFonts w:ascii="Times New Roman" w:hAnsi="Times New Roman" w:cs="Times New Roman"/>
          <w:sz w:val="24"/>
          <w:szCs w:val="24"/>
        </w:rPr>
        <w:t xml:space="preserve">) leaf extract against cadmium toxicity-induced oxidative stress, </w:t>
      </w:r>
      <w:proofErr w:type="spellStart"/>
      <w:r w:rsidRPr="009C1A55">
        <w:rPr>
          <w:rFonts w:ascii="Times New Roman" w:hAnsi="Times New Roman" w:cs="Times New Roman"/>
          <w:sz w:val="24"/>
          <w:szCs w:val="24"/>
        </w:rPr>
        <w:t>hepatorenal</w:t>
      </w:r>
      <w:proofErr w:type="spellEnd"/>
      <w:r w:rsidRPr="009C1A55">
        <w:rPr>
          <w:rFonts w:ascii="Times New Roman" w:hAnsi="Times New Roman" w:cs="Times New Roman"/>
          <w:sz w:val="24"/>
          <w:szCs w:val="24"/>
        </w:rPr>
        <w:t xml:space="preserve"> damage, and immunosuppressive and hematological disorders in rats. Environmental Science and Pollution Research, 24(13), 12372–12383. https://doi.org/10.1007/s11356-017-8876-x</w:t>
      </w:r>
    </w:p>
    <w:p w:rsidR="00816A08" w:rsidRPr="009C1A55" w:rsidRDefault="008E6D20">
      <w:pPr>
        <w:spacing w:after="140" w:line="264" w:lineRule="auto"/>
        <w:ind w:left="360" w:hanging="360"/>
        <w:rPr>
          <w:rFonts w:ascii="Times New Roman" w:hAnsi="Times New Roman" w:cs="Times New Roman"/>
          <w:sz w:val="24"/>
          <w:szCs w:val="24"/>
        </w:rPr>
      </w:pPr>
      <w:r w:rsidRPr="009C1A55">
        <w:rPr>
          <w:rFonts w:ascii="Times New Roman" w:hAnsi="Times New Roman" w:cs="Times New Roman"/>
          <w:sz w:val="24"/>
          <w:szCs w:val="24"/>
        </w:rPr>
        <w:t xml:space="preserve">30. </w:t>
      </w:r>
      <w:proofErr w:type="spellStart"/>
      <w:r w:rsidRPr="009C1A55">
        <w:rPr>
          <w:rFonts w:ascii="Times New Roman" w:hAnsi="Times New Roman" w:cs="Times New Roman"/>
          <w:sz w:val="24"/>
          <w:szCs w:val="24"/>
        </w:rPr>
        <w:t>Yildirim</w:t>
      </w:r>
      <w:proofErr w:type="spellEnd"/>
      <w:r w:rsidRPr="009C1A55">
        <w:rPr>
          <w:rFonts w:ascii="Times New Roman" w:hAnsi="Times New Roman" w:cs="Times New Roman"/>
          <w:sz w:val="24"/>
          <w:szCs w:val="24"/>
        </w:rPr>
        <w:t xml:space="preserve">, S., </w:t>
      </w:r>
      <w:proofErr w:type="spellStart"/>
      <w:r w:rsidRPr="009C1A55">
        <w:rPr>
          <w:rFonts w:ascii="Times New Roman" w:hAnsi="Times New Roman" w:cs="Times New Roman"/>
          <w:sz w:val="24"/>
          <w:szCs w:val="24"/>
        </w:rPr>
        <w:t>Celikezen</w:t>
      </w:r>
      <w:proofErr w:type="spellEnd"/>
      <w:r w:rsidRPr="009C1A55">
        <w:rPr>
          <w:rFonts w:ascii="Times New Roman" w:hAnsi="Times New Roman" w:cs="Times New Roman"/>
          <w:sz w:val="24"/>
          <w:szCs w:val="24"/>
        </w:rPr>
        <w:t xml:space="preserve">, F. C., </w:t>
      </w:r>
      <w:proofErr w:type="spellStart"/>
      <w:r w:rsidRPr="009C1A55">
        <w:rPr>
          <w:rFonts w:ascii="Times New Roman" w:hAnsi="Times New Roman" w:cs="Times New Roman"/>
          <w:sz w:val="24"/>
          <w:szCs w:val="24"/>
        </w:rPr>
        <w:t>Oto</w:t>
      </w:r>
      <w:proofErr w:type="spellEnd"/>
      <w:r w:rsidRPr="009C1A55">
        <w:rPr>
          <w:rFonts w:ascii="Times New Roman" w:hAnsi="Times New Roman" w:cs="Times New Roman"/>
          <w:sz w:val="24"/>
          <w:szCs w:val="24"/>
        </w:rPr>
        <w:t xml:space="preserve">, G., </w:t>
      </w:r>
      <w:proofErr w:type="spellStart"/>
      <w:r w:rsidRPr="009C1A55">
        <w:rPr>
          <w:rFonts w:ascii="Times New Roman" w:hAnsi="Times New Roman" w:cs="Times New Roman"/>
          <w:sz w:val="24"/>
          <w:szCs w:val="24"/>
        </w:rPr>
        <w:t>Sengul</w:t>
      </w:r>
      <w:proofErr w:type="spellEnd"/>
      <w:r w:rsidRPr="009C1A55">
        <w:rPr>
          <w:rFonts w:ascii="Times New Roman" w:hAnsi="Times New Roman" w:cs="Times New Roman"/>
          <w:sz w:val="24"/>
          <w:szCs w:val="24"/>
        </w:rPr>
        <w:t xml:space="preserve">, E., </w:t>
      </w:r>
      <w:proofErr w:type="spellStart"/>
      <w:r w:rsidRPr="009C1A55">
        <w:rPr>
          <w:rFonts w:ascii="Times New Roman" w:hAnsi="Times New Roman" w:cs="Times New Roman"/>
          <w:sz w:val="24"/>
          <w:szCs w:val="24"/>
        </w:rPr>
        <w:t>Bulduk</w:t>
      </w:r>
      <w:proofErr w:type="spellEnd"/>
      <w:r w:rsidRPr="009C1A55">
        <w:rPr>
          <w:rFonts w:ascii="Times New Roman" w:hAnsi="Times New Roman" w:cs="Times New Roman"/>
          <w:sz w:val="24"/>
          <w:szCs w:val="24"/>
        </w:rPr>
        <w:t xml:space="preserve">, M., </w:t>
      </w:r>
      <w:proofErr w:type="spellStart"/>
      <w:r w:rsidRPr="009C1A55">
        <w:rPr>
          <w:rFonts w:ascii="Times New Roman" w:hAnsi="Times New Roman" w:cs="Times New Roman"/>
          <w:sz w:val="24"/>
          <w:szCs w:val="24"/>
        </w:rPr>
        <w:t>Tasdemir</w:t>
      </w:r>
      <w:proofErr w:type="spellEnd"/>
      <w:r w:rsidRPr="009C1A55">
        <w:rPr>
          <w:rFonts w:ascii="Times New Roman" w:hAnsi="Times New Roman" w:cs="Times New Roman"/>
          <w:sz w:val="24"/>
          <w:szCs w:val="24"/>
        </w:rPr>
        <w:t xml:space="preserve">, M., &amp; </w:t>
      </w:r>
      <w:proofErr w:type="spellStart"/>
      <w:r w:rsidRPr="009C1A55">
        <w:rPr>
          <w:rFonts w:ascii="Times New Roman" w:hAnsi="Times New Roman" w:cs="Times New Roman"/>
          <w:sz w:val="24"/>
          <w:szCs w:val="24"/>
        </w:rPr>
        <w:t>Cinar</w:t>
      </w:r>
      <w:proofErr w:type="spellEnd"/>
      <w:r w:rsidRPr="009C1A55">
        <w:rPr>
          <w:rFonts w:ascii="Times New Roman" w:hAnsi="Times New Roman" w:cs="Times New Roman"/>
          <w:sz w:val="24"/>
          <w:szCs w:val="24"/>
        </w:rPr>
        <w:t xml:space="preserve">, D. A. (2017). An investigation of protective effects of lithium borate on blood and </w:t>
      </w:r>
      <w:proofErr w:type="spellStart"/>
      <w:r w:rsidRPr="009C1A55">
        <w:rPr>
          <w:rFonts w:ascii="Times New Roman" w:hAnsi="Times New Roman" w:cs="Times New Roman"/>
          <w:sz w:val="24"/>
          <w:szCs w:val="24"/>
        </w:rPr>
        <w:t>histopathological</w:t>
      </w:r>
      <w:proofErr w:type="spellEnd"/>
      <w:r w:rsidRPr="009C1A55">
        <w:rPr>
          <w:rFonts w:ascii="Times New Roman" w:hAnsi="Times New Roman" w:cs="Times New Roman"/>
          <w:sz w:val="24"/>
          <w:szCs w:val="24"/>
        </w:rPr>
        <w:t xml:space="preserve"> parameters in acute cadmium-induced rats. Biological Trace Element Research, 182(2), 287–294. https://doi.org/10.1007/s12011-017-1089-9</w:t>
      </w:r>
    </w:p>
    <w:sectPr w:rsidR="00816A08" w:rsidRPr="009C1A55">
      <w:headerReference w:type="default" r:id="rId11"/>
      <w:footerReference w:type="default" r:id="rId12"/>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6AB" w:rsidRDefault="002266AB">
      <w:r>
        <w:separator/>
      </w:r>
    </w:p>
  </w:endnote>
  <w:endnote w:type="continuationSeparator" w:id="0">
    <w:p w:rsidR="002266AB" w:rsidRDefault="0022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544058"/>
      <w:docPartObj>
        <w:docPartGallery w:val="Page Numbers (Bottom of Page)"/>
        <w:docPartUnique/>
      </w:docPartObj>
    </w:sdtPr>
    <w:sdtEndPr>
      <w:rPr>
        <w:noProof/>
      </w:rPr>
    </w:sdtEndPr>
    <w:sdtContent>
      <w:p w:rsidR="00F837AD" w:rsidRDefault="00F837AD">
        <w:pPr>
          <w:pStyle w:val="Footer"/>
          <w:jc w:val="center"/>
        </w:pPr>
        <w:r>
          <w:fldChar w:fldCharType="begin"/>
        </w:r>
        <w:r>
          <w:instrText xml:space="preserve"> PAGE   \* MERGEFORMAT </w:instrText>
        </w:r>
        <w:r>
          <w:fldChar w:fldCharType="separate"/>
        </w:r>
        <w:r w:rsidR="0093692F">
          <w:rPr>
            <w:noProof/>
          </w:rPr>
          <w:t>11</w:t>
        </w:r>
        <w:r>
          <w:rPr>
            <w:noProof/>
          </w:rPr>
          <w:fldChar w:fldCharType="end"/>
        </w:r>
      </w:p>
    </w:sdtContent>
  </w:sdt>
  <w:p w:rsidR="00F837AD" w:rsidRDefault="00F83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6AB" w:rsidRDefault="002266AB">
      <w:r>
        <w:separator/>
      </w:r>
    </w:p>
  </w:footnote>
  <w:footnote w:type="continuationSeparator" w:id="0">
    <w:p w:rsidR="002266AB" w:rsidRDefault="00226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08" w:rsidRDefault="008E6D20">
    <w:pPr>
      <w:jc w:val="right"/>
    </w:pPr>
    <w:r>
      <w:rPr>
        <w:color w:val="808080"/>
        <w:sz w:val="16"/>
        <w:szCs w:val="16"/>
      </w:rPr>
      <w:t xml:space="preserve">Lead Acetate Nephrotoxicity in </w:t>
    </w:r>
    <w:proofErr w:type="spellStart"/>
    <w:r>
      <w:rPr>
        <w:color w:val="808080"/>
        <w:sz w:val="16"/>
        <w:szCs w:val="16"/>
      </w:rPr>
      <w:t>Wistar</w:t>
    </w:r>
    <w:proofErr w:type="spellEnd"/>
    <w:r>
      <w:rPr>
        <w:color w:val="808080"/>
        <w:sz w:val="16"/>
        <w:szCs w:val="16"/>
      </w:rPr>
      <w:t xml:space="preserve"> Rats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01C03"/>
    <w:multiLevelType w:val="hybridMultilevel"/>
    <w:tmpl w:val="B810F5AE"/>
    <w:lvl w:ilvl="0" w:tplc="D6F2B7E6">
      <w:start w:val="1"/>
      <w:numFmt w:val="bullet"/>
      <w:lvlText w:val="•"/>
      <w:lvlJc w:val="left"/>
      <w:pPr>
        <w:ind w:left="720" w:hanging="360"/>
      </w:pPr>
    </w:lvl>
    <w:lvl w:ilvl="1" w:tplc="5FE2E802">
      <w:numFmt w:val="decimal"/>
      <w:lvlText w:val=""/>
      <w:lvlJc w:val="left"/>
    </w:lvl>
    <w:lvl w:ilvl="2" w:tplc="4FDC42E2">
      <w:numFmt w:val="decimal"/>
      <w:lvlText w:val=""/>
      <w:lvlJc w:val="left"/>
    </w:lvl>
    <w:lvl w:ilvl="3" w:tplc="5448A83C">
      <w:numFmt w:val="decimal"/>
      <w:lvlText w:val=""/>
      <w:lvlJc w:val="left"/>
    </w:lvl>
    <w:lvl w:ilvl="4" w:tplc="AF025458">
      <w:numFmt w:val="decimal"/>
      <w:lvlText w:val=""/>
      <w:lvlJc w:val="left"/>
    </w:lvl>
    <w:lvl w:ilvl="5" w:tplc="380CB612">
      <w:numFmt w:val="decimal"/>
      <w:lvlText w:val=""/>
      <w:lvlJc w:val="left"/>
    </w:lvl>
    <w:lvl w:ilvl="6" w:tplc="418ABC0E">
      <w:numFmt w:val="decimal"/>
      <w:lvlText w:val=""/>
      <w:lvlJc w:val="left"/>
    </w:lvl>
    <w:lvl w:ilvl="7" w:tplc="F252FA6A">
      <w:numFmt w:val="decimal"/>
      <w:lvlText w:val=""/>
      <w:lvlJc w:val="left"/>
    </w:lvl>
    <w:lvl w:ilvl="8" w:tplc="4782961A">
      <w:numFmt w:val="decimal"/>
      <w:lvlText w:val=""/>
      <w:lvlJc w:val="left"/>
    </w:lvl>
  </w:abstractNum>
  <w:abstractNum w:abstractNumId="1">
    <w:nsid w:val="36565232"/>
    <w:multiLevelType w:val="hybridMultilevel"/>
    <w:tmpl w:val="FA9859CA"/>
    <w:lvl w:ilvl="0" w:tplc="F8EC0EA0">
      <w:start w:val="1"/>
      <w:numFmt w:val="bullet"/>
      <w:lvlText w:val="●"/>
      <w:lvlJc w:val="left"/>
      <w:pPr>
        <w:ind w:left="720" w:hanging="360"/>
      </w:pPr>
    </w:lvl>
    <w:lvl w:ilvl="1" w:tplc="773A6928">
      <w:start w:val="1"/>
      <w:numFmt w:val="bullet"/>
      <w:lvlText w:val="○"/>
      <w:lvlJc w:val="left"/>
      <w:pPr>
        <w:ind w:left="1440" w:hanging="360"/>
      </w:pPr>
    </w:lvl>
    <w:lvl w:ilvl="2" w:tplc="ABF8F1AA">
      <w:start w:val="1"/>
      <w:numFmt w:val="bullet"/>
      <w:lvlText w:val="■"/>
      <w:lvlJc w:val="left"/>
      <w:pPr>
        <w:ind w:left="2160" w:hanging="360"/>
      </w:pPr>
    </w:lvl>
    <w:lvl w:ilvl="3" w:tplc="8B585374">
      <w:start w:val="1"/>
      <w:numFmt w:val="bullet"/>
      <w:lvlText w:val="●"/>
      <w:lvlJc w:val="left"/>
      <w:pPr>
        <w:ind w:left="2880" w:hanging="360"/>
      </w:pPr>
    </w:lvl>
    <w:lvl w:ilvl="4" w:tplc="FB28BDF0">
      <w:start w:val="1"/>
      <w:numFmt w:val="bullet"/>
      <w:lvlText w:val="○"/>
      <w:lvlJc w:val="left"/>
      <w:pPr>
        <w:ind w:left="3600" w:hanging="360"/>
      </w:pPr>
    </w:lvl>
    <w:lvl w:ilvl="5" w:tplc="26B65F40">
      <w:start w:val="1"/>
      <w:numFmt w:val="bullet"/>
      <w:lvlText w:val="■"/>
      <w:lvlJc w:val="left"/>
      <w:pPr>
        <w:ind w:left="4320" w:hanging="360"/>
      </w:pPr>
    </w:lvl>
    <w:lvl w:ilvl="6" w:tplc="763E98A0">
      <w:start w:val="1"/>
      <w:numFmt w:val="bullet"/>
      <w:lvlText w:val="●"/>
      <w:lvlJc w:val="left"/>
      <w:pPr>
        <w:ind w:left="5040" w:hanging="360"/>
      </w:pPr>
    </w:lvl>
    <w:lvl w:ilvl="7" w:tplc="A04AA1B8">
      <w:start w:val="1"/>
      <w:numFmt w:val="bullet"/>
      <w:lvlText w:val="●"/>
      <w:lvlJc w:val="left"/>
      <w:pPr>
        <w:ind w:left="5760" w:hanging="360"/>
      </w:pPr>
    </w:lvl>
    <w:lvl w:ilvl="8" w:tplc="8D9AEF04">
      <w:start w:val="1"/>
      <w:numFmt w:val="bullet"/>
      <w:lvlText w:val="●"/>
      <w:lvlJc w:val="left"/>
      <w:pPr>
        <w:ind w:left="6480" w:hanging="360"/>
      </w:pPr>
    </w:lvl>
  </w:abstractNum>
  <w:abstractNum w:abstractNumId="2">
    <w:nsid w:val="72766926"/>
    <w:multiLevelType w:val="multilevel"/>
    <w:tmpl w:val="49CA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A08"/>
    <w:rsid w:val="0000705D"/>
    <w:rsid w:val="000263F7"/>
    <w:rsid w:val="0006111D"/>
    <w:rsid w:val="001A3047"/>
    <w:rsid w:val="001E5ECD"/>
    <w:rsid w:val="0021382B"/>
    <w:rsid w:val="002266AB"/>
    <w:rsid w:val="00242209"/>
    <w:rsid w:val="00387746"/>
    <w:rsid w:val="003E068B"/>
    <w:rsid w:val="003E65AE"/>
    <w:rsid w:val="004652D7"/>
    <w:rsid w:val="004C0BA8"/>
    <w:rsid w:val="00537C66"/>
    <w:rsid w:val="0061437D"/>
    <w:rsid w:val="00631C2B"/>
    <w:rsid w:val="006C724B"/>
    <w:rsid w:val="006D5165"/>
    <w:rsid w:val="007A0F82"/>
    <w:rsid w:val="00816A08"/>
    <w:rsid w:val="008D29D2"/>
    <w:rsid w:val="008E6D20"/>
    <w:rsid w:val="00915866"/>
    <w:rsid w:val="00927760"/>
    <w:rsid w:val="0093692F"/>
    <w:rsid w:val="009C1A55"/>
    <w:rsid w:val="00A96E75"/>
    <w:rsid w:val="00AA67B5"/>
    <w:rsid w:val="00B024BD"/>
    <w:rsid w:val="00B12CBC"/>
    <w:rsid w:val="00B5766B"/>
    <w:rsid w:val="00CD7078"/>
    <w:rsid w:val="00D545E0"/>
    <w:rsid w:val="00D62056"/>
    <w:rsid w:val="00DB453B"/>
    <w:rsid w:val="00DD1697"/>
    <w:rsid w:val="00DE0281"/>
    <w:rsid w:val="00E33BB9"/>
    <w:rsid w:val="00EC3EA1"/>
    <w:rsid w:val="00EE2719"/>
    <w:rsid w:val="00EF53D0"/>
    <w:rsid w:val="00F20C10"/>
    <w:rsid w:val="00F837AD"/>
    <w:rsid w:val="00F86624"/>
    <w:rsid w:val="00FC2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5944D-BE64-4CF1-B01C-FD09BCAA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spacing w:before="320" w:after="160"/>
      <w:outlineLvl w:val="0"/>
    </w:pPr>
    <w:rPr>
      <w:b/>
      <w:bCs/>
      <w:color w:val="1F3864"/>
      <w:sz w:val="26"/>
      <w:szCs w:val="26"/>
    </w:rPr>
  </w:style>
  <w:style w:type="paragraph" w:styleId="Heading2">
    <w:name w:val="heading 2"/>
    <w:qFormat/>
    <w:pPr>
      <w:spacing w:before="220" w:after="120"/>
      <w:outlineLvl w:val="1"/>
    </w:pPr>
    <w:rPr>
      <w:b/>
      <w:bCs/>
      <w:color w:val="1F3864"/>
      <w:sz w:val="23"/>
      <w:szCs w:val="23"/>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AA67B5"/>
    <w:pPr>
      <w:tabs>
        <w:tab w:val="center" w:pos="4680"/>
        <w:tab w:val="right" w:pos="9360"/>
      </w:tabs>
    </w:pPr>
  </w:style>
  <w:style w:type="character" w:customStyle="1" w:styleId="HeaderChar">
    <w:name w:val="Header Char"/>
    <w:basedOn w:val="DefaultParagraphFont"/>
    <w:link w:val="Header"/>
    <w:uiPriority w:val="99"/>
    <w:rsid w:val="00AA67B5"/>
  </w:style>
  <w:style w:type="paragraph" w:styleId="Footer">
    <w:name w:val="footer"/>
    <w:basedOn w:val="Normal"/>
    <w:link w:val="FooterChar"/>
    <w:uiPriority w:val="99"/>
    <w:unhideWhenUsed/>
    <w:rsid w:val="00AA67B5"/>
    <w:pPr>
      <w:tabs>
        <w:tab w:val="center" w:pos="4680"/>
        <w:tab w:val="right" w:pos="9360"/>
      </w:tabs>
    </w:pPr>
  </w:style>
  <w:style w:type="character" w:customStyle="1" w:styleId="FooterChar">
    <w:name w:val="Footer Char"/>
    <w:basedOn w:val="DefaultParagraphFont"/>
    <w:link w:val="Footer"/>
    <w:uiPriority w:val="99"/>
    <w:rsid w:val="00AA6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472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4481</Words>
  <Characters>25545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abel solomon</cp:lastModifiedBy>
  <cp:revision>25</cp:revision>
  <dcterms:created xsi:type="dcterms:W3CDTF">2026-06-21T18:43:00Z</dcterms:created>
  <dcterms:modified xsi:type="dcterms:W3CDTF">2026-06-22T08:36:00Z</dcterms:modified>
</cp:coreProperties>
</file>