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C69" w14:textId="5B0AA836" w:rsidR="001E71D7" w:rsidRDefault="001E71D7" w:rsidP="001E71D7">
      <w:pPr>
        <w:spacing w:after="208" w:line="480" w:lineRule="auto"/>
        <w:jc w:val="center"/>
        <w:rPr>
          <w:rFonts w:ascii="Arial" w:eastAsia="Bookman Old Style" w:hAnsi="Arial" w:cs="Arial"/>
          <w:b/>
          <w:bCs/>
          <w:sz w:val="24"/>
          <w:szCs w:val="24"/>
        </w:rPr>
      </w:pPr>
      <w:bookmarkStart w:id="0" w:name="_Hlk223980021"/>
      <w:r w:rsidRPr="001519DF">
        <w:rPr>
          <w:rFonts w:ascii="Arial" w:eastAsia="Bookman Old Style" w:hAnsi="Arial" w:cs="Arial"/>
          <w:b/>
          <w:bCs/>
          <w:sz w:val="24"/>
          <w:szCs w:val="24"/>
        </w:rPr>
        <w:t xml:space="preserve">POTENTIALITY OF </w:t>
      </w:r>
      <w:r w:rsidRPr="001519DF">
        <w:rPr>
          <w:rFonts w:ascii="Arial" w:eastAsia="Bookman Old Style" w:hAnsi="Arial" w:cs="Arial"/>
          <w:b/>
          <w:bCs/>
          <w:i/>
          <w:iCs/>
          <w:sz w:val="24"/>
          <w:szCs w:val="24"/>
        </w:rPr>
        <w:t>SNAKE PLANT (</w:t>
      </w:r>
      <w:r w:rsidRPr="001E71D7">
        <w:rPr>
          <w:rFonts w:ascii="Arial" w:eastAsia="Bookman Old Style" w:hAnsi="Arial" w:cs="Arial"/>
          <w:b/>
          <w:bCs/>
          <w:i/>
          <w:iCs/>
          <w:sz w:val="24"/>
          <w:szCs w:val="24"/>
        </w:rPr>
        <w:t>Dracaena trifasciata</w:t>
      </w:r>
      <w:r w:rsidRPr="001519DF">
        <w:rPr>
          <w:rFonts w:ascii="Arial" w:eastAsia="Bookman Old Style" w:hAnsi="Arial" w:cs="Arial"/>
          <w:b/>
          <w:bCs/>
          <w:i/>
          <w:iCs/>
          <w:sz w:val="24"/>
          <w:szCs w:val="24"/>
        </w:rPr>
        <w:t>)</w:t>
      </w:r>
      <w:r w:rsidRPr="001519DF">
        <w:rPr>
          <w:rFonts w:ascii="Arial" w:eastAsia="Bookman Old Style" w:hAnsi="Arial" w:cs="Arial"/>
          <w:b/>
          <w:bCs/>
          <w:sz w:val="24"/>
          <w:szCs w:val="24"/>
        </w:rPr>
        <w:t xml:space="preserve"> AS PAPER BAGS</w:t>
      </w:r>
      <w:bookmarkEnd w:id="0"/>
    </w:p>
    <w:p w14:paraId="574668F4" w14:textId="031F3034" w:rsidR="001E71D7" w:rsidRDefault="001E71D7" w:rsidP="001E71D7">
      <w:pPr>
        <w:spacing w:after="208" w:line="240" w:lineRule="auto"/>
        <w:jc w:val="center"/>
        <w:rPr>
          <w:rFonts w:ascii="Arial" w:eastAsia="Bookman Old Style" w:hAnsi="Arial" w:cs="Arial"/>
          <w:sz w:val="20"/>
          <w:szCs w:val="20"/>
        </w:rPr>
      </w:pPr>
      <w:proofErr w:type="spellStart"/>
      <w:r w:rsidRPr="001E71D7">
        <w:rPr>
          <w:rFonts w:ascii="Arial" w:eastAsia="Bookman Old Style" w:hAnsi="Arial" w:cs="Arial"/>
          <w:sz w:val="20"/>
          <w:szCs w:val="20"/>
        </w:rPr>
        <w:t>Baynosa</w:t>
      </w:r>
      <w:proofErr w:type="spellEnd"/>
      <w:r w:rsidRPr="001E71D7">
        <w:rPr>
          <w:rFonts w:ascii="Arial" w:eastAsia="Bookman Old Style" w:hAnsi="Arial" w:cs="Arial"/>
          <w:sz w:val="20"/>
          <w:szCs w:val="20"/>
        </w:rPr>
        <w:t>, Julian Rodel</w:t>
      </w:r>
      <w:r w:rsidRPr="001E71D7">
        <w:rPr>
          <w:rFonts w:ascii="Arial" w:eastAsia="Bookman Old Style" w:hAnsi="Arial" w:cs="Arial"/>
          <w:sz w:val="20"/>
          <w:szCs w:val="20"/>
        </w:rPr>
        <w:t xml:space="preserve">, </w:t>
      </w:r>
      <w:proofErr w:type="spellStart"/>
      <w:r w:rsidRPr="001E71D7">
        <w:rPr>
          <w:rFonts w:ascii="Arial" w:eastAsia="Bookman Old Style" w:hAnsi="Arial" w:cs="Arial"/>
          <w:sz w:val="20"/>
          <w:szCs w:val="20"/>
        </w:rPr>
        <w:t>Sarilla</w:t>
      </w:r>
      <w:proofErr w:type="spellEnd"/>
      <w:r w:rsidRPr="001E71D7">
        <w:rPr>
          <w:rFonts w:ascii="Arial" w:eastAsia="Bookman Old Style" w:hAnsi="Arial" w:cs="Arial"/>
          <w:sz w:val="20"/>
          <w:szCs w:val="20"/>
        </w:rPr>
        <w:t>, Jack</w:t>
      </w:r>
      <w:r w:rsidRPr="001E71D7">
        <w:rPr>
          <w:rFonts w:ascii="Arial" w:eastAsia="Bookman Old Style" w:hAnsi="Arial" w:cs="Arial"/>
          <w:sz w:val="20"/>
          <w:szCs w:val="20"/>
        </w:rPr>
        <w:t xml:space="preserve">, </w:t>
      </w:r>
      <w:r w:rsidRPr="001E71D7">
        <w:rPr>
          <w:rFonts w:ascii="Arial" w:eastAsia="Bookman Old Style" w:hAnsi="Arial" w:cs="Arial"/>
          <w:sz w:val="20"/>
          <w:szCs w:val="20"/>
        </w:rPr>
        <w:t xml:space="preserve">Ceniza, </w:t>
      </w:r>
      <w:proofErr w:type="spellStart"/>
      <w:r w:rsidRPr="001E71D7">
        <w:rPr>
          <w:rFonts w:ascii="Arial" w:eastAsia="Bookman Old Style" w:hAnsi="Arial" w:cs="Arial"/>
          <w:sz w:val="20"/>
          <w:szCs w:val="20"/>
        </w:rPr>
        <w:t>Greacil</w:t>
      </w:r>
      <w:proofErr w:type="spellEnd"/>
      <w:r w:rsidRPr="001E71D7">
        <w:rPr>
          <w:rFonts w:ascii="Arial" w:eastAsia="Bookman Old Style" w:hAnsi="Arial" w:cs="Arial"/>
          <w:sz w:val="20"/>
          <w:szCs w:val="20"/>
        </w:rPr>
        <w:t xml:space="preserve"> Jane</w:t>
      </w:r>
      <w:r w:rsidRPr="001E71D7">
        <w:rPr>
          <w:rFonts w:ascii="Arial" w:eastAsia="Bookman Old Style" w:hAnsi="Arial" w:cs="Arial"/>
          <w:sz w:val="20"/>
          <w:szCs w:val="20"/>
        </w:rPr>
        <w:t xml:space="preserve">, </w:t>
      </w:r>
      <w:proofErr w:type="spellStart"/>
      <w:r w:rsidRPr="001E71D7">
        <w:rPr>
          <w:rFonts w:ascii="Arial" w:eastAsia="Bookman Old Style" w:hAnsi="Arial" w:cs="Arial"/>
          <w:sz w:val="20"/>
          <w:szCs w:val="20"/>
        </w:rPr>
        <w:t>Gungob</w:t>
      </w:r>
      <w:proofErr w:type="spellEnd"/>
      <w:r w:rsidRPr="001E71D7">
        <w:rPr>
          <w:rFonts w:ascii="Arial" w:eastAsia="Bookman Old Style" w:hAnsi="Arial" w:cs="Arial"/>
          <w:sz w:val="20"/>
          <w:szCs w:val="20"/>
        </w:rPr>
        <w:t xml:space="preserve">, </w:t>
      </w:r>
      <w:proofErr w:type="gramStart"/>
      <w:r w:rsidRPr="001E71D7">
        <w:rPr>
          <w:rFonts w:ascii="Arial" w:eastAsia="Bookman Old Style" w:hAnsi="Arial" w:cs="Arial"/>
          <w:sz w:val="20"/>
          <w:szCs w:val="20"/>
        </w:rPr>
        <w:t xml:space="preserve">Janneth </w:t>
      </w:r>
      <w:r w:rsidRPr="001E71D7">
        <w:rPr>
          <w:rFonts w:ascii="Arial" w:eastAsia="Bookman Old Style" w:hAnsi="Arial" w:cs="Arial"/>
          <w:sz w:val="20"/>
          <w:szCs w:val="20"/>
        </w:rPr>
        <w:t>,</w:t>
      </w:r>
      <w:proofErr w:type="gramEnd"/>
      <w:r w:rsidRPr="001E71D7">
        <w:rPr>
          <w:rFonts w:ascii="Arial" w:eastAsia="Bookman Old Style" w:hAnsi="Arial" w:cs="Arial"/>
          <w:sz w:val="20"/>
          <w:szCs w:val="20"/>
        </w:rPr>
        <w:t xml:space="preserve"> </w:t>
      </w:r>
      <w:r w:rsidRPr="001E71D7">
        <w:rPr>
          <w:rFonts w:ascii="Arial" w:eastAsia="Bookman Old Style" w:hAnsi="Arial" w:cs="Arial"/>
          <w:sz w:val="20"/>
          <w:szCs w:val="20"/>
        </w:rPr>
        <w:t>Mantos, Irish Jayne</w:t>
      </w:r>
      <w:r w:rsidRPr="001E71D7">
        <w:rPr>
          <w:rFonts w:ascii="Arial" w:eastAsia="Bookman Old Style" w:hAnsi="Arial" w:cs="Arial"/>
          <w:sz w:val="20"/>
          <w:szCs w:val="20"/>
        </w:rPr>
        <w:t xml:space="preserve">, </w:t>
      </w:r>
      <w:proofErr w:type="spellStart"/>
      <w:r w:rsidRPr="001E71D7">
        <w:rPr>
          <w:rFonts w:ascii="Arial" w:eastAsia="Bookman Old Style" w:hAnsi="Arial" w:cs="Arial"/>
          <w:sz w:val="20"/>
          <w:szCs w:val="20"/>
        </w:rPr>
        <w:t>Panuncialman</w:t>
      </w:r>
      <w:proofErr w:type="spellEnd"/>
      <w:r w:rsidRPr="001E71D7">
        <w:rPr>
          <w:rFonts w:ascii="Arial" w:eastAsia="Bookman Old Style" w:hAnsi="Arial" w:cs="Arial"/>
          <w:sz w:val="20"/>
          <w:szCs w:val="20"/>
        </w:rPr>
        <w:t xml:space="preserve">, </w:t>
      </w:r>
      <w:proofErr w:type="spellStart"/>
      <w:r w:rsidRPr="001E71D7">
        <w:rPr>
          <w:rFonts w:ascii="Arial" w:eastAsia="Bookman Old Style" w:hAnsi="Arial" w:cs="Arial"/>
          <w:sz w:val="20"/>
          <w:szCs w:val="20"/>
        </w:rPr>
        <w:t>Yhancy</w:t>
      </w:r>
      <w:proofErr w:type="spellEnd"/>
      <w:r w:rsidRPr="001E71D7">
        <w:rPr>
          <w:rFonts w:ascii="Arial" w:eastAsia="Bookman Old Style" w:hAnsi="Arial" w:cs="Arial"/>
          <w:sz w:val="20"/>
          <w:szCs w:val="20"/>
        </w:rPr>
        <w:t xml:space="preserve"> Kate</w:t>
      </w:r>
      <w:r w:rsidRPr="001E71D7">
        <w:rPr>
          <w:rFonts w:ascii="Arial" w:eastAsia="Bookman Old Style" w:hAnsi="Arial" w:cs="Arial"/>
          <w:sz w:val="20"/>
          <w:szCs w:val="20"/>
        </w:rPr>
        <w:t xml:space="preserve">, </w:t>
      </w:r>
      <w:r w:rsidRPr="001E71D7">
        <w:rPr>
          <w:rFonts w:ascii="Arial" w:eastAsia="Bookman Old Style" w:hAnsi="Arial" w:cs="Arial"/>
          <w:sz w:val="20"/>
          <w:szCs w:val="20"/>
        </w:rPr>
        <w:t>Ramos, Noha</w:t>
      </w:r>
      <w:r w:rsidRPr="001E71D7">
        <w:rPr>
          <w:rFonts w:ascii="Arial" w:eastAsia="Bookman Old Style" w:hAnsi="Arial" w:cs="Arial"/>
          <w:sz w:val="20"/>
          <w:szCs w:val="20"/>
        </w:rPr>
        <w:t xml:space="preserve">, </w:t>
      </w:r>
      <w:proofErr w:type="spellStart"/>
      <w:r w:rsidRPr="001E71D7">
        <w:rPr>
          <w:rFonts w:ascii="Arial" w:eastAsia="Bookman Old Style" w:hAnsi="Arial" w:cs="Arial"/>
          <w:sz w:val="20"/>
          <w:szCs w:val="20"/>
        </w:rPr>
        <w:t>Tusoy</w:t>
      </w:r>
      <w:proofErr w:type="spellEnd"/>
      <w:r w:rsidRPr="001E71D7">
        <w:rPr>
          <w:rFonts w:ascii="Arial" w:eastAsia="Bookman Old Style" w:hAnsi="Arial" w:cs="Arial"/>
          <w:sz w:val="20"/>
          <w:szCs w:val="20"/>
        </w:rPr>
        <w:t>, Daphne Jane</w:t>
      </w:r>
      <w:r>
        <w:rPr>
          <w:rFonts w:ascii="Arial" w:eastAsia="Bookman Old Style" w:hAnsi="Arial" w:cs="Arial"/>
          <w:sz w:val="20"/>
          <w:szCs w:val="20"/>
        </w:rPr>
        <w:t xml:space="preserve">, Aires Jean E. </w:t>
      </w:r>
      <w:proofErr w:type="spellStart"/>
      <w:r>
        <w:rPr>
          <w:rFonts w:ascii="Arial" w:eastAsia="Bookman Old Style" w:hAnsi="Arial" w:cs="Arial"/>
          <w:sz w:val="20"/>
          <w:szCs w:val="20"/>
        </w:rPr>
        <w:t>Duave</w:t>
      </w:r>
      <w:proofErr w:type="spellEnd"/>
    </w:p>
    <w:p w14:paraId="471BF317" w14:textId="77777777" w:rsidR="001E71D7" w:rsidRDefault="001E71D7" w:rsidP="001E71D7">
      <w:pPr>
        <w:spacing w:after="208" w:line="240" w:lineRule="auto"/>
        <w:jc w:val="center"/>
        <w:rPr>
          <w:rFonts w:ascii="Arial" w:eastAsia="Bookman Old Style" w:hAnsi="Arial" w:cs="Arial"/>
          <w:sz w:val="20"/>
          <w:szCs w:val="20"/>
        </w:rPr>
      </w:pPr>
    </w:p>
    <w:p w14:paraId="1DBDCC91" w14:textId="06B55866" w:rsidR="001E71D7" w:rsidRDefault="001E71D7" w:rsidP="001E71D7">
      <w:pPr>
        <w:spacing w:after="0" w:line="240" w:lineRule="auto"/>
        <w:jc w:val="center"/>
        <w:rPr>
          <w:rFonts w:ascii="Arial" w:eastAsia="Bookman Old Style" w:hAnsi="Arial" w:cs="Arial"/>
          <w:sz w:val="20"/>
          <w:szCs w:val="20"/>
        </w:rPr>
      </w:pPr>
      <w:proofErr w:type="spellStart"/>
      <w:r>
        <w:rPr>
          <w:rFonts w:ascii="Arial" w:eastAsia="Bookman Old Style" w:hAnsi="Arial" w:cs="Arial"/>
          <w:sz w:val="20"/>
          <w:szCs w:val="20"/>
        </w:rPr>
        <w:t>Lantapan</w:t>
      </w:r>
      <w:proofErr w:type="spellEnd"/>
      <w:r>
        <w:rPr>
          <w:rFonts w:ascii="Arial" w:eastAsia="Bookman Old Style" w:hAnsi="Arial" w:cs="Arial"/>
          <w:sz w:val="20"/>
          <w:szCs w:val="20"/>
        </w:rPr>
        <w:t xml:space="preserve"> National High School-Senior High School</w:t>
      </w:r>
    </w:p>
    <w:p w14:paraId="68280CEF" w14:textId="02E443FE" w:rsidR="001E71D7" w:rsidRPr="001E71D7" w:rsidRDefault="001E71D7" w:rsidP="001E71D7">
      <w:pPr>
        <w:spacing w:after="0" w:line="240" w:lineRule="auto"/>
        <w:jc w:val="center"/>
        <w:rPr>
          <w:rFonts w:ascii="Arial" w:eastAsia="Bookman Old Style" w:hAnsi="Arial" w:cs="Arial"/>
          <w:sz w:val="20"/>
          <w:szCs w:val="20"/>
        </w:rPr>
      </w:pPr>
      <w:proofErr w:type="spellStart"/>
      <w:r>
        <w:rPr>
          <w:rFonts w:ascii="Arial" w:eastAsia="Bookman Old Style" w:hAnsi="Arial" w:cs="Arial"/>
          <w:sz w:val="20"/>
          <w:szCs w:val="20"/>
        </w:rPr>
        <w:t>Poblacion</w:t>
      </w:r>
      <w:proofErr w:type="spellEnd"/>
      <w:r>
        <w:rPr>
          <w:rFonts w:ascii="Arial" w:eastAsia="Bookman Old Style" w:hAnsi="Arial" w:cs="Arial"/>
          <w:sz w:val="20"/>
          <w:szCs w:val="20"/>
        </w:rPr>
        <w:t xml:space="preserve">, </w:t>
      </w:r>
      <w:proofErr w:type="spellStart"/>
      <w:r>
        <w:rPr>
          <w:rFonts w:ascii="Arial" w:eastAsia="Bookman Old Style" w:hAnsi="Arial" w:cs="Arial"/>
          <w:sz w:val="20"/>
          <w:szCs w:val="20"/>
        </w:rPr>
        <w:t>Lantapan</w:t>
      </w:r>
      <w:proofErr w:type="spellEnd"/>
      <w:r>
        <w:rPr>
          <w:rFonts w:ascii="Arial" w:eastAsia="Bookman Old Style" w:hAnsi="Arial" w:cs="Arial"/>
          <w:sz w:val="20"/>
          <w:szCs w:val="20"/>
        </w:rPr>
        <w:t>, Bukidnon</w:t>
      </w:r>
    </w:p>
    <w:p w14:paraId="40447F66" w14:textId="77777777" w:rsidR="001E71D7" w:rsidRDefault="001E71D7" w:rsidP="001E71D7">
      <w:pPr>
        <w:spacing w:after="208" w:line="480" w:lineRule="auto"/>
        <w:jc w:val="center"/>
        <w:rPr>
          <w:rFonts w:ascii="Arial" w:eastAsia="Bookman Old Style" w:hAnsi="Arial" w:cs="Arial"/>
          <w:b/>
          <w:bCs/>
          <w:sz w:val="24"/>
          <w:szCs w:val="24"/>
        </w:rPr>
      </w:pPr>
    </w:p>
    <w:p w14:paraId="30C158B1" w14:textId="1B33A955" w:rsidR="001E71D7" w:rsidRDefault="001E71D7" w:rsidP="001E71D7">
      <w:pPr>
        <w:spacing w:after="208" w:line="480" w:lineRule="auto"/>
        <w:rPr>
          <w:rFonts w:ascii="Arial" w:eastAsia="Bookman Old Style" w:hAnsi="Arial" w:cs="Arial"/>
          <w:b/>
          <w:bCs/>
          <w:sz w:val="24"/>
          <w:szCs w:val="24"/>
        </w:rPr>
      </w:pPr>
      <w:r>
        <w:rPr>
          <w:rFonts w:ascii="Arial" w:eastAsia="Bookman Old Style" w:hAnsi="Arial" w:cs="Arial"/>
          <w:b/>
          <w:bCs/>
          <w:sz w:val="24"/>
          <w:szCs w:val="24"/>
        </w:rPr>
        <w:t>Abstract</w:t>
      </w:r>
    </w:p>
    <w:p w14:paraId="4B335424" w14:textId="2878F700" w:rsidR="001E71D7" w:rsidRDefault="001E71D7" w:rsidP="001E71D7">
      <w:pPr>
        <w:ind w:firstLine="708"/>
        <w:jc w:val="both"/>
        <w:rPr>
          <w:rFonts w:ascii="Arial" w:eastAsia="Bookman Old Style" w:hAnsi="Arial" w:cs="Arial"/>
          <w:sz w:val="24"/>
          <w:szCs w:val="24"/>
        </w:rPr>
      </w:pPr>
      <w:r w:rsidRPr="001E71D7">
        <w:rPr>
          <w:rFonts w:ascii="Arial" w:eastAsia="Bookman Old Style" w:hAnsi="Arial" w:cs="Arial"/>
          <w:sz w:val="24"/>
          <w:szCs w:val="24"/>
        </w:rPr>
        <w:t>This study investigates the feasibility of utilizing Dracaena trifasciata (snake plant) fibers as an alternative raw material for eco-friendly paper bag production. A descriptive–experimental research design was employed to develop paper prototypes and evaluate their performance in terms of water absorption, biodegradability, tensile strength, and reusability, in comparison with commercially available paper bags. Results revealed that snake plant-based paper bags decomposed faster, with a mean biodegradability of 5.00 days compared to 7.00 days for commercial bags. Both materials exhibited identical water absorption capacity (2.00 mean value), indicating comparable moisture response. However, the experimental paper bags demonstrated significantly higher tensile strength (mean = 2.55, SD = 0.07) than commercial paper bags (mean = 1.25, SD = 0.03). Dimensional analysis also showed greater thickness and structural stability in the experimental samples. Inferential analysis confirmed significant differences, particularly in tensile strength (p = 0.002) and dimensional properties (p &lt; 0.05). These findings suggest that Dracaena trifasciata fibers are a viable, sustainable, and environmentally friendly alternative to conventional wood-based materials for paper bag production. The study recommends further large-scale validation and lifecycle assessment to support industrial application.</w:t>
      </w:r>
    </w:p>
    <w:p w14:paraId="34A52D51" w14:textId="77777777" w:rsidR="001E71D7" w:rsidRDefault="001E71D7" w:rsidP="001E71D7">
      <w:pPr>
        <w:ind w:firstLine="708"/>
        <w:jc w:val="both"/>
        <w:rPr>
          <w:rFonts w:ascii="Arial" w:eastAsia="Bookman Old Style" w:hAnsi="Arial" w:cs="Arial"/>
          <w:sz w:val="24"/>
          <w:szCs w:val="24"/>
        </w:rPr>
      </w:pPr>
    </w:p>
    <w:p w14:paraId="0B2FD427" w14:textId="4D4CA753" w:rsidR="001E71D7" w:rsidRDefault="001E71D7" w:rsidP="001E71D7">
      <w:pPr>
        <w:ind w:firstLine="708"/>
        <w:jc w:val="both"/>
        <w:rPr>
          <w:rFonts w:ascii="Arial" w:eastAsia="Bookman Old Style" w:hAnsi="Arial" w:cs="Arial"/>
          <w:i/>
          <w:iCs/>
        </w:rPr>
      </w:pPr>
      <w:r>
        <w:rPr>
          <w:rFonts w:ascii="Arial" w:eastAsia="Bookman Old Style" w:hAnsi="Arial" w:cs="Arial"/>
          <w:sz w:val="24"/>
          <w:szCs w:val="24"/>
        </w:rPr>
        <w:t xml:space="preserve">Keywords: </w:t>
      </w:r>
      <w:r w:rsidRPr="001E71D7">
        <w:rPr>
          <w:rFonts w:ascii="Arial" w:eastAsia="Bookman Old Style" w:hAnsi="Arial" w:cs="Arial"/>
          <w:i/>
          <w:iCs/>
        </w:rPr>
        <w:t>Dracaena trifasciata, sustainable packaging, plant fiber paper, biodegradable materials, tensile strength, eco-friendly paper bags, non-wood fibers, environmental sustainability</w:t>
      </w:r>
    </w:p>
    <w:p w14:paraId="15060DB5" w14:textId="77777777" w:rsidR="001E71D7" w:rsidRPr="001E71D7" w:rsidRDefault="001E71D7" w:rsidP="001E71D7">
      <w:pPr>
        <w:ind w:firstLine="708"/>
        <w:jc w:val="both"/>
        <w:rPr>
          <w:rFonts w:ascii="Arial" w:eastAsia="Bookman Old Style" w:hAnsi="Arial" w:cs="Arial"/>
          <w:i/>
          <w:iCs/>
        </w:rPr>
      </w:pPr>
    </w:p>
    <w:p w14:paraId="38FC4AD9" w14:textId="5AA775DC" w:rsidR="001E71D7" w:rsidRPr="001E71D7" w:rsidRDefault="001E71D7" w:rsidP="001E71D7">
      <w:pPr>
        <w:spacing w:after="208" w:line="240" w:lineRule="auto"/>
        <w:jc w:val="both"/>
        <w:rPr>
          <w:rFonts w:ascii="Arial" w:eastAsia="Bookman Old Style" w:hAnsi="Arial" w:cs="Arial"/>
          <w:b/>
          <w:bCs/>
          <w:i/>
          <w:iCs/>
          <w:sz w:val="24"/>
          <w:szCs w:val="24"/>
          <w:lang w:val="en-US"/>
        </w:rPr>
      </w:pPr>
      <w:r w:rsidRPr="001E71D7">
        <w:rPr>
          <w:rFonts w:ascii="Arial" w:eastAsia="Bookman Old Style" w:hAnsi="Arial" w:cs="Arial"/>
          <w:b/>
          <w:bCs/>
          <w:i/>
          <w:iCs/>
          <w:sz w:val="24"/>
          <w:szCs w:val="24"/>
          <w:lang w:val="en-US"/>
        </w:rPr>
        <w:t>Introduction</w:t>
      </w:r>
    </w:p>
    <w:p w14:paraId="2FF8F91A"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The increasing environmental impact of conventional packaging materials, particularly plastic bags, has intensified the global search for sustainable alternatives. Plastic waste contributes significantly to environmental degradation due to its non-biodegradable nature, persistence in ecosystems, and harmful effects on wildlife and human health. While paper bags are often considered a more sustainable option, their production still relies heavily on wood resources, contributing to deforestation and high energy consumption.</w:t>
      </w:r>
    </w:p>
    <w:p w14:paraId="12A36CD4"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 xml:space="preserve">In response to these challenges, research has increasingly focused on non-wood plant fibers as alternative raw materials for paper production. One promising candidate is </w:t>
      </w:r>
      <w:r w:rsidRPr="001E71D7">
        <w:rPr>
          <w:rFonts w:ascii="Arial" w:eastAsia="Bookman Old Style" w:hAnsi="Arial" w:cs="Arial"/>
          <w:i/>
          <w:iCs/>
          <w:sz w:val="24"/>
          <w:szCs w:val="24"/>
          <w:lang w:val="en-US"/>
        </w:rPr>
        <w:t>Dracaena trifasciata</w:t>
      </w:r>
      <w:r w:rsidRPr="001E71D7">
        <w:rPr>
          <w:rFonts w:ascii="Arial" w:eastAsia="Bookman Old Style" w:hAnsi="Arial" w:cs="Arial"/>
          <w:sz w:val="24"/>
          <w:szCs w:val="24"/>
          <w:lang w:val="en-US"/>
        </w:rPr>
        <w:t xml:space="preserve">, commonly known as the snake plant. This plant is widely available, resilient, and rich in fibrous material with potential applications in sustainable </w:t>
      </w:r>
      <w:r w:rsidRPr="001E71D7">
        <w:rPr>
          <w:rFonts w:ascii="Arial" w:eastAsia="Bookman Old Style" w:hAnsi="Arial" w:cs="Arial"/>
          <w:sz w:val="24"/>
          <w:szCs w:val="24"/>
          <w:lang w:val="en-US"/>
        </w:rPr>
        <w:lastRenderedPageBreak/>
        <w:t>manufacturing. Previous studies have highlighted the strength, durability, and biodegradability of plant-based fibers, suggesting their suitability for eco-friendly products.</w:t>
      </w:r>
    </w:p>
    <w:p w14:paraId="1BCE340B" w14:textId="292BDBFE"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Grounded in Sustainability Theory and Biomimicry Theory, this study explores the potential of snake plant fibers in producing paper bags that are both environmentally friendly and functionally competitive. Specifically, the research aims to evaluate the feasibility and performance of snake plant-based paper bags in terms of water absorption, biodegradability, tensile strength, and reusability, and to compare these properties with those of commercially available paper bags.</w:t>
      </w:r>
    </w:p>
    <w:p w14:paraId="56787C2D" w14:textId="77777777" w:rsidR="001E71D7" w:rsidRDefault="001E71D7" w:rsidP="001E71D7">
      <w:pPr>
        <w:spacing w:after="208" w:line="240" w:lineRule="auto"/>
        <w:ind w:firstLine="708"/>
        <w:jc w:val="both"/>
        <w:rPr>
          <w:rFonts w:ascii="Arial" w:eastAsia="Bookman Old Style" w:hAnsi="Arial" w:cs="Arial"/>
          <w:sz w:val="24"/>
          <w:szCs w:val="24"/>
          <w:lang w:val="en-US"/>
        </w:rPr>
      </w:pPr>
    </w:p>
    <w:p w14:paraId="2B3FD842" w14:textId="77777777" w:rsidR="001E71D7" w:rsidRDefault="001E71D7" w:rsidP="001E71D7">
      <w:pPr>
        <w:spacing w:line="480" w:lineRule="auto"/>
        <w:jc w:val="both"/>
        <w:rPr>
          <w:rFonts w:ascii="Arial" w:hAnsi="Arial" w:cs="Arial"/>
          <w:sz w:val="24"/>
          <w:szCs w:val="24"/>
        </w:rPr>
      </w:pPr>
      <w:r>
        <w:rPr>
          <w:rFonts w:ascii="Arial" w:hAnsi="Arial" w:cs="Arial"/>
          <w:sz w:val="24"/>
          <w:szCs w:val="24"/>
        </w:rPr>
        <w:t>Statement of the Problem</w:t>
      </w:r>
    </w:p>
    <w:p w14:paraId="3D544CE3" w14:textId="0B9D43D4"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This study aims to develop an eco-friendly paper bag using fiber base snake plant at </w:t>
      </w:r>
      <w:proofErr w:type="spellStart"/>
      <w:r w:rsidRPr="00B17D77">
        <w:rPr>
          <w:rFonts w:ascii="Arial" w:hAnsi="Arial" w:cs="Arial"/>
          <w:sz w:val="24"/>
          <w:szCs w:val="24"/>
        </w:rPr>
        <w:t>Lantapan</w:t>
      </w:r>
      <w:proofErr w:type="spellEnd"/>
      <w:r w:rsidRPr="00B17D77">
        <w:rPr>
          <w:rFonts w:ascii="Arial" w:hAnsi="Arial" w:cs="Arial"/>
          <w:sz w:val="24"/>
          <w:szCs w:val="24"/>
        </w:rPr>
        <w:t xml:space="preserve"> National High School Senior High School. </w:t>
      </w:r>
    </w:p>
    <w:p w14:paraId="66166EFD" w14:textId="77777777" w:rsidR="001E71D7" w:rsidRPr="00B17D77" w:rsidRDefault="001E71D7" w:rsidP="001E71D7">
      <w:pPr>
        <w:spacing w:line="240" w:lineRule="auto"/>
        <w:ind w:firstLine="720"/>
        <w:jc w:val="both"/>
        <w:rPr>
          <w:rFonts w:ascii="Arial" w:hAnsi="Arial" w:cs="Arial"/>
          <w:sz w:val="24"/>
          <w:szCs w:val="24"/>
        </w:rPr>
      </w:pPr>
      <w:r w:rsidRPr="00B17D77">
        <w:rPr>
          <w:rFonts w:ascii="Arial" w:hAnsi="Arial" w:cs="Arial"/>
          <w:sz w:val="24"/>
          <w:szCs w:val="24"/>
        </w:rPr>
        <w:t>Specifically, it seeks to answer the following questions;</w:t>
      </w:r>
    </w:p>
    <w:p w14:paraId="05ACC78A"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1. What is the feasibility level of the paper bag in terms of;</w:t>
      </w:r>
    </w:p>
    <w:p w14:paraId="506FB4A0"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a. Water absorption</w:t>
      </w:r>
    </w:p>
    <w:p w14:paraId="68714081"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b. Biodegradability</w:t>
      </w:r>
    </w:p>
    <w:p w14:paraId="5BC481A8"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c. Tensile strength</w:t>
      </w:r>
    </w:p>
    <w:p w14:paraId="1CAF0058"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d. Reusability</w:t>
      </w:r>
    </w:p>
    <w:p w14:paraId="00AD028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2. Is there a significant difference in the quality of the paper produced from Snake Plant in comparison to commercial paper bags in terms of;</w:t>
      </w:r>
    </w:p>
    <w:p w14:paraId="0847486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a. Water absorption </w:t>
      </w:r>
    </w:p>
    <w:p w14:paraId="31B1F402"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b. Biodegradability</w:t>
      </w:r>
    </w:p>
    <w:p w14:paraId="12EACC7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c. Tensile strength</w:t>
      </w:r>
    </w:p>
    <w:p w14:paraId="54B33B0D"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d. Reusability</w:t>
      </w:r>
    </w:p>
    <w:p w14:paraId="395CEF47" w14:textId="77777777" w:rsidR="001E71D7" w:rsidRPr="001E71D7" w:rsidRDefault="001E71D7" w:rsidP="001E71D7">
      <w:pPr>
        <w:spacing w:after="208" w:line="240" w:lineRule="auto"/>
        <w:ind w:firstLine="708"/>
        <w:jc w:val="both"/>
        <w:rPr>
          <w:rFonts w:ascii="Arial" w:eastAsia="Bookman Old Style" w:hAnsi="Arial" w:cs="Arial"/>
          <w:sz w:val="24"/>
          <w:szCs w:val="24"/>
          <w:lang w:val="en-US"/>
        </w:rPr>
      </w:pPr>
    </w:p>
    <w:p w14:paraId="03E36454" w14:textId="77777777" w:rsidR="001E71D7" w:rsidRDefault="001E71D7" w:rsidP="001E71D7">
      <w:pPr>
        <w:spacing w:after="208" w:line="240" w:lineRule="auto"/>
        <w:rPr>
          <w:rFonts w:ascii="Arial" w:eastAsia="Bookman Old Style" w:hAnsi="Arial" w:cs="Arial"/>
          <w:sz w:val="24"/>
          <w:szCs w:val="24"/>
          <w:lang w:val="en-US"/>
        </w:rPr>
      </w:pPr>
    </w:p>
    <w:p w14:paraId="0FAE7C3B" w14:textId="0990679B" w:rsidR="001E71D7" w:rsidRPr="001E71D7" w:rsidRDefault="001E71D7" w:rsidP="001E71D7">
      <w:pPr>
        <w:spacing w:after="208" w:line="240" w:lineRule="auto"/>
        <w:rPr>
          <w:rFonts w:ascii="Arial" w:eastAsia="Bookman Old Style" w:hAnsi="Arial" w:cs="Arial"/>
          <w:i/>
          <w:iCs/>
          <w:sz w:val="24"/>
          <w:szCs w:val="24"/>
          <w:lang w:val="en-US"/>
        </w:rPr>
      </w:pPr>
      <w:r w:rsidRPr="001E71D7">
        <w:rPr>
          <w:rFonts w:ascii="Arial" w:eastAsia="Bookman Old Style" w:hAnsi="Arial" w:cs="Arial"/>
          <w:i/>
          <w:iCs/>
          <w:sz w:val="24"/>
          <w:szCs w:val="24"/>
          <w:lang w:val="en-US"/>
        </w:rPr>
        <w:t>Methodology</w:t>
      </w:r>
    </w:p>
    <w:p w14:paraId="5EE5CAD7"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This study employed a descriptive–experimental research design to evaluate the feasibility and performance of paper bags produced from Dracaena trifasciata fibers. Mature snake plant leaves were collected, cleaned, and cut into small pieces before undergoing a boiling process in approximately 1.75 liters of water with cornstarch to soften the fibers. The softened material was then blended with the addition of baking soda to produce a uniform pulp. The pulp was molded into thin sheets using a paper molder, and excess water was removed using a sponge before air-drying under controlled conditions. Once dried, the sheets were cut and assembled into paper bags using adhesive.</w:t>
      </w:r>
    </w:p>
    <w:p w14:paraId="53F02BD4" w14:textId="57C29548"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lastRenderedPageBreak/>
        <w:t>The fabricated paper bags were subjected to a series of performance tests. Water absorption was measured using a modified Cobb test by exposing samples to a fixed volume of water and determining the change in mass. Tensile strength was assessed through a manual loading method, wherein weights were gradually applied until structural failure occurred. Biodegradability was evaluated by burying samples in soil and recording the number of days required for decomposition, while reusability was determined through repeated usage observations. Data were analyzed using descriptive statistics, including mean and standard deviation, and inferential analysis (ANOVA) was conducted to determine significant differences between experimental and commercial paper bags at a 0.05 level of significance. Ethical standards were observed throughout the study by ensuring accurate data reporting, proper citation of sources, and environmentally responsible disposal of materials.</w:t>
      </w:r>
    </w:p>
    <w:p w14:paraId="0961BF90" w14:textId="29195F2A" w:rsidR="001E71D7" w:rsidRDefault="001E71D7" w:rsidP="001E71D7">
      <w:pPr>
        <w:spacing w:after="208" w:line="240" w:lineRule="auto"/>
        <w:ind w:firstLine="708"/>
        <w:jc w:val="both"/>
        <w:rPr>
          <w:rFonts w:ascii="Arial" w:eastAsia="Bookman Old Style" w:hAnsi="Arial" w:cs="Arial"/>
          <w:sz w:val="24"/>
          <w:szCs w:val="24"/>
          <w:lang w:val="en-US"/>
        </w:rPr>
      </w:pPr>
      <w:r>
        <w:rPr>
          <w:rFonts w:ascii="Arial" w:eastAsia="Bookman Old Style" w:hAnsi="Arial" w:cs="Arial"/>
          <w:sz w:val="24"/>
          <w:szCs w:val="24"/>
          <w:lang w:val="en-US"/>
        </w:rPr>
        <w:t xml:space="preserve">                                                                                                                                                                               </w:t>
      </w:r>
    </w:p>
    <w:p w14:paraId="32967D9F" w14:textId="1BE3BCE2" w:rsidR="001E71D7" w:rsidRPr="0056057C" w:rsidRDefault="001E71D7" w:rsidP="001E71D7">
      <w:pPr>
        <w:spacing w:after="208" w:line="240" w:lineRule="auto"/>
        <w:jc w:val="both"/>
        <w:rPr>
          <w:rFonts w:ascii="Arial" w:eastAsia="Bookman Old Style" w:hAnsi="Arial" w:cs="Arial"/>
          <w:b/>
          <w:bCs/>
          <w:i/>
          <w:iCs/>
          <w:sz w:val="24"/>
          <w:szCs w:val="24"/>
          <w:lang w:val="en-US"/>
        </w:rPr>
      </w:pPr>
      <w:r w:rsidRPr="0056057C">
        <w:rPr>
          <w:rFonts w:ascii="Arial" w:eastAsia="Bookman Old Style" w:hAnsi="Arial" w:cs="Arial"/>
          <w:b/>
          <w:bCs/>
          <w:i/>
          <w:iCs/>
          <w:sz w:val="24"/>
          <w:szCs w:val="24"/>
          <w:lang w:val="en-US"/>
        </w:rPr>
        <w:t>Results and Discussion</w:t>
      </w:r>
    </w:p>
    <w:p w14:paraId="32F7285E" w14:textId="77777777" w:rsidR="001E71D7" w:rsidRDefault="001E71D7" w:rsidP="001E71D7">
      <w:pPr>
        <w:spacing w:after="208" w:line="240" w:lineRule="auto"/>
        <w:ind w:firstLine="708"/>
        <w:jc w:val="both"/>
        <w:rPr>
          <w:rFonts w:ascii="Arial" w:eastAsia="Bookman Old Style" w:hAnsi="Arial" w:cs="Arial"/>
          <w:sz w:val="24"/>
          <w:szCs w:val="24"/>
          <w:lang w:val="en-US"/>
        </w:rPr>
      </w:pPr>
    </w:p>
    <w:p w14:paraId="3A486529" w14:textId="77777777" w:rsidR="001E71D7" w:rsidRPr="001E71D7" w:rsidRDefault="001E71D7" w:rsidP="001E71D7">
      <w:pPr>
        <w:tabs>
          <w:tab w:val="left" w:pos="864"/>
        </w:tabs>
        <w:spacing w:line="480" w:lineRule="auto"/>
        <w:jc w:val="both"/>
        <w:rPr>
          <w:rFonts w:ascii="Arial" w:eastAsia="Arial" w:hAnsi="Arial" w:cs="Arial"/>
          <w:b/>
          <w:bCs/>
          <w:color w:val="242424"/>
          <w:sz w:val="24"/>
          <w:szCs w:val="24"/>
        </w:rPr>
      </w:pPr>
      <w:r w:rsidRPr="001E71D7">
        <w:rPr>
          <w:rFonts w:ascii="Arial" w:eastAsia="Arial" w:hAnsi="Arial" w:cs="Arial"/>
          <w:b/>
          <w:bCs/>
          <w:color w:val="242424"/>
          <w:sz w:val="24"/>
          <w:szCs w:val="24"/>
        </w:rPr>
        <w:t xml:space="preserve">Table 1. </w:t>
      </w:r>
    </w:p>
    <w:p w14:paraId="2E21640A" w14:textId="5C6F90EE" w:rsidR="001E71D7" w:rsidRPr="001519DF" w:rsidRDefault="001E71D7" w:rsidP="001E71D7">
      <w:pPr>
        <w:tabs>
          <w:tab w:val="left" w:pos="864"/>
        </w:tabs>
        <w:spacing w:line="240" w:lineRule="auto"/>
        <w:jc w:val="both"/>
        <w:rPr>
          <w:rFonts w:ascii="Arial" w:hAnsi="Arial" w:cs="Arial"/>
          <w:sz w:val="24"/>
          <w:szCs w:val="24"/>
        </w:rPr>
      </w:pPr>
      <w:r w:rsidRPr="00B17D77">
        <w:rPr>
          <w:rFonts w:ascii="Arial" w:eastAsia="Arial" w:hAnsi="Arial" w:cs="Arial"/>
          <w:color w:val="242424"/>
          <w:sz w:val="24"/>
          <w:szCs w:val="24"/>
        </w:rPr>
        <w:t>Qu</w:t>
      </w:r>
      <w:r w:rsidRPr="00B17D77">
        <w:rPr>
          <w:rFonts w:ascii="Arial" w:eastAsia="Arial" w:hAnsi="Arial" w:cs="Arial"/>
          <w:color w:val="000000"/>
          <w:sz w:val="24"/>
          <w:szCs w:val="24"/>
        </w:rPr>
        <w:t>ality of the paper bags produced from Snake Plant (</w:t>
      </w:r>
      <w:r w:rsidRPr="00B17D77">
        <w:rPr>
          <w:rFonts w:ascii="Arial" w:eastAsia="Arial" w:hAnsi="Arial" w:cs="Arial"/>
          <w:i/>
          <w:iCs/>
          <w:color w:val="000000"/>
          <w:sz w:val="24"/>
          <w:szCs w:val="24"/>
        </w:rPr>
        <w:t>Dracaena Trifasciata)</w:t>
      </w:r>
      <w:r w:rsidRPr="00B17D77">
        <w:rPr>
          <w:rFonts w:ascii="Arial" w:eastAsia="Arial" w:hAnsi="Arial" w:cs="Arial"/>
          <w:color w:val="000000"/>
          <w:sz w:val="24"/>
          <w:szCs w:val="24"/>
        </w:rPr>
        <w:t xml:space="preserve"> compare to commercially available ones in terms o</w:t>
      </w:r>
      <w:r>
        <w:rPr>
          <w:rFonts w:ascii="Arial" w:eastAsia="Arial" w:hAnsi="Arial" w:cs="Arial"/>
          <w:color w:val="000000"/>
          <w:sz w:val="24"/>
          <w:szCs w:val="24"/>
        </w:rPr>
        <w:t>f the following</w:t>
      </w:r>
    </w:p>
    <w:tbl>
      <w:tblPr>
        <w:tblpPr w:leftFromText="180" w:rightFromText="180" w:vertAnchor="text" w:horzAnchor="margin" w:tblpY="-28"/>
        <w:tblW w:w="8856" w:type="dxa"/>
        <w:tblBorders>
          <w:top w:val="nil"/>
          <w:left w:val="nil"/>
          <w:bottom w:val="nil"/>
          <w:right w:val="nil"/>
          <w:insideH w:val="nil"/>
          <w:insideV w:val="nil"/>
        </w:tblBorders>
        <w:tblLayout w:type="fixed"/>
        <w:tblLook w:val="0000" w:firstRow="0" w:lastRow="0" w:firstColumn="0" w:lastColumn="0" w:noHBand="0" w:noVBand="0"/>
      </w:tblPr>
      <w:tblGrid>
        <w:gridCol w:w="2726"/>
        <w:gridCol w:w="1551"/>
        <w:gridCol w:w="1005"/>
        <w:gridCol w:w="1863"/>
        <w:gridCol w:w="1711"/>
      </w:tblGrid>
      <w:tr w:rsidR="001E71D7" w:rsidRPr="00B17D77" w14:paraId="23A7D08E" w14:textId="77777777" w:rsidTr="001E71D7">
        <w:trPr>
          <w:trHeight w:val="413"/>
        </w:trPr>
        <w:tc>
          <w:tcPr>
            <w:tcW w:w="2726" w:type="dxa"/>
            <w:tcBorders>
              <w:top w:val="single" w:sz="4" w:space="0" w:color="000000"/>
            </w:tcBorders>
          </w:tcPr>
          <w:p w14:paraId="2C5C54B1" w14:textId="77777777" w:rsidR="001E71D7" w:rsidRPr="00B17D77" w:rsidRDefault="001E71D7" w:rsidP="001E71D7">
            <w:pPr>
              <w:pBdr>
                <w:top w:val="nil"/>
                <w:left w:val="nil"/>
                <w:bottom w:val="nil"/>
                <w:right w:val="nil"/>
                <w:between w:val="nil"/>
              </w:pBdr>
              <w:spacing w:after="0" w:line="240" w:lineRule="auto"/>
              <w:rPr>
                <w:rFonts w:ascii="Arial" w:hAnsi="Arial" w:cs="Arial"/>
                <w:color w:val="000000"/>
                <w:sz w:val="20"/>
                <w:szCs w:val="20"/>
              </w:rPr>
            </w:pPr>
            <w:r w:rsidRPr="00B17D77">
              <w:rPr>
                <w:rFonts w:ascii="Arial" w:eastAsia="Arial" w:hAnsi="Arial" w:cs="Arial"/>
                <w:color w:val="000000"/>
                <w:sz w:val="20"/>
                <w:szCs w:val="20"/>
              </w:rPr>
              <w:t>Test Variables</w:t>
            </w:r>
          </w:p>
        </w:tc>
        <w:tc>
          <w:tcPr>
            <w:tcW w:w="1551" w:type="dxa"/>
            <w:tcBorders>
              <w:top w:val="single" w:sz="4" w:space="0" w:color="000000"/>
              <w:bottom w:val="single" w:sz="4" w:space="0" w:color="000000"/>
            </w:tcBorders>
          </w:tcPr>
          <w:p w14:paraId="6D29C63E"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Experimental</w:t>
            </w:r>
          </w:p>
        </w:tc>
        <w:tc>
          <w:tcPr>
            <w:tcW w:w="1005" w:type="dxa"/>
            <w:tcBorders>
              <w:top w:val="single" w:sz="4" w:space="0" w:color="000000"/>
              <w:bottom w:val="single" w:sz="4" w:space="0" w:color="000000"/>
            </w:tcBorders>
          </w:tcPr>
          <w:p w14:paraId="76A72CBC"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c>
          <w:tcPr>
            <w:tcW w:w="1863" w:type="dxa"/>
            <w:tcBorders>
              <w:top w:val="single" w:sz="4" w:space="0" w:color="000000"/>
              <w:bottom w:val="single" w:sz="4" w:space="0" w:color="000000"/>
            </w:tcBorders>
          </w:tcPr>
          <w:p w14:paraId="066C1E03"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 xml:space="preserve">    Commercial</w:t>
            </w:r>
          </w:p>
        </w:tc>
        <w:tc>
          <w:tcPr>
            <w:tcW w:w="1711" w:type="dxa"/>
            <w:tcBorders>
              <w:top w:val="single" w:sz="4" w:space="0" w:color="000000"/>
              <w:bottom w:val="single" w:sz="4" w:space="0" w:color="000000"/>
            </w:tcBorders>
          </w:tcPr>
          <w:p w14:paraId="7CC81A59"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r>
      <w:tr w:rsidR="001E71D7" w:rsidRPr="00B17D77" w14:paraId="5E63645E" w14:textId="77777777" w:rsidTr="001E71D7">
        <w:trPr>
          <w:trHeight w:val="413"/>
        </w:trPr>
        <w:tc>
          <w:tcPr>
            <w:tcW w:w="2726" w:type="dxa"/>
            <w:tcBorders>
              <w:bottom w:val="single" w:sz="4" w:space="0" w:color="000000"/>
            </w:tcBorders>
          </w:tcPr>
          <w:p w14:paraId="77F893C0"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c>
          <w:tcPr>
            <w:tcW w:w="1551" w:type="dxa"/>
            <w:tcBorders>
              <w:top w:val="single" w:sz="4" w:space="0" w:color="000000"/>
              <w:bottom w:val="single" w:sz="4" w:space="0" w:color="000000"/>
            </w:tcBorders>
          </w:tcPr>
          <w:p w14:paraId="1649277C" w14:textId="77777777" w:rsidR="001E71D7" w:rsidRPr="00B17D77" w:rsidRDefault="001E71D7" w:rsidP="001E71D7">
            <w:pPr>
              <w:pBdr>
                <w:top w:val="nil"/>
                <w:left w:val="nil"/>
                <w:bottom w:val="nil"/>
                <w:right w:val="nil"/>
                <w:between w:val="nil"/>
              </w:pBdr>
              <w:spacing w:before="1" w:line="240" w:lineRule="auto"/>
              <w:ind w:left="108"/>
              <w:rPr>
                <w:rFonts w:ascii="Arial" w:hAnsi="Arial" w:cs="Arial"/>
                <w:color w:val="000000"/>
                <w:sz w:val="20"/>
                <w:szCs w:val="20"/>
              </w:rPr>
            </w:pPr>
            <w:r w:rsidRPr="00B17D77">
              <w:rPr>
                <w:rFonts w:ascii="Arial" w:eastAsia="Arial" w:hAnsi="Arial" w:cs="Arial"/>
                <w:color w:val="000000"/>
                <w:sz w:val="20"/>
                <w:szCs w:val="20"/>
              </w:rPr>
              <w:t>Mean</w:t>
            </w:r>
          </w:p>
        </w:tc>
        <w:tc>
          <w:tcPr>
            <w:tcW w:w="1005" w:type="dxa"/>
            <w:tcBorders>
              <w:top w:val="single" w:sz="4" w:space="0" w:color="000000"/>
              <w:bottom w:val="single" w:sz="4" w:space="0" w:color="000000"/>
            </w:tcBorders>
          </w:tcPr>
          <w:p w14:paraId="0F7C87E8" w14:textId="77777777" w:rsidR="001E71D7" w:rsidRPr="00B17D77" w:rsidRDefault="001E71D7" w:rsidP="001E71D7">
            <w:pPr>
              <w:pBdr>
                <w:top w:val="nil"/>
                <w:left w:val="nil"/>
                <w:bottom w:val="nil"/>
                <w:right w:val="nil"/>
                <w:between w:val="nil"/>
              </w:pBdr>
              <w:spacing w:before="1" w:line="240" w:lineRule="auto"/>
              <w:ind w:left="40"/>
              <w:rPr>
                <w:rFonts w:ascii="Arial" w:hAnsi="Arial" w:cs="Arial"/>
                <w:color w:val="000000"/>
                <w:sz w:val="20"/>
                <w:szCs w:val="20"/>
              </w:rPr>
            </w:pPr>
            <w:r w:rsidRPr="00B17D77">
              <w:rPr>
                <w:rFonts w:ascii="Arial" w:eastAsia="Arial" w:hAnsi="Arial" w:cs="Arial"/>
                <w:color w:val="000000"/>
                <w:sz w:val="20"/>
                <w:szCs w:val="20"/>
              </w:rPr>
              <w:t xml:space="preserve"> SD</w:t>
            </w:r>
          </w:p>
        </w:tc>
        <w:tc>
          <w:tcPr>
            <w:tcW w:w="1863" w:type="dxa"/>
            <w:tcBorders>
              <w:top w:val="single" w:sz="4" w:space="0" w:color="000000"/>
              <w:bottom w:val="single" w:sz="4" w:space="0" w:color="000000"/>
            </w:tcBorders>
          </w:tcPr>
          <w:p w14:paraId="37768A2D" w14:textId="77777777" w:rsidR="001E71D7" w:rsidRPr="00B17D77" w:rsidRDefault="001E71D7" w:rsidP="001E71D7">
            <w:pPr>
              <w:pBdr>
                <w:top w:val="nil"/>
                <w:left w:val="nil"/>
                <w:bottom w:val="nil"/>
                <w:right w:val="nil"/>
                <w:between w:val="nil"/>
              </w:pBdr>
              <w:spacing w:before="1" w:line="240" w:lineRule="auto"/>
              <w:ind w:left="497"/>
              <w:rPr>
                <w:rFonts w:ascii="Arial" w:hAnsi="Arial" w:cs="Arial"/>
                <w:color w:val="000000"/>
                <w:sz w:val="20"/>
                <w:szCs w:val="20"/>
              </w:rPr>
            </w:pPr>
            <w:r w:rsidRPr="00B17D77">
              <w:rPr>
                <w:rFonts w:ascii="Arial" w:eastAsia="Arial" w:hAnsi="Arial" w:cs="Arial"/>
                <w:color w:val="000000"/>
                <w:sz w:val="20"/>
                <w:szCs w:val="20"/>
              </w:rPr>
              <w:t>Mean</w:t>
            </w:r>
          </w:p>
        </w:tc>
        <w:tc>
          <w:tcPr>
            <w:tcW w:w="1711" w:type="dxa"/>
            <w:tcBorders>
              <w:top w:val="single" w:sz="4" w:space="0" w:color="000000"/>
              <w:bottom w:val="single" w:sz="4" w:space="0" w:color="000000"/>
            </w:tcBorders>
          </w:tcPr>
          <w:p w14:paraId="599FB158" w14:textId="77777777" w:rsidR="001E71D7" w:rsidRPr="00B17D77" w:rsidRDefault="001E71D7" w:rsidP="001E71D7">
            <w:pPr>
              <w:pBdr>
                <w:top w:val="nil"/>
                <w:left w:val="nil"/>
                <w:bottom w:val="nil"/>
                <w:right w:val="nil"/>
                <w:between w:val="nil"/>
              </w:pBdr>
              <w:spacing w:before="1" w:line="240" w:lineRule="auto"/>
              <w:ind w:left="83"/>
              <w:rPr>
                <w:rFonts w:ascii="Arial" w:hAnsi="Arial" w:cs="Arial"/>
                <w:color w:val="000000"/>
                <w:sz w:val="20"/>
                <w:szCs w:val="20"/>
              </w:rPr>
            </w:pPr>
            <w:r w:rsidRPr="00B17D77">
              <w:rPr>
                <w:rFonts w:ascii="Arial" w:eastAsia="Arial" w:hAnsi="Arial" w:cs="Arial"/>
                <w:color w:val="000000"/>
                <w:sz w:val="20"/>
                <w:szCs w:val="20"/>
              </w:rPr>
              <w:t>SD</w:t>
            </w:r>
          </w:p>
        </w:tc>
      </w:tr>
      <w:tr w:rsidR="001E71D7" w:rsidRPr="00B17D77" w14:paraId="60757C01" w14:textId="77777777" w:rsidTr="001E71D7">
        <w:trPr>
          <w:trHeight w:val="761"/>
        </w:trPr>
        <w:tc>
          <w:tcPr>
            <w:tcW w:w="2726" w:type="dxa"/>
            <w:tcBorders>
              <w:top w:val="single" w:sz="4" w:space="0" w:color="000000"/>
            </w:tcBorders>
          </w:tcPr>
          <w:p w14:paraId="260E5D77"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Biodegradability</w:t>
            </w:r>
          </w:p>
          <w:p w14:paraId="1024669D" w14:textId="77777777" w:rsidR="001E71D7" w:rsidRPr="00B17D77" w:rsidRDefault="001E71D7" w:rsidP="001E71D7">
            <w:pPr>
              <w:pBdr>
                <w:top w:val="nil"/>
                <w:left w:val="nil"/>
                <w:bottom w:val="nil"/>
                <w:right w:val="nil"/>
                <w:between w:val="nil"/>
              </w:pBdr>
              <w:spacing w:before="137" w:line="240" w:lineRule="auto"/>
              <w:rPr>
                <w:rFonts w:ascii="Arial" w:hAnsi="Arial" w:cs="Arial"/>
                <w:color w:val="000000"/>
                <w:sz w:val="20"/>
                <w:szCs w:val="20"/>
              </w:rPr>
            </w:pPr>
            <w:r w:rsidRPr="00B17D77">
              <w:rPr>
                <w:rFonts w:ascii="Arial" w:eastAsia="Arial" w:hAnsi="Arial" w:cs="Arial"/>
                <w:color w:val="000000"/>
                <w:sz w:val="20"/>
                <w:szCs w:val="20"/>
              </w:rPr>
              <w:t>(number of days)</w:t>
            </w:r>
          </w:p>
        </w:tc>
        <w:tc>
          <w:tcPr>
            <w:tcW w:w="1551" w:type="dxa"/>
            <w:tcBorders>
              <w:top w:val="single" w:sz="4" w:space="0" w:color="000000"/>
            </w:tcBorders>
          </w:tcPr>
          <w:p w14:paraId="5F815A58" w14:textId="77777777" w:rsidR="001E71D7" w:rsidRPr="00B17D77" w:rsidRDefault="001E71D7" w:rsidP="001E71D7">
            <w:pPr>
              <w:pBdr>
                <w:top w:val="nil"/>
                <w:left w:val="nil"/>
                <w:bottom w:val="nil"/>
                <w:right w:val="nil"/>
                <w:between w:val="nil"/>
              </w:pBdr>
              <w:spacing w:line="240" w:lineRule="auto"/>
              <w:ind w:left="108"/>
              <w:rPr>
                <w:rFonts w:ascii="Arial" w:hAnsi="Arial" w:cs="Arial"/>
                <w:color w:val="000000"/>
                <w:sz w:val="20"/>
                <w:szCs w:val="20"/>
              </w:rPr>
            </w:pPr>
            <w:r w:rsidRPr="00B17D77">
              <w:rPr>
                <w:rFonts w:ascii="Arial" w:eastAsia="Arial" w:hAnsi="Arial" w:cs="Arial"/>
                <w:color w:val="000000"/>
                <w:sz w:val="20"/>
                <w:szCs w:val="20"/>
              </w:rPr>
              <w:t>5.00</w:t>
            </w:r>
          </w:p>
        </w:tc>
        <w:tc>
          <w:tcPr>
            <w:tcW w:w="1005" w:type="dxa"/>
            <w:tcBorders>
              <w:top w:val="single" w:sz="4" w:space="0" w:color="000000"/>
            </w:tcBorders>
          </w:tcPr>
          <w:p w14:paraId="0073BC7D" w14:textId="77777777" w:rsidR="001E71D7" w:rsidRPr="00B17D77" w:rsidRDefault="001E71D7" w:rsidP="001E71D7">
            <w:pPr>
              <w:pBdr>
                <w:top w:val="nil"/>
                <w:left w:val="nil"/>
                <w:bottom w:val="nil"/>
                <w:right w:val="nil"/>
                <w:between w:val="nil"/>
              </w:pBdr>
              <w:spacing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Borders>
              <w:top w:val="single" w:sz="4" w:space="0" w:color="000000"/>
            </w:tcBorders>
          </w:tcPr>
          <w:p w14:paraId="7312A4B4" w14:textId="77777777" w:rsidR="001E71D7" w:rsidRPr="00B17D77" w:rsidRDefault="001E71D7" w:rsidP="001E71D7">
            <w:pPr>
              <w:pBdr>
                <w:top w:val="nil"/>
                <w:left w:val="nil"/>
                <w:bottom w:val="nil"/>
                <w:right w:val="nil"/>
                <w:between w:val="nil"/>
              </w:pBdr>
              <w:spacing w:line="240" w:lineRule="auto"/>
              <w:ind w:left="497"/>
              <w:rPr>
                <w:rFonts w:ascii="Arial" w:hAnsi="Arial" w:cs="Arial"/>
                <w:color w:val="000000"/>
                <w:sz w:val="20"/>
                <w:szCs w:val="20"/>
              </w:rPr>
            </w:pPr>
            <w:r w:rsidRPr="00B17D77">
              <w:rPr>
                <w:rFonts w:ascii="Arial" w:eastAsia="Arial" w:hAnsi="Arial" w:cs="Arial"/>
                <w:color w:val="000000"/>
                <w:sz w:val="20"/>
                <w:szCs w:val="20"/>
              </w:rPr>
              <w:t>7.00</w:t>
            </w:r>
          </w:p>
        </w:tc>
        <w:tc>
          <w:tcPr>
            <w:tcW w:w="1711" w:type="dxa"/>
            <w:tcBorders>
              <w:top w:val="single" w:sz="4" w:space="0" w:color="000000"/>
            </w:tcBorders>
          </w:tcPr>
          <w:p w14:paraId="2D458E6B" w14:textId="77777777" w:rsidR="001E71D7" w:rsidRPr="00B17D77" w:rsidRDefault="001E71D7" w:rsidP="001E71D7">
            <w:pPr>
              <w:pBdr>
                <w:top w:val="nil"/>
                <w:left w:val="nil"/>
                <w:bottom w:val="nil"/>
                <w:right w:val="nil"/>
                <w:between w:val="nil"/>
              </w:pBdr>
              <w:spacing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6B84F6F3" w14:textId="77777777" w:rsidTr="001E71D7">
        <w:trPr>
          <w:trHeight w:val="828"/>
        </w:trPr>
        <w:tc>
          <w:tcPr>
            <w:tcW w:w="2726" w:type="dxa"/>
          </w:tcPr>
          <w:p w14:paraId="16232A1A" w14:textId="77777777" w:rsidR="001E71D7" w:rsidRPr="00B17D77" w:rsidRDefault="001E71D7" w:rsidP="001E71D7">
            <w:pPr>
              <w:pBdr>
                <w:top w:val="nil"/>
                <w:left w:val="nil"/>
                <w:bottom w:val="nil"/>
                <w:right w:val="nil"/>
                <w:between w:val="nil"/>
              </w:pBdr>
              <w:tabs>
                <w:tab w:val="left" w:pos="1468"/>
              </w:tabs>
              <w:spacing w:before="65" w:line="240" w:lineRule="auto"/>
              <w:rPr>
                <w:rFonts w:ascii="Arial" w:hAnsi="Arial" w:cs="Arial"/>
                <w:color w:val="000000"/>
                <w:sz w:val="20"/>
                <w:szCs w:val="20"/>
              </w:rPr>
            </w:pPr>
            <w:r w:rsidRPr="00B17D77">
              <w:rPr>
                <w:rFonts w:ascii="Arial" w:eastAsia="Arial" w:hAnsi="Arial" w:cs="Arial"/>
                <w:color w:val="000000"/>
                <w:sz w:val="20"/>
                <w:szCs w:val="20"/>
              </w:rPr>
              <w:t>Water Absorption</w:t>
            </w:r>
          </w:p>
          <w:p w14:paraId="5E12E4F6" w14:textId="77777777" w:rsidR="001E71D7" w:rsidRPr="00B17D77" w:rsidRDefault="001E71D7" w:rsidP="001E71D7">
            <w:pPr>
              <w:pBdr>
                <w:top w:val="nil"/>
                <w:left w:val="nil"/>
                <w:bottom w:val="nil"/>
                <w:right w:val="nil"/>
                <w:between w:val="nil"/>
              </w:pBdr>
              <w:tabs>
                <w:tab w:val="left" w:pos="1468"/>
              </w:tabs>
              <w:spacing w:before="65" w:line="240" w:lineRule="auto"/>
              <w:rPr>
                <w:rFonts w:ascii="Arial" w:hAnsi="Arial" w:cs="Arial"/>
                <w:color w:val="000000"/>
                <w:sz w:val="20"/>
                <w:szCs w:val="20"/>
              </w:rPr>
            </w:pPr>
            <w:r w:rsidRPr="00B17D77">
              <w:rPr>
                <w:rFonts w:ascii="Arial" w:eastAsia="Arial" w:hAnsi="Arial" w:cs="Arial"/>
                <w:color w:val="000000"/>
                <w:sz w:val="20"/>
                <w:szCs w:val="20"/>
              </w:rPr>
              <w:t>Capacity (200mL/min)</w:t>
            </w:r>
          </w:p>
        </w:tc>
        <w:tc>
          <w:tcPr>
            <w:tcW w:w="1551" w:type="dxa"/>
          </w:tcPr>
          <w:p w14:paraId="15E69014"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2.00</w:t>
            </w:r>
          </w:p>
        </w:tc>
        <w:tc>
          <w:tcPr>
            <w:tcW w:w="1005" w:type="dxa"/>
          </w:tcPr>
          <w:p w14:paraId="49321985"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Pr>
          <w:p w14:paraId="2209DD62"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2.00</w:t>
            </w:r>
          </w:p>
        </w:tc>
        <w:tc>
          <w:tcPr>
            <w:tcW w:w="1711" w:type="dxa"/>
          </w:tcPr>
          <w:p w14:paraId="6F7EB8D0"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1007D700" w14:textId="77777777" w:rsidTr="001E71D7">
        <w:trPr>
          <w:trHeight w:val="415"/>
        </w:trPr>
        <w:tc>
          <w:tcPr>
            <w:tcW w:w="2726" w:type="dxa"/>
          </w:tcPr>
          <w:p w14:paraId="6702BDFD" w14:textId="77777777" w:rsidR="001E71D7" w:rsidRPr="00B17D77" w:rsidRDefault="001E71D7" w:rsidP="001E71D7">
            <w:pPr>
              <w:pBdr>
                <w:top w:val="nil"/>
                <w:left w:val="nil"/>
                <w:bottom w:val="nil"/>
                <w:right w:val="nil"/>
                <w:between w:val="nil"/>
              </w:pBdr>
              <w:spacing w:before="65" w:line="240" w:lineRule="auto"/>
              <w:rPr>
                <w:rFonts w:ascii="Arial" w:hAnsi="Arial" w:cs="Arial"/>
                <w:color w:val="000000"/>
                <w:sz w:val="20"/>
                <w:szCs w:val="20"/>
              </w:rPr>
            </w:pPr>
            <w:r w:rsidRPr="00B17D77">
              <w:rPr>
                <w:rFonts w:ascii="Arial" w:eastAsia="Arial" w:hAnsi="Arial" w:cs="Arial"/>
                <w:color w:val="000000"/>
                <w:sz w:val="20"/>
                <w:szCs w:val="20"/>
              </w:rPr>
              <w:t>Tensile Strength</w:t>
            </w:r>
          </w:p>
        </w:tc>
        <w:tc>
          <w:tcPr>
            <w:tcW w:w="1551" w:type="dxa"/>
          </w:tcPr>
          <w:p w14:paraId="6F3F7A89"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2.55</w:t>
            </w:r>
          </w:p>
        </w:tc>
        <w:tc>
          <w:tcPr>
            <w:tcW w:w="1005" w:type="dxa"/>
          </w:tcPr>
          <w:p w14:paraId="714CBBA0"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27C6CBA8"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1.25</w:t>
            </w:r>
          </w:p>
        </w:tc>
        <w:tc>
          <w:tcPr>
            <w:tcW w:w="1711" w:type="dxa"/>
          </w:tcPr>
          <w:p w14:paraId="107FC07B"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0.03</w:t>
            </w:r>
          </w:p>
        </w:tc>
      </w:tr>
      <w:tr w:rsidR="001E71D7" w:rsidRPr="00B17D77" w14:paraId="71D16A00" w14:textId="77777777" w:rsidTr="001E71D7">
        <w:trPr>
          <w:trHeight w:val="826"/>
        </w:trPr>
        <w:tc>
          <w:tcPr>
            <w:tcW w:w="2726" w:type="dxa"/>
          </w:tcPr>
          <w:p w14:paraId="17CFC3D7" w14:textId="77777777" w:rsidR="001E71D7" w:rsidRPr="00B17D77" w:rsidRDefault="001E71D7" w:rsidP="001E71D7">
            <w:pPr>
              <w:pBdr>
                <w:top w:val="nil"/>
                <w:left w:val="nil"/>
                <w:bottom w:val="nil"/>
                <w:right w:val="nil"/>
                <w:between w:val="nil"/>
              </w:pBdr>
              <w:spacing w:before="65" w:line="240" w:lineRule="auto"/>
              <w:ind w:right="1423"/>
              <w:rPr>
                <w:rFonts w:ascii="Arial" w:hAnsi="Arial" w:cs="Arial"/>
                <w:color w:val="000000"/>
                <w:sz w:val="20"/>
                <w:szCs w:val="20"/>
              </w:rPr>
            </w:pPr>
            <w:r w:rsidRPr="00B17D77">
              <w:rPr>
                <w:rFonts w:ascii="Arial" w:eastAsia="Arial" w:hAnsi="Arial" w:cs="Arial"/>
                <w:color w:val="000000"/>
                <w:sz w:val="20"/>
                <w:szCs w:val="20"/>
              </w:rPr>
              <w:t>Dimension</w:t>
            </w:r>
          </w:p>
          <w:p w14:paraId="1898C25C" w14:textId="77777777" w:rsidR="001E71D7" w:rsidRPr="00B17D77" w:rsidRDefault="001E71D7" w:rsidP="001E71D7">
            <w:pPr>
              <w:pBdr>
                <w:top w:val="nil"/>
                <w:left w:val="nil"/>
                <w:bottom w:val="nil"/>
                <w:right w:val="nil"/>
                <w:between w:val="nil"/>
              </w:pBdr>
              <w:spacing w:before="137" w:line="240" w:lineRule="auto"/>
              <w:ind w:left="77" w:right="27"/>
              <w:jc w:val="center"/>
              <w:rPr>
                <w:rFonts w:ascii="Arial" w:hAnsi="Arial" w:cs="Arial"/>
                <w:color w:val="000000"/>
                <w:sz w:val="20"/>
                <w:szCs w:val="20"/>
              </w:rPr>
            </w:pPr>
            <w:r w:rsidRPr="00B17D77">
              <w:rPr>
                <w:rFonts w:ascii="Arial" w:eastAsia="Arial" w:hAnsi="Arial" w:cs="Arial"/>
                <w:color w:val="000000"/>
                <w:sz w:val="20"/>
                <w:szCs w:val="20"/>
              </w:rPr>
              <w:t>Height</w:t>
            </w:r>
          </w:p>
        </w:tc>
        <w:tc>
          <w:tcPr>
            <w:tcW w:w="1551" w:type="dxa"/>
          </w:tcPr>
          <w:p w14:paraId="37650031"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38C51731" w14:textId="77777777" w:rsidR="001E71D7" w:rsidRPr="00B17D77" w:rsidRDefault="001E71D7" w:rsidP="001E71D7">
            <w:pPr>
              <w:pBdr>
                <w:top w:val="nil"/>
                <w:left w:val="nil"/>
                <w:bottom w:val="nil"/>
                <w:right w:val="nil"/>
                <w:between w:val="nil"/>
              </w:pBdr>
              <w:spacing w:line="240" w:lineRule="auto"/>
              <w:ind w:left="108"/>
              <w:rPr>
                <w:rFonts w:ascii="Arial" w:hAnsi="Arial" w:cs="Arial"/>
                <w:color w:val="000000"/>
                <w:sz w:val="20"/>
                <w:szCs w:val="20"/>
              </w:rPr>
            </w:pPr>
            <w:r w:rsidRPr="00B17D77">
              <w:rPr>
                <w:rFonts w:ascii="Arial" w:eastAsia="Arial" w:hAnsi="Arial" w:cs="Arial"/>
                <w:color w:val="000000"/>
                <w:sz w:val="20"/>
                <w:szCs w:val="20"/>
              </w:rPr>
              <w:t>0.55</w:t>
            </w:r>
          </w:p>
        </w:tc>
        <w:tc>
          <w:tcPr>
            <w:tcW w:w="1005" w:type="dxa"/>
          </w:tcPr>
          <w:p w14:paraId="7C177FE6"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2C92973D" w14:textId="77777777" w:rsidR="001E71D7" w:rsidRPr="00B17D77" w:rsidRDefault="001E71D7" w:rsidP="001E71D7">
            <w:pPr>
              <w:pBdr>
                <w:top w:val="nil"/>
                <w:left w:val="nil"/>
                <w:bottom w:val="nil"/>
                <w:right w:val="nil"/>
                <w:between w:val="nil"/>
              </w:pBdr>
              <w:spacing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0EC0BC3B"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1301D856" w14:textId="77777777" w:rsidR="001E71D7" w:rsidRPr="00B17D77" w:rsidRDefault="001E71D7" w:rsidP="001E71D7">
            <w:pPr>
              <w:pBdr>
                <w:top w:val="nil"/>
                <w:left w:val="nil"/>
                <w:bottom w:val="nil"/>
                <w:right w:val="nil"/>
                <w:between w:val="nil"/>
              </w:pBdr>
              <w:spacing w:line="240" w:lineRule="auto"/>
              <w:ind w:left="497"/>
              <w:rPr>
                <w:rFonts w:ascii="Arial" w:hAnsi="Arial" w:cs="Arial"/>
                <w:color w:val="000000"/>
                <w:sz w:val="20"/>
                <w:szCs w:val="20"/>
              </w:rPr>
            </w:pPr>
            <w:r w:rsidRPr="00B17D77">
              <w:rPr>
                <w:rFonts w:ascii="Arial" w:eastAsia="Arial" w:hAnsi="Arial" w:cs="Arial"/>
                <w:color w:val="000000"/>
                <w:sz w:val="20"/>
                <w:szCs w:val="20"/>
              </w:rPr>
              <w:t>0.10</w:t>
            </w:r>
          </w:p>
        </w:tc>
        <w:tc>
          <w:tcPr>
            <w:tcW w:w="1711" w:type="dxa"/>
          </w:tcPr>
          <w:p w14:paraId="48D517DC"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32012ABD" w14:textId="77777777" w:rsidR="001E71D7" w:rsidRPr="00B17D77" w:rsidRDefault="001E71D7" w:rsidP="001E71D7">
            <w:pPr>
              <w:pBdr>
                <w:top w:val="nil"/>
                <w:left w:val="nil"/>
                <w:bottom w:val="nil"/>
                <w:right w:val="nil"/>
                <w:between w:val="nil"/>
              </w:pBdr>
              <w:spacing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6C832BDE" w14:textId="77777777" w:rsidTr="001E71D7">
        <w:trPr>
          <w:trHeight w:val="413"/>
        </w:trPr>
        <w:tc>
          <w:tcPr>
            <w:tcW w:w="2726" w:type="dxa"/>
          </w:tcPr>
          <w:p w14:paraId="09DC7DEF" w14:textId="77777777" w:rsidR="001E71D7" w:rsidRPr="00B17D77" w:rsidRDefault="001E71D7" w:rsidP="001E71D7">
            <w:pPr>
              <w:pBdr>
                <w:top w:val="nil"/>
                <w:left w:val="nil"/>
                <w:bottom w:val="nil"/>
                <w:right w:val="nil"/>
                <w:between w:val="nil"/>
              </w:pBdr>
              <w:spacing w:before="64" w:line="240" w:lineRule="auto"/>
              <w:ind w:left="50" w:right="77"/>
              <w:jc w:val="center"/>
              <w:rPr>
                <w:rFonts w:ascii="Arial" w:hAnsi="Arial" w:cs="Arial"/>
                <w:color w:val="000000"/>
                <w:sz w:val="20"/>
                <w:szCs w:val="20"/>
              </w:rPr>
            </w:pPr>
            <w:r w:rsidRPr="00B17D77">
              <w:rPr>
                <w:rFonts w:ascii="Arial" w:eastAsia="Arial" w:hAnsi="Arial" w:cs="Arial"/>
                <w:color w:val="000000"/>
                <w:sz w:val="20"/>
                <w:szCs w:val="20"/>
              </w:rPr>
              <w:t>Width</w:t>
            </w:r>
          </w:p>
        </w:tc>
        <w:tc>
          <w:tcPr>
            <w:tcW w:w="1551" w:type="dxa"/>
          </w:tcPr>
          <w:p w14:paraId="6AD7FE15" w14:textId="77777777" w:rsidR="001E71D7" w:rsidRPr="00B17D77" w:rsidRDefault="001E71D7" w:rsidP="001E71D7">
            <w:pPr>
              <w:pBdr>
                <w:top w:val="nil"/>
                <w:left w:val="nil"/>
                <w:bottom w:val="nil"/>
                <w:right w:val="nil"/>
                <w:between w:val="nil"/>
              </w:pBdr>
              <w:spacing w:before="64" w:line="240" w:lineRule="auto"/>
              <w:ind w:left="108"/>
              <w:rPr>
                <w:rFonts w:ascii="Arial" w:hAnsi="Arial" w:cs="Arial"/>
                <w:color w:val="000000"/>
                <w:sz w:val="20"/>
                <w:szCs w:val="20"/>
              </w:rPr>
            </w:pPr>
            <w:r w:rsidRPr="00B17D77">
              <w:rPr>
                <w:rFonts w:ascii="Arial" w:eastAsia="Arial" w:hAnsi="Arial" w:cs="Arial"/>
                <w:color w:val="000000"/>
                <w:sz w:val="20"/>
                <w:szCs w:val="20"/>
              </w:rPr>
              <w:t>0.35</w:t>
            </w:r>
          </w:p>
        </w:tc>
        <w:tc>
          <w:tcPr>
            <w:tcW w:w="1005" w:type="dxa"/>
          </w:tcPr>
          <w:p w14:paraId="7B3B57AC" w14:textId="77777777" w:rsidR="001E71D7" w:rsidRPr="00B17D77" w:rsidRDefault="001E71D7" w:rsidP="001E71D7">
            <w:pPr>
              <w:pBdr>
                <w:top w:val="nil"/>
                <w:left w:val="nil"/>
                <w:bottom w:val="nil"/>
                <w:right w:val="nil"/>
                <w:between w:val="nil"/>
              </w:pBdr>
              <w:spacing w:before="64"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2E9F5EFE" w14:textId="77777777" w:rsidR="001E71D7" w:rsidRPr="00B17D77" w:rsidRDefault="001E71D7" w:rsidP="001E71D7">
            <w:pPr>
              <w:pBdr>
                <w:top w:val="nil"/>
                <w:left w:val="nil"/>
                <w:bottom w:val="nil"/>
                <w:right w:val="nil"/>
                <w:between w:val="nil"/>
              </w:pBdr>
              <w:spacing w:before="64" w:line="240" w:lineRule="auto"/>
              <w:ind w:left="497"/>
              <w:rPr>
                <w:rFonts w:ascii="Arial" w:hAnsi="Arial" w:cs="Arial"/>
                <w:color w:val="000000"/>
                <w:sz w:val="20"/>
                <w:szCs w:val="20"/>
              </w:rPr>
            </w:pPr>
            <w:r w:rsidRPr="00B17D77">
              <w:rPr>
                <w:rFonts w:ascii="Arial" w:eastAsia="Arial" w:hAnsi="Arial" w:cs="Arial"/>
                <w:color w:val="000000"/>
                <w:sz w:val="20"/>
                <w:szCs w:val="20"/>
              </w:rPr>
              <w:t>0.00</w:t>
            </w:r>
          </w:p>
        </w:tc>
        <w:tc>
          <w:tcPr>
            <w:tcW w:w="1711" w:type="dxa"/>
          </w:tcPr>
          <w:p w14:paraId="330BF357" w14:textId="77777777" w:rsidR="001E71D7" w:rsidRPr="00B17D77" w:rsidRDefault="001E71D7" w:rsidP="001E71D7">
            <w:pPr>
              <w:pBdr>
                <w:top w:val="nil"/>
                <w:left w:val="nil"/>
                <w:bottom w:val="nil"/>
                <w:right w:val="nil"/>
                <w:between w:val="nil"/>
              </w:pBdr>
              <w:spacing w:before="64"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5716AD47" w14:textId="77777777" w:rsidTr="001E71D7">
        <w:trPr>
          <w:trHeight w:val="480"/>
        </w:trPr>
        <w:tc>
          <w:tcPr>
            <w:tcW w:w="2726" w:type="dxa"/>
            <w:tcBorders>
              <w:bottom w:val="single" w:sz="4" w:space="0" w:color="000000"/>
            </w:tcBorders>
          </w:tcPr>
          <w:p w14:paraId="7F36C6A0" w14:textId="77777777" w:rsidR="001E71D7" w:rsidRPr="00B17D77" w:rsidRDefault="001E71D7" w:rsidP="001E71D7">
            <w:pPr>
              <w:pBdr>
                <w:top w:val="nil"/>
                <w:left w:val="nil"/>
                <w:bottom w:val="nil"/>
                <w:right w:val="nil"/>
                <w:between w:val="nil"/>
              </w:pBdr>
              <w:spacing w:before="65" w:line="240" w:lineRule="auto"/>
              <w:ind w:left="144" w:right="27"/>
              <w:jc w:val="center"/>
              <w:rPr>
                <w:rFonts w:ascii="Arial" w:hAnsi="Arial" w:cs="Arial"/>
                <w:color w:val="000000"/>
                <w:sz w:val="20"/>
                <w:szCs w:val="20"/>
              </w:rPr>
            </w:pPr>
            <w:r w:rsidRPr="00B17D77">
              <w:rPr>
                <w:rFonts w:ascii="Arial" w:eastAsia="Arial" w:hAnsi="Arial" w:cs="Arial"/>
                <w:color w:val="000000"/>
                <w:sz w:val="20"/>
                <w:szCs w:val="20"/>
              </w:rPr>
              <w:t>Gusset</w:t>
            </w:r>
          </w:p>
        </w:tc>
        <w:tc>
          <w:tcPr>
            <w:tcW w:w="1551" w:type="dxa"/>
            <w:tcBorders>
              <w:bottom w:val="single" w:sz="4" w:space="0" w:color="000000"/>
            </w:tcBorders>
          </w:tcPr>
          <w:p w14:paraId="736EE660"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0.30</w:t>
            </w:r>
          </w:p>
        </w:tc>
        <w:tc>
          <w:tcPr>
            <w:tcW w:w="1005" w:type="dxa"/>
            <w:tcBorders>
              <w:bottom w:val="single" w:sz="4" w:space="0" w:color="000000"/>
            </w:tcBorders>
          </w:tcPr>
          <w:p w14:paraId="0088F3A1"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Borders>
              <w:bottom w:val="single" w:sz="4" w:space="0" w:color="000000"/>
            </w:tcBorders>
          </w:tcPr>
          <w:p w14:paraId="20F7199E"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0.00</w:t>
            </w:r>
          </w:p>
        </w:tc>
        <w:tc>
          <w:tcPr>
            <w:tcW w:w="1711" w:type="dxa"/>
            <w:tcBorders>
              <w:bottom w:val="single" w:sz="4" w:space="0" w:color="000000"/>
            </w:tcBorders>
          </w:tcPr>
          <w:p w14:paraId="429E89BB"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bl>
    <w:p w14:paraId="19879348" w14:textId="77777777" w:rsidR="0056057C" w:rsidRDefault="001E71D7" w:rsidP="0056057C">
      <w:pPr>
        <w:tabs>
          <w:tab w:val="left" w:pos="864"/>
        </w:tabs>
        <w:spacing w:line="240" w:lineRule="auto"/>
        <w:jc w:val="both"/>
        <w:rPr>
          <w:rFonts w:ascii="Arial" w:hAnsi="Arial" w:cs="Arial"/>
          <w:sz w:val="24"/>
          <w:szCs w:val="24"/>
        </w:rPr>
      </w:pPr>
      <w:r>
        <w:rPr>
          <w:rFonts w:ascii="Arial" w:hAnsi="Arial" w:cs="Arial"/>
          <w:color w:val="000000"/>
          <w:sz w:val="24"/>
          <w:szCs w:val="24"/>
        </w:rPr>
        <w:tab/>
      </w:r>
      <w:r w:rsidR="0056057C" w:rsidRPr="0056057C">
        <w:rPr>
          <w:rFonts w:ascii="Arial" w:hAnsi="Arial" w:cs="Arial"/>
          <w:sz w:val="24"/>
          <w:szCs w:val="24"/>
        </w:rPr>
        <w:t>Table 1 presents the comparative performance of paper bags produced from Dracaena trifasciata fibers and commercially available paper bags across key quality parameters, including biodegradability, water absorption capacity, tensile strength, and dimensional properties.</w:t>
      </w:r>
    </w:p>
    <w:p w14:paraId="7798E28F"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The results indicate that the experimental paper bags exhibited superior environmental performance, as evidenced by faster biodegradation, with a mean decomposition time of 5.00 days, compared to 7.00 days for commercial paper bags. This suggests that snake plant-based paper bags have enhanced biodegradability, making them more suitable for sustainable waste management and reduced environmental impact. Rapid decomposition minimizes long-term accumulation in landfills and aligns with global efforts toward biodegradable packaging solutions.</w:t>
      </w:r>
    </w:p>
    <w:p w14:paraId="56F7B120"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lastRenderedPageBreak/>
        <w:tab/>
      </w:r>
      <w:r w:rsidRPr="0056057C">
        <w:rPr>
          <w:rFonts w:ascii="Arial" w:hAnsi="Arial" w:cs="Arial"/>
          <w:sz w:val="24"/>
          <w:szCs w:val="24"/>
        </w:rPr>
        <w:t>In terms of water absorption capacity, both experimental and commercial paper bags recorded an identical mean value of 2.00, indicating comparable resistance to moisture. This finding suggests that the incorporation of Dracaena trifasciata fibers does not compromise the paper’s ability to withstand water exposure, a critical factor for practical usability in packaging applications.</w:t>
      </w:r>
    </w:p>
    <w:p w14:paraId="772407C6"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Notably, the experimental paper bags demonstrated significantly higher tensile strength (mean = 2.55, SD = 0.07) compared to commercial paper bags (mean = 1.25, SD = 0.03), indicating enhanced durability and load-bearing capacity. This improvement in mechanical performance is further supported by the dimensional properties, where the experimental bags exhibited greater thickness and structural integrity, with higher measurements in height (0.55), width (0.35), and gusset (0.30) compared to negligible values in commercial counterparts. These results highlight the structural advantages of snake plant fibers in producing more robust and stable paper materials.</w:t>
      </w:r>
    </w:p>
    <w:p w14:paraId="547A42AA"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The observed improvements in tensile strength and structural properties can be attributed to the intrinsic fiber composition of Dracaena trifasciata. Previous studies have reported that snake plant fibers possess high cellulose content and relatively low lignin levels, which enhance fiber bonding and contribute to improved mechanical strength (Agustina &amp; Susanti, 2018). Similarly, Zaini et al. (2022) emphasized that non-wood plant fibers often exhibit superior mechanical performance due to better fiber integrity and more efficient pulp formation. These characteristics enable the formation of a denser and stronger fiber network, resulting in enhanced durability of the produced paper bags.</w:t>
      </w:r>
    </w:p>
    <w:p w14:paraId="006F71D9" w14:textId="77777777" w:rsidR="0056057C" w:rsidRDefault="0056057C" w:rsidP="0056057C">
      <w:pPr>
        <w:tabs>
          <w:tab w:val="left" w:pos="864"/>
        </w:tabs>
        <w:spacing w:line="240" w:lineRule="auto"/>
        <w:jc w:val="both"/>
        <w:rPr>
          <w:rFonts w:ascii="Arial" w:hAnsi="Arial" w:cs="Arial"/>
          <w:sz w:val="24"/>
          <w:szCs w:val="24"/>
        </w:rPr>
      </w:pPr>
      <w:r w:rsidRPr="0056057C">
        <w:rPr>
          <w:rFonts w:ascii="Arial" w:hAnsi="Arial" w:cs="Arial"/>
          <w:sz w:val="24"/>
          <w:szCs w:val="24"/>
        </w:rPr>
        <w:t xml:space="preserve">Furthermore, the utilization of snake plant fibers contributes to environmental sustainability by reducing dependence on wood-based raw materials. This aligns with the findings of </w:t>
      </w:r>
      <w:proofErr w:type="spellStart"/>
      <w:r w:rsidRPr="0056057C">
        <w:rPr>
          <w:rFonts w:ascii="Arial" w:hAnsi="Arial" w:cs="Arial"/>
          <w:sz w:val="24"/>
          <w:szCs w:val="24"/>
        </w:rPr>
        <w:t>Laftah</w:t>
      </w:r>
      <w:proofErr w:type="spellEnd"/>
      <w:r w:rsidRPr="0056057C">
        <w:rPr>
          <w:rFonts w:ascii="Arial" w:hAnsi="Arial" w:cs="Arial"/>
          <w:sz w:val="24"/>
          <w:szCs w:val="24"/>
        </w:rPr>
        <w:t xml:space="preserve"> and Rahaman (2018) and </w:t>
      </w:r>
      <w:proofErr w:type="spellStart"/>
      <w:r w:rsidRPr="0056057C">
        <w:rPr>
          <w:rFonts w:ascii="Arial" w:hAnsi="Arial" w:cs="Arial"/>
          <w:sz w:val="24"/>
          <w:szCs w:val="24"/>
        </w:rPr>
        <w:t>Mahatme</w:t>
      </w:r>
      <w:proofErr w:type="spellEnd"/>
      <w:r w:rsidRPr="0056057C">
        <w:rPr>
          <w:rFonts w:ascii="Arial" w:hAnsi="Arial" w:cs="Arial"/>
          <w:sz w:val="24"/>
          <w:szCs w:val="24"/>
        </w:rPr>
        <w:t xml:space="preserve"> et al. (2018), who highlighted the potential of non-wood fibers as viable alternatives in the pulp and paper industry. The use of agricultural or plant-based fibers not only mitigates deforestation but also promotes resource efficiency and waste valorization.</w:t>
      </w:r>
    </w:p>
    <w:p w14:paraId="1E4133AF" w14:textId="77777777" w:rsidR="0056057C" w:rsidRDefault="0056057C" w:rsidP="0056057C">
      <w:pPr>
        <w:tabs>
          <w:tab w:val="left" w:pos="864"/>
        </w:tabs>
        <w:spacing w:line="240" w:lineRule="auto"/>
        <w:jc w:val="both"/>
        <w:rPr>
          <w:rFonts w:ascii="Arial" w:hAnsi="Arial" w:cs="Arial"/>
          <w:sz w:val="24"/>
          <w:szCs w:val="24"/>
        </w:rPr>
      </w:pPr>
    </w:p>
    <w:p w14:paraId="3371E347" w14:textId="77777777" w:rsidR="0056057C" w:rsidRDefault="0056057C" w:rsidP="0056057C">
      <w:pPr>
        <w:tabs>
          <w:tab w:val="left" w:pos="864"/>
        </w:tabs>
        <w:spacing w:line="240" w:lineRule="auto"/>
        <w:jc w:val="both"/>
        <w:rPr>
          <w:rFonts w:ascii="Arial" w:hAnsi="Arial" w:cs="Arial"/>
          <w:sz w:val="24"/>
          <w:szCs w:val="24"/>
        </w:rPr>
      </w:pPr>
    </w:p>
    <w:p w14:paraId="4626920C" w14:textId="77777777" w:rsidR="0056057C" w:rsidRDefault="0056057C" w:rsidP="0056057C">
      <w:pPr>
        <w:tabs>
          <w:tab w:val="left" w:pos="864"/>
        </w:tabs>
        <w:spacing w:line="240" w:lineRule="auto"/>
        <w:jc w:val="both"/>
        <w:rPr>
          <w:rFonts w:ascii="Arial" w:hAnsi="Arial" w:cs="Arial"/>
          <w:sz w:val="24"/>
          <w:szCs w:val="24"/>
        </w:rPr>
      </w:pPr>
    </w:p>
    <w:p w14:paraId="19C3F331" w14:textId="77777777" w:rsidR="0056057C" w:rsidRDefault="0056057C" w:rsidP="0056057C">
      <w:pPr>
        <w:tabs>
          <w:tab w:val="left" w:pos="864"/>
        </w:tabs>
        <w:spacing w:line="240" w:lineRule="auto"/>
        <w:jc w:val="both"/>
        <w:rPr>
          <w:rFonts w:ascii="Arial" w:hAnsi="Arial" w:cs="Arial"/>
          <w:sz w:val="24"/>
          <w:szCs w:val="24"/>
        </w:rPr>
      </w:pPr>
    </w:p>
    <w:p w14:paraId="1E649268" w14:textId="77777777" w:rsidR="0056057C" w:rsidRDefault="0056057C" w:rsidP="0056057C">
      <w:pPr>
        <w:tabs>
          <w:tab w:val="left" w:pos="864"/>
        </w:tabs>
        <w:spacing w:line="240" w:lineRule="auto"/>
        <w:jc w:val="both"/>
        <w:rPr>
          <w:rFonts w:ascii="Arial" w:hAnsi="Arial" w:cs="Arial"/>
          <w:sz w:val="24"/>
          <w:szCs w:val="24"/>
        </w:rPr>
      </w:pPr>
    </w:p>
    <w:p w14:paraId="32BFF378" w14:textId="77777777" w:rsidR="0056057C" w:rsidRDefault="0056057C" w:rsidP="0056057C">
      <w:pPr>
        <w:tabs>
          <w:tab w:val="left" w:pos="864"/>
        </w:tabs>
        <w:spacing w:line="240" w:lineRule="auto"/>
        <w:jc w:val="both"/>
        <w:rPr>
          <w:rFonts w:ascii="Arial" w:hAnsi="Arial" w:cs="Arial"/>
          <w:sz w:val="24"/>
          <w:szCs w:val="24"/>
        </w:rPr>
      </w:pPr>
    </w:p>
    <w:p w14:paraId="4F3EA7AB" w14:textId="13515894" w:rsidR="0056057C" w:rsidRPr="0056057C" w:rsidRDefault="0056057C" w:rsidP="0056057C">
      <w:pPr>
        <w:tabs>
          <w:tab w:val="left" w:pos="864"/>
        </w:tabs>
        <w:spacing w:line="240" w:lineRule="auto"/>
        <w:jc w:val="both"/>
        <w:rPr>
          <w:rFonts w:ascii="Arial" w:hAnsi="Arial" w:cs="Arial"/>
          <w:sz w:val="24"/>
          <w:szCs w:val="24"/>
        </w:rPr>
      </w:pPr>
      <w:r w:rsidRPr="0056057C">
        <w:rPr>
          <w:rFonts w:ascii="Arial" w:eastAsia="Arial" w:hAnsi="Arial" w:cs="Arial"/>
          <w:b/>
          <w:bCs/>
          <w:color w:val="000000"/>
          <w:sz w:val="24"/>
          <w:szCs w:val="24"/>
        </w:rPr>
        <w:t xml:space="preserve">Table 2. </w:t>
      </w:r>
    </w:p>
    <w:p w14:paraId="09326901" w14:textId="2695788E" w:rsidR="0056057C" w:rsidRPr="0056057C" w:rsidRDefault="0056057C" w:rsidP="0056057C">
      <w:pPr>
        <w:pBdr>
          <w:top w:val="nil"/>
          <w:left w:val="nil"/>
          <w:bottom w:val="nil"/>
          <w:right w:val="nil"/>
          <w:between w:val="nil"/>
        </w:pBdr>
        <w:spacing w:line="240" w:lineRule="auto"/>
        <w:ind w:left="360" w:right="134"/>
        <w:rPr>
          <w:rFonts w:ascii="Arial" w:hAnsi="Arial" w:cs="Arial"/>
          <w:color w:val="000000"/>
          <w:sz w:val="24"/>
          <w:szCs w:val="24"/>
        </w:rPr>
      </w:pPr>
      <w:r w:rsidRPr="00B17D77">
        <w:rPr>
          <w:rFonts w:ascii="Arial" w:eastAsia="Arial" w:hAnsi="Arial" w:cs="Arial"/>
          <w:color w:val="000000"/>
          <w:sz w:val="24"/>
          <w:szCs w:val="24"/>
        </w:rPr>
        <w:t xml:space="preserve">Difference in the quality of the paper produced from Snake Plant </w:t>
      </w:r>
      <w:r w:rsidRPr="00B17D77">
        <w:rPr>
          <w:rFonts w:ascii="Arial" w:hAnsi="Arial" w:cs="Arial"/>
          <w:i/>
          <w:iCs/>
          <w:sz w:val="24"/>
          <w:szCs w:val="24"/>
        </w:rPr>
        <w:t>(Dracaena trifasciata)</w:t>
      </w:r>
      <w:r w:rsidRPr="00B17D77">
        <w:rPr>
          <w:rFonts w:ascii="Arial" w:eastAsia="Arial" w:hAnsi="Arial" w:cs="Arial"/>
          <w:color w:val="000000"/>
          <w:sz w:val="24"/>
          <w:szCs w:val="24"/>
        </w:rPr>
        <w:t xml:space="preserve"> compared to commercially available paper bags in terms of:</w:t>
      </w:r>
    </w:p>
    <w:tbl>
      <w:tblPr>
        <w:tblW w:w="8856" w:type="dxa"/>
        <w:tblInd w:w="259" w:type="dxa"/>
        <w:tblBorders>
          <w:top w:val="nil"/>
          <w:left w:val="nil"/>
          <w:bottom w:val="nil"/>
          <w:right w:val="nil"/>
          <w:insideH w:val="nil"/>
          <w:insideV w:val="nil"/>
        </w:tblBorders>
        <w:tblLayout w:type="fixed"/>
        <w:tblLook w:val="0000" w:firstRow="0" w:lastRow="0" w:firstColumn="0" w:lastColumn="0" w:noHBand="0" w:noVBand="0"/>
      </w:tblPr>
      <w:tblGrid>
        <w:gridCol w:w="2852"/>
        <w:gridCol w:w="1078"/>
        <w:gridCol w:w="426"/>
        <w:gridCol w:w="546"/>
        <w:gridCol w:w="1286"/>
        <w:gridCol w:w="1176"/>
        <w:gridCol w:w="1492"/>
      </w:tblGrid>
      <w:tr w:rsidR="0056057C" w:rsidRPr="00B17D77" w14:paraId="41CD75ED" w14:textId="77777777" w:rsidTr="0005398E">
        <w:trPr>
          <w:trHeight w:val="828"/>
        </w:trPr>
        <w:tc>
          <w:tcPr>
            <w:tcW w:w="2852" w:type="dxa"/>
            <w:tcBorders>
              <w:top w:val="single" w:sz="4" w:space="0" w:color="000000"/>
              <w:bottom w:val="single" w:sz="4" w:space="0" w:color="000000"/>
            </w:tcBorders>
          </w:tcPr>
          <w:p w14:paraId="6DF3020F"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Test Variables</w:t>
            </w:r>
          </w:p>
        </w:tc>
        <w:tc>
          <w:tcPr>
            <w:tcW w:w="1078" w:type="dxa"/>
            <w:tcBorders>
              <w:top w:val="single" w:sz="4" w:space="0" w:color="000000"/>
              <w:bottom w:val="single" w:sz="4" w:space="0" w:color="000000"/>
            </w:tcBorders>
          </w:tcPr>
          <w:p w14:paraId="1EA2EA38" w14:textId="77777777" w:rsidR="0056057C" w:rsidRPr="00B17D77" w:rsidRDefault="0056057C" w:rsidP="0056057C">
            <w:pPr>
              <w:pBdr>
                <w:top w:val="nil"/>
                <w:left w:val="nil"/>
                <w:bottom w:val="nil"/>
                <w:right w:val="nil"/>
                <w:between w:val="nil"/>
              </w:pBdr>
              <w:spacing w:after="0" w:line="240" w:lineRule="auto"/>
              <w:ind w:left="107"/>
              <w:rPr>
                <w:rFonts w:ascii="Arial" w:hAnsi="Arial" w:cs="Arial"/>
                <w:color w:val="000000"/>
                <w:sz w:val="20"/>
                <w:szCs w:val="20"/>
              </w:rPr>
            </w:pPr>
            <w:r w:rsidRPr="00B17D77">
              <w:rPr>
                <w:rFonts w:ascii="Arial" w:eastAsia="Arial" w:hAnsi="Arial" w:cs="Arial"/>
                <w:color w:val="000000"/>
                <w:sz w:val="20"/>
                <w:szCs w:val="20"/>
              </w:rPr>
              <w:t>Sum</w:t>
            </w:r>
          </w:p>
          <w:p w14:paraId="6B00280E" w14:textId="77777777" w:rsidR="0056057C" w:rsidRPr="00B17D77" w:rsidRDefault="0056057C" w:rsidP="0056057C">
            <w:pPr>
              <w:pBdr>
                <w:top w:val="nil"/>
                <w:left w:val="nil"/>
                <w:bottom w:val="nil"/>
                <w:right w:val="nil"/>
                <w:between w:val="nil"/>
              </w:pBdr>
              <w:spacing w:before="137" w:after="0" w:line="240" w:lineRule="auto"/>
              <w:ind w:left="107"/>
              <w:rPr>
                <w:rFonts w:ascii="Arial" w:hAnsi="Arial" w:cs="Arial"/>
                <w:color w:val="000000"/>
                <w:sz w:val="20"/>
                <w:szCs w:val="20"/>
              </w:rPr>
            </w:pPr>
            <w:r w:rsidRPr="00B17D77">
              <w:rPr>
                <w:rFonts w:ascii="Arial" w:eastAsia="Arial" w:hAnsi="Arial" w:cs="Arial"/>
                <w:color w:val="000000"/>
                <w:sz w:val="20"/>
                <w:szCs w:val="20"/>
              </w:rPr>
              <w:t>squares</w:t>
            </w:r>
          </w:p>
        </w:tc>
        <w:tc>
          <w:tcPr>
            <w:tcW w:w="426" w:type="dxa"/>
            <w:tcBorders>
              <w:top w:val="single" w:sz="4" w:space="0" w:color="000000"/>
              <w:bottom w:val="single" w:sz="4" w:space="0" w:color="000000"/>
            </w:tcBorders>
          </w:tcPr>
          <w:p w14:paraId="000D8665" w14:textId="77777777" w:rsidR="0056057C" w:rsidRPr="00B17D77" w:rsidRDefault="0056057C" w:rsidP="0056057C">
            <w:pPr>
              <w:pBdr>
                <w:top w:val="nil"/>
                <w:left w:val="nil"/>
                <w:bottom w:val="nil"/>
                <w:right w:val="nil"/>
                <w:between w:val="nil"/>
              </w:pBdr>
              <w:spacing w:after="0" w:line="240" w:lineRule="auto"/>
              <w:ind w:left="116"/>
              <w:rPr>
                <w:rFonts w:ascii="Arial" w:hAnsi="Arial" w:cs="Arial"/>
                <w:color w:val="000000"/>
                <w:sz w:val="20"/>
                <w:szCs w:val="20"/>
              </w:rPr>
            </w:pPr>
            <w:r w:rsidRPr="00B17D77">
              <w:rPr>
                <w:rFonts w:ascii="Arial" w:eastAsia="Arial" w:hAnsi="Arial" w:cs="Arial"/>
                <w:color w:val="000000"/>
                <w:sz w:val="20"/>
                <w:szCs w:val="20"/>
              </w:rPr>
              <w:t>of</w:t>
            </w:r>
          </w:p>
        </w:tc>
        <w:tc>
          <w:tcPr>
            <w:tcW w:w="546" w:type="dxa"/>
            <w:tcBorders>
              <w:top w:val="single" w:sz="4" w:space="0" w:color="000000"/>
              <w:bottom w:val="single" w:sz="4" w:space="0" w:color="000000"/>
            </w:tcBorders>
          </w:tcPr>
          <w:p w14:paraId="21E973FC"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proofErr w:type="spellStart"/>
            <w:r w:rsidRPr="00B17D77">
              <w:rPr>
                <w:rFonts w:ascii="Arial" w:eastAsia="Arial" w:hAnsi="Arial" w:cs="Arial"/>
                <w:color w:val="000000"/>
                <w:sz w:val="20"/>
                <w:szCs w:val="20"/>
              </w:rPr>
              <w:t>df</w:t>
            </w:r>
            <w:proofErr w:type="spellEnd"/>
          </w:p>
        </w:tc>
        <w:tc>
          <w:tcPr>
            <w:tcW w:w="1286" w:type="dxa"/>
            <w:tcBorders>
              <w:top w:val="single" w:sz="4" w:space="0" w:color="000000"/>
              <w:bottom w:val="single" w:sz="4" w:space="0" w:color="000000"/>
            </w:tcBorders>
          </w:tcPr>
          <w:p w14:paraId="1413533B" w14:textId="77777777" w:rsidR="0056057C" w:rsidRPr="00B17D77" w:rsidRDefault="0056057C" w:rsidP="0056057C">
            <w:pPr>
              <w:pBdr>
                <w:top w:val="nil"/>
                <w:left w:val="nil"/>
                <w:bottom w:val="nil"/>
                <w:right w:val="nil"/>
                <w:between w:val="nil"/>
              </w:pBdr>
              <w:spacing w:after="0" w:line="240" w:lineRule="auto"/>
              <w:ind w:left="236"/>
              <w:rPr>
                <w:rFonts w:ascii="Arial" w:hAnsi="Arial" w:cs="Arial"/>
                <w:color w:val="000000"/>
                <w:sz w:val="20"/>
                <w:szCs w:val="20"/>
              </w:rPr>
            </w:pPr>
            <w:r w:rsidRPr="00B17D77">
              <w:rPr>
                <w:rFonts w:ascii="Arial" w:eastAsia="Arial" w:hAnsi="Arial" w:cs="Arial"/>
                <w:color w:val="000000"/>
                <w:sz w:val="20"/>
                <w:szCs w:val="20"/>
              </w:rPr>
              <w:t>Mean</w:t>
            </w:r>
          </w:p>
          <w:p w14:paraId="446CC6E4" w14:textId="77777777" w:rsidR="0056057C" w:rsidRPr="00B17D77" w:rsidRDefault="0056057C" w:rsidP="0056057C">
            <w:pPr>
              <w:pBdr>
                <w:top w:val="nil"/>
                <w:left w:val="nil"/>
                <w:bottom w:val="nil"/>
                <w:right w:val="nil"/>
                <w:between w:val="nil"/>
              </w:pBdr>
              <w:spacing w:before="137" w:after="0" w:line="240" w:lineRule="auto"/>
              <w:ind w:left="236"/>
              <w:rPr>
                <w:rFonts w:ascii="Arial" w:hAnsi="Arial" w:cs="Arial"/>
                <w:color w:val="000000"/>
                <w:sz w:val="20"/>
                <w:szCs w:val="20"/>
              </w:rPr>
            </w:pPr>
            <w:r w:rsidRPr="00B17D77">
              <w:rPr>
                <w:rFonts w:ascii="Arial" w:eastAsia="Arial" w:hAnsi="Arial" w:cs="Arial"/>
                <w:color w:val="000000"/>
                <w:sz w:val="20"/>
                <w:szCs w:val="20"/>
              </w:rPr>
              <w:t>square</w:t>
            </w:r>
          </w:p>
        </w:tc>
        <w:tc>
          <w:tcPr>
            <w:tcW w:w="1176" w:type="dxa"/>
            <w:tcBorders>
              <w:top w:val="single" w:sz="4" w:space="0" w:color="000000"/>
              <w:bottom w:val="single" w:sz="4" w:space="0" w:color="000000"/>
            </w:tcBorders>
          </w:tcPr>
          <w:p w14:paraId="1C16E51C" w14:textId="77777777" w:rsidR="0056057C" w:rsidRPr="00B17D77" w:rsidRDefault="0056057C" w:rsidP="0056057C">
            <w:pPr>
              <w:pBdr>
                <w:top w:val="nil"/>
                <w:left w:val="nil"/>
                <w:bottom w:val="nil"/>
                <w:right w:val="nil"/>
                <w:between w:val="nil"/>
              </w:pBdr>
              <w:spacing w:after="0" w:line="240" w:lineRule="auto"/>
              <w:ind w:left="316"/>
              <w:rPr>
                <w:rFonts w:ascii="Arial" w:hAnsi="Arial" w:cs="Arial"/>
                <w:color w:val="000000"/>
                <w:sz w:val="20"/>
                <w:szCs w:val="20"/>
              </w:rPr>
            </w:pPr>
            <w:r w:rsidRPr="00B17D77">
              <w:rPr>
                <w:rFonts w:ascii="Arial" w:eastAsia="Arial" w:hAnsi="Arial" w:cs="Arial"/>
                <w:color w:val="000000"/>
                <w:sz w:val="20"/>
                <w:szCs w:val="20"/>
              </w:rPr>
              <w:t>F</w:t>
            </w:r>
          </w:p>
        </w:tc>
        <w:tc>
          <w:tcPr>
            <w:tcW w:w="1492" w:type="dxa"/>
            <w:tcBorders>
              <w:top w:val="single" w:sz="4" w:space="0" w:color="000000"/>
              <w:bottom w:val="single" w:sz="4" w:space="0" w:color="000000"/>
            </w:tcBorders>
          </w:tcPr>
          <w:p w14:paraId="35601334" w14:textId="77777777" w:rsidR="0056057C" w:rsidRPr="00B17D77" w:rsidRDefault="0056057C" w:rsidP="0056057C">
            <w:pPr>
              <w:pBdr>
                <w:top w:val="nil"/>
                <w:left w:val="nil"/>
                <w:bottom w:val="nil"/>
                <w:right w:val="nil"/>
                <w:between w:val="nil"/>
              </w:pBdr>
              <w:spacing w:after="0" w:line="240" w:lineRule="auto"/>
              <w:ind w:left="126"/>
              <w:rPr>
                <w:rFonts w:ascii="Arial" w:hAnsi="Arial" w:cs="Arial"/>
                <w:color w:val="000000"/>
                <w:sz w:val="20"/>
                <w:szCs w:val="20"/>
              </w:rPr>
            </w:pPr>
            <w:r w:rsidRPr="00B17D77">
              <w:rPr>
                <w:rFonts w:ascii="Arial" w:eastAsia="Arial" w:hAnsi="Arial" w:cs="Arial"/>
                <w:color w:val="000000"/>
                <w:sz w:val="20"/>
                <w:szCs w:val="20"/>
              </w:rPr>
              <w:t>sig</w:t>
            </w:r>
          </w:p>
        </w:tc>
      </w:tr>
      <w:tr w:rsidR="0056057C" w:rsidRPr="00B17D77" w14:paraId="38817C25" w14:textId="77777777" w:rsidTr="0005398E">
        <w:trPr>
          <w:trHeight w:val="347"/>
        </w:trPr>
        <w:tc>
          <w:tcPr>
            <w:tcW w:w="2852" w:type="dxa"/>
            <w:tcBorders>
              <w:top w:val="single" w:sz="4" w:space="0" w:color="000000"/>
            </w:tcBorders>
          </w:tcPr>
          <w:p w14:paraId="0231DC3E"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Biodegradability</w:t>
            </w:r>
          </w:p>
        </w:tc>
        <w:tc>
          <w:tcPr>
            <w:tcW w:w="1078" w:type="dxa"/>
            <w:tcBorders>
              <w:top w:val="single" w:sz="4" w:space="0" w:color="000000"/>
            </w:tcBorders>
          </w:tcPr>
          <w:p w14:paraId="4DDAF384" w14:textId="77777777" w:rsidR="0056057C" w:rsidRPr="00B17D77" w:rsidRDefault="0056057C" w:rsidP="0056057C">
            <w:pPr>
              <w:pBdr>
                <w:top w:val="nil"/>
                <w:left w:val="nil"/>
                <w:bottom w:val="nil"/>
                <w:right w:val="nil"/>
                <w:between w:val="nil"/>
              </w:pBdr>
              <w:spacing w:after="0" w:line="240" w:lineRule="auto"/>
              <w:ind w:left="107"/>
              <w:rPr>
                <w:rFonts w:ascii="Arial" w:hAnsi="Arial" w:cs="Arial"/>
                <w:color w:val="000000"/>
                <w:sz w:val="20"/>
                <w:szCs w:val="20"/>
              </w:rPr>
            </w:pPr>
            <w:r w:rsidRPr="00B17D77">
              <w:rPr>
                <w:rFonts w:ascii="Arial" w:eastAsia="Arial" w:hAnsi="Arial" w:cs="Arial"/>
                <w:color w:val="000000"/>
                <w:sz w:val="20"/>
                <w:szCs w:val="20"/>
              </w:rPr>
              <w:t>4.000</w:t>
            </w:r>
          </w:p>
        </w:tc>
        <w:tc>
          <w:tcPr>
            <w:tcW w:w="426" w:type="dxa"/>
            <w:tcBorders>
              <w:top w:val="single" w:sz="4" w:space="0" w:color="000000"/>
            </w:tcBorders>
          </w:tcPr>
          <w:p w14:paraId="63BCE33F" w14:textId="77777777" w:rsidR="0056057C" w:rsidRPr="00B17D77" w:rsidRDefault="0056057C" w:rsidP="0056057C">
            <w:pPr>
              <w:pBdr>
                <w:top w:val="nil"/>
                <w:left w:val="nil"/>
                <w:bottom w:val="nil"/>
                <w:right w:val="nil"/>
                <w:between w:val="nil"/>
              </w:pBdr>
              <w:spacing w:after="0" w:line="240" w:lineRule="auto"/>
              <w:rPr>
                <w:rFonts w:ascii="Arial" w:eastAsia="Times New Roman" w:hAnsi="Arial" w:cs="Arial"/>
                <w:color w:val="000000"/>
                <w:sz w:val="20"/>
                <w:szCs w:val="20"/>
              </w:rPr>
            </w:pPr>
          </w:p>
        </w:tc>
        <w:tc>
          <w:tcPr>
            <w:tcW w:w="546" w:type="dxa"/>
            <w:tcBorders>
              <w:top w:val="single" w:sz="4" w:space="0" w:color="000000"/>
            </w:tcBorders>
          </w:tcPr>
          <w:p w14:paraId="6066E5FD"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Borders>
              <w:top w:val="single" w:sz="4" w:space="0" w:color="000000"/>
            </w:tcBorders>
          </w:tcPr>
          <w:p w14:paraId="66920FA5" w14:textId="77777777" w:rsidR="0056057C" w:rsidRPr="00B17D77" w:rsidRDefault="0056057C" w:rsidP="0056057C">
            <w:pPr>
              <w:pBdr>
                <w:top w:val="nil"/>
                <w:left w:val="nil"/>
                <w:bottom w:val="nil"/>
                <w:right w:val="nil"/>
                <w:between w:val="nil"/>
              </w:pBdr>
              <w:spacing w:after="0" w:line="240" w:lineRule="auto"/>
              <w:ind w:left="236"/>
              <w:rPr>
                <w:rFonts w:ascii="Arial" w:hAnsi="Arial" w:cs="Arial"/>
                <w:color w:val="000000"/>
                <w:sz w:val="20"/>
                <w:szCs w:val="20"/>
              </w:rPr>
            </w:pPr>
            <w:r w:rsidRPr="00B17D77">
              <w:rPr>
                <w:rFonts w:ascii="Arial" w:eastAsia="Arial" w:hAnsi="Arial" w:cs="Arial"/>
                <w:color w:val="000000"/>
                <w:sz w:val="20"/>
                <w:szCs w:val="20"/>
              </w:rPr>
              <w:t>4.000</w:t>
            </w:r>
          </w:p>
        </w:tc>
        <w:tc>
          <w:tcPr>
            <w:tcW w:w="1176" w:type="dxa"/>
            <w:tcBorders>
              <w:top w:val="single" w:sz="4" w:space="0" w:color="000000"/>
            </w:tcBorders>
          </w:tcPr>
          <w:p w14:paraId="0C6F2CFF" w14:textId="77777777" w:rsidR="0056057C" w:rsidRPr="00B17D77" w:rsidRDefault="0056057C" w:rsidP="0056057C">
            <w:pPr>
              <w:pBdr>
                <w:top w:val="nil"/>
                <w:left w:val="nil"/>
                <w:bottom w:val="nil"/>
                <w:right w:val="nil"/>
                <w:between w:val="nil"/>
              </w:pBdr>
              <w:spacing w:after="0" w:line="240" w:lineRule="auto"/>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Borders>
              <w:top w:val="single" w:sz="4" w:space="0" w:color="000000"/>
            </w:tcBorders>
          </w:tcPr>
          <w:p w14:paraId="201DF660" w14:textId="77777777" w:rsidR="0056057C" w:rsidRPr="00B17D77" w:rsidRDefault="0056057C" w:rsidP="0056057C">
            <w:pPr>
              <w:pBdr>
                <w:top w:val="nil"/>
                <w:left w:val="nil"/>
                <w:bottom w:val="nil"/>
                <w:right w:val="nil"/>
                <w:between w:val="nil"/>
              </w:pBdr>
              <w:spacing w:after="0" w:line="240" w:lineRule="auto"/>
              <w:ind w:left="126"/>
              <w:rPr>
                <w:rFonts w:ascii="Arial" w:hAnsi="Arial" w:cs="Arial"/>
                <w:color w:val="000000"/>
                <w:sz w:val="20"/>
                <w:szCs w:val="20"/>
              </w:rPr>
            </w:pPr>
            <w:r w:rsidRPr="00B17D77">
              <w:rPr>
                <w:rFonts w:ascii="Arial" w:eastAsia="Arial" w:hAnsi="Arial" w:cs="Arial"/>
                <w:color w:val="000000"/>
                <w:sz w:val="20"/>
                <w:szCs w:val="20"/>
              </w:rPr>
              <w:t>-</w:t>
            </w:r>
          </w:p>
        </w:tc>
      </w:tr>
      <w:tr w:rsidR="0056057C" w:rsidRPr="00B17D77" w14:paraId="0112A611" w14:textId="77777777" w:rsidTr="0005398E">
        <w:trPr>
          <w:trHeight w:val="826"/>
        </w:trPr>
        <w:tc>
          <w:tcPr>
            <w:tcW w:w="2852" w:type="dxa"/>
          </w:tcPr>
          <w:p w14:paraId="5A8464EA" w14:textId="77777777" w:rsidR="0056057C" w:rsidRPr="00B17D77" w:rsidRDefault="0056057C" w:rsidP="0056057C">
            <w:pPr>
              <w:pBdr>
                <w:top w:val="nil"/>
                <w:left w:val="nil"/>
                <w:bottom w:val="nil"/>
                <w:right w:val="nil"/>
                <w:between w:val="nil"/>
              </w:pBdr>
              <w:tabs>
                <w:tab w:val="left" w:pos="1622"/>
              </w:tabs>
              <w:spacing w:before="64" w:after="0" w:line="240" w:lineRule="auto"/>
              <w:ind w:left="108"/>
              <w:rPr>
                <w:rFonts w:ascii="Arial" w:hAnsi="Arial" w:cs="Arial"/>
                <w:color w:val="000000"/>
                <w:sz w:val="20"/>
                <w:szCs w:val="20"/>
              </w:rPr>
            </w:pPr>
            <w:r w:rsidRPr="00B17D77">
              <w:rPr>
                <w:rFonts w:ascii="Arial" w:eastAsia="Arial" w:hAnsi="Arial" w:cs="Arial"/>
                <w:color w:val="000000"/>
                <w:sz w:val="20"/>
                <w:szCs w:val="20"/>
              </w:rPr>
              <w:t>Water absorption</w:t>
            </w:r>
          </w:p>
          <w:p w14:paraId="24205E2B" w14:textId="77777777" w:rsidR="0056057C" w:rsidRPr="00B17D77" w:rsidRDefault="0056057C" w:rsidP="0056057C">
            <w:pPr>
              <w:pBdr>
                <w:top w:val="nil"/>
                <w:left w:val="nil"/>
                <w:bottom w:val="nil"/>
                <w:right w:val="nil"/>
                <w:between w:val="nil"/>
              </w:pBdr>
              <w:spacing w:before="137" w:after="0" w:line="240" w:lineRule="auto"/>
              <w:ind w:left="108"/>
              <w:rPr>
                <w:rFonts w:ascii="Arial" w:hAnsi="Arial" w:cs="Arial"/>
                <w:color w:val="000000"/>
                <w:sz w:val="20"/>
                <w:szCs w:val="20"/>
              </w:rPr>
            </w:pPr>
            <w:r w:rsidRPr="00B17D77">
              <w:rPr>
                <w:rFonts w:ascii="Arial" w:eastAsia="Arial" w:hAnsi="Arial" w:cs="Arial"/>
                <w:color w:val="000000"/>
                <w:sz w:val="20"/>
                <w:szCs w:val="20"/>
              </w:rPr>
              <w:t>capacity</w:t>
            </w:r>
          </w:p>
        </w:tc>
        <w:tc>
          <w:tcPr>
            <w:tcW w:w="1078" w:type="dxa"/>
          </w:tcPr>
          <w:p w14:paraId="08C96673" w14:textId="77777777" w:rsidR="0056057C" w:rsidRPr="00B17D77" w:rsidRDefault="0056057C" w:rsidP="0056057C">
            <w:pPr>
              <w:pBdr>
                <w:top w:val="nil"/>
                <w:left w:val="nil"/>
                <w:bottom w:val="nil"/>
                <w:right w:val="nil"/>
                <w:between w:val="nil"/>
              </w:pBdr>
              <w:spacing w:before="64" w:after="0" w:line="240" w:lineRule="auto"/>
              <w:ind w:left="107"/>
              <w:rPr>
                <w:rFonts w:ascii="Arial" w:hAnsi="Arial" w:cs="Arial"/>
                <w:color w:val="000000"/>
                <w:sz w:val="20"/>
                <w:szCs w:val="20"/>
              </w:rPr>
            </w:pPr>
            <w:r w:rsidRPr="00B17D77">
              <w:rPr>
                <w:rFonts w:ascii="Arial" w:eastAsia="Arial" w:hAnsi="Arial" w:cs="Arial"/>
                <w:color w:val="000000"/>
                <w:sz w:val="20"/>
                <w:szCs w:val="20"/>
              </w:rPr>
              <w:t>0.000</w:t>
            </w:r>
          </w:p>
        </w:tc>
        <w:tc>
          <w:tcPr>
            <w:tcW w:w="426" w:type="dxa"/>
          </w:tcPr>
          <w:p w14:paraId="316C008D" w14:textId="77777777" w:rsidR="0056057C" w:rsidRPr="00B17D77" w:rsidRDefault="0056057C" w:rsidP="0056057C">
            <w:pPr>
              <w:pBdr>
                <w:top w:val="nil"/>
                <w:left w:val="nil"/>
                <w:bottom w:val="nil"/>
                <w:right w:val="nil"/>
                <w:between w:val="nil"/>
              </w:pBdr>
              <w:spacing w:after="0" w:line="240" w:lineRule="auto"/>
              <w:rPr>
                <w:rFonts w:ascii="Arial" w:eastAsia="Times New Roman" w:hAnsi="Arial" w:cs="Arial"/>
                <w:color w:val="000000"/>
                <w:sz w:val="20"/>
                <w:szCs w:val="20"/>
              </w:rPr>
            </w:pPr>
          </w:p>
        </w:tc>
        <w:tc>
          <w:tcPr>
            <w:tcW w:w="546" w:type="dxa"/>
          </w:tcPr>
          <w:p w14:paraId="175DF299" w14:textId="77777777" w:rsidR="0056057C" w:rsidRPr="00B17D77" w:rsidRDefault="0056057C" w:rsidP="0056057C">
            <w:pPr>
              <w:pBdr>
                <w:top w:val="nil"/>
                <w:left w:val="nil"/>
                <w:bottom w:val="nil"/>
                <w:right w:val="nil"/>
                <w:between w:val="nil"/>
              </w:pBdr>
              <w:spacing w:before="64" w:after="0" w:line="240" w:lineRule="auto"/>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0A30951A" w14:textId="77777777" w:rsidR="0056057C" w:rsidRPr="00B17D77" w:rsidRDefault="0056057C" w:rsidP="0056057C">
            <w:pPr>
              <w:pBdr>
                <w:top w:val="nil"/>
                <w:left w:val="nil"/>
                <w:bottom w:val="nil"/>
                <w:right w:val="nil"/>
                <w:between w:val="nil"/>
              </w:pBdr>
              <w:spacing w:before="64" w:after="0" w:line="240" w:lineRule="auto"/>
              <w:ind w:left="236"/>
              <w:rPr>
                <w:rFonts w:ascii="Arial" w:hAnsi="Arial" w:cs="Arial"/>
                <w:color w:val="000000"/>
                <w:sz w:val="20"/>
                <w:szCs w:val="20"/>
              </w:rPr>
            </w:pPr>
            <w:r w:rsidRPr="00B17D77">
              <w:rPr>
                <w:rFonts w:ascii="Arial" w:eastAsia="Arial" w:hAnsi="Arial" w:cs="Arial"/>
                <w:color w:val="000000"/>
                <w:sz w:val="20"/>
                <w:szCs w:val="20"/>
              </w:rPr>
              <w:t>0.000</w:t>
            </w:r>
          </w:p>
        </w:tc>
        <w:tc>
          <w:tcPr>
            <w:tcW w:w="1176" w:type="dxa"/>
          </w:tcPr>
          <w:p w14:paraId="04D4BECC" w14:textId="77777777" w:rsidR="0056057C" w:rsidRPr="00B17D77" w:rsidRDefault="0056057C" w:rsidP="0056057C">
            <w:pPr>
              <w:pBdr>
                <w:top w:val="nil"/>
                <w:left w:val="nil"/>
                <w:bottom w:val="nil"/>
                <w:right w:val="nil"/>
                <w:between w:val="nil"/>
              </w:pBdr>
              <w:spacing w:before="64" w:after="0" w:line="240" w:lineRule="auto"/>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Pr>
          <w:p w14:paraId="70A83BFF" w14:textId="77777777" w:rsidR="0056057C" w:rsidRPr="00B17D77" w:rsidRDefault="0056057C" w:rsidP="0056057C">
            <w:pPr>
              <w:pBdr>
                <w:top w:val="nil"/>
                <w:left w:val="nil"/>
                <w:bottom w:val="nil"/>
                <w:right w:val="nil"/>
                <w:between w:val="nil"/>
              </w:pBdr>
              <w:spacing w:before="64" w:after="0" w:line="240" w:lineRule="auto"/>
              <w:ind w:left="126"/>
              <w:rPr>
                <w:rFonts w:ascii="Arial" w:hAnsi="Arial" w:cs="Arial"/>
                <w:color w:val="000000"/>
                <w:sz w:val="20"/>
                <w:szCs w:val="20"/>
              </w:rPr>
            </w:pPr>
            <w:r w:rsidRPr="00B17D77">
              <w:rPr>
                <w:rFonts w:ascii="Arial" w:eastAsia="Arial" w:hAnsi="Arial" w:cs="Arial"/>
                <w:color w:val="000000"/>
                <w:sz w:val="20"/>
                <w:szCs w:val="20"/>
              </w:rPr>
              <w:t>-</w:t>
            </w:r>
          </w:p>
        </w:tc>
      </w:tr>
      <w:tr w:rsidR="0056057C" w:rsidRPr="00B17D77" w14:paraId="2BC58091" w14:textId="77777777" w:rsidTr="0005398E">
        <w:trPr>
          <w:trHeight w:val="415"/>
        </w:trPr>
        <w:tc>
          <w:tcPr>
            <w:tcW w:w="2852" w:type="dxa"/>
          </w:tcPr>
          <w:p w14:paraId="43799A8A"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Tensile Strength</w:t>
            </w:r>
          </w:p>
        </w:tc>
        <w:tc>
          <w:tcPr>
            <w:tcW w:w="1078" w:type="dxa"/>
          </w:tcPr>
          <w:p w14:paraId="2B2A7B19" w14:textId="77777777" w:rsidR="0056057C" w:rsidRPr="00B17D77" w:rsidRDefault="0056057C" w:rsidP="0056057C">
            <w:pPr>
              <w:pBdr>
                <w:top w:val="nil"/>
                <w:left w:val="nil"/>
                <w:bottom w:val="nil"/>
                <w:right w:val="nil"/>
                <w:between w:val="nil"/>
              </w:pBdr>
              <w:spacing w:before="65" w:after="0" w:line="20" w:lineRule="atLeast"/>
              <w:ind w:left="107"/>
              <w:rPr>
                <w:rFonts w:ascii="Arial" w:hAnsi="Arial" w:cs="Arial"/>
                <w:color w:val="000000"/>
                <w:sz w:val="20"/>
                <w:szCs w:val="20"/>
              </w:rPr>
            </w:pPr>
            <w:r w:rsidRPr="00B17D77">
              <w:rPr>
                <w:rFonts w:ascii="Arial" w:eastAsia="Arial" w:hAnsi="Arial" w:cs="Arial"/>
                <w:color w:val="000000"/>
                <w:sz w:val="20"/>
                <w:szCs w:val="20"/>
              </w:rPr>
              <w:t>1.69</w:t>
            </w:r>
          </w:p>
        </w:tc>
        <w:tc>
          <w:tcPr>
            <w:tcW w:w="426" w:type="dxa"/>
          </w:tcPr>
          <w:p w14:paraId="17C140A8"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6BDA26F3"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2B1521C7" w14:textId="77777777" w:rsidR="0056057C" w:rsidRPr="00B17D77" w:rsidRDefault="0056057C" w:rsidP="0056057C">
            <w:pPr>
              <w:pBdr>
                <w:top w:val="nil"/>
                <w:left w:val="nil"/>
                <w:bottom w:val="nil"/>
                <w:right w:val="nil"/>
                <w:between w:val="nil"/>
              </w:pBdr>
              <w:spacing w:before="65" w:after="0" w:line="20" w:lineRule="atLeast"/>
              <w:ind w:left="236"/>
              <w:rPr>
                <w:rFonts w:ascii="Arial" w:hAnsi="Arial" w:cs="Arial"/>
                <w:color w:val="000000"/>
                <w:sz w:val="20"/>
                <w:szCs w:val="20"/>
              </w:rPr>
            </w:pPr>
            <w:r w:rsidRPr="00B17D77">
              <w:rPr>
                <w:rFonts w:ascii="Arial" w:eastAsia="Arial" w:hAnsi="Arial" w:cs="Arial"/>
                <w:color w:val="000000"/>
                <w:sz w:val="20"/>
                <w:szCs w:val="20"/>
              </w:rPr>
              <w:t>1.69</w:t>
            </w:r>
          </w:p>
        </w:tc>
        <w:tc>
          <w:tcPr>
            <w:tcW w:w="1176" w:type="dxa"/>
          </w:tcPr>
          <w:p w14:paraId="64BD9F8A" w14:textId="77777777" w:rsidR="0056057C" w:rsidRPr="00B17D77" w:rsidRDefault="0056057C" w:rsidP="0056057C">
            <w:pPr>
              <w:pBdr>
                <w:top w:val="nil"/>
                <w:left w:val="nil"/>
                <w:bottom w:val="nil"/>
                <w:right w:val="nil"/>
                <w:between w:val="nil"/>
              </w:pBdr>
              <w:spacing w:before="65" w:after="0" w:line="20" w:lineRule="atLeast"/>
              <w:ind w:left="316"/>
              <w:rPr>
                <w:rFonts w:ascii="Arial" w:hAnsi="Arial" w:cs="Arial"/>
                <w:color w:val="000000"/>
                <w:sz w:val="20"/>
                <w:szCs w:val="20"/>
              </w:rPr>
            </w:pPr>
            <w:r w:rsidRPr="00B17D77">
              <w:rPr>
                <w:rFonts w:ascii="Arial" w:eastAsia="Arial" w:hAnsi="Arial" w:cs="Arial"/>
                <w:color w:val="000000"/>
                <w:sz w:val="20"/>
                <w:szCs w:val="20"/>
              </w:rPr>
              <w:t>582.76</w:t>
            </w:r>
          </w:p>
        </w:tc>
        <w:tc>
          <w:tcPr>
            <w:tcW w:w="1492" w:type="dxa"/>
          </w:tcPr>
          <w:p w14:paraId="599E5F93" w14:textId="77777777" w:rsidR="0056057C" w:rsidRPr="00B17D77" w:rsidRDefault="0056057C" w:rsidP="0056057C">
            <w:pPr>
              <w:pBdr>
                <w:top w:val="nil"/>
                <w:left w:val="nil"/>
                <w:bottom w:val="nil"/>
                <w:right w:val="nil"/>
                <w:between w:val="nil"/>
              </w:pBdr>
              <w:spacing w:before="65" w:after="0" w:line="20" w:lineRule="atLeast"/>
              <w:ind w:left="126"/>
              <w:rPr>
                <w:rFonts w:ascii="Arial" w:hAnsi="Arial" w:cs="Arial"/>
                <w:color w:val="000000"/>
                <w:sz w:val="20"/>
                <w:szCs w:val="20"/>
              </w:rPr>
            </w:pPr>
            <w:r w:rsidRPr="00B17D77">
              <w:rPr>
                <w:rFonts w:ascii="Arial" w:eastAsia="Arial" w:hAnsi="Arial" w:cs="Arial"/>
                <w:color w:val="000000"/>
                <w:sz w:val="20"/>
                <w:szCs w:val="20"/>
              </w:rPr>
              <w:t>0.002</w:t>
            </w:r>
          </w:p>
        </w:tc>
      </w:tr>
      <w:tr w:rsidR="0056057C" w:rsidRPr="00B17D77" w14:paraId="011B87EE" w14:textId="77777777" w:rsidTr="0005398E">
        <w:trPr>
          <w:trHeight w:val="826"/>
        </w:trPr>
        <w:tc>
          <w:tcPr>
            <w:tcW w:w="2852" w:type="dxa"/>
          </w:tcPr>
          <w:p w14:paraId="52E1FF4F" w14:textId="77777777" w:rsidR="0056057C" w:rsidRPr="00B17D77" w:rsidRDefault="0056057C" w:rsidP="0056057C">
            <w:pPr>
              <w:pBdr>
                <w:top w:val="nil"/>
                <w:left w:val="nil"/>
                <w:bottom w:val="nil"/>
                <w:right w:val="nil"/>
                <w:between w:val="nil"/>
              </w:pBdr>
              <w:spacing w:before="65" w:after="0" w:line="20" w:lineRule="atLeast"/>
              <w:ind w:right="1499"/>
              <w:jc w:val="center"/>
              <w:rPr>
                <w:rFonts w:ascii="Arial" w:hAnsi="Arial" w:cs="Arial"/>
                <w:color w:val="000000"/>
                <w:sz w:val="20"/>
                <w:szCs w:val="20"/>
              </w:rPr>
            </w:pPr>
            <w:r w:rsidRPr="00B17D77">
              <w:rPr>
                <w:rFonts w:ascii="Arial" w:eastAsia="Arial" w:hAnsi="Arial" w:cs="Arial"/>
                <w:color w:val="000000"/>
                <w:sz w:val="20"/>
                <w:szCs w:val="20"/>
              </w:rPr>
              <w:lastRenderedPageBreak/>
              <w:t>Dimension</w:t>
            </w:r>
          </w:p>
          <w:p w14:paraId="430C6239" w14:textId="77777777" w:rsidR="0056057C" w:rsidRPr="00B17D77" w:rsidRDefault="0056057C" w:rsidP="0056057C">
            <w:pPr>
              <w:pBdr>
                <w:top w:val="nil"/>
                <w:left w:val="nil"/>
                <w:bottom w:val="nil"/>
                <w:right w:val="nil"/>
                <w:between w:val="nil"/>
              </w:pBdr>
              <w:spacing w:before="137" w:after="0" w:line="20" w:lineRule="atLeast"/>
              <w:ind w:left="80" w:right="153"/>
              <w:jc w:val="center"/>
              <w:rPr>
                <w:rFonts w:ascii="Arial" w:hAnsi="Arial" w:cs="Arial"/>
                <w:color w:val="000000"/>
                <w:sz w:val="20"/>
                <w:szCs w:val="20"/>
              </w:rPr>
            </w:pPr>
            <w:r w:rsidRPr="00B17D77">
              <w:rPr>
                <w:rFonts w:ascii="Arial" w:eastAsia="Arial" w:hAnsi="Arial" w:cs="Arial"/>
                <w:color w:val="000000"/>
                <w:sz w:val="20"/>
                <w:szCs w:val="20"/>
              </w:rPr>
              <w:t>Height</w:t>
            </w:r>
          </w:p>
        </w:tc>
        <w:tc>
          <w:tcPr>
            <w:tcW w:w="1078" w:type="dxa"/>
          </w:tcPr>
          <w:p w14:paraId="4D210D75"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080E18CD" w14:textId="77777777" w:rsidR="0056057C" w:rsidRPr="00B17D77" w:rsidRDefault="0056057C" w:rsidP="0056057C">
            <w:pPr>
              <w:pBdr>
                <w:top w:val="nil"/>
                <w:left w:val="nil"/>
                <w:bottom w:val="nil"/>
                <w:right w:val="nil"/>
                <w:between w:val="nil"/>
              </w:pBdr>
              <w:spacing w:after="0" w:line="20" w:lineRule="atLeast"/>
              <w:ind w:left="107"/>
              <w:rPr>
                <w:rFonts w:ascii="Arial" w:hAnsi="Arial" w:cs="Arial"/>
                <w:color w:val="000000"/>
                <w:sz w:val="20"/>
                <w:szCs w:val="20"/>
              </w:rPr>
            </w:pPr>
            <w:r w:rsidRPr="00B17D77">
              <w:rPr>
                <w:rFonts w:ascii="Arial" w:eastAsia="Arial" w:hAnsi="Arial" w:cs="Arial"/>
                <w:color w:val="000000"/>
                <w:sz w:val="20"/>
                <w:szCs w:val="20"/>
              </w:rPr>
              <w:t>0.203</w:t>
            </w:r>
          </w:p>
        </w:tc>
        <w:tc>
          <w:tcPr>
            <w:tcW w:w="426" w:type="dxa"/>
          </w:tcPr>
          <w:p w14:paraId="1FDA150A"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0C65ECB0"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3D35DD6D" w14:textId="77777777" w:rsidR="0056057C" w:rsidRPr="00B17D77" w:rsidRDefault="0056057C" w:rsidP="0056057C">
            <w:pPr>
              <w:pBdr>
                <w:top w:val="nil"/>
                <w:left w:val="nil"/>
                <w:bottom w:val="nil"/>
                <w:right w:val="nil"/>
                <w:between w:val="nil"/>
              </w:pBdr>
              <w:spacing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567C6EFF"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7EBB02A7" w14:textId="77777777" w:rsidR="0056057C" w:rsidRPr="00B17D77" w:rsidRDefault="0056057C" w:rsidP="0056057C">
            <w:pPr>
              <w:pBdr>
                <w:top w:val="nil"/>
                <w:left w:val="nil"/>
                <w:bottom w:val="nil"/>
                <w:right w:val="nil"/>
                <w:between w:val="nil"/>
              </w:pBdr>
              <w:spacing w:after="0" w:line="20" w:lineRule="atLeast"/>
              <w:ind w:left="236"/>
              <w:rPr>
                <w:rFonts w:ascii="Arial" w:hAnsi="Arial" w:cs="Arial"/>
                <w:color w:val="000000"/>
                <w:sz w:val="20"/>
                <w:szCs w:val="20"/>
              </w:rPr>
            </w:pPr>
            <w:r w:rsidRPr="00B17D77">
              <w:rPr>
                <w:rFonts w:ascii="Arial" w:eastAsia="Arial" w:hAnsi="Arial" w:cs="Arial"/>
                <w:color w:val="000000"/>
                <w:sz w:val="20"/>
                <w:szCs w:val="20"/>
              </w:rPr>
              <w:t>0.203</w:t>
            </w:r>
          </w:p>
        </w:tc>
        <w:tc>
          <w:tcPr>
            <w:tcW w:w="1176" w:type="dxa"/>
          </w:tcPr>
          <w:p w14:paraId="6761AE96"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29739C51" w14:textId="77777777" w:rsidR="0056057C" w:rsidRPr="00B17D77" w:rsidRDefault="0056057C" w:rsidP="0056057C">
            <w:pPr>
              <w:pBdr>
                <w:top w:val="nil"/>
                <w:left w:val="nil"/>
                <w:bottom w:val="nil"/>
                <w:right w:val="nil"/>
                <w:between w:val="nil"/>
              </w:pBdr>
              <w:spacing w:after="0" w:line="20" w:lineRule="atLeast"/>
              <w:ind w:left="316"/>
              <w:rPr>
                <w:rFonts w:ascii="Arial" w:hAnsi="Arial" w:cs="Arial"/>
                <w:color w:val="000000"/>
                <w:sz w:val="20"/>
                <w:szCs w:val="20"/>
              </w:rPr>
            </w:pPr>
            <w:r w:rsidRPr="00B17D77">
              <w:rPr>
                <w:rFonts w:ascii="Arial" w:eastAsia="Arial" w:hAnsi="Arial" w:cs="Arial"/>
                <w:color w:val="000000"/>
                <w:sz w:val="20"/>
                <w:szCs w:val="20"/>
              </w:rPr>
              <w:t>81.000</w:t>
            </w:r>
          </w:p>
        </w:tc>
        <w:tc>
          <w:tcPr>
            <w:tcW w:w="1492" w:type="dxa"/>
          </w:tcPr>
          <w:p w14:paraId="53409183"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6F1B305E" w14:textId="77777777" w:rsidR="0056057C" w:rsidRPr="00B17D77" w:rsidRDefault="0056057C" w:rsidP="0056057C">
            <w:pPr>
              <w:pBdr>
                <w:top w:val="nil"/>
                <w:left w:val="nil"/>
                <w:bottom w:val="nil"/>
                <w:right w:val="nil"/>
                <w:between w:val="nil"/>
              </w:pBdr>
              <w:spacing w:after="0" w:line="20" w:lineRule="atLeast"/>
              <w:ind w:left="126"/>
              <w:rPr>
                <w:rFonts w:ascii="Arial" w:hAnsi="Arial" w:cs="Arial"/>
                <w:color w:val="000000"/>
                <w:sz w:val="20"/>
                <w:szCs w:val="20"/>
              </w:rPr>
            </w:pPr>
            <w:r w:rsidRPr="00B17D77">
              <w:rPr>
                <w:rFonts w:ascii="Arial" w:eastAsia="Arial" w:hAnsi="Arial" w:cs="Arial"/>
                <w:color w:val="000000"/>
                <w:sz w:val="20"/>
                <w:szCs w:val="20"/>
              </w:rPr>
              <w:t>0.012</w:t>
            </w:r>
          </w:p>
        </w:tc>
      </w:tr>
      <w:tr w:rsidR="0056057C" w:rsidRPr="00B17D77" w14:paraId="5DEEBB22" w14:textId="77777777" w:rsidTr="0005398E">
        <w:trPr>
          <w:trHeight w:val="413"/>
        </w:trPr>
        <w:tc>
          <w:tcPr>
            <w:tcW w:w="2852" w:type="dxa"/>
          </w:tcPr>
          <w:p w14:paraId="183A59A7" w14:textId="77777777" w:rsidR="0056057C" w:rsidRPr="00B17D77" w:rsidRDefault="0056057C" w:rsidP="0056057C">
            <w:pPr>
              <w:pBdr>
                <w:top w:val="nil"/>
                <w:left w:val="nil"/>
                <w:bottom w:val="nil"/>
                <w:right w:val="nil"/>
                <w:between w:val="nil"/>
              </w:pBdr>
              <w:spacing w:before="64" w:after="0" w:line="20" w:lineRule="atLeast"/>
              <w:ind w:right="153"/>
              <w:jc w:val="center"/>
              <w:rPr>
                <w:rFonts w:ascii="Arial" w:hAnsi="Arial" w:cs="Arial"/>
                <w:color w:val="000000"/>
                <w:sz w:val="20"/>
                <w:szCs w:val="20"/>
              </w:rPr>
            </w:pPr>
            <w:r w:rsidRPr="00B17D77">
              <w:rPr>
                <w:rFonts w:ascii="Arial" w:eastAsia="Arial" w:hAnsi="Arial" w:cs="Arial"/>
                <w:color w:val="000000"/>
                <w:sz w:val="20"/>
                <w:szCs w:val="20"/>
              </w:rPr>
              <w:t>Width</w:t>
            </w:r>
          </w:p>
        </w:tc>
        <w:tc>
          <w:tcPr>
            <w:tcW w:w="1078" w:type="dxa"/>
          </w:tcPr>
          <w:p w14:paraId="118E2B3F" w14:textId="77777777" w:rsidR="0056057C" w:rsidRPr="00B17D77" w:rsidRDefault="0056057C" w:rsidP="0056057C">
            <w:pPr>
              <w:pBdr>
                <w:top w:val="nil"/>
                <w:left w:val="nil"/>
                <w:bottom w:val="nil"/>
                <w:right w:val="nil"/>
                <w:between w:val="nil"/>
              </w:pBdr>
              <w:spacing w:before="64" w:after="0" w:line="20" w:lineRule="atLeast"/>
              <w:ind w:left="107"/>
              <w:rPr>
                <w:rFonts w:ascii="Arial" w:hAnsi="Arial" w:cs="Arial"/>
                <w:color w:val="000000"/>
                <w:sz w:val="20"/>
                <w:szCs w:val="20"/>
              </w:rPr>
            </w:pPr>
            <w:r w:rsidRPr="00B17D77">
              <w:rPr>
                <w:rFonts w:ascii="Arial" w:eastAsia="Arial" w:hAnsi="Arial" w:cs="Arial"/>
                <w:color w:val="000000"/>
                <w:sz w:val="20"/>
                <w:szCs w:val="20"/>
              </w:rPr>
              <w:t>0.122</w:t>
            </w:r>
          </w:p>
        </w:tc>
        <w:tc>
          <w:tcPr>
            <w:tcW w:w="426" w:type="dxa"/>
          </w:tcPr>
          <w:p w14:paraId="161DCB1F"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10061B13" w14:textId="77777777" w:rsidR="0056057C" w:rsidRPr="00B17D77" w:rsidRDefault="0056057C" w:rsidP="0056057C">
            <w:pPr>
              <w:pBdr>
                <w:top w:val="nil"/>
                <w:left w:val="nil"/>
                <w:bottom w:val="nil"/>
                <w:right w:val="nil"/>
                <w:between w:val="nil"/>
              </w:pBdr>
              <w:spacing w:before="64"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55496993" w14:textId="77777777" w:rsidR="0056057C" w:rsidRPr="00B17D77" w:rsidRDefault="0056057C" w:rsidP="0056057C">
            <w:pPr>
              <w:pBdr>
                <w:top w:val="nil"/>
                <w:left w:val="nil"/>
                <w:bottom w:val="nil"/>
                <w:right w:val="nil"/>
                <w:between w:val="nil"/>
              </w:pBdr>
              <w:spacing w:before="64" w:after="0" w:line="20" w:lineRule="atLeast"/>
              <w:ind w:left="236"/>
              <w:rPr>
                <w:rFonts w:ascii="Arial" w:hAnsi="Arial" w:cs="Arial"/>
                <w:color w:val="000000"/>
                <w:sz w:val="20"/>
                <w:szCs w:val="20"/>
              </w:rPr>
            </w:pPr>
            <w:r w:rsidRPr="00B17D77">
              <w:rPr>
                <w:rFonts w:ascii="Arial" w:eastAsia="Arial" w:hAnsi="Arial" w:cs="Arial"/>
                <w:color w:val="000000"/>
                <w:sz w:val="20"/>
                <w:szCs w:val="20"/>
              </w:rPr>
              <w:t>0.122</w:t>
            </w:r>
          </w:p>
        </w:tc>
        <w:tc>
          <w:tcPr>
            <w:tcW w:w="1176" w:type="dxa"/>
          </w:tcPr>
          <w:p w14:paraId="7C642166" w14:textId="77777777" w:rsidR="0056057C" w:rsidRPr="00B17D77" w:rsidRDefault="0056057C" w:rsidP="0056057C">
            <w:pPr>
              <w:pBdr>
                <w:top w:val="nil"/>
                <w:left w:val="nil"/>
                <w:bottom w:val="nil"/>
                <w:right w:val="nil"/>
                <w:between w:val="nil"/>
              </w:pBdr>
              <w:spacing w:before="64" w:after="0" w:line="20" w:lineRule="atLeast"/>
              <w:ind w:left="316"/>
              <w:rPr>
                <w:rFonts w:ascii="Arial" w:hAnsi="Arial" w:cs="Arial"/>
                <w:color w:val="000000"/>
                <w:sz w:val="20"/>
                <w:szCs w:val="20"/>
              </w:rPr>
            </w:pPr>
            <w:r w:rsidRPr="00B17D77">
              <w:rPr>
                <w:rFonts w:ascii="Arial" w:eastAsia="Arial" w:hAnsi="Arial" w:cs="Arial"/>
                <w:color w:val="000000"/>
                <w:sz w:val="20"/>
                <w:szCs w:val="20"/>
              </w:rPr>
              <w:t>49.000</w:t>
            </w:r>
          </w:p>
        </w:tc>
        <w:tc>
          <w:tcPr>
            <w:tcW w:w="1492" w:type="dxa"/>
          </w:tcPr>
          <w:p w14:paraId="28624B47" w14:textId="77777777" w:rsidR="0056057C" w:rsidRPr="00B17D77" w:rsidRDefault="0056057C" w:rsidP="0056057C">
            <w:pPr>
              <w:pBdr>
                <w:top w:val="nil"/>
                <w:left w:val="nil"/>
                <w:bottom w:val="nil"/>
                <w:right w:val="nil"/>
                <w:between w:val="nil"/>
              </w:pBdr>
              <w:spacing w:before="64" w:after="0" w:line="20" w:lineRule="atLeast"/>
              <w:ind w:left="126"/>
              <w:rPr>
                <w:rFonts w:ascii="Arial" w:hAnsi="Arial" w:cs="Arial"/>
                <w:color w:val="000000"/>
                <w:sz w:val="20"/>
                <w:szCs w:val="20"/>
              </w:rPr>
            </w:pPr>
            <w:r w:rsidRPr="00B17D77">
              <w:rPr>
                <w:rFonts w:ascii="Arial" w:eastAsia="Arial" w:hAnsi="Arial" w:cs="Arial"/>
                <w:color w:val="000000"/>
                <w:sz w:val="20"/>
                <w:szCs w:val="20"/>
              </w:rPr>
              <w:t>0.020</w:t>
            </w:r>
          </w:p>
        </w:tc>
      </w:tr>
      <w:tr w:rsidR="0056057C" w:rsidRPr="00B17D77" w14:paraId="2CFADC72" w14:textId="77777777" w:rsidTr="0005398E">
        <w:trPr>
          <w:trHeight w:val="480"/>
        </w:trPr>
        <w:tc>
          <w:tcPr>
            <w:tcW w:w="2852" w:type="dxa"/>
            <w:tcBorders>
              <w:bottom w:val="single" w:sz="4" w:space="0" w:color="000000"/>
            </w:tcBorders>
          </w:tcPr>
          <w:p w14:paraId="2A8DE71D" w14:textId="77777777" w:rsidR="0056057C" w:rsidRPr="00B17D77" w:rsidRDefault="0056057C" w:rsidP="0056057C">
            <w:pPr>
              <w:pBdr>
                <w:top w:val="nil"/>
                <w:left w:val="nil"/>
                <w:bottom w:val="nil"/>
                <w:right w:val="nil"/>
                <w:between w:val="nil"/>
              </w:pBdr>
              <w:spacing w:before="65" w:after="0" w:line="20" w:lineRule="atLeast"/>
              <w:ind w:left="278" w:right="153"/>
              <w:jc w:val="center"/>
              <w:rPr>
                <w:rFonts w:ascii="Arial" w:hAnsi="Arial" w:cs="Arial"/>
                <w:color w:val="000000"/>
                <w:sz w:val="20"/>
                <w:szCs w:val="20"/>
              </w:rPr>
            </w:pPr>
            <w:r w:rsidRPr="00B17D77">
              <w:rPr>
                <w:rFonts w:ascii="Arial" w:eastAsia="Arial" w:hAnsi="Arial" w:cs="Arial"/>
                <w:color w:val="000000"/>
                <w:sz w:val="20"/>
                <w:szCs w:val="20"/>
              </w:rPr>
              <w:t>Gusset</w:t>
            </w:r>
          </w:p>
        </w:tc>
        <w:tc>
          <w:tcPr>
            <w:tcW w:w="1078" w:type="dxa"/>
            <w:tcBorders>
              <w:bottom w:val="single" w:sz="4" w:space="0" w:color="000000"/>
            </w:tcBorders>
          </w:tcPr>
          <w:p w14:paraId="20E7FC42" w14:textId="77777777" w:rsidR="0056057C" w:rsidRPr="00B17D77" w:rsidRDefault="0056057C" w:rsidP="0056057C">
            <w:pPr>
              <w:pBdr>
                <w:top w:val="nil"/>
                <w:left w:val="nil"/>
                <w:bottom w:val="nil"/>
                <w:right w:val="nil"/>
                <w:between w:val="nil"/>
              </w:pBdr>
              <w:spacing w:before="65" w:after="0" w:line="20" w:lineRule="atLeast"/>
              <w:ind w:left="107"/>
              <w:rPr>
                <w:rFonts w:ascii="Arial" w:hAnsi="Arial" w:cs="Arial"/>
                <w:color w:val="000000"/>
                <w:sz w:val="20"/>
                <w:szCs w:val="20"/>
              </w:rPr>
            </w:pPr>
            <w:r w:rsidRPr="00B17D77">
              <w:rPr>
                <w:rFonts w:ascii="Arial" w:eastAsia="Arial" w:hAnsi="Arial" w:cs="Arial"/>
                <w:color w:val="000000"/>
                <w:sz w:val="20"/>
                <w:szCs w:val="20"/>
              </w:rPr>
              <w:t>0.90</w:t>
            </w:r>
          </w:p>
        </w:tc>
        <w:tc>
          <w:tcPr>
            <w:tcW w:w="426" w:type="dxa"/>
            <w:tcBorders>
              <w:bottom w:val="single" w:sz="4" w:space="0" w:color="000000"/>
            </w:tcBorders>
          </w:tcPr>
          <w:p w14:paraId="7EC536B5"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Borders>
              <w:bottom w:val="single" w:sz="4" w:space="0" w:color="000000"/>
            </w:tcBorders>
          </w:tcPr>
          <w:p w14:paraId="6ED0A993"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Borders>
              <w:bottom w:val="single" w:sz="4" w:space="0" w:color="000000"/>
            </w:tcBorders>
          </w:tcPr>
          <w:p w14:paraId="560654ED" w14:textId="77777777" w:rsidR="0056057C" w:rsidRPr="00B17D77" w:rsidRDefault="0056057C" w:rsidP="0056057C">
            <w:pPr>
              <w:pBdr>
                <w:top w:val="nil"/>
                <w:left w:val="nil"/>
                <w:bottom w:val="nil"/>
                <w:right w:val="nil"/>
                <w:between w:val="nil"/>
              </w:pBdr>
              <w:spacing w:before="65" w:after="0" w:line="20" w:lineRule="atLeast"/>
              <w:ind w:left="236"/>
              <w:rPr>
                <w:rFonts w:ascii="Arial" w:hAnsi="Arial" w:cs="Arial"/>
                <w:color w:val="000000"/>
                <w:sz w:val="20"/>
                <w:szCs w:val="20"/>
              </w:rPr>
            </w:pPr>
            <w:r w:rsidRPr="00B17D77">
              <w:rPr>
                <w:rFonts w:ascii="Arial" w:eastAsia="Arial" w:hAnsi="Arial" w:cs="Arial"/>
                <w:color w:val="000000"/>
                <w:sz w:val="20"/>
                <w:szCs w:val="20"/>
              </w:rPr>
              <w:t>0.90</w:t>
            </w:r>
          </w:p>
        </w:tc>
        <w:tc>
          <w:tcPr>
            <w:tcW w:w="1176" w:type="dxa"/>
            <w:tcBorders>
              <w:bottom w:val="single" w:sz="4" w:space="0" w:color="000000"/>
            </w:tcBorders>
          </w:tcPr>
          <w:p w14:paraId="4BF4F0EC" w14:textId="77777777" w:rsidR="0056057C" w:rsidRPr="00B17D77" w:rsidRDefault="0056057C" w:rsidP="0056057C">
            <w:pPr>
              <w:pBdr>
                <w:top w:val="nil"/>
                <w:left w:val="nil"/>
                <w:bottom w:val="nil"/>
                <w:right w:val="nil"/>
                <w:between w:val="nil"/>
              </w:pBdr>
              <w:spacing w:before="65" w:after="0" w:line="20" w:lineRule="atLeast"/>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Borders>
              <w:bottom w:val="single" w:sz="4" w:space="0" w:color="000000"/>
            </w:tcBorders>
          </w:tcPr>
          <w:p w14:paraId="0ECB6BFF"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r>
    </w:tbl>
    <w:p w14:paraId="2EE7CDD8" w14:textId="77777777" w:rsidR="0056057C" w:rsidRPr="00B17D77" w:rsidRDefault="0056057C" w:rsidP="0056057C">
      <w:pPr>
        <w:pBdr>
          <w:top w:val="nil"/>
          <w:left w:val="nil"/>
          <w:bottom w:val="nil"/>
          <w:right w:val="nil"/>
          <w:between w:val="nil"/>
        </w:pBdr>
        <w:spacing w:line="240" w:lineRule="auto"/>
        <w:ind w:left="360"/>
        <w:rPr>
          <w:rFonts w:ascii="Arial" w:hAnsi="Arial" w:cs="Arial"/>
          <w:color w:val="000000"/>
          <w:sz w:val="20"/>
          <w:szCs w:val="20"/>
        </w:rPr>
      </w:pPr>
      <w:r w:rsidRPr="00B17D77">
        <w:rPr>
          <w:rFonts w:ascii="Arial" w:eastAsia="Arial" w:hAnsi="Arial" w:cs="Arial"/>
          <w:color w:val="000000"/>
          <w:sz w:val="20"/>
          <w:szCs w:val="20"/>
        </w:rPr>
        <w:t>*</w:t>
      </w:r>
      <w:proofErr w:type="gramStart"/>
      <w:r w:rsidRPr="00B17D77">
        <w:rPr>
          <w:rFonts w:ascii="Arial" w:eastAsia="Arial" w:hAnsi="Arial" w:cs="Arial"/>
          <w:color w:val="000000"/>
          <w:sz w:val="20"/>
          <w:szCs w:val="20"/>
        </w:rPr>
        <w:t>significant</w:t>
      </w:r>
      <w:proofErr w:type="gramEnd"/>
      <w:r w:rsidRPr="00B17D77">
        <w:rPr>
          <w:rFonts w:ascii="Arial" w:eastAsia="Arial" w:hAnsi="Arial" w:cs="Arial"/>
          <w:color w:val="000000"/>
          <w:sz w:val="20"/>
          <w:szCs w:val="20"/>
        </w:rPr>
        <w:t xml:space="preserve"> if p&lt;0.05</w:t>
      </w:r>
    </w:p>
    <w:p w14:paraId="6FCB3760" w14:textId="77777777" w:rsidR="0056057C" w:rsidRPr="00B17D77" w:rsidRDefault="0056057C" w:rsidP="001E71D7">
      <w:pPr>
        <w:pStyle w:val="NoSpacing"/>
        <w:ind w:firstLine="360"/>
        <w:jc w:val="both"/>
        <w:rPr>
          <w:sz w:val="24"/>
          <w:szCs w:val="24"/>
        </w:rPr>
      </w:pPr>
    </w:p>
    <w:p w14:paraId="05DD4BDD"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Table 2 presents the inferential statistical analysis comparing the experimental and commercial paper bags. The results reveal statistically significant differences in key performance indicators, particularly in tensile strength (F = 582.76, p = 0.002), height (p = 0.012), and width (p = 0.020), all of which are below the 0.05 significance level. These findings confirm that the observed improvements in mechanical and structural properties of snake plant-based paper bags are not due to chance but are statistically significant.</w:t>
      </w:r>
    </w:p>
    <w:p w14:paraId="0FB66E32"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While biodegradability and water absorption were measured, they did not yield inferential statistical values due to uniformity in results (zero standard deviation). Nevertheless, their descriptive outcomes remain important, particularly the enhanced biodegradability of the experimental samples, which reinforces their environmental advantage.</w:t>
      </w:r>
    </w:p>
    <w:p w14:paraId="3B69F9AF"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The significant improvements in tensile strength and dimensional stability can be explained by the unique fiber morphology of snake plant leaves. These fibers contain a higher proportion of fine, well-bonding cellulose structures, which enhance inter-fiber cohesion and result in a more compact and resilient paper matrix. In contrast, conventional wood-based paper often contains higher lignin content, which can interfere with fiber bonding and reduce overall strength. As supported by Leon (2019), plant-based specialty papers derived from leaf fibers are often more durable and environmentally sustainable due to their renewable nature and favorable fiber composition.</w:t>
      </w:r>
    </w:p>
    <w:p w14:paraId="520797D1" w14:textId="07113D51" w:rsidR="001E71D7"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Overall, the results demonstrate that paper bags produced from Dracaena trifasciata fibers are not only environmentally advantageous but also mechanically superior to commercially available paper bags. These findings validate the potential of snake plant fibers as a sustainable and high-performance alternative in paper bag production, contributing to the advancement of eco-friendly packaging technologies.</w:t>
      </w:r>
    </w:p>
    <w:p w14:paraId="3901E4D7"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p>
    <w:p w14:paraId="64A5EBE0" w14:textId="7048EEE6"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r w:rsidRPr="0056057C">
        <w:rPr>
          <w:rFonts w:ascii="Arial" w:eastAsia="Arial" w:hAnsi="Arial" w:cs="Arial"/>
          <w:b/>
          <w:bCs/>
          <w:color w:val="000000"/>
          <w:sz w:val="24"/>
          <w:szCs w:val="24"/>
          <w:lang w:val="en-US"/>
        </w:rPr>
        <w:t>Conclusion</w:t>
      </w:r>
    </w:p>
    <w:p w14:paraId="4C56CA83"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This study confirms that </w:t>
      </w:r>
      <w:r w:rsidRPr="0056057C">
        <w:rPr>
          <w:rFonts w:ascii="Arial" w:eastAsia="Arial" w:hAnsi="Arial" w:cs="Arial"/>
          <w:i/>
          <w:iCs/>
          <w:color w:val="000000"/>
          <w:sz w:val="24"/>
          <w:szCs w:val="24"/>
          <w:lang w:val="en-US"/>
        </w:rPr>
        <w:t>Dracaena trifasciata</w:t>
      </w:r>
      <w:r w:rsidRPr="0056057C">
        <w:rPr>
          <w:rFonts w:ascii="Arial" w:eastAsia="Arial" w:hAnsi="Arial" w:cs="Arial"/>
          <w:color w:val="000000"/>
          <w:sz w:val="24"/>
          <w:szCs w:val="24"/>
          <w:lang w:val="en-US"/>
        </w:rPr>
        <w:t xml:space="preserve"> fibers are a viable and sustainable alternative for paper bag production. The developed paper bags demonstrated superior tensile strength, faster biodegradability, and comparable water resistance relative to commercial paper bags. These properties position snake plant fibers as a promising non-wood resource for eco-friendly packaging solutions.</w:t>
      </w:r>
    </w:p>
    <w:p w14:paraId="38A3F123"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r w:rsidRPr="0056057C">
        <w:rPr>
          <w:rFonts w:ascii="Arial" w:eastAsia="Arial" w:hAnsi="Arial" w:cs="Arial"/>
          <w:b/>
          <w:bCs/>
          <w:color w:val="000000"/>
          <w:sz w:val="24"/>
          <w:szCs w:val="24"/>
          <w:lang w:val="en-US"/>
        </w:rPr>
        <w:t>Recommendations</w:t>
      </w:r>
    </w:p>
    <w:p w14:paraId="046694A0"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To strengthen and expand the application of this research, the following are recommended:</w:t>
      </w:r>
    </w:p>
    <w:p w14:paraId="6E60677C"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Conduct large-scale production trials to evaluate industrial feasibility. </w:t>
      </w:r>
    </w:p>
    <w:p w14:paraId="036EE415"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Perform lifecycle assessment (LCA) to quantify environmental impact. </w:t>
      </w:r>
    </w:p>
    <w:p w14:paraId="5030999F"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Explore optimization of fiber processing techniques for improved efficiency. </w:t>
      </w:r>
    </w:p>
    <w:p w14:paraId="7382581A"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lastRenderedPageBreak/>
        <w:t xml:space="preserve">Investigate economic viability and market acceptance of snake plant-based products. </w:t>
      </w:r>
    </w:p>
    <w:p w14:paraId="6A7ADA80"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Expand research to include other non-wood fibers for comparative analysis.</w:t>
      </w:r>
    </w:p>
    <w:p w14:paraId="6D80AF51"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p>
    <w:p w14:paraId="6FE33B34" w14:textId="2D9FBC7B"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Pr>
          <w:rFonts w:ascii="Arial" w:eastAsia="Arial" w:hAnsi="Arial" w:cs="Arial"/>
          <w:color w:val="000000"/>
          <w:sz w:val="24"/>
          <w:szCs w:val="24"/>
          <w:lang w:val="en-US"/>
        </w:rPr>
        <w:t>References:</w:t>
      </w:r>
    </w:p>
    <w:p w14:paraId="3FDFF4FD"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Adeniyi, A. G., Adeoye, S. A., &amp; </w:t>
      </w:r>
      <w:proofErr w:type="spellStart"/>
      <w:r w:rsidRPr="005A0B38">
        <w:rPr>
          <w:rFonts w:ascii="Arial" w:eastAsia="Arial" w:hAnsi="Arial" w:cs="Arial"/>
          <w:color w:val="000000"/>
          <w:sz w:val="24"/>
          <w:szCs w:val="24"/>
          <w:lang w:val="en-US"/>
        </w:rPr>
        <w:t>Ighalo</w:t>
      </w:r>
      <w:proofErr w:type="spellEnd"/>
      <w:r w:rsidRPr="005A0B38">
        <w:rPr>
          <w:rFonts w:ascii="Arial" w:eastAsia="Arial" w:hAnsi="Arial" w:cs="Arial"/>
          <w:color w:val="000000"/>
          <w:sz w:val="24"/>
          <w:szCs w:val="24"/>
          <w:lang w:val="en-US"/>
        </w:rPr>
        <w:t xml:space="preserve">, J. O. (2020). Sansevieria trifasciata </w:t>
      </w:r>
      <w:proofErr w:type="spellStart"/>
      <w:r w:rsidRPr="005A0B38">
        <w:rPr>
          <w:rFonts w:ascii="Arial" w:eastAsia="Arial" w:hAnsi="Arial" w:cs="Arial"/>
          <w:color w:val="000000"/>
          <w:sz w:val="24"/>
          <w:szCs w:val="24"/>
          <w:lang w:val="en-US"/>
        </w:rPr>
        <w:t>fibre</w:t>
      </w:r>
      <w:proofErr w:type="spellEnd"/>
      <w:r w:rsidRPr="005A0B38">
        <w:rPr>
          <w:rFonts w:ascii="Arial" w:eastAsia="Arial" w:hAnsi="Arial" w:cs="Arial"/>
          <w:color w:val="000000"/>
          <w:sz w:val="24"/>
          <w:szCs w:val="24"/>
          <w:lang w:val="en-US"/>
        </w:rPr>
        <w:t xml:space="preserve"> and composites: a review of recent developments. International Polymer Processing, 35(4), 344-354.</w:t>
      </w:r>
    </w:p>
    <w:p w14:paraId="0DC65CE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Adli, M. H. Z., Sharil, M. A. M., &amp; Nawi, A. A. (2023). Paper Bag Production Using Banana Stem Via Kraft Pulping Process. Multidisciplinary Applied Research and Innovation, 4(3), 164-70.</w:t>
      </w:r>
    </w:p>
    <w:p w14:paraId="0DE6352D"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Chalashkanov, N. M., Dodd, S. J., Zheng, H., &amp; Fothergill, J. C. (2012). Influence of water absorption in flexible epoxy resins on the space charge </w:t>
      </w:r>
      <w:proofErr w:type="spellStart"/>
      <w:r w:rsidRPr="005A0B38">
        <w:rPr>
          <w:rFonts w:ascii="Arial" w:eastAsia="Arial" w:hAnsi="Arial" w:cs="Arial"/>
          <w:color w:val="000000"/>
          <w:sz w:val="24"/>
          <w:szCs w:val="24"/>
          <w:lang w:val="en-US"/>
        </w:rPr>
        <w:t>behaviour</w:t>
      </w:r>
      <w:proofErr w:type="spellEnd"/>
      <w:r w:rsidRPr="005A0B38">
        <w:rPr>
          <w:rFonts w:ascii="Arial" w:eastAsia="Arial" w:hAnsi="Arial" w:cs="Arial"/>
          <w:color w:val="000000"/>
          <w:sz w:val="24"/>
          <w:szCs w:val="24"/>
          <w:lang w:val="en-US"/>
        </w:rPr>
        <w:t>.</w:t>
      </w:r>
    </w:p>
    <w:p w14:paraId="5392C87A"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Faure, F., Perrot, A., Pimbert, S., &amp; Lecompte, T. (2019). Water absorption measurements on WPCs: Assessment of size and direction dependencies in order to design fast and accurate quality control tests. Polymer Testing, 77, 105899.</w:t>
      </w:r>
    </w:p>
    <w:p w14:paraId="4121D4F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Jin, H., Kose, R., </w:t>
      </w:r>
      <w:proofErr w:type="spellStart"/>
      <w:r w:rsidRPr="005A0B38">
        <w:rPr>
          <w:rFonts w:ascii="Arial" w:eastAsia="Arial" w:hAnsi="Arial" w:cs="Arial"/>
          <w:color w:val="000000"/>
          <w:sz w:val="24"/>
          <w:szCs w:val="24"/>
          <w:lang w:val="en-US"/>
        </w:rPr>
        <w:t>Akada</w:t>
      </w:r>
      <w:proofErr w:type="spellEnd"/>
      <w:r w:rsidRPr="005A0B38">
        <w:rPr>
          <w:rFonts w:ascii="Arial" w:eastAsia="Arial" w:hAnsi="Arial" w:cs="Arial"/>
          <w:color w:val="000000"/>
          <w:sz w:val="24"/>
          <w:szCs w:val="24"/>
          <w:lang w:val="en-US"/>
        </w:rPr>
        <w:t>, N., &amp; Okayama, T. (2022). Relationship between wettability of pulp fibers and tensile strength of paper during recycling. Scientific Reports, 12(1), 1560.</w:t>
      </w:r>
    </w:p>
    <w:p w14:paraId="49F345F1"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Larsson, P. T., Lindström, T., Carlsson, L. A., &amp; Fellers, C. (2018). Fiber length and bonding effects on tensile strength and toughness of kraft paper. Journal of Materials Science, 53, 3006-3015.</w:t>
      </w:r>
    </w:p>
    <w:p w14:paraId="14CF1C5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Sofhia Dianne T. Delos Santos (2019). (Sansevieria trifasciata) Fiber as the Main Component in Paper Production.</w:t>
      </w:r>
    </w:p>
    <w:p w14:paraId="1D42576A" w14:textId="687E5399" w:rsidR="0056057C" w:rsidRPr="0056057C"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Wu, Z., Kang, S., Liu, Y., Wang, P., Liu, T., Bushra, R., ... &amp; Song, J. (2024). </w:t>
      </w:r>
      <w:proofErr w:type="spellStart"/>
      <w:r w:rsidRPr="005A0B38">
        <w:rPr>
          <w:rFonts w:ascii="Arial" w:eastAsia="Arial" w:hAnsi="Arial" w:cs="Arial"/>
          <w:color w:val="000000"/>
          <w:sz w:val="24"/>
          <w:szCs w:val="24"/>
          <w:lang w:val="en-US"/>
        </w:rPr>
        <w:t>Hydrostability</w:t>
      </w:r>
      <w:proofErr w:type="spellEnd"/>
      <w:r w:rsidRPr="005A0B38">
        <w:rPr>
          <w:rFonts w:ascii="Arial" w:eastAsia="Arial" w:hAnsi="Arial" w:cs="Arial"/>
          <w:color w:val="000000"/>
          <w:sz w:val="24"/>
          <w:szCs w:val="24"/>
          <w:lang w:val="en-US"/>
        </w:rPr>
        <w:t>, mechanical resilience, and biodegradability of paper straws fabricated through lignin-based polyurethane and chitosan binary emulsion bonding. International Journal of Biological Macromolecules, 270, 132155.</w:t>
      </w:r>
    </w:p>
    <w:p w14:paraId="444BE1C7" w14:textId="77777777" w:rsidR="001E71D7" w:rsidRPr="001E71D7" w:rsidRDefault="001E71D7" w:rsidP="005A0B38">
      <w:pPr>
        <w:spacing w:after="208" w:line="240" w:lineRule="auto"/>
        <w:ind w:left="540" w:hanging="720"/>
        <w:jc w:val="both"/>
        <w:rPr>
          <w:rFonts w:ascii="Arial" w:eastAsia="Bookman Old Style" w:hAnsi="Arial" w:cs="Arial"/>
          <w:sz w:val="24"/>
          <w:szCs w:val="24"/>
          <w:lang w:val="en-US"/>
        </w:rPr>
      </w:pPr>
    </w:p>
    <w:sectPr w:rsidR="001E71D7" w:rsidRPr="001E71D7" w:rsidSect="006C0B77">
      <w:footerReference w:type="default" r:id="rId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9022" w14:textId="77777777" w:rsidR="00000000" w:rsidRDefault="00000000">
    <w:pPr>
      <w:pBdr>
        <w:top w:val="nil"/>
        <w:left w:val="nil"/>
        <w:bottom w:val="nil"/>
        <w:right w:val="nil"/>
        <w:between w:val="nil"/>
      </w:pBdr>
      <w:spacing w:line="14" w:lineRule="auto"/>
      <w:rPr>
        <w:color w:val="000000"/>
        <w:sz w:val="20"/>
        <w:szCs w:val="20"/>
      </w:rPr>
    </w:pPr>
    <w:r>
      <w:rPr>
        <w:noProof/>
        <w:lang w:eastAsia="en-PH"/>
      </w:rPr>
      <mc:AlternateContent>
        <mc:Choice Requires="wps">
          <w:drawing>
            <wp:anchor distT="0" distB="0" distL="0" distR="0" simplePos="0" relativeHeight="251659264" behindDoc="1" locked="0" layoutInCell="1" hidden="0" allowOverlap="1" wp14:anchorId="494BBEE4" wp14:editId="79E70186">
              <wp:simplePos x="0" y="0"/>
              <wp:positionH relativeFrom="column">
                <wp:posOffset>6997700</wp:posOffset>
              </wp:positionH>
              <wp:positionV relativeFrom="paragraph">
                <wp:posOffset>450166</wp:posOffset>
              </wp:positionV>
              <wp:extent cx="231775" cy="1657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1775" cy="165735"/>
                      </a:xfrm>
                      <a:prstGeom prst="rect">
                        <a:avLst/>
                      </a:prstGeom>
                    </wps:spPr>
                    <wps:txbx>
                      <w:txbxContent>
                        <w:p w14:paraId="570EE2DE"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494BBEE4" id="_x0000_t202" coordsize="21600,21600" o:spt="202" path="m,l,21600r21600,l21600,xe">
              <v:stroke joinstyle="miter"/>
              <v:path gradientshapeok="t" o:connecttype="rect"/>
            </v:shapetype>
            <v:shape id="Text Box 1" o:spid="_x0000_s1026" type="#_x0000_t202" style="position:absolute;margin-left:551pt;margin-top:35.45pt;width:18.25pt;height:13.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" filled="f" stroked="f">
              <v:textbox inset="0,0,0,0">
                <w:txbxContent>
                  <w:p w14:paraId="570EE2DE"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Pr>
                        <w:rFonts w:ascii="Calibri"/>
                        <w:noProof/>
                        <w:spacing w:val="-5"/>
                      </w:rPr>
                      <w:t>2</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49B2"/>
    <w:multiLevelType w:val="multilevel"/>
    <w:tmpl w:val="E08C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22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D7"/>
    <w:rsid w:val="001E71D7"/>
    <w:rsid w:val="0056057C"/>
    <w:rsid w:val="005A0B38"/>
    <w:rsid w:val="006C0B77"/>
    <w:rsid w:val="008242FF"/>
    <w:rsid w:val="00870751"/>
    <w:rsid w:val="00922C48"/>
    <w:rsid w:val="00A91C29"/>
    <w:rsid w:val="00B915B7"/>
    <w:rsid w:val="00BC189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BF77"/>
  <w15:chartTrackingRefBased/>
  <w15:docId w15:val="{626C06DD-51E6-4D46-9433-834E580D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D7"/>
    <w:rPr>
      <w:lang w:val="en-PH"/>
    </w:rPr>
  </w:style>
  <w:style w:type="paragraph" w:styleId="Heading1">
    <w:name w:val="heading 1"/>
    <w:basedOn w:val="Normal"/>
    <w:next w:val="Normal"/>
    <w:link w:val="Heading1Char"/>
    <w:uiPriority w:val="9"/>
    <w:qFormat/>
    <w:rsid w:val="001E71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71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71D7"/>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1E71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71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7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71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71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71D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E71D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E71D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E71D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E71D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E71D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E7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D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E7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D7"/>
    <w:pPr>
      <w:spacing w:before="160"/>
      <w:jc w:val="center"/>
    </w:pPr>
    <w:rPr>
      <w:i/>
      <w:iCs/>
      <w:color w:val="404040" w:themeColor="text1" w:themeTint="BF"/>
    </w:rPr>
  </w:style>
  <w:style w:type="character" w:customStyle="1" w:styleId="QuoteChar">
    <w:name w:val="Quote Char"/>
    <w:basedOn w:val="DefaultParagraphFont"/>
    <w:link w:val="Quote"/>
    <w:uiPriority w:val="29"/>
    <w:rsid w:val="001E71D7"/>
    <w:rPr>
      <w:rFonts w:ascii="Times New Roman" w:hAnsi="Times New Roman"/>
      <w:i/>
      <w:iCs/>
      <w:color w:val="404040" w:themeColor="text1" w:themeTint="BF"/>
      <w:sz w:val="28"/>
    </w:rPr>
  </w:style>
  <w:style w:type="paragraph" w:styleId="ListParagraph">
    <w:name w:val="List Paragraph"/>
    <w:basedOn w:val="Normal"/>
    <w:uiPriority w:val="34"/>
    <w:qFormat/>
    <w:rsid w:val="001E71D7"/>
    <w:pPr>
      <w:ind w:left="720"/>
      <w:contextualSpacing/>
    </w:pPr>
  </w:style>
  <w:style w:type="character" w:styleId="IntenseEmphasis">
    <w:name w:val="Intense Emphasis"/>
    <w:basedOn w:val="DefaultParagraphFont"/>
    <w:uiPriority w:val="21"/>
    <w:qFormat/>
    <w:rsid w:val="001E71D7"/>
    <w:rPr>
      <w:i/>
      <w:iCs/>
      <w:color w:val="2E74B5" w:themeColor="accent1" w:themeShade="BF"/>
    </w:rPr>
  </w:style>
  <w:style w:type="paragraph" w:styleId="IntenseQuote">
    <w:name w:val="Intense Quote"/>
    <w:basedOn w:val="Normal"/>
    <w:next w:val="Normal"/>
    <w:link w:val="IntenseQuoteChar"/>
    <w:uiPriority w:val="30"/>
    <w:qFormat/>
    <w:rsid w:val="001E71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71D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E71D7"/>
    <w:rPr>
      <w:b/>
      <w:bCs/>
      <w:smallCaps/>
      <w:color w:val="2E74B5" w:themeColor="accent1" w:themeShade="BF"/>
      <w:spacing w:val="5"/>
    </w:rPr>
  </w:style>
  <w:style w:type="paragraph" w:styleId="NoSpacing">
    <w:name w:val="No Spacing"/>
    <w:uiPriority w:val="1"/>
    <w:qFormat/>
    <w:rsid w:val="001E71D7"/>
    <w:pPr>
      <w:widowControl w:val="0"/>
      <w:spacing w:after="0" w:line="240" w:lineRule="auto"/>
    </w:pPr>
    <w:rPr>
      <w:rFonts w:ascii="Arial" w:eastAsia="Arial" w:hAnsi="Arial" w:cs="Arial"/>
      <w:kern w:val="0"/>
      <w:lang w:val="en"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2026-03-30T08:12:00Z</dcterms:created>
  <dcterms:modified xsi:type="dcterms:W3CDTF">2026-03-30T08:44:00Z</dcterms:modified>
</cp:coreProperties>
</file>