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772C" w14:textId="4E573539" w:rsidR="006049AD" w:rsidRPr="0005501C" w:rsidRDefault="006049AD" w:rsidP="002565A4">
      <w:pPr>
        <w:spacing w:after="360" w:line="240" w:lineRule="auto"/>
        <w:jc w:val="center"/>
        <w:rPr>
          <w:rFonts w:ascii="Times New Roman" w:hAnsi="Times New Roman" w:cs="Times New Roman"/>
          <w:b/>
          <w:bCs/>
          <w:sz w:val="36"/>
          <w:szCs w:val="36"/>
        </w:rPr>
      </w:pPr>
      <w:r w:rsidRPr="0005501C">
        <w:rPr>
          <w:rFonts w:ascii="Times New Roman" w:hAnsi="Times New Roman" w:cs="Times New Roman"/>
          <w:b/>
          <w:bCs/>
          <w:sz w:val="36"/>
          <w:szCs w:val="36"/>
        </w:rPr>
        <w:t>The Effectiveness of Pharmacy Students’ Emergency Response Training (PSERT) in Enhancing the Preparedness and Readiness of Pharmacy Students During Flood Disasters in Koronadal City</w:t>
      </w:r>
    </w:p>
    <w:p w14:paraId="568B9439" w14:textId="2C4DBC74" w:rsidR="006049AD" w:rsidRPr="0005501C" w:rsidRDefault="006049AD" w:rsidP="002565A4">
      <w:pPr>
        <w:spacing w:after="120" w:line="240" w:lineRule="auto"/>
        <w:jc w:val="center"/>
        <w:rPr>
          <w:rFonts w:ascii="Times New Roman" w:hAnsi="Times New Roman" w:cs="Times New Roman"/>
          <w:b/>
          <w:bCs/>
          <w:vertAlign w:val="superscript"/>
        </w:rPr>
      </w:pPr>
      <w:r w:rsidRPr="0005501C">
        <w:rPr>
          <w:rFonts w:ascii="Times New Roman" w:hAnsi="Times New Roman" w:cs="Times New Roman"/>
          <w:b/>
          <w:bCs/>
        </w:rPr>
        <w:t/>
      </w:r>
      <w:r w:rsidRPr="0005501C">
        <w:rPr>
          <w:rFonts w:ascii="Times New Roman" w:hAnsi="Times New Roman" w:cs="Times New Roman"/>
          <w:b/>
          <w:bCs/>
          <w:vertAlign w:val="superscript"/>
        </w:rPr>
        <w:t/>
      </w:r>
      <w:r w:rsidRPr="0005501C">
        <w:rPr>
          <w:rFonts w:ascii="Times New Roman" w:hAnsi="Times New Roman" w:cs="Times New Roman"/>
          <w:b/>
          <w:bCs/>
        </w:rPr>
        <w:t/>
      </w:r>
      <w:r w:rsidR="007749F3" w:rsidRPr="0005501C">
        <w:rPr>
          <w:rFonts w:ascii="Times New Roman" w:hAnsi="Times New Roman" w:cs="Times New Roman"/>
          <w:b/>
          <w:bCs/>
          <w:vertAlign w:val="superscript"/>
        </w:rPr>
        <w:t/>
      </w:r>
      <w:r w:rsidR="00567B84" w:rsidRPr="0005501C">
        <w:rPr>
          <w:rFonts w:ascii="Times New Roman" w:hAnsi="Times New Roman" w:cs="Times New Roman"/>
          <w:b/>
          <w:bCs/>
          <w:vertAlign w:val="superscript"/>
        </w:rPr>
        <w:t/>
      </w:r>
      <w:r w:rsidRPr="0005501C">
        <w:rPr>
          <w:rFonts w:ascii="Times New Roman" w:hAnsi="Times New Roman" w:cs="Times New Roman"/>
          <w:b/>
          <w:bCs/>
        </w:rPr>
        <w:t/>
      </w:r>
      <w:r w:rsidR="007749F3" w:rsidRPr="0005501C">
        <w:rPr>
          <w:rFonts w:ascii="Times New Roman" w:hAnsi="Times New Roman" w:cs="Times New Roman"/>
          <w:b/>
          <w:bCs/>
          <w:vertAlign w:val="superscript"/>
        </w:rPr>
        <w:t/>
      </w:r>
      <w:r w:rsidRPr="0005501C">
        <w:rPr>
          <w:rFonts w:ascii="Times New Roman" w:hAnsi="Times New Roman" w:cs="Times New Roman"/>
          <w:b/>
          <w:bCs/>
        </w:rPr>
        <w:t/>
      </w:r>
      <w:r w:rsidR="007749F3" w:rsidRPr="0005501C">
        <w:rPr>
          <w:rFonts w:ascii="Times New Roman" w:hAnsi="Times New Roman" w:cs="Times New Roman"/>
          <w:b/>
          <w:bCs/>
          <w:vertAlign w:val="superscript"/>
        </w:rPr>
        <w:t/>
      </w:r>
      <w:r w:rsidR="007749F3" w:rsidRPr="0005501C">
        <w:rPr>
          <w:rFonts w:ascii="Times New Roman" w:hAnsi="Times New Roman" w:cs="Times New Roman"/>
          <w:b/>
          <w:bCs/>
        </w:rPr>
        <w:t/>
      </w:r>
      <w:r w:rsidR="007749F3" w:rsidRPr="0005501C">
        <w:rPr>
          <w:rFonts w:ascii="Times New Roman" w:hAnsi="Times New Roman" w:cs="Times New Roman"/>
          <w:b/>
          <w:bCs/>
          <w:vertAlign w:val="superscript"/>
        </w:rPr>
        <w:t/>
      </w:r>
      <w:r w:rsidR="007749F3" w:rsidRPr="0005501C">
        <w:rPr>
          <w:rFonts w:ascii="Times New Roman" w:hAnsi="Times New Roman" w:cs="Times New Roman"/>
          <w:b/>
          <w:bCs/>
        </w:rPr>
        <w:t/>
      </w:r>
      <w:r w:rsidR="007749F3" w:rsidRPr="0005501C">
        <w:rPr>
          <w:rFonts w:ascii="Times New Roman" w:hAnsi="Times New Roman" w:cs="Times New Roman"/>
          <w:b/>
          <w:bCs/>
          <w:vertAlign w:val="superscript"/>
        </w:rPr>
        <w:t/>
      </w:r>
    </w:p>
    <w:p w14:paraId="7BAC40A2" w14:textId="39B4B2BA" w:rsidR="006049AD" w:rsidRPr="0005501C" w:rsidRDefault="006049AD" w:rsidP="002565A4">
      <w:pPr>
        <w:spacing w:line="240" w:lineRule="auto"/>
        <w:jc w:val="center"/>
        <w:rPr>
          <w:rFonts w:ascii="Times New Roman" w:hAnsi="Times New Roman" w:cs="Times New Roman"/>
          <w:b/>
          <w:bCs/>
        </w:rPr>
      </w:pPr>
      <w:r w:rsidRPr="0005501C">
        <w:rPr>
          <w:rFonts w:ascii="Times New Roman" w:hAnsi="Times New Roman" w:cs="Times New Roman"/>
          <w:b/>
          <w:bCs/>
        </w:rPr>
        <w:t/>
      </w:r>
    </w:p>
    <w:p w14:paraId="089F4074" w14:textId="13362D5C" w:rsidR="00567B84" w:rsidRPr="0005501C" w:rsidRDefault="00567B84" w:rsidP="002565A4">
      <w:pPr>
        <w:spacing w:line="240" w:lineRule="auto"/>
        <w:jc w:val="center"/>
        <w:rPr>
          <w:rFonts w:ascii="Times New Roman" w:hAnsi="Times New Roman" w:cs="Times New Roman"/>
          <w:u w:val="single"/>
        </w:rPr>
      </w:pPr>
      <w:r w:rsidRPr="0005501C">
        <w:rPr>
          <w:rFonts w:ascii="Times New Roman" w:hAnsi="Times New Roman" w:cs="Times New Roman"/>
        </w:rPr>
        <w:t/>
      </w:r>
      <w:r w:rsidRPr="0005501C">
        <w:rPr>
          <w:rFonts w:ascii="Times New Roman" w:hAnsi="Times New Roman" w:cs="Times New Roman"/>
          <w:b/>
          <w:bCs/>
        </w:rPr>
        <w:t xml:space="preserve"/>
      </w:r>
      <w:hyperlink r:id="rId8" w:history="1">
        <w:r w:rsidRPr="0005501C">
          <w:rPr>
            <w:rStyle w:val="Hyperlink"/>
            <w:rFonts w:ascii="Times New Roman" w:hAnsi="Times New Roman" w:cs="Times New Roman"/>
            <w:color w:val="auto"/>
            <w:u w:val="none"/>
          </w:rPr>
          <w:t/>
        </w:r>
      </w:hyperlink>
      <w:r w:rsidR="0005501C" w:rsidRPr="0005501C">
        <w:rPr>
          <w:rFonts w:ascii="Times New Roman" w:hAnsi="Times New Roman" w:cs="Times New Roman"/>
        </w:rPr>
        <w:t/>
      </w:r>
    </w:p>
    <w:p w14:paraId="1A67DC6A" w14:textId="1FE80460" w:rsidR="00567B84" w:rsidRPr="0005501C" w:rsidRDefault="00567B84" w:rsidP="002565A4">
      <w:pPr>
        <w:spacing w:after="0" w:line="240" w:lineRule="auto"/>
        <w:jc w:val="both"/>
        <w:rPr>
          <w:rFonts w:ascii="Times New Roman" w:hAnsi="Times New Roman" w:cs="Times New Roman"/>
          <w:u w:val="single"/>
        </w:rPr>
      </w:pPr>
    </w:p>
    <w:p w14:paraId="536986AC" w14:textId="03F3E664" w:rsidR="006049AD" w:rsidRPr="0005501C" w:rsidRDefault="006049AD" w:rsidP="002565A4">
      <w:pPr>
        <w:pStyle w:val="Heading1"/>
        <w:spacing w:before="120" w:after="120" w:line="240" w:lineRule="auto"/>
        <w:jc w:val="both"/>
        <w:rPr>
          <w:rFonts w:ascii="Times New Roman" w:hAnsi="Times New Roman" w:cs="Times New Roman"/>
          <w:b/>
          <w:bCs/>
          <w:color w:val="auto"/>
          <w:sz w:val="28"/>
          <w:szCs w:val="28"/>
        </w:rPr>
      </w:pPr>
      <w:r w:rsidRPr="0005501C">
        <w:rPr>
          <w:rFonts w:ascii="Times New Roman" w:hAnsi="Times New Roman" w:cs="Times New Roman"/>
          <w:b/>
          <w:bCs/>
          <w:color w:val="auto"/>
          <w:sz w:val="28"/>
          <w:szCs w:val="28"/>
        </w:rPr>
        <w:t>ABSTRACT</w:t>
      </w:r>
    </w:p>
    <w:p w14:paraId="603AD73C" w14:textId="77777777" w:rsidR="00567B84" w:rsidRPr="0005501C" w:rsidRDefault="00567B84" w:rsidP="002565A4">
      <w:pPr>
        <w:spacing w:before="240" w:after="240" w:line="240" w:lineRule="auto"/>
        <w:jc w:val="both"/>
        <w:rPr>
          <w:rFonts w:ascii="Times New Roman" w:hAnsi="Times New Roman" w:cs="Times New Roman"/>
        </w:rPr>
      </w:pPr>
      <w:r w:rsidRPr="0005501C">
        <w:rPr>
          <w:rFonts w:ascii="Times New Roman" w:hAnsi="Times New Roman" w:cs="Times New Roman"/>
        </w:rPr>
        <w:t>Floods remain a major concern in the Philippines due to their frequent occurrence and significant impact on public health. Pharmacy students are expected to take part in disaster response as future pharmacists. However, they often have limited training and preparedness. In response to this gap, this study aimed to determine the effectiveness of the Pharmacy Students Emergency Response Training (PSERT) in enhancing the preparedness and readiness of pharmacy students during flood disasters in Koronadal City. A quantitative quasi-experimental design was utilized, involving thirty (30) first-year pharmacy students divided into experimental and control groups. A structured 60-item multiple-choice questionnaire was administered before and after the intervention. Results showed that the experimental group’s preparedness improved from a low level (Mean = 15.73, SD = 3.150) to a moderate level (Mean = 23.47, SD = 3.777), while readiness increased from a low level (Mean = 17.20, SD = 3.840) to a high level (Mean = 25.13, SD = 5.083). The control group showed minimal improvement. Statistical analysis revealed significant differences in preparedness and readiness, as well as between the experimental and control groups. The findings suggest that the PSERT intervention effectively improved pharmacy students’ preparedness and readiness. Therefore, the study recommends the integration of structured flood disaster training into the pharmacy curriculum.</w:t>
      </w:r>
    </w:p>
    <w:p w14:paraId="164DA554" w14:textId="4C5FF8C8" w:rsidR="00E22EA8" w:rsidRPr="0005501C" w:rsidRDefault="00567B84" w:rsidP="002565A4">
      <w:pPr>
        <w:spacing w:before="240" w:after="240" w:line="240" w:lineRule="auto"/>
        <w:jc w:val="both"/>
        <w:rPr>
          <w:rFonts w:ascii="Times New Roman" w:hAnsi="Times New Roman" w:cs="Times New Roman"/>
        </w:rPr>
      </w:pPr>
      <w:r w:rsidRPr="0005501C">
        <w:rPr>
          <w:rFonts w:ascii="Times New Roman" w:hAnsi="Times New Roman" w:cs="Times New Roman"/>
          <w:b/>
          <w:bCs/>
        </w:rPr>
        <w:t>Keywords:</w:t>
      </w:r>
      <w:r w:rsidRPr="0005501C">
        <w:rPr>
          <w:rFonts w:ascii="Times New Roman" w:hAnsi="Times New Roman" w:cs="Times New Roman"/>
        </w:rPr>
        <w:t xml:space="preserve"> Pharmacy Students Emergency Response Training (PSERT), preparedness, readiness, flood disaster, pharmacy students</w:t>
      </w:r>
    </w:p>
    <w:p w14:paraId="68261D3B" w14:textId="56F8214E" w:rsidR="003C7E69" w:rsidRPr="0005501C" w:rsidRDefault="003C7E69" w:rsidP="002565A4">
      <w:pPr>
        <w:pStyle w:val="Heading1"/>
        <w:spacing w:before="120" w:after="120" w:line="240" w:lineRule="auto"/>
        <w:jc w:val="both"/>
        <w:rPr>
          <w:rFonts w:ascii="Times New Roman" w:hAnsi="Times New Roman" w:cs="Times New Roman"/>
          <w:b/>
          <w:bCs/>
          <w:color w:val="auto"/>
          <w:sz w:val="28"/>
          <w:szCs w:val="28"/>
        </w:rPr>
      </w:pPr>
      <w:r w:rsidRPr="0005501C">
        <w:rPr>
          <w:rFonts w:ascii="Times New Roman" w:hAnsi="Times New Roman" w:cs="Times New Roman"/>
          <w:b/>
          <w:bCs/>
          <w:color w:val="auto"/>
          <w:sz w:val="28"/>
          <w:szCs w:val="28"/>
        </w:rPr>
        <w:t>INTRODUCTION</w:t>
      </w:r>
    </w:p>
    <w:p w14:paraId="26FF3C93" w14:textId="77777777" w:rsidR="005B2B6E" w:rsidRPr="0005501C" w:rsidRDefault="005B2B6E" w:rsidP="002565A4">
      <w:pPr>
        <w:spacing w:before="240" w:after="240" w:line="240" w:lineRule="auto"/>
        <w:jc w:val="both"/>
        <w:rPr>
          <w:rFonts w:ascii="Times New Roman" w:hAnsi="Times New Roman" w:cs="Times New Roman"/>
        </w:rPr>
      </w:pPr>
      <w:r w:rsidRPr="0005501C">
        <w:rPr>
          <w:rFonts w:ascii="Times New Roman" w:hAnsi="Times New Roman" w:cs="Times New Roman"/>
        </w:rPr>
        <w:t>Natural disasters are major threats that endanger lives, infrastructure, and public health. Among these disasters, floods are the most frequent and destructive in the Philippines, affecting millions of people each year and weakening the healthcare system (Kurata, et al., 2023). Due to the country’s location within the Pacific Typhoon Belt, it experiences about 20 typhoons each year, leading to severe flooding and widespread damage (Raba, 2025).</w:t>
      </w:r>
    </w:p>
    <w:p w14:paraId="28C38B13" w14:textId="77777777" w:rsidR="005B2B6E" w:rsidRPr="0005501C" w:rsidRDefault="005B2B6E" w:rsidP="002565A4">
      <w:pPr>
        <w:spacing w:before="240" w:after="240" w:line="240" w:lineRule="auto"/>
        <w:jc w:val="both"/>
        <w:rPr>
          <w:rFonts w:ascii="Times New Roman" w:hAnsi="Times New Roman" w:cs="Times New Roman"/>
        </w:rPr>
      </w:pPr>
      <w:r w:rsidRPr="0005501C">
        <w:rPr>
          <w:rFonts w:ascii="Times New Roman" w:hAnsi="Times New Roman" w:cs="Times New Roman"/>
        </w:rPr>
        <w:t>Pharmacy students are an emerging workforce who can contribute significantly to disaster response operations. However, their level of preparedness and readiness is still a concern. Wiedyaningsih et al. (2023) found that pharmacy students should have a good understanding of health and disaster management, develop specific practical skills, maintain a positive attitude, and be personally prepared for emergencies. These competencies should be developed through organized training. Furthermore, pharmacy students who are properly trained and integrated into emergency response systems can significantly contribute to community disaster preparedness (Monk &amp; Pradhan, 2019).</w:t>
      </w:r>
    </w:p>
    <w:p w14:paraId="70BB302A" w14:textId="2B5B238F" w:rsidR="005B2B6E" w:rsidRPr="0005501C" w:rsidRDefault="005B2B6E" w:rsidP="002565A4">
      <w:pPr>
        <w:spacing w:before="240" w:after="240" w:line="240" w:lineRule="auto"/>
        <w:jc w:val="both"/>
        <w:rPr>
          <w:rFonts w:ascii="Times New Roman" w:hAnsi="Times New Roman" w:cs="Times New Roman"/>
        </w:rPr>
      </w:pPr>
      <w:r w:rsidRPr="0005501C">
        <w:rPr>
          <w:rFonts w:ascii="Times New Roman" w:hAnsi="Times New Roman" w:cs="Times New Roman"/>
        </w:rPr>
        <w:t xml:space="preserve">Internationally, pharmacy education often lacks proper disaster preparedness training, leaving pharmacy students underprepared for their future roles in emergency response despite pharmacists' essential contributions to public health (Wiedyaningsih et al., 2023). Similarly, Farajalla et al. (2023) assessed pharmacy students’ preparedness and readiness in the United Arab Emirates and found that although students were willing to help and had positive attitudes, most of them have not received proper training in disaster preparedness, with an </w:t>
      </w:r>
      <w:r w:rsidRPr="0005501C">
        <w:rPr>
          <w:rFonts w:ascii="Times New Roman" w:hAnsi="Times New Roman" w:cs="Times New Roman"/>
        </w:rPr>
        <w:t>average score</w:t>
      </w:r>
      <w:r w:rsidRPr="0005501C">
        <w:rPr>
          <w:rFonts w:ascii="Times New Roman" w:hAnsi="Times New Roman" w:cs="Times New Roman"/>
        </w:rPr>
        <w:t xml:space="preserve"> of 60.2%.</w:t>
      </w:r>
    </w:p>
    <w:p w14:paraId="5833BA69" w14:textId="77777777" w:rsidR="005B2B6E" w:rsidRPr="0005501C" w:rsidRDefault="005B2B6E" w:rsidP="002565A4">
      <w:pPr>
        <w:spacing w:before="240" w:after="240" w:line="240" w:lineRule="auto"/>
        <w:jc w:val="both"/>
        <w:rPr>
          <w:rFonts w:ascii="Times New Roman" w:hAnsi="Times New Roman" w:cs="Times New Roman"/>
        </w:rPr>
      </w:pPr>
      <w:r w:rsidRPr="0005501C">
        <w:rPr>
          <w:rFonts w:ascii="Times New Roman" w:hAnsi="Times New Roman" w:cs="Times New Roman"/>
        </w:rPr>
        <w:lastRenderedPageBreak/>
        <w:t>In the Philippines, most pharmacy schools still do not include strong or standardized disaster preparedness training in their curriculum (Carandang et al., 2025). As a result, pharmacy students often do not receive enough lessons or practical activities that teach them what to do during emergencies (Wiedyaningsih et al., 2023). As a result, many students are not fully prepared or confident to respond to disasters, even though the Philippines experiences numerous natural hazards each year (Raba, 2025). Moreover, it appears that there is a lack of published research on the integration of disaster-response training within Philippine pharmacy curricula.</w:t>
      </w:r>
    </w:p>
    <w:p w14:paraId="5383316C" w14:textId="77777777" w:rsidR="005B2B6E" w:rsidRPr="0005501C" w:rsidRDefault="005B2B6E" w:rsidP="002565A4">
      <w:pPr>
        <w:spacing w:before="240" w:after="240" w:line="240" w:lineRule="auto"/>
        <w:jc w:val="both"/>
        <w:rPr>
          <w:rFonts w:ascii="Times New Roman" w:hAnsi="Times New Roman" w:cs="Times New Roman"/>
        </w:rPr>
      </w:pPr>
      <w:r w:rsidRPr="0005501C">
        <w:rPr>
          <w:rFonts w:ascii="Times New Roman" w:hAnsi="Times New Roman" w:cs="Times New Roman"/>
        </w:rPr>
        <w:t>Locally, standardized emergency preparedness training for pharmacists is rarely institutionalized either nationally or locally (Carandang et al., 2025). In October 2025, Koronadal city experienced a recent flooding from heavy rainfall, resulting in approximately 150 people being evacuated from flood-prone areas near riverbanks and waterways, particularly in Barangays Morales, Cacub, and San Isidro (Mamac, 2025). In response to these recurring disasters, South Cotabato's disaster management office has conducted preparedness training; pharmacy students are not systematically integrated into these trainings (Provincial Government of South Cotabato, 2025). Despite these emergency response efforts at the provincial level, pharmacy students remain absent from local disaster preparedness training and emergency response planning, creating a significant gap in the province’s emergency response framework.</w:t>
      </w:r>
    </w:p>
    <w:p w14:paraId="6B0BEFEC" w14:textId="7E09F77D" w:rsidR="005B2B6E" w:rsidRPr="0005501C" w:rsidRDefault="005B2B6E" w:rsidP="002565A4">
      <w:pPr>
        <w:spacing w:before="240" w:after="240" w:line="240" w:lineRule="auto"/>
        <w:jc w:val="both"/>
        <w:rPr>
          <w:rFonts w:ascii="Times New Roman" w:hAnsi="Times New Roman" w:cs="Times New Roman"/>
        </w:rPr>
      </w:pPr>
      <w:r w:rsidRPr="0005501C">
        <w:rPr>
          <w:rFonts w:ascii="Times New Roman" w:hAnsi="Times New Roman" w:cs="Times New Roman"/>
        </w:rPr>
        <w:t xml:space="preserve">This gap is particularly significant given Koronadal City’s recurring flood vulnerability and the potential contributions pharmacy students can make to disaster response. Furthermore, there is a lack of research evaluating the effectiveness of local </w:t>
      </w:r>
      <w:r w:rsidRPr="0005501C">
        <w:rPr>
          <w:rFonts w:ascii="Times New Roman" w:hAnsi="Times New Roman" w:cs="Times New Roman"/>
        </w:rPr>
        <w:t>training</w:t>
      </w:r>
      <w:r w:rsidRPr="0005501C">
        <w:rPr>
          <w:rFonts w:ascii="Times New Roman" w:hAnsi="Times New Roman" w:cs="Times New Roman"/>
        </w:rPr>
        <w:t xml:space="preserve"> designed for pharmacy students' disaster preparedness. These gaps highlight the need for localized preparedness training specifically designed for pharmacy students (International Pharmaceutical Federation, 2023).</w:t>
      </w:r>
    </w:p>
    <w:p w14:paraId="33642100" w14:textId="08530344" w:rsidR="001E758A" w:rsidRPr="0005501C" w:rsidRDefault="005B2B6E" w:rsidP="002565A4">
      <w:pPr>
        <w:spacing w:before="240" w:after="240" w:line="240" w:lineRule="auto"/>
        <w:jc w:val="both"/>
        <w:rPr>
          <w:rFonts w:ascii="Times New Roman" w:hAnsi="Times New Roman" w:cs="Times New Roman"/>
        </w:rPr>
      </w:pPr>
      <w:r w:rsidRPr="0005501C">
        <w:rPr>
          <w:rFonts w:ascii="Times New Roman" w:hAnsi="Times New Roman" w:cs="Times New Roman"/>
        </w:rPr>
        <w:t>The increasing number of floods in Koronadal City highlights the need to develop localized preparedness and readiness plans that actively involve pharmacy students as trained emergency responders. Therefore, this study aims to implement and assess the effectiveness of the Pharmacy Students Emergency Response Training (PSERT) intervention, with the goal of enhancing the preparedness and readiness of pharmacy students to respond appropriately during flood disasters</w:t>
      </w:r>
      <w:r w:rsidR="001E758A" w:rsidRPr="0005501C">
        <w:rPr>
          <w:rFonts w:ascii="Times New Roman" w:hAnsi="Times New Roman" w:cs="Times New Roman"/>
        </w:rPr>
        <w:t>.</w:t>
      </w:r>
    </w:p>
    <w:p w14:paraId="4B373976" w14:textId="403C5726" w:rsidR="001E758A" w:rsidRPr="0005501C" w:rsidRDefault="001E758A" w:rsidP="002565A4">
      <w:pPr>
        <w:pStyle w:val="Heading1"/>
        <w:spacing w:before="120" w:after="120" w:line="240" w:lineRule="auto"/>
        <w:jc w:val="both"/>
        <w:rPr>
          <w:rFonts w:ascii="Times New Roman" w:hAnsi="Times New Roman" w:cs="Times New Roman"/>
          <w:b/>
          <w:bCs/>
          <w:color w:val="auto"/>
          <w:sz w:val="28"/>
          <w:szCs w:val="28"/>
        </w:rPr>
      </w:pPr>
      <w:r w:rsidRPr="0005501C">
        <w:rPr>
          <w:rFonts w:ascii="Times New Roman" w:hAnsi="Times New Roman" w:cs="Times New Roman"/>
          <w:b/>
          <w:bCs/>
          <w:color w:val="auto"/>
          <w:sz w:val="28"/>
          <w:szCs w:val="28"/>
        </w:rPr>
        <w:t>METHODOLOGY</w:t>
      </w:r>
    </w:p>
    <w:p w14:paraId="166FD5FF" w14:textId="19D0F01F" w:rsidR="001E758A" w:rsidRPr="0005501C" w:rsidRDefault="001E758A" w:rsidP="002565A4">
      <w:pPr>
        <w:pStyle w:val="Heading2"/>
        <w:spacing w:before="120" w:after="120" w:line="240" w:lineRule="auto"/>
        <w:jc w:val="both"/>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Research Design</w:t>
      </w:r>
    </w:p>
    <w:p w14:paraId="4E4E1533" w14:textId="77777777" w:rsidR="005B2B6E" w:rsidRPr="0005501C" w:rsidRDefault="005B2B6E" w:rsidP="002565A4">
      <w:pPr>
        <w:pStyle w:val="FirstParagraph"/>
        <w:jc w:val="both"/>
        <w:rPr>
          <w:rFonts w:ascii="Times New Roman" w:hAnsi="Times New Roman" w:cs="Times New Roman"/>
        </w:rPr>
      </w:pPr>
      <w:r w:rsidRPr="0005501C">
        <w:rPr>
          <w:rFonts w:ascii="Times New Roman" w:hAnsi="Times New Roman" w:cs="Times New Roman"/>
        </w:rPr>
        <w:t>The study utilizes quantitative quasi-experimental research design to assess the preparedness and readiness of pharmacy students. Quantitative quasi</w:t>
      </w:r>
      <w:r w:rsidRPr="0005501C">
        <w:rPr>
          <w:rFonts w:ascii="Times New Roman" w:hAnsi="Times New Roman" w:cs="Times New Roman"/>
        </w:rPr>
        <w:noBreakHyphen/>
        <w:t>experimental designs are appropriate for evaluating the effects of interventions using numerical data, particularly in educational settings where random assignment of participants is not feasible. This approach allows for the comparison of outcomes between pre</w:t>
      </w:r>
      <w:r w:rsidRPr="0005501C">
        <w:rPr>
          <w:rFonts w:ascii="Times New Roman" w:hAnsi="Times New Roman" w:cs="Times New Roman"/>
        </w:rPr>
        <w:noBreakHyphen/>
        <w:t>existing groups while maintaining systematic and objective measurement of change (Capili &amp; Anastasi, 2024). </w:t>
      </w:r>
    </w:p>
    <w:p w14:paraId="24902B82" w14:textId="77777777" w:rsidR="005B2B6E" w:rsidRPr="0005501C" w:rsidRDefault="005B2B6E" w:rsidP="002565A4">
      <w:pPr>
        <w:pStyle w:val="FirstParagraph"/>
        <w:jc w:val="both"/>
        <w:rPr>
          <w:rFonts w:ascii="Times New Roman" w:hAnsi="Times New Roman" w:cs="Times New Roman"/>
        </w:rPr>
      </w:pPr>
      <w:r w:rsidRPr="0005501C">
        <w:rPr>
          <w:rFonts w:ascii="Times New Roman" w:hAnsi="Times New Roman" w:cs="Times New Roman"/>
        </w:rPr>
        <w:t>The study utilized a pre</w:t>
      </w:r>
      <w:r w:rsidRPr="0005501C">
        <w:rPr>
          <w:rFonts w:ascii="Times New Roman" w:hAnsi="Times New Roman" w:cs="Times New Roman"/>
        </w:rPr>
        <w:noBreakHyphen/>
        <w:t>test–post</w:t>
      </w:r>
      <w:r w:rsidRPr="0005501C">
        <w:rPr>
          <w:rFonts w:ascii="Times New Roman" w:hAnsi="Times New Roman" w:cs="Times New Roman"/>
        </w:rPr>
        <w:noBreakHyphen/>
        <w:t>test design involving both an experimental group and a control group. Participants in both groups were assessed before and after the implementation of the Pharmacy Students Emergency Response Training (PSERT) intervention. This repeated</w:t>
      </w:r>
      <w:r w:rsidRPr="0005501C">
        <w:rPr>
          <w:rFonts w:ascii="Times New Roman" w:hAnsi="Times New Roman" w:cs="Times New Roman"/>
        </w:rPr>
        <w:noBreakHyphen/>
        <w:t>measures design improves the accuracy of the results because each participant is compared to their own pre</w:t>
      </w:r>
      <w:r w:rsidRPr="0005501C">
        <w:rPr>
          <w:rFonts w:ascii="Times New Roman" w:hAnsi="Times New Roman" w:cs="Times New Roman"/>
        </w:rPr>
        <w:noBreakHyphen/>
        <w:t>test performance. By reducing individual differences and measurement error, repeated</w:t>
      </w:r>
      <w:r w:rsidRPr="0005501C">
        <w:rPr>
          <w:rFonts w:ascii="Times New Roman" w:hAnsi="Times New Roman" w:cs="Times New Roman"/>
        </w:rPr>
        <w:noBreakHyphen/>
        <w:t>measures designs provide greater statistical power, allowing meaningful effects to be detected even with smaller sample sizes compared to designs that rely solely on between</w:t>
      </w:r>
      <w:r w:rsidRPr="0005501C">
        <w:rPr>
          <w:rFonts w:ascii="Times New Roman" w:hAnsi="Times New Roman" w:cs="Times New Roman"/>
        </w:rPr>
        <w:noBreakHyphen/>
        <w:t>group comparisons.</w:t>
      </w:r>
    </w:p>
    <w:p w14:paraId="5A36A3F2" w14:textId="4342BCB3" w:rsidR="00E22EA8" w:rsidRPr="0005501C" w:rsidRDefault="005B2B6E" w:rsidP="002565A4">
      <w:pPr>
        <w:pStyle w:val="FirstParagraph"/>
        <w:jc w:val="both"/>
        <w:rPr>
          <w:rFonts w:ascii="Times New Roman" w:hAnsi="Times New Roman" w:cs="Times New Roman"/>
        </w:rPr>
      </w:pPr>
      <w:r w:rsidRPr="0005501C">
        <w:rPr>
          <w:rFonts w:ascii="Times New Roman" w:hAnsi="Times New Roman" w:cs="Times New Roman"/>
        </w:rPr>
        <w:t>A purposive sampling technique was employed to select participants who met specific inclusion criteria aligned with the objectives of the study. Purposive sampling is a non</w:t>
      </w:r>
      <w:r w:rsidRPr="0005501C">
        <w:rPr>
          <w:rFonts w:ascii="Times New Roman" w:hAnsi="Times New Roman" w:cs="Times New Roman"/>
        </w:rPr>
        <w:noBreakHyphen/>
        <w:t>probability method that enables researchers to deliberately select participants based on their relevance, characteristics, and suitability for the research (Tenny, 2022). This approach ensured that the selected participants possessed the appropriate academic background and context necessary for evaluating the effectiveness of the intervention</w:t>
      </w:r>
      <w:r w:rsidR="00E22EA8" w:rsidRPr="0005501C">
        <w:rPr>
          <w:rFonts w:ascii="Times New Roman" w:hAnsi="Times New Roman" w:cs="Times New Roman"/>
        </w:rPr>
        <w:t>.</w:t>
      </w:r>
    </w:p>
    <w:p w14:paraId="07CA869E" w14:textId="250EB2BE" w:rsidR="00E22EA8" w:rsidRPr="0005501C" w:rsidRDefault="00E22EA8" w:rsidP="002565A4">
      <w:pPr>
        <w:pStyle w:val="Heading2"/>
        <w:spacing w:before="120" w:after="120" w:line="240" w:lineRule="auto"/>
        <w:jc w:val="both"/>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Research Locale</w:t>
      </w:r>
    </w:p>
    <w:p w14:paraId="4BF93E2D" w14:textId="71654C4C" w:rsidR="00E22EA8" w:rsidRPr="0005501C" w:rsidRDefault="005B2B6E" w:rsidP="002565A4">
      <w:pPr>
        <w:pStyle w:val="FirstParagraph"/>
        <w:spacing w:before="240" w:after="240"/>
        <w:jc w:val="both"/>
        <w:rPr>
          <w:rFonts w:ascii="Times New Roman" w:hAnsi="Times New Roman" w:cs="Times New Roman"/>
        </w:rPr>
      </w:pPr>
      <w:r w:rsidRPr="0005501C">
        <w:rPr>
          <w:rFonts w:ascii="Times New Roman" w:hAnsi="Times New Roman" w:cs="Times New Roman"/>
        </w:rPr>
        <w:t xml:space="preserve">The study was conducted in Koronadal City to evaluate the effectiveness of the Pharmacy Students Emergency Response Training (PSERT) intervention in improving the preparedness and readiness of pharmacy students </w:t>
      </w:r>
      <w:r w:rsidRPr="0005501C">
        <w:rPr>
          <w:rFonts w:ascii="Times New Roman" w:hAnsi="Times New Roman" w:cs="Times New Roman"/>
        </w:rPr>
        <w:lastRenderedPageBreak/>
        <w:t>during flood disasters. Koronadal City was selected as the research locale due to its high vulnerability to frequent flooding, which presents ongoing risks to public health and disrupts access to essential healthcare services (Estabillo, 2021). These conditions highlight the importance of disaster preparedness training for future healthcare professionals, particularly pharmacy students who play a vital role in emergency response and community health support</w:t>
      </w:r>
      <w:r w:rsidR="00E22EA8" w:rsidRPr="0005501C">
        <w:rPr>
          <w:rFonts w:ascii="Times New Roman" w:hAnsi="Times New Roman" w:cs="Times New Roman"/>
        </w:rPr>
        <w:t>.</w:t>
      </w:r>
    </w:p>
    <w:p w14:paraId="688D3FB7" w14:textId="388E7F04" w:rsidR="00E22EA8" w:rsidRPr="0005501C" w:rsidRDefault="00E22EA8" w:rsidP="002565A4">
      <w:pPr>
        <w:pStyle w:val="Heading2"/>
        <w:spacing w:before="120" w:after="120" w:line="240" w:lineRule="auto"/>
        <w:jc w:val="both"/>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Participants of the Study</w:t>
      </w:r>
    </w:p>
    <w:p w14:paraId="4206E135" w14:textId="77777777" w:rsidR="005B2B6E" w:rsidRPr="0005501C" w:rsidRDefault="005B2B6E" w:rsidP="002565A4">
      <w:pPr>
        <w:pStyle w:val="FirstParagraph"/>
        <w:spacing w:before="240" w:after="240"/>
        <w:jc w:val="both"/>
        <w:rPr>
          <w:rFonts w:ascii="Times New Roman" w:hAnsi="Times New Roman" w:cs="Times New Roman"/>
        </w:rPr>
      </w:pPr>
      <w:r w:rsidRPr="0005501C">
        <w:rPr>
          <w:rFonts w:ascii="Times New Roman" w:hAnsi="Times New Roman" w:cs="Times New Roman"/>
        </w:rPr>
        <w:t>The participants of this study were thirty (30) first-year Bachelor of Science in Pharmacy students from St. Alexius College, Inc., Koronadal City. First-year students were selected due to their lower levels of preparedness and readiness for emergency situations compared to higher-year students, as supported by previous studies (Yang et al., 2025; Patel et al., 2023; Zhang et al., 2020). Fifteen (15) participants were assigned to the experimental group, while fifteen (15) were assigned to the control group.</w:t>
      </w:r>
    </w:p>
    <w:p w14:paraId="1CFA8B18" w14:textId="77777777" w:rsidR="005B2B6E" w:rsidRPr="0005501C" w:rsidRDefault="005B2B6E" w:rsidP="002565A4">
      <w:pPr>
        <w:pStyle w:val="FirstParagraph"/>
        <w:spacing w:before="240" w:after="240"/>
        <w:jc w:val="both"/>
        <w:rPr>
          <w:rFonts w:ascii="Times New Roman" w:hAnsi="Times New Roman" w:cs="Times New Roman"/>
        </w:rPr>
      </w:pPr>
      <w:r w:rsidRPr="0005501C">
        <w:rPr>
          <w:rFonts w:ascii="Times New Roman" w:hAnsi="Times New Roman" w:cs="Times New Roman"/>
        </w:rPr>
        <w:t>The study utilized a mixed repeated-measures design involving pre-test and post-test assessments to examine within-participant and between-group changes. According to Brysbaert (2019), a sample size of 15 participants per group is sufficient to achieve adequate statistical power in repeated-measures or mixed designs.</w:t>
      </w:r>
    </w:p>
    <w:p w14:paraId="75E0A914" w14:textId="5D79F974" w:rsidR="00E22EA8" w:rsidRPr="0005501C" w:rsidRDefault="005B2B6E" w:rsidP="002565A4">
      <w:pPr>
        <w:pStyle w:val="FirstParagraph"/>
        <w:spacing w:before="240" w:after="240"/>
        <w:jc w:val="both"/>
        <w:rPr>
          <w:rFonts w:ascii="Times New Roman" w:hAnsi="Times New Roman" w:cs="Times New Roman"/>
        </w:rPr>
      </w:pPr>
      <w:r w:rsidRPr="0005501C">
        <w:rPr>
          <w:rFonts w:ascii="Times New Roman" w:hAnsi="Times New Roman" w:cs="Times New Roman"/>
        </w:rPr>
        <w:t>Eligible participants were first-year pharmacy students officially enrolled at St. Alexius College, Inc., who were physically and mentally capable of participating in training activities and residing in Koronadal City during the study period. Excluded participants included students from higher year levels, those with prior emergency preparedness training, and individuals with physical or medical limitations. Participants were allowed to withdraw voluntarily at any time or be withdrawn due to incomplete assessments, poor attendance, or health and personal concerns that prevented continued participation</w:t>
      </w:r>
      <w:r w:rsidR="00E22EA8" w:rsidRPr="0005501C">
        <w:rPr>
          <w:rFonts w:ascii="Times New Roman" w:hAnsi="Times New Roman" w:cs="Times New Roman"/>
        </w:rPr>
        <w:t>.</w:t>
      </w:r>
    </w:p>
    <w:p w14:paraId="43773D60" w14:textId="03372791" w:rsidR="00DD0F3D" w:rsidRPr="0005501C" w:rsidRDefault="00DD0F3D" w:rsidP="002565A4">
      <w:pPr>
        <w:pStyle w:val="Heading2"/>
        <w:spacing w:before="120" w:after="120" w:line="240" w:lineRule="auto"/>
        <w:jc w:val="both"/>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 xml:space="preserve">Research </w:t>
      </w:r>
      <w:r w:rsidR="00301AA2" w:rsidRPr="0005501C">
        <w:rPr>
          <w:rFonts w:ascii="Times New Roman" w:hAnsi="Times New Roman" w:cs="Times New Roman"/>
          <w:b/>
          <w:bCs/>
          <w:color w:val="auto"/>
          <w:sz w:val="24"/>
          <w:szCs w:val="24"/>
        </w:rPr>
        <w:t>Instrument</w:t>
      </w:r>
    </w:p>
    <w:p w14:paraId="507A7094" w14:textId="696A9012" w:rsidR="00DD0F3D" w:rsidRPr="0005501C" w:rsidRDefault="005B2B6E" w:rsidP="002565A4">
      <w:pPr>
        <w:pStyle w:val="FirstParagraph"/>
        <w:jc w:val="both"/>
        <w:rPr>
          <w:rFonts w:ascii="Times New Roman" w:hAnsi="Times New Roman" w:cs="Times New Roman"/>
        </w:rPr>
      </w:pPr>
      <w:r w:rsidRPr="0005501C">
        <w:rPr>
          <w:rFonts w:ascii="Times New Roman" w:hAnsi="Times New Roman" w:cs="Times New Roman"/>
        </w:rPr>
        <w:t>The study utilized a validated 60-item self-constructed multiple-choice questionnaire aligned with the PSERT manual to assess pharmacy students’ preparedness and readiness during flood disaster emergencies. The instrument was administered as both pre-test and post-test to evaluate the effectiveness of the PSERT intervention. The questionnaire measured two variables, namely preparedness and readiness, and used a dichotomous scoring system where correct answers were scored as 1 and incorrect answers as 0. Farajalla et al. (2023) supported the use of structured questionnaires in assessing disaster preparedness and readiness among pharmacy students</w:t>
      </w:r>
      <w:r w:rsidR="00DD0F3D" w:rsidRPr="0005501C">
        <w:rPr>
          <w:rFonts w:ascii="Times New Roman" w:hAnsi="Times New Roman" w:cs="Times New Roman"/>
        </w:rPr>
        <w:t>.</w:t>
      </w:r>
    </w:p>
    <w:p w14:paraId="33939557" w14:textId="292BADCF" w:rsidR="005B2B6E" w:rsidRPr="0005501C" w:rsidRDefault="005B2B6E" w:rsidP="002565A4">
      <w:pPr>
        <w:pStyle w:val="BodyText"/>
        <w:spacing w:line="240" w:lineRule="auto"/>
        <w:rPr>
          <w:rFonts w:ascii="Times New Roman" w:hAnsi="Times New Roman" w:cs="Times New Roman"/>
          <w:b/>
          <w:bCs/>
        </w:rPr>
      </w:pPr>
      <w:r w:rsidRPr="0005501C">
        <w:rPr>
          <w:rFonts w:ascii="Times New Roman" w:hAnsi="Times New Roman" w:cs="Times New Roman"/>
          <w:b/>
          <w:bCs/>
        </w:rPr>
        <w:t>Table 1. Mean Score Range</w:t>
      </w:r>
    </w:p>
    <w:tbl>
      <w:tblPr>
        <w:tblW w:w="0" w:type="auto"/>
        <w:tblCellMar>
          <w:top w:w="15" w:type="dxa"/>
          <w:left w:w="15" w:type="dxa"/>
          <w:bottom w:w="15" w:type="dxa"/>
          <w:right w:w="15" w:type="dxa"/>
        </w:tblCellMar>
        <w:tblLook w:val="04A0" w:firstRow="1" w:lastRow="0" w:firstColumn="1" w:lastColumn="0" w:noHBand="0" w:noVBand="1"/>
      </w:tblPr>
      <w:tblGrid>
        <w:gridCol w:w="2482"/>
        <w:gridCol w:w="1229"/>
        <w:gridCol w:w="1726"/>
      </w:tblGrid>
      <w:tr w:rsidR="005B2B6E" w:rsidRPr="0005501C" w14:paraId="59C7B7D5" w14:textId="77777777" w:rsidTr="00EC6BC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EE7B8" w14:textId="77777777" w:rsidR="005B2B6E" w:rsidRPr="0005501C" w:rsidRDefault="005B2B6E" w:rsidP="002565A4">
            <w:pPr>
              <w:pStyle w:val="BodyText"/>
              <w:spacing w:after="0" w:line="240" w:lineRule="auto"/>
              <w:rPr>
                <w:rFonts w:ascii="Times New Roman" w:hAnsi="Times New Roman" w:cs="Times New Roman"/>
                <w:b/>
                <w:bCs/>
              </w:rPr>
            </w:pPr>
            <w:r w:rsidRPr="0005501C">
              <w:rPr>
                <w:rFonts w:ascii="Times New Roman" w:hAnsi="Times New Roman" w:cs="Times New Roman"/>
                <w:b/>
                <w:bCs/>
              </w:rPr>
              <w:t>Range of Mean Scores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C2D7F" w14:textId="77777777" w:rsidR="005B2B6E" w:rsidRPr="0005501C" w:rsidRDefault="005B2B6E" w:rsidP="002565A4">
            <w:pPr>
              <w:pStyle w:val="BodyText"/>
              <w:spacing w:after="0" w:line="240" w:lineRule="auto"/>
              <w:rPr>
                <w:rFonts w:ascii="Times New Roman" w:hAnsi="Times New Roman" w:cs="Times New Roman"/>
                <w:b/>
                <w:bCs/>
              </w:rPr>
            </w:pPr>
            <w:r w:rsidRPr="0005501C">
              <w:rPr>
                <w:rFonts w:ascii="Times New Roman" w:hAnsi="Times New Roman" w:cs="Times New Roman"/>
                <w:b/>
                <w:bCs/>
              </w:rPr>
              <w:t>Score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A4F0E" w14:textId="77777777" w:rsidR="005B2B6E" w:rsidRPr="0005501C" w:rsidRDefault="005B2B6E" w:rsidP="002565A4">
            <w:pPr>
              <w:pStyle w:val="BodyText"/>
              <w:spacing w:after="0" w:line="240" w:lineRule="auto"/>
              <w:rPr>
                <w:rFonts w:ascii="Times New Roman" w:hAnsi="Times New Roman" w:cs="Times New Roman"/>
                <w:b/>
                <w:bCs/>
              </w:rPr>
            </w:pPr>
            <w:r w:rsidRPr="0005501C">
              <w:rPr>
                <w:rFonts w:ascii="Times New Roman" w:hAnsi="Times New Roman" w:cs="Times New Roman"/>
                <w:b/>
                <w:bCs/>
              </w:rPr>
              <w:t>Category</w:t>
            </w:r>
          </w:p>
        </w:tc>
      </w:tr>
      <w:tr w:rsidR="005B2B6E" w:rsidRPr="0005501C" w14:paraId="5C5E3160" w14:textId="77777777" w:rsidTr="00EC6BC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447DC" w14:textId="77777777" w:rsidR="005B2B6E" w:rsidRPr="0005501C" w:rsidRDefault="005B2B6E" w:rsidP="002565A4">
            <w:pPr>
              <w:pStyle w:val="BodyText"/>
              <w:spacing w:after="0" w:line="240" w:lineRule="auto"/>
              <w:rPr>
                <w:rFonts w:ascii="Times New Roman" w:hAnsi="Times New Roman" w:cs="Times New Roman"/>
              </w:rPr>
            </w:pPr>
            <w:r w:rsidRPr="0005501C">
              <w:rPr>
                <w:rFonts w:ascii="Times New Roman" w:hAnsi="Times New Roman" w:cs="Times New Roman"/>
              </w:rPr>
              <w:t>24 - 30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5A8D4" w14:textId="77777777" w:rsidR="005B2B6E" w:rsidRPr="0005501C" w:rsidRDefault="005B2B6E" w:rsidP="002565A4">
            <w:pPr>
              <w:pStyle w:val="BodyText"/>
              <w:spacing w:after="0" w:line="240" w:lineRule="auto"/>
              <w:rPr>
                <w:rFonts w:ascii="Times New Roman" w:hAnsi="Times New Roman" w:cs="Times New Roman"/>
              </w:rPr>
            </w:pPr>
            <w:r w:rsidRPr="0005501C">
              <w:rPr>
                <w:rFonts w:ascii="Times New Roman" w:hAnsi="Times New Roman" w:cs="Times New Roman"/>
              </w:rPr>
              <w:t>80 - 100%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A81B2" w14:textId="77777777" w:rsidR="005B2B6E" w:rsidRPr="0005501C" w:rsidRDefault="005B2B6E" w:rsidP="002565A4">
            <w:pPr>
              <w:pStyle w:val="BodyText"/>
              <w:spacing w:after="0" w:line="240" w:lineRule="auto"/>
              <w:rPr>
                <w:rFonts w:ascii="Times New Roman" w:hAnsi="Times New Roman" w:cs="Times New Roman"/>
              </w:rPr>
            </w:pPr>
            <w:r w:rsidRPr="0005501C">
              <w:rPr>
                <w:rFonts w:ascii="Times New Roman" w:hAnsi="Times New Roman" w:cs="Times New Roman"/>
              </w:rPr>
              <w:t>High Level</w:t>
            </w:r>
          </w:p>
        </w:tc>
      </w:tr>
      <w:tr w:rsidR="005B2B6E" w:rsidRPr="0005501C" w14:paraId="382A9C97" w14:textId="77777777" w:rsidTr="00EC6BC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9140F" w14:textId="77777777" w:rsidR="005B2B6E" w:rsidRPr="0005501C" w:rsidRDefault="005B2B6E" w:rsidP="002565A4">
            <w:pPr>
              <w:pStyle w:val="BodyText"/>
              <w:spacing w:after="0" w:line="240" w:lineRule="auto"/>
              <w:rPr>
                <w:rFonts w:ascii="Times New Roman" w:hAnsi="Times New Roman" w:cs="Times New Roman"/>
              </w:rPr>
            </w:pPr>
            <w:r w:rsidRPr="0005501C">
              <w:rPr>
                <w:rFonts w:ascii="Times New Roman" w:hAnsi="Times New Roman" w:cs="Times New Roman"/>
              </w:rPr>
              <w:t>18 - 23.99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34850" w14:textId="77777777" w:rsidR="005B2B6E" w:rsidRPr="0005501C" w:rsidRDefault="005B2B6E" w:rsidP="002565A4">
            <w:pPr>
              <w:pStyle w:val="BodyText"/>
              <w:spacing w:after="0" w:line="240" w:lineRule="auto"/>
              <w:rPr>
                <w:rFonts w:ascii="Times New Roman" w:hAnsi="Times New Roman" w:cs="Times New Roman"/>
              </w:rPr>
            </w:pPr>
            <w:r w:rsidRPr="0005501C">
              <w:rPr>
                <w:rFonts w:ascii="Times New Roman" w:hAnsi="Times New Roman" w:cs="Times New Roman"/>
              </w:rPr>
              <w:t>60 - 79%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9D5C4" w14:textId="77777777" w:rsidR="005B2B6E" w:rsidRPr="0005501C" w:rsidRDefault="005B2B6E" w:rsidP="002565A4">
            <w:pPr>
              <w:pStyle w:val="BodyText"/>
              <w:spacing w:after="0" w:line="240" w:lineRule="auto"/>
              <w:rPr>
                <w:rFonts w:ascii="Times New Roman" w:hAnsi="Times New Roman" w:cs="Times New Roman"/>
              </w:rPr>
            </w:pPr>
            <w:r w:rsidRPr="0005501C">
              <w:rPr>
                <w:rFonts w:ascii="Times New Roman" w:hAnsi="Times New Roman" w:cs="Times New Roman"/>
              </w:rPr>
              <w:t>Moderate Level</w:t>
            </w:r>
          </w:p>
        </w:tc>
      </w:tr>
      <w:tr w:rsidR="005B2B6E" w:rsidRPr="0005501C" w14:paraId="4F531939" w14:textId="77777777" w:rsidTr="00EC6BC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62545" w14:textId="77777777" w:rsidR="005B2B6E" w:rsidRPr="0005501C" w:rsidRDefault="005B2B6E" w:rsidP="002565A4">
            <w:pPr>
              <w:pStyle w:val="BodyText"/>
              <w:spacing w:after="0" w:line="240" w:lineRule="auto"/>
              <w:rPr>
                <w:rFonts w:ascii="Times New Roman" w:hAnsi="Times New Roman" w:cs="Times New Roman"/>
              </w:rPr>
            </w:pPr>
            <w:r w:rsidRPr="0005501C">
              <w:rPr>
                <w:rFonts w:ascii="Times New Roman" w:hAnsi="Times New Roman" w:cs="Times New Roman"/>
              </w:rPr>
              <w:t>0 - 17.99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0AECB" w14:textId="77777777" w:rsidR="005B2B6E" w:rsidRPr="0005501C" w:rsidRDefault="005B2B6E" w:rsidP="002565A4">
            <w:pPr>
              <w:pStyle w:val="BodyText"/>
              <w:spacing w:after="0" w:line="240" w:lineRule="auto"/>
              <w:rPr>
                <w:rFonts w:ascii="Times New Roman" w:hAnsi="Times New Roman" w:cs="Times New Roman"/>
              </w:rPr>
            </w:pPr>
            <w:r w:rsidRPr="0005501C">
              <w:rPr>
                <w:rFonts w:ascii="Times New Roman" w:hAnsi="Times New Roman" w:cs="Times New Roman"/>
              </w:rPr>
              <w:t>&lt;60%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E7CB6" w14:textId="77777777" w:rsidR="005B2B6E" w:rsidRPr="0005501C" w:rsidRDefault="005B2B6E" w:rsidP="002565A4">
            <w:pPr>
              <w:pStyle w:val="BodyText"/>
              <w:spacing w:after="0" w:line="240" w:lineRule="auto"/>
              <w:rPr>
                <w:rFonts w:ascii="Times New Roman" w:hAnsi="Times New Roman" w:cs="Times New Roman"/>
              </w:rPr>
            </w:pPr>
            <w:r w:rsidRPr="0005501C">
              <w:rPr>
                <w:rFonts w:ascii="Times New Roman" w:hAnsi="Times New Roman" w:cs="Times New Roman"/>
              </w:rPr>
              <w:t>Low Level</w:t>
            </w:r>
          </w:p>
        </w:tc>
      </w:tr>
    </w:tbl>
    <w:p w14:paraId="33B68445" w14:textId="5BAC9AF6" w:rsidR="00EC6BC8" w:rsidRPr="0005501C" w:rsidRDefault="00EC6BC8" w:rsidP="002565A4">
      <w:pPr>
        <w:pStyle w:val="BodyText"/>
        <w:spacing w:before="240" w:after="240" w:line="240" w:lineRule="auto"/>
        <w:jc w:val="both"/>
        <w:rPr>
          <w:rFonts w:ascii="Times New Roman" w:hAnsi="Times New Roman" w:cs="Times New Roman"/>
        </w:rPr>
      </w:pPr>
      <w:r w:rsidRPr="0005501C">
        <w:rPr>
          <w:rFonts w:ascii="Times New Roman" w:hAnsi="Times New Roman" w:cs="Times New Roman"/>
        </w:rPr>
        <w:t>Table 1 presents the interpretation of mean scores for preparedness and readiness adapted from the scoring system of Alzahrani et al. (2021). The study utilized a 60-item questionnaire equally divided between preparedness and readiness, with a maximum score of 30 points for each variable. Raw scores were converted into percentage scores to standardize the interpretation of responses. Mean scores were categorized into three levels: High Level (24–30 or 80–100%), indicating strong preparedness and readiness; Moderate Level (18–23.99 or 60–79%), indicating adequate preparedness and readiness with areas for improvement; and Low Level (0–17.99 or below 60%), indicating limited preparedness and readiness that may require further training. These criteria were applied to both the pre-test and post-test results to assess the preparedness and readiness of pharmacy students before and after the implementation of the Pharmacy Students Emergency Response Training (PSERT) intervention.</w:t>
      </w:r>
    </w:p>
    <w:p w14:paraId="5FA1D297" w14:textId="28035417" w:rsidR="00EC6BC8" w:rsidRPr="0005501C" w:rsidRDefault="00EC6BC8" w:rsidP="002565A4">
      <w:pPr>
        <w:pStyle w:val="BodyText"/>
        <w:spacing w:before="240" w:after="240" w:line="240" w:lineRule="auto"/>
        <w:jc w:val="both"/>
        <w:rPr>
          <w:rFonts w:ascii="Times New Roman" w:hAnsi="Times New Roman" w:cs="Times New Roman"/>
        </w:rPr>
      </w:pPr>
      <w:r w:rsidRPr="0005501C">
        <w:rPr>
          <w:rFonts w:ascii="Times New Roman" w:hAnsi="Times New Roman" w:cs="Times New Roman"/>
        </w:rPr>
        <w:lastRenderedPageBreak/>
        <w:t>The reliability of the research questionnaire was assessed using Cronbach’s alpha to determine the internal consistency of the items measuring preparedness and readiness. According to Taber (2018), Cronbach’s alpha is widely used to evaluate questionnaire reliability, while Hussey et al. (2025) stated that a value above 0.70 indicates acceptable reliability. The preparedness variable obtained a Cronbach’s alpha of 0.718, indicating acceptable internal consistency, whereas the readiness variable obtained 0.838, indicating good internal consistency. These findings suggest that the questionnaire achieved acceptable reliability and was suitable for use in the study.</w:t>
      </w:r>
    </w:p>
    <w:p w14:paraId="1C19E9D0" w14:textId="07AB65E5" w:rsidR="00B057E6" w:rsidRPr="0005501C" w:rsidRDefault="00B057E6" w:rsidP="002565A4">
      <w:pPr>
        <w:pStyle w:val="Heading2"/>
        <w:spacing w:before="120" w:after="120" w:line="240" w:lineRule="auto"/>
        <w:jc w:val="both"/>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 xml:space="preserve">Research </w:t>
      </w:r>
      <w:r w:rsidR="00E561F0" w:rsidRPr="0005501C">
        <w:rPr>
          <w:rFonts w:ascii="Times New Roman" w:hAnsi="Times New Roman" w:cs="Times New Roman"/>
          <w:b/>
          <w:bCs/>
          <w:color w:val="auto"/>
          <w:sz w:val="24"/>
          <w:szCs w:val="24"/>
        </w:rPr>
        <w:t>Procedure</w:t>
      </w:r>
    </w:p>
    <w:p w14:paraId="3A296613" w14:textId="4E939BFF" w:rsidR="00EC6BC8" w:rsidRPr="0005501C" w:rsidRDefault="00EC6BC8" w:rsidP="002565A4">
      <w:pPr>
        <w:pStyle w:val="Heading3"/>
        <w:spacing w:before="120" w:after="120" w:line="240" w:lineRule="auto"/>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A. PSERT Manual Development</w:t>
      </w:r>
    </w:p>
    <w:p w14:paraId="0644E536" w14:textId="710D90FC" w:rsidR="00B057E6" w:rsidRPr="0005501C" w:rsidRDefault="00EC6BC8" w:rsidP="002565A4">
      <w:pPr>
        <w:pStyle w:val="BodyText"/>
        <w:spacing w:before="240" w:after="240" w:line="240" w:lineRule="auto"/>
        <w:jc w:val="both"/>
        <w:rPr>
          <w:rFonts w:ascii="Times New Roman" w:hAnsi="Times New Roman" w:cs="Times New Roman"/>
          <w:kern w:val="0"/>
          <w14:ligatures w14:val="none"/>
        </w:rPr>
      </w:pPr>
      <w:r w:rsidRPr="0005501C">
        <w:rPr>
          <w:rFonts w:ascii="Times New Roman" w:hAnsi="Times New Roman" w:cs="Times New Roman"/>
          <w:kern w:val="0"/>
          <w14:ligatures w14:val="none"/>
        </w:rPr>
        <w:t>The researchers developed the Pharmacy Students Emergency Response Training (PSERT) manual with guidance from relevant experts. The manual consisted of four modules: (1) Introduction to Flood Disaster, (2) Pre-flood Preparedness, (3) Flood Response Operations, and (4) Post-flood Recovery Procedure. After validation and finalization, individual copies of the manual were distributed to the participants for use during the training sessions.</w:t>
      </w:r>
    </w:p>
    <w:p w14:paraId="27637805" w14:textId="0A302B8C" w:rsidR="00EC6BC8" w:rsidRPr="0005501C" w:rsidRDefault="00EC6BC8" w:rsidP="002565A4">
      <w:pPr>
        <w:pStyle w:val="Heading3"/>
        <w:spacing w:before="120" w:after="120" w:line="240" w:lineRule="auto"/>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B. Consent Distribution</w:t>
      </w:r>
    </w:p>
    <w:p w14:paraId="0D343860" w14:textId="71DBE33B" w:rsidR="00EC6BC8" w:rsidRPr="0005501C" w:rsidRDefault="00EC6BC8" w:rsidP="002565A4">
      <w:pPr>
        <w:pStyle w:val="BodyText"/>
        <w:spacing w:before="240" w:after="240" w:line="240" w:lineRule="auto"/>
        <w:jc w:val="both"/>
        <w:rPr>
          <w:rFonts w:ascii="Times New Roman" w:hAnsi="Times New Roman" w:cs="Times New Roman"/>
          <w:kern w:val="0"/>
          <w14:ligatures w14:val="none"/>
        </w:rPr>
      </w:pPr>
      <w:r w:rsidRPr="0005501C">
        <w:rPr>
          <w:rFonts w:ascii="Times New Roman" w:hAnsi="Times New Roman" w:cs="Times New Roman"/>
          <w:kern w:val="0"/>
          <w14:ligatures w14:val="none"/>
        </w:rPr>
        <w:t>Informed consent forms were distributed to all first-year pharmacy students of St. Alexius College residing in Koronadal City prior to data collection. The forms explained the purpose, procedures, benefits, and confidentiality measures of the study. Participation was voluntary, and respondents were informed of their right to withdraw at any time without penalty.</w:t>
      </w:r>
    </w:p>
    <w:p w14:paraId="59AE03D9" w14:textId="0ED8085A" w:rsidR="00EC6BC8" w:rsidRPr="0005501C" w:rsidRDefault="00EC6BC8" w:rsidP="002565A4">
      <w:pPr>
        <w:pStyle w:val="Heading3"/>
        <w:spacing w:before="120" w:after="120" w:line="240" w:lineRule="auto"/>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C. Pre-test Administration</w:t>
      </w:r>
    </w:p>
    <w:p w14:paraId="03D67DEB" w14:textId="44F7DA65" w:rsidR="00EC6BC8" w:rsidRPr="0005501C" w:rsidRDefault="00EC6BC8" w:rsidP="002565A4">
      <w:pPr>
        <w:pStyle w:val="BodyText"/>
        <w:spacing w:before="240" w:after="240" w:line="240" w:lineRule="auto"/>
        <w:jc w:val="both"/>
        <w:rPr>
          <w:rFonts w:ascii="Times New Roman" w:hAnsi="Times New Roman" w:cs="Times New Roman"/>
          <w:kern w:val="0"/>
          <w14:ligatures w14:val="none"/>
        </w:rPr>
      </w:pPr>
      <w:r w:rsidRPr="0005501C">
        <w:rPr>
          <w:rFonts w:ascii="Times New Roman" w:hAnsi="Times New Roman" w:cs="Times New Roman"/>
          <w:kern w:val="0"/>
          <w14:ligatures w14:val="none"/>
        </w:rPr>
        <w:t>A pre-test was administered to both the experimental and control groups before the intervention. A structured multiple-choice questionnaire was used to assess the participants’ baseline preparedness and readiness in responding to flood-related emergencies.</w:t>
      </w:r>
    </w:p>
    <w:p w14:paraId="45AD877B" w14:textId="492254BF" w:rsidR="00EC6BC8" w:rsidRPr="0005501C" w:rsidRDefault="00EC6BC8" w:rsidP="002565A4">
      <w:pPr>
        <w:pStyle w:val="Heading3"/>
        <w:spacing w:before="120" w:after="120" w:line="240" w:lineRule="auto"/>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D. PSERT Implementation</w:t>
      </w:r>
    </w:p>
    <w:p w14:paraId="38240A5B" w14:textId="140FA4FB" w:rsidR="00EC6BC8" w:rsidRPr="0005501C" w:rsidRDefault="00EC6BC8" w:rsidP="002565A4">
      <w:pPr>
        <w:pStyle w:val="BodyText"/>
        <w:spacing w:before="240" w:after="240" w:line="240" w:lineRule="auto"/>
        <w:jc w:val="both"/>
        <w:rPr>
          <w:rFonts w:ascii="Times New Roman" w:hAnsi="Times New Roman" w:cs="Times New Roman"/>
          <w:kern w:val="0"/>
          <w14:ligatures w14:val="none"/>
        </w:rPr>
      </w:pPr>
      <w:r w:rsidRPr="0005501C">
        <w:rPr>
          <w:rFonts w:ascii="Times New Roman" w:hAnsi="Times New Roman" w:cs="Times New Roman"/>
          <w:kern w:val="0"/>
          <w14:ligatures w14:val="none"/>
        </w:rPr>
        <w:t>The Pharmacy Students Emergency Response Training (PSERT) intervention was conducted for the experimental group only after the pre-test. The intervention consisted of a two-day, sixteen-hour training session. Day 1 included lectures, discussions, and audiovisual presentations, while Day 2 focused on structured learning exercises and return demonstrations to enhance disaster preparedness and readiness</w:t>
      </w:r>
      <w:r w:rsidRPr="0005501C">
        <w:rPr>
          <w:rFonts w:ascii="Times New Roman" w:hAnsi="Times New Roman" w:cs="Times New Roman"/>
          <w:kern w:val="0"/>
          <w14:ligatures w14:val="none"/>
        </w:rPr>
        <w:t>.</w:t>
      </w:r>
    </w:p>
    <w:p w14:paraId="6B1DC525" w14:textId="3C9704E5" w:rsidR="00EC6BC8" w:rsidRPr="0005501C" w:rsidRDefault="00EC6BC8" w:rsidP="002565A4">
      <w:pPr>
        <w:pStyle w:val="Heading3"/>
        <w:spacing w:before="120" w:after="120" w:line="240" w:lineRule="auto"/>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E. Post-test Administration</w:t>
      </w:r>
    </w:p>
    <w:p w14:paraId="2357672C" w14:textId="7F9E7D1F" w:rsidR="00EC6BC8" w:rsidRPr="0005501C" w:rsidRDefault="00EC6BC8" w:rsidP="002565A4">
      <w:pPr>
        <w:pStyle w:val="BodyText"/>
        <w:spacing w:before="240" w:after="240" w:line="240" w:lineRule="auto"/>
        <w:jc w:val="both"/>
        <w:rPr>
          <w:rFonts w:ascii="Times New Roman" w:hAnsi="Times New Roman" w:cs="Times New Roman"/>
          <w:kern w:val="0"/>
          <w14:ligatures w14:val="none"/>
        </w:rPr>
      </w:pPr>
      <w:r w:rsidRPr="0005501C">
        <w:rPr>
          <w:rFonts w:ascii="Times New Roman" w:hAnsi="Times New Roman" w:cs="Times New Roman"/>
          <w:kern w:val="0"/>
          <w14:ligatures w14:val="none"/>
        </w:rPr>
        <w:t>After the intervention, both the experimental and control groups underwent a post-test using the same questionnaire administered during the pre-test. The results were compared to determine changes in preparedness and readiness levels, and the gathered data were statistically analyzed to evaluate the effectiveness of the PSERT intervention</w:t>
      </w:r>
      <w:r w:rsidRPr="0005501C">
        <w:rPr>
          <w:rFonts w:ascii="Times New Roman" w:hAnsi="Times New Roman" w:cs="Times New Roman"/>
          <w:kern w:val="0"/>
          <w14:ligatures w14:val="none"/>
        </w:rPr>
        <w:t>.</w:t>
      </w:r>
    </w:p>
    <w:p w14:paraId="4EFED990" w14:textId="1EF679F3" w:rsidR="009E47FC" w:rsidRPr="0005501C" w:rsidRDefault="007C2BB4" w:rsidP="002565A4">
      <w:pPr>
        <w:pStyle w:val="Heading2"/>
        <w:spacing w:before="120" w:after="120" w:line="240" w:lineRule="auto"/>
        <w:jc w:val="both"/>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Statistical Treatment</w:t>
      </w:r>
    </w:p>
    <w:p w14:paraId="43B9B33C" w14:textId="187373EA" w:rsidR="00EC6BC8" w:rsidRPr="0005501C" w:rsidRDefault="00EC6BC8" w:rsidP="002565A4">
      <w:pPr>
        <w:pStyle w:val="FirstParagraph"/>
        <w:spacing w:before="240" w:after="240"/>
        <w:jc w:val="both"/>
        <w:rPr>
          <w:rFonts w:ascii="Times New Roman" w:hAnsi="Times New Roman" w:cs="Times New Roman"/>
        </w:rPr>
      </w:pPr>
      <w:r w:rsidRPr="0005501C">
        <w:rPr>
          <w:rFonts w:ascii="Times New Roman" w:hAnsi="Times New Roman" w:cs="Times New Roman"/>
        </w:rPr>
        <w:t xml:space="preserve">This study utilized Mean, Paired Sample </w:t>
      </w:r>
      <w:r w:rsidR="00643B28" w:rsidRPr="0005501C">
        <w:rPr>
          <w:rFonts w:ascii="Times New Roman" w:hAnsi="Times New Roman" w:cs="Times New Roman"/>
        </w:rPr>
        <w:t>T</w:t>
      </w:r>
      <w:r w:rsidRPr="0005501C">
        <w:rPr>
          <w:rFonts w:ascii="Times New Roman" w:hAnsi="Times New Roman" w:cs="Times New Roman"/>
        </w:rPr>
        <w:t xml:space="preserve">-test, and Independent </w:t>
      </w:r>
      <w:r w:rsidR="00643B28" w:rsidRPr="0005501C">
        <w:rPr>
          <w:rFonts w:ascii="Times New Roman" w:hAnsi="Times New Roman" w:cs="Times New Roman"/>
        </w:rPr>
        <w:t>Sample T</w:t>
      </w:r>
      <w:r w:rsidRPr="0005501C">
        <w:rPr>
          <w:rFonts w:ascii="Times New Roman" w:hAnsi="Times New Roman" w:cs="Times New Roman"/>
        </w:rPr>
        <w:t>-test as the primary statistical tools. The mean was used to determine the average pre-test and post-test scores of the participants (Sheposh, 2023). This helped describe the general level of preparedness and readiness before and after the implementation of the Pharmacy Students Emergency Response Training (PSERT) intervention. </w:t>
      </w:r>
    </w:p>
    <w:p w14:paraId="461DD9B1" w14:textId="77777777" w:rsidR="00EC6BC8" w:rsidRPr="0005501C" w:rsidRDefault="00EC6BC8" w:rsidP="002565A4">
      <w:pPr>
        <w:pStyle w:val="FirstParagraph"/>
        <w:spacing w:before="240" w:after="240"/>
        <w:jc w:val="both"/>
        <w:rPr>
          <w:rFonts w:ascii="Times New Roman" w:hAnsi="Times New Roman" w:cs="Times New Roman"/>
        </w:rPr>
      </w:pPr>
      <w:r w:rsidRPr="0005501C">
        <w:rPr>
          <w:rFonts w:ascii="Times New Roman" w:hAnsi="Times New Roman" w:cs="Times New Roman"/>
        </w:rPr>
        <w:t>The Paired Sample t-test was applied to examine whether there was a significant difference between the pre-test and post-test mean scores of the experimental group who participated in the PSERT intervention. This test assessed the improvement in pharmacy students’ preparedness and readiness following the training intervention (Bobbitt, 2022).</w:t>
      </w:r>
    </w:p>
    <w:p w14:paraId="02352D6D" w14:textId="77777777" w:rsidR="00EC6BC8" w:rsidRPr="0005501C" w:rsidRDefault="00EC6BC8" w:rsidP="002565A4">
      <w:pPr>
        <w:pStyle w:val="FirstParagraph"/>
        <w:spacing w:before="240" w:after="240"/>
        <w:jc w:val="both"/>
        <w:rPr>
          <w:rFonts w:ascii="Times New Roman" w:hAnsi="Times New Roman" w:cs="Times New Roman"/>
        </w:rPr>
      </w:pPr>
      <w:r w:rsidRPr="0005501C">
        <w:rPr>
          <w:rFonts w:ascii="Times New Roman" w:hAnsi="Times New Roman" w:cs="Times New Roman"/>
        </w:rPr>
        <w:lastRenderedPageBreak/>
        <w:t>The Independent Sample t-test was used to compare the post-test mean scores between the experimental group (who received the PSERT intervention) and the control group (who did not receive any training). This test determined whether the PSERT intervention produced a statistically significant effect compared to no intervention (Kim, 2019).</w:t>
      </w:r>
    </w:p>
    <w:p w14:paraId="21ED4BC5" w14:textId="4B269B60" w:rsidR="009E47FC" w:rsidRPr="0005501C" w:rsidRDefault="00EC6BC8" w:rsidP="002565A4">
      <w:pPr>
        <w:pStyle w:val="FirstParagraph"/>
        <w:spacing w:before="240" w:after="240"/>
        <w:jc w:val="both"/>
        <w:rPr>
          <w:rFonts w:ascii="Times New Roman" w:hAnsi="Times New Roman" w:cs="Times New Roman"/>
        </w:rPr>
      </w:pPr>
      <w:r w:rsidRPr="0005501C">
        <w:rPr>
          <w:rFonts w:ascii="Times New Roman" w:hAnsi="Times New Roman" w:cs="Times New Roman"/>
        </w:rPr>
        <w:t>All data were analyzed using appropriate statistical software to ensure the accuracy and reliability of the results</w:t>
      </w:r>
      <w:r w:rsidRPr="0005501C">
        <w:rPr>
          <w:rFonts w:ascii="Times New Roman" w:hAnsi="Times New Roman" w:cs="Times New Roman"/>
        </w:rPr>
        <w:t>.</w:t>
      </w:r>
    </w:p>
    <w:p w14:paraId="2D532854" w14:textId="13CF75DE" w:rsidR="002250F3" w:rsidRPr="0005501C" w:rsidRDefault="001338F7" w:rsidP="002565A4">
      <w:pPr>
        <w:pStyle w:val="Heading1"/>
        <w:spacing w:before="120" w:after="120" w:line="240" w:lineRule="auto"/>
        <w:jc w:val="both"/>
        <w:rPr>
          <w:rFonts w:ascii="Times New Roman" w:hAnsi="Times New Roman" w:cs="Times New Roman"/>
          <w:b/>
          <w:bCs/>
          <w:color w:val="auto"/>
          <w:sz w:val="28"/>
          <w:szCs w:val="28"/>
        </w:rPr>
      </w:pPr>
      <w:r w:rsidRPr="0005501C">
        <w:rPr>
          <w:rFonts w:ascii="Times New Roman" w:hAnsi="Times New Roman" w:cs="Times New Roman"/>
          <w:b/>
          <w:bCs/>
          <w:color w:val="auto"/>
          <w:sz w:val="28"/>
          <w:szCs w:val="28"/>
        </w:rPr>
        <w:t>RESULTS AND DISCUSSION</w:t>
      </w:r>
    </w:p>
    <w:p w14:paraId="5ABE1733" w14:textId="11DC9444" w:rsidR="00B31FFE" w:rsidRPr="0005501C" w:rsidRDefault="00B31FFE" w:rsidP="002565A4">
      <w:pPr>
        <w:spacing w:before="240" w:after="240" w:line="240" w:lineRule="auto"/>
        <w:jc w:val="both"/>
        <w:rPr>
          <w:rFonts w:ascii="Times New Roman" w:hAnsi="Times New Roman" w:cs="Times New Roman"/>
        </w:rPr>
      </w:pPr>
      <w:r w:rsidRPr="0005501C">
        <w:rPr>
          <w:rFonts w:ascii="Times New Roman" w:hAnsi="Times New Roman" w:cs="Times New Roman"/>
        </w:rPr>
        <w:t>T</w:t>
      </w:r>
      <w:r w:rsidRPr="0005501C">
        <w:rPr>
          <w:rFonts w:ascii="Times New Roman" w:hAnsi="Times New Roman" w:cs="Times New Roman"/>
        </w:rPr>
        <w:t xml:space="preserve">he data </w:t>
      </w:r>
      <w:r w:rsidRPr="0005501C">
        <w:rPr>
          <w:rFonts w:ascii="Times New Roman" w:hAnsi="Times New Roman" w:cs="Times New Roman"/>
        </w:rPr>
        <w:t>were gathered to</w:t>
      </w:r>
      <w:r w:rsidRPr="0005501C">
        <w:rPr>
          <w:rFonts w:ascii="Times New Roman" w:hAnsi="Times New Roman" w:cs="Times New Roman"/>
        </w:rPr>
        <w:t xml:space="preserve"> determine the effectiveness of the Pharmacy Students Emergency Response Training (PSERT) intervention on the preparedness and readiness of pharmacy students in Koronadal City. The data gathered from pre-test and post-test of the control group and experimental group are presented, analyzed, and interpreted using appropriate statistical tools. Descriptive and inferential statistics such as mean, paired sample t-test and independent sample t-test were used to answer specific questions of the study.</w:t>
      </w:r>
    </w:p>
    <w:p w14:paraId="3E0BBCE0" w14:textId="032E7B6A" w:rsidR="00B31FFE" w:rsidRPr="0005501C" w:rsidRDefault="00D573F1" w:rsidP="002565A4">
      <w:pPr>
        <w:pStyle w:val="Heading2"/>
        <w:spacing w:line="240" w:lineRule="auto"/>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Table 2. Preparedness Level of Pharmacy Students Before and After the PSERT Intervention</w:t>
      </w:r>
    </w:p>
    <w:tbl>
      <w:tblPr>
        <w:tblW w:w="0" w:type="auto"/>
        <w:tblCellMar>
          <w:top w:w="15" w:type="dxa"/>
          <w:left w:w="15" w:type="dxa"/>
          <w:bottom w:w="15" w:type="dxa"/>
          <w:right w:w="15" w:type="dxa"/>
        </w:tblCellMar>
        <w:tblLook w:val="04A0" w:firstRow="1" w:lastRow="0" w:firstColumn="1" w:lastColumn="0" w:noHBand="0" w:noVBand="1"/>
      </w:tblPr>
      <w:tblGrid>
        <w:gridCol w:w="1660"/>
        <w:gridCol w:w="787"/>
        <w:gridCol w:w="740"/>
        <w:gridCol w:w="1723"/>
        <w:gridCol w:w="787"/>
        <w:gridCol w:w="740"/>
        <w:gridCol w:w="1726"/>
      </w:tblGrid>
      <w:tr w:rsidR="00D573F1" w:rsidRPr="0005501C" w14:paraId="054299AA" w14:textId="77777777" w:rsidTr="004C77C5">
        <w:trPr>
          <w:trHeight w:val="40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A1FF24"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b/>
                <w:bCs/>
              </w:rPr>
              <w:t>Group</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5D149"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b/>
                <w:bCs/>
              </w:rPr>
              <w:t>Pre-Test</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AA2C2"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b/>
                <w:bCs/>
              </w:rPr>
              <w:t>Post-Test</w:t>
            </w:r>
          </w:p>
        </w:tc>
      </w:tr>
      <w:tr w:rsidR="00D573F1" w:rsidRPr="0005501C" w14:paraId="1D3FD5DD" w14:textId="77777777" w:rsidTr="004C77C5">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0DB02C" w14:textId="77777777" w:rsidR="00D573F1" w:rsidRPr="0005501C" w:rsidRDefault="00D573F1" w:rsidP="002565A4">
            <w:pPr>
              <w:spacing w:after="0" w:line="240" w:lineRule="auto"/>
              <w:jc w:val="both"/>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C88A4"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b/>
                <w:bCs/>
              </w:rPr>
              <w:t>Mean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2AA56"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b/>
                <w:bCs/>
              </w:rPr>
              <w:t>SD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D65E7"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b/>
                <w:bCs/>
              </w:rPr>
              <w:t>Interpretation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B45C2"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b/>
                <w:bCs/>
              </w:rPr>
              <w:t>Mean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FDA19"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b/>
                <w:bCs/>
              </w:rPr>
              <w:t>SD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EDAE1"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b/>
                <w:bCs/>
              </w:rPr>
              <w:t>Interpretation </w:t>
            </w:r>
          </w:p>
        </w:tc>
      </w:tr>
      <w:tr w:rsidR="00D573F1" w:rsidRPr="0005501C" w14:paraId="62629953" w14:textId="77777777" w:rsidTr="004C77C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C36E2"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b/>
                <w:bCs/>
              </w:rPr>
              <w:t>Experimental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24D66"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rPr>
              <w:t>15.73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01EF8"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rPr>
              <w:t>3.150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0CC90"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rPr>
              <w:t>Low Level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47A31"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rPr>
              <w:t>23.47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092E4"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rPr>
              <w:t>3.777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FF1F7" w14:textId="77777777" w:rsidR="00D573F1" w:rsidRPr="0005501C" w:rsidRDefault="00D573F1" w:rsidP="002565A4">
            <w:pPr>
              <w:spacing w:after="0" w:line="240" w:lineRule="auto"/>
              <w:jc w:val="both"/>
              <w:rPr>
                <w:rFonts w:ascii="Times New Roman" w:hAnsi="Times New Roman" w:cs="Times New Roman"/>
              </w:rPr>
            </w:pPr>
            <w:r w:rsidRPr="0005501C">
              <w:rPr>
                <w:rFonts w:ascii="Times New Roman" w:hAnsi="Times New Roman" w:cs="Times New Roman"/>
              </w:rPr>
              <w:t>Moderate Level</w:t>
            </w:r>
          </w:p>
        </w:tc>
      </w:tr>
    </w:tbl>
    <w:p w14:paraId="166896F1" w14:textId="77777777" w:rsidR="00D573F1" w:rsidRPr="0005501C" w:rsidRDefault="00D573F1" w:rsidP="002565A4">
      <w:pPr>
        <w:spacing w:before="240" w:after="240" w:line="240" w:lineRule="auto"/>
        <w:jc w:val="both"/>
        <w:rPr>
          <w:rFonts w:ascii="Times New Roman" w:hAnsi="Times New Roman" w:cs="Times New Roman"/>
        </w:rPr>
      </w:pPr>
      <w:r w:rsidRPr="0005501C">
        <w:rPr>
          <w:rFonts w:ascii="Times New Roman" w:hAnsi="Times New Roman" w:cs="Times New Roman"/>
        </w:rPr>
        <w:t>The data presented in table 2 shows the level of preparedness of pharmacy students before and after the implementation of the Pharmacy Students Emergency Response Training (PSERT) intervention. The experimental group obtained a pre-test mean score of 15.73 (SD = 3.150), interpreted as a low level of preparedness. After the intervention, the post-test mean score increased to 23.47 (SD = 3.777), interpreted as a moderate level, reflecting an increase of approximately 7.74 points.</w:t>
      </w:r>
    </w:p>
    <w:p w14:paraId="4C93E70A" w14:textId="3FC3B2D4" w:rsidR="00FF06C5" w:rsidRPr="0005501C" w:rsidRDefault="00D573F1" w:rsidP="002565A4">
      <w:pPr>
        <w:pStyle w:val="BodyText"/>
        <w:spacing w:before="240" w:after="240" w:line="240" w:lineRule="auto"/>
        <w:jc w:val="both"/>
        <w:rPr>
          <w:rFonts w:ascii="Times New Roman" w:hAnsi="Times New Roman" w:cs="Times New Roman"/>
        </w:rPr>
      </w:pPr>
      <w:r w:rsidRPr="0005501C">
        <w:rPr>
          <w:rFonts w:ascii="Times New Roman" w:hAnsi="Times New Roman" w:cs="Times New Roman"/>
        </w:rPr>
        <w:t>The</w:t>
      </w:r>
      <w:r w:rsidR="002565A4">
        <w:rPr>
          <w:rFonts w:ascii="Times New Roman" w:hAnsi="Times New Roman" w:cs="Times New Roman"/>
        </w:rPr>
        <w:t xml:space="preserve"> observed improvement in scores indicates</w:t>
      </w:r>
      <w:r w:rsidRPr="0005501C">
        <w:rPr>
          <w:rFonts w:ascii="Times New Roman" w:hAnsi="Times New Roman" w:cs="Times New Roman"/>
        </w:rPr>
        <w:t xml:space="preserve"> that the PSERT intervention improved </w:t>
      </w:r>
      <w:r w:rsidR="002565A4">
        <w:rPr>
          <w:rFonts w:ascii="Times New Roman" w:hAnsi="Times New Roman" w:cs="Times New Roman"/>
        </w:rPr>
        <w:t xml:space="preserve">pharmacy students’ </w:t>
      </w:r>
      <w:r w:rsidRPr="0005501C">
        <w:rPr>
          <w:rFonts w:ascii="Times New Roman" w:hAnsi="Times New Roman" w:cs="Times New Roman"/>
        </w:rPr>
        <w:t>preparedness during flood-related emergencies. Similar findings were reported by Marino et al. (2024), Farajalla et al. (2023), and McCourt et al. (2020), who emphasized that structured disaster training improves students’ preparedness and confidence in emergency response</w:t>
      </w:r>
      <w:r w:rsidR="00774478" w:rsidRPr="0005501C">
        <w:rPr>
          <w:rFonts w:ascii="Times New Roman" w:hAnsi="Times New Roman" w:cs="Times New Roman"/>
        </w:rPr>
        <w:t>.</w:t>
      </w:r>
    </w:p>
    <w:p w14:paraId="75FB063A" w14:textId="750B683A" w:rsidR="00774478" w:rsidRPr="0005501C" w:rsidRDefault="00D573F1" w:rsidP="002565A4">
      <w:pPr>
        <w:pStyle w:val="Heading2"/>
        <w:spacing w:before="120" w:after="120" w:line="240" w:lineRule="auto"/>
        <w:jc w:val="both"/>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Table 3. Readiness Level of Pharmacy Students Before and After the PSERT Intervention</w:t>
      </w:r>
    </w:p>
    <w:tbl>
      <w:tblPr>
        <w:tblW w:w="0" w:type="auto"/>
        <w:tblCellMar>
          <w:top w:w="15" w:type="dxa"/>
          <w:left w:w="15" w:type="dxa"/>
          <w:bottom w:w="15" w:type="dxa"/>
          <w:right w:w="15" w:type="dxa"/>
        </w:tblCellMar>
        <w:tblLook w:val="04A0" w:firstRow="1" w:lastRow="0" w:firstColumn="1" w:lastColumn="0" w:noHBand="0" w:noVBand="1"/>
      </w:tblPr>
      <w:tblGrid>
        <w:gridCol w:w="1660"/>
        <w:gridCol w:w="787"/>
        <w:gridCol w:w="740"/>
        <w:gridCol w:w="1723"/>
        <w:gridCol w:w="787"/>
        <w:gridCol w:w="740"/>
        <w:gridCol w:w="1723"/>
      </w:tblGrid>
      <w:tr w:rsidR="00D573F1" w:rsidRPr="0005501C" w14:paraId="6CA9B887" w14:textId="77777777">
        <w:trPr>
          <w:trHeight w:val="43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CE450E"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b/>
                <w:bCs/>
              </w:rPr>
              <w:t>Group</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BF816"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b/>
                <w:bCs/>
              </w:rPr>
              <w:t>Pre-Test</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95835"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b/>
                <w:bCs/>
              </w:rPr>
              <w:t>Post-Test</w:t>
            </w:r>
          </w:p>
        </w:tc>
      </w:tr>
      <w:tr w:rsidR="00D573F1" w:rsidRPr="0005501C" w14:paraId="4CAFC520" w14:textId="77777777">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18F3A0" w14:textId="77777777" w:rsidR="00D573F1" w:rsidRPr="0005501C" w:rsidRDefault="00D573F1" w:rsidP="002565A4">
            <w:pPr>
              <w:spacing w:after="0"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72035"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b/>
                <w:bCs/>
              </w:rPr>
              <w:t>Mean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B7E5A"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b/>
                <w:bCs/>
              </w:rPr>
              <w:t>SD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B0828"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b/>
                <w:bCs/>
              </w:rPr>
              <w:t>Interpretation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4A89D"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b/>
                <w:bCs/>
              </w:rPr>
              <w:t>Mean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5972D"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b/>
                <w:bCs/>
              </w:rPr>
              <w:t>SD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59B32"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b/>
                <w:bCs/>
              </w:rPr>
              <w:t>Interpretation </w:t>
            </w:r>
          </w:p>
        </w:tc>
      </w:tr>
      <w:tr w:rsidR="00D573F1" w:rsidRPr="0005501C" w14:paraId="18B52BC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A2F20"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b/>
                <w:bCs/>
              </w:rPr>
              <w:t>Experimental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E9195"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rPr>
              <w:t>17.20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3A205"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rPr>
              <w:t>3.840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B900E"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rPr>
              <w:t>Low Level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234B0"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rPr>
              <w:t>25.13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C2856"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rPr>
              <w:t>5.083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47ABA" w14:textId="77777777" w:rsidR="00D573F1" w:rsidRPr="0005501C" w:rsidRDefault="00D573F1" w:rsidP="002565A4">
            <w:pPr>
              <w:spacing w:after="0" w:line="240" w:lineRule="auto"/>
              <w:rPr>
                <w:rFonts w:ascii="Times New Roman" w:hAnsi="Times New Roman" w:cs="Times New Roman"/>
              </w:rPr>
            </w:pPr>
            <w:r w:rsidRPr="0005501C">
              <w:rPr>
                <w:rFonts w:ascii="Times New Roman" w:hAnsi="Times New Roman" w:cs="Times New Roman"/>
              </w:rPr>
              <w:t>High Level</w:t>
            </w:r>
          </w:p>
        </w:tc>
      </w:tr>
    </w:tbl>
    <w:p w14:paraId="3A2AE1D2" w14:textId="14FFCBE6" w:rsidR="00774478" w:rsidRPr="0005501C" w:rsidRDefault="00D573F1" w:rsidP="002565A4">
      <w:pPr>
        <w:pStyle w:val="BodyText"/>
        <w:spacing w:before="240" w:after="240" w:line="240" w:lineRule="auto"/>
        <w:jc w:val="both"/>
        <w:rPr>
          <w:rFonts w:ascii="Times New Roman" w:hAnsi="Times New Roman" w:cs="Times New Roman"/>
        </w:rPr>
      </w:pPr>
      <w:r w:rsidRPr="0005501C">
        <w:rPr>
          <w:rFonts w:ascii="Times New Roman" w:hAnsi="Times New Roman" w:cs="Times New Roman"/>
        </w:rPr>
        <w:t>Table 3 presents the readiness of pharmacy students in the experimental group before and after the implementation of the PSERT intervention, showing changes in mean score, standard deviation, and interpretation. Before the intervention, the students demonstrated a low level of readiness with a mean score of 17.20 (SD = 3.840). After the intervention, the mean score increased to 25.13 (SD = 5.083), interpreted as a high level, reflecting an improvement of approximately 7.93 points. These findings are supported by previous studies indicating that disaster-related training enhances healthcare students’ knowledge, competencies, self-efficacy, and readiness to respond effectively during emergencies. Studies by Nikitara et al. (2025), Wiedyaningsih et al. (2023), and Gillani et al. (2020) further report that students generally exhibit low to moderate readiness prior to structured training, emphasizing the importance of interventions such as PSERT in improving disaster preparedness and response capability</w:t>
      </w:r>
      <w:r w:rsidR="00774478" w:rsidRPr="0005501C">
        <w:rPr>
          <w:rFonts w:ascii="Times New Roman" w:hAnsi="Times New Roman" w:cs="Times New Roman"/>
        </w:rPr>
        <w:t>.</w:t>
      </w:r>
    </w:p>
    <w:p w14:paraId="3C2FE9F2" w14:textId="155EC457" w:rsidR="00D97EC7" w:rsidRPr="0005501C" w:rsidRDefault="00D97EC7" w:rsidP="002565A4">
      <w:pPr>
        <w:pStyle w:val="Heading2"/>
        <w:spacing w:before="120" w:after="120" w:line="240" w:lineRule="auto"/>
        <w:jc w:val="both"/>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lastRenderedPageBreak/>
        <w:t>Table 4. Difference in Preparedness and Readiness Before and After the PSERT Intervention</w:t>
      </w:r>
    </w:p>
    <w:tbl>
      <w:tblPr>
        <w:tblW w:w="0" w:type="auto"/>
        <w:tblCellMar>
          <w:top w:w="15" w:type="dxa"/>
          <w:left w:w="15" w:type="dxa"/>
          <w:bottom w:w="15" w:type="dxa"/>
          <w:right w:w="15" w:type="dxa"/>
        </w:tblCellMar>
        <w:tblLook w:val="04A0" w:firstRow="1" w:lastRow="0" w:firstColumn="1" w:lastColumn="0" w:noHBand="0" w:noVBand="1"/>
      </w:tblPr>
      <w:tblGrid>
        <w:gridCol w:w="2982"/>
        <w:gridCol w:w="3067"/>
        <w:gridCol w:w="965"/>
        <w:gridCol w:w="961"/>
      </w:tblGrid>
      <w:tr w:rsidR="00D97EC7" w:rsidRPr="0005501C" w14:paraId="3345A14A" w14:textId="77777777" w:rsidTr="00D97EC7">
        <w:trPr>
          <w:trHeight w:val="204"/>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34D9CC5" w14:textId="5DDE9702" w:rsidR="00D97EC7" w:rsidRPr="0005501C" w:rsidRDefault="00D97EC7" w:rsidP="002565A4">
            <w:pPr>
              <w:spacing w:after="0" w:line="240" w:lineRule="auto"/>
              <w:jc w:val="center"/>
              <w:rPr>
                <w:rFonts w:ascii="Times New Roman" w:hAnsi="Times New Roman" w:cs="Times New Roman"/>
                <w:b/>
                <w:bCs/>
              </w:rPr>
            </w:pPr>
            <w:r w:rsidRPr="0005501C">
              <w:rPr>
                <w:rFonts w:ascii="Times New Roman" w:hAnsi="Times New Roman" w:cs="Times New Roman"/>
                <w:b/>
                <w:bCs/>
              </w:rPr>
              <w:t>Measure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3EA5D" w14:textId="5FDCD764" w:rsidR="00D97EC7" w:rsidRPr="0005501C" w:rsidRDefault="00D97EC7" w:rsidP="002565A4">
            <w:pPr>
              <w:spacing w:after="0" w:line="240" w:lineRule="auto"/>
              <w:jc w:val="center"/>
              <w:rPr>
                <w:rFonts w:ascii="Times New Roman" w:hAnsi="Times New Roman" w:cs="Times New Roman"/>
              </w:rPr>
            </w:pPr>
            <w:r w:rsidRPr="0005501C">
              <w:rPr>
                <w:rFonts w:ascii="Times New Roman" w:hAnsi="Times New Roman" w:cs="Times New Roman"/>
                <w:b/>
                <w:bCs/>
              </w:rPr>
              <w:t>Me</w:t>
            </w:r>
            <w:r w:rsidRPr="0005501C">
              <w:rPr>
                <w:rFonts w:ascii="Times New Roman" w:hAnsi="Times New Roman" w:cs="Times New Roman"/>
                <w:b/>
                <w:bCs/>
              </w:rPr>
              <w:t>asure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2BF7D" w14:textId="070E3940" w:rsidR="00D97EC7" w:rsidRPr="0005501C" w:rsidRDefault="00D97EC7" w:rsidP="002565A4">
            <w:pPr>
              <w:spacing w:after="0" w:line="240" w:lineRule="auto"/>
              <w:rPr>
                <w:rFonts w:ascii="Times New Roman" w:hAnsi="Times New Roman" w:cs="Times New Roman"/>
                <w:b/>
                <w:bCs/>
              </w:rPr>
            </w:pPr>
            <w:r w:rsidRPr="0005501C">
              <w:rPr>
                <w:rFonts w:ascii="Times New Roman" w:hAnsi="Times New Roman" w:cs="Times New Roman"/>
                <w:b/>
                <w:bCs/>
              </w:rPr>
              <w:t>T-value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8DFBF" w14:textId="0021F915" w:rsidR="00D97EC7" w:rsidRPr="0005501C" w:rsidRDefault="00D97EC7" w:rsidP="002565A4">
            <w:pPr>
              <w:spacing w:after="0" w:line="240" w:lineRule="auto"/>
              <w:rPr>
                <w:rFonts w:ascii="Times New Roman" w:hAnsi="Times New Roman" w:cs="Times New Roman"/>
                <w:b/>
                <w:bCs/>
              </w:rPr>
            </w:pPr>
            <w:r w:rsidRPr="0005501C">
              <w:rPr>
                <w:rFonts w:ascii="Times New Roman" w:hAnsi="Times New Roman" w:cs="Times New Roman"/>
                <w:b/>
                <w:bCs/>
              </w:rPr>
              <w:t>p-value</w:t>
            </w:r>
          </w:p>
        </w:tc>
      </w:tr>
      <w:tr w:rsidR="00D97EC7" w:rsidRPr="0005501C" w14:paraId="588AFD30" w14:textId="77777777" w:rsidTr="004C77C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951DA" w14:textId="21F4B093" w:rsidR="00D97EC7" w:rsidRPr="0005501C" w:rsidRDefault="00D97EC7" w:rsidP="002565A4">
            <w:pPr>
              <w:spacing w:after="0" w:line="240" w:lineRule="auto"/>
              <w:rPr>
                <w:rFonts w:ascii="Times New Roman" w:hAnsi="Times New Roman" w:cs="Times New Roman"/>
              </w:rPr>
            </w:pPr>
            <w:r w:rsidRPr="0005501C">
              <w:rPr>
                <w:rFonts w:ascii="Times New Roman" w:hAnsi="Times New Roman" w:cs="Times New Roman"/>
                <w:b/>
                <w:bCs/>
              </w:rPr>
              <w:t>Preparedness Pretest Score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5D3FD" w14:textId="1D79CB1C" w:rsidR="00D97EC7" w:rsidRPr="0005501C" w:rsidRDefault="00D97EC7" w:rsidP="002565A4">
            <w:pPr>
              <w:spacing w:after="0" w:line="240" w:lineRule="auto"/>
              <w:rPr>
                <w:rFonts w:ascii="Times New Roman" w:hAnsi="Times New Roman" w:cs="Times New Roman"/>
              </w:rPr>
            </w:pPr>
            <w:r w:rsidRPr="0005501C">
              <w:rPr>
                <w:rFonts w:ascii="Times New Roman" w:hAnsi="Times New Roman" w:cs="Times New Roman"/>
                <w:b/>
                <w:bCs/>
              </w:rPr>
              <w:t>Preparedness Posttest Score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268CD" w14:textId="4094D6F1" w:rsidR="00D97EC7" w:rsidRPr="0005501C" w:rsidRDefault="00D97EC7" w:rsidP="002565A4">
            <w:pPr>
              <w:spacing w:after="0" w:line="240" w:lineRule="auto"/>
              <w:rPr>
                <w:rFonts w:ascii="Times New Roman" w:hAnsi="Times New Roman" w:cs="Times New Roman"/>
              </w:rPr>
            </w:pPr>
            <w:r w:rsidRPr="0005501C">
              <w:rPr>
                <w:rFonts w:ascii="Times New Roman" w:hAnsi="Times New Roman" w:cs="Times New Roman"/>
              </w:rPr>
              <w:t>-7.574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B5CC8" w14:textId="7EDFEC39" w:rsidR="00D97EC7" w:rsidRPr="0005501C" w:rsidRDefault="00D97EC7" w:rsidP="002565A4">
            <w:pPr>
              <w:spacing w:after="0" w:line="240" w:lineRule="auto"/>
              <w:rPr>
                <w:rFonts w:ascii="Times New Roman" w:hAnsi="Times New Roman" w:cs="Times New Roman"/>
              </w:rPr>
            </w:pPr>
            <w:r w:rsidRPr="0005501C">
              <w:rPr>
                <w:rFonts w:ascii="Times New Roman" w:hAnsi="Times New Roman" w:cs="Times New Roman"/>
              </w:rPr>
              <w:t>&lt; .001</w:t>
            </w:r>
          </w:p>
        </w:tc>
      </w:tr>
      <w:tr w:rsidR="00D97EC7" w:rsidRPr="0005501C" w14:paraId="65D6B000" w14:textId="77777777" w:rsidTr="004C77C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64D5A" w14:textId="0E30E3A7" w:rsidR="00D97EC7" w:rsidRPr="0005501C" w:rsidRDefault="00D97EC7" w:rsidP="002565A4">
            <w:pPr>
              <w:spacing w:after="0" w:line="240" w:lineRule="auto"/>
              <w:rPr>
                <w:rFonts w:ascii="Times New Roman" w:hAnsi="Times New Roman" w:cs="Times New Roman"/>
                <w:b/>
                <w:bCs/>
              </w:rPr>
            </w:pPr>
            <w:r w:rsidRPr="0005501C">
              <w:rPr>
                <w:rFonts w:ascii="Times New Roman" w:hAnsi="Times New Roman" w:cs="Times New Roman"/>
                <w:b/>
                <w:bCs/>
              </w:rPr>
              <w:t>Readiness Pretest Score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23D54" w14:textId="697014CF" w:rsidR="00D97EC7" w:rsidRPr="0005501C" w:rsidRDefault="00D97EC7" w:rsidP="002565A4">
            <w:pPr>
              <w:spacing w:after="0" w:line="240" w:lineRule="auto"/>
              <w:rPr>
                <w:rFonts w:ascii="Times New Roman" w:hAnsi="Times New Roman" w:cs="Times New Roman"/>
              </w:rPr>
            </w:pPr>
            <w:r w:rsidRPr="0005501C">
              <w:rPr>
                <w:rFonts w:ascii="Times New Roman" w:hAnsi="Times New Roman" w:cs="Times New Roman"/>
                <w:b/>
                <w:bCs/>
              </w:rPr>
              <w:t>Readiness Posttest Score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78BDF" w14:textId="71068DD0" w:rsidR="00D97EC7" w:rsidRPr="0005501C" w:rsidRDefault="00D97EC7" w:rsidP="002565A4">
            <w:pPr>
              <w:spacing w:after="0" w:line="240" w:lineRule="auto"/>
              <w:rPr>
                <w:rFonts w:ascii="Times New Roman" w:hAnsi="Times New Roman" w:cs="Times New Roman"/>
              </w:rPr>
            </w:pPr>
            <w:r w:rsidRPr="0005501C">
              <w:rPr>
                <w:rFonts w:ascii="Times New Roman" w:hAnsi="Times New Roman" w:cs="Times New Roman"/>
              </w:rPr>
              <w:t>-5.275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DA102" w14:textId="237B5016" w:rsidR="00D97EC7" w:rsidRPr="0005501C" w:rsidRDefault="00D97EC7" w:rsidP="002565A4">
            <w:pPr>
              <w:spacing w:after="0" w:line="240" w:lineRule="auto"/>
              <w:rPr>
                <w:rFonts w:ascii="Times New Roman" w:hAnsi="Times New Roman" w:cs="Times New Roman"/>
              </w:rPr>
            </w:pPr>
            <w:r w:rsidRPr="0005501C">
              <w:rPr>
                <w:rFonts w:ascii="Times New Roman" w:hAnsi="Times New Roman" w:cs="Times New Roman"/>
              </w:rPr>
              <w:t>&lt; .001</w:t>
            </w:r>
          </w:p>
        </w:tc>
      </w:tr>
    </w:tbl>
    <w:p w14:paraId="6811B47D" w14:textId="0B322051" w:rsidR="005111DD" w:rsidRPr="0005501C" w:rsidRDefault="005111DD" w:rsidP="002565A4">
      <w:pPr>
        <w:pStyle w:val="BodyText"/>
        <w:spacing w:after="240" w:line="240" w:lineRule="auto"/>
        <w:jc w:val="both"/>
        <w:rPr>
          <w:rFonts w:ascii="Times New Roman" w:hAnsi="Times New Roman" w:cs="Times New Roman"/>
        </w:rPr>
      </w:pPr>
      <w:r w:rsidRPr="0005501C">
        <w:rPr>
          <w:rFonts w:ascii="Times New Roman" w:hAnsi="Times New Roman" w:cs="Times New Roman"/>
        </w:rPr>
        <w:t>* Calculation was performed at 0.05 alpha level of significance.</w:t>
      </w:r>
    </w:p>
    <w:p w14:paraId="7821C10A" w14:textId="77777777" w:rsidR="005111DD" w:rsidRPr="0005501C" w:rsidRDefault="005111DD" w:rsidP="002565A4">
      <w:pPr>
        <w:pStyle w:val="BodyText"/>
        <w:spacing w:before="240" w:line="240" w:lineRule="auto"/>
        <w:jc w:val="both"/>
        <w:rPr>
          <w:rFonts w:ascii="Times New Roman" w:hAnsi="Times New Roman" w:cs="Times New Roman"/>
        </w:rPr>
      </w:pPr>
      <w:r w:rsidRPr="0005501C">
        <w:rPr>
          <w:rFonts w:ascii="Times New Roman" w:hAnsi="Times New Roman" w:cs="Times New Roman"/>
        </w:rPr>
        <w:t>Table 4 shows the differences in the preparedness and readiness scores of pharmacy students before and after the implementation of the Pharmacy Students Emergency Response Training (PSERT) intervention. The paired-sample t-test for preparedness yielded a t-value of -7.574 with a computed p-value of less than 0.001, while readiness yielded a t-value of -5.275 with a computed p-value of less than 0.001. Since both p-values were lower than the 0.05 level of significance, the null hypotheses were rejected, indicating statistically significant differences between the pre-test and post-test scores.</w:t>
      </w:r>
    </w:p>
    <w:p w14:paraId="0871CB63" w14:textId="7F0732CB" w:rsidR="00D97EC7" w:rsidRPr="0005501C" w:rsidRDefault="005111DD" w:rsidP="002565A4">
      <w:pPr>
        <w:pStyle w:val="BodyText"/>
        <w:spacing w:before="240" w:after="240" w:line="240" w:lineRule="auto"/>
        <w:jc w:val="both"/>
        <w:rPr>
          <w:rFonts w:ascii="Times New Roman" w:hAnsi="Times New Roman" w:cs="Times New Roman"/>
        </w:rPr>
      </w:pPr>
      <w:r w:rsidRPr="0005501C">
        <w:rPr>
          <w:rFonts w:ascii="Times New Roman" w:hAnsi="Times New Roman" w:cs="Times New Roman"/>
        </w:rPr>
        <w:t>These findings suggest that the PSERT intervention improved the preparedness and readiness of pharmacy students during flood emergencies. According to Bonovas et al. (2023), a p-value lower than 0.05 indicates a significant difference between conditions. Similar findings were reported by Hsieh et al. (2024), Aslanoğlu et al. (2024), and Amini et al. (2024), who found that disaster preparedness training improved participants’ preparedness, readiness, and response performance. The results indicate that the PSERT intervention enhanced the preparedness and readiness of pharmacy students for appropriate and effective responses during flood emergencies</w:t>
      </w:r>
      <w:r w:rsidR="00D97EC7" w:rsidRPr="0005501C">
        <w:rPr>
          <w:rFonts w:ascii="Times New Roman" w:hAnsi="Times New Roman" w:cs="Times New Roman"/>
        </w:rPr>
        <w:t>.</w:t>
      </w:r>
      <w:r w:rsidRPr="0005501C">
        <w:rPr>
          <w:rFonts w:ascii="Times New Roman" w:hAnsi="Times New Roman" w:cs="Times New Roman"/>
        </w:rPr>
        <w:tab/>
      </w:r>
    </w:p>
    <w:p w14:paraId="4243AB4C" w14:textId="29AF5037" w:rsidR="005111DD" w:rsidRPr="0005501C" w:rsidRDefault="005111DD" w:rsidP="002565A4">
      <w:pPr>
        <w:pStyle w:val="Heading2"/>
        <w:spacing w:before="120" w:after="120" w:line="240" w:lineRule="auto"/>
        <w:jc w:val="both"/>
        <w:rPr>
          <w:rFonts w:ascii="Times New Roman" w:hAnsi="Times New Roman" w:cs="Times New Roman"/>
          <w:b/>
          <w:bCs/>
          <w:color w:val="auto"/>
          <w:sz w:val="24"/>
          <w:szCs w:val="24"/>
        </w:rPr>
      </w:pPr>
      <w:r w:rsidRPr="0005501C">
        <w:rPr>
          <w:rFonts w:ascii="Times New Roman" w:hAnsi="Times New Roman" w:cs="Times New Roman"/>
          <w:b/>
          <w:bCs/>
          <w:color w:val="auto"/>
          <w:sz w:val="24"/>
          <w:szCs w:val="24"/>
        </w:rPr>
        <w:t>Table 5. Difference in Preparedness and Readiness Between Experimental and Control Group</w:t>
      </w:r>
    </w:p>
    <w:tbl>
      <w:tblPr>
        <w:tblW w:w="0" w:type="auto"/>
        <w:tblCellMar>
          <w:top w:w="15" w:type="dxa"/>
          <w:left w:w="15" w:type="dxa"/>
          <w:bottom w:w="15" w:type="dxa"/>
          <w:right w:w="15" w:type="dxa"/>
        </w:tblCellMar>
        <w:tblLook w:val="04A0" w:firstRow="1" w:lastRow="0" w:firstColumn="1" w:lastColumn="0" w:noHBand="0" w:noVBand="1"/>
      </w:tblPr>
      <w:tblGrid>
        <w:gridCol w:w="2960"/>
        <w:gridCol w:w="1800"/>
        <w:gridCol w:w="990"/>
        <w:gridCol w:w="900"/>
        <w:gridCol w:w="990"/>
        <w:gridCol w:w="1080"/>
      </w:tblGrid>
      <w:tr w:rsidR="005111DD" w:rsidRPr="0005501C" w14:paraId="4A8F782A" w14:textId="77777777" w:rsidTr="00CB36BF">
        <w:trPr>
          <w:trHeight w:val="204"/>
        </w:trPr>
        <w:tc>
          <w:tcPr>
            <w:tcW w:w="2960" w:type="dxa"/>
            <w:tcBorders>
              <w:top w:val="single" w:sz="8" w:space="0" w:color="000000"/>
              <w:left w:val="single" w:sz="8" w:space="0" w:color="000000"/>
              <w:bottom w:val="single" w:sz="8" w:space="0" w:color="000000"/>
              <w:right w:val="single" w:sz="8" w:space="0" w:color="000000"/>
            </w:tcBorders>
          </w:tcPr>
          <w:p w14:paraId="60CE8EEE" w14:textId="77777777" w:rsidR="005111DD" w:rsidRPr="0005501C" w:rsidRDefault="005111DD" w:rsidP="002565A4">
            <w:pPr>
              <w:spacing w:after="0" w:line="240" w:lineRule="auto"/>
              <w:jc w:val="center"/>
              <w:rPr>
                <w:rFonts w:ascii="Times New Roman" w:hAnsi="Times New Roman" w:cs="Times New Roman"/>
                <w:b/>
                <w:bCs/>
              </w:rPr>
            </w:pP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90F508A" w14:textId="51B035F9" w:rsidR="005111DD" w:rsidRPr="0005501C" w:rsidRDefault="001F1D2C" w:rsidP="002565A4">
            <w:pPr>
              <w:spacing w:after="0" w:line="240" w:lineRule="auto"/>
              <w:jc w:val="center"/>
              <w:rPr>
                <w:rFonts w:ascii="Times New Roman" w:hAnsi="Times New Roman" w:cs="Times New Roman"/>
                <w:b/>
                <w:bCs/>
              </w:rPr>
            </w:pPr>
            <w:r>
              <w:rPr>
                <w:rFonts w:ascii="Times New Roman" w:hAnsi="Times New Roman" w:cs="Times New Roman"/>
                <w:b/>
                <w:bCs/>
              </w:rPr>
              <w:t>Group</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18504" w14:textId="041C5AB6" w:rsidR="005111DD" w:rsidRPr="0005501C" w:rsidRDefault="005111DD" w:rsidP="002565A4">
            <w:pPr>
              <w:spacing w:after="0" w:line="240" w:lineRule="auto"/>
              <w:jc w:val="center"/>
              <w:rPr>
                <w:rFonts w:ascii="Times New Roman" w:hAnsi="Times New Roman" w:cs="Times New Roman"/>
              </w:rPr>
            </w:pPr>
            <w:r w:rsidRPr="0005501C">
              <w:rPr>
                <w:rFonts w:ascii="Times New Roman" w:hAnsi="Times New Roman" w:cs="Times New Roman"/>
                <w:b/>
                <w:bCs/>
              </w:rPr>
              <w:t>Mean</w:t>
            </w:r>
          </w:p>
        </w:tc>
        <w:tc>
          <w:tcPr>
            <w:tcW w:w="900" w:type="dxa"/>
            <w:tcBorders>
              <w:top w:val="single" w:sz="8" w:space="0" w:color="000000"/>
              <w:left w:val="single" w:sz="8" w:space="0" w:color="000000"/>
              <w:bottom w:val="single" w:sz="8" w:space="0" w:color="000000"/>
              <w:right w:val="single" w:sz="8" w:space="0" w:color="000000"/>
            </w:tcBorders>
          </w:tcPr>
          <w:p w14:paraId="6BF0104C" w14:textId="001B3E6B" w:rsidR="005111DD" w:rsidRPr="0005501C" w:rsidRDefault="005111DD" w:rsidP="002565A4">
            <w:pPr>
              <w:spacing w:after="0" w:line="240" w:lineRule="auto"/>
              <w:jc w:val="center"/>
              <w:rPr>
                <w:rFonts w:ascii="Times New Roman" w:hAnsi="Times New Roman" w:cs="Times New Roman"/>
                <w:b/>
                <w:bCs/>
              </w:rPr>
            </w:pPr>
            <w:r w:rsidRPr="0005501C">
              <w:rPr>
                <w:rFonts w:ascii="Times New Roman" w:hAnsi="Times New Roman" w:cs="Times New Roman"/>
                <w:b/>
                <w:bCs/>
              </w:rPr>
              <w:t>SD</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8BDD9" w14:textId="119DC089" w:rsidR="005111DD" w:rsidRPr="0005501C" w:rsidRDefault="005111DD" w:rsidP="002565A4">
            <w:pPr>
              <w:spacing w:after="0" w:line="240" w:lineRule="auto"/>
              <w:jc w:val="center"/>
              <w:rPr>
                <w:rFonts w:ascii="Times New Roman" w:hAnsi="Times New Roman" w:cs="Times New Roman"/>
                <w:b/>
                <w:bCs/>
              </w:rPr>
            </w:pPr>
            <w:r w:rsidRPr="0005501C">
              <w:rPr>
                <w:rFonts w:ascii="Times New Roman" w:hAnsi="Times New Roman" w:cs="Times New Roman"/>
                <w:b/>
                <w:bCs/>
              </w:rPr>
              <w:t>T-value</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80E0A" w14:textId="2A7CDA73" w:rsidR="005111DD" w:rsidRPr="0005501C" w:rsidRDefault="005111DD" w:rsidP="002565A4">
            <w:pPr>
              <w:spacing w:after="0" w:line="240" w:lineRule="auto"/>
              <w:jc w:val="center"/>
              <w:rPr>
                <w:rFonts w:ascii="Times New Roman" w:hAnsi="Times New Roman" w:cs="Times New Roman"/>
                <w:b/>
                <w:bCs/>
              </w:rPr>
            </w:pPr>
            <w:r w:rsidRPr="0005501C">
              <w:rPr>
                <w:rFonts w:ascii="Times New Roman" w:hAnsi="Times New Roman" w:cs="Times New Roman"/>
                <w:b/>
                <w:bCs/>
              </w:rPr>
              <w:t>P</w:t>
            </w:r>
            <w:r w:rsidRPr="0005501C">
              <w:rPr>
                <w:rFonts w:ascii="Times New Roman" w:hAnsi="Times New Roman" w:cs="Times New Roman"/>
                <w:b/>
                <w:bCs/>
              </w:rPr>
              <w:t>-value</w:t>
            </w:r>
          </w:p>
        </w:tc>
      </w:tr>
      <w:tr w:rsidR="00CB36BF" w:rsidRPr="0005501C" w14:paraId="73DDBF0F" w14:textId="77777777" w:rsidTr="00CB36BF">
        <w:trPr>
          <w:trHeight w:val="753"/>
        </w:trPr>
        <w:tc>
          <w:tcPr>
            <w:tcW w:w="2960" w:type="dxa"/>
            <w:vMerge w:val="restart"/>
            <w:tcBorders>
              <w:top w:val="single" w:sz="8" w:space="0" w:color="000000"/>
              <w:left w:val="single" w:sz="8" w:space="0" w:color="000000"/>
              <w:right w:val="single" w:sz="8" w:space="0" w:color="000000"/>
            </w:tcBorders>
          </w:tcPr>
          <w:p w14:paraId="25493B9B" w14:textId="3926C482" w:rsidR="00CB36BF" w:rsidRPr="0005501C" w:rsidRDefault="00CB36BF" w:rsidP="002565A4">
            <w:pPr>
              <w:spacing w:after="0" w:line="240" w:lineRule="auto"/>
              <w:rPr>
                <w:rFonts w:ascii="Times New Roman" w:hAnsi="Times New Roman" w:cs="Times New Roman"/>
                <w:b/>
                <w:bCs/>
              </w:rPr>
            </w:pPr>
            <w:r w:rsidRPr="0005501C">
              <w:rPr>
                <w:rFonts w:ascii="Times New Roman" w:hAnsi="Times New Roman" w:cs="Times New Roman"/>
                <w:b/>
                <w:bCs/>
              </w:rPr>
              <w:t>Preparedness P</w:t>
            </w:r>
            <w:r w:rsidRPr="0005501C">
              <w:rPr>
                <w:rFonts w:ascii="Times New Roman" w:hAnsi="Times New Roman" w:cs="Times New Roman"/>
                <w:b/>
                <w:bCs/>
              </w:rPr>
              <w:t>ost</w:t>
            </w:r>
            <w:r w:rsidRPr="0005501C">
              <w:rPr>
                <w:rFonts w:ascii="Times New Roman" w:hAnsi="Times New Roman" w:cs="Times New Roman"/>
                <w:b/>
                <w:bCs/>
              </w:rPr>
              <w:t>test Score</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1B7A0" w14:textId="7217E5D5" w:rsidR="00CB36BF" w:rsidRPr="001F1D2C" w:rsidRDefault="00CB36BF" w:rsidP="002565A4">
            <w:pPr>
              <w:spacing w:after="0" w:line="240" w:lineRule="auto"/>
              <w:rPr>
                <w:rFonts w:ascii="Times New Roman" w:hAnsi="Times New Roman" w:cs="Times New Roman"/>
                <w:b/>
                <w:bCs/>
              </w:rPr>
            </w:pPr>
            <w:r w:rsidRPr="001F1D2C">
              <w:rPr>
                <w:rFonts w:ascii="Times New Roman" w:hAnsi="Times New Roman" w:cs="Times New Roman"/>
                <w:b/>
                <w:bCs/>
              </w:rPr>
              <w:t>Experimental</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E6332" w14:textId="394EC87D" w:rsidR="00CB36BF" w:rsidRPr="0005501C" w:rsidRDefault="00CB36BF" w:rsidP="002565A4">
            <w:pPr>
              <w:spacing w:after="0" w:line="240" w:lineRule="auto"/>
              <w:jc w:val="center"/>
              <w:rPr>
                <w:rFonts w:ascii="Times New Roman" w:hAnsi="Times New Roman" w:cs="Times New Roman"/>
              </w:rPr>
            </w:pPr>
            <w:r w:rsidRPr="0005501C">
              <w:rPr>
                <w:rFonts w:ascii="Times New Roman" w:hAnsi="Times New Roman" w:cs="Times New Roman"/>
              </w:rPr>
              <w:t>23.47</w:t>
            </w:r>
          </w:p>
        </w:tc>
        <w:tc>
          <w:tcPr>
            <w:tcW w:w="900" w:type="dxa"/>
            <w:tcBorders>
              <w:top w:val="single" w:sz="8" w:space="0" w:color="000000"/>
              <w:left w:val="single" w:sz="8" w:space="0" w:color="000000"/>
              <w:bottom w:val="single" w:sz="8" w:space="0" w:color="000000"/>
              <w:right w:val="single" w:sz="8" w:space="0" w:color="000000"/>
            </w:tcBorders>
          </w:tcPr>
          <w:p w14:paraId="7C098FB0" w14:textId="0F8B7F04" w:rsidR="00CB36BF" w:rsidRPr="0005501C" w:rsidRDefault="00CB36BF" w:rsidP="002565A4">
            <w:pPr>
              <w:spacing w:after="0" w:line="240" w:lineRule="auto"/>
              <w:jc w:val="center"/>
              <w:rPr>
                <w:rFonts w:ascii="Times New Roman" w:hAnsi="Times New Roman" w:cs="Times New Roman"/>
              </w:rPr>
            </w:pPr>
            <w:r w:rsidRPr="0005501C">
              <w:rPr>
                <w:rFonts w:ascii="Times New Roman" w:hAnsi="Times New Roman" w:cs="Times New Roman"/>
              </w:rPr>
              <w:t>3.77</w:t>
            </w:r>
          </w:p>
        </w:tc>
        <w:tc>
          <w:tcPr>
            <w:tcW w:w="99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560488F" w14:textId="13694244" w:rsidR="00CB36BF" w:rsidRPr="0005501C" w:rsidRDefault="00CB36BF" w:rsidP="002565A4">
            <w:pPr>
              <w:spacing w:after="0" w:line="240" w:lineRule="auto"/>
              <w:jc w:val="center"/>
              <w:rPr>
                <w:rFonts w:ascii="Times New Roman" w:hAnsi="Times New Roman" w:cs="Times New Roman"/>
              </w:rPr>
            </w:pPr>
            <w:r w:rsidRPr="0005501C">
              <w:rPr>
                <w:rFonts w:ascii="Times New Roman" w:hAnsi="Times New Roman" w:cs="Times New Roman"/>
              </w:rPr>
              <w:t>-</w:t>
            </w:r>
            <w:r w:rsidRPr="0005501C">
              <w:rPr>
                <w:rFonts w:ascii="Times New Roman" w:hAnsi="Times New Roman" w:cs="Times New Roman"/>
              </w:rPr>
              <w:t>4.405</w:t>
            </w:r>
          </w:p>
        </w:tc>
        <w:tc>
          <w:tcPr>
            <w:tcW w:w="108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9CC7628" w14:textId="77777777" w:rsidR="00CB36BF" w:rsidRPr="0005501C" w:rsidRDefault="00CB36BF" w:rsidP="002565A4">
            <w:pPr>
              <w:spacing w:after="0" w:line="240" w:lineRule="auto"/>
              <w:jc w:val="center"/>
              <w:rPr>
                <w:rFonts w:ascii="Times New Roman" w:hAnsi="Times New Roman" w:cs="Times New Roman"/>
              </w:rPr>
            </w:pPr>
            <w:r w:rsidRPr="0005501C">
              <w:rPr>
                <w:rFonts w:ascii="Times New Roman" w:hAnsi="Times New Roman" w:cs="Times New Roman"/>
              </w:rPr>
              <w:t>&lt; .001</w:t>
            </w:r>
          </w:p>
        </w:tc>
      </w:tr>
      <w:tr w:rsidR="00CB36BF" w:rsidRPr="0005501C" w14:paraId="50293CEE" w14:textId="77777777" w:rsidTr="00CB36BF">
        <w:tc>
          <w:tcPr>
            <w:tcW w:w="2960" w:type="dxa"/>
            <w:vMerge/>
            <w:tcBorders>
              <w:left w:val="single" w:sz="8" w:space="0" w:color="000000"/>
              <w:bottom w:val="single" w:sz="8" w:space="0" w:color="000000"/>
              <w:right w:val="single" w:sz="8" w:space="0" w:color="000000"/>
            </w:tcBorders>
          </w:tcPr>
          <w:p w14:paraId="4CB0F0BF" w14:textId="77777777" w:rsidR="00CB36BF" w:rsidRPr="0005501C" w:rsidRDefault="00CB36BF" w:rsidP="002565A4">
            <w:pPr>
              <w:spacing w:after="0" w:line="240" w:lineRule="auto"/>
              <w:rPr>
                <w:rFonts w:ascii="Times New Roman" w:hAnsi="Times New Roman" w:cs="Times New Roman"/>
                <w:b/>
                <w:bCs/>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0B9DC" w14:textId="3FD2C828" w:rsidR="00CB36BF" w:rsidRPr="001F1D2C" w:rsidRDefault="00CB36BF" w:rsidP="002565A4">
            <w:pPr>
              <w:spacing w:after="0" w:line="240" w:lineRule="auto"/>
              <w:rPr>
                <w:rFonts w:ascii="Times New Roman" w:hAnsi="Times New Roman" w:cs="Times New Roman"/>
                <w:b/>
                <w:bCs/>
              </w:rPr>
            </w:pPr>
            <w:r w:rsidRPr="001F1D2C">
              <w:rPr>
                <w:rFonts w:ascii="Times New Roman" w:hAnsi="Times New Roman" w:cs="Times New Roman"/>
                <w:b/>
                <w:bCs/>
              </w:rPr>
              <w:t>Control</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70B09" w14:textId="5DE0A107" w:rsidR="00CB36BF" w:rsidRPr="0005501C" w:rsidRDefault="00CB36BF" w:rsidP="002565A4">
            <w:pPr>
              <w:spacing w:after="0" w:line="240" w:lineRule="auto"/>
              <w:jc w:val="center"/>
              <w:rPr>
                <w:rFonts w:ascii="Times New Roman" w:hAnsi="Times New Roman" w:cs="Times New Roman"/>
              </w:rPr>
            </w:pPr>
            <w:r w:rsidRPr="0005501C">
              <w:rPr>
                <w:rFonts w:ascii="Times New Roman" w:hAnsi="Times New Roman" w:cs="Times New Roman"/>
              </w:rPr>
              <w:t>18.20</w:t>
            </w:r>
          </w:p>
        </w:tc>
        <w:tc>
          <w:tcPr>
            <w:tcW w:w="900" w:type="dxa"/>
            <w:tcBorders>
              <w:top w:val="single" w:sz="8" w:space="0" w:color="000000"/>
              <w:left w:val="single" w:sz="8" w:space="0" w:color="000000"/>
              <w:bottom w:val="single" w:sz="8" w:space="0" w:color="000000"/>
              <w:right w:val="single" w:sz="8" w:space="0" w:color="000000"/>
            </w:tcBorders>
          </w:tcPr>
          <w:p w14:paraId="082F1125" w14:textId="3E32F561" w:rsidR="00CB36BF" w:rsidRPr="0005501C" w:rsidRDefault="00CB36BF" w:rsidP="002565A4">
            <w:pPr>
              <w:spacing w:after="0" w:line="240" w:lineRule="auto"/>
              <w:jc w:val="center"/>
              <w:rPr>
                <w:rFonts w:ascii="Times New Roman" w:hAnsi="Times New Roman" w:cs="Times New Roman"/>
              </w:rPr>
            </w:pPr>
            <w:r w:rsidRPr="0005501C">
              <w:rPr>
                <w:rFonts w:ascii="Times New Roman" w:hAnsi="Times New Roman" w:cs="Times New Roman"/>
              </w:rPr>
              <w:t>2.678</w:t>
            </w:r>
          </w:p>
        </w:tc>
        <w:tc>
          <w:tcPr>
            <w:tcW w:w="99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0B166C0" w14:textId="77777777" w:rsidR="00CB36BF" w:rsidRPr="0005501C" w:rsidRDefault="00CB36BF" w:rsidP="002565A4">
            <w:pPr>
              <w:spacing w:after="0" w:line="240" w:lineRule="auto"/>
              <w:jc w:val="center"/>
              <w:rPr>
                <w:rFonts w:ascii="Times New Roman" w:hAnsi="Times New Roman" w:cs="Times New Roman"/>
              </w:rPr>
            </w:pPr>
          </w:p>
        </w:tc>
        <w:tc>
          <w:tcPr>
            <w:tcW w:w="108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0BF90F8" w14:textId="77777777" w:rsidR="00CB36BF" w:rsidRPr="0005501C" w:rsidRDefault="00CB36BF" w:rsidP="002565A4">
            <w:pPr>
              <w:spacing w:after="0" w:line="240" w:lineRule="auto"/>
              <w:jc w:val="center"/>
              <w:rPr>
                <w:rFonts w:ascii="Times New Roman" w:hAnsi="Times New Roman" w:cs="Times New Roman"/>
              </w:rPr>
            </w:pPr>
          </w:p>
        </w:tc>
      </w:tr>
      <w:tr w:rsidR="00CB36BF" w:rsidRPr="0005501C" w14:paraId="5C0C8081" w14:textId="77777777" w:rsidTr="00CB36BF">
        <w:tc>
          <w:tcPr>
            <w:tcW w:w="2960" w:type="dxa"/>
            <w:vMerge w:val="restart"/>
            <w:tcBorders>
              <w:top w:val="single" w:sz="8" w:space="0" w:color="000000"/>
              <w:left w:val="single" w:sz="8" w:space="0" w:color="000000"/>
              <w:right w:val="single" w:sz="8" w:space="0" w:color="000000"/>
            </w:tcBorders>
          </w:tcPr>
          <w:p w14:paraId="2CE6A97B" w14:textId="568ADFC1" w:rsidR="00CB36BF" w:rsidRPr="0005501C" w:rsidRDefault="00CB36BF" w:rsidP="002565A4">
            <w:pPr>
              <w:spacing w:after="0" w:line="240" w:lineRule="auto"/>
              <w:rPr>
                <w:rFonts w:ascii="Times New Roman" w:hAnsi="Times New Roman" w:cs="Times New Roman"/>
                <w:b/>
                <w:bCs/>
              </w:rPr>
            </w:pPr>
            <w:r w:rsidRPr="0005501C">
              <w:rPr>
                <w:rFonts w:ascii="Times New Roman" w:hAnsi="Times New Roman" w:cs="Times New Roman"/>
                <w:b/>
                <w:bCs/>
              </w:rPr>
              <w:t>Readiness Posttest Score</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F79D2F" w14:textId="3883A85D" w:rsidR="00CB36BF" w:rsidRPr="001F1D2C" w:rsidRDefault="00CB36BF" w:rsidP="002565A4">
            <w:pPr>
              <w:spacing w:after="0" w:line="240" w:lineRule="auto"/>
              <w:rPr>
                <w:rFonts w:ascii="Times New Roman" w:hAnsi="Times New Roman" w:cs="Times New Roman"/>
                <w:b/>
                <w:bCs/>
              </w:rPr>
            </w:pPr>
            <w:r w:rsidRPr="001F1D2C">
              <w:rPr>
                <w:rFonts w:ascii="Times New Roman" w:hAnsi="Times New Roman" w:cs="Times New Roman"/>
                <w:b/>
                <w:bCs/>
              </w:rPr>
              <w:t>Experimental</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5DBEE" w14:textId="6B49B73E" w:rsidR="00CB36BF" w:rsidRPr="0005501C" w:rsidRDefault="00CB36BF" w:rsidP="002565A4">
            <w:pPr>
              <w:spacing w:after="0" w:line="240" w:lineRule="auto"/>
              <w:jc w:val="center"/>
              <w:rPr>
                <w:rFonts w:ascii="Times New Roman" w:hAnsi="Times New Roman" w:cs="Times New Roman"/>
              </w:rPr>
            </w:pPr>
            <w:r w:rsidRPr="0005501C">
              <w:rPr>
                <w:rFonts w:ascii="Times New Roman" w:hAnsi="Times New Roman" w:cs="Times New Roman"/>
              </w:rPr>
              <w:t>25.13</w:t>
            </w:r>
          </w:p>
        </w:tc>
        <w:tc>
          <w:tcPr>
            <w:tcW w:w="900" w:type="dxa"/>
            <w:tcBorders>
              <w:top w:val="single" w:sz="8" w:space="0" w:color="000000"/>
              <w:left w:val="single" w:sz="8" w:space="0" w:color="000000"/>
              <w:bottom w:val="single" w:sz="8" w:space="0" w:color="000000"/>
              <w:right w:val="single" w:sz="8" w:space="0" w:color="000000"/>
            </w:tcBorders>
          </w:tcPr>
          <w:p w14:paraId="718C76A7" w14:textId="66CB754A" w:rsidR="00CB36BF" w:rsidRPr="0005501C" w:rsidRDefault="00CB36BF" w:rsidP="002565A4">
            <w:pPr>
              <w:spacing w:after="0" w:line="240" w:lineRule="auto"/>
              <w:jc w:val="center"/>
              <w:rPr>
                <w:rFonts w:ascii="Times New Roman" w:hAnsi="Times New Roman" w:cs="Times New Roman"/>
              </w:rPr>
            </w:pPr>
            <w:r w:rsidRPr="0005501C">
              <w:rPr>
                <w:rFonts w:ascii="Times New Roman" w:hAnsi="Times New Roman" w:cs="Times New Roman"/>
              </w:rPr>
              <w:t>5.083</w:t>
            </w:r>
          </w:p>
        </w:tc>
        <w:tc>
          <w:tcPr>
            <w:tcW w:w="99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2E31AB9" w14:textId="7C13213D" w:rsidR="00CB36BF" w:rsidRPr="0005501C" w:rsidRDefault="00CB36BF" w:rsidP="002565A4">
            <w:pPr>
              <w:spacing w:after="0" w:line="240" w:lineRule="auto"/>
              <w:jc w:val="center"/>
              <w:rPr>
                <w:rFonts w:ascii="Times New Roman" w:hAnsi="Times New Roman" w:cs="Times New Roman"/>
              </w:rPr>
            </w:pPr>
            <w:r w:rsidRPr="0005501C">
              <w:rPr>
                <w:rFonts w:ascii="Times New Roman" w:hAnsi="Times New Roman" w:cs="Times New Roman"/>
              </w:rPr>
              <w:t>-</w:t>
            </w:r>
            <w:r w:rsidRPr="0005501C">
              <w:rPr>
                <w:rFonts w:ascii="Times New Roman" w:hAnsi="Times New Roman" w:cs="Times New Roman"/>
              </w:rPr>
              <w:t>3.146</w:t>
            </w:r>
          </w:p>
        </w:tc>
        <w:tc>
          <w:tcPr>
            <w:tcW w:w="108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D84D5D8" w14:textId="6AA0558D" w:rsidR="00CB36BF" w:rsidRPr="0005501C" w:rsidRDefault="00CB36BF" w:rsidP="002565A4">
            <w:pPr>
              <w:spacing w:after="0" w:line="240" w:lineRule="auto"/>
              <w:jc w:val="center"/>
              <w:rPr>
                <w:rFonts w:ascii="Times New Roman" w:hAnsi="Times New Roman" w:cs="Times New Roman"/>
              </w:rPr>
            </w:pPr>
            <w:r w:rsidRPr="0005501C">
              <w:rPr>
                <w:rFonts w:ascii="Times New Roman" w:hAnsi="Times New Roman" w:cs="Times New Roman"/>
              </w:rPr>
              <w:t>.004</w:t>
            </w:r>
          </w:p>
        </w:tc>
      </w:tr>
      <w:tr w:rsidR="00CB36BF" w:rsidRPr="0005501C" w14:paraId="55F350A0" w14:textId="77777777" w:rsidTr="00CB36BF">
        <w:tc>
          <w:tcPr>
            <w:tcW w:w="2960" w:type="dxa"/>
            <w:vMerge/>
            <w:tcBorders>
              <w:left w:val="single" w:sz="8" w:space="0" w:color="000000"/>
              <w:bottom w:val="single" w:sz="8" w:space="0" w:color="000000"/>
              <w:right w:val="single" w:sz="8" w:space="0" w:color="000000"/>
            </w:tcBorders>
          </w:tcPr>
          <w:p w14:paraId="0F1C4933" w14:textId="77777777" w:rsidR="00CB36BF" w:rsidRPr="0005501C" w:rsidRDefault="00CB36BF" w:rsidP="002565A4">
            <w:pPr>
              <w:spacing w:after="0" w:line="240" w:lineRule="auto"/>
              <w:rPr>
                <w:rFonts w:ascii="Times New Roman" w:hAnsi="Times New Roman" w:cs="Times New Roman"/>
                <w:b/>
                <w:bCs/>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0E073" w14:textId="2DDEBA79" w:rsidR="00CB36BF" w:rsidRPr="001F1D2C" w:rsidRDefault="00CB36BF" w:rsidP="002565A4">
            <w:pPr>
              <w:spacing w:after="0" w:line="240" w:lineRule="auto"/>
              <w:rPr>
                <w:rFonts w:ascii="Times New Roman" w:hAnsi="Times New Roman" w:cs="Times New Roman"/>
                <w:b/>
                <w:bCs/>
              </w:rPr>
            </w:pPr>
            <w:r w:rsidRPr="001F1D2C">
              <w:rPr>
                <w:rFonts w:ascii="Times New Roman" w:hAnsi="Times New Roman" w:cs="Times New Roman"/>
                <w:b/>
                <w:bCs/>
              </w:rPr>
              <w:t>Control</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F7B16" w14:textId="29E7CD21" w:rsidR="00CB36BF" w:rsidRPr="0005501C" w:rsidRDefault="00CB36BF" w:rsidP="002565A4">
            <w:pPr>
              <w:spacing w:after="0" w:line="240" w:lineRule="auto"/>
              <w:jc w:val="center"/>
              <w:rPr>
                <w:rFonts w:ascii="Times New Roman" w:hAnsi="Times New Roman" w:cs="Times New Roman"/>
              </w:rPr>
            </w:pPr>
            <w:r w:rsidRPr="0005501C">
              <w:rPr>
                <w:rFonts w:ascii="Times New Roman" w:hAnsi="Times New Roman" w:cs="Times New Roman"/>
              </w:rPr>
              <w:t>20.07</w:t>
            </w:r>
          </w:p>
        </w:tc>
        <w:tc>
          <w:tcPr>
            <w:tcW w:w="900" w:type="dxa"/>
            <w:tcBorders>
              <w:top w:val="single" w:sz="8" w:space="0" w:color="000000"/>
              <w:left w:val="single" w:sz="8" w:space="0" w:color="000000"/>
              <w:bottom w:val="single" w:sz="8" w:space="0" w:color="000000"/>
              <w:right w:val="single" w:sz="8" w:space="0" w:color="000000"/>
            </w:tcBorders>
          </w:tcPr>
          <w:p w14:paraId="2BC1D6A2" w14:textId="00B5C89C" w:rsidR="00CB36BF" w:rsidRPr="0005501C" w:rsidRDefault="00CB36BF" w:rsidP="002565A4">
            <w:pPr>
              <w:spacing w:after="0" w:line="240" w:lineRule="auto"/>
              <w:jc w:val="center"/>
              <w:rPr>
                <w:rFonts w:ascii="Times New Roman" w:hAnsi="Times New Roman" w:cs="Times New Roman"/>
              </w:rPr>
            </w:pPr>
            <w:r w:rsidRPr="0005501C">
              <w:rPr>
                <w:rFonts w:ascii="Times New Roman" w:hAnsi="Times New Roman" w:cs="Times New Roman"/>
              </w:rPr>
              <w:t>3.615</w:t>
            </w:r>
          </w:p>
        </w:tc>
        <w:tc>
          <w:tcPr>
            <w:tcW w:w="99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653BDF2" w14:textId="77777777" w:rsidR="00CB36BF" w:rsidRPr="0005501C" w:rsidRDefault="00CB36BF" w:rsidP="002565A4">
            <w:pPr>
              <w:spacing w:after="0" w:line="240" w:lineRule="auto"/>
              <w:jc w:val="center"/>
              <w:rPr>
                <w:rFonts w:ascii="Times New Roman" w:hAnsi="Times New Roman" w:cs="Times New Roman"/>
              </w:rPr>
            </w:pPr>
          </w:p>
        </w:tc>
        <w:tc>
          <w:tcPr>
            <w:tcW w:w="108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5AAD67E" w14:textId="77777777" w:rsidR="00CB36BF" w:rsidRPr="0005501C" w:rsidRDefault="00CB36BF" w:rsidP="002565A4">
            <w:pPr>
              <w:spacing w:after="0" w:line="240" w:lineRule="auto"/>
              <w:jc w:val="center"/>
              <w:rPr>
                <w:rFonts w:ascii="Times New Roman" w:hAnsi="Times New Roman" w:cs="Times New Roman"/>
              </w:rPr>
            </w:pPr>
          </w:p>
        </w:tc>
      </w:tr>
    </w:tbl>
    <w:p w14:paraId="66AAC82D" w14:textId="77777777" w:rsidR="005111DD" w:rsidRPr="0005501C" w:rsidRDefault="005111DD" w:rsidP="002565A4">
      <w:pPr>
        <w:pStyle w:val="BodyText"/>
        <w:spacing w:after="240" w:line="240" w:lineRule="auto"/>
        <w:jc w:val="both"/>
        <w:rPr>
          <w:rFonts w:ascii="Times New Roman" w:hAnsi="Times New Roman" w:cs="Times New Roman"/>
        </w:rPr>
      </w:pPr>
      <w:r w:rsidRPr="0005501C">
        <w:rPr>
          <w:rFonts w:ascii="Times New Roman" w:hAnsi="Times New Roman" w:cs="Times New Roman"/>
        </w:rPr>
        <w:t>* Calculation was performed at 0.05 alpha level of significance.</w:t>
      </w:r>
    </w:p>
    <w:p w14:paraId="0E5296D3" w14:textId="77777777" w:rsidR="00CB36BF" w:rsidRPr="0005501C" w:rsidRDefault="00CB36BF" w:rsidP="002565A4">
      <w:pPr>
        <w:pStyle w:val="BodyText"/>
        <w:spacing w:before="240" w:after="240" w:line="240" w:lineRule="auto"/>
        <w:jc w:val="both"/>
        <w:rPr>
          <w:rFonts w:ascii="Times New Roman" w:hAnsi="Times New Roman" w:cs="Times New Roman"/>
        </w:rPr>
      </w:pPr>
      <w:r w:rsidRPr="0005501C">
        <w:rPr>
          <w:rFonts w:ascii="Times New Roman" w:hAnsi="Times New Roman" w:cs="Times New Roman"/>
        </w:rPr>
        <w:t>Table 5 presents the differences in the level of preparedness and readiness of pharmacy students between the experimental and control groups after the implementation of the PSERT intervention. The post-test scores between experimental and control groups show a significant difference in preparedness (t = -4.405, p &lt; 0.001). Students who participated in the PSERT intervention showed significantly higher preparedness than those in the control group. These findings suggest that structured training improved knowledge and understanding related to flood disaster preparedness. These results are consistent with Patel (2021), who emphasized that disaster-focused training enhances healthcare students’ preparedness in managing emergency situations.</w:t>
      </w:r>
    </w:p>
    <w:p w14:paraId="1170E569" w14:textId="77777777" w:rsidR="00CB36BF" w:rsidRPr="0005501C" w:rsidRDefault="00CB36BF" w:rsidP="002565A4">
      <w:pPr>
        <w:pStyle w:val="BodyText"/>
        <w:spacing w:before="240" w:after="240" w:line="240" w:lineRule="auto"/>
        <w:jc w:val="both"/>
        <w:rPr>
          <w:rFonts w:ascii="Times New Roman" w:hAnsi="Times New Roman" w:cs="Times New Roman"/>
        </w:rPr>
      </w:pPr>
      <w:r w:rsidRPr="0005501C">
        <w:rPr>
          <w:rFonts w:ascii="Times New Roman" w:hAnsi="Times New Roman" w:cs="Times New Roman"/>
        </w:rPr>
        <w:t>Furthermore, the post-test readiness scores between the experimental and control groups also indicated a significant difference (t = -3.146, p = 0.004). Students who participated in the PSERT intervention showed significantly higher readiness levels compared to those in the control group. The higher readiness scores reflect increased willingness and perceived ability to respond appropriately during flood emergency situations effectively, aligning with findings from Wagner (2025), who reported that focused disaster training enhances self-efficacy and proactive response behavior among students.</w:t>
      </w:r>
    </w:p>
    <w:p w14:paraId="331DAEEF" w14:textId="77777777" w:rsidR="00CB36BF" w:rsidRPr="0005501C" w:rsidRDefault="00CB36BF" w:rsidP="002565A4">
      <w:pPr>
        <w:pStyle w:val="BodyText"/>
        <w:spacing w:before="240" w:after="240" w:line="240" w:lineRule="auto"/>
        <w:jc w:val="both"/>
        <w:rPr>
          <w:rFonts w:ascii="Times New Roman" w:hAnsi="Times New Roman" w:cs="Times New Roman"/>
        </w:rPr>
      </w:pPr>
      <w:r w:rsidRPr="0005501C">
        <w:rPr>
          <w:rFonts w:ascii="Times New Roman" w:hAnsi="Times New Roman" w:cs="Times New Roman"/>
        </w:rPr>
        <w:t xml:space="preserve">The slight improvement observed in the control group may be influenced by factors such as prior knowledge, familiarity with the test, and increased awareness after the pre-test. In pretest–posttest designs, this is known as </w:t>
      </w:r>
      <w:r w:rsidRPr="0005501C">
        <w:rPr>
          <w:rFonts w:ascii="Times New Roman" w:hAnsi="Times New Roman" w:cs="Times New Roman"/>
        </w:rPr>
        <w:lastRenderedPageBreak/>
        <w:t>the testing effect, where exposure to the pre-test itself can influence participants’ post-test performance, even without any intervention (Pan &amp; Carpenter, 2023).</w:t>
      </w:r>
    </w:p>
    <w:p w14:paraId="40CE5518" w14:textId="690E5EEF" w:rsidR="005111DD" w:rsidRPr="0005501C" w:rsidRDefault="00CB36BF" w:rsidP="002565A4">
      <w:pPr>
        <w:pStyle w:val="BodyText"/>
        <w:spacing w:before="240" w:after="240" w:line="240" w:lineRule="auto"/>
        <w:jc w:val="both"/>
        <w:rPr>
          <w:rFonts w:ascii="Times New Roman" w:hAnsi="Times New Roman" w:cs="Times New Roman"/>
        </w:rPr>
      </w:pPr>
      <w:r w:rsidRPr="0005501C">
        <w:rPr>
          <w:rFonts w:ascii="Times New Roman" w:hAnsi="Times New Roman" w:cs="Times New Roman"/>
        </w:rPr>
        <w:t>Overall, it is evident that the PSERT intervention was associated with higher levels of preparedness and readiness among pharmacy students. The experimental group showed significantly higher scores  compared to the control group, emphasizing the potential of the intervention to improve students’ preparedness and readiness for disaster response. These findings suggest that PSERT can contribute to enhancing pharmacy students’ preparedness and readiness in responding to flood-related emergencies. Therefore, the null hypothesis stating that there is no significant difference in preparedness and readiness between the experimental and control groups was rejected</w:t>
      </w:r>
      <w:r w:rsidR="005111DD" w:rsidRPr="0005501C">
        <w:rPr>
          <w:rFonts w:ascii="Times New Roman" w:hAnsi="Times New Roman" w:cs="Times New Roman"/>
        </w:rPr>
        <w:t>.</w:t>
      </w:r>
    </w:p>
    <w:p w14:paraId="0F0692B4" w14:textId="2DA60757" w:rsidR="007F6E5C" w:rsidRPr="0005501C" w:rsidRDefault="007F6E5C" w:rsidP="002565A4">
      <w:pPr>
        <w:pStyle w:val="Heading1"/>
        <w:spacing w:before="120" w:after="120" w:line="240" w:lineRule="auto"/>
        <w:jc w:val="both"/>
        <w:rPr>
          <w:rFonts w:ascii="Times New Roman" w:hAnsi="Times New Roman" w:cs="Times New Roman"/>
          <w:b/>
          <w:bCs/>
          <w:color w:val="auto"/>
          <w:sz w:val="28"/>
          <w:szCs w:val="28"/>
        </w:rPr>
      </w:pPr>
      <w:r w:rsidRPr="0005501C">
        <w:rPr>
          <w:rFonts w:ascii="Times New Roman" w:hAnsi="Times New Roman" w:cs="Times New Roman"/>
          <w:b/>
          <w:bCs/>
          <w:color w:val="auto"/>
          <w:sz w:val="28"/>
          <w:szCs w:val="28"/>
        </w:rPr>
        <w:t>CONCLUSION</w:t>
      </w:r>
    </w:p>
    <w:p w14:paraId="73B7EDE9" w14:textId="0BD88E80" w:rsidR="002C222B" w:rsidRPr="0005501C" w:rsidRDefault="00CB36BF" w:rsidP="002565A4">
      <w:pPr>
        <w:pStyle w:val="BodyText"/>
        <w:spacing w:before="240" w:after="240" w:line="240" w:lineRule="auto"/>
        <w:jc w:val="both"/>
        <w:rPr>
          <w:rFonts w:ascii="Times New Roman" w:hAnsi="Times New Roman" w:cs="Times New Roman"/>
        </w:rPr>
      </w:pPr>
      <w:r w:rsidRPr="0005501C">
        <w:rPr>
          <w:rFonts w:ascii="Times New Roman" w:hAnsi="Times New Roman" w:cs="Times New Roman"/>
        </w:rPr>
        <w:t>Considering the results, the study concludes that the PSERT intervention significantly improved the preparedness and readiness of pharmacy students in responding to flood disasters. The experimental group showed significant increases in both preparedness and readiness from pre-test to post-test, improving from low to moderate and low to high levels, respectively. Statistical analysis confirmed that these improvements were significant, with the experimental group showing higher post-test scores compared to the control group, which did not receive the intervention. Overall, the findings indicate that structured flood disaster training such as PSERT effectively enhances students’ ability to respond appropriately during flood-related emergencies</w:t>
      </w:r>
      <w:r w:rsidR="002C222B" w:rsidRPr="0005501C">
        <w:rPr>
          <w:rFonts w:ascii="Times New Roman" w:hAnsi="Times New Roman" w:cs="Times New Roman"/>
        </w:rPr>
        <w:t>.</w:t>
      </w:r>
    </w:p>
    <w:p w14:paraId="7A398076" w14:textId="53F145A3" w:rsidR="00CE4A17" w:rsidRPr="0005501C" w:rsidRDefault="00CE4A17" w:rsidP="002565A4">
      <w:pPr>
        <w:pStyle w:val="Heading1"/>
        <w:spacing w:before="120" w:after="120" w:line="240" w:lineRule="auto"/>
        <w:jc w:val="both"/>
        <w:rPr>
          <w:rFonts w:ascii="Times New Roman" w:hAnsi="Times New Roman" w:cs="Times New Roman"/>
          <w:b/>
          <w:bCs/>
          <w:color w:val="auto"/>
          <w:sz w:val="28"/>
          <w:szCs w:val="28"/>
        </w:rPr>
      </w:pPr>
      <w:r w:rsidRPr="0005501C">
        <w:rPr>
          <w:rFonts w:ascii="Times New Roman" w:hAnsi="Times New Roman" w:cs="Times New Roman"/>
          <w:b/>
          <w:bCs/>
          <w:color w:val="auto"/>
          <w:sz w:val="28"/>
          <w:szCs w:val="28"/>
        </w:rPr>
        <w:t>RECOMMENDATIONS</w:t>
      </w:r>
    </w:p>
    <w:p w14:paraId="0B02185F" w14:textId="56B6CF1F" w:rsidR="00CE4A17" w:rsidRPr="0005501C" w:rsidRDefault="00CB36BF" w:rsidP="002565A4">
      <w:pPr>
        <w:pStyle w:val="BodyText"/>
        <w:spacing w:before="240" w:after="240" w:line="240" w:lineRule="auto"/>
        <w:jc w:val="both"/>
        <w:rPr>
          <w:rFonts w:ascii="Times New Roman" w:hAnsi="Times New Roman" w:cs="Times New Roman"/>
        </w:rPr>
      </w:pPr>
      <w:r w:rsidRPr="0005501C">
        <w:rPr>
          <w:rFonts w:ascii="Times New Roman" w:hAnsi="Times New Roman" w:cs="Times New Roman"/>
        </w:rPr>
        <w:t>This study recommends the integration of the Pharmacy Students Emergency Response Training (PSERT) into the pharmacy curriculum across all year levels and its incorporation into Disaster Risk Reduction and Management (DRRM) programs and Philippine Red Cross (PRC) initiatives to enhance pharmacy students’ preparedness and readiness for flood-related disaster response. Future implementations may include practicing pharmacists, particularly those in community drugstores and professional organizations, to strengthen collaboration in disaster response efforts. Further studies are encouraged to utilize performance-based assessments alongside written tests, as well as larger sample sizes, other disaster types, and long-term evaluations to further validate and strengthen the findings of this study</w:t>
      </w:r>
      <w:r w:rsidR="00CE4A17" w:rsidRPr="0005501C">
        <w:rPr>
          <w:rFonts w:ascii="Times New Roman" w:hAnsi="Times New Roman" w:cs="Times New Roman"/>
        </w:rPr>
        <w:t>.</w:t>
      </w:r>
    </w:p>
    <w:p w14:paraId="7E32F78D" w14:textId="45F4F2AB" w:rsidR="00CB36BF" w:rsidRPr="0005501C" w:rsidRDefault="00CB36BF" w:rsidP="002565A4">
      <w:pPr>
        <w:pStyle w:val="Heading1"/>
        <w:spacing w:before="120" w:after="120" w:line="240" w:lineRule="auto"/>
        <w:jc w:val="both"/>
        <w:rPr>
          <w:rFonts w:ascii="Times New Roman" w:hAnsi="Times New Roman" w:cs="Times New Roman"/>
          <w:b/>
          <w:bCs/>
          <w:color w:val="auto"/>
          <w:sz w:val="28"/>
          <w:szCs w:val="28"/>
        </w:rPr>
      </w:pPr>
      <w:r w:rsidRPr="0005501C">
        <w:rPr>
          <w:rFonts w:ascii="Times New Roman" w:hAnsi="Times New Roman" w:cs="Times New Roman"/>
          <w:b/>
          <w:bCs/>
          <w:color w:val="auto"/>
          <w:sz w:val="28"/>
          <w:szCs w:val="28"/>
        </w:rPr>
        <w:t>ACKNOWLEDGEDMENT</w:t>
      </w:r>
    </w:p>
    <w:p w14:paraId="0926600E" w14:textId="0193D3C8" w:rsidR="00CB36BF" w:rsidRPr="0005501C" w:rsidRDefault="00643B28" w:rsidP="002565A4">
      <w:pPr>
        <w:pStyle w:val="BodyText"/>
        <w:spacing w:before="240" w:after="240" w:line="240" w:lineRule="auto"/>
        <w:jc w:val="both"/>
        <w:rPr>
          <w:rFonts w:ascii="Times New Roman" w:hAnsi="Times New Roman" w:cs="Times New Roman"/>
        </w:rPr>
      </w:pPr>
      <w:r w:rsidRPr="0005501C">
        <w:rPr>
          <w:rFonts w:ascii="Times New Roman" w:hAnsi="Times New Roman" w:cs="Times New Roman"/>
        </w:rPr>
        <w:t>The authors gratefully acknowledge all participants of the study and St. Alexius College, Inc. for allowing the researchers to conduct the study. The following people are acknowledged: Faller, E., Chanco, J., Rasay. R., and Sayson-Pawai, M. Also acknowledged are the members of the panel of examiners, validators, respondents of the study, and all individuals who collaborated with and assisted the researchers throughout the completion of this study. Above all, the researchers express their deepest gratitude to Almighty God for His guidance, wisdom, and strength throughout the conduct of this research</w:t>
      </w:r>
      <w:r w:rsidR="00CB36BF" w:rsidRPr="0005501C">
        <w:rPr>
          <w:rFonts w:ascii="Times New Roman" w:hAnsi="Times New Roman" w:cs="Times New Roman"/>
        </w:rPr>
        <w:t>.</w:t>
      </w:r>
    </w:p>
    <w:p w14:paraId="31B8F293" w14:textId="5DDFB98D" w:rsidR="00580A7A" w:rsidRPr="0005501C" w:rsidRDefault="00580A7A" w:rsidP="002565A4">
      <w:pPr>
        <w:pStyle w:val="Heading1"/>
        <w:spacing w:before="120" w:after="120" w:line="240" w:lineRule="auto"/>
        <w:jc w:val="both"/>
        <w:rPr>
          <w:rFonts w:ascii="Times New Roman" w:hAnsi="Times New Roman" w:cs="Times New Roman"/>
          <w:b/>
          <w:bCs/>
          <w:color w:val="auto"/>
          <w:sz w:val="28"/>
          <w:szCs w:val="28"/>
        </w:rPr>
      </w:pPr>
      <w:r w:rsidRPr="0005501C">
        <w:rPr>
          <w:rFonts w:ascii="Times New Roman" w:hAnsi="Times New Roman" w:cs="Times New Roman"/>
          <w:b/>
          <w:bCs/>
          <w:color w:val="auto"/>
          <w:sz w:val="28"/>
          <w:szCs w:val="28"/>
        </w:rPr>
        <w:t>REFERENCES</w:t>
      </w:r>
    </w:p>
    <w:p w14:paraId="239491CE"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Alzahrani, M. M., Alghamdi, A. A., Alghamdi, S. A., &amp; Alotaibi, R. K. (2021).  and Attitude of Dentists Towards Obstructive Sleep Apnoea. International Dental Journal. https://doi.org/10.1016/j.identj.2021.05.004</w:t>
      </w:r>
    </w:p>
    <w:p w14:paraId="15AA53B2" w14:textId="4E7929E9"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Amini, F., Alireza Hidarnia, Fazlollah Ghofranipour, &amp; Mohammad Esmaiel Motlagh. (2024). Examining the effectiveness of a training on improving, functional, and attitude in natural disaster volunteers. Frontiers in Public Health, 12. https://doi.org/10.3389/fpubh.2024.1321535</w:t>
      </w:r>
    </w:p>
    <w:p w14:paraId="42598E8F" w14:textId="1949A896"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Aslanoğlu, A., Bilgiç, N., Murad, A. A., Elshatarat, R. A., Abujaber, D. A., Al Qasim, E., Siddiq, N. A., Sobeh, D. E., Eltayeb, M. M., &amp; Saleh, Z. T. (2024). The impact of education and trainings on disaster awareness and preparedness among health sciences students: A quasi-experimental study. International Journal of Disaster Risk Reduction, 113, 104888. https://doi.org/10.1016/j.ijdrr.2024.104888</w:t>
      </w:r>
    </w:p>
    <w:p w14:paraId="00BED4F3"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Bobbitt, Z. (2022, June 23). Paired Samples t-test: Definition, Formula, and Example. Statology. https://www.statology.org/paired-samples-t-test/</w:t>
      </w:r>
    </w:p>
    <w:p w14:paraId="33FC2F51"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lastRenderedPageBreak/>
        <w:t>Bonovas, S., &amp; Piovani, D. (2023). On p-Values and Statistical Significance. Journal of Clinical Medicine, 12(3), 900. https://doi.org/10.3390/jcm12030900</w:t>
      </w:r>
    </w:p>
    <w:p w14:paraId="6CB00360"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Brysbaert, M. (2019). How many participants do we have to include in properly powered experiments? A tutorial of power analysis with reference tables. Journal of Cognition, 2(1), 16. https://doi.org/10.5334/joc.72⁠</w:t>
      </w:r>
    </w:p>
    <w:p w14:paraId="377E741F"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Capili, B., &amp; Anastasi, J. K. (2024). An introduction to types of Quasi-Experimental Designs. AJN American Journal of Nursing, 124(11), 50–52. https://doi.org/10.1097/01.naj.0001081740.74815.20</w:t>
      </w:r>
    </w:p>
    <w:p w14:paraId="09399D43"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Carandang, R. R., Nañasca, R. A., Tuazon, P. N., Hipolito, C. L., Palabay, M., &amp; Getape, A. J. (2025). Acute medical emergency preparedness and associated factors in community pharmacies in Metro Manila, Philippines. Acta Medica Philippina. Advance online publication. https://actamedicaphilippina.upm.edu.ph/index.php/acta/article/view/10924</w:t>
      </w:r>
    </w:p>
    <w:p w14:paraId="0252B835"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Estabillo, A. (2021). Koronadal monitors villages for floods, landslides. Philippine News Agency. https://www.pna.gov.ph/articles/1159879</w:t>
      </w:r>
    </w:p>
    <w:p w14:paraId="3A718AD1"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Farajalla, A., Alomar, M., Palaian, S., Al-Ahmad, M. M., &amp; Ibrahim, M. I. M. (2023). Pharmacy students' readiness and preparedness to contribute during disasters: A cross-sectional two institutional study from the UAE. Pharmacy Practice, 21(2), 2817. https://doi.org/10.18549/PharmPract.2023.2.2817</w:t>
      </w:r>
    </w:p>
    <w:p w14:paraId="30E74B4C"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 xml:space="preserve">Gillani, A. H., et al. (2020). Evaluation of Disaster Medicine Preparedness among Healthcare Profession Students: A Cross-Sectional Study in Pakistan. International Journal of Environmental Research and Public Health, </w:t>
      </w:r>
      <w:r w:rsidRPr="0005501C">
        <w:rPr>
          <w:rFonts w:ascii="Times New Roman" w:hAnsi="Times New Roman" w:cs="Times New Roman"/>
          <w:i/>
          <w:iCs/>
        </w:rPr>
        <w:t>17</w:t>
      </w:r>
      <w:r w:rsidRPr="0005501C">
        <w:rPr>
          <w:rFonts w:ascii="Times New Roman" w:hAnsi="Times New Roman" w:cs="Times New Roman"/>
        </w:rPr>
        <w:t>(6), 2027. https://doi.org/10.3390/ijerph17062027</w:t>
      </w:r>
    </w:p>
    <w:p w14:paraId="34406526"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Hsieh, M. J., et al. (2024). The Effectiveness and Benefits of Disaster Simulation Training: A Study with Medical Students. NIH/NCBI. Retrieved from https://pmc.ncbi.nlm.nih.gov/articles/PMC11268575/</w:t>
      </w:r>
    </w:p>
    <w:p w14:paraId="257521AC"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Hussey, I., Alsalti, T., Bosco, F., Elson, M., &amp; Arslan, R. (2025). An Aberrant Abundance of Cronbach’s Alpha Values at .70. Advances in Methods and Practices in Psychological Science, 8(1). https://doi.org/10.1177/25152459241287123 </w:t>
      </w:r>
    </w:p>
    <w:p w14:paraId="1999862C"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International Pharmaceutical Federation (FIP). (2023). FIP statement of policy: The role of pharmacists in disaster and emergency management [Policy statement]. https://www.fip.org/file/5622</w:t>
      </w:r>
    </w:p>
    <w:p w14:paraId="31BD12C9"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Kim, H. (2019). Statistical notes for clinical researchers: the independent samples t-test. Restorative Dentistry &amp; Endodontics, 44(3), e26. https://doi.org/10.5395/rde.2019.44.e26</w:t>
      </w:r>
    </w:p>
    <w:p w14:paraId="3D8689D4"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Kurata, Y. B., Bano, R. M. L. P., &amp; Matias, A. C. (2023). Factors affecting flood disaster preparedness and mitigation in flood-prone areas in the Philippines. Sustainability, 15(8), 6657. https://doi.org/10.3390/su15086657</w:t>
      </w:r>
    </w:p>
    <w:p w14:paraId="6D625790"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Mamac, E. Y. (2025, January 8). Heavy rains flood areas in Koronadal City and Alabel, Sarangani. GMA News. https://www.gmanetwork.com/regionaltv/news/106013/heavy-rains-flood-areas-in-koronadal-city-and-alabel-sarangan/story/</w:t>
      </w:r>
    </w:p>
    <w:p w14:paraId="70C62F70" w14:textId="39D54D45"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Marino, K., Crowley, K. E., Ware, L., Lupi, K., Alblooshi, A. S., Alradini, F. A., &amp; Eyre, A. (2024). Development and implementation of an in-hospital pharmacist emergency response simulation training curriculum. Journal of the American Pharmacists Association: JAPhA, 64(3), 102053. https://doi.org/10.1016/j.japh.2024.102053</w:t>
      </w:r>
    </w:p>
    <w:p w14:paraId="7E16CCE7"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McCourt, E., Singleton, J., Tippett, V., &amp; Nissen, L. (2020). Disaster preparedness amongst pharmacists and pharmacy students: a systematic literature review. International Journal of Pharmacy Practice. https://doi.org/10.1111/ijpp.12669</w:t>
      </w:r>
    </w:p>
    <w:p w14:paraId="4BBFA571"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Monk, G., &amp; Pradhan, S. (2019). Pharmacy Schools Should Be Involved in Disaster Preparedness Planning at the Local and State Levels. American Journal of Pharmaceutical Education, 83(1), 6968. https://doi.org/10.5688/ajpe6968</w:t>
      </w:r>
    </w:p>
    <w:p w14:paraId="123AACB5"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Nikitara, M., Kalu, A., Latzourakis, E., Constantinou, C. S., &amp; Velonaki, V. S. (2025). Training Nurses for Disasters: A Systematic Review on Self-Efficacy and Preparedness. Healthcare, 13(24), 3323. https://doi.org/10.3390/healthcare13243323</w:t>
      </w:r>
    </w:p>
    <w:p w14:paraId="70004842"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Patel, R., &amp; Taylor, M. (2021). Simulation-based training: applications in clinical pharmacy. The Pharmaceutical Journal, 306, e5. https://doi.org/10.1211/PJ.2021.1.67883</w:t>
      </w:r>
    </w:p>
    <w:p w14:paraId="55E10822"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Pan, S. C., &amp; Carpenter, S. K. (2023). Prequestioning and pretesting effects: A review of empirical research, theoretical perspectives, and implications for educational practice. Educational Psychology Review, 35(4), Article 97. https://doi.org/10.31234/osf.io/9rqpm</w:t>
      </w:r>
    </w:p>
    <w:p w14:paraId="3501D971"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 xml:space="preserve">Provincial Government of South Cotabato. (2025, November 18). South Cotabato pushes boundaries of preparedness in high-impact mass casualty simulation. Retrieved from </w:t>
      </w:r>
      <w:r w:rsidRPr="0005501C">
        <w:rPr>
          <w:rFonts w:ascii="Times New Roman" w:hAnsi="Times New Roman" w:cs="Times New Roman"/>
        </w:rPr>
        <w:lastRenderedPageBreak/>
        <w:t>https://southcotabato.gov.ph/south-cotabato-pushes-boundaries-of-preparedness-in-high-impact-mass-casualty-simulation/</w:t>
      </w:r>
    </w:p>
    <w:p w14:paraId="22FF9CC5"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Raba, W. J. (2025, November 15). Why the Philippines Faces More Typhoons Than Anywhere Else. Seasia.co. https://seasia.co/2025/07/21/why-the-philippines-faces-more-typhoons-than-anywhere-else</w:t>
      </w:r>
    </w:p>
    <w:p w14:paraId="432DE771"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Sheposh, R. (2023). Mean. Research Starters | EBSCO Research. https://www.ebsco.com/research-starters/mathematics/mean</w:t>
      </w:r>
    </w:p>
    <w:p w14:paraId="5314A487"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Taber, K. S. (2018). The Use of Cronbach’s Alpha When Developing and Reporting Research Instruments in Science Education. Research in Science Education, 48(6), 1273–1296. </w:t>
      </w:r>
    </w:p>
    <w:p w14:paraId="59F8BE03"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Tenny, S. (2022, September 18). Qualitative study. StatPearls [Internet]. https://www.ncbi.nlm.nih.gov/books/NBK470395/</w:t>
      </w:r>
    </w:p>
    <w:p w14:paraId="369E534E"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Wagner, B., Washburn, L., Visker, J. D., &amp; Cox, C. (2025). Medical students' disaster-specific self-efficacy and willingness to respond following an introductory preparedness training. Health Professions Education. https://hpe.researchcommons.org/cgi/viewcontent.cgi?article=1353&amp;context=journal</w:t>
      </w:r>
    </w:p>
    <w:p w14:paraId="72EEA57C"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Wiedyaningsih, C., Nugroho, A. K., Widyakusuma, N. N., &amp; Prasetyo, S. D. (2023). How to best prepare pharmacy students for disaster management: A Qualitative study. Disaster Medicine and Public Health Preparedness, 17, e319. https://doi.org/10.1017/dmp.2022.289</w:t>
      </w:r>
    </w:p>
    <w:p w14:paraId="484F7132" w14:textId="77777777" w:rsidR="00643B28" w:rsidRPr="0005501C"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Yang, Z., Wang, Y., Dong, A., Yang, X., Zhu, L., Ma, S., &amp; Wang, Y. (2025). An analysis of freshmen’s, attitudes, and practices regarding cardiopulmonary resuscitation and the influencing factors at a university in Wuhu City: a cross-sectional study. Frontiers in Public Health, 13. https://doi.org/10.3389/fpubh.2025.1580600</w:t>
      </w:r>
    </w:p>
    <w:p w14:paraId="6D5F1671" w14:textId="6E98E4A5" w:rsidR="003C7E69" w:rsidRPr="00643B28" w:rsidRDefault="00643B28" w:rsidP="002565A4">
      <w:pPr>
        <w:pStyle w:val="BodyText"/>
        <w:numPr>
          <w:ilvl w:val="0"/>
          <w:numId w:val="1"/>
        </w:numPr>
        <w:spacing w:after="0" w:line="240" w:lineRule="auto"/>
        <w:jc w:val="both"/>
        <w:rPr>
          <w:rFonts w:ascii="Times New Roman" w:hAnsi="Times New Roman" w:cs="Times New Roman"/>
        </w:rPr>
      </w:pPr>
      <w:r w:rsidRPr="0005501C">
        <w:rPr>
          <w:rFonts w:ascii="Times New Roman" w:hAnsi="Times New Roman" w:cs="Times New Roman"/>
        </w:rPr>
        <w:t>Zhang, D., Zhu, X., Zhou, Z., Xu, X., Ji, X., &amp; Gong, A. (2020). Research on Disaster Literacy and Affecting Factors of College Students in Central China. Disaster Medicine and Public Health Preparedness, 1–7. https://doi.org/10.1017/dmp.2020.33</w:t>
      </w:r>
    </w:p>
    <w:sectPr w:rsidR="003C7E69" w:rsidRPr="00643B28" w:rsidSect="001E758A">
      <w:headerReference w:type="default" r:id="rId9"/>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4131" w14:textId="77777777" w:rsidR="00210063" w:rsidRPr="0005501C" w:rsidRDefault="00210063" w:rsidP="006049AD">
      <w:pPr>
        <w:spacing w:after="0" w:line="240" w:lineRule="auto"/>
      </w:pPr>
      <w:r w:rsidRPr="0005501C">
        <w:separator/>
      </w:r>
    </w:p>
  </w:endnote>
  <w:endnote w:type="continuationSeparator" w:id="0">
    <w:p w14:paraId="447DAB1A" w14:textId="77777777" w:rsidR="00210063" w:rsidRPr="0005501C" w:rsidRDefault="00210063" w:rsidP="006049AD">
      <w:pPr>
        <w:spacing w:after="0" w:line="240" w:lineRule="auto"/>
      </w:pPr>
      <w:r w:rsidRPr="000550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63A6" w14:textId="77777777" w:rsidR="00210063" w:rsidRPr="0005501C" w:rsidRDefault="00210063" w:rsidP="006049AD">
      <w:pPr>
        <w:spacing w:after="0" w:line="240" w:lineRule="auto"/>
      </w:pPr>
      <w:r w:rsidRPr="0005501C">
        <w:separator/>
      </w:r>
    </w:p>
  </w:footnote>
  <w:footnote w:type="continuationSeparator" w:id="0">
    <w:p w14:paraId="42F517FC" w14:textId="77777777" w:rsidR="00210063" w:rsidRPr="0005501C" w:rsidRDefault="00210063" w:rsidP="006049AD">
      <w:pPr>
        <w:spacing w:after="0" w:line="240" w:lineRule="auto"/>
      </w:pPr>
      <w:r w:rsidRPr="000550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B3CD" w14:textId="77777777" w:rsidR="006049AD" w:rsidRPr="0005501C" w:rsidRDefault="006049AD">
    <w:pPr>
      <w:pStyle w:val="Header"/>
    </w:pPr>
  </w:p>
  <w:p w14:paraId="123480B7" w14:textId="77777777" w:rsidR="006049AD" w:rsidRPr="0005501C" w:rsidRDefault="00604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22A5"/>
    <w:multiLevelType w:val="hybridMultilevel"/>
    <w:tmpl w:val="5420EB1A"/>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F7A34"/>
    <w:multiLevelType w:val="multilevel"/>
    <w:tmpl w:val="F224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940021">
    <w:abstractNumId w:val="0"/>
  </w:num>
  <w:num w:numId="2" w16cid:durableId="605120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D"/>
    <w:rsid w:val="0000345A"/>
    <w:rsid w:val="0000518C"/>
    <w:rsid w:val="000258BA"/>
    <w:rsid w:val="00030560"/>
    <w:rsid w:val="0005501C"/>
    <w:rsid w:val="001338F7"/>
    <w:rsid w:val="00165E44"/>
    <w:rsid w:val="00186336"/>
    <w:rsid w:val="001C6C72"/>
    <w:rsid w:val="001E758A"/>
    <w:rsid w:val="001F1D2C"/>
    <w:rsid w:val="00210063"/>
    <w:rsid w:val="00223647"/>
    <w:rsid w:val="00223EA2"/>
    <w:rsid w:val="002250F3"/>
    <w:rsid w:val="002565A4"/>
    <w:rsid w:val="002A00E0"/>
    <w:rsid w:val="002A3DED"/>
    <w:rsid w:val="002C222B"/>
    <w:rsid w:val="00301AA2"/>
    <w:rsid w:val="00330BDF"/>
    <w:rsid w:val="003839B5"/>
    <w:rsid w:val="003B6F2B"/>
    <w:rsid w:val="003C7E69"/>
    <w:rsid w:val="00425755"/>
    <w:rsid w:val="004D2446"/>
    <w:rsid w:val="004E536E"/>
    <w:rsid w:val="005111DD"/>
    <w:rsid w:val="005156A3"/>
    <w:rsid w:val="00556619"/>
    <w:rsid w:val="00567B84"/>
    <w:rsid w:val="00575A40"/>
    <w:rsid w:val="00580A7A"/>
    <w:rsid w:val="005B2B6E"/>
    <w:rsid w:val="005B6F1B"/>
    <w:rsid w:val="005E0C44"/>
    <w:rsid w:val="005E1BCC"/>
    <w:rsid w:val="005E5735"/>
    <w:rsid w:val="006049AD"/>
    <w:rsid w:val="00621BA7"/>
    <w:rsid w:val="00643B28"/>
    <w:rsid w:val="00656584"/>
    <w:rsid w:val="007139EA"/>
    <w:rsid w:val="00774478"/>
    <w:rsid w:val="007749F3"/>
    <w:rsid w:val="007C2BB4"/>
    <w:rsid w:val="007D1BC7"/>
    <w:rsid w:val="007F6E5C"/>
    <w:rsid w:val="00872943"/>
    <w:rsid w:val="0088784B"/>
    <w:rsid w:val="008A08BA"/>
    <w:rsid w:val="008B31D0"/>
    <w:rsid w:val="009013BB"/>
    <w:rsid w:val="00947AC1"/>
    <w:rsid w:val="009A4BD6"/>
    <w:rsid w:val="009C1792"/>
    <w:rsid w:val="009E47FC"/>
    <w:rsid w:val="00A71DEC"/>
    <w:rsid w:val="00AD262C"/>
    <w:rsid w:val="00AF4D19"/>
    <w:rsid w:val="00B057E6"/>
    <w:rsid w:val="00B12382"/>
    <w:rsid w:val="00B25AC8"/>
    <w:rsid w:val="00B31FFE"/>
    <w:rsid w:val="00BD554A"/>
    <w:rsid w:val="00CB2DEA"/>
    <w:rsid w:val="00CB36BF"/>
    <w:rsid w:val="00CE4A17"/>
    <w:rsid w:val="00CE6BB9"/>
    <w:rsid w:val="00D52804"/>
    <w:rsid w:val="00D573F1"/>
    <w:rsid w:val="00D97EC7"/>
    <w:rsid w:val="00DD0915"/>
    <w:rsid w:val="00DD0F3D"/>
    <w:rsid w:val="00E22EA8"/>
    <w:rsid w:val="00E40D2E"/>
    <w:rsid w:val="00E516F5"/>
    <w:rsid w:val="00E561F0"/>
    <w:rsid w:val="00EA0265"/>
    <w:rsid w:val="00EC6BC8"/>
    <w:rsid w:val="00EC734D"/>
    <w:rsid w:val="00EE1DD3"/>
    <w:rsid w:val="00F02289"/>
    <w:rsid w:val="00F455A1"/>
    <w:rsid w:val="00FA72F7"/>
    <w:rsid w:val="00FB6F4E"/>
    <w:rsid w:val="00FF0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9C3C"/>
  <w15:chartTrackingRefBased/>
  <w15:docId w15:val="{D9C1617B-60CC-49D0-82BE-4CF4DA95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60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4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4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4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9AD"/>
    <w:rPr>
      <w:rFonts w:eastAsiaTheme="majorEastAsia" w:cstheme="majorBidi"/>
      <w:color w:val="272727" w:themeColor="text1" w:themeTint="D8"/>
    </w:rPr>
  </w:style>
  <w:style w:type="paragraph" w:styleId="Title">
    <w:name w:val="Title"/>
    <w:basedOn w:val="Normal"/>
    <w:next w:val="Normal"/>
    <w:link w:val="TitleChar"/>
    <w:uiPriority w:val="10"/>
    <w:qFormat/>
    <w:rsid w:val="0060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9AD"/>
    <w:pPr>
      <w:spacing w:before="160"/>
      <w:jc w:val="center"/>
    </w:pPr>
    <w:rPr>
      <w:i/>
      <w:iCs/>
      <w:color w:val="404040" w:themeColor="text1" w:themeTint="BF"/>
    </w:rPr>
  </w:style>
  <w:style w:type="character" w:customStyle="1" w:styleId="QuoteChar">
    <w:name w:val="Quote Char"/>
    <w:basedOn w:val="DefaultParagraphFont"/>
    <w:link w:val="Quote"/>
    <w:uiPriority w:val="29"/>
    <w:rsid w:val="006049AD"/>
    <w:rPr>
      <w:i/>
      <w:iCs/>
      <w:color w:val="404040" w:themeColor="text1" w:themeTint="BF"/>
    </w:rPr>
  </w:style>
  <w:style w:type="paragraph" w:styleId="ListParagraph">
    <w:name w:val="List Paragraph"/>
    <w:basedOn w:val="Normal"/>
    <w:uiPriority w:val="34"/>
    <w:qFormat/>
    <w:rsid w:val="006049AD"/>
    <w:pPr>
      <w:ind w:left="720"/>
      <w:contextualSpacing/>
    </w:pPr>
  </w:style>
  <w:style w:type="character" w:styleId="IntenseEmphasis">
    <w:name w:val="Intense Emphasis"/>
    <w:basedOn w:val="DefaultParagraphFont"/>
    <w:uiPriority w:val="21"/>
    <w:qFormat/>
    <w:rsid w:val="006049AD"/>
    <w:rPr>
      <w:i/>
      <w:iCs/>
      <w:color w:val="0F4761" w:themeColor="accent1" w:themeShade="BF"/>
    </w:rPr>
  </w:style>
  <w:style w:type="paragraph" w:styleId="IntenseQuote">
    <w:name w:val="Intense Quote"/>
    <w:basedOn w:val="Normal"/>
    <w:next w:val="Normal"/>
    <w:link w:val="IntenseQuoteChar"/>
    <w:uiPriority w:val="30"/>
    <w:qFormat/>
    <w:rsid w:val="0060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9AD"/>
    <w:rPr>
      <w:i/>
      <w:iCs/>
      <w:color w:val="0F4761" w:themeColor="accent1" w:themeShade="BF"/>
    </w:rPr>
  </w:style>
  <w:style w:type="character" w:styleId="IntenseReference">
    <w:name w:val="Intense Reference"/>
    <w:basedOn w:val="DefaultParagraphFont"/>
    <w:uiPriority w:val="32"/>
    <w:qFormat/>
    <w:rsid w:val="006049AD"/>
    <w:rPr>
      <w:b/>
      <w:bCs/>
      <w:smallCaps/>
      <w:color w:val="0F4761" w:themeColor="accent1" w:themeShade="BF"/>
      <w:spacing w:val="5"/>
    </w:rPr>
  </w:style>
  <w:style w:type="paragraph" w:styleId="Header">
    <w:name w:val="header"/>
    <w:basedOn w:val="Normal"/>
    <w:link w:val="HeaderChar"/>
    <w:uiPriority w:val="99"/>
    <w:unhideWhenUsed/>
    <w:rsid w:val="00604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AD"/>
  </w:style>
  <w:style w:type="paragraph" w:styleId="Footer">
    <w:name w:val="footer"/>
    <w:basedOn w:val="Normal"/>
    <w:link w:val="FooterChar"/>
    <w:uiPriority w:val="99"/>
    <w:unhideWhenUsed/>
    <w:rsid w:val="00604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AD"/>
  </w:style>
  <w:style w:type="paragraph" w:customStyle="1" w:styleId="FirstParagraph">
    <w:name w:val="First Paragraph"/>
    <w:basedOn w:val="BodyText"/>
    <w:next w:val="BodyText"/>
    <w:qFormat/>
    <w:rsid w:val="00E22EA8"/>
    <w:pPr>
      <w:spacing w:before="180" w:after="180" w:line="240" w:lineRule="auto"/>
    </w:pPr>
    <w:rPr>
      <w:kern w:val="0"/>
      <w14:ligatures w14:val="none"/>
    </w:rPr>
  </w:style>
  <w:style w:type="paragraph" w:styleId="BodyText">
    <w:name w:val="Body Text"/>
    <w:basedOn w:val="Normal"/>
    <w:link w:val="BodyTextChar"/>
    <w:uiPriority w:val="99"/>
    <w:unhideWhenUsed/>
    <w:rsid w:val="00E22EA8"/>
    <w:pPr>
      <w:spacing w:after="120"/>
    </w:pPr>
  </w:style>
  <w:style w:type="character" w:customStyle="1" w:styleId="BodyTextChar">
    <w:name w:val="Body Text Char"/>
    <w:basedOn w:val="DefaultParagraphFont"/>
    <w:link w:val="BodyText"/>
    <w:uiPriority w:val="99"/>
    <w:rsid w:val="00E22EA8"/>
  </w:style>
  <w:style w:type="paragraph" w:styleId="Revision">
    <w:name w:val="Revision"/>
    <w:hidden/>
    <w:uiPriority w:val="99"/>
    <w:semiHidden/>
    <w:rsid w:val="001C6C72"/>
    <w:pPr>
      <w:spacing w:after="0" w:line="240" w:lineRule="auto"/>
    </w:pPr>
  </w:style>
  <w:style w:type="character" w:styleId="Hyperlink">
    <w:name w:val="Hyperlink"/>
    <w:basedOn w:val="DefaultParagraphFont"/>
    <w:uiPriority w:val="99"/>
    <w:unhideWhenUsed/>
    <w:rsid w:val="00567B84"/>
    <w:rPr>
      <w:color w:val="467886" w:themeColor="hyperlink"/>
      <w:u w:val="single"/>
    </w:rPr>
  </w:style>
  <w:style w:type="character" w:styleId="UnresolvedMention">
    <w:name w:val="Unresolved Mention"/>
    <w:basedOn w:val="DefaultParagraphFont"/>
    <w:uiPriority w:val="99"/>
    <w:semiHidden/>
    <w:unhideWhenUsed/>
    <w:rsid w:val="00567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quilla_mar@stalexiuscollege.edu.p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35617-355D-4587-9576-591DBDF9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4886</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anne dequilla</dc:creator>
  <cp:keywords/>
  <dc:description/>
  <cp:lastModifiedBy>Angel Dequilla</cp:lastModifiedBy>
  <cp:revision>6</cp:revision>
  <dcterms:created xsi:type="dcterms:W3CDTF">2026-05-26T12:27:00Z</dcterms:created>
  <dcterms:modified xsi:type="dcterms:W3CDTF">2026-05-26T13:13:00Z</dcterms:modified>
</cp:coreProperties>
</file>