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AAE7" w14:textId="77777777" w:rsidR="009D78B1" w:rsidRDefault="009D78B1" w:rsidP="00762F22">
      <w:pPr>
        <w:framePr w:w="9072" w:hSpace="187" w:vSpace="187" w:wrap="notBeside" w:vAnchor="text" w:hAnchor="page" w:x="1335" w:y="158"/>
        <w:jc w:val="center"/>
        <w:rPr>
          <w:rFonts w:ascii="Times New Roman" w:hAnsi="Times New Roman" w:cs="Times New Roman"/>
          <w:b/>
          <w:bCs/>
          <w:sz w:val="48"/>
          <w:szCs w:val="48"/>
        </w:rPr>
      </w:pPr>
      <w:r w:rsidRPr="009D78B1">
        <w:rPr>
          <w:rFonts w:ascii="Times New Roman" w:hAnsi="Times New Roman" w:cs="Times New Roman"/>
          <w:b/>
          <w:bCs/>
          <w:sz w:val="48"/>
          <w:szCs w:val="48"/>
        </w:rPr>
        <w:t>Pedagogical, Socio-Cultural, and Infrastructural Dimensions of International Mobility: SEA Teacher Exchange</w:t>
      </w:r>
    </w:p>
    <w:p w14:paraId="5A8B3F5F" w14:textId="77777777" w:rsidR="009D78B1" w:rsidRPr="009D78B1" w:rsidRDefault="009D78B1" w:rsidP="009D78B1">
      <w:pPr>
        <w:framePr w:w="9072" w:hSpace="187" w:vSpace="187" w:wrap="notBeside" w:vAnchor="text" w:hAnchor="page" w:x="1335" w:y="158"/>
        <w:jc w:val="center"/>
        <w:rPr>
          <w:vertAlign w:val="superscript"/>
          <w:lang w:val="en-PH"/>
        </w:rPr>
      </w:pPr>
      <w:r w:rsidRPr="009D78B1">
        <w:rPr>
          <w:vertAlign w:val="superscript"/>
          <w:lang w:val="en-PH"/>
        </w:rPr>
        <w:t/>
      </w:r>
    </w:p>
    <w:p w14:paraId="67CC283B" w14:textId="77777777" w:rsidR="009D78B1" w:rsidRDefault="009D78B1" w:rsidP="009D78B1">
      <w:pPr>
        <w:framePr w:w="9072" w:hSpace="187" w:vSpace="187" w:wrap="notBeside" w:vAnchor="text" w:hAnchor="page" w:x="1335" w:y="158"/>
        <w:jc w:val="center"/>
        <w:rPr>
          <w:vertAlign w:val="superscript"/>
          <w:lang w:val="en-PH"/>
        </w:rPr>
      </w:pPr>
      <w:r w:rsidRPr="009D78B1">
        <w:rPr>
          <w:vertAlign w:val="superscript"/>
          <w:lang w:val="en-PH"/>
        </w:rPr>
        <w:t/>
      </w:r>
    </w:p>
    <w:p w14:paraId="40EC7C00" w14:textId="1E3053BA" w:rsidR="00762F22" w:rsidRPr="00854CA8" w:rsidRDefault="00762F22" w:rsidP="009D78B1">
      <w:pPr>
        <w:framePr w:w="9072" w:hSpace="187" w:vSpace="187" w:wrap="notBeside" w:vAnchor="text" w:hAnchor="page" w:x="1335" w:y="158"/>
        <w:jc w:val="center"/>
        <w:rPr>
          <w:vertAlign w:val="superscript"/>
          <w:lang w:val="en-PH"/>
        </w:rPr>
      </w:pPr>
      <w:r w:rsidRPr="00854CA8">
        <w:rPr>
          <w:vertAlign w:val="superscript"/>
          <w:lang w:val="en-PH"/>
        </w:rPr>
        <w:t xml:space="preserve"/>
      </w:r>
    </w:p>
    <w:p w14:paraId="2EA35115" w14:textId="77777777" w:rsidR="00762F22" w:rsidRPr="00E15509" w:rsidRDefault="00762F22" w:rsidP="003335DD">
      <w:pPr>
        <w:rPr>
          <w:rFonts w:ascii="Times New Roman" w:hAnsi="Times New Roman" w:cs="Times New Roman"/>
          <w:b/>
          <w:bCs/>
          <w:sz w:val="20"/>
          <w:szCs w:val="20"/>
        </w:rPr>
        <w:sectPr w:rsidR="00762F22" w:rsidRPr="00E15509">
          <w:type w:val="continuous"/>
          <w:pgSz w:w="11906" w:h="16838"/>
          <w:pgMar w:top="720" w:right="720" w:bottom="720" w:left="720" w:header="851" w:footer="992" w:gutter="0"/>
          <w:cols w:space="720"/>
          <w:docGrid w:type="lines" w:linePitch="312"/>
        </w:sectPr>
      </w:pPr>
    </w:p>
    <w:p w14:paraId="32EDF3C6" w14:textId="72E94C67" w:rsidR="00A95D80" w:rsidRPr="00E15509" w:rsidRDefault="00A95D80" w:rsidP="003335DD">
      <w:pPr>
        <w:rPr>
          <w:rFonts w:ascii="Times New Roman" w:hAnsi="Times New Roman" w:cs="Times New Roman"/>
          <w:sz w:val="20"/>
          <w:szCs w:val="20"/>
          <w:lang w:val="en-PH"/>
        </w:rPr>
        <w:sectPr w:rsidR="00A95D80" w:rsidRPr="00E15509">
          <w:type w:val="continuous"/>
          <w:pgSz w:w="11906" w:h="16838"/>
          <w:pgMar w:top="720" w:right="720" w:bottom="720" w:left="720" w:header="851" w:footer="992" w:gutter="0"/>
          <w:cols w:num="2" w:space="720"/>
          <w:docGrid w:type="lines" w:linePitch="312"/>
        </w:sectPr>
      </w:pPr>
    </w:p>
    <w:p w14:paraId="3F96F18F" w14:textId="77777777" w:rsidR="00314984" w:rsidRPr="00E15509" w:rsidRDefault="00314984">
      <w:pPr>
        <w:jc w:val="both"/>
        <w:rPr>
          <w:rFonts w:ascii="Times New Roman" w:hAnsi="Times New Roman" w:cs="Times New Roman"/>
          <w:b/>
          <w:bCs/>
          <w:sz w:val="20"/>
          <w:szCs w:val="20"/>
          <w:lang w:val="en-PH"/>
        </w:rPr>
        <w:sectPr w:rsidR="00314984" w:rsidRPr="00E15509">
          <w:type w:val="continuous"/>
          <w:pgSz w:w="11906" w:h="16838"/>
          <w:pgMar w:top="720" w:right="720" w:bottom="720" w:left="720" w:header="851" w:footer="992" w:gutter="0"/>
          <w:cols w:space="720"/>
          <w:docGrid w:type="lines" w:linePitch="312"/>
        </w:sectPr>
      </w:pPr>
    </w:p>
    <w:p w14:paraId="3CC7B405" w14:textId="4042016E" w:rsidR="009D78B1" w:rsidRPr="009D78B1" w:rsidRDefault="00FA51A1" w:rsidP="00655D33">
      <w:pPr>
        <w:jc w:val="both"/>
        <w:rPr>
          <w:rFonts w:ascii="Times New Roman" w:hAnsi="Times New Roman" w:cs="Times New Roman"/>
          <w:sz w:val="20"/>
          <w:szCs w:val="20"/>
        </w:rPr>
      </w:pPr>
      <w:r w:rsidRPr="00655D33">
        <w:rPr>
          <w:rFonts w:ascii="Times New Roman" w:hAnsi="Times New Roman" w:cs="Times New Roman"/>
          <w:b/>
          <w:bCs/>
          <w:sz w:val="20"/>
          <w:szCs w:val="20"/>
        </w:rPr>
        <w:t/>
      </w:r>
      <w:r>
        <w:rPr>
          <w:rFonts w:ascii="Times New Roman" w:hAnsi="Times New Roman" w:cs="Times New Roman"/>
          <w:sz w:val="20"/>
          <w:szCs w:val="20"/>
        </w:rPr>
        <w:t xml:space="preserve"/>
      </w:r>
      <w:r w:rsidR="00655D33" w:rsidRPr="00655D33">
        <w:rPr>
          <w:rFonts w:ascii="Times New Roman" w:hAnsi="Times New Roman" w:cs="Times New Roman"/>
          <w:sz w:val="20"/>
          <w:szCs w:val="20"/>
        </w:rPr>
        <w:t xml:space="preserve"/>
      </w:r>
      <w:r w:rsidR="003335DD">
        <w:rPr>
          <w:rFonts w:ascii="Times New Roman" w:hAnsi="Times New Roman" w:cs="Times New Roman"/>
          <w:sz w:val="20"/>
          <w:szCs w:val="20"/>
        </w:rPr>
        <w:t/>
      </w:r>
      <w:r w:rsidR="00655D33" w:rsidRPr="00655D33">
        <w:rPr>
          <w:rFonts w:ascii="Times New Roman" w:hAnsi="Times New Roman" w:cs="Times New Roman"/>
          <w:sz w:val="20"/>
          <w:szCs w:val="20"/>
        </w:rPr>
        <w:t xml:space="preserve"/>
      </w:r>
    </w:p>
    <w:p w14:paraId="5451FFE7" w14:textId="58F60C88" w:rsidR="009D78B1" w:rsidRPr="009D78B1" w:rsidRDefault="00FA51A1" w:rsidP="009D78B1">
      <w:pPr>
        <w:jc w:val="both"/>
        <w:rPr>
          <w:rFonts w:ascii="Times New Roman" w:hAnsi="Times New Roman" w:cs="Times New Roman"/>
          <w:sz w:val="20"/>
          <w:szCs w:val="20"/>
        </w:rPr>
      </w:pPr>
      <w:r w:rsidRPr="00655D33">
        <w:rPr>
          <w:rFonts w:ascii="Times New Roman" w:hAnsi="Times New Roman" w:cs="Times New Roman"/>
          <w:b/>
          <w:bCs/>
          <w:sz w:val="20"/>
          <w:szCs w:val="20"/>
        </w:rPr>
        <w:t/>
      </w:r>
      <w:r w:rsidRPr="009D78B1">
        <w:rPr>
          <w:rFonts w:ascii="Times New Roman" w:hAnsi="Times New Roman" w:cs="Times New Roman"/>
          <w:sz w:val="20"/>
          <w:szCs w:val="20"/>
        </w:rPr>
        <w:t xml:space="preserve"/>
      </w:r>
      <w:r w:rsidR="009D78B1" w:rsidRPr="003335DD">
        <w:rPr>
          <w:rFonts w:ascii="Times New Roman" w:hAnsi="Times New Roman" w:cs="Times New Roman"/>
          <w:i/>
          <w:iCs/>
          <w:sz w:val="20"/>
          <w:szCs w:val="20"/>
        </w:rPr>
        <w:t/>
      </w:r>
    </w:p>
    <w:p w14:paraId="68D323D2" w14:textId="77777777" w:rsidR="009D78B1" w:rsidRPr="009D78B1" w:rsidRDefault="009D78B1" w:rsidP="009D78B1">
      <w:pPr>
        <w:jc w:val="both"/>
        <w:rPr>
          <w:rFonts w:ascii="Times New Roman" w:hAnsi="Times New Roman" w:cs="Times New Roman"/>
          <w:sz w:val="20"/>
          <w:szCs w:val="20"/>
        </w:rPr>
      </w:pPr>
    </w:p>
    <w:p w14:paraId="07122681" w14:textId="77777777" w:rsidR="009D78B1" w:rsidRPr="009D78B1" w:rsidRDefault="009D78B1" w:rsidP="009D78B1">
      <w:pPr>
        <w:jc w:val="both"/>
        <w:rPr>
          <w:rFonts w:ascii="Times New Roman" w:hAnsi="Times New Roman" w:cs="Times New Roman"/>
          <w:sz w:val="20"/>
          <w:szCs w:val="20"/>
        </w:rPr>
      </w:pPr>
    </w:p>
    <w:p w14:paraId="5E5BD5F6" w14:textId="77777777" w:rsidR="009D78B1" w:rsidRDefault="009D78B1" w:rsidP="009D78B1">
      <w:pPr>
        <w:jc w:val="both"/>
        <w:rPr>
          <w:rFonts w:ascii="Times New Roman" w:hAnsi="Times New Roman" w:cs="Times New Roman"/>
          <w:sz w:val="20"/>
          <w:szCs w:val="20"/>
        </w:rPr>
      </w:pPr>
    </w:p>
    <w:p w14:paraId="697E167F" w14:textId="77777777" w:rsidR="003335DD" w:rsidRPr="009D78B1" w:rsidRDefault="003335DD" w:rsidP="009D78B1">
      <w:pPr>
        <w:jc w:val="both"/>
        <w:rPr>
          <w:rFonts w:ascii="Times New Roman" w:hAnsi="Times New Roman" w:cs="Times New Roman"/>
          <w:sz w:val="20"/>
          <w:szCs w:val="20"/>
        </w:rPr>
      </w:pPr>
    </w:p>
    <w:p w14:paraId="15F43C9A" w14:textId="68981D6A" w:rsidR="00FA51A1" w:rsidRPr="00FA51A1" w:rsidRDefault="00FA51A1" w:rsidP="00FA51A1">
      <w:pPr>
        <w:ind w:firstLine="420"/>
        <w:jc w:val="center"/>
        <w:rPr>
          <w:rFonts w:ascii="Times New Roman" w:hAnsi="Times New Roman" w:cs="Times New Roman"/>
          <w:b/>
          <w:bCs/>
          <w:sz w:val="20"/>
          <w:szCs w:val="20"/>
        </w:rPr>
      </w:pPr>
      <w:r w:rsidRPr="00FA51A1">
        <w:rPr>
          <w:rFonts w:ascii="Times New Roman" w:hAnsi="Times New Roman" w:cs="Times New Roman"/>
          <w:b/>
          <w:bCs/>
          <w:sz w:val="20"/>
          <w:szCs w:val="20"/>
        </w:rPr>
        <w:t/>
      </w:r>
    </w:p>
    <w:p w14:paraId="45BE6119" w14:textId="2E265A6A" w:rsidR="00FA51A1" w:rsidRPr="00FA51A1" w:rsidRDefault="003335DD" w:rsidP="00FA51A1">
      <w:pPr>
        <w:ind w:firstLine="420"/>
        <w:jc w:val="both"/>
        <w:rPr>
          <w:rFonts w:ascii="Times New Roman" w:hAnsi="Times New Roman" w:cs="Times New Roman"/>
          <w:sz w:val="20"/>
          <w:szCs w:val="20"/>
        </w:rPr>
      </w:pPr>
      <w:r>
        <w:rPr>
          <w:rFonts w:ascii="Times New Roman" w:hAnsi="Times New Roman" w:cs="Times New Roman"/>
          <w:sz w:val="20"/>
          <w:szCs w:val="20"/>
        </w:rPr>
        <w:t/>
      </w:r>
      <w:r w:rsidR="00FA51A1" w:rsidRPr="00FA51A1">
        <w:rPr>
          <w:rFonts w:ascii="Times New Roman" w:hAnsi="Times New Roman" w:cs="Times New Roman"/>
          <w:sz w:val="20"/>
          <w:szCs w:val="20"/>
        </w:rPr>
        <w:t/>
      </w:r>
      <w:r>
        <w:rPr>
          <w:rFonts w:ascii="Times New Roman" w:hAnsi="Times New Roman" w:cs="Times New Roman"/>
          <w:sz w:val="20"/>
          <w:szCs w:val="20"/>
        </w:rPr>
        <w:t xml:space="preserve"/>
      </w:r>
      <w:r w:rsidR="00FA51A1" w:rsidRPr="00FA51A1">
        <w:rPr>
          <w:rFonts w:ascii="Times New Roman" w:hAnsi="Times New Roman" w:cs="Times New Roman"/>
          <w:sz w:val="20"/>
          <w:szCs w:val="20"/>
        </w:rPr>
        <w:t xml:space="preserve"/>
      </w:r>
      <w:proofErr w:type="spellStart"/>
      <w:r w:rsidR="00FA51A1" w:rsidRPr="00FA51A1">
        <w:rPr>
          <w:rFonts w:ascii="Times New Roman" w:hAnsi="Times New Roman" w:cs="Times New Roman"/>
          <w:sz w:val="20"/>
          <w:szCs w:val="20"/>
        </w:rPr>
        <w:t/>
      </w:r>
      <w:proofErr w:type="spellEnd"/>
      <w:r w:rsidR="00FA51A1" w:rsidRPr="00FA51A1">
        <w:rPr>
          <w:rFonts w:ascii="Times New Roman" w:hAnsi="Times New Roman" w:cs="Times New Roman"/>
          <w:sz w:val="20"/>
          <w:szCs w:val="20"/>
        </w:rPr>
        <w:t xml:space="preserve"/>
      </w:r>
      <w:proofErr w:type="spellStart"/>
      <w:r w:rsidR="00FA51A1" w:rsidRPr="00FA51A1">
        <w:rPr>
          <w:rFonts w:ascii="Times New Roman" w:hAnsi="Times New Roman" w:cs="Times New Roman"/>
          <w:sz w:val="20"/>
          <w:szCs w:val="20"/>
        </w:rPr>
        <w:t/>
      </w:r>
      <w:proofErr w:type="spellEnd"/>
      <w:r w:rsidR="00FA51A1" w:rsidRPr="00FA51A1">
        <w:rPr>
          <w:rFonts w:ascii="Times New Roman" w:hAnsi="Times New Roman" w:cs="Times New Roman"/>
          <w:sz w:val="20"/>
          <w:szCs w:val="20"/>
        </w:rPr>
        <w:t xml:space="preserve"/>
      </w:r>
    </w:p>
    <w:p w14:paraId="2FB700BB" w14:textId="174B7B1A" w:rsidR="009D78B1" w:rsidRPr="00655D33" w:rsidRDefault="009D78B1" w:rsidP="00655D33">
      <w:pPr>
        <w:jc w:val="center"/>
        <w:rPr>
          <w:rFonts w:ascii="Times New Roman" w:hAnsi="Times New Roman" w:cs="Times New Roman"/>
          <w:b/>
          <w:bCs/>
          <w:sz w:val="20"/>
          <w:szCs w:val="20"/>
        </w:rPr>
      </w:pPr>
      <w:r w:rsidRPr="00655D33">
        <w:rPr>
          <w:rFonts w:ascii="Times New Roman" w:hAnsi="Times New Roman" w:cs="Times New Roman"/>
          <w:b/>
          <w:bCs/>
          <w:sz w:val="20"/>
          <w:szCs w:val="20"/>
        </w:rPr>
        <w:t>INTRODUCTION</w:t>
      </w:r>
    </w:p>
    <w:p w14:paraId="3F5193FB" w14:textId="5F84C0A9" w:rsidR="00655D33" w:rsidRPr="00655D33" w:rsidRDefault="00655D33" w:rsidP="00655D33">
      <w:pPr>
        <w:ind w:firstLine="420"/>
        <w:jc w:val="both"/>
        <w:rPr>
          <w:rFonts w:ascii="Times New Roman" w:hAnsi="Times New Roman" w:cs="Times New Roman"/>
          <w:sz w:val="20"/>
          <w:szCs w:val="20"/>
        </w:rPr>
      </w:pPr>
      <w:r w:rsidRPr="00655D33">
        <w:rPr>
          <w:rFonts w:ascii="Times New Roman" w:hAnsi="Times New Roman" w:cs="Times New Roman"/>
          <w:sz w:val="20"/>
          <w:szCs w:val="20"/>
        </w:rPr>
        <w:t>The internationalization of higher education has become a strategic priority among universities worldwide, facilitating cross-cultural learning, global competence development, and academic collaboration. Within Southeast Asia, the Southeast Asian Ministers of Education Organization (SEAMEO) has strengthened regional cooperation through initiatives such as the SEA Teacher Exchange Program, which provides pre-service teachers with opportunities to experience diverse educational systems and cultural environments.</w:t>
      </w:r>
    </w:p>
    <w:p w14:paraId="166B5BB8" w14:textId="02E0006B" w:rsidR="00655D33" w:rsidRPr="00655D33" w:rsidRDefault="00655D33" w:rsidP="00655D33">
      <w:pPr>
        <w:ind w:firstLine="420"/>
        <w:jc w:val="both"/>
        <w:rPr>
          <w:rFonts w:ascii="Times New Roman" w:hAnsi="Times New Roman" w:cs="Times New Roman"/>
          <w:sz w:val="20"/>
          <w:szCs w:val="20"/>
        </w:rPr>
      </w:pPr>
      <w:r w:rsidRPr="00655D33">
        <w:rPr>
          <w:rFonts w:ascii="Times New Roman" w:hAnsi="Times New Roman" w:cs="Times New Roman"/>
          <w:sz w:val="20"/>
          <w:szCs w:val="20"/>
        </w:rPr>
        <w:t xml:space="preserve">International mobility programs offer numerous educational and professional benefits. Previous studies have </w:t>
      </w:r>
      <w:r w:rsidRPr="00655D33">
        <w:rPr>
          <w:rFonts w:ascii="Times New Roman" w:hAnsi="Times New Roman" w:cs="Times New Roman"/>
          <w:sz w:val="20"/>
          <w:szCs w:val="20"/>
        </w:rPr>
        <w:lastRenderedPageBreak/>
        <w:t>demonstrated that participation in exchange programs enhances intercultural competence, communication skills, adaptability, and professional preparedness among students. However, the success of these programs extends beyond academic activities and depends heavily on participants' ability to adjust socially, culturally, and psychologically to their host environment.</w:t>
      </w:r>
    </w:p>
    <w:p w14:paraId="37275EFA" w14:textId="667CC75C" w:rsidR="00655D33" w:rsidRPr="00655D33" w:rsidRDefault="00655D33" w:rsidP="00655D33">
      <w:pPr>
        <w:ind w:firstLine="420"/>
        <w:jc w:val="both"/>
        <w:rPr>
          <w:rFonts w:ascii="Times New Roman" w:hAnsi="Times New Roman" w:cs="Times New Roman"/>
          <w:sz w:val="20"/>
          <w:szCs w:val="20"/>
        </w:rPr>
      </w:pPr>
      <w:r w:rsidRPr="00655D33">
        <w:rPr>
          <w:rFonts w:ascii="Times New Roman" w:hAnsi="Times New Roman" w:cs="Times New Roman"/>
          <w:sz w:val="20"/>
          <w:szCs w:val="20"/>
        </w:rPr>
        <w:t>Despite the increasing popularity of international exchange programs, students frequently encounter challenges related to language barriers, cultural adjustment, accommodation, food accessibility, administrative procedures, and academic expectations. Such challenges may significantly affect participants' overall satisfaction and learning outcomes. Understanding these experiences is essential for institutions seeking to improve the quality and sustainability of mobility programs.</w:t>
      </w:r>
    </w:p>
    <w:p w14:paraId="71B6646E" w14:textId="5BF900FE" w:rsidR="00655D33" w:rsidRPr="00655D33" w:rsidRDefault="00655D33" w:rsidP="00655D33">
      <w:pPr>
        <w:ind w:firstLine="420"/>
        <w:jc w:val="both"/>
        <w:rPr>
          <w:rFonts w:ascii="Times New Roman" w:hAnsi="Times New Roman" w:cs="Times New Roman"/>
          <w:sz w:val="20"/>
          <w:szCs w:val="20"/>
        </w:rPr>
      </w:pPr>
      <w:r w:rsidRPr="00655D33">
        <w:rPr>
          <w:rFonts w:ascii="Times New Roman" w:hAnsi="Times New Roman" w:cs="Times New Roman"/>
          <w:sz w:val="20"/>
          <w:szCs w:val="20"/>
        </w:rPr>
        <w:t>Recent studies have emphasized the importance of evaluating student experiences as part of institutional quality assurance and internationalization efforts. However, limited research has examined the combined influence of pedagogical, socio-cultural, and infrastructural dimensions within the context of Southeast Asian teacher mobility programs. Most existing studies focus primarily on academic outcomes while giving less attention to environmental and support-related factors that shape participant experiences.</w:t>
      </w:r>
    </w:p>
    <w:p w14:paraId="11CF3AEE" w14:textId="6C9FD10A" w:rsidR="009D78B1" w:rsidRDefault="00655D33" w:rsidP="00655D33">
      <w:pPr>
        <w:ind w:firstLine="420"/>
        <w:jc w:val="both"/>
        <w:rPr>
          <w:rFonts w:ascii="Times New Roman" w:hAnsi="Times New Roman" w:cs="Times New Roman"/>
          <w:sz w:val="20"/>
          <w:szCs w:val="20"/>
        </w:rPr>
      </w:pPr>
      <w:r w:rsidRPr="00655D33">
        <w:rPr>
          <w:rFonts w:ascii="Times New Roman" w:hAnsi="Times New Roman" w:cs="Times New Roman"/>
          <w:sz w:val="20"/>
          <w:szCs w:val="20"/>
        </w:rPr>
        <w:t>This study addresses this gap by examining the experiences of SEA Teacher Exchange participants. Specifically, it explores participants' perceptions of pedagogical growth, social integration, cultural immersion, and logistical challenges. The findings provide empirical evidence that may guide policy improvements and strengthen future implementations of international mobility programs.</w:t>
      </w:r>
    </w:p>
    <w:p w14:paraId="1B61F772" w14:textId="0DD98587" w:rsidR="00655D33" w:rsidRPr="009D78B1" w:rsidRDefault="00655D33" w:rsidP="00655D33">
      <w:pPr>
        <w:ind w:firstLine="420"/>
        <w:jc w:val="both"/>
        <w:rPr>
          <w:rFonts w:ascii="Times New Roman" w:hAnsi="Times New Roman" w:cs="Times New Roman"/>
          <w:sz w:val="20"/>
          <w:szCs w:val="20"/>
        </w:rPr>
      </w:pPr>
      <w:r w:rsidRPr="00655D33">
        <w:rPr>
          <w:rFonts w:ascii="Times New Roman" w:hAnsi="Times New Roman" w:cs="Times New Roman"/>
          <w:sz w:val="20"/>
          <w:szCs w:val="20"/>
        </w:rPr>
        <w:t>This study contributes to the growing body of literature on international student mobility by providing a comprehensive evaluation of SEA Teacher Exchange participants within the Philippine higher education context. Unlike previous studies that primarily focus on professional development outcomes, the present study simultaneously examines pedagogical, socio-cultural, and infrastructural dimensions of the exchange experience. The findings offer evidence-based recommendations for enhancing student support services, intercultural programming, and institutional infrastructure to improve future mobility initiatives.</w:t>
      </w:r>
    </w:p>
    <w:p w14:paraId="645586E2" w14:textId="77777777" w:rsidR="007F3A71" w:rsidRDefault="007F3A71" w:rsidP="007F3A71">
      <w:pPr>
        <w:jc w:val="center"/>
        <w:rPr>
          <w:rFonts w:ascii="Times New Roman" w:hAnsi="Times New Roman" w:cs="Times New Roman"/>
          <w:sz w:val="20"/>
          <w:szCs w:val="20"/>
        </w:rPr>
      </w:pPr>
    </w:p>
    <w:p w14:paraId="49A5F4C1" w14:textId="7A7E8F89" w:rsidR="007F3A71" w:rsidRPr="007F3A71" w:rsidRDefault="007F3A71" w:rsidP="007F3A71">
      <w:pPr>
        <w:jc w:val="center"/>
        <w:rPr>
          <w:rFonts w:ascii="Times New Roman" w:hAnsi="Times New Roman" w:cs="Times New Roman"/>
          <w:b/>
          <w:bCs/>
          <w:sz w:val="20"/>
          <w:szCs w:val="20"/>
        </w:rPr>
      </w:pPr>
      <w:r w:rsidRPr="007F3A71">
        <w:rPr>
          <w:rFonts w:ascii="Times New Roman" w:hAnsi="Times New Roman" w:cs="Times New Roman"/>
          <w:b/>
          <w:bCs/>
          <w:sz w:val="20"/>
          <w:szCs w:val="20"/>
        </w:rPr>
        <w:t>THEORETICAL FRAMEWORK</w:t>
      </w:r>
    </w:p>
    <w:p w14:paraId="6CC7F81B" w14:textId="40247FB7"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This study is anchored on Oberg's U-Curve Theory of Cultural Adjustment and Allport's Contact Hypothesis.</w:t>
      </w:r>
    </w:p>
    <w:p w14:paraId="4E86072A" w14:textId="77777777"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 xml:space="preserve">According to Oberg (1960), individuals undergoing cultural transition experience four stages: honeymoon, crisis, </w:t>
      </w:r>
      <w:r w:rsidRPr="007F3A71">
        <w:rPr>
          <w:rFonts w:ascii="Times New Roman" w:hAnsi="Times New Roman" w:cs="Times New Roman"/>
          <w:sz w:val="20"/>
          <w:szCs w:val="20"/>
        </w:rPr>
        <w:t xml:space="preserve">recovery, and adjustment. Exchange students initially experience enthusiasm and excitement upon arrival but may later encounter challenges </w:t>
      </w:r>
      <w:proofErr w:type="gramStart"/>
      <w:r w:rsidRPr="007F3A71">
        <w:rPr>
          <w:rFonts w:ascii="Times New Roman" w:hAnsi="Times New Roman" w:cs="Times New Roman"/>
          <w:sz w:val="20"/>
          <w:szCs w:val="20"/>
        </w:rPr>
        <w:t>associated</w:t>
      </w:r>
      <w:proofErr w:type="gramEnd"/>
      <w:r w:rsidRPr="007F3A71">
        <w:rPr>
          <w:rFonts w:ascii="Times New Roman" w:hAnsi="Times New Roman" w:cs="Times New Roman"/>
          <w:sz w:val="20"/>
          <w:szCs w:val="20"/>
        </w:rPr>
        <w:t xml:space="preserve"> with unfamiliar academic expectations, living conditions, and social norms. Successful adaptation occurs as participants gradually develop coping mechanisms and cultural understanding.</w:t>
      </w:r>
    </w:p>
    <w:p w14:paraId="1B1A8A11" w14:textId="66490B35"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 xml:space="preserve">Meanwhile, Allport's Contact Hypothesis (1954) posits that positive interactions among individuals from different cultural backgrounds can reduce prejudice and strengthen mutual understanding when conditions such as equal status, cooperation, common goals, and institutional support are present. </w:t>
      </w:r>
      <w:r w:rsidR="003335DD">
        <w:rPr>
          <w:rFonts w:ascii="Times New Roman" w:hAnsi="Times New Roman" w:cs="Times New Roman"/>
          <w:sz w:val="20"/>
          <w:szCs w:val="20"/>
        </w:rPr>
        <w:t>SEA Teacher Exchange program</w:t>
      </w:r>
      <w:r w:rsidRPr="007F3A71">
        <w:rPr>
          <w:rFonts w:ascii="Times New Roman" w:hAnsi="Times New Roman" w:cs="Times New Roman"/>
          <w:sz w:val="20"/>
          <w:szCs w:val="20"/>
        </w:rPr>
        <w:t xml:space="preserve"> </w:t>
      </w:r>
      <w:proofErr w:type="gramStart"/>
      <w:r w:rsidRPr="007F3A71">
        <w:rPr>
          <w:rFonts w:ascii="Times New Roman" w:hAnsi="Times New Roman" w:cs="Times New Roman"/>
          <w:sz w:val="20"/>
          <w:szCs w:val="20"/>
        </w:rPr>
        <w:t>exemplify</w:t>
      </w:r>
      <w:proofErr w:type="gramEnd"/>
      <w:r w:rsidRPr="007F3A71">
        <w:rPr>
          <w:rFonts w:ascii="Times New Roman" w:hAnsi="Times New Roman" w:cs="Times New Roman"/>
          <w:sz w:val="20"/>
          <w:szCs w:val="20"/>
        </w:rPr>
        <w:t xml:space="preserve"> these conditions by creating opportunities for meaningful intercultural engagement among participants.</w:t>
      </w:r>
    </w:p>
    <w:p w14:paraId="088F504E" w14:textId="534473BC" w:rsidR="009D78B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Together, these frameworks explain both the adjustment challenges and positive intercultural experiences reported by SEA Teacher participants.</w:t>
      </w:r>
    </w:p>
    <w:p w14:paraId="0418CE7D" w14:textId="77777777" w:rsidR="007F3A71" w:rsidRPr="007F3A71" w:rsidRDefault="007F3A71" w:rsidP="007F3A71">
      <w:pPr>
        <w:ind w:firstLine="420"/>
        <w:jc w:val="center"/>
        <w:rPr>
          <w:rFonts w:ascii="Times New Roman" w:hAnsi="Times New Roman" w:cs="Times New Roman"/>
          <w:b/>
          <w:bCs/>
          <w:sz w:val="20"/>
          <w:szCs w:val="20"/>
        </w:rPr>
      </w:pPr>
    </w:p>
    <w:p w14:paraId="7D086E90" w14:textId="77777777" w:rsidR="009D78B1" w:rsidRPr="007F3A71" w:rsidRDefault="009D78B1" w:rsidP="007F3A71">
      <w:pPr>
        <w:jc w:val="center"/>
        <w:rPr>
          <w:rFonts w:ascii="Times New Roman" w:hAnsi="Times New Roman" w:cs="Times New Roman"/>
          <w:b/>
          <w:bCs/>
          <w:sz w:val="20"/>
          <w:szCs w:val="20"/>
        </w:rPr>
      </w:pPr>
      <w:r w:rsidRPr="007F3A71">
        <w:rPr>
          <w:rFonts w:ascii="Times New Roman" w:hAnsi="Times New Roman" w:cs="Times New Roman"/>
          <w:b/>
          <w:bCs/>
          <w:sz w:val="20"/>
          <w:szCs w:val="20"/>
        </w:rPr>
        <w:t>METHODOLOGY</w:t>
      </w:r>
    </w:p>
    <w:p w14:paraId="59D0E663" w14:textId="77777777" w:rsidR="007F3A71" w:rsidRPr="007F3A71" w:rsidRDefault="009D78B1" w:rsidP="009D78B1">
      <w:pPr>
        <w:jc w:val="both"/>
        <w:rPr>
          <w:rFonts w:ascii="Times New Roman" w:hAnsi="Times New Roman" w:cs="Times New Roman"/>
          <w:b/>
          <w:bCs/>
          <w:sz w:val="20"/>
          <w:szCs w:val="20"/>
        </w:rPr>
      </w:pPr>
      <w:r w:rsidRPr="007F3A71">
        <w:rPr>
          <w:rFonts w:ascii="Times New Roman" w:hAnsi="Times New Roman" w:cs="Times New Roman"/>
          <w:b/>
          <w:bCs/>
          <w:sz w:val="20"/>
          <w:szCs w:val="20"/>
        </w:rPr>
        <w:t xml:space="preserve">Research Design. </w:t>
      </w:r>
    </w:p>
    <w:p w14:paraId="47868D49" w14:textId="46B6470F" w:rsidR="009D78B1" w:rsidRPr="009D78B1" w:rsidRDefault="009D78B1" w:rsidP="007F3A71">
      <w:pPr>
        <w:ind w:firstLine="420"/>
        <w:jc w:val="both"/>
        <w:rPr>
          <w:rFonts w:ascii="Times New Roman" w:hAnsi="Times New Roman" w:cs="Times New Roman"/>
          <w:sz w:val="20"/>
          <w:szCs w:val="20"/>
        </w:rPr>
      </w:pPr>
      <w:r w:rsidRPr="009D78B1">
        <w:rPr>
          <w:rFonts w:ascii="Times New Roman" w:hAnsi="Times New Roman" w:cs="Times New Roman"/>
          <w:sz w:val="20"/>
          <w:szCs w:val="20"/>
        </w:rPr>
        <w:t>The research design used in this study is the descriptive mixed-method design. It utilized structured exit interviews to gather qualitative themes and a rating scale to quantify satisfaction. This design generates data that best describes the attributes of the target population's experience.</w:t>
      </w:r>
    </w:p>
    <w:p w14:paraId="0FE716D8" w14:textId="77777777" w:rsidR="009D78B1" w:rsidRPr="009D78B1" w:rsidRDefault="009D78B1" w:rsidP="009D78B1">
      <w:pPr>
        <w:jc w:val="both"/>
        <w:rPr>
          <w:rFonts w:ascii="Times New Roman" w:hAnsi="Times New Roman" w:cs="Times New Roman"/>
          <w:sz w:val="20"/>
          <w:szCs w:val="20"/>
        </w:rPr>
      </w:pPr>
    </w:p>
    <w:p w14:paraId="46F246B9" w14:textId="77777777" w:rsidR="007F3A71" w:rsidRDefault="009D78B1" w:rsidP="009D78B1">
      <w:pPr>
        <w:jc w:val="both"/>
        <w:rPr>
          <w:rFonts w:ascii="Times New Roman" w:hAnsi="Times New Roman" w:cs="Times New Roman"/>
          <w:sz w:val="20"/>
          <w:szCs w:val="20"/>
        </w:rPr>
      </w:pPr>
      <w:r w:rsidRPr="007F3A71">
        <w:rPr>
          <w:rFonts w:ascii="Times New Roman" w:hAnsi="Times New Roman" w:cs="Times New Roman"/>
          <w:b/>
          <w:bCs/>
          <w:sz w:val="20"/>
          <w:szCs w:val="20"/>
        </w:rPr>
        <w:t>Participants of the Study</w:t>
      </w:r>
    </w:p>
    <w:p w14:paraId="14898D29" w14:textId="5B218B87"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The study involved twenty-four (24) international pre-service teachers who participated in the SEA Teacher Exchange Program</w:t>
      </w:r>
      <w:r w:rsidR="003335DD">
        <w:rPr>
          <w:rFonts w:ascii="Times New Roman" w:hAnsi="Times New Roman" w:cs="Times New Roman"/>
          <w:sz w:val="20"/>
          <w:szCs w:val="20"/>
        </w:rPr>
        <w:t xml:space="preserve">. </w:t>
      </w:r>
      <w:r w:rsidRPr="007F3A71">
        <w:rPr>
          <w:rFonts w:ascii="Times New Roman" w:hAnsi="Times New Roman" w:cs="Times New Roman"/>
          <w:sz w:val="20"/>
          <w:szCs w:val="20"/>
        </w:rPr>
        <w:t>Participants represented Indonesia, Vietnam, and Thailand.</w:t>
      </w:r>
    </w:p>
    <w:p w14:paraId="2CD8A7AF" w14:textId="1F3E629D" w:rsidR="009D78B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Purposive sampling was utilized because participants possessed direct experience with the exchange program and could provide relevant insights regarding academic, social, cultural, and logistical aspects of their stay.</w:t>
      </w:r>
    </w:p>
    <w:p w14:paraId="3759EAB1" w14:textId="77777777" w:rsidR="007F3A71" w:rsidRPr="009D78B1" w:rsidRDefault="007F3A71" w:rsidP="007F3A71">
      <w:pPr>
        <w:jc w:val="both"/>
        <w:rPr>
          <w:rFonts w:ascii="Times New Roman" w:hAnsi="Times New Roman" w:cs="Times New Roman"/>
          <w:sz w:val="20"/>
          <w:szCs w:val="20"/>
        </w:rPr>
      </w:pPr>
    </w:p>
    <w:p w14:paraId="390487DF" w14:textId="77777777" w:rsidR="007F3A71" w:rsidRDefault="009D78B1" w:rsidP="009D78B1">
      <w:pPr>
        <w:jc w:val="both"/>
        <w:rPr>
          <w:rFonts w:ascii="Times New Roman" w:hAnsi="Times New Roman" w:cs="Times New Roman"/>
          <w:b/>
          <w:bCs/>
          <w:sz w:val="20"/>
          <w:szCs w:val="20"/>
        </w:rPr>
      </w:pPr>
      <w:r w:rsidRPr="007F3A71">
        <w:rPr>
          <w:rFonts w:ascii="Times New Roman" w:hAnsi="Times New Roman" w:cs="Times New Roman"/>
          <w:b/>
          <w:bCs/>
          <w:sz w:val="20"/>
          <w:szCs w:val="20"/>
        </w:rPr>
        <w:t>Data Collection and Instrument</w:t>
      </w:r>
    </w:p>
    <w:p w14:paraId="0EA5A11F" w14:textId="352A762E" w:rsidR="009D78B1" w:rsidRPr="009D78B1" w:rsidRDefault="009D78B1" w:rsidP="007F3A71">
      <w:pPr>
        <w:ind w:firstLine="420"/>
        <w:jc w:val="both"/>
        <w:rPr>
          <w:rFonts w:ascii="Times New Roman" w:hAnsi="Times New Roman" w:cs="Times New Roman"/>
          <w:sz w:val="20"/>
          <w:szCs w:val="20"/>
        </w:rPr>
      </w:pPr>
      <w:r w:rsidRPr="009D78B1">
        <w:rPr>
          <w:rFonts w:ascii="Times New Roman" w:hAnsi="Times New Roman" w:cs="Times New Roman"/>
          <w:sz w:val="20"/>
          <w:szCs w:val="20"/>
        </w:rPr>
        <w:t xml:space="preserve"> The primary instrument was the Exit Interview Protocol. It comprised open-ended questions targeting four themes: (1) pedagogical growth, (2) social dynamics, (3) cultural immersion, and (4) logistical challenges. Additionally, a 10-point Likert-type scale was used to measure overall satisfaction.</w:t>
      </w:r>
    </w:p>
    <w:p w14:paraId="3FA883B7" w14:textId="67523544"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Data were gathered through a structured Exit Interview Protocol consisting of open-ended questions addressing:</w:t>
      </w:r>
    </w:p>
    <w:p w14:paraId="3ED1E1AA" w14:textId="229EB29B" w:rsidR="007F3A71" w:rsidRPr="007F3A71" w:rsidRDefault="007F3A71" w:rsidP="007F3A71">
      <w:pPr>
        <w:jc w:val="both"/>
        <w:rPr>
          <w:rFonts w:ascii="Times New Roman" w:hAnsi="Times New Roman" w:cs="Times New Roman"/>
          <w:sz w:val="20"/>
          <w:szCs w:val="20"/>
        </w:rPr>
      </w:pPr>
      <w:r>
        <w:rPr>
          <w:rFonts w:ascii="Times New Roman" w:hAnsi="Times New Roman" w:cs="Times New Roman"/>
          <w:sz w:val="20"/>
          <w:szCs w:val="20"/>
        </w:rPr>
        <w:t xml:space="preserve">1. </w:t>
      </w:r>
      <w:r w:rsidRPr="007F3A71">
        <w:rPr>
          <w:rFonts w:ascii="Times New Roman" w:hAnsi="Times New Roman" w:cs="Times New Roman"/>
          <w:sz w:val="20"/>
          <w:szCs w:val="20"/>
        </w:rPr>
        <w:t>Pedagogical growth and professional development;</w:t>
      </w:r>
    </w:p>
    <w:p w14:paraId="14CB1CF7" w14:textId="0495BA8D" w:rsidR="007F3A71" w:rsidRPr="007F3A71" w:rsidRDefault="007F3A71" w:rsidP="007F3A71">
      <w:pPr>
        <w:jc w:val="both"/>
        <w:rPr>
          <w:rFonts w:ascii="Times New Roman" w:hAnsi="Times New Roman" w:cs="Times New Roman"/>
          <w:sz w:val="20"/>
          <w:szCs w:val="20"/>
        </w:rPr>
      </w:pPr>
      <w:r>
        <w:rPr>
          <w:rFonts w:ascii="Times New Roman" w:hAnsi="Times New Roman" w:cs="Times New Roman"/>
          <w:sz w:val="20"/>
          <w:szCs w:val="20"/>
        </w:rPr>
        <w:t xml:space="preserve">2. </w:t>
      </w:r>
      <w:r w:rsidRPr="007F3A71">
        <w:rPr>
          <w:rFonts w:ascii="Times New Roman" w:hAnsi="Times New Roman" w:cs="Times New Roman"/>
          <w:sz w:val="20"/>
          <w:szCs w:val="20"/>
        </w:rPr>
        <w:t>Social integration and cultural immersion;</w:t>
      </w:r>
    </w:p>
    <w:p w14:paraId="4F22D9EA" w14:textId="67B3569E" w:rsidR="007F3A71" w:rsidRPr="007F3A71" w:rsidRDefault="007F3A71" w:rsidP="007F3A71">
      <w:pPr>
        <w:jc w:val="both"/>
        <w:rPr>
          <w:rFonts w:ascii="Times New Roman" w:hAnsi="Times New Roman" w:cs="Times New Roman"/>
          <w:sz w:val="20"/>
          <w:szCs w:val="20"/>
        </w:rPr>
      </w:pPr>
      <w:r>
        <w:rPr>
          <w:rFonts w:ascii="Times New Roman" w:hAnsi="Times New Roman" w:cs="Times New Roman"/>
          <w:sz w:val="20"/>
          <w:szCs w:val="20"/>
        </w:rPr>
        <w:t xml:space="preserve">3. </w:t>
      </w:r>
      <w:r w:rsidRPr="007F3A71">
        <w:rPr>
          <w:rFonts w:ascii="Times New Roman" w:hAnsi="Times New Roman" w:cs="Times New Roman"/>
          <w:sz w:val="20"/>
          <w:szCs w:val="20"/>
        </w:rPr>
        <w:t>Logistical and infrastructural experiences; and</w:t>
      </w:r>
    </w:p>
    <w:p w14:paraId="5D66C80B" w14:textId="500C0C7C" w:rsidR="007F3A71" w:rsidRPr="007F3A71" w:rsidRDefault="007F3A71" w:rsidP="007F3A71">
      <w:pPr>
        <w:jc w:val="both"/>
        <w:rPr>
          <w:rFonts w:ascii="Times New Roman" w:hAnsi="Times New Roman" w:cs="Times New Roman"/>
          <w:sz w:val="20"/>
          <w:szCs w:val="20"/>
        </w:rPr>
      </w:pPr>
      <w:r>
        <w:rPr>
          <w:rFonts w:ascii="Times New Roman" w:hAnsi="Times New Roman" w:cs="Times New Roman"/>
          <w:sz w:val="20"/>
          <w:szCs w:val="20"/>
        </w:rPr>
        <w:t xml:space="preserve">4. </w:t>
      </w:r>
      <w:r w:rsidRPr="007F3A71">
        <w:rPr>
          <w:rFonts w:ascii="Times New Roman" w:hAnsi="Times New Roman" w:cs="Times New Roman"/>
          <w:sz w:val="20"/>
          <w:szCs w:val="20"/>
        </w:rPr>
        <w:t>Recommendations for program improvement.</w:t>
      </w:r>
    </w:p>
    <w:p w14:paraId="4B153A7E" w14:textId="77777777"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lastRenderedPageBreak/>
        <w:t>A 10-point satisfaction scale was also administered to measure participants' overall program evaluation.</w:t>
      </w:r>
    </w:p>
    <w:p w14:paraId="0322CCC0" w14:textId="7947C1D1" w:rsidR="009D78B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The instrument underwent expert validation by specialists in international education, educational research, and student affairs administration. Revisions were incorporated based on their recommendations to improve clarity and relevance.</w:t>
      </w:r>
    </w:p>
    <w:p w14:paraId="50E367C9" w14:textId="77777777" w:rsidR="007F3A71" w:rsidRPr="009D78B1" w:rsidRDefault="007F3A71" w:rsidP="007F3A71">
      <w:pPr>
        <w:ind w:firstLine="420"/>
        <w:jc w:val="both"/>
        <w:rPr>
          <w:rFonts w:ascii="Times New Roman" w:hAnsi="Times New Roman" w:cs="Times New Roman"/>
          <w:sz w:val="20"/>
          <w:szCs w:val="20"/>
        </w:rPr>
      </w:pPr>
    </w:p>
    <w:p w14:paraId="32122DAE" w14:textId="77777777" w:rsidR="007F3A71" w:rsidRDefault="009D78B1" w:rsidP="009D78B1">
      <w:pPr>
        <w:jc w:val="both"/>
        <w:rPr>
          <w:rFonts w:ascii="Times New Roman" w:hAnsi="Times New Roman" w:cs="Times New Roman"/>
          <w:b/>
          <w:bCs/>
          <w:sz w:val="20"/>
          <w:szCs w:val="20"/>
        </w:rPr>
      </w:pPr>
      <w:r w:rsidRPr="007F3A71">
        <w:rPr>
          <w:rFonts w:ascii="Times New Roman" w:hAnsi="Times New Roman" w:cs="Times New Roman"/>
          <w:b/>
          <w:bCs/>
          <w:sz w:val="20"/>
          <w:szCs w:val="20"/>
        </w:rPr>
        <w:t>Data Analysis</w:t>
      </w:r>
    </w:p>
    <w:p w14:paraId="691594D9" w14:textId="7E6F4D17" w:rsidR="009D78B1" w:rsidRDefault="009D78B1" w:rsidP="007F3A71">
      <w:pPr>
        <w:ind w:firstLine="420"/>
        <w:jc w:val="both"/>
        <w:rPr>
          <w:rFonts w:ascii="Times New Roman" w:hAnsi="Times New Roman" w:cs="Times New Roman"/>
          <w:sz w:val="20"/>
          <w:szCs w:val="20"/>
        </w:rPr>
      </w:pPr>
      <w:r w:rsidRPr="009D78B1">
        <w:rPr>
          <w:rFonts w:ascii="Times New Roman" w:hAnsi="Times New Roman" w:cs="Times New Roman"/>
          <w:sz w:val="20"/>
          <w:szCs w:val="20"/>
        </w:rPr>
        <w:t>Qualitative data were subjected to thematic analysis to identify recurring patterns. Quantitative data were analyzed using weighted means to determine the average satisfaction rating.</w:t>
      </w:r>
    </w:p>
    <w:p w14:paraId="0EED663E" w14:textId="447807CE" w:rsidR="007F3A71" w:rsidRDefault="007F3A71" w:rsidP="007F3A71">
      <w:pPr>
        <w:ind w:firstLine="420"/>
        <w:jc w:val="both"/>
        <w:rPr>
          <w:rFonts w:ascii="Times New Roman" w:hAnsi="Times New Roman" w:cs="Times New Roman"/>
          <w:sz w:val="20"/>
          <w:szCs w:val="20"/>
        </w:rPr>
      </w:pPr>
    </w:p>
    <w:p w14:paraId="1794665A" w14:textId="04CAE12D" w:rsidR="007F3A71" w:rsidRPr="007F3A71" w:rsidRDefault="007F3A71" w:rsidP="007F3A71">
      <w:pPr>
        <w:jc w:val="both"/>
        <w:rPr>
          <w:rFonts w:ascii="Times New Roman" w:hAnsi="Times New Roman" w:cs="Times New Roman"/>
          <w:b/>
          <w:bCs/>
          <w:sz w:val="20"/>
          <w:szCs w:val="20"/>
        </w:rPr>
      </w:pPr>
      <w:r w:rsidRPr="007F3A71">
        <w:rPr>
          <w:rFonts w:ascii="Times New Roman" w:hAnsi="Times New Roman" w:cs="Times New Roman"/>
          <w:b/>
          <w:bCs/>
          <w:sz w:val="20"/>
          <w:szCs w:val="20"/>
        </w:rPr>
        <w:t>Ethical Considerations</w:t>
      </w:r>
    </w:p>
    <w:p w14:paraId="4BD034EA" w14:textId="33274690" w:rsidR="007F3A71" w:rsidRPr="009D78B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Ethical standards were strictly observed throughout the study. Participation was voluntary, informed consent was obtained from all respondents, and anonymity was maintained to encourage honest responses. Participants were informed that their responses would be used solely for research and quality improvement purposes.</w:t>
      </w:r>
    </w:p>
    <w:p w14:paraId="7BFC4463" w14:textId="77777777" w:rsidR="009D78B1" w:rsidRPr="009D78B1" w:rsidRDefault="009D78B1" w:rsidP="009D78B1">
      <w:pPr>
        <w:jc w:val="both"/>
        <w:rPr>
          <w:rFonts w:ascii="Times New Roman" w:hAnsi="Times New Roman" w:cs="Times New Roman"/>
          <w:sz w:val="20"/>
          <w:szCs w:val="20"/>
        </w:rPr>
      </w:pPr>
    </w:p>
    <w:p w14:paraId="17D88EF7" w14:textId="1CC36E14" w:rsidR="009D78B1" w:rsidRPr="003335DD" w:rsidRDefault="009D78B1" w:rsidP="007F3A71">
      <w:pPr>
        <w:jc w:val="center"/>
        <w:rPr>
          <w:rFonts w:ascii="Times New Roman" w:hAnsi="Times New Roman" w:cs="Times New Roman"/>
          <w:b/>
          <w:bCs/>
          <w:sz w:val="20"/>
          <w:szCs w:val="20"/>
        </w:rPr>
      </w:pPr>
      <w:r w:rsidRPr="003335DD">
        <w:rPr>
          <w:rFonts w:ascii="Times New Roman" w:hAnsi="Times New Roman" w:cs="Times New Roman"/>
          <w:b/>
          <w:bCs/>
          <w:sz w:val="20"/>
          <w:szCs w:val="20"/>
        </w:rPr>
        <w:t>RESULTS AND DISCUSSIONS</w:t>
      </w:r>
    </w:p>
    <w:p w14:paraId="1062B3FC" w14:textId="77777777" w:rsidR="007F3A71" w:rsidRPr="003335DD" w:rsidRDefault="007F3A71" w:rsidP="007F3A71">
      <w:pPr>
        <w:jc w:val="center"/>
        <w:rPr>
          <w:rFonts w:ascii="Times New Roman" w:hAnsi="Times New Roman" w:cs="Times New Roman"/>
          <w:b/>
          <w:bCs/>
          <w:sz w:val="20"/>
          <w:szCs w:val="20"/>
        </w:rPr>
      </w:pPr>
    </w:p>
    <w:p w14:paraId="69F15D17" w14:textId="77777777" w:rsidR="009D78B1" w:rsidRPr="003335DD" w:rsidRDefault="009D78B1" w:rsidP="009D78B1">
      <w:pPr>
        <w:jc w:val="both"/>
        <w:rPr>
          <w:rFonts w:ascii="Times New Roman" w:hAnsi="Times New Roman" w:cs="Times New Roman"/>
          <w:b/>
          <w:bCs/>
          <w:sz w:val="20"/>
          <w:szCs w:val="20"/>
        </w:rPr>
      </w:pPr>
      <w:r w:rsidRPr="003335DD">
        <w:rPr>
          <w:rFonts w:ascii="Times New Roman" w:hAnsi="Times New Roman" w:cs="Times New Roman"/>
          <w:b/>
          <w:bCs/>
          <w:sz w:val="20"/>
          <w:szCs w:val="20"/>
        </w:rPr>
        <w:t>Pedagogical Growth &amp; Professional Development</w:t>
      </w:r>
    </w:p>
    <w:p w14:paraId="6B8D2082" w14:textId="77777777" w:rsidR="009D78B1" w:rsidRPr="003335DD" w:rsidRDefault="009D78B1" w:rsidP="009D78B1">
      <w:pPr>
        <w:jc w:val="both"/>
        <w:rPr>
          <w:rFonts w:ascii="Times New Roman" w:hAnsi="Times New Roman" w:cs="Times New Roman"/>
          <w:b/>
          <w:bCs/>
          <w:sz w:val="20"/>
          <w:szCs w:val="20"/>
        </w:rPr>
      </w:pPr>
      <w:r w:rsidRPr="003335DD">
        <w:rPr>
          <w:rFonts w:ascii="Times New Roman" w:hAnsi="Times New Roman" w:cs="Times New Roman"/>
          <w:b/>
          <w:bCs/>
          <w:sz w:val="20"/>
          <w:szCs w:val="20"/>
        </w:rPr>
        <w:t>Table 1. Key Observations on Pedagogy</w:t>
      </w:r>
    </w:p>
    <w:tbl>
      <w:tblPr>
        <w:tblStyle w:val="TableGrid"/>
        <w:tblW w:w="0" w:type="auto"/>
        <w:tblLook w:val="04A0" w:firstRow="1" w:lastRow="0" w:firstColumn="1" w:lastColumn="0" w:noHBand="0" w:noVBand="1"/>
      </w:tblPr>
      <w:tblGrid>
        <w:gridCol w:w="1677"/>
        <w:gridCol w:w="3186"/>
      </w:tblGrid>
      <w:tr w:rsidR="009D78B1" w:rsidRPr="003335DD" w14:paraId="715A60DB" w14:textId="77777777" w:rsidTr="002B2AA5">
        <w:tc>
          <w:tcPr>
            <w:tcW w:w="2405" w:type="dxa"/>
          </w:tcPr>
          <w:p w14:paraId="34EDA1DE" w14:textId="77777777" w:rsidR="009D78B1" w:rsidRPr="003335DD" w:rsidRDefault="009D78B1" w:rsidP="003335DD">
            <w:pPr>
              <w:jc w:val="center"/>
              <w:rPr>
                <w:rFonts w:ascii="Times New Roman" w:hAnsi="Times New Roman" w:cs="Times New Roman"/>
                <w:sz w:val="20"/>
                <w:szCs w:val="20"/>
              </w:rPr>
            </w:pPr>
            <w:r w:rsidRPr="003335DD">
              <w:rPr>
                <w:rFonts w:ascii="Times New Roman" w:hAnsi="Times New Roman" w:cs="Times New Roman"/>
                <w:b/>
                <w:bCs/>
                <w:sz w:val="20"/>
                <w:szCs w:val="20"/>
              </w:rPr>
              <w:t>Subtheme</w:t>
            </w:r>
          </w:p>
        </w:tc>
        <w:tc>
          <w:tcPr>
            <w:tcW w:w="6945" w:type="dxa"/>
          </w:tcPr>
          <w:p w14:paraId="1B679F63" w14:textId="77777777" w:rsidR="009D78B1" w:rsidRPr="003335DD" w:rsidRDefault="009D78B1" w:rsidP="003335DD">
            <w:pPr>
              <w:jc w:val="center"/>
              <w:rPr>
                <w:rFonts w:ascii="Times New Roman" w:hAnsi="Times New Roman" w:cs="Times New Roman"/>
                <w:sz w:val="20"/>
                <w:szCs w:val="20"/>
              </w:rPr>
            </w:pPr>
            <w:r w:rsidRPr="003335DD">
              <w:rPr>
                <w:rFonts w:ascii="Times New Roman" w:hAnsi="Times New Roman" w:cs="Times New Roman"/>
                <w:b/>
                <w:bCs/>
                <w:sz w:val="20"/>
                <w:szCs w:val="20"/>
              </w:rPr>
              <w:t>Key Findings</w:t>
            </w:r>
          </w:p>
        </w:tc>
      </w:tr>
      <w:tr w:rsidR="009D78B1" w:rsidRPr="003335DD" w14:paraId="288BB0DE" w14:textId="77777777" w:rsidTr="002B2AA5">
        <w:tc>
          <w:tcPr>
            <w:tcW w:w="2405" w:type="dxa"/>
          </w:tcPr>
          <w:p w14:paraId="3342A97C"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Skill Enhancement</w:t>
            </w:r>
          </w:p>
        </w:tc>
        <w:tc>
          <w:tcPr>
            <w:tcW w:w="6945" w:type="dxa"/>
          </w:tcPr>
          <w:p w14:paraId="1F6CB5EB"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Strong consensus on improved English proficiency and classroom management</w:t>
            </w:r>
          </w:p>
        </w:tc>
      </w:tr>
      <w:tr w:rsidR="009D78B1" w:rsidRPr="003335DD" w14:paraId="6BFD1C6C" w14:textId="77777777" w:rsidTr="002B2AA5">
        <w:tc>
          <w:tcPr>
            <w:tcW w:w="2405" w:type="dxa"/>
          </w:tcPr>
          <w:p w14:paraId="120D0CD8"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Mentorship</w:t>
            </w:r>
          </w:p>
        </w:tc>
        <w:tc>
          <w:tcPr>
            <w:tcW w:w="6945" w:type="dxa"/>
          </w:tcPr>
          <w:p w14:paraId="19B265EE"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Resource teachers were praised for being “emotionally available”.</w:t>
            </w:r>
          </w:p>
        </w:tc>
      </w:tr>
      <w:tr w:rsidR="009D78B1" w:rsidRPr="003335DD" w14:paraId="07482A88" w14:textId="77777777" w:rsidTr="002B2AA5">
        <w:tc>
          <w:tcPr>
            <w:tcW w:w="2405" w:type="dxa"/>
          </w:tcPr>
          <w:p w14:paraId="68384794"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Workload</w:t>
            </w:r>
          </w:p>
        </w:tc>
        <w:tc>
          <w:tcPr>
            <w:tcW w:w="6945" w:type="dxa"/>
          </w:tcPr>
          <w:p w14:paraId="521EEBC8"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 xml:space="preserve">“Culture shock” regarding the intensity of the Philippine education system. </w:t>
            </w:r>
          </w:p>
        </w:tc>
      </w:tr>
    </w:tbl>
    <w:p w14:paraId="5C23135E" w14:textId="77777777" w:rsidR="009D78B1" w:rsidRPr="003335DD" w:rsidRDefault="009D78B1" w:rsidP="009D78B1">
      <w:pPr>
        <w:jc w:val="both"/>
        <w:rPr>
          <w:rFonts w:ascii="Times New Roman" w:hAnsi="Times New Roman" w:cs="Times New Roman"/>
          <w:sz w:val="20"/>
          <w:szCs w:val="20"/>
        </w:rPr>
      </w:pPr>
    </w:p>
    <w:p w14:paraId="7D7A0BEA" w14:textId="6D48DA8F" w:rsidR="007F3A71" w:rsidRPr="003335DD" w:rsidRDefault="007F3A71" w:rsidP="007F3A71">
      <w:pPr>
        <w:ind w:firstLine="420"/>
        <w:jc w:val="both"/>
        <w:rPr>
          <w:rFonts w:ascii="Times New Roman" w:hAnsi="Times New Roman" w:cs="Times New Roman"/>
          <w:sz w:val="20"/>
          <w:szCs w:val="20"/>
        </w:rPr>
      </w:pPr>
      <w:r w:rsidRPr="003335DD">
        <w:rPr>
          <w:rFonts w:ascii="Times New Roman" w:hAnsi="Times New Roman" w:cs="Times New Roman"/>
          <w:sz w:val="20"/>
          <w:szCs w:val="20"/>
        </w:rPr>
        <w:t>Findings indicate that participation in the SEA Teacher Exchange Program contributed substantially to the professional development of the participants. Students reported improvements in classroom management, English communication skills, instructional delivery, and contextualized teaching strategies.</w:t>
      </w:r>
    </w:p>
    <w:p w14:paraId="7147ED3B" w14:textId="1EF590DE" w:rsidR="007F3A71" w:rsidRPr="003335DD" w:rsidRDefault="007F3A71" w:rsidP="007F3A71">
      <w:pPr>
        <w:ind w:firstLine="420"/>
        <w:jc w:val="both"/>
        <w:rPr>
          <w:rFonts w:ascii="Times New Roman" w:hAnsi="Times New Roman" w:cs="Times New Roman"/>
          <w:sz w:val="20"/>
          <w:szCs w:val="20"/>
        </w:rPr>
      </w:pPr>
      <w:r w:rsidRPr="003335DD">
        <w:rPr>
          <w:rFonts w:ascii="Times New Roman" w:hAnsi="Times New Roman" w:cs="Times New Roman"/>
          <w:sz w:val="20"/>
          <w:szCs w:val="20"/>
        </w:rPr>
        <w:t>Mentorship emerged as one of the strongest positive themes. Participants consistently described cooperating teachers and university mentors as supportive, approachable, and professionally competent. These findings align with previous research demonstrating that mentoring relationships significantly enhance learning outcomes and professional confidence among pre-service teachers.</w:t>
      </w:r>
    </w:p>
    <w:p w14:paraId="0E1D12CA" w14:textId="4DC3644C" w:rsidR="007F3A71" w:rsidRPr="003335DD" w:rsidRDefault="007F3A71" w:rsidP="007F3A71">
      <w:pPr>
        <w:ind w:firstLine="420"/>
        <w:jc w:val="both"/>
        <w:rPr>
          <w:rFonts w:ascii="Times New Roman" w:hAnsi="Times New Roman" w:cs="Times New Roman"/>
          <w:sz w:val="20"/>
          <w:szCs w:val="20"/>
        </w:rPr>
      </w:pPr>
      <w:r w:rsidRPr="003335DD">
        <w:rPr>
          <w:rFonts w:ascii="Times New Roman" w:hAnsi="Times New Roman" w:cs="Times New Roman"/>
          <w:sz w:val="20"/>
          <w:szCs w:val="20"/>
        </w:rPr>
        <w:t>However, participants experienced considerable adjustment difficulties regarding instructional planning requirements. The Philippine practice of preparing detailed daily lesson plans differed substantially from the semester-based planning systems commonly used in their home countries. This difference created what participants described as "academic culture shock."</w:t>
      </w:r>
    </w:p>
    <w:p w14:paraId="3E766847" w14:textId="5BEB94AB" w:rsidR="009D78B1" w:rsidRPr="003335DD" w:rsidRDefault="007F3A71" w:rsidP="007F3A71">
      <w:pPr>
        <w:ind w:firstLine="420"/>
        <w:jc w:val="both"/>
        <w:rPr>
          <w:rFonts w:ascii="Times New Roman" w:hAnsi="Times New Roman" w:cs="Times New Roman"/>
          <w:sz w:val="20"/>
          <w:szCs w:val="20"/>
        </w:rPr>
      </w:pPr>
      <w:r w:rsidRPr="003335DD">
        <w:rPr>
          <w:rFonts w:ascii="Times New Roman" w:hAnsi="Times New Roman" w:cs="Times New Roman"/>
          <w:sz w:val="20"/>
          <w:szCs w:val="20"/>
        </w:rPr>
        <w:t>These findings support Oberg's theory, wherein participants encountered temporary stress while adapting to unfamiliar educational practices before eventually adjusting to institutional expectations.</w:t>
      </w:r>
    </w:p>
    <w:p w14:paraId="11DE6B34" w14:textId="77777777" w:rsidR="007F3A71" w:rsidRPr="003335DD" w:rsidRDefault="007F3A71" w:rsidP="003335DD">
      <w:pPr>
        <w:jc w:val="both"/>
        <w:rPr>
          <w:rFonts w:ascii="Times New Roman" w:hAnsi="Times New Roman" w:cs="Times New Roman"/>
          <w:sz w:val="20"/>
          <w:szCs w:val="20"/>
        </w:rPr>
      </w:pPr>
    </w:p>
    <w:p w14:paraId="5F8B4734" w14:textId="77777777" w:rsidR="009D78B1" w:rsidRPr="003335DD" w:rsidRDefault="009D78B1" w:rsidP="003335DD">
      <w:pPr>
        <w:jc w:val="both"/>
        <w:rPr>
          <w:rFonts w:ascii="Times New Roman" w:hAnsi="Times New Roman" w:cs="Times New Roman"/>
          <w:b/>
          <w:bCs/>
          <w:sz w:val="20"/>
          <w:szCs w:val="20"/>
        </w:rPr>
      </w:pPr>
      <w:r w:rsidRPr="003335DD">
        <w:rPr>
          <w:rFonts w:ascii="Times New Roman" w:hAnsi="Times New Roman" w:cs="Times New Roman"/>
          <w:b/>
          <w:bCs/>
          <w:sz w:val="20"/>
          <w:szCs w:val="20"/>
        </w:rPr>
        <w:t>Social Dynamics &amp; Cultural Immersion</w:t>
      </w:r>
    </w:p>
    <w:p w14:paraId="7D3786CE" w14:textId="77777777" w:rsidR="009D78B1" w:rsidRPr="003335DD" w:rsidRDefault="009D78B1" w:rsidP="003335DD">
      <w:pPr>
        <w:jc w:val="both"/>
        <w:rPr>
          <w:rFonts w:ascii="Times New Roman" w:hAnsi="Times New Roman" w:cs="Times New Roman"/>
          <w:b/>
          <w:bCs/>
          <w:sz w:val="20"/>
          <w:szCs w:val="20"/>
        </w:rPr>
      </w:pPr>
      <w:r w:rsidRPr="003335DD">
        <w:rPr>
          <w:rFonts w:ascii="Times New Roman" w:hAnsi="Times New Roman" w:cs="Times New Roman"/>
          <w:b/>
          <w:bCs/>
          <w:sz w:val="20"/>
          <w:szCs w:val="20"/>
        </w:rPr>
        <w:t>Table 2. Key Observations on Social Dynamics</w:t>
      </w:r>
    </w:p>
    <w:p w14:paraId="563B82C6" w14:textId="77777777" w:rsidR="009D78B1" w:rsidRPr="003335DD" w:rsidRDefault="009D78B1" w:rsidP="003335DD">
      <w:pPr>
        <w:jc w:val="both"/>
        <w:rPr>
          <w:rFonts w:ascii="Times New Roman" w:hAnsi="Times New Roman" w:cs="Times New Roman"/>
          <w:b/>
          <w:bCs/>
          <w:sz w:val="20"/>
          <w:szCs w:val="20"/>
        </w:rPr>
      </w:pPr>
      <w:r w:rsidRPr="003335DD">
        <w:rPr>
          <w:rFonts w:ascii="Times New Roman" w:hAnsi="Times New Roman" w:cs="Times New Roman"/>
          <w:b/>
          <w:bCs/>
          <w:sz w:val="20"/>
          <w:szCs w:val="20"/>
        </w:rPr>
        <w:t>Subtheme</w:t>
      </w:r>
      <w:r w:rsidRPr="003335DD">
        <w:rPr>
          <w:rFonts w:ascii="Times New Roman" w:hAnsi="Times New Roman" w:cs="Times New Roman"/>
          <w:b/>
          <w:bCs/>
          <w:sz w:val="20"/>
          <w:szCs w:val="20"/>
        </w:rPr>
        <w:tab/>
        <w:t>Key Findings</w:t>
      </w:r>
    </w:p>
    <w:tbl>
      <w:tblPr>
        <w:tblStyle w:val="TableGrid"/>
        <w:tblW w:w="0" w:type="auto"/>
        <w:tblLook w:val="04A0" w:firstRow="1" w:lastRow="0" w:firstColumn="1" w:lastColumn="0" w:noHBand="0" w:noVBand="1"/>
      </w:tblPr>
      <w:tblGrid>
        <w:gridCol w:w="1637"/>
        <w:gridCol w:w="3226"/>
      </w:tblGrid>
      <w:tr w:rsidR="009D78B1" w:rsidRPr="003335DD" w14:paraId="363CDBCE" w14:textId="77777777" w:rsidTr="002B2AA5">
        <w:tc>
          <w:tcPr>
            <w:tcW w:w="2405" w:type="dxa"/>
          </w:tcPr>
          <w:p w14:paraId="231FC1EF" w14:textId="77777777" w:rsidR="009D78B1" w:rsidRPr="003335DD" w:rsidRDefault="009D78B1" w:rsidP="003335DD">
            <w:pPr>
              <w:jc w:val="center"/>
              <w:rPr>
                <w:rFonts w:ascii="Times New Roman" w:hAnsi="Times New Roman" w:cs="Times New Roman"/>
                <w:b/>
                <w:bCs/>
                <w:sz w:val="20"/>
                <w:szCs w:val="20"/>
              </w:rPr>
            </w:pPr>
            <w:r w:rsidRPr="003335DD">
              <w:rPr>
                <w:rFonts w:ascii="Times New Roman" w:hAnsi="Times New Roman" w:cs="Times New Roman"/>
                <w:b/>
                <w:bCs/>
                <w:sz w:val="20"/>
                <w:szCs w:val="20"/>
              </w:rPr>
              <w:t>Subtheme</w:t>
            </w:r>
          </w:p>
        </w:tc>
        <w:tc>
          <w:tcPr>
            <w:tcW w:w="6945" w:type="dxa"/>
          </w:tcPr>
          <w:p w14:paraId="145FB203" w14:textId="77777777" w:rsidR="009D78B1" w:rsidRPr="003335DD" w:rsidRDefault="009D78B1" w:rsidP="003335DD">
            <w:pPr>
              <w:jc w:val="center"/>
              <w:rPr>
                <w:rFonts w:ascii="Times New Roman" w:hAnsi="Times New Roman" w:cs="Times New Roman"/>
                <w:b/>
                <w:bCs/>
                <w:sz w:val="20"/>
                <w:szCs w:val="20"/>
              </w:rPr>
            </w:pPr>
            <w:r w:rsidRPr="003335DD">
              <w:rPr>
                <w:rFonts w:ascii="Times New Roman" w:hAnsi="Times New Roman" w:cs="Times New Roman"/>
                <w:b/>
                <w:bCs/>
                <w:sz w:val="20"/>
                <w:szCs w:val="20"/>
              </w:rPr>
              <w:t>Key Findings</w:t>
            </w:r>
          </w:p>
        </w:tc>
      </w:tr>
      <w:tr w:rsidR="009D78B1" w:rsidRPr="003335DD" w14:paraId="0A8894DA" w14:textId="77777777" w:rsidTr="002B2AA5">
        <w:tc>
          <w:tcPr>
            <w:tcW w:w="2405" w:type="dxa"/>
          </w:tcPr>
          <w:p w14:paraId="57C948F3"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Hospitality</w:t>
            </w:r>
          </w:p>
        </w:tc>
        <w:tc>
          <w:tcPr>
            <w:tcW w:w="6945" w:type="dxa"/>
          </w:tcPr>
          <w:p w14:paraId="60006752"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"Filipino Hospitality" is the strongest positive theme; students felt like "family”.</w:t>
            </w:r>
          </w:p>
        </w:tc>
      </w:tr>
      <w:tr w:rsidR="009D78B1" w:rsidRPr="003335DD" w14:paraId="66B6CD92" w14:textId="77777777" w:rsidTr="002B2AA5">
        <w:tc>
          <w:tcPr>
            <w:tcW w:w="2405" w:type="dxa"/>
          </w:tcPr>
          <w:p w14:paraId="34C31D6D"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Inclusivity</w:t>
            </w:r>
          </w:p>
        </w:tc>
        <w:tc>
          <w:tcPr>
            <w:tcW w:w="6945" w:type="dxa"/>
          </w:tcPr>
          <w:p w14:paraId="3C4CBB36"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Muslim students generally felt respected regarding attire (Hijab).</w:t>
            </w:r>
          </w:p>
        </w:tc>
      </w:tr>
      <w:tr w:rsidR="009D78B1" w:rsidRPr="003335DD" w14:paraId="746B12C9" w14:textId="77777777" w:rsidTr="002B2AA5">
        <w:tc>
          <w:tcPr>
            <w:tcW w:w="2405" w:type="dxa"/>
          </w:tcPr>
          <w:p w14:paraId="0DF95AC5"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Engagement</w:t>
            </w:r>
          </w:p>
        </w:tc>
        <w:tc>
          <w:tcPr>
            <w:tcW w:w="6945" w:type="dxa"/>
          </w:tcPr>
          <w:p w14:paraId="321BED4B" w14:textId="77777777" w:rsidR="009D78B1" w:rsidRPr="003335DD" w:rsidRDefault="009D78B1" w:rsidP="003335DD">
            <w:pPr>
              <w:jc w:val="both"/>
              <w:rPr>
                <w:rFonts w:ascii="Times New Roman" w:hAnsi="Times New Roman" w:cs="Times New Roman"/>
                <w:sz w:val="20"/>
                <w:szCs w:val="20"/>
              </w:rPr>
            </w:pPr>
            <w:r w:rsidRPr="003335DD">
              <w:rPr>
                <w:rFonts w:ascii="Times New Roman" w:hAnsi="Times New Roman" w:cs="Times New Roman"/>
                <w:sz w:val="20"/>
                <w:szCs w:val="20"/>
              </w:rPr>
              <w:t>The "Halina Umay Kan" program was cited as a critical bridge for networking.</w:t>
            </w:r>
          </w:p>
        </w:tc>
      </w:tr>
    </w:tbl>
    <w:p w14:paraId="0D76D8B8" w14:textId="77777777" w:rsidR="009D78B1" w:rsidRPr="009D78B1" w:rsidRDefault="009D78B1" w:rsidP="009D78B1">
      <w:pPr>
        <w:jc w:val="both"/>
        <w:rPr>
          <w:rFonts w:ascii="Times New Roman" w:hAnsi="Times New Roman" w:cs="Times New Roman"/>
          <w:sz w:val="20"/>
          <w:szCs w:val="20"/>
        </w:rPr>
      </w:pPr>
    </w:p>
    <w:p w14:paraId="099050BE" w14:textId="0B304C4C"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Participants consistently identified Filipino hospitality as the most memorable aspect of their exchange experience. Many respondents described their host communities as welcoming, supportive, and inclusive.</w:t>
      </w:r>
    </w:p>
    <w:p w14:paraId="5520D378" w14:textId="7131FDD4" w:rsidR="007F3A71" w:rsidRPr="007F3A71" w:rsidRDefault="003335DD" w:rsidP="007F3A71">
      <w:pPr>
        <w:ind w:firstLine="420"/>
        <w:jc w:val="both"/>
        <w:rPr>
          <w:rFonts w:ascii="Times New Roman" w:hAnsi="Times New Roman" w:cs="Times New Roman"/>
          <w:sz w:val="20"/>
          <w:szCs w:val="20"/>
        </w:rPr>
      </w:pPr>
      <w:r>
        <w:rPr>
          <w:rFonts w:ascii="Times New Roman" w:hAnsi="Times New Roman" w:cs="Times New Roman"/>
          <w:sz w:val="20"/>
          <w:szCs w:val="20"/>
        </w:rPr>
        <w:t>Local activities involving learning local language and culture</w:t>
      </w:r>
      <w:r w:rsidR="007F3A71" w:rsidRPr="007F3A71">
        <w:rPr>
          <w:rFonts w:ascii="Times New Roman" w:hAnsi="Times New Roman" w:cs="Times New Roman"/>
          <w:sz w:val="20"/>
          <w:szCs w:val="20"/>
        </w:rPr>
        <w:t xml:space="preserve"> significantly contributed to cultural adaptation by facilitating interactions between local and international students. These activities fostered friendship, intercultural understanding, and a sense of belonging among participants.</w:t>
      </w:r>
    </w:p>
    <w:p w14:paraId="371ECB12" w14:textId="2AA12BE8" w:rsidR="009D78B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The findings strongly support Allport's Contact Hypothesis, which emphasizes the positive outcomes of meaningful intercultural interactions. The supportive environment created by faculty, students, and local communities enabled participants to overcome cultural barriers and develop positive perceptions of Filipino culture.</w:t>
      </w:r>
    </w:p>
    <w:p w14:paraId="041E3D46" w14:textId="77777777" w:rsidR="007F3A71" w:rsidRDefault="007F3A71" w:rsidP="007F3A71">
      <w:pPr>
        <w:jc w:val="both"/>
        <w:rPr>
          <w:rFonts w:ascii="Times New Roman" w:hAnsi="Times New Roman" w:cs="Times New Roman"/>
          <w:sz w:val="20"/>
          <w:szCs w:val="20"/>
        </w:rPr>
      </w:pPr>
    </w:p>
    <w:p w14:paraId="2AE468FD" w14:textId="77777777" w:rsidR="003335DD" w:rsidRDefault="003335DD" w:rsidP="007F3A71">
      <w:pPr>
        <w:jc w:val="both"/>
        <w:rPr>
          <w:rFonts w:ascii="Times New Roman" w:hAnsi="Times New Roman" w:cs="Times New Roman"/>
          <w:sz w:val="20"/>
          <w:szCs w:val="20"/>
        </w:rPr>
      </w:pPr>
    </w:p>
    <w:p w14:paraId="69515173" w14:textId="77777777" w:rsidR="003335DD" w:rsidRDefault="003335DD" w:rsidP="007F3A71">
      <w:pPr>
        <w:jc w:val="both"/>
        <w:rPr>
          <w:rFonts w:ascii="Times New Roman" w:hAnsi="Times New Roman" w:cs="Times New Roman"/>
          <w:sz w:val="20"/>
          <w:szCs w:val="20"/>
        </w:rPr>
      </w:pPr>
    </w:p>
    <w:p w14:paraId="175C7BFA" w14:textId="77777777" w:rsidR="003335DD" w:rsidRDefault="003335DD" w:rsidP="007F3A71">
      <w:pPr>
        <w:jc w:val="both"/>
        <w:rPr>
          <w:rFonts w:ascii="Times New Roman" w:hAnsi="Times New Roman" w:cs="Times New Roman"/>
          <w:sz w:val="20"/>
          <w:szCs w:val="20"/>
        </w:rPr>
      </w:pPr>
    </w:p>
    <w:p w14:paraId="50F0962E" w14:textId="77777777" w:rsidR="003335DD" w:rsidRDefault="003335DD" w:rsidP="007F3A71">
      <w:pPr>
        <w:jc w:val="both"/>
        <w:rPr>
          <w:rFonts w:ascii="Times New Roman" w:hAnsi="Times New Roman" w:cs="Times New Roman"/>
          <w:sz w:val="20"/>
          <w:szCs w:val="20"/>
        </w:rPr>
      </w:pPr>
    </w:p>
    <w:p w14:paraId="7468076D" w14:textId="77777777" w:rsidR="003335DD" w:rsidRDefault="003335DD" w:rsidP="007F3A71">
      <w:pPr>
        <w:jc w:val="both"/>
        <w:rPr>
          <w:rFonts w:ascii="Times New Roman" w:hAnsi="Times New Roman" w:cs="Times New Roman"/>
          <w:sz w:val="20"/>
          <w:szCs w:val="20"/>
        </w:rPr>
      </w:pPr>
    </w:p>
    <w:p w14:paraId="3BBCE50C" w14:textId="77777777" w:rsidR="003335DD" w:rsidRDefault="003335DD" w:rsidP="007F3A71">
      <w:pPr>
        <w:jc w:val="both"/>
        <w:rPr>
          <w:rFonts w:ascii="Times New Roman" w:hAnsi="Times New Roman" w:cs="Times New Roman"/>
          <w:sz w:val="20"/>
          <w:szCs w:val="20"/>
        </w:rPr>
      </w:pPr>
    </w:p>
    <w:p w14:paraId="52B0B99B" w14:textId="77777777" w:rsidR="003335DD" w:rsidRDefault="003335DD" w:rsidP="007F3A71">
      <w:pPr>
        <w:jc w:val="both"/>
        <w:rPr>
          <w:rFonts w:ascii="Times New Roman" w:hAnsi="Times New Roman" w:cs="Times New Roman"/>
          <w:sz w:val="20"/>
          <w:szCs w:val="20"/>
        </w:rPr>
      </w:pPr>
    </w:p>
    <w:p w14:paraId="3E50EA6B" w14:textId="77777777" w:rsidR="003335DD" w:rsidRPr="009D78B1" w:rsidRDefault="003335DD" w:rsidP="007F3A71">
      <w:pPr>
        <w:jc w:val="both"/>
        <w:rPr>
          <w:rFonts w:ascii="Times New Roman" w:hAnsi="Times New Roman" w:cs="Times New Roman"/>
          <w:sz w:val="20"/>
          <w:szCs w:val="20"/>
        </w:rPr>
      </w:pPr>
    </w:p>
    <w:p w14:paraId="33614755" w14:textId="77777777" w:rsidR="009D78B1" w:rsidRPr="003335DD" w:rsidRDefault="009D78B1" w:rsidP="003335DD">
      <w:pPr>
        <w:jc w:val="both"/>
        <w:rPr>
          <w:rFonts w:ascii="Times New Roman" w:hAnsi="Times New Roman" w:cs="Times New Roman"/>
          <w:b/>
          <w:bCs/>
          <w:sz w:val="20"/>
          <w:szCs w:val="20"/>
        </w:rPr>
      </w:pPr>
      <w:r w:rsidRPr="003335DD">
        <w:rPr>
          <w:rFonts w:ascii="Times New Roman" w:hAnsi="Times New Roman" w:cs="Times New Roman"/>
          <w:b/>
          <w:bCs/>
          <w:sz w:val="20"/>
          <w:szCs w:val="20"/>
        </w:rPr>
        <w:lastRenderedPageBreak/>
        <w:t>Logistical Challenges &amp; Infrastructural Pain Points</w:t>
      </w:r>
    </w:p>
    <w:p w14:paraId="35FA60E5" w14:textId="77777777" w:rsidR="009D78B1" w:rsidRPr="003335DD" w:rsidRDefault="009D78B1" w:rsidP="003335DD">
      <w:pPr>
        <w:jc w:val="both"/>
        <w:rPr>
          <w:rFonts w:ascii="Times New Roman" w:hAnsi="Times New Roman" w:cs="Times New Roman"/>
          <w:b/>
          <w:bCs/>
          <w:sz w:val="20"/>
          <w:szCs w:val="20"/>
        </w:rPr>
      </w:pPr>
      <w:r w:rsidRPr="003335DD">
        <w:rPr>
          <w:rFonts w:ascii="Times New Roman" w:hAnsi="Times New Roman" w:cs="Times New Roman"/>
          <w:b/>
          <w:bCs/>
          <w:sz w:val="20"/>
          <w:szCs w:val="20"/>
        </w:rPr>
        <w:t>Table 3. Key Logistical Challenges</w:t>
      </w:r>
    </w:p>
    <w:p w14:paraId="616402F0" w14:textId="77777777" w:rsidR="009D78B1" w:rsidRPr="003335DD" w:rsidRDefault="009D78B1" w:rsidP="003335DD">
      <w:pPr>
        <w:jc w:val="both"/>
        <w:rPr>
          <w:rFonts w:ascii="Times New Roman" w:hAnsi="Times New Roman" w:cs="Times New Roman"/>
          <w:b/>
          <w:bCs/>
          <w:sz w:val="20"/>
          <w:szCs w:val="20"/>
        </w:rPr>
      </w:pPr>
      <w:r w:rsidRPr="003335DD">
        <w:rPr>
          <w:rFonts w:ascii="Times New Roman" w:hAnsi="Times New Roman" w:cs="Times New Roman"/>
          <w:b/>
          <w:bCs/>
          <w:sz w:val="20"/>
          <w:szCs w:val="20"/>
        </w:rPr>
        <w:t>Subtheme</w:t>
      </w:r>
      <w:r w:rsidRPr="003335DD">
        <w:rPr>
          <w:rFonts w:ascii="Times New Roman" w:hAnsi="Times New Roman" w:cs="Times New Roman"/>
          <w:b/>
          <w:bCs/>
          <w:sz w:val="20"/>
          <w:szCs w:val="20"/>
        </w:rPr>
        <w:tab/>
        <w:t>Key Findings</w:t>
      </w:r>
    </w:p>
    <w:tbl>
      <w:tblPr>
        <w:tblStyle w:val="TableGrid"/>
        <w:tblW w:w="0" w:type="auto"/>
        <w:tblLook w:val="04A0" w:firstRow="1" w:lastRow="0" w:firstColumn="1" w:lastColumn="0" w:noHBand="0" w:noVBand="1"/>
      </w:tblPr>
      <w:tblGrid>
        <w:gridCol w:w="1718"/>
        <w:gridCol w:w="3145"/>
      </w:tblGrid>
      <w:tr w:rsidR="009D78B1" w:rsidRPr="003335DD" w14:paraId="3EDAC5FE" w14:textId="77777777" w:rsidTr="002B2AA5">
        <w:tc>
          <w:tcPr>
            <w:tcW w:w="2405" w:type="dxa"/>
          </w:tcPr>
          <w:p w14:paraId="04593FFA" w14:textId="77777777" w:rsidR="009D78B1" w:rsidRPr="003335DD" w:rsidRDefault="009D78B1" w:rsidP="003335DD">
            <w:pPr>
              <w:jc w:val="center"/>
              <w:rPr>
                <w:rFonts w:ascii="Times New Roman" w:hAnsi="Times New Roman" w:cs="Times New Roman"/>
                <w:b/>
                <w:bCs/>
                <w:sz w:val="20"/>
                <w:szCs w:val="20"/>
              </w:rPr>
            </w:pPr>
            <w:r w:rsidRPr="003335DD">
              <w:rPr>
                <w:rFonts w:ascii="Times New Roman" w:hAnsi="Times New Roman" w:cs="Times New Roman"/>
                <w:b/>
                <w:bCs/>
                <w:sz w:val="20"/>
                <w:szCs w:val="20"/>
              </w:rPr>
              <w:t>Subtheme</w:t>
            </w:r>
          </w:p>
        </w:tc>
        <w:tc>
          <w:tcPr>
            <w:tcW w:w="6945" w:type="dxa"/>
          </w:tcPr>
          <w:p w14:paraId="6EF818C2" w14:textId="77777777" w:rsidR="009D78B1" w:rsidRPr="003335DD" w:rsidRDefault="009D78B1" w:rsidP="003335DD">
            <w:pPr>
              <w:jc w:val="center"/>
              <w:rPr>
                <w:rFonts w:ascii="Times New Roman" w:hAnsi="Times New Roman" w:cs="Times New Roman"/>
                <w:b/>
                <w:bCs/>
                <w:sz w:val="20"/>
                <w:szCs w:val="20"/>
              </w:rPr>
            </w:pPr>
            <w:r w:rsidRPr="003335DD">
              <w:rPr>
                <w:rFonts w:ascii="Times New Roman" w:hAnsi="Times New Roman" w:cs="Times New Roman"/>
                <w:b/>
                <w:bCs/>
                <w:sz w:val="20"/>
                <w:szCs w:val="20"/>
              </w:rPr>
              <w:t>Key Findings</w:t>
            </w:r>
          </w:p>
        </w:tc>
      </w:tr>
      <w:tr w:rsidR="009D78B1" w:rsidRPr="003335DD" w14:paraId="4E9B324B" w14:textId="77777777" w:rsidTr="002B2AA5">
        <w:tc>
          <w:tcPr>
            <w:tcW w:w="2405" w:type="dxa"/>
          </w:tcPr>
          <w:p w14:paraId="69EA7112" w14:textId="77777777" w:rsidR="009D78B1" w:rsidRPr="003335DD" w:rsidRDefault="009D78B1" w:rsidP="003335DD">
            <w:pPr>
              <w:jc w:val="center"/>
              <w:rPr>
                <w:rFonts w:ascii="Times New Roman" w:hAnsi="Times New Roman" w:cs="Times New Roman"/>
                <w:sz w:val="20"/>
                <w:szCs w:val="20"/>
              </w:rPr>
            </w:pPr>
            <w:r w:rsidRPr="003335DD">
              <w:rPr>
                <w:rFonts w:ascii="Times New Roman" w:hAnsi="Times New Roman" w:cs="Times New Roman"/>
                <w:sz w:val="20"/>
                <w:szCs w:val="20"/>
              </w:rPr>
              <w:t>Dormitory Safety</w:t>
            </w:r>
          </w:p>
        </w:tc>
        <w:tc>
          <w:tcPr>
            <w:tcW w:w="6945" w:type="dxa"/>
          </w:tcPr>
          <w:p w14:paraId="6200AA89" w14:textId="1B30DA46" w:rsidR="009D78B1" w:rsidRPr="003335DD" w:rsidRDefault="003335DD" w:rsidP="003335DD">
            <w:pPr>
              <w:jc w:val="center"/>
              <w:rPr>
                <w:rFonts w:ascii="Times New Roman" w:hAnsi="Times New Roman" w:cs="Times New Roman"/>
                <w:b/>
                <w:bCs/>
                <w:sz w:val="20"/>
                <w:szCs w:val="20"/>
              </w:rPr>
            </w:pPr>
            <w:r>
              <w:rPr>
                <w:rFonts w:ascii="Times New Roman" w:hAnsi="Times New Roman" w:cs="Times New Roman"/>
                <w:sz w:val="20"/>
                <w:szCs w:val="20"/>
              </w:rPr>
              <w:t>P</w:t>
            </w:r>
            <w:r w:rsidR="009D78B1" w:rsidRPr="003335DD">
              <w:rPr>
                <w:rFonts w:ascii="Times New Roman" w:hAnsi="Times New Roman" w:cs="Times New Roman"/>
                <w:sz w:val="20"/>
                <w:szCs w:val="20"/>
              </w:rPr>
              <w:t>oor water quality causing skin allergies</w:t>
            </w:r>
          </w:p>
        </w:tc>
      </w:tr>
      <w:tr w:rsidR="009D78B1" w:rsidRPr="003335DD" w14:paraId="43083564" w14:textId="77777777" w:rsidTr="002B2AA5">
        <w:tc>
          <w:tcPr>
            <w:tcW w:w="2405" w:type="dxa"/>
          </w:tcPr>
          <w:p w14:paraId="32E54FFF" w14:textId="77777777" w:rsidR="009D78B1" w:rsidRPr="003335DD" w:rsidRDefault="009D78B1" w:rsidP="003335DD">
            <w:pPr>
              <w:jc w:val="center"/>
              <w:rPr>
                <w:rFonts w:ascii="Times New Roman" w:hAnsi="Times New Roman" w:cs="Times New Roman"/>
                <w:sz w:val="20"/>
                <w:szCs w:val="20"/>
              </w:rPr>
            </w:pPr>
            <w:r w:rsidRPr="003335DD">
              <w:rPr>
                <w:rFonts w:ascii="Times New Roman" w:hAnsi="Times New Roman" w:cs="Times New Roman"/>
                <w:sz w:val="20"/>
                <w:szCs w:val="20"/>
              </w:rPr>
              <w:t>Dietary Issues</w:t>
            </w:r>
          </w:p>
        </w:tc>
        <w:tc>
          <w:tcPr>
            <w:tcW w:w="6945" w:type="dxa"/>
          </w:tcPr>
          <w:p w14:paraId="223AC0EE" w14:textId="77777777" w:rsidR="009D78B1" w:rsidRPr="003335DD" w:rsidRDefault="009D78B1" w:rsidP="003335DD">
            <w:pPr>
              <w:jc w:val="center"/>
              <w:rPr>
                <w:rFonts w:ascii="Times New Roman" w:hAnsi="Times New Roman" w:cs="Times New Roman"/>
                <w:sz w:val="20"/>
                <w:szCs w:val="20"/>
              </w:rPr>
            </w:pPr>
            <w:r w:rsidRPr="003335DD">
              <w:rPr>
                <w:rFonts w:ascii="Times New Roman" w:hAnsi="Times New Roman" w:cs="Times New Roman"/>
                <w:sz w:val="20"/>
                <w:szCs w:val="20"/>
              </w:rPr>
              <w:t>Scarcity of Halal food; difficulty finding pork-free options for Muslim participants.</w:t>
            </w:r>
          </w:p>
        </w:tc>
      </w:tr>
      <w:tr w:rsidR="009D78B1" w:rsidRPr="003335DD" w14:paraId="71D760C0" w14:textId="77777777" w:rsidTr="002B2AA5">
        <w:tc>
          <w:tcPr>
            <w:tcW w:w="2405" w:type="dxa"/>
          </w:tcPr>
          <w:p w14:paraId="2CF50962" w14:textId="77777777" w:rsidR="009D78B1" w:rsidRPr="003335DD" w:rsidRDefault="009D78B1" w:rsidP="003335DD">
            <w:pPr>
              <w:jc w:val="center"/>
              <w:rPr>
                <w:rFonts w:ascii="Times New Roman" w:hAnsi="Times New Roman" w:cs="Times New Roman"/>
                <w:sz w:val="20"/>
                <w:szCs w:val="20"/>
              </w:rPr>
            </w:pPr>
            <w:r w:rsidRPr="003335DD">
              <w:rPr>
                <w:rFonts w:ascii="Times New Roman" w:hAnsi="Times New Roman" w:cs="Times New Roman"/>
                <w:sz w:val="20"/>
                <w:szCs w:val="20"/>
              </w:rPr>
              <w:t>Administration</w:t>
            </w:r>
          </w:p>
        </w:tc>
        <w:tc>
          <w:tcPr>
            <w:tcW w:w="6945" w:type="dxa"/>
          </w:tcPr>
          <w:p w14:paraId="4F75B617" w14:textId="20EBECAB" w:rsidR="009D78B1" w:rsidRPr="003335DD" w:rsidRDefault="009D78B1" w:rsidP="003335DD">
            <w:pPr>
              <w:jc w:val="center"/>
              <w:rPr>
                <w:rFonts w:ascii="Times New Roman" w:hAnsi="Times New Roman" w:cs="Times New Roman"/>
                <w:sz w:val="20"/>
                <w:szCs w:val="20"/>
              </w:rPr>
            </w:pPr>
            <w:r w:rsidRPr="003335DD">
              <w:rPr>
                <w:rFonts w:ascii="Times New Roman" w:hAnsi="Times New Roman" w:cs="Times New Roman"/>
                <w:sz w:val="20"/>
                <w:szCs w:val="20"/>
              </w:rPr>
              <w:t>"Late announcements" caused stress and cultural friction.</w:t>
            </w:r>
          </w:p>
        </w:tc>
      </w:tr>
    </w:tbl>
    <w:p w14:paraId="3C96AC61" w14:textId="77777777" w:rsidR="009D78B1" w:rsidRPr="009D78B1" w:rsidRDefault="009D78B1" w:rsidP="009D78B1">
      <w:pPr>
        <w:jc w:val="both"/>
        <w:rPr>
          <w:rFonts w:ascii="Times New Roman" w:hAnsi="Times New Roman" w:cs="Times New Roman"/>
          <w:sz w:val="20"/>
          <w:szCs w:val="20"/>
        </w:rPr>
      </w:pPr>
    </w:p>
    <w:p w14:paraId="64487DE0" w14:textId="1E059A9D"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Despite the overwhelmingly positive social and academic experiences, several infrastructural issues emerged as major concerns.</w:t>
      </w:r>
    </w:p>
    <w:p w14:paraId="6382AE17" w14:textId="3A98EC0F"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 xml:space="preserve">Water quality issues were </w:t>
      </w:r>
      <w:r w:rsidR="003335DD">
        <w:rPr>
          <w:rFonts w:ascii="Times New Roman" w:hAnsi="Times New Roman" w:cs="Times New Roman"/>
          <w:sz w:val="20"/>
          <w:szCs w:val="20"/>
        </w:rPr>
        <w:t>reported</w:t>
      </w:r>
      <w:r w:rsidRPr="007F3A71">
        <w:rPr>
          <w:rFonts w:ascii="Times New Roman" w:hAnsi="Times New Roman" w:cs="Times New Roman"/>
          <w:sz w:val="20"/>
          <w:szCs w:val="20"/>
        </w:rPr>
        <w:t>, with some students experiencing skin irritation and allergic reactions.</w:t>
      </w:r>
      <w:r>
        <w:rPr>
          <w:rFonts w:ascii="Times New Roman" w:hAnsi="Times New Roman" w:cs="Times New Roman"/>
          <w:sz w:val="20"/>
          <w:szCs w:val="20"/>
        </w:rPr>
        <w:tab/>
      </w:r>
    </w:p>
    <w:p w14:paraId="275D905C" w14:textId="77777777"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Dietary inclusivity represented another significant challenge. Muslim participants experienced difficulties identifying Halal-certified food options and expressed concerns regarding food preparation practices.</w:t>
      </w:r>
    </w:p>
    <w:p w14:paraId="4EA8DD77" w14:textId="77777777"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Administrative communication was likewise identified as an area requiring improvement. Several participants reported receiving important announcements at short notice, which limited their ability to prepare for scheduled activities.</w:t>
      </w:r>
    </w:p>
    <w:p w14:paraId="46360368" w14:textId="63AB7DA8" w:rsidR="009D78B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These findings highlight the importance of ensuring that basic physiological and safety needs are adequately addressed to support successful internationalization efforts.</w:t>
      </w:r>
    </w:p>
    <w:p w14:paraId="45008CF1" w14:textId="77777777" w:rsidR="007F3A71" w:rsidRPr="009D78B1" w:rsidRDefault="007F3A71" w:rsidP="007F3A71">
      <w:pPr>
        <w:ind w:firstLine="420"/>
        <w:jc w:val="both"/>
        <w:rPr>
          <w:rFonts w:ascii="Times New Roman" w:hAnsi="Times New Roman" w:cs="Times New Roman"/>
          <w:sz w:val="20"/>
          <w:szCs w:val="20"/>
        </w:rPr>
      </w:pPr>
    </w:p>
    <w:p w14:paraId="212D923D" w14:textId="77777777" w:rsidR="009D78B1" w:rsidRPr="007F3A71" w:rsidRDefault="009D78B1" w:rsidP="009D78B1">
      <w:pPr>
        <w:jc w:val="both"/>
        <w:rPr>
          <w:rFonts w:ascii="Times New Roman" w:hAnsi="Times New Roman" w:cs="Times New Roman"/>
          <w:b/>
          <w:bCs/>
          <w:sz w:val="20"/>
          <w:szCs w:val="20"/>
        </w:rPr>
      </w:pPr>
      <w:r w:rsidRPr="007F3A71">
        <w:rPr>
          <w:rFonts w:ascii="Times New Roman" w:hAnsi="Times New Roman" w:cs="Times New Roman"/>
          <w:b/>
          <w:bCs/>
          <w:sz w:val="20"/>
          <w:szCs w:val="20"/>
        </w:rPr>
        <w:t>Quantitative Satisfaction</w:t>
      </w:r>
    </w:p>
    <w:p w14:paraId="6C4FDF63" w14:textId="77777777" w:rsidR="009D78B1" w:rsidRPr="007F3A71" w:rsidRDefault="009D78B1" w:rsidP="009D78B1">
      <w:pPr>
        <w:jc w:val="both"/>
        <w:rPr>
          <w:rFonts w:ascii="Times New Roman" w:hAnsi="Times New Roman" w:cs="Times New Roman"/>
          <w:b/>
          <w:bCs/>
          <w:sz w:val="20"/>
          <w:szCs w:val="20"/>
        </w:rPr>
      </w:pPr>
      <w:r w:rsidRPr="007F3A71">
        <w:rPr>
          <w:rFonts w:ascii="Times New Roman" w:hAnsi="Times New Roman" w:cs="Times New Roman"/>
          <w:b/>
          <w:bCs/>
          <w:sz w:val="20"/>
          <w:szCs w:val="20"/>
        </w:rPr>
        <w:t xml:space="preserve">Table 4. Overall Satisfaction Rating </w:t>
      </w:r>
    </w:p>
    <w:tbl>
      <w:tblPr>
        <w:tblStyle w:val="TableGrid"/>
        <w:tblW w:w="0" w:type="auto"/>
        <w:tblLook w:val="04A0" w:firstRow="1" w:lastRow="0" w:firstColumn="1" w:lastColumn="0" w:noHBand="0" w:noVBand="1"/>
      </w:tblPr>
      <w:tblGrid>
        <w:gridCol w:w="1633"/>
        <w:gridCol w:w="1457"/>
        <w:gridCol w:w="1773"/>
      </w:tblGrid>
      <w:tr w:rsidR="009D78B1" w14:paraId="6A0B6D36" w14:textId="77777777" w:rsidTr="002B2AA5">
        <w:tc>
          <w:tcPr>
            <w:tcW w:w="3116" w:type="dxa"/>
          </w:tcPr>
          <w:p w14:paraId="1F82C107" w14:textId="77777777" w:rsidR="009D78B1" w:rsidRPr="00C536F3" w:rsidRDefault="009D78B1" w:rsidP="00C536F3">
            <w:pPr>
              <w:jc w:val="both"/>
              <w:rPr>
                <w:rFonts w:ascii="Times New Roman" w:hAnsi="Times New Roman" w:cs="Times New Roman"/>
                <w:sz w:val="20"/>
                <w:szCs w:val="20"/>
              </w:rPr>
            </w:pPr>
            <w:r w:rsidRPr="00C536F3">
              <w:rPr>
                <w:rFonts w:ascii="Times New Roman" w:hAnsi="Times New Roman" w:cs="Times New Roman"/>
                <w:sz w:val="20"/>
                <w:szCs w:val="20"/>
              </w:rPr>
              <w:t>Metric</w:t>
            </w:r>
          </w:p>
        </w:tc>
        <w:tc>
          <w:tcPr>
            <w:tcW w:w="3117" w:type="dxa"/>
          </w:tcPr>
          <w:p w14:paraId="7633EFF9" w14:textId="77777777" w:rsidR="009D78B1" w:rsidRPr="00C536F3" w:rsidRDefault="009D78B1" w:rsidP="00C536F3">
            <w:pPr>
              <w:jc w:val="both"/>
              <w:rPr>
                <w:rFonts w:ascii="Times New Roman" w:hAnsi="Times New Roman" w:cs="Times New Roman"/>
                <w:sz w:val="20"/>
                <w:szCs w:val="20"/>
              </w:rPr>
            </w:pPr>
            <w:r w:rsidRPr="00C536F3">
              <w:rPr>
                <w:rFonts w:ascii="Times New Roman" w:hAnsi="Times New Roman" w:cs="Times New Roman"/>
                <w:sz w:val="20"/>
                <w:szCs w:val="20"/>
              </w:rPr>
              <w:t>Average Rating</w:t>
            </w:r>
          </w:p>
        </w:tc>
        <w:tc>
          <w:tcPr>
            <w:tcW w:w="3117" w:type="dxa"/>
          </w:tcPr>
          <w:p w14:paraId="418A19C5" w14:textId="77777777" w:rsidR="009D78B1" w:rsidRPr="00C536F3" w:rsidRDefault="009D78B1" w:rsidP="00C536F3">
            <w:pPr>
              <w:jc w:val="both"/>
              <w:rPr>
                <w:rFonts w:ascii="Times New Roman" w:hAnsi="Times New Roman" w:cs="Times New Roman"/>
                <w:sz w:val="20"/>
                <w:szCs w:val="20"/>
              </w:rPr>
            </w:pPr>
            <w:r w:rsidRPr="00C536F3">
              <w:rPr>
                <w:rFonts w:ascii="Times New Roman" w:hAnsi="Times New Roman" w:cs="Times New Roman"/>
                <w:sz w:val="20"/>
                <w:szCs w:val="20"/>
              </w:rPr>
              <w:t>Interpretation</w:t>
            </w:r>
          </w:p>
        </w:tc>
      </w:tr>
      <w:tr w:rsidR="009D78B1" w14:paraId="54336C2E" w14:textId="77777777" w:rsidTr="002B2AA5">
        <w:tc>
          <w:tcPr>
            <w:tcW w:w="3116" w:type="dxa"/>
          </w:tcPr>
          <w:p w14:paraId="536997DE" w14:textId="77777777" w:rsidR="009D78B1" w:rsidRPr="00C536F3" w:rsidRDefault="009D78B1" w:rsidP="00C536F3">
            <w:pPr>
              <w:jc w:val="both"/>
              <w:rPr>
                <w:rFonts w:ascii="Times New Roman" w:hAnsi="Times New Roman" w:cs="Times New Roman"/>
                <w:sz w:val="20"/>
                <w:szCs w:val="20"/>
              </w:rPr>
            </w:pPr>
            <w:r w:rsidRPr="00C536F3">
              <w:rPr>
                <w:rFonts w:ascii="Times New Roman" w:hAnsi="Times New Roman" w:cs="Times New Roman"/>
                <w:sz w:val="20"/>
                <w:szCs w:val="20"/>
              </w:rPr>
              <w:t>Over-all Experience</w:t>
            </w:r>
          </w:p>
        </w:tc>
        <w:tc>
          <w:tcPr>
            <w:tcW w:w="3117" w:type="dxa"/>
          </w:tcPr>
          <w:p w14:paraId="14F40508" w14:textId="77777777" w:rsidR="009D78B1" w:rsidRPr="00C536F3" w:rsidRDefault="009D78B1" w:rsidP="00C536F3">
            <w:pPr>
              <w:jc w:val="both"/>
              <w:rPr>
                <w:rFonts w:ascii="Times New Roman" w:hAnsi="Times New Roman" w:cs="Times New Roman"/>
                <w:sz w:val="20"/>
                <w:szCs w:val="20"/>
              </w:rPr>
            </w:pPr>
            <w:r w:rsidRPr="00C536F3">
              <w:rPr>
                <w:rFonts w:ascii="Times New Roman" w:hAnsi="Times New Roman" w:cs="Times New Roman"/>
                <w:sz w:val="20"/>
                <w:szCs w:val="20"/>
              </w:rPr>
              <w:t>9.70/10</w:t>
            </w:r>
          </w:p>
        </w:tc>
        <w:tc>
          <w:tcPr>
            <w:tcW w:w="3117" w:type="dxa"/>
          </w:tcPr>
          <w:p w14:paraId="7071AE2A" w14:textId="77777777" w:rsidR="009D78B1" w:rsidRPr="00C536F3" w:rsidRDefault="009D78B1" w:rsidP="00C536F3">
            <w:pPr>
              <w:jc w:val="both"/>
              <w:rPr>
                <w:rFonts w:ascii="Times New Roman" w:hAnsi="Times New Roman" w:cs="Times New Roman"/>
                <w:sz w:val="20"/>
                <w:szCs w:val="20"/>
              </w:rPr>
            </w:pPr>
            <w:r w:rsidRPr="00C536F3">
              <w:rPr>
                <w:rFonts w:ascii="Times New Roman" w:hAnsi="Times New Roman" w:cs="Times New Roman"/>
                <w:sz w:val="20"/>
                <w:szCs w:val="20"/>
              </w:rPr>
              <w:t>Outstanding</w:t>
            </w:r>
          </w:p>
        </w:tc>
      </w:tr>
    </w:tbl>
    <w:p w14:paraId="166B95B4" w14:textId="77777777" w:rsidR="009D78B1" w:rsidRPr="009D78B1" w:rsidRDefault="009D78B1" w:rsidP="009D78B1">
      <w:pPr>
        <w:jc w:val="both"/>
        <w:rPr>
          <w:rFonts w:ascii="Times New Roman" w:hAnsi="Times New Roman" w:cs="Times New Roman"/>
          <w:sz w:val="20"/>
          <w:szCs w:val="20"/>
        </w:rPr>
      </w:pPr>
    </w:p>
    <w:p w14:paraId="385ADCDA" w14:textId="77777777" w:rsidR="009D78B1" w:rsidRPr="009D78B1" w:rsidRDefault="009D78B1" w:rsidP="00C536F3">
      <w:pPr>
        <w:ind w:firstLine="420"/>
        <w:jc w:val="both"/>
        <w:rPr>
          <w:rFonts w:ascii="Times New Roman" w:hAnsi="Times New Roman" w:cs="Times New Roman"/>
          <w:sz w:val="20"/>
          <w:szCs w:val="20"/>
        </w:rPr>
      </w:pPr>
      <w:r w:rsidRPr="009D78B1">
        <w:rPr>
          <w:rFonts w:ascii="Times New Roman" w:hAnsi="Times New Roman" w:cs="Times New Roman"/>
          <w:sz w:val="20"/>
          <w:szCs w:val="20"/>
        </w:rPr>
        <w:t>The data reveals an average rating of 9.70, verbally interpreted as Outstanding. Despite significant logistical challenges, the satisfaction remains exceptionally high. This finding supports the "Compensation Hypothesis" in service recovery literature, which suggests that excellent interpersonal treatment (warmth, mentorship) can compensate for tangible service failures (facilities). The warmth of the people and the quality of mentorship outweighed physical discomforts.</w:t>
      </w:r>
    </w:p>
    <w:p w14:paraId="10D77575" w14:textId="77777777" w:rsidR="009D78B1" w:rsidRPr="009D78B1" w:rsidRDefault="009D78B1" w:rsidP="009D78B1">
      <w:pPr>
        <w:jc w:val="both"/>
        <w:rPr>
          <w:rFonts w:ascii="Times New Roman" w:hAnsi="Times New Roman" w:cs="Times New Roman"/>
          <w:sz w:val="20"/>
          <w:szCs w:val="20"/>
        </w:rPr>
      </w:pPr>
    </w:p>
    <w:p w14:paraId="4ADD838A" w14:textId="77777777" w:rsidR="007F3A71" w:rsidRDefault="007F3A71" w:rsidP="009D78B1">
      <w:pPr>
        <w:jc w:val="both"/>
        <w:rPr>
          <w:rFonts w:ascii="Times New Roman" w:hAnsi="Times New Roman" w:cs="Times New Roman"/>
          <w:sz w:val="20"/>
          <w:szCs w:val="20"/>
        </w:rPr>
      </w:pPr>
    </w:p>
    <w:p w14:paraId="3C932590" w14:textId="77777777" w:rsidR="00C536F3" w:rsidRDefault="00C536F3" w:rsidP="009D78B1">
      <w:pPr>
        <w:jc w:val="both"/>
        <w:rPr>
          <w:rFonts w:ascii="Times New Roman" w:hAnsi="Times New Roman" w:cs="Times New Roman"/>
          <w:sz w:val="20"/>
          <w:szCs w:val="20"/>
        </w:rPr>
      </w:pPr>
    </w:p>
    <w:p w14:paraId="60658577" w14:textId="77777777" w:rsidR="00C536F3" w:rsidRDefault="00C536F3" w:rsidP="009D78B1">
      <w:pPr>
        <w:jc w:val="both"/>
        <w:rPr>
          <w:rFonts w:ascii="Times New Roman" w:hAnsi="Times New Roman" w:cs="Times New Roman"/>
          <w:sz w:val="20"/>
          <w:szCs w:val="20"/>
        </w:rPr>
      </w:pPr>
    </w:p>
    <w:p w14:paraId="6611CACA" w14:textId="77777777" w:rsidR="00C536F3" w:rsidRDefault="00C536F3" w:rsidP="009D78B1">
      <w:pPr>
        <w:jc w:val="both"/>
        <w:rPr>
          <w:rFonts w:ascii="Times New Roman" w:hAnsi="Times New Roman" w:cs="Times New Roman"/>
          <w:sz w:val="20"/>
          <w:szCs w:val="20"/>
        </w:rPr>
      </w:pPr>
    </w:p>
    <w:p w14:paraId="34C1D050" w14:textId="412BDD81" w:rsidR="009D78B1" w:rsidRPr="00C536F3" w:rsidRDefault="009D78B1" w:rsidP="009D78B1">
      <w:pPr>
        <w:jc w:val="both"/>
        <w:rPr>
          <w:rFonts w:ascii="Times New Roman" w:hAnsi="Times New Roman" w:cs="Times New Roman"/>
          <w:b/>
          <w:bCs/>
          <w:sz w:val="20"/>
          <w:szCs w:val="20"/>
        </w:rPr>
      </w:pPr>
      <w:r w:rsidRPr="00C536F3">
        <w:rPr>
          <w:rFonts w:ascii="Times New Roman" w:hAnsi="Times New Roman" w:cs="Times New Roman"/>
          <w:b/>
          <w:bCs/>
          <w:sz w:val="20"/>
          <w:szCs w:val="20"/>
        </w:rPr>
        <w:t>CONCLUSIONS</w:t>
      </w:r>
    </w:p>
    <w:p w14:paraId="6D5E7407" w14:textId="1C12DCEA"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The SEA Teacher Exchange Program successfully achieved its objectives of promoting intercultural learning, professional development, and regional collaboration among future educators. Participants reported significant gains in teaching competence, communication skills, and cultural understanding.</w:t>
      </w:r>
    </w:p>
    <w:p w14:paraId="5B963145" w14:textId="77777777"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Filipino hospitality, supportive mentorship, and meaningful cultural immersion activities emerged as the strongest contributors to participant satisfaction. These elements facilitated successful social integration and enhanced the overall educational value of the exchange experience.</w:t>
      </w:r>
    </w:p>
    <w:p w14:paraId="3E317AD1" w14:textId="40C6EE95" w:rsidR="007F3A71" w:rsidRPr="007F3A7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However, the study also identified critical areas requiring institutional attention, particularly water quality, dietary inclusivity, and administrative communication. While these issues did not significantly diminish overall satisfaction, they present potential risks that may affect future participants' welfare and program quality.</w:t>
      </w:r>
    </w:p>
    <w:p w14:paraId="1363D8D2" w14:textId="36BD27C7" w:rsidR="009D78B1" w:rsidRDefault="007F3A71" w:rsidP="007F3A71">
      <w:pPr>
        <w:ind w:firstLine="420"/>
        <w:jc w:val="both"/>
        <w:rPr>
          <w:rFonts w:ascii="Times New Roman" w:hAnsi="Times New Roman" w:cs="Times New Roman"/>
          <w:sz w:val="20"/>
          <w:szCs w:val="20"/>
        </w:rPr>
      </w:pPr>
      <w:r w:rsidRPr="007F3A71">
        <w:rPr>
          <w:rFonts w:ascii="Times New Roman" w:hAnsi="Times New Roman" w:cs="Times New Roman"/>
          <w:sz w:val="20"/>
          <w:szCs w:val="20"/>
        </w:rPr>
        <w:t>Overall, the findings demonstrate that successful international mobility programs require a balanced approach that integrates academic excellence, intercultural engagement, and adequate institutional support systems.</w:t>
      </w:r>
    </w:p>
    <w:p w14:paraId="11ABC899" w14:textId="77777777" w:rsidR="007F3A71" w:rsidRPr="009D78B1" w:rsidRDefault="007F3A71" w:rsidP="007F3A71">
      <w:pPr>
        <w:ind w:firstLine="420"/>
        <w:jc w:val="both"/>
        <w:rPr>
          <w:rFonts w:ascii="Times New Roman" w:hAnsi="Times New Roman" w:cs="Times New Roman"/>
          <w:sz w:val="20"/>
          <w:szCs w:val="20"/>
        </w:rPr>
      </w:pPr>
    </w:p>
    <w:p w14:paraId="7881A1D0" w14:textId="063B5E1E" w:rsidR="009D78B1" w:rsidRDefault="009D78B1" w:rsidP="007F3A71">
      <w:pPr>
        <w:jc w:val="center"/>
        <w:rPr>
          <w:rFonts w:ascii="Times New Roman" w:hAnsi="Times New Roman" w:cs="Times New Roman"/>
          <w:b/>
          <w:bCs/>
          <w:sz w:val="20"/>
          <w:szCs w:val="20"/>
        </w:rPr>
      </w:pPr>
      <w:r w:rsidRPr="007F3A71">
        <w:rPr>
          <w:rFonts w:ascii="Times New Roman" w:hAnsi="Times New Roman" w:cs="Times New Roman"/>
          <w:b/>
          <w:bCs/>
          <w:sz w:val="20"/>
          <w:szCs w:val="20"/>
        </w:rPr>
        <w:t>RECOMMENDATIONS</w:t>
      </w:r>
    </w:p>
    <w:p w14:paraId="2E9651C8" w14:textId="77777777" w:rsidR="007F3A71" w:rsidRPr="007F3A71" w:rsidRDefault="007F3A71" w:rsidP="007F3A71">
      <w:pPr>
        <w:jc w:val="center"/>
        <w:rPr>
          <w:rFonts w:ascii="Times New Roman" w:hAnsi="Times New Roman" w:cs="Times New Roman"/>
          <w:b/>
          <w:bCs/>
          <w:sz w:val="20"/>
          <w:szCs w:val="20"/>
        </w:rPr>
      </w:pPr>
    </w:p>
    <w:p w14:paraId="2029AB3D" w14:textId="77777777" w:rsidR="009D78B1" w:rsidRPr="009D78B1" w:rsidRDefault="009D78B1" w:rsidP="009D78B1">
      <w:pPr>
        <w:jc w:val="both"/>
        <w:rPr>
          <w:rFonts w:ascii="Times New Roman" w:hAnsi="Times New Roman" w:cs="Times New Roman"/>
          <w:sz w:val="20"/>
          <w:szCs w:val="20"/>
        </w:rPr>
      </w:pPr>
      <w:r w:rsidRPr="009D78B1">
        <w:rPr>
          <w:rFonts w:ascii="Times New Roman" w:hAnsi="Times New Roman" w:cs="Times New Roman"/>
          <w:sz w:val="20"/>
          <w:szCs w:val="20"/>
        </w:rPr>
        <w:t>Based on the findings, the following recommendations are proposed:</w:t>
      </w:r>
    </w:p>
    <w:p w14:paraId="052BFA48" w14:textId="737ABEED" w:rsidR="007F3A71" w:rsidRPr="007F3A71" w:rsidRDefault="00FA51A1" w:rsidP="007F3A71">
      <w:pPr>
        <w:jc w:val="both"/>
        <w:rPr>
          <w:rFonts w:ascii="Times New Roman" w:hAnsi="Times New Roman" w:cs="Times New Roman"/>
          <w:sz w:val="20"/>
          <w:szCs w:val="20"/>
        </w:rPr>
      </w:pPr>
      <w:r>
        <w:rPr>
          <w:rFonts w:ascii="Times New Roman" w:hAnsi="Times New Roman" w:cs="Times New Roman"/>
          <w:sz w:val="20"/>
          <w:szCs w:val="20"/>
        </w:rPr>
        <w:t xml:space="preserve">1. </w:t>
      </w:r>
      <w:r w:rsidR="007F3A71" w:rsidRPr="007F3A71">
        <w:rPr>
          <w:rFonts w:ascii="Times New Roman" w:hAnsi="Times New Roman" w:cs="Times New Roman"/>
          <w:sz w:val="20"/>
          <w:szCs w:val="20"/>
        </w:rPr>
        <w:t>For University Administration</w:t>
      </w:r>
    </w:p>
    <w:p w14:paraId="032D3FE7" w14:textId="77777777" w:rsidR="007F3A71" w:rsidRPr="00FA51A1" w:rsidRDefault="007F3A71" w:rsidP="00FA51A1">
      <w:pPr>
        <w:pStyle w:val="ListParagraph"/>
        <w:numPr>
          <w:ilvl w:val="0"/>
          <w:numId w:val="15"/>
        </w:numPr>
        <w:jc w:val="both"/>
        <w:rPr>
          <w:rFonts w:ascii="Times New Roman" w:hAnsi="Times New Roman" w:cs="Times New Roman"/>
          <w:sz w:val="20"/>
          <w:szCs w:val="20"/>
        </w:rPr>
      </w:pPr>
      <w:r w:rsidRPr="00FA51A1">
        <w:rPr>
          <w:rFonts w:ascii="Times New Roman" w:hAnsi="Times New Roman" w:cs="Times New Roman"/>
          <w:sz w:val="20"/>
          <w:szCs w:val="20"/>
        </w:rPr>
        <w:t>Conduct comprehensive safety inspections of student housing facilities and implement necessary repairs immediately.</w:t>
      </w:r>
    </w:p>
    <w:p w14:paraId="79F926AE" w14:textId="77777777" w:rsidR="007F3A71" w:rsidRPr="00FA51A1" w:rsidRDefault="007F3A71" w:rsidP="00FA51A1">
      <w:pPr>
        <w:pStyle w:val="ListParagraph"/>
        <w:numPr>
          <w:ilvl w:val="0"/>
          <w:numId w:val="15"/>
        </w:numPr>
        <w:jc w:val="both"/>
        <w:rPr>
          <w:rFonts w:ascii="Times New Roman" w:hAnsi="Times New Roman" w:cs="Times New Roman"/>
          <w:sz w:val="20"/>
          <w:szCs w:val="20"/>
        </w:rPr>
      </w:pPr>
      <w:r w:rsidRPr="00FA51A1">
        <w:rPr>
          <w:rFonts w:ascii="Times New Roman" w:hAnsi="Times New Roman" w:cs="Times New Roman"/>
          <w:sz w:val="20"/>
          <w:szCs w:val="20"/>
        </w:rPr>
        <w:t>Improve water quality monitoring systems and install appropriate filtration mechanisms.</w:t>
      </w:r>
    </w:p>
    <w:p w14:paraId="664DD008" w14:textId="77777777" w:rsidR="007F3A71" w:rsidRPr="00FA51A1" w:rsidRDefault="007F3A71" w:rsidP="00FA51A1">
      <w:pPr>
        <w:pStyle w:val="ListParagraph"/>
        <w:numPr>
          <w:ilvl w:val="0"/>
          <w:numId w:val="15"/>
        </w:numPr>
        <w:jc w:val="both"/>
        <w:rPr>
          <w:rFonts w:ascii="Times New Roman" w:hAnsi="Times New Roman" w:cs="Times New Roman"/>
          <w:sz w:val="20"/>
          <w:szCs w:val="20"/>
        </w:rPr>
      </w:pPr>
      <w:r w:rsidRPr="00FA51A1">
        <w:rPr>
          <w:rFonts w:ascii="Times New Roman" w:hAnsi="Times New Roman" w:cs="Times New Roman"/>
          <w:sz w:val="20"/>
          <w:szCs w:val="20"/>
        </w:rPr>
        <w:t>Establish standardized protocols for facility maintenance and emergency response.</w:t>
      </w:r>
    </w:p>
    <w:p w14:paraId="5232A62F" w14:textId="4F223BAC" w:rsidR="007F3A71" w:rsidRPr="007F3A71" w:rsidRDefault="00FA51A1" w:rsidP="007F3A71">
      <w:pPr>
        <w:jc w:val="both"/>
        <w:rPr>
          <w:rFonts w:ascii="Times New Roman" w:hAnsi="Times New Roman" w:cs="Times New Roman"/>
          <w:sz w:val="20"/>
          <w:szCs w:val="20"/>
        </w:rPr>
      </w:pPr>
      <w:r>
        <w:rPr>
          <w:rFonts w:ascii="Times New Roman" w:hAnsi="Times New Roman" w:cs="Times New Roman"/>
          <w:sz w:val="20"/>
          <w:szCs w:val="20"/>
        </w:rPr>
        <w:t xml:space="preserve">2. </w:t>
      </w:r>
      <w:r w:rsidR="007F3A71" w:rsidRPr="007F3A71">
        <w:rPr>
          <w:rFonts w:ascii="Times New Roman" w:hAnsi="Times New Roman" w:cs="Times New Roman"/>
          <w:sz w:val="20"/>
          <w:szCs w:val="20"/>
        </w:rPr>
        <w:t>For Student Affairs and International Relations Offices</w:t>
      </w:r>
    </w:p>
    <w:p w14:paraId="7C1E4CC3" w14:textId="77777777" w:rsidR="007F3A71" w:rsidRPr="00FA51A1" w:rsidRDefault="007F3A71" w:rsidP="00FA51A1">
      <w:pPr>
        <w:pStyle w:val="ListParagraph"/>
        <w:numPr>
          <w:ilvl w:val="0"/>
          <w:numId w:val="16"/>
        </w:numPr>
        <w:jc w:val="both"/>
        <w:rPr>
          <w:rFonts w:ascii="Times New Roman" w:hAnsi="Times New Roman" w:cs="Times New Roman"/>
          <w:sz w:val="20"/>
          <w:szCs w:val="20"/>
        </w:rPr>
      </w:pPr>
      <w:r w:rsidRPr="00FA51A1">
        <w:rPr>
          <w:rFonts w:ascii="Times New Roman" w:hAnsi="Times New Roman" w:cs="Times New Roman"/>
          <w:sz w:val="20"/>
          <w:szCs w:val="20"/>
        </w:rPr>
        <w:t>Develop a Halal-friendly food support program and provide verified lists of Halal-certified establishments.</w:t>
      </w:r>
    </w:p>
    <w:p w14:paraId="3173C010" w14:textId="77777777" w:rsidR="007F3A71" w:rsidRPr="00FA51A1" w:rsidRDefault="007F3A71" w:rsidP="00FA51A1">
      <w:pPr>
        <w:pStyle w:val="ListParagraph"/>
        <w:numPr>
          <w:ilvl w:val="0"/>
          <w:numId w:val="16"/>
        </w:numPr>
        <w:jc w:val="both"/>
        <w:rPr>
          <w:rFonts w:ascii="Times New Roman" w:hAnsi="Times New Roman" w:cs="Times New Roman"/>
          <w:sz w:val="20"/>
          <w:szCs w:val="20"/>
        </w:rPr>
      </w:pPr>
      <w:r w:rsidRPr="00FA51A1">
        <w:rPr>
          <w:rFonts w:ascii="Times New Roman" w:hAnsi="Times New Roman" w:cs="Times New Roman"/>
          <w:sz w:val="20"/>
          <w:szCs w:val="20"/>
        </w:rPr>
        <w:t>Enhance orientation programs to address academic and cultural expectations before participant arrival.</w:t>
      </w:r>
    </w:p>
    <w:p w14:paraId="409BFCF4" w14:textId="77777777" w:rsidR="007F3A71" w:rsidRPr="00FA51A1" w:rsidRDefault="007F3A71" w:rsidP="00FA51A1">
      <w:pPr>
        <w:pStyle w:val="ListParagraph"/>
        <w:numPr>
          <w:ilvl w:val="0"/>
          <w:numId w:val="16"/>
        </w:numPr>
        <w:jc w:val="both"/>
        <w:rPr>
          <w:rFonts w:ascii="Times New Roman" w:hAnsi="Times New Roman" w:cs="Times New Roman"/>
          <w:sz w:val="20"/>
          <w:szCs w:val="20"/>
        </w:rPr>
      </w:pPr>
      <w:r w:rsidRPr="00FA51A1">
        <w:rPr>
          <w:rFonts w:ascii="Times New Roman" w:hAnsi="Times New Roman" w:cs="Times New Roman"/>
          <w:sz w:val="20"/>
          <w:szCs w:val="20"/>
        </w:rPr>
        <w:t>Strengthen communication systems to ensure timely dissemination of announcements.</w:t>
      </w:r>
    </w:p>
    <w:p w14:paraId="3B43FFFF" w14:textId="34D0799C" w:rsidR="007F3A71" w:rsidRPr="007F3A71" w:rsidRDefault="00FA51A1" w:rsidP="007F3A71">
      <w:pPr>
        <w:jc w:val="both"/>
        <w:rPr>
          <w:rFonts w:ascii="Times New Roman" w:hAnsi="Times New Roman" w:cs="Times New Roman"/>
          <w:sz w:val="20"/>
          <w:szCs w:val="20"/>
        </w:rPr>
      </w:pPr>
      <w:r>
        <w:rPr>
          <w:rFonts w:ascii="Times New Roman" w:hAnsi="Times New Roman" w:cs="Times New Roman"/>
          <w:sz w:val="20"/>
          <w:szCs w:val="20"/>
        </w:rPr>
        <w:t xml:space="preserve">3. </w:t>
      </w:r>
      <w:r w:rsidR="007F3A71" w:rsidRPr="007F3A71">
        <w:rPr>
          <w:rFonts w:ascii="Times New Roman" w:hAnsi="Times New Roman" w:cs="Times New Roman"/>
          <w:sz w:val="20"/>
          <w:szCs w:val="20"/>
        </w:rPr>
        <w:t>For Program Coordinators</w:t>
      </w:r>
    </w:p>
    <w:p w14:paraId="3AC0ADEF" w14:textId="77777777" w:rsidR="007F3A71" w:rsidRPr="00FA51A1" w:rsidRDefault="007F3A71" w:rsidP="00FA51A1">
      <w:pPr>
        <w:pStyle w:val="ListParagraph"/>
        <w:numPr>
          <w:ilvl w:val="0"/>
          <w:numId w:val="17"/>
        </w:numPr>
        <w:jc w:val="both"/>
        <w:rPr>
          <w:rFonts w:ascii="Times New Roman" w:hAnsi="Times New Roman" w:cs="Times New Roman"/>
          <w:sz w:val="20"/>
          <w:szCs w:val="20"/>
        </w:rPr>
      </w:pPr>
      <w:r w:rsidRPr="00FA51A1">
        <w:rPr>
          <w:rFonts w:ascii="Times New Roman" w:hAnsi="Times New Roman" w:cs="Times New Roman"/>
          <w:sz w:val="20"/>
          <w:szCs w:val="20"/>
        </w:rPr>
        <w:t>Expand intercultural engagement activities that promote interaction between local and international students.</w:t>
      </w:r>
    </w:p>
    <w:p w14:paraId="0CDD6A91" w14:textId="77777777" w:rsidR="007F3A71" w:rsidRPr="00FA51A1" w:rsidRDefault="007F3A71" w:rsidP="00FA51A1">
      <w:pPr>
        <w:pStyle w:val="ListParagraph"/>
        <w:numPr>
          <w:ilvl w:val="0"/>
          <w:numId w:val="17"/>
        </w:numPr>
        <w:jc w:val="both"/>
        <w:rPr>
          <w:rFonts w:ascii="Times New Roman" w:hAnsi="Times New Roman" w:cs="Times New Roman"/>
          <w:sz w:val="20"/>
          <w:szCs w:val="20"/>
        </w:rPr>
      </w:pPr>
      <w:r w:rsidRPr="00FA51A1">
        <w:rPr>
          <w:rFonts w:ascii="Times New Roman" w:hAnsi="Times New Roman" w:cs="Times New Roman"/>
          <w:sz w:val="20"/>
          <w:szCs w:val="20"/>
        </w:rPr>
        <w:lastRenderedPageBreak/>
        <w:t>Improve the buddy system by assigning multiple student volunteers to each participant.</w:t>
      </w:r>
    </w:p>
    <w:p w14:paraId="254DEDC1" w14:textId="77777777" w:rsidR="007F3A71" w:rsidRPr="00FA51A1" w:rsidRDefault="007F3A71" w:rsidP="00FA51A1">
      <w:pPr>
        <w:pStyle w:val="ListParagraph"/>
        <w:numPr>
          <w:ilvl w:val="0"/>
          <w:numId w:val="17"/>
        </w:numPr>
        <w:jc w:val="both"/>
        <w:rPr>
          <w:rFonts w:ascii="Times New Roman" w:hAnsi="Times New Roman" w:cs="Times New Roman"/>
          <w:sz w:val="20"/>
          <w:szCs w:val="20"/>
        </w:rPr>
      </w:pPr>
      <w:r w:rsidRPr="00FA51A1">
        <w:rPr>
          <w:rFonts w:ascii="Times New Roman" w:hAnsi="Times New Roman" w:cs="Times New Roman"/>
          <w:sz w:val="20"/>
          <w:szCs w:val="20"/>
        </w:rPr>
        <w:t>Establish regular feedback mechanisms throughout the exchange period rather than relying solely on exit evaluations.</w:t>
      </w:r>
    </w:p>
    <w:p w14:paraId="39A6DDFB" w14:textId="491472B2" w:rsidR="007F3A71" w:rsidRPr="007F3A71" w:rsidRDefault="00FA51A1" w:rsidP="007F3A71">
      <w:pPr>
        <w:jc w:val="both"/>
        <w:rPr>
          <w:rFonts w:ascii="Times New Roman" w:hAnsi="Times New Roman" w:cs="Times New Roman"/>
          <w:sz w:val="20"/>
          <w:szCs w:val="20"/>
        </w:rPr>
      </w:pPr>
      <w:r>
        <w:rPr>
          <w:rFonts w:ascii="Times New Roman" w:hAnsi="Times New Roman" w:cs="Times New Roman"/>
          <w:sz w:val="20"/>
          <w:szCs w:val="20"/>
        </w:rPr>
        <w:t xml:space="preserve">4. </w:t>
      </w:r>
      <w:r w:rsidR="007F3A71" w:rsidRPr="007F3A71">
        <w:rPr>
          <w:rFonts w:ascii="Times New Roman" w:hAnsi="Times New Roman" w:cs="Times New Roman"/>
          <w:sz w:val="20"/>
          <w:szCs w:val="20"/>
        </w:rPr>
        <w:t>For Future Researchers</w:t>
      </w:r>
    </w:p>
    <w:p w14:paraId="519EA9FE" w14:textId="77777777" w:rsidR="007F3A71" w:rsidRPr="00FA51A1" w:rsidRDefault="007F3A71" w:rsidP="00FA51A1">
      <w:pPr>
        <w:pStyle w:val="ListParagraph"/>
        <w:numPr>
          <w:ilvl w:val="0"/>
          <w:numId w:val="18"/>
        </w:numPr>
        <w:jc w:val="both"/>
        <w:rPr>
          <w:rFonts w:ascii="Times New Roman" w:hAnsi="Times New Roman" w:cs="Times New Roman"/>
          <w:sz w:val="20"/>
          <w:szCs w:val="20"/>
        </w:rPr>
      </w:pPr>
      <w:r w:rsidRPr="00FA51A1">
        <w:rPr>
          <w:rFonts w:ascii="Times New Roman" w:hAnsi="Times New Roman" w:cs="Times New Roman"/>
          <w:sz w:val="20"/>
          <w:szCs w:val="20"/>
        </w:rPr>
        <w:t>Conduct longitudinal studies examining the long-term impact of the SEA Teacher Exchange Program on professional development and intercultural competence.</w:t>
      </w:r>
    </w:p>
    <w:p w14:paraId="4EEC5DDF" w14:textId="77777777" w:rsidR="007F3A71" w:rsidRPr="00FA51A1" w:rsidRDefault="007F3A71" w:rsidP="00FA51A1">
      <w:pPr>
        <w:pStyle w:val="ListParagraph"/>
        <w:numPr>
          <w:ilvl w:val="0"/>
          <w:numId w:val="18"/>
        </w:numPr>
        <w:jc w:val="both"/>
        <w:rPr>
          <w:rFonts w:ascii="Times New Roman" w:hAnsi="Times New Roman" w:cs="Times New Roman"/>
          <w:sz w:val="20"/>
          <w:szCs w:val="20"/>
        </w:rPr>
      </w:pPr>
      <w:r w:rsidRPr="00FA51A1">
        <w:rPr>
          <w:rFonts w:ascii="Times New Roman" w:hAnsi="Times New Roman" w:cs="Times New Roman"/>
          <w:sz w:val="20"/>
          <w:szCs w:val="20"/>
        </w:rPr>
        <w:t>Compare experiences across multiple host universities to identify best practices in exchange program implementation.</w:t>
      </w:r>
    </w:p>
    <w:p w14:paraId="3BB3B04E" w14:textId="2798D634" w:rsidR="009D78B1" w:rsidRPr="00FA51A1" w:rsidRDefault="007F3A71" w:rsidP="009D78B1">
      <w:pPr>
        <w:pStyle w:val="ListParagraph"/>
        <w:numPr>
          <w:ilvl w:val="0"/>
          <w:numId w:val="18"/>
        </w:numPr>
        <w:jc w:val="both"/>
        <w:rPr>
          <w:rFonts w:ascii="Times New Roman" w:hAnsi="Times New Roman" w:cs="Times New Roman"/>
          <w:sz w:val="20"/>
          <w:szCs w:val="20"/>
        </w:rPr>
      </w:pPr>
      <w:r w:rsidRPr="00FA51A1">
        <w:rPr>
          <w:rFonts w:ascii="Times New Roman" w:hAnsi="Times New Roman" w:cs="Times New Roman"/>
          <w:sz w:val="20"/>
          <w:szCs w:val="20"/>
        </w:rPr>
        <w:t>Explore the relationship between institutional support services and international student satisfaction using larger sample sizes and inferential statistical analyses.</w:t>
      </w:r>
    </w:p>
    <w:p w14:paraId="777F7826" w14:textId="77777777" w:rsidR="009D78B1" w:rsidRPr="009D78B1" w:rsidRDefault="009D78B1" w:rsidP="009D78B1">
      <w:pPr>
        <w:jc w:val="both"/>
        <w:rPr>
          <w:rFonts w:ascii="Times New Roman" w:hAnsi="Times New Roman" w:cs="Times New Roman"/>
          <w:sz w:val="20"/>
          <w:szCs w:val="20"/>
        </w:rPr>
      </w:pPr>
    </w:p>
    <w:p w14:paraId="70314582" w14:textId="2D5E5A30" w:rsidR="009D78B1" w:rsidRDefault="009D78B1" w:rsidP="00FA51A1">
      <w:pPr>
        <w:jc w:val="center"/>
        <w:rPr>
          <w:rFonts w:ascii="Times New Roman" w:hAnsi="Times New Roman" w:cs="Times New Roman"/>
          <w:b/>
          <w:bCs/>
          <w:sz w:val="20"/>
          <w:szCs w:val="20"/>
        </w:rPr>
      </w:pPr>
      <w:r w:rsidRPr="00FA51A1">
        <w:rPr>
          <w:rFonts w:ascii="Times New Roman" w:hAnsi="Times New Roman" w:cs="Times New Roman"/>
          <w:b/>
          <w:bCs/>
          <w:sz w:val="20"/>
          <w:szCs w:val="20"/>
        </w:rPr>
        <w:t>REFERENCES</w:t>
      </w:r>
    </w:p>
    <w:p w14:paraId="17B6C05A" w14:textId="77777777" w:rsidR="00FA51A1" w:rsidRPr="00FA51A1" w:rsidRDefault="00FA51A1" w:rsidP="00FA51A1">
      <w:pPr>
        <w:jc w:val="center"/>
        <w:rPr>
          <w:rFonts w:ascii="Times New Roman" w:hAnsi="Times New Roman" w:cs="Times New Roman"/>
          <w:b/>
          <w:bCs/>
          <w:sz w:val="20"/>
          <w:szCs w:val="20"/>
        </w:rPr>
      </w:pPr>
    </w:p>
    <w:p w14:paraId="54430471" w14:textId="77777777" w:rsidR="00FA51A1" w:rsidRPr="00FA51A1" w:rsidRDefault="00FA51A1" w:rsidP="00FA51A1">
      <w:pPr>
        <w:jc w:val="both"/>
        <w:rPr>
          <w:rFonts w:ascii="Times New Roman" w:hAnsi="Times New Roman" w:cs="Times New Roman"/>
          <w:sz w:val="20"/>
          <w:szCs w:val="20"/>
        </w:rPr>
      </w:pPr>
      <w:r w:rsidRPr="00FA51A1">
        <w:rPr>
          <w:rFonts w:ascii="Times New Roman" w:hAnsi="Times New Roman" w:cs="Times New Roman"/>
          <w:sz w:val="20"/>
          <w:szCs w:val="20"/>
        </w:rPr>
        <w:t>Allport, G. W. (1954). The nature of prejudice. Addison-Wesley.</w:t>
      </w:r>
    </w:p>
    <w:p w14:paraId="2A0E4AAE" w14:textId="77777777" w:rsidR="00FA51A1" w:rsidRPr="00FA51A1" w:rsidRDefault="00FA51A1" w:rsidP="00FA51A1">
      <w:pPr>
        <w:jc w:val="both"/>
        <w:rPr>
          <w:rFonts w:ascii="Times New Roman" w:hAnsi="Times New Roman" w:cs="Times New Roman"/>
          <w:sz w:val="20"/>
          <w:szCs w:val="20"/>
        </w:rPr>
      </w:pPr>
    </w:p>
    <w:p w14:paraId="0153B0B5" w14:textId="77777777" w:rsidR="00FA51A1" w:rsidRPr="00FA51A1" w:rsidRDefault="00FA51A1" w:rsidP="00FA51A1">
      <w:pPr>
        <w:jc w:val="both"/>
        <w:rPr>
          <w:rFonts w:ascii="Times New Roman" w:hAnsi="Times New Roman" w:cs="Times New Roman"/>
          <w:sz w:val="20"/>
          <w:szCs w:val="20"/>
        </w:rPr>
      </w:pPr>
      <w:r w:rsidRPr="00FA51A1">
        <w:rPr>
          <w:rFonts w:ascii="Times New Roman" w:hAnsi="Times New Roman" w:cs="Times New Roman"/>
          <w:sz w:val="20"/>
          <w:szCs w:val="20"/>
        </w:rPr>
        <w:t>Department of Education. (2016). Policy guidelines on daily lesson preparation for the K to 12 basic education program (DepEd Order No. 42, s. 2016). Department of Education.</w:t>
      </w:r>
    </w:p>
    <w:p w14:paraId="02AECBC7" w14:textId="77777777" w:rsidR="00FA51A1" w:rsidRPr="00FA51A1" w:rsidRDefault="00FA51A1" w:rsidP="00FA51A1">
      <w:pPr>
        <w:jc w:val="both"/>
        <w:rPr>
          <w:rFonts w:ascii="Times New Roman" w:hAnsi="Times New Roman" w:cs="Times New Roman"/>
          <w:sz w:val="20"/>
          <w:szCs w:val="20"/>
        </w:rPr>
      </w:pPr>
    </w:p>
    <w:p w14:paraId="06CC315E" w14:textId="77777777" w:rsidR="00FA51A1" w:rsidRPr="00FA51A1" w:rsidRDefault="00FA51A1" w:rsidP="00FA51A1">
      <w:pPr>
        <w:jc w:val="both"/>
        <w:rPr>
          <w:rFonts w:ascii="Times New Roman" w:hAnsi="Times New Roman" w:cs="Times New Roman"/>
          <w:sz w:val="20"/>
          <w:szCs w:val="20"/>
        </w:rPr>
      </w:pPr>
      <w:r w:rsidRPr="00FA51A1">
        <w:rPr>
          <w:rFonts w:ascii="Times New Roman" w:hAnsi="Times New Roman" w:cs="Times New Roman"/>
          <w:sz w:val="20"/>
          <w:szCs w:val="20"/>
        </w:rPr>
        <w:t>Enriquez, V. G. (1992). From colonial to liberation psychology: The Philippine experience. University of the Philippines Press.</w:t>
      </w:r>
    </w:p>
    <w:p w14:paraId="628E983B" w14:textId="77777777" w:rsidR="00FA51A1" w:rsidRPr="00FA51A1" w:rsidRDefault="00FA51A1" w:rsidP="00FA51A1">
      <w:pPr>
        <w:jc w:val="both"/>
        <w:rPr>
          <w:rFonts w:ascii="Times New Roman" w:hAnsi="Times New Roman" w:cs="Times New Roman"/>
          <w:sz w:val="20"/>
          <w:szCs w:val="20"/>
        </w:rPr>
      </w:pPr>
    </w:p>
    <w:p w14:paraId="13730007" w14:textId="77777777" w:rsidR="00FA51A1" w:rsidRPr="00FA51A1" w:rsidRDefault="00FA51A1" w:rsidP="00FA51A1">
      <w:pPr>
        <w:jc w:val="both"/>
        <w:rPr>
          <w:rFonts w:ascii="Times New Roman" w:hAnsi="Times New Roman" w:cs="Times New Roman"/>
          <w:sz w:val="20"/>
          <w:szCs w:val="20"/>
        </w:rPr>
      </w:pPr>
      <w:r w:rsidRPr="00FA51A1">
        <w:rPr>
          <w:rFonts w:ascii="Times New Roman" w:hAnsi="Times New Roman" w:cs="Times New Roman"/>
          <w:sz w:val="20"/>
          <w:szCs w:val="20"/>
        </w:rPr>
        <w:t>Henderson, J. C. (2016). Halal food, certification and halal tourism: Insights from Malaysia and Singapore. Tourism Management Perspectives, 19, 160–164. https://doi.org/10.1016/j.tmp.2015.12.006</w:t>
      </w:r>
    </w:p>
    <w:p w14:paraId="3DD4B8D3" w14:textId="77777777" w:rsidR="00FA51A1" w:rsidRPr="00FA51A1" w:rsidRDefault="00FA51A1" w:rsidP="00FA51A1">
      <w:pPr>
        <w:jc w:val="both"/>
        <w:rPr>
          <w:rFonts w:ascii="Times New Roman" w:hAnsi="Times New Roman" w:cs="Times New Roman"/>
          <w:sz w:val="20"/>
          <w:szCs w:val="20"/>
        </w:rPr>
      </w:pPr>
    </w:p>
    <w:p w14:paraId="24C35DE8" w14:textId="77777777" w:rsidR="00FA51A1" w:rsidRPr="00FA51A1" w:rsidRDefault="00FA51A1" w:rsidP="00FA51A1">
      <w:pPr>
        <w:jc w:val="both"/>
        <w:rPr>
          <w:rFonts w:ascii="Times New Roman" w:hAnsi="Times New Roman" w:cs="Times New Roman"/>
          <w:sz w:val="20"/>
          <w:szCs w:val="20"/>
        </w:rPr>
      </w:pPr>
      <w:r w:rsidRPr="00FA51A1">
        <w:rPr>
          <w:rFonts w:ascii="Times New Roman" w:hAnsi="Times New Roman" w:cs="Times New Roman"/>
          <w:sz w:val="20"/>
          <w:szCs w:val="20"/>
        </w:rPr>
        <w:t>Knight, J. (2004). Internationalization remodeled: Definition, approaches, and rationales. Journal of Studies in International Education, 8(1), 5–31. https://doi.org/10.1177/1028315303260832</w:t>
      </w:r>
    </w:p>
    <w:p w14:paraId="75F64C4B" w14:textId="77777777" w:rsidR="00FA51A1" w:rsidRPr="00FA51A1" w:rsidRDefault="00FA51A1" w:rsidP="00FA51A1">
      <w:pPr>
        <w:jc w:val="both"/>
        <w:rPr>
          <w:rFonts w:ascii="Times New Roman" w:hAnsi="Times New Roman" w:cs="Times New Roman"/>
          <w:sz w:val="20"/>
          <w:szCs w:val="20"/>
        </w:rPr>
      </w:pPr>
    </w:p>
    <w:p w14:paraId="04D9D03C" w14:textId="77777777" w:rsidR="00FA51A1" w:rsidRPr="00FA51A1" w:rsidRDefault="00FA51A1" w:rsidP="00FA51A1">
      <w:pPr>
        <w:jc w:val="both"/>
        <w:rPr>
          <w:rFonts w:ascii="Times New Roman" w:hAnsi="Times New Roman" w:cs="Times New Roman"/>
          <w:sz w:val="20"/>
          <w:szCs w:val="20"/>
        </w:rPr>
      </w:pPr>
      <w:r w:rsidRPr="00FA51A1">
        <w:rPr>
          <w:rFonts w:ascii="Times New Roman" w:hAnsi="Times New Roman" w:cs="Times New Roman"/>
          <w:sz w:val="20"/>
          <w:szCs w:val="20"/>
        </w:rPr>
        <w:t>Mariano Marcos State University. (2025). Exit interview for SEA Teacher Exchange Program 2025 batch [Unpublished institutional report].</w:t>
      </w:r>
    </w:p>
    <w:p w14:paraId="3316525B" w14:textId="77777777" w:rsidR="00FA51A1" w:rsidRPr="00FA51A1" w:rsidRDefault="00FA51A1" w:rsidP="00FA51A1">
      <w:pPr>
        <w:jc w:val="both"/>
        <w:rPr>
          <w:rFonts w:ascii="Times New Roman" w:hAnsi="Times New Roman" w:cs="Times New Roman"/>
          <w:sz w:val="20"/>
          <w:szCs w:val="20"/>
        </w:rPr>
      </w:pPr>
    </w:p>
    <w:p w14:paraId="7A624E9D" w14:textId="77777777" w:rsidR="00FA51A1" w:rsidRPr="00FA51A1" w:rsidRDefault="00FA51A1" w:rsidP="00FA51A1">
      <w:pPr>
        <w:jc w:val="both"/>
        <w:rPr>
          <w:rFonts w:ascii="Times New Roman" w:hAnsi="Times New Roman" w:cs="Times New Roman"/>
          <w:sz w:val="20"/>
          <w:szCs w:val="20"/>
        </w:rPr>
      </w:pPr>
      <w:r w:rsidRPr="00FA51A1">
        <w:rPr>
          <w:rFonts w:ascii="Times New Roman" w:hAnsi="Times New Roman" w:cs="Times New Roman"/>
          <w:sz w:val="20"/>
          <w:szCs w:val="20"/>
        </w:rPr>
        <w:t>Oberg, K. (1960). Cultural shock: Adjustment to new cultural environments. Practical Anthropology, 7(4), 177–182. https://doi.org/10.1177/009182966000700405</w:t>
      </w:r>
    </w:p>
    <w:p w14:paraId="286EC9E8" w14:textId="77777777" w:rsidR="00FA51A1" w:rsidRPr="00FA51A1" w:rsidRDefault="00FA51A1" w:rsidP="00FA51A1">
      <w:pPr>
        <w:jc w:val="both"/>
        <w:rPr>
          <w:rFonts w:ascii="Times New Roman" w:hAnsi="Times New Roman" w:cs="Times New Roman"/>
          <w:sz w:val="20"/>
          <w:szCs w:val="20"/>
        </w:rPr>
      </w:pPr>
    </w:p>
    <w:p w14:paraId="3D44A046" w14:textId="77777777" w:rsidR="00FA51A1" w:rsidRPr="00FA51A1" w:rsidRDefault="00FA51A1" w:rsidP="00FA51A1">
      <w:pPr>
        <w:jc w:val="both"/>
        <w:rPr>
          <w:rFonts w:ascii="Times New Roman" w:hAnsi="Times New Roman" w:cs="Times New Roman"/>
          <w:sz w:val="20"/>
          <w:szCs w:val="20"/>
        </w:rPr>
      </w:pPr>
      <w:proofErr w:type="spellStart"/>
      <w:r w:rsidRPr="00FA51A1">
        <w:rPr>
          <w:rFonts w:ascii="Times New Roman" w:hAnsi="Times New Roman" w:cs="Times New Roman"/>
          <w:sz w:val="20"/>
          <w:szCs w:val="20"/>
        </w:rPr>
        <w:t>Setyaningsih</w:t>
      </w:r>
      <w:proofErr w:type="spellEnd"/>
      <w:r w:rsidRPr="00FA51A1">
        <w:rPr>
          <w:rFonts w:ascii="Times New Roman" w:hAnsi="Times New Roman" w:cs="Times New Roman"/>
          <w:sz w:val="20"/>
          <w:szCs w:val="20"/>
        </w:rPr>
        <w:t xml:space="preserve">, E., </w:t>
      </w:r>
      <w:proofErr w:type="spellStart"/>
      <w:r w:rsidRPr="00FA51A1">
        <w:rPr>
          <w:rFonts w:ascii="Times New Roman" w:hAnsi="Times New Roman" w:cs="Times New Roman"/>
          <w:sz w:val="20"/>
          <w:szCs w:val="20"/>
        </w:rPr>
        <w:t>Nurkamto</w:t>
      </w:r>
      <w:proofErr w:type="spellEnd"/>
      <w:r w:rsidRPr="00FA51A1">
        <w:rPr>
          <w:rFonts w:ascii="Times New Roman" w:hAnsi="Times New Roman" w:cs="Times New Roman"/>
          <w:sz w:val="20"/>
          <w:szCs w:val="20"/>
        </w:rPr>
        <w:t>, J., &amp; Supriyadi, S. (2023). The impact of SEA Teacher Program on pre-service teachers' competence. Journal of Education and Learning, 17(2), 245–254.</w:t>
      </w:r>
    </w:p>
    <w:p w14:paraId="0CC572DA" w14:textId="77777777" w:rsidR="00FA51A1" w:rsidRPr="00FA51A1" w:rsidRDefault="00FA51A1" w:rsidP="00FA51A1">
      <w:pPr>
        <w:jc w:val="both"/>
        <w:rPr>
          <w:rFonts w:ascii="Times New Roman" w:hAnsi="Times New Roman" w:cs="Times New Roman"/>
          <w:sz w:val="20"/>
          <w:szCs w:val="20"/>
        </w:rPr>
      </w:pPr>
    </w:p>
    <w:p w14:paraId="157A6191" w14:textId="0DD3CB5F" w:rsidR="009D78B1" w:rsidRPr="009D78B1" w:rsidRDefault="00FA51A1" w:rsidP="00FA51A1">
      <w:pPr>
        <w:jc w:val="both"/>
        <w:rPr>
          <w:rFonts w:ascii="Times New Roman" w:hAnsi="Times New Roman" w:cs="Times New Roman"/>
          <w:sz w:val="20"/>
          <w:szCs w:val="20"/>
        </w:rPr>
      </w:pPr>
      <w:r w:rsidRPr="00FA51A1">
        <w:rPr>
          <w:rFonts w:ascii="Times New Roman" w:hAnsi="Times New Roman" w:cs="Times New Roman"/>
          <w:sz w:val="20"/>
          <w:szCs w:val="20"/>
        </w:rPr>
        <w:t xml:space="preserve">Ulla, M. B. (2018). Benefits and challenges of doing research: Experiences from Philippine </w:t>
      </w:r>
      <w:proofErr w:type="gramStart"/>
      <w:r w:rsidRPr="00FA51A1">
        <w:rPr>
          <w:rFonts w:ascii="Times New Roman" w:hAnsi="Times New Roman" w:cs="Times New Roman"/>
          <w:sz w:val="20"/>
          <w:szCs w:val="20"/>
        </w:rPr>
        <w:t>public school</w:t>
      </w:r>
      <w:proofErr w:type="gramEnd"/>
      <w:r w:rsidRPr="00FA51A1">
        <w:rPr>
          <w:rFonts w:ascii="Times New Roman" w:hAnsi="Times New Roman" w:cs="Times New Roman"/>
          <w:sz w:val="20"/>
          <w:szCs w:val="20"/>
        </w:rPr>
        <w:t xml:space="preserve"> teachers. Issues in Educational Research, 28(3), 797–810.</w:t>
      </w:r>
    </w:p>
    <w:p w14:paraId="7D4BFD58" w14:textId="77777777" w:rsidR="00314984" w:rsidRPr="009D78B1" w:rsidRDefault="00314984" w:rsidP="009D78B1">
      <w:pPr>
        <w:jc w:val="both"/>
        <w:rPr>
          <w:rFonts w:ascii="Times New Roman" w:hAnsi="Times New Roman" w:cs="Times New Roman"/>
          <w:sz w:val="20"/>
          <w:szCs w:val="20"/>
        </w:rPr>
      </w:pPr>
    </w:p>
    <w:sectPr w:rsidR="00314984" w:rsidRPr="009D78B1" w:rsidSect="009D78B1">
      <w:type w:val="continuous"/>
      <w:pgSz w:w="11906" w:h="16838"/>
      <w:pgMar w:top="720" w:right="720" w:bottom="720" w:left="720" w:header="851" w:footer="992" w:gutter="0"/>
      <w:cols w:num="2"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368"/>
    <w:multiLevelType w:val="multilevel"/>
    <w:tmpl w:val="8ED6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65CCF"/>
    <w:multiLevelType w:val="multilevel"/>
    <w:tmpl w:val="6666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253F1"/>
    <w:multiLevelType w:val="multilevel"/>
    <w:tmpl w:val="2CE2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94106"/>
    <w:multiLevelType w:val="multilevel"/>
    <w:tmpl w:val="7BCC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804E2"/>
    <w:multiLevelType w:val="hybridMultilevel"/>
    <w:tmpl w:val="737CEEB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0805FCF"/>
    <w:multiLevelType w:val="hybridMultilevel"/>
    <w:tmpl w:val="B8A8AF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C4B5BDE"/>
    <w:multiLevelType w:val="multilevel"/>
    <w:tmpl w:val="5670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57E8C"/>
    <w:multiLevelType w:val="hybridMultilevel"/>
    <w:tmpl w:val="3B1032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DDA2117"/>
    <w:multiLevelType w:val="multilevel"/>
    <w:tmpl w:val="680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B3B95"/>
    <w:multiLevelType w:val="hybridMultilevel"/>
    <w:tmpl w:val="0D5247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4781694D"/>
    <w:multiLevelType w:val="hybridMultilevel"/>
    <w:tmpl w:val="8A008E52"/>
    <w:lvl w:ilvl="0" w:tplc="FCD87EA6">
      <w:start w:val="1"/>
      <w:numFmt w:val="decimal"/>
      <w:lvlRestart w:val="0"/>
      <w:lvlText w:val="%1."/>
      <w:lvlJc w:val="left"/>
      <w:pPr>
        <w:tabs>
          <w:tab w:val="num" w:pos="0"/>
        </w:tabs>
        <w:ind w:left="780" w:hanging="420"/>
      </w:pPr>
      <w:rPr>
        <w:rFonts w:hint="default"/>
      </w:rPr>
    </w:lvl>
    <w:lvl w:ilvl="1" w:tplc="05A4B776">
      <w:start w:val="1"/>
      <w:numFmt w:val="lowerLetter"/>
      <w:lvlText w:val="%2."/>
      <w:lvlJc w:val="left"/>
      <w:pPr>
        <w:tabs>
          <w:tab w:val="num" w:pos="0"/>
        </w:tabs>
        <w:ind w:left="1440" w:hanging="360"/>
      </w:pPr>
    </w:lvl>
    <w:lvl w:ilvl="2" w:tplc="B91C1D10">
      <w:start w:val="1"/>
      <w:numFmt w:val="lowerRoman"/>
      <w:lvlText w:val="%3."/>
      <w:lvlJc w:val="right"/>
      <w:pPr>
        <w:tabs>
          <w:tab w:val="num" w:pos="0"/>
        </w:tabs>
        <w:ind w:left="2160" w:hanging="180"/>
      </w:pPr>
    </w:lvl>
    <w:lvl w:ilvl="3" w:tplc="6F709188">
      <w:start w:val="1"/>
      <w:numFmt w:val="decimal"/>
      <w:lvlText w:val="%4."/>
      <w:lvlJc w:val="left"/>
      <w:pPr>
        <w:tabs>
          <w:tab w:val="num" w:pos="0"/>
        </w:tabs>
        <w:ind w:left="2880" w:hanging="360"/>
      </w:pPr>
    </w:lvl>
    <w:lvl w:ilvl="4" w:tplc="BA3ADE58">
      <w:start w:val="1"/>
      <w:numFmt w:val="lowerLetter"/>
      <w:lvlText w:val="%5."/>
      <w:lvlJc w:val="left"/>
      <w:pPr>
        <w:tabs>
          <w:tab w:val="num" w:pos="0"/>
        </w:tabs>
        <w:ind w:left="3600" w:hanging="360"/>
      </w:pPr>
    </w:lvl>
    <w:lvl w:ilvl="5" w:tplc="78944B14">
      <w:start w:val="1"/>
      <w:numFmt w:val="lowerRoman"/>
      <w:lvlText w:val="%6."/>
      <w:lvlJc w:val="right"/>
      <w:pPr>
        <w:tabs>
          <w:tab w:val="num" w:pos="0"/>
        </w:tabs>
        <w:ind w:left="4320" w:hanging="180"/>
      </w:pPr>
    </w:lvl>
    <w:lvl w:ilvl="6" w:tplc="A2FABC74">
      <w:start w:val="1"/>
      <w:numFmt w:val="decimal"/>
      <w:lvlText w:val="%7."/>
      <w:lvlJc w:val="left"/>
      <w:pPr>
        <w:tabs>
          <w:tab w:val="num" w:pos="0"/>
        </w:tabs>
        <w:ind w:left="5040" w:hanging="360"/>
      </w:pPr>
    </w:lvl>
    <w:lvl w:ilvl="7" w:tplc="1D70B276">
      <w:start w:val="1"/>
      <w:numFmt w:val="lowerLetter"/>
      <w:lvlText w:val="%8."/>
      <w:lvlJc w:val="left"/>
      <w:pPr>
        <w:tabs>
          <w:tab w:val="num" w:pos="0"/>
        </w:tabs>
        <w:ind w:left="5760" w:hanging="360"/>
      </w:pPr>
    </w:lvl>
    <w:lvl w:ilvl="8" w:tplc="DCECCA76">
      <w:start w:val="1"/>
      <w:numFmt w:val="lowerRoman"/>
      <w:lvlText w:val="%9."/>
      <w:lvlJc w:val="right"/>
      <w:pPr>
        <w:tabs>
          <w:tab w:val="num" w:pos="0"/>
        </w:tabs>
        <w:ind w:left="6480" w:hanging="180"/>
      </w:pPr>
    </w:lvl>
  </w:abstractNum>
  <w:abstractNum w:abstractNumId="11" w15:restartNumberingAfterBreak="0">
    <w:nsid w:val="478F0465"/>
    <w:multiLevelType w:val="multilevel"/>
    <w:tmpl w:val="7AD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30769"/>
    <w:multiLevelType w:val="hybridMultilevel"/>
    <w:tmpl w:val="C590A542"/>
    <w:lvl w:ilvl="0" w:tplc="42FE8FE6">
      <w:start w:val="1"/>
      <w:numFmt w:val="decimal"/>
      <w:lvlRestart w:val="0"/>
      <w:lvlText w:val="%1."/>
      <w:lvlJc w:val="left"/>
      <w:pPr>
        <w:tabs>
          <w:tab w:val="num" w:pos="0"/>
        </w:tabs>
        <w:ind w:left="780" w:hanging="420"/>
      </w:pPr>
      <w:rPr>
        <w:rFonts w:hint="default"/>
      </w:rPr>
    </w:lvl>
    <w:lvl w:ilvl="1" w:tplc="DB805416">
      <w:start w:val="1"/>
      <w:numFmt w:val="lowerLetter"/>
      <w:lvlText w:val="%2."/>
      <w:lvlJc w:val="left"/>
      <w:pPr>
        <w:tabs>
          <w:tab w:val="num" w:pos="0"/>
        </w:tabs>
        <w:ind w:left="1440" w:hanging="360"/>
      </w:pPr>
    </w:lvl>
    <w:lvl w:ilvl="2" w:tplc="65A617B4">
      <w:start w:val="1"/>
      <w:numFmt w:val="lowerRoman"/>
      <w:lvlText w:val="%3."/>
      <w:lvlJc w:val="right"/>
      <w:pPr>
        <w:tabs>
          <w:tab w:val="num" w:pos="0"/>
        </w:tabs>
        <w:ind w:left="2160" w:hanging="180"/>
      </w:pPr>
    </w:lvl>
    <w:lvl w:ilvl="3" w:tplc="BCF451DC">
      <w:start w:val="1"/>
      <w:numFmt w:val="decimal"/>
      <w:lvlText w:val="%4."/>
      <w:lvlJc w:val="left"/>
      <w:pPr>
        <w:tabs>
          <w:tab w:val="num" w:pos="0"/>
        </w:tabs>
        <w:ind w:left="2880" w:hanging="360"/>
      </w:pPr>
    </w:lvl>
    <w:lvl w:ilvl="4" w:tplc="FA16A35A">
      <w:start w:val="1"/>
      <w:numFmt w:val="lowerLetter"/>
      <w:lvlText w:val="%5."/>
      <w:lvlJc w:val="left"/>
      <w:pPr>
        <w:tabs>
          <w:tab w:val="num" w:pos="0"/>
        </w:tabs>
        <w:ind w:left="3600" w:hanging="360"/>
      </w:pPr>
    </w:lvl>
    <w:lvl w:ilvl="5" w:tplc="304ADDFA">
      <w:start w:val="1"/>
      <w:numFmt w:val="lowerRoman"/>
      <w:lvlText w:val="%6."/>
      <w:lvlJc w:val="right"/>
      <w:pPr>
        <w:tabs>
          <w:tab w:val="num" w:pos="0"/>
        </w:tabs>
        <w:ind w:left="4320" w:hanging="180"/>
      </w:pPr>
    </w:lvl>
    <w:lvl w:ilvl="6" w:tplc="797AB87A">
      <w:start w:val="1"/>
      <w:numFmt w:val="decimal"/>
      <w:lvlText w:val="%7."/>
      <w:lvlJc w:val="left"/>
      <w:pPr>
        <w:tabs>
          <w:tab w:val="num" w:pos="0"/>
        </w:tabs>
        <w:ind w:left="5040" w:hanging="360"/>
      </w:pPr>
    </w:lvl>
    <w:lvl w:ilvl="7" w:tplc="B832DFF0">
      <w:start w:val="1"/>
      <w:numFmt w:val="lowerLetter"/>
      <w:lvlText w:val="%8."/>
      <w:lvlJc w:val="left"/>
      <w:pPr>
        <w:tabs>
          <w:tab w:val="num" w:pos="0"/>
        </w:tabs>
        <w:ind w:left="5760" w:hanging="360"/>
      </w:pPr>
    </w:lvl>
    <w:lvl w:ilvl="8" w:tplc="9208E666">
      <w:start w:val="1"/>
      <w:numFmt w:val="lowerRoman"/>
      <w:lvlText w:val="%9."/>
      <w:lvlJc w:val="right"/>
      <w:pPr>
        <w:tabs>
          <w:tab w:val="num" w:pos="0"/>
        </w:tabs>
        <w:ind w:left="6480" w:hanging="180"/>
      </w:pPr>
    </w:lvl>
  </w:abstractNum>
  <w:abstractNum w:abstractNumId="13" w15:restartNumberingAfterBreak="0">
    <w:nsid w:val="50A80ACF"/>
    <w:multiLevelType w:val="multilevel"/>
    <w:tmpl w:val="9536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54FBA"/>
    <w:multiLevelType w:val="multilevel"/>
    <w:tmpl w:val="B3DA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35C8B"/>
    <w:multiLevelType w:val="multilevel"/>
    <w:tmpl w:val="329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B77A0"/>
    <w:multiLevelType w:val="multilevel"/>
    <w:tmpl w:val="0DB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71F9B"/>
    <w:multiLevelType w:val="hybridMultilevel"/>
    <w:tmpl w:val="5FC2090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39785545">
    <w:abstractNumId w:val="10"/>
  </w:num>
  <w:num w:numId="2" w16cid:durableId="428503680">
    <w:abstractNumId w:val="12"/>
  </w:num>
  <w:num w:numId="3" w16cid:durableId="1248616528">
    <w:abstractNumId w:val="4"/>
  </w:num>
  <w:num w:numId="4" w16cid:durableId="1768309006">
    <w:abstractNumId w:val="16"/>
  </w:num>
  <w:num w:numId="5" w16cid:durableId="658078538">
    <w:abstractNumId w:val="2"/>
    <w:lvlOverride w:ilvl="0">
      <w:startOverride w:val="1"/>
    </w:lvlOverride>
  </w:num>
  <w:num w:numId="6" w16cid:durableId="14116720">
    <w:abstractNumId w:val="11"/>
  </w:num>
  <w:num w:numId="7" w16cid:durableId="1906984016">
    <w:abstractNumId w:val="14"/>
  </w:num>
  <w:num w:numId="8" w16cid:durableId="478159469">
    <w:abstractNumId w:val="15"/>
  </w:num>
  <w:num w:numId="9" w16cid:durableId="281309090">
    <w:abstractNumId w:val="3"/>
  </w:num>
  <w:num w:numId="10" w16cid:durableId="953556983">
    <w:abstractNumId w:val="0"/>
  </w:num>
  <w:num w:numId="11" w16cid:durableId="767624253">
    <w:abstractNumId w:val="13"/>
  </w:num>
  <w:num w:numId="12" w16cid:durableId="1096247470">
    <w:abstractNumId w:val="6"/>
  </w:num>
  <w:num w:numId="13" w16cid:durableId="1508862031">
    <w:abstractNumId w:val="1"/>
  </w:num>
  <w:num w:numId="14" w16cid:durableId="1889607217">
    <w:abstractNumId w:val="8"/>
  </w:num>
  <w:num w:numId="15" w16cid:durableId="786966820">
    <w:abstractNumId w:val="9"/>
  </w:num>
  <w:num w:numId="16" w16cid:durableId="2032874136">
    <w:abstractNumId w:val="17"/>
  </w:num>
  <w:num w:numId="17" w16cid:durableId="1140223378">
    <w:abstractNumId w:val="7"/>
  </w:num>
  <w:num w:numId="18" w16cid:durableId="39092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84"/>
    <w:rsid w:val="00006E23"/>
    <w:rsid w:val="000D301D"/>
    <w:rsid w:val="000E10FB"/>
    <w:rsid w:val="00130C84"/>
    <w:rsid w:val="00150E55"/>
    <w:rsid w:val="00180E1E"/>
    <w:rsid w:val="00182824"/>
    <w:rsid w:val="001B58CD"/>
    <w:rsid w:val="001B7D81"/>
    <w:rsid w:val="001D71BB"/>
    <w:rsid w:val="001F2039"/>
    <w:rsid w:val="002067C0"/>
    <w:rsid w:val="00215A8C"/>
    <w:rsid w:val="002400E6"/>
    <w:rsid w:val="0026587D"/>
    <w:rsid w:val="0028443E"/>
    <w:rsid w:val="002A5CA9"/>
    <w:rsid w:val="00314984"/>
    <w:rsid w:val="003335DD"/>
    <w:rsid w:val="00356E94"/>
    <w:rsid w:val="003A364D"/>
    <w:rsid w:val="003B201A"/>
    <w:rsid w:val="003B6D8B"/>
    <w:rsid w:val="00415DBD"/>
    <w:rsid w:val="0041741E"/>
    <w:rsid w:val="0042094F"/>
    <w:rsid w:val="00463E8A"/>
    <w:rsid w:val="0054351D"/>
    <w:rsid w:val="00544F28"/>
    <w:rsid w:val="005A0910"/>
    <w:rsid w:val="005A3F4A"/>
    <w:rsid w:val="005A4683"/>
    <w:rsid w:val="00600A37"/>
    <w:rsid w:val="00600F43"/>
    <w:rsid w:val="006035C1"/>
    <w:rsid w:val="00614F08"/>
    <w:rsid w:val="00635B10"/>
    <w:rsid w:val="00654595"/>
    <w:rsid w:val="00655D33"/>
    <w:rsid w:val="00670DBA"/>
    <w:rsid w:val="00685FC3"/>
    <w:rsid w:val="006A2DB2"/>
    <w:rsid w:val="006A4B00"/>
    <w:rsid w:val="006B33DC"/>
    <w:rsid w:val="006E4F9F"/>
    <w:rsid w:val="006F2203"/>
    <w:rsid w:val="00725452"/>
    <w:rsid w:val="00741664"/>
    <w:rsid w:val="00762F22"/>
    <w:rsid w:val="007D6B55"/>
    <w:rsid w:val="007F3A71"/>
    <w:rsid w:val="007F564A"/>
    <w:rsid w:val="008562C6"/>
    <w:rsid w:val="008B1CC4"/>
    <w:rsid w:val="008C1E65"/>
    <w:rsid w:val="008C1EFA"/>
    <w:rsid w:val="00905AA2"/>
    <w:rsid w:val="0091460F"/>
    <w:rsid w:val="00966A35"/>
    <w:rsid w:val="00970746"/>
    <w:rsid w:val="00992200"/>
    <w:rsid w:val="009B6558"/>
    <w:rsid w:val="009C4B4E"/>
    <w:rsid w:val="009D78B1"/>
    <w:rsid w:val="009D7FB7"/>
    <w:rsid w:val="00A02322"/>
    <w:rsid w:val="00A44D25"/>
    <w:rsid w:val="00A95D80"/>
    <w:rsid w:val="00AA69E2"/>
    <w:rsid w:val="00AE278A"/>
    <w:rsid w:val="00AF15AE"/>
    <w:rsid w:val="00B01390"/>
    <w:rsid w:val="00B7459C"/>
    <w:rsid w:val="00B85A70"/>
    <w:rsid w:val="00B94E86"/>
    <w:rsid w:val="00B95348"/>
    <w:rsid w:val="00BB76F2"/>
    <w:rsid w:val="00C42D4C"/>
    <w:rsid w:val="00C536F3"/>
    <w:rsid w:val="00C6265A"/>
    <w:rsid w:val="00CA4610"/>
    <w:rsid w:val="00CC758A"/>
    <w:rsid w:val="00CD2738"/>
    <w:rsid w:val="00CD46B3"/>
    <w:rsid w:val="00D1743C"/>
    <w:rsid w:val="00D71F38"/>
    <w:rsid w:val="00D811E0"/>
    <w:rsid w:val="00DC2626"/>
    <w:rsid w:val="00E11BF4"/>
    <w:rsid w:val="00E15509"/>
    <w:rsid w:val="00E90FDC"/>
    <w:rsid w:val="00EC0217"/>
    <w:rsid w:val="00ED1C73"/>
    <w:rsid w:val="00F82A1F"/>
    <w:rsid w:val="00FA51A1"/>
    <w:rsid w:val="00FB48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AE70"/>
  <w15:docId w15:val="{2EF7DF85-F7D0-4021-9694-00CEE989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Arial"/>
      <w:kern w:val="2"/>
      <w:sz w:val="21"/>
      <w:szCs w:val="22"/>
    </w:rPr>
  </w:style>
  <w:style w:type="paragraph" w:styleId="Heading1">
    <w:name w:val="heading 1"/>
    <w:basedOn w:val="Normal"/>
    <w:next w:val="Normal"/>
    <w:uiPriority w:val="9"/>
    <w:qFormat/>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uiPriority w:val="9"/>
    <w:semiHidden/>
    <w:unhideWhenUsed/>
    <w:qFormat/>
    <w:pPr>
      <w:keepNext/>
      <w:keepLines/>
      <w:widowControl w:val="0"/>
      <w:spacing w:before="260" w:after="260" w:line="415" w:lineRule="auto"/>
      <w:outlineLvl w:val="1"/>
    </w:pPr>
    <w:rPr>
      <w:b/>
      <w:bCs/>
      <w:sz w:val="32"/>
      <w:szCs w:val="32"/>
    </w:rPr>
  </w:style>
  <w:style w:type="paragraph" w:styleId="Heading3">
    <w:name w:val="heading 3"/>
    <w:basedOn w:val="Normal"/>
    <w:next w:val="Normal"/>
    <w:uiPriority w:val="9"/>
    <w:semiHidden/>
    <w:unhideWhenUsed/>
    <w:qFormat/>
    <w:pPr>
      <w:keepNext/>
      <w:keepLines/>
      <w:widowControl w:val="0"/>
      <w:spacing w:before="260" w:after="260" w:line="415"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i">
    <w:name w:val="ii"/>
    <w:basedOn w:val="Normal"/>
    <w:next w:val="Normal"/>
  </w:style>
  <w:style w:type="paragraph" w:customStyle="1" w:styleId="i">
    <w:name w:val="i"/>
    <w:basedOn w:val="Normal"/>
  </w:style>
  <w:style w:type="paragraph" w:customStyle="1" w:styleId="ListParagraph1">
    <w:name w:val="List Paragraph1"/>
    <w:basedOn w:val="Normal"/>
    <w:pPr>
      <w:ind w:left="720"/>
      <w:contextualSpacing/>
    </w:pPr>
  </w:style>
  <w:style w:type="character" w:styleId="Hyperlink">
    <w:name w:val="Hyperlink"/>
    <w:basedOn w:val="DefaultParagraphFont"/>
    <w:uiPriority w:val="99"/>
    <w:unhideWhenUsed/>
    <w:rsid w:val="00A95D80"/>
    <w:rPr>
      <w:color w:val="0563C1" w:themeColor="hyperlink"/>
      <w:u w:val="single"/>
    </w:rPr>
  </w:style>
  <w:style w:type="character" w:customStyle="1" w:styleId="UnresolvedMention1">
    <w:name w:val="Unresolved Mention1"/>
    <w:basedOn w:val="DefaultParagraphFont"/>
    <w:uiPriority w:val="99"/>
    <w:semiHidden/>
    <w:unhideWhenUsed/>
    <w:rsid w:val="00A95D80"/>
    <w:rPr>
      <w:color w:val="605E5C"/>
      <w:shd w:val="clear" w:color="auto" w:fill="E1DFDD"/>
    </w:rPr>
  </w:style>
  <w:style w:type="paragraph" w:styleId="ListParagraph">
    <w:name w:val="List Paragraph"/>
    <w:basedOn w:val="Normal"/>
    <w:uiPriority w:val="34"/>
    <w:qFormat/>
    <w:rsid w:val="00FB4889"/>
    <w:pPr>
      <w:ind w:left="720"/>
      <w:contextualSpacing/>
    </w:pPr>
  </w:style>
  <w:style w:type="paragraph" w:customStyle="1" w:styleId="Text">
    <w:name w:val="Text"/>
    <w:basedOn w:val="Normal"/>
    <w:rsid w:val="00E15509"/>
    <w:pPr>
      <w:widowControl w:val="0"/>
      <w:autoSpaceDE w:val="0"/>
      <w:autoSpaceDN w:val="0"/>
      <w:spacing w:line="252" w:lineRule="auto"/>
      <w:ind w:firstLine="202"/>
      <w:jc w:val="both"/>
    </w:pPr>
    <w:rPr>
      <w:rFonts w:ascii="Times New Roman" w:eastAsia="PMingLiU" w:hAnsi="Times New Roman" w:cs="Times New Roman"/>
      <w:kern w:val="0"/>
      <w:sz w:val="20"/>
      <w:szCs w:val="20"/>
      <w:lang w:eastAsia="en-US"/>
    </w:rPr>
  </w:style>
  <w:style w:type="paragraph" w:customStyle="1" w:styleId="FigureCaption">
    <w:name w:val="Figure Caption"/>
    <w:basedOn w:val="Normal"/>
    <w:rsid w:val="00E15509"/>
    <w:pPr>
      <w:autoSpaceDE w:val="0"/>
      <w:autoSpaceDN w:val="0"/>
      <w:jc w:val="both"/>
    </w:pPr>
    <w:rPr>
      <w:rFonts w:ascii="Times New Roman" w:eastAsia="PMingLiU" w:hAnsi="Times New Roman" w:cs="Times New Roman"/>
      <w:kern w:val="0"/>
      <w:sz w:val="16"/>
      <w:szCs w:val="16"/>
      <w:lang w:eastAsia="en-US"/>
    </w:rPr>
  </w:style>
  <w:style w:type="table" w:styleId="TableGrid">
    <w:name w:val="Table Grid"/>
    <w:basedOn w:val="TableNormal"/>
    <w:uiPriority w:val="39"/>
    <w:rsid w:val="009D78B1"/>
    <w:rPr>
      <w:rFonts w:asciiTheme="minorHAnsi" w:eastAsiaTheme="minorHAnsi" w:hAnsiTheme="minorHAnsi" w:cstheme="minorBidi"/>
      <w:kern w:val="2"/>
      <w:sz w:val="24"/>
      <w:szCs w:val="24"/>
      <w:lang w:val="en-P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7037">
      <w:bodyDiv w:val="1"/>
      <w:marLeft w:val="0"/>
      <w:marRight w:val="0"/>
      <w:marTop w:val="0"/>
      <w:marBottom w:val="0"/>
      <w:divBdr>
        <w:top w:val="none" w:sz="0" w:space="0" w:color="auto"/>
        <w:left w:val="none" w:sz="0" w:space="0" w:color="auto"/>
        <w:bottom w:val="none" w:sz="0" w:space="0" w:color="auto"/>
        <w:right w:val="none" w:sz="0" w:space="0" w:color="auto"/>
      </w:divBdr>
    </w:div>
    <w:div w:id="78452932">
      <w:bodyDiv w:val="1"/>
      <w:marLeft w:val="0"/>
      <w:marRight w:val="0"/>
      <w:marTop w:val="0"/>
      <w:marBottom w:val="0"/>
      <w:divBdr>
        <w:top w:val="none" w:sz="0" w:space="0" w:color="auto"/>
        <w:left w:val="none" w:sz="0" w:space="0" w:color="auto"/>
        <w:bottom w:val="none" w:sz="0" w:space="0" w:color="auto"/>
        <w:right w:val="none" w:sz="0" w:space="0" w:color="auto"/>
      </w:divBdr>
      <w:divsChild>
        <w:div w:id="1126657649">
          <w:marLeft w:val="0"/>
          <w:marRight w:val="0"/>
          <w:marTop w:val="0"/>
          <w:marBottom w:val="0"/>
          <w:divBdr>
            <w:top w:val="none" w:sz="0" w:space="0" w:color="auto"/>
            <w:left w:val="none" w:sz="0" w:space="0" w:color="auto"/>
            <w:bottom w:val="none" w:sz="0" w:space="0" w:color="auto"/>
            <w:right w:val="none" w:sz="0" w:space="0" w:color="auto"/>
          </w:divBdr>
        </w:div>
      </w:divsChild>
    </w:div>
    <w:div w:id="168447444">
      <w:bodyDiv w:val="1"/>
      <w:marLeft w:val="0"/>
      <w:marRight w:val="0"/>
      <w:marTop w:val="0"/>
      <w:marBottom w:val="0"/>
      <w:divBdr>
        <w:top w:val="none" w:sz="0" w:space="0" w:color="auto"/>
        <w:left w:val="none" w:sz="0" w:space="0" w:color="auto"/>
        <w:bottom w:val="none" w:sz="0" w:space="0" w:color="auto"/>
        <w:right w:val="none" w:sz="0" w:space="0" w:color="auto"/>
      </w:divBdr>
      <w:divsChild>
        <w:div w:id="1395667288">
          <w:marLeft w:val="0"/>
          <w:marRight w:val="0"/>
          <w:marTop w:val="0"/>
          <w:marBottom w:val="0"/>
          <w:divBdr>
            <w:top w:val="single" w:sz="6" w:space="0" w:color="5B616B"/>
            <w:left w:val="single" w:sz="6" w:space="0" w:color="5B616B"/>
            <w:bottom w:val="single" w:sz="6" w:space="0" w:color="5B616B"/>
            <w:right w:val="single" w:sz="6" w:space="0" w:color="5B616B"/>
          </w:divBdr>
        </w:div>
        <w:div w:id="516971230">
          <w:marLeft w:val="0"/>
          <w:marRight w:val="0"/>
          <w:marTop w:val="0"/>
          <w:marBottom w:val="0"/>
          <w:divBdr>
            <w:top w:val="none" w:sz="0" w:space="0" w:color="auto"/>
            <w:left w:val="none" w:sz="0" w:space="0" w:color="auto"/>
            <w:bottom w:val="none" w:sz="0" w:space="0" w:color="auto"/>
            <w:right w:val="none" w:sz="0" w:space="0" w:color="auto"/>
          </w:divBdr>
          <w:divsChild>
            <w:div w:id="3544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9971">
      <w:bodyDiv w:val="1"/>
      <w:marLeft w:val="0"/>
      <w:marRight w:val="0"/>
      <w:marTop w:val="0"/>
      <w:marBottom w:val="0"/>
      <w:divBdr>
        <w:top w:val="none" w:sz="0" w:space="0" w:color="auto"/>
        <w:left w:val="none" w:sz="0" w:space="0" w:color="auto"/>
        <w:bottom w:val="none" w:sz="0" w:space="0" w:color="auto"/>
        <w:right w:val="none" w:sz="0" w:space="0" w:color="auto"/>
      </w:divBdr>
    </w:div>
    <w:div w:id="313218799">
      <w:bodyDiv w:val="1"/>
      <w:marLeft w:val="0"/>
      <w:marRight w:val="0"/>
      <w:marTop w:val="0"/>
      <w:marBottom w:val="0"/>
      <w:divBdr>
        <w:top w:val="none" w:sz="0" w:space="0" w:color="auto"/>
        <w:left w:val="none" w:sz="0" w:space="0" w:color="auto"/>
        <w:bottom w:val="none" w:sz="0" w:space="0" w:color="auto"/>
        <w:right w:val="none" w:sz="0" w:space="0" w:color="auto"/>
      </w:divBdr>
      <w:divsChild>
        <w:div w:id="1261915072">
          <w:marLeft w:val="0"/>
          <w:marRight w:val="0"/>
          <w:marTop w:val="0"/>
          <w:marBottom w:val="0"/>
          <w:divBdr>
            <w:top w:val="none" w:sz="0" w:space="0" w:color="auto"/>
            <w:left w:val="none" w:sz="0" w:space="0" w:color="auto"/>
            <w:bottom w:val="none" w:sz="0" w:space="0" w:color="auto"/>
            <w:right w:val="none" w:sz="0" w:space="0" w:color="auto"/>
          </w:divBdr>
          <w:divsChild>
            <w:div w:id="557395853">
              <w:marLeft w:val="0"/>
              <w:marRight w:val="0"/>
              <w:marTop w:val="0"/>
              <w:marBottom w:val="0"/>
              <w:divBdr>
                <w:top w:val="none" w:sz="0" w:space="0" w:color="auto"/>
                <w:left w:val="none" w:sz="0" w:space="0" w:color="auto"/>
                <w:bottom w:val="none" w:sz="0" w:space="0" w:color="auto"/>
                <w:right w:val="none" w:sz="0" w:space="0" w:color="auto"/>
              </w:divBdr>
              <w:divsChild>
                <w:div w:id="467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3953">
      <w:bodyDiv w:val="1"/>
      <w:marLeft w:val="0"/>
      <w:marRight w:val="0"/>
      <w:marTop w:val="0"/>
      <w:marBottom w:val="0"/>
      <w:divBdr>
        <w:top w:val="none" w:sz="0" w:space="0" w:color="auto"/>
        <w:left w:val="none" w:sz="0" w:space="0" w:color="auto"/>
        <w:bottom w:val="none" w:sz="0" w:space="0" w:color="auto"/>
        <w:right w:val="none" w:sz="0" w:space="0" w:color="auto"/>
      </w:divBdr>
    </w:div>
    <w:div w:id="531042072">
      <w:bodyDiv w:val="1"/>
      <w:marLeft w:val="0"/>
      <w:marRight w:val="0"/>
      <w:marTop w:val="0"/>
      <w:marBottom w:val="0"/>
      <w:divBdr>
        <w:top w:val="none" w:sz="0" w:space="0" w:color="auto"/>
        <w:left w:val="none" w:sz="0" w:space="0" w:color="auto"/>
        <w:bottom w:val="none" w:sz="0" w:space="0" w:color="auto"/>
        <w:right w:val="none" w:sz="0" w:space="0" w:color="auto"/>
      </w:divBdr>
    </w:div>
    <w:div w:id="910627616">
      <w:bodyDiv w:val="1"/>
      <w:marLeft w:val="0"/>
      <w:marRight w:val="0"/>
      <w:marTop w:val="0"/>
      <w:marBottom w:val="0"/>
      <w:divBdr>
        <w:top w:val="none" w:sz="0" w:space="0" w:color="auto"/>
        <w:left w:val="none" w:sz="0" w:space="0" w:color="auto"/>
        <w:bottom w:val="none" w:sz="0" w:space="0" w:color="auto"/>
        <w:right w:val="none" w:sz="0" w:space="0" w:color="auto"/>
      </w:divBdr>
      <w:divsChild>
        <w:div w:id="342629482">
          <w:marLeft w:val="0"/>
          <w:marRight w:val="0"/>
          <w:marTop w:val="0"/>
          <w:marBottom w:val="0"/>
          <w:divBdr>
            <w:top w:val="single" w:sz="6" w:space="0" w:color="5B616B"/>
            <w:left w:val="single" w:sz="6" w:space="0" w:color="5B616B"/>
            <w:bottom w:val="single" w:sz="6" w:space="0" w:color="5B616B"/>
            <w:right w:val="single" w:sz="6" w:space="0" w:color="5B616B"/>
          </w:divBdr>
        </w:div>
        <w:div w:id="1079837024">
          <w:marLeft w:val="0"/>
          <w:marRight w:val="0"/>
          <w:marTop w:val="0"/>
          <w:marBottom w:val="0"/>
          <w:divBdr>
            <w:top w:val="none" w:sz="0" w:space="0" w:color="auto"/>
            <w:left w:val="none" w:sz="0" w:space="0" w:color="auto"/>
            <w:bottom w:val="none" w:sz="0" w:space="0" w:color="auto"/>
            <w:right w:val="none" w:sz="0" w:space="0" w:color="auto"/>
          </w:divBdr>
          <w:divsChild>
            <w:div w:id="4484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7620">
      <w:bodyDiv w:val="1"/>
      <w:marLeft w:val="0"/>
      <w:marRight w:val="0"/>
      <w:marTop w:val="0"/>
      <w:marBottom w:val="0"/>
      <w:divBdr>
        <w:top w:val="none" w:sz="0" w:space="0" w:color="auto"/>
        <w:left w:val="none" w:sz="0" w:space="0" w:color="auto"/>
        <w:bottom w:val="none" w:sz="0" w:space="0" w:color="auto"/>
        <w:right w:val="none" w:sz="0" w:space="0" w:color="auto"/>
      </w:divBdr>
    </w:div>
    <w:div w:id="948243521">
      <w:bodyDiv w:val="1"/>
      <w:marLeft w:val="0"/>
      <w:marRight w:val="0"/>
      <w:marTop w:val="0"/>
      <w:marBottom w:val="0"/>
      <w:divBdr>
        <w:top w:val="none" w:sz="0" w:space="0" w:color="auto"/>
        <w:left w:val="none" w:sz="0" w:space="0" w:color="auto"/>
        <w:bottom w:val="none" w:sz="0" w:space="0" w:color="auto"/>
        <w:right w:val="none" w:sz="0" w:space="0" w:color="auto"/>
      </w:divBdr>
    </w:div>
    <w:div w:id="1282761330">
      <w:bodyDiv w:val="1"/>
      <w:marLeft w:val="0"/>
      <w:marRight w:val="0"/>
      <w:marTop w:val="0"/>
      <w:marBottom w:val="0"/>
      <w:divBdr>
        <w:top w:val="none" w:sz="0" w:space="0" w:color="auto"/>
        <w:left w:val="none" w:sz="0" w:space="0" w:color="auto"/>
        <w:bottom w:val="none" w:sz="0" w:space="0" w:color="auto"/>
        <w:right w:val="none" w:sz="0" w:space="0" w:color="auto"/>
      </w:divBdr>
      <w:divsChild>
        <w:div w:id="306056825">
          <w:marLeft w:val="0"/>
          <w:marRight w:val="0"/>
          <w:marTop w:val="0"/>
          <w:marBottom w:val="0"/>
          <w:divBdr>
            <w:top w:val="none" w:sz="0" w:space="0" w:color="auto"/>
            <w:left w:val="none" w:sz="0" w:space="0" w:color="auto"/>
            <w:bottom w:val="none" w:sz="0" w:space="0" w:color="auto"/>
            <w:right w:val="none" w:sz="0" w:space="0" w:color="auto"/>
          </w:divBdr>
          <w:divsChild>
            <w:div w:id="2053309821">
              <w:marLeft w:val="0"/>
              <w:marRight w:val="0"/>
              <w:marTop w:val="0"/>
              <w:marBottom w:val="0"/>
              <w:divBdr>
                <w:top w:val="none" w:sz="0" w:space="0" w:color="auto"/>
                <w:left w:val="none" w:sz="0" w:space="0" w:color="auto"/>
                <w:bottom w:val="none" w:sz="0" w:space="0" w:color="auto"/>
                <w:right w:val="none" w:sz="0" w:space="0" w:color="auto"/>
              </w:divBdr>
              <w:divsChild>
                <w:div w:id="3318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99080">
      <w:bodyDiv w:val="1"/>
      <w:marLeft w:val="0"/>
      <w:marRight w:val="0"/>
      <w:marTop w:val="0"/>
      <w:marBottom w:val="0"/>
      <w:divBdr>
        <w:top w:val="none" w:sz="0" w:space="0" w:color="auto"/>
        <w:left w:val="none" w:sz="0" w:space="0" w:color="auto"/>
        <w:bottom w:val="none" w:sz="0" w:space="0" w:color="auto"/>
        <w:right w:val="none" w:sz="0" w:space="0" w:color="auto"/>
      </w:divBdr>
      <w:divsChild>
        <w:div w:id="2037853513">
          <w:marLeft w:val="0"/>
          <w:marRight w:val="0"/>
          <w:marTop w:val="0"/>
          <w:marBottom w:val="0"/>
          <w:divBdr>
            <w:top w:val="none" w:sz="0" w:space="0" w:color="auto"/>
            <w:left w:val="none" w:sz="0" w:space="0" w:color="auto"/>
            <w:bottom w:val="none" w:sz="0" w:space="0" w:color="auto"/>
            <w:right w:val="none" w:sz="0" w:space="0" w:color="auto"/>
          </w:divBdr>
        </w:div>
      </w:divsChild>
    </w:div>
    <w:div w:id="1445423123">
      <w:bodyDiv w:val="1"/>
      <w:marLeft w:val="0"/>
      <w:marRight w:val="0"/>
      <w:marTop w:val="0"/>
      <w:marBottom w:val="0"/>
      <w:divBdr>
        <w:top w:val="none" w:sz="0" w:space="0" w:color="auto"/>
        <w:left w:val="none" w:sz="0" w:space="0" w:color="auto"/>
        <w:bottom w:val="none" w:sz="0" w:space="0" w:color="auto"/>
        <w:right w:val="none" w:sz="0" w:space="0" w:color="auto"/>
      </w:divBdr>
      <w:divsChild>
        <w:div w:id="1077676348">
          <w:marLeft w:val="0"/>
          <w:marRight w:val="0"/>
          <w:marTop w:val="0"/>
          <w:marBottom w:val="0"/>
          <w:divBdr>
            <w:top w:val="none" w:sz="0" w:space="0" w:color="auto"/>
            <w:left w:val="none" w:sz="0" w:space="0" w:color="auto"/>
            <w:bottom w:val="none" w:sz="0" w:space="0" w:color="auto"/>
            <w:right w:val="none" w:sz="0" w:space="0" w:color="auto"/>
          </w:divBdr>
        </w:div>
      </w:divsChild>
    </w:div>
    <w:div w:id="1748764601">
      <w:bodyDiv w:val="1"/>
      <w:marLeft w:val="0"/>
      <w:marRight w:val="0"/>
      <w:marTop w:val="0"/>
      <w:marBottom w:val="0"/>
      <w:divBdr>
        <w:top w:val="none" w:sz="0" w:space="0" w:color="auto"/>
        <w:left w:val="none" w:sz="0" w:space="0" w:color="auto"/>
        <w:bottom w:val="none" w:sz="0" w:space="0" w:color="auto"/>
        <w:right w:val="none" w:sz="0" w:space="0" w:color="auto"/>
      </w:divBdr>
      <w:divsChild>
        <w:div w:id="198470299">
          <w:marLeft w:val="0"/>
          <w:marRight w:val="0"/>
          <w:marTop w:val="0"/>
          <w:marBottom w:val="0"/>
          <w:divBdr>
            <w:top w:val="none" w:sz="0" w:space="0" w:color="auto"/>
            <w:left w:val="none" w:sz="0" w:space="0" w:color="auto"/>
            <w:bottom w:val="none" w:sz="0" w:space="0" w:color="auto"/>
            <w:right w:val="none" w:sz="0" w:space="0" w:color="auto"/>
          </w:divBdr>
        </w:div>
      </w:divsChild>
    </w:div>
    <w:div w:id="1954550934">
      <w:bodyDiv w:val="1"/>
      <w:marLeft w:val="0"/>
      <w:marRight w:val="0"/>
      <w:marTop w:val="0"/>
      <w:marBottom w:val="0"/>
      <w:divBdr>
        <w:top w:val="none" w:sz="0" w:space="0" w:color="auto"/>
        <w:left w:val="none" w:sz="0" w:space="0" w:color="auto"/>
        <w:bottom w:val="none" w:sz="0" w:space="0" w:color="auto"/>
        <w:right w:val="none" w:sz="0" w:space="0" w:color="auto"/>
      </w:divBdr>
    </w:div>
    <w:div w:id="204197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包天晨</dc:creator>
  <cp:lastModifiedBy>Dave Ruiz</cp:lastModifiedBy>
  <cp:revision>7</cp:revision>
  <dcterms:created xsi:type="dcterms:W3CDTF">2026-06-07T12:57:00Z</dcterms:created>
  <dcterms:modified xsi:type="dcterms:W3CDTF">2026-06-24T05:45:00Z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e02101a0-2030-4d84-ba4a-9c3bbef4e9be</vt:lpwstr>
  </property>
</Properties>
</file>