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25AB" w14:textId="5946E014" w:rsidR="00C5462F" w:rsidRPr="00F50AF3" w:rsidRDefault="00582D0A" w:rsidP="00F50AF3">
      <w:pPr>
        <w:pStyle w:val="BodyText"/>
        <w:spacing w:line="240" w:lineRule="auto"/>
        <w:rPr>
          <w:rFonts w:ascii="Times New Roman" w:hAnsi="Times New Roman" w:cs="Times New Roman"/>
          <w:sz w:val="36"/>
          <w:szCs w:val="36"/>
        </w:rPr>
      </w:pPr>
      <w:r>
        <w:rPr>
          <w:rFonts w:ascii="Times New Roman" w:hAnsi="Times New Roman" w:cs="Times New Roman"/>
          <w:sz w:val="36"/>
          <w:szCs w:val="36"/>
        </w:rPr>
        <w:t>EXPLORING THE DIMENSIONS OF PERCEPTIONS ON “AYUDA” PROGRAMS OF THE GOVERNMENT</w:t>
      </w:r>
    </w:p>
    <w:p w14:paraId="7B1114B1" w14:textId="36DDD4B9" w:rsidR="00D15C23" w:rsidRPr="00F50AF3" w:rsidRDefault="00582D0A" w:rsidP="00F50AF3">
      <w:pPr>
        <w:pStyle w:val="NoSpacing"/>
        <w:jc w:val="center"/>
        <w:rPr>
          <w:rFonts w:ascii="Times New Roman" w:hAnsi="Times New Roman" w:cs="Times New Roman"/>
          <w:sz w:val="24"/>
          <w:szCs w:val="24"/>
        </w:rPr>
      </w:pPr>
      <w:r>
        <w:rPr>
          <w:rFonts w:ascii="Times New Roman" w:hAnsi="Times New Roman" w:cs="Times New Roman"/>
          <w:sz w:val="24"/>
          <w:szCs w:val="24"/>
        </w:rPr>
        <w:t/>
      </w:r>
      <w:r w:rsidR="00D15C23" w:rsidRPr="00F50AF3">
        <w:rPr>
          <w:rFonts w:ascii="Times New Roman" w:hAnsi="Times New Roman" w:cs="Times New Roman"/>
          <w:sz w:val="24"/>
          <w:szCs w:val="24"/>
        </w:rPr>
        <w:t xml:space="preserve"/>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sidR="00D15C23" w:rsidRPr="00F50AF3">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sidR="00D15C23" w:rsidRPr="00F50AF3">
        <w:rPr>
          <w:rFonts w:ascii="Times New Roman" w:hAnsi="Times New Roman" w:cs="Times New Roman"/>
          <w:sz w:val="24"/>
          <w:szCs w:val="24"/>
        </w:rPr>
        <w:t xml:space="preserve"/>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p>
    <w:p w14:paraId="5953C901" w14:textId="77777777" w:rsidR="00D15C23" w:rsidRPr="00F50AF3" w:rsidRDefault="00D15C23" w:rsidP="00F50AF3">
      <w:pPr>
        <w:pStyle w:val="NoSpacing"/>
        <w:jc w:val="center"/>
        <w:rPr>
          <w:rFonts w:ascii="Times New Roman" w:eastAsia="Arial Narrow" w:hAnsi="Times New Roman" w:cs="Times New Roman"/>
          <w:sz w:val="24"/>
          <w:szCs w:val="24"/>
        </w:rPr>
      </w:pPr>
      <w:r w:rsidRPr="00F50AF3">
        <w:rPr>
          <w:rFonts w:ascii="Times New Roman" w:eastAsia="Arial Narrow" w:hAnsi="Times New Roman" w:cs="Times New Roman"/>
          <w:sz w:val="24"/>
          <w:szCs w:val="24"/>
        </w:rPr>
        <w:t xml:space="preserve"/>
      </w:r>
      <w:proofErr w:type="spellStart"/>
      <w:r w:rsidRPr="00F50AF3">
        <w:rPr>
          <w:rFonts w:ascii="Times New Roman" w:eastAsia="Arial Narrow" w:hAnsi="Times New Roman" w:cs="Times New Roman"/>
          <w:sz w:val="24"/>
          <w:szCs w:val="24"/>
        </w:rPr>
        <w:t/>
      </w:r>
      <w:proofErr w:type="spellEnd"/>
      <w:r w:rsidRPr="00F50AF3">
        <w:rPr>
          <w:rFonts w:ascii="Times New Roman" w:eastAsia="Arial Narrow" w:hAnsi="Times New Roman" w:cs="Times New Roman"/>
          <w:sz w:val="24"/>
          <w:szCs w:val="24"/>
        </w:rPr>
        <w:t xml:space="preserve"/>
      </w:r>
    </w:p>
    <w:p w14:paraId="7E530B31" w14:textId="60512896" w:rsidR="00D15C23" w:rsidRPr="00F50AF3" w:rsidRDefault="00D15C23" w:rsidP="00F50AF3">
      <w:pPr>
        <w:pStyle w:val="NoSpacing"/>
        <w:jc w:val="center"/>
        <w:rPr>
          <w:rFonts w:ascii="Times New Roman" w:hAnsi="Times New Roman" w:cs="Times New Roman"/>
          <w:sz w:val="24"/>
          <w:szCs w:val="24"/>
        </w:rPr>
      </w:pPr>
      <w:r w:rsidRPr="00F50AF3">
        <w:rPr>
          <w:rFonts w:ascii="Times New Roman" w:eastAsia="Arial Narrow" w:hAnsi="Times New Roman" w:cs="Times New Roman"/>
          <w:sz w:val="24"/>
          <w:szCs w:val="24"/>
        </w:rPr>
        <w:t xml:space="preserve"/>
      </w:r>
      <w:r w:rsidR="00582D0A" w:rsidRPr="00582D0A">
        <w:rPr>
          <w:rFonts w:ascii="Times New Roman" w:hAnsi="Times New Roman" w:cs="Times New Roman"/>
          <w:sz w:val="24"/>
          <w:szCs w:val="24"/>
        </w:rPr>
        <w:t/>
      </w:r>
      <w:r w:rsidR="00582D0A">
        <w:rPr>
          <w:rFonts w:ascii="Times New Roman" w:hAnsi="Times New Roman" w:cs="Times New Roman"/>
          <w:sz w:val="24"/>
          <w:szCs w:val="24"/>
        </w:rPr>
        <w:t/>
      </w:r>
    </w:p>
    <w:p w14:paraId="52E16337" w14:textId="77777777" w:rsidR="00D15C23" w:rsidRPr="00F50AF3" w:rsidRDefault="00D15C23" w:rsidP="00F50AF3">
      <w:pPr>
        <w:spacing w:line="240" w:lineRule="auto"/>
        <w:jc w:val="center"/>
        <w:rPr>
          <w:rFonts w:ascii="Times New Roman" w:eastAsia="Arial Narrow" w:hAnsi="Times New Roman" w:cs="Times New Roman"/>
          <w:sz w:val="24"/>
          <w:szCs w:val="24"/>
        </w:rPr>
      </w:pPr>
    </w:p>
    <w:p w14:paraId="2BA81E1B" w14:textId="77777777" w:rsidR="00D15C23" w:rsidRPr="00F50AF3" w:rsidRDefault="00D15C23" w:rsidP="00F50AF3">
      <w:pPr>
        <w:pStyle w:val="Heading5"/>
      </w:pPr>
      <w:r w:rsidRPr="00F50AF3">
        <w:t>ABSTRACT</w:t>
      </w:r>
    </w:p>
    <w:p w14:paraId="357C77B2" w14:textId="77777777" w:rsidR="00582D0A" w:rsidRPr="00582D0A" w:rsidRDefault="00582D0A" w:rsidP="00427858">
      <w:pPr>
        <w:spacing w:line="240" w:lineRule="auto"/>
        <w:jc w:val="both"/>
        <w:rPr>
          <w:rFonts w:ascii="Times New Roman" w:eastAsia="Arial Narrow" w:hAnsi="Times New Roman" w:cs="Times New Roman"/>
          <w:sz w:val="24"/>
          <w:szCs w:val="24"/>
        </w:rPr>
      </w:pPr>
      <w:r w:rsidRPr="00582D0A">
        <w:rPr>
          <w:rFonts w:ascii="Times New Roman" w:eastAsia="Arial Narrow" w:hAnsi="Times New Roman" w:cs="Times New Roman"/>
          <w:i/>
          <w:iCs/>
          <w:sz w:val="24"/>
          <w:szCs w:val="24"/>
        </w:rPr>
        <w:t>“Ayuda,”</w:t>
      </w:r>
      <w:r w:rsidRPr="00582D0A">
        <w:rPr>
          <w:rFonts w:ascii="Times New Roman" w:eastAsia="Arial Narrow" w:hAnsi="Times New Roman" w:cs="Times New Roman"/>
          <w:sz w:val="24"/>
          <w:szCs w:val="24"/>
        </w:rPr>
        <w:t xml:space="preserve"> a Filipino term meaning “help” or “assistance,” refers to the Philippine government’s various financial aid programs. While widely implemented in the Davao Region, limited studies have examined how beneficiaries themselves perceive these programs at the local level. This study explores the public’s perception of government “</w:t>
      </w:r>
      <w:proofErr w:type="spellStart"/>
      <w:r w:rsidRPr="00582D0A">
        <w:rPr>
          <w:rFonts w:ascii="Times New Roman" w:eastAsia="Arial Narrow" w:hAnsi="Times New Roman" w:cs="Times New Roman"/>
          <w:sz w:val="24"/>
          <w:szCs w:val="24"/>
        </w:rPr>
        <w:t>ayuda</w:t>
      </w:r>
      <w:proofErr w:type="spellEnd"/>
      <w:r w:rsidRPr="00582D0A">
        <w:rPr>
          <w:rFonts w:ascii="Times New Roman" w:eastAsia="Arial Narrow" w:hAnsi="Times New Roman" w:cs="Times New Roman"/>
          <w:sz w:val="24"/>
          <w:szCs w:val="24"/>
        </w:rPr>
        <w:t>” programs in Davao del Norte through an exploratory sequential mixed-methods approach, integrating qualitative interviews and quantitative surveys. A total of 18 participants were involved in the qualitative phase, while 240 respondents participated in the quantitative phase. The initial phase gathered responses through in-depth interviews, which were analyzed to extract 40 significant statements capturing how beneficiaries perceive the “</w:t>
      </w:r>
      <w:proofErr w:type="spellStart"/>
      <w:r w:rsidRPr="00582D0A">
        <w:rPr>
          <w:rFonts w:ascii="Times New Roman" w:eastAsia="Arial Narrow" w:hAnsi="Times New Roman" w:cs="Times New Roman"/>
          <w:sz w:val="24"/>
          <w:szCs w:val="24"/>
        </w:rPr>
        <w:t>ayuda</w:t>
      </w:r>
      <w:proofErr w:type="spellEnd"/>
      <w:r w:rsidRPr="00582D0A">
        <w:rPr>
          <w:rFonts w:ascii="Times New Roman" w:eastAsia="Arial Narrow" w:hAnsi="Times New Roman" w:cs="Times New Roman"/>
          <w:sz w:val="24"/>
          <w:szCs w:val="24"/>
        </w:rPr>
        <w:t>” distribution. These statements informed a structured survey, analyzed through exploratory factor analysis. The statistical results identified six key dimensions that shape public perception: survival-based utilization, political instrumentalization, equity and access discontent, contingent dependency framing, governance legitimacy affirmation, and assistance adequacy critique. These findings reveal the complex and multi-dimensional nature of how beneficiaries assess “</w:t>
      </w:r>
      <w:proofErr w:type="spellStart"/>
      <w:r w:rsidRPr="00582D0A">
        <w:rPr>
          <w:rFonts w:ascii="Times New Roman" w:eastAsia="Arial Narrow" w:hAnsi="Times New Roman" w:cs="Times New Roman"/>
          <w:sz w:val="24"/>
          <w:szCs w:val="24"/>
        </w:rPr>
        <w:t>ayuda</w:t>
      </w:r>
      <w:proofErr w:type="spellEnd"/>
      <w:r w:rsidRPr="00582D0A">
        <w:rPr>
          <w:rFonts w:ascii="Times New Roman" w:eastAsia="Arial Narrow" w:hAnsi="Times New Roman" w:cs="Times New Roman"/>
          <w:sz w:val="24"/>
          <w:szCs w:val="24"/>
        </w:rPr>
        <w:t xml:space="preserve">” programs. There is a clear gap between what </w:t>
      </w:r>
      <w:r w:rsidRPr="00582D0A">
        <w:rPr>
          <w:rFonts w:ascii="Times New Roman" w:eastAsia="Arial Narrow" w:hAnsi="Times New Roman" w:cs="Times New Roman"/>
          <w:i/>
          <w:iCs/>
          <w:sz w:val="24"/>
          <w:szCs w:val="24"/>
        </w:rPr>
        <w:t>“</w:t>
      </w:r>
      <w:proofErr w:type="spellStart"/>
      <w:r w:rsidRPr="00582D0A">
        <w:rPr>
          <w:rFonts w:ascii="Times New Roman" w:eastAsia="Arial Narrow" w:hAnsi="Times New Roman" w:cs="Times New Roman"/>
          <w:i/>
          <w:iCs/>
          <w:sz w:val="24"/>
          <w:szCs w:val="24"/>
        </w:rPr>
        <w:t>ayuda</w:t>
      </w:r>
      <w:proofErr w:type="spellEnd"/>
      <w:r w:rsidRPr="00582D0A">
        <w:rPr>
          <w:rFonts w:ascii="Times New Roman" w:eastAsia="Arial Narrow" w:hAnsi="Times New Roman" w:cs="Times New Roman"/>
          <w:i/>
          <w:iCs/>
          <w:sz w:val="24"/>
          <w:szCs w:val="24"/>
        </w:rPr>
        <w:t>”</w:t>
      </w:r>
      <w:r w:rsidRPr="00582D0A">
        <w:rPr>
          <w:rFonts w:ascii="Times New Roman" w:eastAsia="Arial Narrow" w:hAnsi="Times New Roman" w:cs="Times New Roman"/>
          <w:sz w:val="24"/>
          <w:szCs w:val="24"/>
        </w:rPr>
        <w:t xml:space="preserve"> programs are designed to do and how the public perceives and relies on them. Public perceptions continue to evolve, influenced not only by economic pressures but also by how these programs are implemented on the ground. Such findings highlight the need for policy reforms that address both structural limitations and the experiences of beneficiaries.</w:t>
      </w:r>
    </w:p>
    <w:p w14:paraId="38839B74" w14:textId="727B049D" w:rsidR="00D15C23" w:rsidRPr="00F50AF3" w:rsidRDefault="00D15C23" w:rsidP="00F50AF3">
      <w:pPr>
        <w:spacing w:line="240" w:lineRule="auto"/>
        <w:jc w:val="both"/>
        <w:rPr>
          <w:rFonts w:ascii="Times New Roman" w:eastAsia="Arial Narrow" w:hAnsi="Times New Roman" w:cs="Times New Roman"/>
          <w:i/>
          <w:sz w:val="24"/>
          <w:szCs w:val="24"/>
        </w:rPr>
      </w:pPr>
      <w:r w:rsidRPr="00F50AF3">
        <w:rPr>
          <w:rFonts w:ascii="Times New Roman" w:eastAsia="Arial Narrow" w:hAnsi="Times New Roman" w:cs="Times New Roman"/>
          <w:b/>
          <w:sz w:val="24"/>
          <w:szCs w:val="24"/>
        </w:rPr>
        <w:t>Keywords:</w:t>
      </w:r>
      <w:r w:rsidRPr="00F50AF3">
        <w:rPr>
          <w:rFonts w:ascii="Times New Roman" w:eastAsia="Arial Narrow" w:hAnsi="Times New Roman" w:cs="Times New Roman"/>
          <w:sz w:val="24"/>
          <w:szCs w:val="24"/>
        </w:rPr>
        <w:t xml:space="preserve"> </w:t>
      </w:r>
      <w:r w:rsidR="00582D0A">
        <w:rPr>
          <w:rFonts w:ascii="Times New Roman" w:eastAsia="Arial Narrow" w:hAnsi="Times New Roman" w:cs="Times New Roman"/>
          <w:i/>
          <w:sz w:val="24"/>
          <w:szCs w:val="24"/>
        </w:rPr>
        <w:t>“Ayuda” Program</w:t>
      </w:r>
      <w:r w:rsidRPr="00F50AF3">
        <w:rPr>
          <w:rFonts w:ascii="Times New Roman" w:eastAsia="Arial Narrow" w:hAnsi="Times New Roman" w:cs="Times New Roman"/>
          <w:i/>
          <w:sz w:val="24"/>
          <w:szCs w:val="24"/>
        </w:rPr>
        <w:t>,</w:t>
      </w:r>
      <w:r w:rsidR="00582D0A">
        <w:rPr>
          <w:rFonts w:ascii="Times New Roman" w:eastAsia="Arial Narrow" w:hAnsi="Times New Roman" w:cs="Times New Roman"/>
          <w:i/>
          <w:sz w:val="24"/>
          <w:szCs w:val="24"/>
        </w:rPr>
        <w:t xml:space="preserve"> Financial Aid Program, Exploratory Sequential Mixed-Methods,</w:t>
      </w:r>
      <w:r w:rsidRPr="00F50AF3">
        <w:rPr>
          <w:rFonts w:ascii="Times New Roman" w:eastAsia="Arial Narrow" w:hAnsi="Times New Roman" w:cs="Times New Roman"/>
          <w:i/>
          <w:sz w:val="24"/>
          <w:szCs w:val="24"/>
        </w:rPr>
        <w:t xml:space="preserve"> Davao del Norte, Philippines </w:t>
      </w:r>
    </w:p>
    <w:p w14:paraId="2BEF7F24" w14:textId="77777777" w:rsidR="00D15C23" w:rsidRPr="00F50AF3" w:rsidRDefault="00D15C23" w:rsidP="00F50AF3">
      <w:pPr>
        <w:pStyle w:val="Heading1"/>
        <w:spacing w:line="240" w:lineRule="auto"/>
        <w:rPr>
          <w:rFonts w:ascii="Times New Roman" w:hAnsi="Times New Roman" w:cs="Times New Roman"/>
          <w:sz w:val="28"/>
          <w:szCs w:val="28"/>
        </w:rPr>
      </w:pPr>
      <w:r w:rsidRPr="00F50AF3">
        <w:rPr>
          <w:rFonts w:ascii="Times New Roman" w:hAnsi="Times New Roman" w:cs="Times New Roman"/>
          <w:sz w:val="28"/>
          <w:szCs w:val="28"/>
        </w:rPr>
        <w:t>INTRODUCTION</w:t>
      </w:r>
    </w:p>
    <w:p w14:paraId="3839DAB7" w14:textId="77777777" w:rsidR="00582D0A" w:rsidRPr="00582D0A" w:rsidRDefault="00582D0A" w:rsidP="00582D0A">
      <w:pPr>
        <w:spacing w:line="240" w:lineRule="auto"/>
        <w:ind w:firstLine="720"/>
        <w:jc w:val="both"/>
        <w:rPr>
          <w:rFonts w:ascii="Times New Roman" w:eastAsia="Arial Narrow" w:hAnsi="Times New Roman" w:cs="Times New Roman"/>
          <w:bCs/>
          <w:sz w:val="24"/>
          <w:szCs w:val="24"/>
        </w:rPr>
      </w:pPr>
      <w:r w:rsidRPr="00582D0A">
        <w:rPr>
          <w:rFonts w:ascii="Times New Roman" w:eastAsia="Arial Narrow" w:hAnsi="Times New Roman" w:cs="Times New Roman"/>
          <w:bCs/>
          <w:sz w:val="24"/>
          <w:szCs w:val="24"/>
        </w:rPr>
        <w:t>Over time, the distribution of financial aid programs, commonly referred to as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 has become a recurring component of the Philippine government’s response to crises. Whether in the aftermath of natural disasters, economic downturns, or public health emergencies, the provision of cash assistance or relief goods has consistently been positioned as an immediate and central measure to address the needs of affected populations. The term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 xml:space="preserve">” is derived from the Spanish verb </w:t>
      </w:r>
      <w:proofErr w:type="spellStart"/>
      <w:r w:rsidRPr="00582D0A">
        <w:rPr>
          <w:rFonts w:ascii="Times New Roman" w:eastAsia="Arial Narrow" w:hAnsi="Times New Roman" w:cs="Times New Roman"/>
          <w:bCs/>
          <w:sz w:val="24"/>
          <w:szCs w:val="24"/>
        </w:rPr>
        <w:t>ayudar</w:t>
      </w:r>
      <w:proofErr w:type="spellEnd"/>
      <w:r w:rsidRPr="00582D0A">
        <w:rPr>
          <w:rFonts w:ascii="Times New Roman" w:eastAsia="Arial Narrow" w:hAnsi="Times New Roman" w:cs="Times New Roman"/>
          <w:bCs/>
          <w:sz w:val="24"/>
          <w:szCs w:val="24"/>
        </w:rPr>
        <w:t>, meaning “to help” or “to assist,” and is widely used in the Philippines to refer to government-administered financial assistance programs (Punongbayan &amp; Suzara, 2025). Given its central role in the country’s crisis management efforts, understanding how these programs are perceived by beneficiaries, rather than focusing on administrators, is essential to ensuring that financial aid achieves its intended social outcomes.</w:t>
      </w:r>
    </w:p>
    <w:p w14:paraId="1E88771F" w14:textId="77777777" w:rsidR="00582D0A" w:rsidRPr="00582D0A" w:rsidRDefault="00582D0A" w:rsidP="00582D0A">
      <w:pPr>
        <w:spacing w:line="240" w:lineRule="auto"/>
        <w:ind w:firstLine="720"/>
        <w:jc w:val="both"/>
        <w:rPr>
          <w:rFonts w:ascii="Times New Roman" w:eastAsia="Arial Narrow" w:hAnsi="Times New Roman" w:cs="Times New Roman"/>
          <w:bCs/>
          <w:sz w:val="24"/>
          <w:szCs w:val="24"/>
        </w:rPr>
      </w:pPr>
      <w:r w:rsidRPr="00582D0A">
        <w:rPr>
          <w:rFonts w:ascii="Times New Roman" w:eastAsia="Arial Narrow" w:hAnsi="Times New Roman" w:cs="Times New Roman"/>
          <w:bCs/>
          <w:sz w:val="24"/>
          <w:szCs w:val="24"/>
        </w:rPr>
        <w:t xml:space="preserve">In broader international contexts, such as within the framework of the </w:t>
      </w:r>
      <w:proofErr w:type="spellStart"/>
      <w:r w:rsidRPr="00582D0A">
        <w:rPr>
          <w:rFonts w:ascii="Times New Roman" w:eastAsia="Arial Narrow" w:hAnsi="Times New Roman" w:cs="Times New Roman"/>
          <w:bCs/>
          <w:sz w:val="24"/>
          <w:szCs w:val="24"/>
        </w:rPr>
        <w:t>Organisation</w:t>
      </w:r>
      <w:proofErr w:type="spellEnd"/>
      <w:r w:rsidRPr="00582D0A">
        <w:rPr>
          <w:rFonts w:ascii="Times New Roman" w:eastAsia="Arial Narrow" w:hAnsi="Times New Roman" w:cs="Times New Roman"/>
          <w:bCs/>
          <w:sz w:val="24"/>
          <w:szCs w:val="24"/>
        </w:rPr>
        <w:t xml:space="preserve"> for Economic Co-operation and Development (OECD), social assistance—or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”—refers to financial aid, including direct transfers, subsidies, or other forms of support to individuals or communities, typically intended to reduce poverty, improve access to essential services, or respond to emergencies (</w:t>
      </w:r>
      <w:proofErr w:type="spellStart"/>
      <w:r w:rsidRPr="00582D0A">
        <w:rPr>
          <w:rFonts w:ascii="Times New Roman" w:eastAsia="Arial Narrow" w:hAnsi="Times New Roman" w:cs="Times New Roman"/>
          <w:bCs/>
          <w:sz w:val="24"/>
          <w:szCs w:val="24"/>
        </w:rPr>
        <w:t>Munyemana</w:t>
      </w:r>
      <w:proofErr w:type="spellEnd"/>
      <w:r w:rsidRPr="00582D0A">
        <w:rPr>
          <w:rFonts w:ascii="Times New Roman" w:eastAsia="Arial Narrow" w:hAnsi="Times New Roman" w:cs="Times New Roman"/>
          <w:bCs/>
          <w:sz w:val="24"/>
          <w:szCs w:val="24"/>
        </w:rPr>
        <w:t xml:space="preserve"> et al., 2024). Although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 is not a standardized term in global policy literature, its conceptual framework parallels recognized forms of social assistance aimed at addressing poverty-related challenges (Philippine Information Agency, 2024).</w:t>
      </w:r>
    </w:p>
    <w:p w14:paraId="744EB587" w14:textId="77777777" w:rsidR="00582D0A" w:rsidRPr="00582D0A" w:rsidRDefault="00582D0A" w:rsidP="00582D0A">
      <w:pPr>
        <w:spacing w:line="240" w:lineRule="auto"/>
        <w:ind w:firstLine="720"/>
        <w:jc w:val="both"/>
        <w:rPr>
          <w:rFonts w:ascii="Times New Roman" w:eastAsia="Arial Narrow" w:hAnsi="Times New Roman" w:cs="Times New Roman"/>
          <w:bCs/>
          <w:sz w:val="24"/>
          <w:szCs w:val="24"/>
        </w:rPr>
      </w:pPr>
      <w:r w:rsidRPr="00582D0A">
        <w:rPr>
          <w:rFonts w:ascii="Times New Roman" w:eastAsia="Arial Narrow" w:hAnsi="Times New Roman" w:cs="Times New Roman"/>
          <w:bCs/>
          <w:sz w:val="24"/>
          <w:szCs w:val="24"/>
        </w:rPr>
        <w:t>In the Philippines,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 xml:space="preserve">” gained prominence during the COVID-19 pandemic through large-scale initiatives like the Social Amelioration Program (Flores, 2022), later expanding to include programs such as the Assistance to Individuals in Crisis Situations (AICS) and Ayuda Para </w:t>
      </w:r>
      <w:proofErr w:type="spellStart"/>
      <w:r w:rsidRPr="00582D0A">
        <w:rPr>
          <w:rFonts w:ascii="Times New Roman" w:eastAsia="Arial Narrow" w:hAnsi="Times New Roman" w:cs="Times New Roman"/>
          <w:bCs/>
          <w:sz w:val="24"/>
          <w:szCs w:val="24"/>
        </w:rPr>
        <w:t>sa</w:t>
      </w:r>
      <w:proofErr w:type="spellEnd"/>
      <w:r w:rsidRPr="00582D0A">
        <w:rPr>
          <w:rFonts w:ascii="Times New Roman" w:eastAsia="Arial Narrow" w:hAnsi="Times New Roman" w:cs="Times New Roman"/>
          <w:bCs/>
          <w:sz w:val="24"/>
          <w:szCs w:val="24"/>
        </w:rPr>
        <w:t xml:space="preserve"> Kapos ang Kita Program (AKAP) (Department of Social Welfare and Development, 2025). AICS provides immediate crisis aid as a rights-based safety net, while the AKAP offers supplemental support to below-minimum wage earners. Over the years, </w:t>
      </w:r>
      <w:r w:rsidRPr="00582D0A">
        <w:rPr>
          <w:rFonts w:ascii="Times New Roman" w:eastAsia="Arial Narrow" w:hAnsi="Times New Roman" w:cs="Times New Roman"/>
          <w:bCs/>
          <w:sz w:val="24"/>
          <w:szCs w:val="24"/>
        </w:rPr>
        <w:lastRenderedPageBreak/>
        <w:t xml:space="preserve">several efforts have been made to streamline aid distribution through systems like </w:t>
      </w:r>
      <w:proofErr w:type="spellStart"/>
      <w:r w:rsidRPr="00582D0A">
        <w:rPr>
          <w:rFonts w:ascii="Times New Roman" w:eastAsia="Arial Narrow" w:hAnsi="Times New Roman" w:cs="Times New Roman"/>
          <w:bCs/>
          <w:sz w:val="24"/>
          <w:szCs w:val="24"/>
        </w:rPr>
        <w:t>PhilSys</w:t>
      </w:r>
      <w:proofErr w:type="spellEnd"/>
      <w:r w:rsidRPr="00582D0A">
        <w:rPr>
          <w:rFonts w:ascii="Times New Roman" w:eastAsia="Arial Narrow" w:hAnsi="Times New Roman" w:cs="Times New Roman"/>
          <w:bCs/>
          <w:sz w:val="24"/>
          <w:szCs w:val="24"/>
        </w:rPr>
        <w:t xml:space="preserve"> and </w:t>
      </w:r>
      <w:proofErr w:type="spellStart"/>
      <w:r w:rsidRPr="00582D0A">
        <w:rPr>
          <w:rFonts w:ascii="Times New Roman" w:eastAsia="Arial Narrow" w:hAnsi="Times New Roman" w:cs="Times New Roman"/>
          <w:bCs/>
          <w:sz w:val="24"/>
          <w:szCs w:val="24"/>
        </w:rPr>
        <w:t>Listahan</w:t>
      </w:r>
      <w:proofErr w:type="spellEnd"/>
      <w:r w:rsidRPr="00582D0A">
        <w:rPr>
          <w:rFonts w:ascii="Times New Roman" w:eastAsia="Arial Narrow" w:hAnsi="Times New Roman" w:cs="Times New Roman"/>
          <w:bCs/>
          <w:sz w:val="24"/>
          <w:szCs w:val="24"/>
        </w:rPr>
        <w:t xml:space="preserve"> (Cudis, 2021). However, existing studies emphasize both the promise and pitfalls of aid distribution. While digital systems have improved reach and monitoring, perceptions of inequality, favoritism, and political interference continue to persist. Such issues have been noted in regions such as Kalinga, Central Visayas, and Zamboanga (Lo-oy, 2025; </w:t>
      </w:r>
      <w:proofErr w:type="spellStart"/>
      <w:r w:rsidRPr="00582D0A">
        <w:rPr>
          <w:rFonts w:ascii="Times New Roman" w:eastAsia="Arial Narrow" w:hAnsi="Times New Roman" w:cs="Times New Roman"/>
          <w:bCs/>
          <w:sz w:val="24"/>
          <w:szCs w:val="24"/>
        </w:rPr>
        <w:t>SunStar</w:t>
      </w:r>
      <w:proofErr w:type="spellEnd"/>
      <w:r w:rsidRPr="00582D0A">
        <w:rPr>
          <w:rFonts w:ascii="Times New Roman" w:eastAsia="Arial Narrow" w:hAnsi="Times New Roman" w:cs="Times New Roman"/>
          <w:bCs/>
          <w:sz w:val="24"/>
          <w:szCs w:val="24"/>
        </w:rPr>
        <w:t xml:space="preserve"> Cebu, 2024; Braga &amp; Braga, 2024), prompting DSWD to reaffirm its commitment to fair, needs-based support (Department of Social Welfare and Development, 2024).</w:t>
      </w:r>
    </w:p>
    <w:p w14:paraId="0A96F102" w14:textId="77777777" w:rsidR="00582D0A" w:rsidRPr="00582D0A" w:rsidRDefault="00582D0A" w:rsidP="00582D0A">
      <w:pPr>
        <w:spacing w:line="240" w:lineRule="auto"/>
        <w:ind w:firstLine="720"/>
        <w:jc w:val="both"/>
        <w:rPr>
          <w:rFonts w:ascii="Times New Roman" w:eastAsia="Arial Narrow" w:hAnsi="Times New Roman" w:cs="Times New Roman"/>
          <w:bCs/>
          <w:sz w:val="24"/>
          <w:szCs w:val="24"/>
        </w:rPr>
      </w:pPr>
      <w:r w:rsidRPr="00582D0A">
        <w:rPr>
          <w:rFonts w:ascii="Times New Roman" w:eastAsia="Arial Narrow" w:hAnsi="Times New Roman" w:cs="Times New Roman"/>
          <w:bCs/>
          <w:sz w:val="24"/>
          <w:szCs w:val="24"/>
        </w:rPr>
        <w:t xml:space="preserve">Internationally, similar concerns </w:t>
      </w:r>
      <w:proofErr w:type="gramStart"/>
      <w:r w:rsidRPr="00582D0A">
        <w:rPr>
          <w:rFonts w:ascii="Times New Roman" w:eastAsia="Arial Narrow" w:hAnsi="Times New Roman" w:cs="Times New Roman"/>
          <w:bCs/>
          <w:sz w:val="24"/>
          <w:szCs w:val="24"/>
        </w:rPr>
        <w:t>arise:</w:t>
      </w:r>
      <w:proofErr w:type="gramEnd"/>
      <w:r w:rsidRPr="00582D0A">
        <w:rPr>
          <w:rFonts w:ascii="Times New Roman" w:eastAsia="Arial Narrow" w:hAnsi="Times New Roman" w:cs="Times New Roman"/>
          <w:bCs/>
          <w:sz w:val="24"/>
          <w:szCs w:val="24"/>
        </w:rPr>
        <w:t xml:space="preserve"> while cash aid can improve well-being, it is often short-lived and susceptible to misuse or favoritism (Hilal et al., 2022; </w:t>
      </w:r>
      <w:proofErr w:type="spellStart"/>
      <w:r w:rsidRPr="00582D0A">
        <w:rPr>
          <w:rFonts w:ascii="Times New Roman" w:eastAsia="Arial Narrow" w:hAnsi="Times New Roman" w:cs="Times New Roman"/>
          <w:bCs/>
          <w:sz w:val="24"/>
          <w:szCs w:val="24"/>
        </w:rPr>
        <w:t>Altındağ</w:t>
      </w:r>
      <w:proofErr w:type="spellEnd"/>
      <w:r w:rsidRPr="00582D0A">
        <w:rPr>
          <w:rFonts w:ascii="Times New Roman" w:eastAsia="Arial Narrow" w:hAnsi="Times New Roman" w:cs="Times New Roman"/>
          <w:bCs/>
          <w:sz w:val="24"/>
          <w:szCs w:val="24"/>
        </w:rPr>
        <w:t xml:space="preserve"> &amp; O’Connell, 2023; Trinh et al., 2022). The international status quo on the perception of financial aid is characterized by ongoing lack of consensus regarding its overall effectiveness, leading to a complex and often contradictory perception (Dreher et al., 2024). Similarly, in Davao Region, several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 programs have been implemented. But despite its positive intentions, it is often viewed as an act of politicization (Zapata &amp; Manfredi, 2015). These recurring concerns reveal a deeper issue, although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 programs aim to provide equitable support, questions about fairness, accessibility, and transparency remain unresolved at the local level. Hence, due to numerous issues surrounding these programs, the Department of Social Welfare and Development (DSWD) assured the public that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 programs will remain free from political interference (</w:t>
      </w:r>
      <w:proofErr w:type="spellStart"/>
      <w:r w:rsidRPr="00582D0A">
        <w:rPr>
          <w:rFonts w:ascii="Times New Roman" w:eastAsia="Arial Narrow" w:hAnsi="Times New Roman" w:cs="Times New Roman"/>
          <w:bCs/>
          <w:sz w:val="24"/>
          <w:szCs w:val="24"/>
        </w:rPr>
        <w:t>Patumbon</w:t>
      </w:r>
      <w:proofErr w:type="spellEnd"/>
      <w:r w:rsidRPr="00582D0A">
        <w:rPr>
          <w:rFonts w:ascii="Times New Roman" w:eastAsia="Arial Narrow" w:hAnsi="Times New Roman" w:cs="Times New Roman"/>
          <w:bCs/>
          <w:sz w:val="24"/>
          <w:szCs w:val="24"/>
        </w:rPr>
        <w:t>, 2024).</w:t>
      </w:r>
    </w:p>
    <w:p w14:paraId="53CFC9B7" w14:textId="220B8393" w:rsidR="00582D0A" w:rsidRPr="00582D0A" w:rsidRDefault="00582D0A" w:rsidP="00582D0A">
      <w:pPr>
        <w:spacing w:line="240" w:lineRule="auto"/>
        <w:ind w:firstLine="720"/>
        <w:jc w:val="both"/>
        <w:rPr>
          <w:rFonts w:ascii="Times New Roman" w:eastAsia="Arial Narrow" w:hAnsi="Times New Roman" w:cs="Times New Roman"/>
          <w:bCs/>
          <w:sz w:val="24"/>
          <w:szCs w:val="24"/>
        </w:rPr>
      </w:pPr>
      <w:r w:rsidRPr="00582D0A">
        <w:rPr>
          <w:rFonts w:ascii="Times New Roman" w:eastAsia="Arial Narrow" w:hAnsi="Times New Roman" w:cs="Times New Roman"/>
          <w:bCs/>
          <w:sz w:val="24"/>
          <w:szCs w:val="24"/>
        </w:rPr>
        <w:t>This study analyzes the perception of the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 beneficiaries in the cities of Davao del Norte, focusing specifically on the perception of the effectiveness, impact, fairness, and the assistance efforts of AICS and AKAP. Along with that, this study will also determine common patterns in the responses by the beneficiaries and utilize exploratory factor analysis (EFA). Moreover, the global significance of this study stems from its contribution to the growing body of knowledge on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 programs. Additionally, in a social context, the analysis of these perceptions provides valuable insights that can be utilized to come up with refined knowledge that will benefit government agencies, such as the Department of Social Welfare and Development, and Local Government Units, by offering data-driven recommendations for improving the design and implementation of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 programs. Future researchers will also gain an understanding of how beneficiaries perceive the impact of “</w:t>
      </w:r>
      <w:proofErr w:type="spellStart"/>
      <w:r w:rsidRPr="00582D0A">
        <w:rPr>
          <w:rFonts w:ascii="Times New Roman" w:eastAsia="Arial Narrow" w:hAnsi="Times New Roman" w:cs="Times New Roman"/>
          <w:bCs/>
          <w:sz w:val="24"/>
          <w:szCs w:val="24"/>
        </w:rPr>
        <w:t>ayuda</w:t>
      </w:r>
      <w:proofErr w:type="spellEnd"/>
      <w:r w:rsidRPr="00582D0A">
        <w:rPr>
          <w:rFonts w:ascii="Times New Roman" w:eastAsia="Arial Narrow" w:hAnsi="Times New Roman" w:cs="Times New Roman"/>
          <w:bCs/>
          <w:sz w:val="24"/>
          <w:szCs w:val="24"/>
        </w:rPr>
        <w:t>” programs on their lives, particularly the dimensional factors that influence accessibility and overall satisfaction among beneficiaries.</w:t>
      </w:r>
    </w:p>
    <w:p w14:paraId="182B31A7" w14:textId="68C0DF7D" w:rsidR="002D1375" w:rsidRPr="00F50AF3" w:rsidRDefault="002D1375" w:rsidP="00F50AF3">
      <w:pPr>
        <w:pStyle w:val="Heading5"/>
        <w:spacing w:before="240" w:after="240"/>
      </w:pPr>
      <w:r w:rsidRPr="00F50AF3">
        <w:t>METHOD</w:t>
      </w:r>
      <w:r w:rsidR="00427858">
        <w:t>S</w:t>
      </w:r>
    </w:p>
    <w:p w14:paraId="02EEA377" w14:textId="77777777" w:rsidR="00582D0A" w:rsidRPr="00582D0A" w:rsidRDefault="00582D0A" w:rsidP="00582D0A">
      <w:pPr>
        <w:pStyle w:val="BodyText2"/>
        <w:rPr>
          <w:rFonts w:ascii="Times New Roman" w:hAnsi="Times New Roman" w:cs="Times New Roman"/>
          <w:sz w:val="24"/>
          <w:szCs w:val="24"/>
        </w:rPr>
      </w:pPr>
      <w:r w:rsidRPr="00582D0A">
        <w:rPr>
          <w:rFonts w:ascii="Times New Roman" w:hAnsi="Times New Roman" w:cs="Times New Roman"/>
          <w:b/>
          <w:bCs/>
          <w:sz w:val="24"/>
          <w:szCs w:val="24"/>
        </w:rPr>
        <w:t>Study Participants</w:t>
      </w:r>
    </w:p>
    <w:p w14:paraId="1801C4BB" w14:textId="77777777" w:rsidR="00582D0A" w:rsidRPr="00582D0A" w:rsidRDefault="00582D0A" w:rsidP="00582D0A">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Bona fide post-beneficiaries of government</w:t>
      </w:r>
      <w:r w:rsidRPr="00582D0A">
        <w:rPr>
          <w:rFonts w:ascii="Times New Roman" w:hAnsi="Times New Roman" w:cs="Times New Roman"/>
          <w:i/>
          <w:iCs/>
          <w:sz w:val="24"/>
          <w:szCs w:val="24"/>
        </w:rPr>
        <w:t xml:space="preserve"> “</w:t>
      </w:r>
      <w:proofErr w:type="spellStart"/>
      <w:r w:rsidRPr="00582D0A">
        <w:rPr>
          <w:rFonts w:ascii="Times New Roman" w:hAnsi="Times New Roman" w:cs="Times New Roman"/>
          <w:i/>
          <w:iCs/>
          <w:sz w:val="24"/>
          <w:szCs w:val="24"/>
        </w:rPr>
        <w:t>ayuda</w:t>
      </w:r>
      <w:proofErr w:type="spellEnd"/>
      <w:r w:rsidRPr="00582D0A">
        <w:rPr>
          <w:rFonts w:ascii="Times New Roman" w:hAnsi="Times New Roman" w:cs="Times New Roman"/>
          <w:i/>
          <w:iCs/>
          <w:sz w:val="24"/>
          <w:szCs w:val="24"/>
        </w:rPr>
        <w:t xml:space="preserve">” </w:t>
      </w:r>
      <w:r w:rsidRPr="00582D0A">
        <w:rPr>
          <w:rFonts w:ascii="Times New Roman" w:hAnsi="Times New Roman" w:cs="Times New Roman"/>
          <w:sz w:val="24"/>
          <w:szCs w:val="24"/>
        </w:rPr>
        <w:t xml:space="preserve">programs, specifically the Assistance to Individuals in Crisis Situations (AICS) and Ayuda para </w:t>
      </w:r>
      <w:proofErr w:type="spellStart"/>
      <w:r w:rsidRPr="00582D0A">
        <w:rPr>
          <w:rFonts w:ascii="Times New Roman" w:hAnsi="Times New Roman" w:cs="Times New Roman"/>
          <w:sz w:val="24"/>
          <w:szCs w:val="24"/>
        </w:rPr>
        <w:t>sa</w:t>
      </w:r>
      <w:proofErr w:type="spellEnd"/>
      <w:r w:rsidRPr="00582D0A">
        <w:rPr>
          <w:rFonts w:ascii="Times New Roman" w:hAnsi="Times New Roman" w:cs="Times New Roman"/>
          <w:sz w:val="24"/>
          <w:szCs w:val="24"/>
        </w:rPr>
        <w:t xml:space="preserve"> Kapos ang Kita Program (AKAP) in 2024, who were also bona fide residents of the three cities in Davao del Norte, were purposively selected to participate in the qualitative phase of the study. The eligibility criteria included individuals aged eighteen years and above, of any gender identity—including male, female, and LGBTQIA+—and with a civil status of married, widowed, or separated. This approach ensured a relatively uniform cohort characterized by familial responsibilities, thereby allowing a focused examination of how family dynamics influenced perceptions of</w:t>
      </w:r>
      <w:r w:rsidRPr="00582D0A">
        <w:rPr>
          <w:rFonts w:ascii="Times New Roman" w:hAnsi="Times New Roman" w:cs="Times New Roman"/>
          <w:i/>
          <w:iCs/>
          <w:sz w:val="24"/>
          <w:szCs w:val="24"/>
        </w:rPr>
        <w:t xml:space="preserve"> “</w:t>
      </w:r>
      <w:proofErr w:type="spellStart"/>
      <w:r w:rsidRPr="00582D0A">
        <w:rPr>
          <w:rFonts w:ascii="Times New Roman" w:hAnsi="Times New Roman" w:cs="Times New Roman"/>
          <w:i/>
          <w:iCs/>
          <w:sz w:val="24"/>
          <w:szCs w:val="24"/>
        </w:rPr>
        <w:t>ayuda</w:t>
      </w:r>
      <w:proofErr w:type="spellEnd"/>
      <w:r w:rsidRPr="00582D0A">
        <w:rPr>
          <w:rFonts w:ascii="Times New Roman" w:hAnsi="Times New Roman" w:cs="Times New Roman"/>
          <w:i/>
          <w:iCs/>
          <w:sz w:val="24"/>
          <w:szCs w:val="24"/>
        </w:rPr>
        <w:t>.”</w:t>
      </w:r>
    </w:p>
    <w:p w14:paraId="16E4EBC4" w14:textId="77777777" w:rsidR="00582D0A" w:rsidRPr="00582D0A" w:rsidRDefault="00582D0A" w:rsidP="00582D0A">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Conversely, individuals under eighteen and those with a single civil status were excluded from the sample. This exclusion was justified by the understanding that the support needs and socioeconomic contexts of younger or single individuals may differ significantly from those with family-caregiving roles. In line with the arguments of Cook et al. (2002), maintaining consistency in the sampling procedure enhances internal validity by reducing variation among participants, thereby improving the study’s ability to accurately depict how family dynamics shaped the interpretation of government aid programs.</w:t>
      </w:r>
    </w:p>
    <w:p w14:paraId="673580AA" w14:textId="77777777" w:rsidR="00582D0A" w:rsidRPr="00582D0A" w:rsidRDefault="00582D0A" w:rsidP="00582D0A">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 xml:space="preserve">Following the predefined inclusion and exclusion criteria, a specific number of participants were selected for the qualitative phase. The study focused on </w:t>
      </w:r>
      <w:proofErr w:type="spellStart"/>
      <w:r w:rsidRPr="00582D0A">
        <w:rPr>
          <w:rFonts w:ascii="Times New Roman" w:hAnsi="Times New Roman" w:cs="Times New Roman"/>
          <w:sz w:val="24"/>
          <w:szCs w:val="24"/>
        </w:rPr>
        <w:t>Panabo</w:t>
      </w:r>
      <w:proofErr w:type="spellEnd"/>
      <w:r w:rsidRPr="00582D0A">
        <w:rPr>
          <w:rFonts w:ascii="Times New Roman" w:hAnsi="Times New Roman" w:cs="Times New Roman"/>
          <w:sz w:val="24"/>
          <w:szCs w:val="24"/>
        </w:rPr>
        <w:t xml:space="preserve"> City, Tagum City, and the Island Garden City of Samal within Davao del Norte. Snowball sampling was employed, enabling researchers to recruit additional participants through referrals from initial subjects who met the inclusion criteria (</w:t>
      </w:r>
      <w:proofErr w:type="spellStart"/>
      <w:r w:rsidRPr="00582D0A">
        <w:rPr>
          <w:rFonts w:ascii="Times New Roman" w:hAnsi="Times New Roman" w:cs="Times New Roman"/>
          <w:sz w:val="24"/>
          <w:szCs w:val="24"/>
        </w:rPr>
        <w:t>Naderifar</w:t>
      </w:r>
      <w:proofErr w:type="spellEnd"/>
      <w:r w:rsidRPr="00582D0A">
        <w:rPr>
          <w:rFonts w:ascii="Times New Roman" w:hAnsi="Times New Roman" w:cs="Times New Roman"/>
          <w:sz w:val="24"/>
          <w:szCs w:val="24"/>
        </w:rPr>
        <w:t xml:space="preserve"> et al., 2017). Moreover, </w:t>
      </w:r>
      <w:proofErr w:type="spellStart"/>
      <w:r w:rsidRPr="00582D0A">
        <w:rPr>
          <w:rFonts w:ascii="Times New Roman" w:hAnsi="Times New Roman" w:cs="Times New Roman"/>
          <w:sz w:val="24"/>
          <w:szCs w:val="24"/>
        </w:rPr>
        <w:t>Hennink</w:t>
      </w:r>
      <w:proofErr w:type="spellEnd"/>
      <w:r w:rsidRPr="00582D0A">
        <w:rPr>
          <w:rFonts w:ascii="Times New Roman" w:hAnsi="Times New Roman" w:cs="Times New Roman"/>
          <w:sz w:val="24"/>
          <w:szCs w:val="24"/>
        </w:rPr>
        <w:t xml:space="preserve"> and Kaiser (2021) established that, based on 16 tests employing different approaches to saturation, the sample </w:t>
      </w:r>
      <w:r w:rsidRPr="00582D0A">
        <w:rPr>
          <w:rFonts w:ascii="Times New Roman" w:hAnsi="Times New Roman" w:cs="Times New Roman"/>
          <w:sz w:val="24"/>
          <w:szCs w:val="24"/>
        </w:rPr>
        <w:lastRenderedPageBreak/>
        <w:t xml:space="preserve">size required to achieve data saturation ranged between 5 and 24 interviews. To ensure diverse perspectives, three participants were selected from each identified </w:t>
      </w:r>
      <w:r w:rsidRPr="00582D0A">
        <w:rPr>
          <w:rFonts w:ascii="Times New Roman" w:hAnsi="Times New Roman" w:cs="Times New Roman"/>
          <w:i/>
          <w:iCs/>
          <w:sz w:val="24"/>
          <w:szCs w:val="24"/>
        </w:rPr>
        <w:t>“</w:t>
      </w:r>
      <w:proofErr w:type="spellStart"/>
      <w:r w:rsidRPr="00582D0A">
        <w:rPr>
          <w:rFonts w:ascii="Times New Roman" w:hAnsi="Times New Roman" w:cs="Times New Roman"/>
          <w:i/>
          <w:iCs/>
          <w:sz w:val="24"/>
          <w:szCs w:val="24"/>
        </w:rPr>
        <w:t>ayuda</w:t>
      </w:r>
      <w:proofErr w:type="spellEnd"/>
      <w:r w:rsidRPr="00582D0A">
        <w:rPr>
          <w:rFonts w:ascii="Times New Roman" w:hAnsi="Times New Roman" w:cs="Times New Roman"/>
          <w:i/>
          <w:iCs/>
          <w:sz w:val="24"/>
          <w:szCs w:val="24"/>
        </w:rPr>
        <w:t xml:space="preserve">” </w:t>
      </w:r>
      <w:r w:rsidRPr="00582D0A">
        <w:rPr>
          <w:rFonts w:ascii="Times New Roman" w:hAnsi="Times New Roman" w:cs="Times New Roman"/>
          <w:sz w:val="24"/>
          <w:szCs w:val="24"/>
        </w:rPr>
        <w:t>program within each city, resulting in a total of 18 participants for this phase of the study.</w:t>
      </w:r>
    </w:p>
    <w:p w14:paraId="0A95D805" w14:textId="77777777" w:rsidR="00582D0A" w:rsidRPr="00582D0A" w:rsidRDefault="00582D0A" w:rsidP="00582D0A">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The number of participants for the quantitative phase was determined after completing the qualitative phase and achieving data saturation, at which point the questionnaire was finalized. The researchers determined the sample size based on the total number of items in the instrument. According to Gorsuch (1983), Hatcher (1994), and Suhr (2006), as cited by Memon et al. (2020), the sample-to-item ratio for exploratory factor analysis should not be less than 5-to-1, meaning that at least five respondents should be recruited for every item.</w:t>
      </w:r>
    </w:p>
    <w:p w14:paraId="318CFEA0" w14:textId="77777777" w:rsidR="00582D0A" w:rsidRPr="00582D0A" w:rsidRDefault="00582D0A" w:rsidP="00582D0A">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 xml:space="preserve">Adhering to this guideline, the researchers opted for a 6-to-1 ratio to ensure both the reliability of the factor structure and balanced participant distribution across selected locations. Given a total of 40 items in the questionnaire, this ratio resulted in 240 respondents, evenly divided among the three cities in Davao del Norte: </w:t>
      </w:r>
      <w:proofErr w:type="spellStart"/>
      <w:r w:rsidRPr="00582D0A">
        <w:rPr>
          <w:rFonts w:ascii="Times New Roman" w:hAnsi="Times New Roman" w:cs="Times New Roman"/>
          <w:sz w:val="24"/>
          <w:szCs w:val="24"/>
        </w:rPr>
        <w:t>Panabo</w:t>
      </w:r>
      <w:proofErr w:type="spellEnd"/>
      <w:r w:rsidRPr="00582D0A">
        <w:rPr>
          <w:rFonts w:ascii="Times New Roman" w:hAnsi="Times New Roman" w:cs="Times New Roman"/>
          <w:sz w:val="24"/>
          <w:szCs w:val="24"/>
        </w:rPr>
        <w:t>, Tagum, and the Island Garden City of Samal, with 80 respondents from each location.</w:t>
      </w:r>
    </w:p>
    <w:p w14:paraId="09110C8E" w14:textId="2839687D" w:rsidR="00582D0A" w:rsidRPr="00582D0A" w:rsidRDefault="00582D0A" w:rsidP="00582D0A">
      <w:pPr>
        <w:pStyle w:val="BodyText2"/>
        <w:spacing w:after="0"/>
        <w:rPr>
          <w:rFonts w:ascii="Times New Roman" w:hAnsi="Times New Roman" w:cs="Times New Roman"/>
          <w:i/>
          <w:iCs/>
          <w:sz w:val="24"/>
          <w:szCs w:val="24"/>
        </w:rPr>
      </w:pPr>
      <w:r w:rsidRPr="00582D0A">
        <w:rPr>
          <w:rFonts w:ascii="Times New Roman" w:hAnsi="Times New Roman" w:cs="Times New Roman"/>
          <w:i/>
          <w:iCs/>
          <w:sz w:val="24"/>
          <w:szCs w:val="24"/>
        </w:rPr>
        <w:t xml:space="preserve">Table </w:t>
      </w:r>
      <w:r w:rsidRPr="00582D0A">
        <w:rPr>
          <w:rFonts w:ascii="Times New Roman" w:hAnsi="Times New Roman" w:cs="Times New Roman"/>
          <w:i/>
          <w:iCs/>
          <w:sz w:val="24"/>
          <w:szCs w:val="24"/>
        </w:rPr>
        <w:t>1:</w:t>
      </w:r>
      <w:r w:rsidRPr="00582D0A">
        <w:rPr>
          <w:rFonts w:ascii="Times New Roman" w:hAnsi="Times New Roman" w:cs="Times New Roman"/>
          <w:i/>
          <w:iCs/>
          <w:sz w:val="24"/>
          <w:szCs w:val="24"/>
        </w:rPr>
        <w:t xml:space="preserve"> Distribution of Research Participants</w:t>
      </w:r>
    </w:p>
    <w:tbl>
      <w:tblPr>
        <w:tblW w:w="0" w:type="auto"/>
        <w:tblCellMar>
          <w:top w:w="15" w:type="dxa"/>
          <w:left w:w="15" w:type="dxa"/>
          <w:bottom w:w="15" w:type="dxa"/>
          <w:right w:w="15" w:type="dxa"/>
        </w:tblCellMar>
        <w:tblLook w:val="04A0" w:firstRow="1" w:lastRow="0" w:firstColumn="1" w:lastColumn="0" w:noHBand="0" w:noVBand="1"/>
      </w:tblPr>
      <w:tblGrid>
        <w:gridCol w:w="3676"/>
        <w:gridCol w:w="1843"/>
        <w:gridCol w:w="1842"/>
        <w:gridCol w:w="1701"/>
        <w:gridCol w:w="1560"/>
      </w:tblGrid>
      <w:tr w:rsidR="00582D0A" w:rsidRPr="00582D0A" w14:paraId="28AC0B0B" w14:textId="77777777" w:rsidTr="00582D0A">
        <w:trPr>
          <w:trHeight w:val="144"/>
        </w:trPr>
        <w:tc>
          <w:tcPr>
            <w:tcW w:w="367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B618D" w14:textId="77777777" w:rsidR="00582D0A" w:rsidRPr="00582D0A" w:rsidRDefault="00582D0A" w:rsidP="00427858">
            <w:pPr>
              <w:pStyle w:val="BodyText2"/>
              <w:spacing w:after="0" w:line="240" w:lineRule="auto"/>
              <w:rPr>
                <w:rFonts w:ascii="Times New Roman" w:hAnsi="Times New Roman" w:cs="Times New Roman"/>
                <w:sz w:val="24"/>
                <w:szCs w:val="24"/>
              </w:rPr>
            </w:pPr>
          </w:p>
        </w:tc>
        <w:tc>
          <w:tcPr>
            <w:tcW w:w="36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A4061"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Qualitative Phase</w:t>
            </w:r>
          </w:p>
        </w:tc>
        <w:tc>
          <w:tcPr>
            <w:tcW w:w="32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4A148"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Quantitative Phase</w:t>
            </w:r>
          </w:p>
        </w:tc>
      </w:tr>
      <w:tr w:rsidR="00582D0A" w:rsidRPr="00582D0A" w14:paraId="793243A1" w14:textId="77777777" w:rsidTr="00582D0A">
        <w:trPr>
          <w:trHeight w:val="313"/>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14:paraId="6B306E33" w14:textId="77777777" w:rsidR="00582D0A" w:rsidRPr="00582D0A" w:rsidRDefault="00582D0A" w:rsidP="00427858">
            <w:pPr>
              <w:pStyle w:val="BodyText2"/>
              <w:spacing w:after="0" w:line="240" w:lineRule="auto"/>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08620"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AICS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64D2B"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AKAP</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B58C5"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AICS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931A4"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AKAP</w:t>
            </w:r>
          </w:p>
        </w:tc>
      </w:tr>
      <w:tr w:rsidR="00582D0A" w:rsidRPr="00582D0A" w14:paraId="1861D737" w14:textId="77777777" w:rsidTr="00582D0A">
        <w:trPr>
          <w:trHeight w:val="144"/>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97CA3" w14:textId="77777777" w:rsidR="00582D0A" w:rsidRPr="00582D0A" w:rsidRDefault="00582D0A" w:rsidP="00427858">
            <w:pPr>
              <w:pStyle w:val="BodyText2"/>
              <w:spacing w:after="0" w:line="240" w:lineRule="auto"/>
              <w:rPr>
                <w:rFonts w:ascii="Times New Roman" w:hAnsi="Times New Roman" w:cs="Times New Roman"/>
                <w:sz w:val="24"/>
                <w:szCs w:val="24"/>
              </w:rPr>
            </w:pPr>
            <w:proofErr w:type="spellStart"/>
            <w:r w:rsidRPr="00582D0A">
              <w:rPr>
                <w:rFonts w:ascii="Times New Roman" w:hAnsi="Times New Roman" w:cs="Times New Roman"/>
                <w:sz w:val="24"/>
                <w:szCs w:val="24"/>
              </w:rPr>
              <w:t>Panabo</w:t>
            </w:r>
            <w:proofErr w:type="spellEnd"/>
            <w:r w:rsidRPr="00582D0A">
              <w:rPr>
                <w:rFonts w:ascii="Times New Roman" w:hAnsi="Times New Roman" w:cs="Times New Roman"/>
                <w:sz w:val="24"/>
                <w:szCs w:val="24"/>
              </w:rPr>
              <w:t xml:space="preserve"> City</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F4A83"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3</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A6081"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4F154"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40</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B13C3"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40</w:t>
            </w:r>
          </w:p>
        </w:tc>
      </w:tr>
      <w:tr w:rsidR="00582D0A" w:rsidRPr="00582D0A" w14:paraId="61AAD363" w14:textId="77777777" w:rsidTr="00582D0A">
        <w:trPr>
          <w:trHeight w:val="144"/>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A155F" w14:textId="77777777" w:rsidR="00582D0A" w:rsidRPr="00582D0A" w:rsidRDefault="00582D0A" w:rsidP="00427858">
            <w:pPr>
              <w:pStyle w:val="BodyText2"/>
              <w:spacing w:after="0" w:line="240" w:lineRule="auto"/>
              <w:rPr>
                <w:rFonts w:ascii="Times New Roman" w:hAnsi="Times New Roman" w:cs="Times New Roman"/>
                <w:sz w:val="24"/>
                <w:szCs w:val="24"/>
              </w:rPr>
            </w:pPr>
            <w:r w:rsidRPr="00582D0A">
              <w:rPr>
                <w:rFonts w:ascii="Times New Roman" w:hAnsi="Times New Roman" w:cs="Times New Roman"/>
                <w:sz w:val="24"/>
                <w:szCs w:val="24"/>
              </w:rPr>
              <w:t>Tagum City</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2C6C9"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3</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0EECD"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609E2"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40</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61405"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40</w:t>
            </w:r>
          </w:p>
        </w:tc>
      </w:tr>
      <w:tr w:rsidR="00582D0A" w:rsidRPr="00582D0A" w14:paraId="33C8587E" w14:textId="77777777" w:rsidTr="00582D0A">
        <w:trPr>
          <w:trHeight w:val="144"/>
        </w:trPr>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C796B" w14:textId="77777777" w:rsidR="00582D0A" w:rsidRPr="00582D0A" w:rsidRDefault="00582D0A" w:rsidP="00427858">
            <w:pPr>
              <w:pStyle w:val="BodyText2"/>
              <w:spacing w:after="0" w:line="240" w:lineRule="auto"/>
              <w:rPr>
                <w:rFonts w:ascii="Times New Roman" w:hAnsi="Times New Roman" w:cs="Times New Roman"/>
                <w:sz w:val="24"/>
                <w:szCs w:val="24"/>
              </w:rPr>
            </w:pPr>
            <w:r w:rsidRPr="00582D0A">
              <w:rPr>
                <w:rFonts w:ascii="Times New Roman" w:hAnsi="Times New Roman" w:cs="Times New Roman"/>
                <w:sz w:val="24"/>
                <w:szCs w:val="24"/>
              </w:rPr>
              <w:t>Island Garden City of Samal</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AF2C2"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3</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FE41B"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E9B4D"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40</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8BB5A"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40</w:t>
            </w:r>
          </w:p>
        </w:tc>
      </w:tr>
      <w:tr w:rsidR="00582D0A" w:rsidRPr="00582D0A" w14:paraId="629009B3" w14:textId="77777777" w:rsidTr="00427858">
        <w:trPr>
          <w:trHeight w:val="120"/>
        </w:trPr>
        <w:tc>
          <w:tcPr>
            <w:tcW w:w="3676" w:type="dxa"/>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27F7A9B9" w14:textId="77777777" w:rsidR="00582D0A" w:rsidRPr="00582D0A" w:rsidRDefault="00582D0A" w:rsidP="00427858">
            <w:pPr>
              <w:pStyle w:val="BodyText2"/>
              <w:spacing w:after="0" w:line="240" w:lineRule="auto"/>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6F0C7"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9</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FE293"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40AE7"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120</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3102A"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sz w:val="24"/>
                <w:szCs w:val="24"/>
              </w:rPr>
              <w:t>120</w:t>
            </w:r>
          </w:p>
        </w:tc>
      </w:tr>
      <w:tr w:rsidR="00582D0A" w:rsidRPr="00582D0A" w14:paraId="307871FD" w14:textId="77777777" w:rsidTr="00582D0A">
        <w:trPr>
          <w:trHeight w:val="20"/>
        </w:trPr>
        <w:tc>
          <w:tcPr>
            <w:tcW w:w="3676" w:type="dxa"/>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4AD10E57" w14:textId="77777777" w:rsidR="00582D0A" w:rsidRPr="00582D0A" w:rsidRDefault="00582D0A" w:rsidP="00427858">
            <w:pPr>
              <w:pStyle w:val="BodyText2"/>
              <w:spacing w:after="0" w:line="240" w:lineRule="auto"/>
              <w:rPr>
                <w:rFonts w:ascii="Times New Roman" w:hAnsi="Times New Roman" w:cs="Times New Roman"/>
                <w:sz w:val="24"/>
                <w:szCs w:val="24"/>
              </w:rPr>
            </w:pPr>
            <w:r w:rsidRPr="00582D0A">
              <w:rPr>
                <w:rFonts w:ascii="Times New Roman" w:hAnsi="Times New Roman" w:cs="Times New Roman"/>
                <w:b/>
                <w:bCs/>
                <w:sz w:val="24"/>
                <w:szCs w:val="24"/>
              </w:rPr>
              <w:t>Total</w:t>
            </w:r>
          </w:p>
        </w:tc>
        <w:tc>
          <w:tcPr>
            <w:tcW w:w="36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FF22D"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b/>
                <w:bCs/>
                <w:sz w:val="24"/>
                <w:szCs w:val="24"/>
              </w:rPr>
              <w:t>18</w:t>
            </w:r>
          </w:p>
        </w:tc>
        <w:tc>
          <w:tcPr>
            <w:tcW w:w="32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A88A1" w14:textId="77777777" w:rsidR="00582D0A" w:rsidRPr="00582D0A" w:rsidRDefault="00582D0A" w:rsidP="00427858">
            <w:pPr>
              <w:pStyle w:val="BodyText2"/>
              <w:spacing w:after="0" w:line="240" w:lineRule="auto"/>
              <w:jc w:val="center"/>
              <w:rPr>
                <w:rFonts w:ascii="Times New Roman" w:hAnsi="Times New Roman" w:cs="Times New Roman"/>
                <w:sz w:val="24"/>
                <w:szCs w:val="24"/>
              </w:rPr>
            </w:pPr>
            <w:r w:rsidRPr="00582D0A">
              <w:rPr>
                <w:rFonts w:ascii="Times New Roman" w:hAnsi="Times New Roman" w:cs="Times New Roman"/>
                <w:b/>
                <w:bCs/>
                <w:sz w:val="24"/>
                <w:szCs w:val="24"/>
              </w:rPr>
              <w:t>240</w:t>
            </w:r>
          </w:p>
        </w:tc>
      </w:tr>
    </w:tbl>
    <w:p w14:paraId="17B9C729" w14:textId="7924C7D3" w:rsidR="00582D0A" w:rsidRPr="00582D0A" w:rsidRDefault="00582D0A" w:rsidP="00582D0A">
      <w:pPr>
        <w:pStyle w:val="BodyText2"/>
        <w:spacing w:before="240"/>
        <w:ind w:firstLine="720"/>
        <w:rPr>
          <w:rFonts w:ascii="Times New Roman" w:hAnsi="Times New Roman" w:cs="Times New Roman"/>
          <w:sz w:val="24"/>
          <w:szCs w:val="24"/>
        </w:rPr>
      </w:pPr>
      <w:r w:rsidRPr="00582D0A">
        <w:rPr>
          <w:rFonts w:ascii="Times New Roman" w:hAnsi="Times New Roman" w:cs="Times New Roman"/>
          <w:sz w:val="24"/>
          <w:szCs w:val="24"/>
        </w:rPr>
        <w:t xml:space="preserve">The respondents consisted of beneficiaries of AICS and AKAP from the cities of </w:t>
      </w:r>
      <w:proofErr w:type="spellStart"/>
      <w:r w:rsidRPr="00582D0A">
        <w:rPr>
          <w:rFonts w:ascii="Times New Roman" w:hAnsi="Times New Roman" w:cs="Times New Roman"/>
          <w:sz w:val="24"/>
          <w:szCs w:val="24"/>
        </w:rPr>
        <w:t>Panabo</w:t>
      </w:r>
      <w:proofErr w:type="spellEnd"/>
      <w:r w:rsidRPr="00582D0A">
        <w:rPr>
          <w:rFonts w:ascii="Times New Roman" w:hAnsi="Times New Roman" w:cs="Times New Roman"/>
          <w:sz w:val="24"/>
          <w:szCs w:val="24"/>
        </w:rPr>
        <w:t>, Tagum, and the Island Garden City of Samal. All respondents had met the predetermined inclusion and exclusion criteria established for the qualitative phase of the study. Furthermore, the snowball sampling technique was employed to identify and recruit additional participants who satisfied the same criteria, thereby ensuring a comprehensive and representative sample.</w:t>
      </w:r>
    </w:p>
    <w:p w14:paraId="4D1A37FA" w14:textId="77777777" w:rsidR="00582D0A" w:rsidRPr="00582D0A" w:rsidRDefault="00582D0A" w:rsidP="00582D0A">
      <w:pPr>
        <w:pStyle w:val="BodyText2"/>
        <w:rPr>
          <w:rFonts w:ascii="Times New Roman" w:hAnsi="Times New Roman" w:cs="Times New Roman"/>
          <w:sz w:val="24"/>
          <w:szCs w:val="24"/>
        </w:rPr>
      </w:pPr>
      <w:r w:rsidRPr="00582D0A">
        <w:rPr>
          <w:rFonts w:ascii="Times New Roman" w:hAnsi="Times New Roman" w:cs="Times New Roman"/>
          <w:b/>
          <w:bCs/>
          <w:sz w:val="24"/>
          <w:szCs w:val="24"/>
        </w:rPr>
        <w:t>Materials and Instruments</w:t>
      </w:r>
    </w:p>
    <w:p w14:paraId="01E241A0" w14:textId="77777777" w:rsidR="00582D0A" w:rsidRPr="00582D0A" w:rsidRDefault="00582D0A" w:rsidP="00533140">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This study employed an exploratory sequential mixed-methods design, utilizing open-ended questionnaires and survey questionnaires as the primary data collection instruments (Creswell, 2009). Data were initially collected through the open-ended questionnaire, which was divided into three sections: the main research objectives, four questions from the interview guide, and twelve probing questions. The interview guide was designed to explore beneficiaries’ perceptions of government “</w:t>
      </w:r>
      <w:proofErr w:type="spellStart"/>
      <w:r w:rsidRPr="00582D0A">
        <w:rPr>
          <w:rFonts w:ascii="Times New Roman" w:hAnsi="Times New Roman" w:cs="Times New Roman"/>
          <w:sz w:val="24"/>
          <w:szCs w:val="24"/>
        </w:rPr>
        <w:t>ayuda</w:t>
      </w:r>
      <w:proofErr w:type="spellEnd"/>
      <w:r w:rsidRPr="00582D0A">
        <w:rPr>
          <w:rFonts w:ascii="Times New Roman" w:hAnsi="Times New Roman" w:cs="Times New Roman"/>
          <w:sz w:val="24"/>
          <w:szCs w:val="24"/>
        </w:rPr>
        <w:t>” programs. To ensure clarity, cultural relevance, and comprehensibility, the questionnaire was translated into Tagalog and Bisaya and underwent validation by a panel of expert evaluators. This process assessed adherence to ethical guidelines and the appropriateness, clarity, open-endedness, and overall adequacy of the items.</w:t>
      </w:r>
    </w:p>
    <w:p w14:paraId="5FFC3565" w14:textId="77777777" w:rsidR="00582D0A" w:rsidRPr="00582D0A" w:rsidRDefault="00582D0A" w:rsidP="00533140">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Prior to the actual interviews, the interview guide was pre-tested through a dry run to identify questions participants might find difficult. This ensured that the conversation was comprehensible and that all required information was obtained. Responses were then translated and documented for analysis.</w:t>
      </w:r>
    </w:p>
    <w:p w14:paraId="69994C37" w14:textId="77777777" w:rsidR="00582D0A" w:rsidRPr="00582D0A" w:rsidRDefault="00582D0A" w:rsidP="00533140">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 xml:space="preserve">Following the qualitative phase, quantitative data were obtained using a survey questionnaire. Responses were recorded using a 7-point Likert scale, where 7 indicated “strongly agree” and 1 indicated “strongly </w:t>
      </w:r>
      <w:r w:rsidRPr="00582D0A">
        <w:rPr>
          <w:rFonts w:ascii="Times New Roman" w:hAnsi="Times New Roman" w:cs="Times New Roman"/>
          <w:sz w:val="24"/>
          <w:szCs w:val="24"/>
        </w:rPr>
        <w:lastRenderedPageBreak/>
        <w:t>disagree.” Before administration, the questionnaire was evaluated by experts to confirm clarity, presentation, organization, suitability, and alignment with research objectives. The qualitative findings informed the questionnaire’s development, with major themes and dimensions serving as its framework.</w:t>
      </w:r>
    </w:p>
    <w:p w14:paraId="390DD9BC" w14:textId="77777777" w:rsidR="00582D0A" w:rsidRPr="00582D0A" w:rsidRDefault="00582D0A" w:rsidP="00533140">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 xml:space="preserve">The finalized survey questionnaire consisted of 40 items and was </w:t>
      </w:r>
      <w:proofErr w:type="gramStart"/>
      <w:r w:rsidRPr="00582D0A">
        <w:rPr>
          <w:rFonts w:ascii="Times New Roman" w:hAnsi="Times New Roman" w:cs="Times New Roman"/>
          <w:sz w:val="24"/>
          <w:szCs w:val="24"/>
        </w:rPr>
        <w:t>pilot-tested</w:t>
      </w:r>
      <w:proofErr w:type="gramEnd"/>
      <w:r w:rsidRPr="00582D0A">
        <w:rPr>
          <w:rFonts w:ascii="Times New Roman" w:hAnsi="Times New Roman" w:cs="Times New Roman"/>
          <w:sz w:val="24"/>
          <w:szCs w:val="24"/>
        </w:rPr>
        <w:t xml:space="preserve"> with five respondents to assess reliability using Cronbach’s Alpha. The initial coefficient was 0.797, indicating acceptable internal consistency. After standardization of items, Cronbach’s Alpha increased slightly to 0.799, further confirming the instrument’s reliability. Internal consistency reflects the extent to which all items measure a single construct and is essential prior to the use of any research instrument (</w:t>
      </w:r>
      <w:proofErr w:type="spellStart"/>
      <w:r w:rsidRPr="00582D0A">
        <w:rPr>
          <w:rFonts w:ascii="Times New Roman" w:hAnsi="Times New Roman" w:cs="Times New Roman"/>
          <w:sz w:val="24"/>
          <w:szCs w:val="24"/>
        </w:rPr>
        <w:t>Tavakol</w:t>
      </w:r>
      <w:proofErr w:type="spellEnd"/>
      <w:r w:rsidRPr="00582D0A">
        <w:rPr>
          <w:rFonts w:ascii="Times New Roman" w:hAnsi="Times New Roman" w:cs="Times New Roman"/>
          <w:sz w:val="24"/>
          <w:szCs w:val="24"/>
        </w:rPr>
        <w:t xml:space="preserve"> &amp; Dennick, 2011).</w:t>
      </w:r>
    </w:p>
    <w:p w14:paraId="6366CF85" w14:textId="77777777" w:rsidR="00582D0A" w:rsidRPr="00582D0A" w:rsidRDefault="00582D0A" w:rsidP="00582D0A">
      <w:pPr>
        <w:pStyle w:val="BodyText2"/>
        <w:rPr>
          <w:rFonts w:ascii="Times New Roman" w:hAnsi="Times New Roman" w:cs="Times New Roman"/>
          <w:sz w:val="24"/>
          <w:szCs w:val="24"/>
        </w:rPr>
      </w:pPr>
      <w:r w:rsidRPr="00582D0A">
        <w:rPr>
          <w:rFonts w:ascii="Times New Roman" w:hAnsi="Times New Roman" w:cs="Times New Roman"/>
          <w:b/>
          <w:bCs/>
          <w:sz w:val="24"/>
          <w:szCs w:val="24"/>
        </w:rPr>
        <w:t>Design and Procedure</w:t>
      </w:r>
    </w:p>
    <w:p w14:paraId="7A34136E" w14:textId="77777777" w:rsidR="00582D0A" w:rsidRPr="00582D0A" w:rsidRDefault="00582D0A" w:rsidP="00533140">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The study employed an exploratory sequential mixed-methods design, integrating qualitative and quantitative approaches to provide a comprehensive understanding of the research problem. This design involved an initial qualitative phase followed by a quantitative phase and concluded with the integration of both strands (Berman, 2017). Qualitative methods were used to uncover in-depth insights into beneficiaries’ perceptions, while quantitative procedures confirmed and generalized these findings (Creswell &amp; Clark, 2017). This design was appropriate as it first explored perceptions of AICS and AKAP and then validated these insights through quantitative analysis.</w:t>
      </w:r>
    </w:p>
    <w:p w14:paraId="3ADA554D" w14:textId="77777777" w:rsidR="00582D0A" w:rsidRPr="00582D0A" w:rsidRDefault="00582D0A" w:rsidP="00533140">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The qualitative phase guided the development of the quantitative phase. Saturated data from the qualitative findings were used to develop a survey questionnaire. Recognizing the limitations of a single-method approach, the mixed-methods design was adopted to address a broader range of research questions and enhance the comprehensiveness of the findings.</w:t>
      </w:r>
    </w:p>
    <w:p w14:paraId="65074C01" w14:textId="77777777" w:rsidR="00582D0A" w:rsidRPr="00582D0A" w:rsidRDefault="00582D0A" w:rsidP="00533140">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The first phase commenced after obtaining approval from the research adviser and the Dean of the Institute of Leadership, Entrepreneurship, and Good Governance at Davao del Norte State College, along with informed consent for interviews. Snowball sampling was employed to identify participants who met the inclusion criteria. Participants received consent letters outlining the study’s purpose, their role, ethical considerations, and data privacy rights. Permission to audio-record interviews was requested, with access restricted to the researchers.</w:t>
      </w:r>
    </w:p>
    <w:p w14:paraId="63FBA4D1" w14:textId="77777777" w:rsidR="00582D0A" w:rsidRPr="00582D0A" w:rsidRDefault="00582D0A" w:rsidP="00533140">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 xml:space="preserve">After data collection, the qualitative data were transcribed, and data saturation was assessed. The resulting instrument was </w:t>
      </w:r>
      <w:proofErr w:type="gramStart"/>
      <w:r w:rsidRPr="00582D0A">
        <w:rPr>
          <w:rFonts w:ascii="Times New Roman" w:hAnsi="Times New Roman" w:cs="Times New Roman"/>
          <w:sz w:val="24"/>
          <w:szCs w:val="24"/>
        </w:rPr>
        <w:t>pilot-tested</w:t>
      </w:r>
      <w:proofErr w:type="gramEnd"/>
      <w:r w:rsidRPr="00582D0A">
        <w:rPr>
          <w:rFonts w:ascii="Times New Roman" w:hAnsi="Times New Roman" w:cs="Times New Roman"/>
          <w:sz w:val="24"/>
          <w:szCs w:val="24"/>
        </w:rPr>
        <w:t xml:space="preserve"> with two participants to validate reliability and suitability. In the quantitative phase, the finalized questionnaire demonstrated internal consistency and reliability. The survey was administered to beneficiaries of the “</w:t>
      </w:r>
      <w:proofErr w:type="spellStart"/>
      <w:r w:rsidRPr="00582D0A">
        <w:rPr>
          <w:rFonts w:ascii="Times New Roman" w:hAnsi="Times New Roman" w:cs="Times New Roman"/>
          <w:sz w:val="24"/>
          <w:szCs w:val="24"/>
        </w:rPr>
        <w:t>ayuda</w:t>
      </w:r>
      <w:proofErr w:type="spellEnd"/>
      <w:r w:rsidRPr="00582D0A">
        <w:rPr>
          <w:rFonts w:ascii="Times New Roman" w:hAnsi="Times New Roman" w:cs="Times New Roman"/>
          <w:sz w:val="24"/>
          <w:szCs w:val="24"/>
        </w:rPr>
        <w:t>” programs using snowball sampling. All participants were informed of the voluntary nature of their participation and were assured that data would be used solely for research purposes.</w:t>
      </w:r>
    </w:p>
    <w:p w14:paraId="47EED9B1" w14:textId="77777777" w:rsidR="00582D0A" w:rsidRPr="00582D0A" w:rsidRDefault="00582D0A" w:rsidP="00582D0A">
      <w:pPr>
        <w:pStyle w:val="BodyText2"/>
        <w:rPr>
          <w:rFonts w:ascii="Times New Roman" w:hAnsi="Times New Roman" w:cs="Times New Roman"/>
          <w:sz w:val="24"/>
          <w:szCs w:val="24"/>
        </w:rPr>
      </w:pPr>
      <w:r w:rsidRPr="00582D0A">
        <w:rPr>
          <w:rFonts w:ascii="Times New Roman" w:hAnsi="Times New Roman" w:cs="Times New Roman"/>
          <w:b/>
          <w:bCs/>
          <w:sz w:val="24"/>
          <w:szCs w:val="24"/>
        </w:rPr>
        <w:t>Data Analysis</w:t>
      </w:r>
    </w:p>
    <w:p w14:paraId="31222721" w14:textId="77777777" w:rsidR="00582D0A" w:rsidRPr="00582D0A" w:rsidRDefault="00582D0A" w:rsidP="00533140">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This study employed various statistical techniques to investigate the underlying factors that influenced public perceptions of government “</w:t>
      </w:r>
      <w:proofErr w:type="spellStart"/>
      <w:r w:rsidRPr="00582D0A">
        <w:rPr>
          <w:rFonts w:ascii="Times New Roman" w:hAnsi="Times New Roman" w:cs="Times New Roman"/>
          <w:sz w:val="24"/>
          <w:szCs w:val="24"/>
        </w:rPr>
        <w:t>ayuda</w:t>
      </w:r>
      <w:proofErr w:type="spellEnd"/>
      <w:r w:rsidRPr="00582D0A">
        <w:rPr>
          <w:rFonts w:ascii="Times New Roman" w:hAnsi="Times New Roman" w:cs="Times New Roman"/>
          <w:sz w:val="24"/>
          <w:szCs w:val="24"/>
        </w:rPr>
        <w:t>” programs. In the qualitative phase, data analysis followed a systematic approach, beginning with the consolidation and condensation of extensive data, progressing through the identification of significant patterns, and culminating in the extraction of insights to develop a coherent line of evidence. Following Ruona’s (2005) approach, the researchers organized and condensed the data, recognized patterns and themes, and verified the credibility of the analysis and conclusions.</w:t>
      </w:r>
    </w:p>
    <w:p w14:paraId="0643EFF0" w14:textId="77777777" w:rsidR="00582D0A" w:rsidRPr="00582D0A" w:rsidRDefault="00582D0A" w:rsidP="00533140">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For the quantitative analysis, responses from the survey questionnaire were compiled and organized. Data reduction techniques were applied to identify the key domain structures related to perceptions of government “</w:t>
      </w:r>
      <w:proofErr w:type="spellStart"/>
      <w:r w:rsidRPr="00582D0A">
        <w:rPr>
          <w:rFonts w:ascii="Times New Roman" w:hAnsi="Times New Roman" w:cs="Times New Roman"/>
          <w:sz w:val="24"/>
          <w:szCs w:val="24"/>
        </w:rPr>
        <w:t>ayuda</w:t>
      </w:r>
      <w:proofErr w:type="spellEnd"/>
      <w:r w:rsidRPr="00582D0A">
        <w:rPr>
          <w:rFonts w:ascii="Times New Roman" w:hAnsi="Times New Roman" w:cs="Times New Roman"/>
          <w:sz w:val="24"/>
          <w:szCs w:val="24"/>
        </w:rPr>
        <w:t xml:space="preserve">” programs. Specifically, Principal Component Analysis (PCA) was employed to determine the dimensionality of constructs, with an eigenvalue cutoff at 1.0 or higher. Factor loadings above +0.40, </w:t>
      </w:r>
      <w:r w:rsidRPr="00582D0A">
        <w:rPr>
          <w:rFonts w:ascii="Times New Roman" w:hAnsi="Times New Roman" w:cs="Times New Roman"/>
          <w:sz w:val="24"/>
          <w:szCs w:val="24"/>
        </w:rPr>
        <w:lastRenderedPageBreak/>
        <w:t>identified through Varimax rotation (Kaiser, 1958), were considered significant. Subsequently, Exploratory Factor Analysis (EFA) was utilized to ascertain the number of underlying constructs, latent variables, or factors within the items. This process revealed the latent structure of the data, thereby establishing the reliability and validity of the factors.</w:t>
      </w:r>
    </w:p>
    <w:p w14:paraId="1949CF63" w14:textId="77777777" w:rsidR="00582D0A" w:rsidRPr="00582D0A" w:rsidRDefault="00582D0A" w:rsidP="00582D0A">
      <w:pPr>
        <w:pStyle w:val="BodyText2"/>
        <w:rPr>
          <w:rFonts w:ascii="Times New Roman" w:hAnsi="Times New Roman" w:cs="Times New Roman"/>
          <w:sz w:val="24"/>
          <w:szCs w:val="24"/>
        </w:rPr>
      </w:pPr>
      <w:r w:rsidRPr="00582D0A">
        <w:rPr>
          <w:rFonts w:ascii="Times New Roman" w:hAnsi="Times New Roman" w:cs="Times New Roman"/>
          <w:b/>
          <w:bCs/>
          <w:sz w:val="24"/>
          <w:szCs w:val="24"/>
        </w:rPr>
        <w:t>Ethical Consideration</w:t>
      </w:r>
    </w:p>
    <w:p w14:paraId="3FA5DB29" w14:textId="77777777" w:rsidR="00582D0A" w:rsidRPr="00582D0A" w:rsidRDefault="00582D0A" w:rsidP="00533140">
      <w:pPr>
        <w:pStyle w:val="BodyText2"/>
        <w:ind w:firstLine="720"/>
        <w:rPr>
          <w:rFonts w:ascii="Times New Roman" w:hAnsi="Times New Roman" w:cs="Times New Roman"/>
          <w:sz w:val="24"/>
          <w:szCs w:val="24"/>
        </w:rPr>
      </w:pPr>
      <w:r w:rsidRPr="00582D0A">
        <w:rPr>
          <w:rFonts w:ascii="Times New Roman" w:hAnsi="Times New Roman" w:cs="Times New Roman"/>
          <w:sz w:val="24"/>
          <w:szCs w:val="24"/>
        </w:rPr>
        <w:t>The study adhered to established ethical guidelines, prioritizing the protection of participants’ rights and the integrity of the research process. Potential participants were provided with information regarding the study’s objectives, the voluntary nature of participation, and their rights, including the authority to withdraw. To maintain anonymity in the qualitative phase, code names were assigned in accordance with the Data Privacy Act of 2012 (Republic Act No. 10173). In the quantitative phase, participants were issued letters clarifying the academic purpose of data collection and assuring the confidentiality and secure handling of their personal information.</w:t>
      </w:r>
    </w:p>
    <w:p w14:paraId="39584EA3" w14:textId="5C959A2A" w:rsidR="009305AF" w:rsidRPr="00F50AF3" w:rsidRDefault="009305AF" w:rsidP="00F50AF3">
      <w:pPr>
        <w:pStyle w:val="BodyText2"/>
        <w:spacing w:line="240" w:lineRule="auto"/>
        <w:rPr>
          <w:rFonts w:ascii="Times New Roman" w:eastAsiaTheme="minorHAnsi" w:hAnsi="Times New Roman" w:cs="Times New Roman"/>
          <w:sz w:val="24"/>
          <w:szCs w:val="24"/>
        </w:rPr>
      </w:pPr>
    </w:p>
    <w:p w14:paraId="0BCD9EEE" w14:textId="77777777" w:rsidR="009305AF" w:rsidRPr="00F50AF3" w:rsidRDefault="009305AF" w:rsidP="00F50AF3">
      <w:pPr>
        <w:pStyle w:val="BodyText2"/>
        <w:spacing w:line="240" w:lineRule="auto"/>
        <w:jc w:val="center"/>
        <w:rPr>
          <w:rFonts w:ascii="Times New Roman" w:eastAsiaTheme="minorHAnsi" w:hAnsi="Times New Roman" w:cs="Times New Roman"/>
          <w:b/>
          <w:sz w:val="28"/>
          <w:szCs w:val="28"/>
        </w:rPr>
      </w:pPr>
      <w:r w:rsidRPr="00F50AF3">
        <w:rPr>
          <w:rFonts w:ascii="Times New Roman" w:eastAsiaTheme="minorHAnsi" w:hAnsi="Times New Roman" w:cs="Times New Roman"/>
          <w:b/>
          <w:sz w:val="28"/>
          <w:szCs w:val="28"/>
        </w:rPr>
        <w:t>RESULTS AND DISCUSSION</w:t>
      </w:r>
    </w:p>
    <w:p w14:paraId="4681FE98" w14:textId="77777777" w:rsidR="00533140" w:rsidRPr="00533140" w:rsidRDefault="00533140" w:rsidP="00533140">
      <w:pPr>
        <w:pStyle w:val="NormalWeb"/>
        <w:spacing w:before="480" w:after="480"/>
        <w:rPr>
          <w:color w:val="000000"/>
        </w:rPr>
      </w:pPr>
      <w:r w:rsidRPr="00533140">
        <w:rPr>
          <w:b/>
          <w:bCs/>
          <w:color w:val="000000"/>
        </w:rPr>
        <w:t>Findings of Qualitative Phase</w:t>
      </w:r>
    </w:p>
    <w:p w14:paraId="0410F586" w14:textId="77777777" w:rsidR="00533140" w:rsidRPr="00533140" w:rsidRDefault="00533140" w:rsidP="00533140">
      <w:pPr>
        <w:pStyle w:val="NormalWeb"/>
        <w:spacing w:before="480" w:after="480"/>
        <w:ind w:firstLine="720"/>
        <w:jc w:val="both"/>
        <w:rPr>
          <w:color w:val="000000"/>
        </w:rPr>
      </w:pPr>
      <w:r w:rsidRPr="00533140">
        <w:rPr>
          <w:color w:val="000000"/>
        </w:rPr>
        <w:t xml:space="preserve">Utilizing an in-depth interview approach, this study uncovered significant insights into the dimensions of perceptions of </w:t>
      </w:r>
      <w:r w:rsidRPr="00533140">
        <w:rPr>
          <w:i/>
          <w:iCs/>
          <w:color w:val="000000"/>
        </w:rPr>
        <w:t>“</w:t>
      </w:r>
      <w:proofErr w:type="spellStart"/>
      <w:r w:rsidRPr="00533140">
        <w:rPr>
          <w:i/>
          <w:iCs/>
          <w:color w:val="000000"/>
        </w:rPr>
        <w:t>ayuda</w:t>
      </w:r>
      <w:proofErr w:type="spellEnd"/>
      <w:r w:rsidRPr="00533140">
        <w:rPr>
          <w:i/>
          <w:iCs/>
          <w:color w:val="000000"/>
        </w:rPr>
        <w:t xml:space="preserve">” </w:t>
      </w:r>
      <w:r w:rsidRPr="00533140">
        <w:rPr>
          <w:color w:val="000000"/>
        </w:rPr>
        <w:t xml:space="preserve">programs by the government. By meticulously analyzing qualitative data from these interviews, the research team extracted key insights and organized them into forty key elements that classify and describe the perceptions of </w:t>
      </w:r>
      <w:r w:rsidRPr="00533140">
        <w:rPr>
          <w:i/>
          <w:iCs/>
          <w:color w:val="000000"/>
        </w:rPr>
        <w:t>“</w:t>
      </w:r>
      <w:proofErr w:type="spellStart"/>
      <w:r w:rsidRPr="00533140">
        <w:rPr>
          <w:i/>
          <w:iCs/>
          <w:color w:val="000000"/>
        </w:rPr>
        <w:t>ayuda</w:t>
      </w:r>
      <w:proofErr w:type="spellEnd"/>
      <w:r w:rsidRPr="00533140">
        <w:rPr>
          <w:i/>
          <w:iCs/>
          <w:color w:val="000000"/>
        </w:rPr>
        <w:t xml:space="preserve">” </w:t>
      </w:r>
      <w:r w:rsidRPr="00533140">
        <w:rPr>
          <w:color w:val="000000"/>
        </w:rPr>
        <w:t>beneficiaries in this specific context, as shown in Table 2.</w:t>
      </w:r>
    </w:p>
    <w:p w14:paraId="19A7C32A" w14:textId="7FC9D108" w:rsidR="00533140" w:rsidRPr="00533140" w:rsidRDefault="00533140" w:rsidP="00533140">
      <w:pPr>
        <w:pStyle w:val="NormalWeb"/>
        <w:spacing w:before="0" w:beforeAutospacing="0" w:after="0" w:afterAutospacing="0"/>
        <w:rPr>
          <w:i/>
          <w:iCs/>
          <w:color w:val="000000"/>
        </w:rPr>
      </w:pPr>
      <w:r w:rsidRPr="00533140">
        <w:rPr>
          <w:i/>
          <w:iCs/>
          <w:color w:val="000000"/>
        </w:rPr>
        <w:t>Table 2</w:t>
      </w:r>
      <w:r w:rsidRPr="00533140">
        <w:rPr>
          <w:i/>
          <w:iCs/>
          <w:color w:val="000000"/>
        </w:rPr>
        <w:t>:</w:t>
      </w:r>
      <w:r w:rsidRPr="00533140">
        <w:rPr>
          <w:i/>
          <w:iCs/>
          <w:color w:val="000000"/>
        </w:rPr>
        <w:t xml:space="preserve"> Formulated Meaning for Dimensions of Perceptions on “Ayuda” Programs of the Government.</w:t>
      </w:r>
    </w:p>
    <w:tbl>
      <w:tblPr>
        <w:tblW w:w="0" w:type="auto"/>
        <w:tblCellMar>
          <w:top w:w="15" w:type="dxa"/>
          <w:left w:w="15" w:type="dxa"/>
          <w:bottom w:w="15" w:type="dxa"/>
          <w:right w:w="15" w:type="dxa"/>
        </w:tblCellMar>
        <w:tblLook w:val="04A0" w:firstRow="1" w:lastRow="0" w:firstColumn="1" w:lastColumn="0" w:noHBand="0" w:noVBand="1"/>
      </w:tblPr>
      <w:tblGrid>
        <w:gridCol w:w="680"/>
        <w:gridCol w:w="9944"/>
      </w:tblGrid>
      <w:tr w:rsidR="00533140" w:rsidRPr="00533140" w14:paraId="40EAEE07" w14:textId="77777777" w:rsidTr="00533140">
        <w:trPr>
          <w:trHeight w:val="288"/>
        </w:trPr>
        <w:tc>
          <w:tcPr>
            <w:tcW w:w="10627"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F6DF8C" w14:textId="77777777" w:rsidR="00533140" w:rsidRPr="00533140" w:rsidRDefault="00533140" w:rsidP="00533140">
            <w:pPr>
              <w:pStyle w:val="NormalWeb"/>
              <w:spacing w:before="480" w:after="480"/>
              <w:rPr>
                <w:color w:val="000000"/>
              </w:rPr>
            </w:pPr>
            <w:r w:rsidRPr="00533140">
              <w:rPr>
                <w:color w:val="000000"/>
              </w:rPr>
              <w:t xml:space="preserve">Formulated Meaning for Dimensions of Perceptions on </w:t>
            </w:r>
            <w:r w:rsidRPr="00533140">
              <w:rPr>
                <w:i/>
                <w:iCs/>
                <w:color w:val="000000"/>
              </w:rPr>
              <w:t>“Ayuda”</w:t>
            </w:r>
            <w:r w:rsidRPr="00533140">
              <w:rPr>
                <w:color w:val="000000"/>
              </w:rPr>
              <w:t xml:space="preserve"> Programs of the Government</w:t>
            </w:r>
          </w:p>
        </w:tc>
      </w:tr>
      <w:tr w:rsidR="00533140" w:rsidRPr="00533140" w14:paraId="16A5A686"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BA592A" w14:textId="77777777" w:rsidR="00533140" w:rsidRPr="00533140" w:rsidRDefault="00533140" w:rsidP="00533140">
            <w:pPr>
              <w:pStyle w:val="NormalWeb"/>
              <w:spacing w:before="480" w:after="480"/>
              <w:jc w:val="both"/>
              <w:rPr>
                <w:color w:val="000000"/>
              </w:rPr>
            </w:pPr>
            <w:r w:rsidRPr="00533140">
              <w:rPr>
                <w:color w:val="000000"/>
              </w:rPr>
              <w:t>1.     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FB52D5" w14:textId="77777777" w:rsidR="00533140" w:rsidRPr="00533140" w:rsidRDefault="00533140" w:rsidP="00533140">
            <w:pPr>
              <w:pStyle w:val="NormalWeb"/>
              <w:spacing w:before="480" w:after="480"/>
              <w:jc w:val="both"/>
              <w:rPr>
                <w:color w:val="000000"/>
              </w:rPr>
            </w:pPr>
            <w:r w:rsidRPr="00533140">
              <w:rPr>
                <w:color w:val="000000"/>
              </w:rPr>
              <w:t>sometimes distributed based on favoritism.</w:t>
            </w:r>
          </w:p>
        </w:tc>
      </w:tr>
      <w:tr w:rsidR="00533140" w:rsidRPr="00533140" w14:paraId="28B70AB0"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F220F1" w14:textId="77777777" w:rsidR="00533140" w:rsidRPr="00533140" w:rsidRDefault="00533140" w:rsidP="00533140">
            <w:pPr>
              <w:pStyle w:val="NormalWeb"/>
              <w:spacing w:before="480" w:after="480"/>
              <w:jc w:val="both"/>
              <w:rPr>
                <w:color w:val="000000"/>
              </w:rPr>
            </w:pPr>
            <w:r w:rsidRPr="00533140">
              <w:rPr>
                <w:color w:val="000000"/>
              </w:rPr>
              <w:t>2.     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E6BB95" w14:textId="77777777" w:rsidR="00533140" w:rsidRPr="00533140" w:rsidRDefault="00533140" w:rsidP="00533140">
            <w:pPr>
              <w:pStyle w:val="NormalWeb"/>
              <w:spacing w:before="480" w:after="480"/>
              <w:jc w:val="both"/>
              <w:rPr>
                <w:color w:val="000000"/>
              </w:rPr>
            </w:pPr>
            <w:r w:rsidRPr="00533140">
              <w:rPr>
                <w:color w:val="000000"/>
              </w:rPr>
              <w:t>a short-term solution to a long-term problem.</w:t>
            </w:r>
          </w:p>
        </w:tc>
      </w:tr>
      <w:tr w:rsidR="00533140" w:rsidRPr="00533140" w14:paraId="0C0E1AF9"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21C753" w14:textId="77777777" w:rsidR="00533140" w:rsidRPr="00533140" w:rsidRDefault="00533140" w:rsidP="00533140">
            <w:pPr>
              <w:pStyle w:val="NormalWeb"/>
              <w:spacing w:before="480" w:after="480"/>
              <w:jc w:val="both"/>
              <w:rPr>
                <w:color w:val="000000"/>
              </w:rPr>
            </w:pPr>
            <w:r w:rsidRPr="00533140">
              <w:rPr>
                <w:color w:val="000000"/>
              </w:rPr>
              <w:t>3.     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E87645" w14:textId="77777777" w:rsidR="00533140" w:rsidRPr="00533140" w:rsidRDefault="00533140" w:rsidP="00533140">
            <w:pPr>
              <w:pStyle w:val="NormalWeb"/>
              <w:spacing w:before="480" w:after="480"/>
              <w:jc w:val="both"/>
              <w:rPr>
                <w:color w:val="000000"/>
              </w:rPr>
            </w:pPr>
            <w:r w:rsidRPr="00533140">
              <w:rPr>
                <w:color w:val="000000"/>
              </w:rPr>
              <w:t>influenced by personal or political connections.</w:t>
            </w:r>
          </w:p>
        </w:tc>
      </w:tr>
      <w:tr w:rsidR="00533140" w:rsidRPr="00533140" w14:paraId="4A4F36C7"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2D7722" w14:textId="77777777" w:rsidR="00533140" w:rsidRPr="00533140" w:rsidRDefault="00533140" w:rsidP="00533140">
            <w:pPr>
              <w:pStyle w:val="NormalWeb"/>
              <w:spacing w:before="480" w:after="480"/>
              <w:jc w:val="both"/>
              <w:rPr>
                <w:color w:val="000000"/>
              </w:rPr>
            </w:pPr>
            <w:r w:rsidRPr="00533140">
              <w:rPr>
                <w:color w:val="000000"/>
              </w:rPr>
              <w:t>4.     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40216E" w14:textId="77777777" w:rsidR="00533140" w:rsidRPr="00533140" w:rsidRDefault="00533140" w:rsidP="00533140">
            <w:pPr>
              <w:pStyle w:val="NormalWeb"/>
              <w:spacing w:before="480" w:after="480"/>
              <w:jc w:val="both"/>
              <w:rPr>
                <w:color w:val="000000"/>
              </w:rPr>
            </w:pPr>
            <w:r w:rsidRPr="00533140">
              <w:rPr>
                <w:color w:val="000000"/>
              </w:rPr>
              <w:t>unfair when some people are left out even if they are in need.</w:t>
            </w:r>
          </w:p>
        </w:tc>
      </w:tr>
      <w:tr w:rsidR="00533140" w:rsidRPr="00533140" w14:paraId="4BE3D5C5"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F54483" w14:textId="77777777" w:rsidR="00533140" w:rsidRPr="00533140" w:rsidRDefault="00533140" w:rsidP="00533140">
            <w:pPr>
              <w:pStyle w:val="NormalWeb"/>
              <w:spacing w:before="480" w:after="480"/>
              <w:rPr>
                <w:color w:val="000000"/>
              </w:rPr>
            </w:pPr>
            <w:r w:rsidRPr="00533140">
              <w:rPr>
                <w:color w:val="000000"/>
              </w:rPr>
              <w:t>5.     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5235B8" w14:textId="77777777" w:rsidR="00533140" w:rsidRPr="00533140" w:rsidRDefault="00533140" w:rsidP="00533140">
            <w:pPr>
              <w:pStyle w:val="NormalWeb"/>
              <w:spacing w:before="480" w:after="480"/>
              <w:jc w:val="both"/>
              <w:rPr>
                <w:color w:val="000000"/>
              </w:rPr>
            </w:pPr>
            <w:r w:rsidRPr="00533140">
              <w:rPr>
                <w:color w:val="000000"/>
              </w:rPr>
              <w:t xml:space="preserve">good </w:t>
            </w:r>
            <w:proofErr w:type="gramStart"/>
            <w:r w:rsidRPr="00533140">
              <w:rPr>
                <w:color w:val="000000"/>
              </w:rPr>
              <w:t>as long as</w:t>
            </w:r>
            <w:proofErr w:type="gramEnd"/>
            <w:r w:rsidRPr="00533140">
              <w:rPr>
                <w:color w:val="000000"/>
              </w:rPr>
              <w:t xml:space="preserve"> it is not selective or biased.</w:t>
            </w:r>
          </w:p>
        </w:tc>
      </w:tr>
      <w:tr w:rsidR="00533140" w:rsidRPr="00533140" w14:paraId="4D95C86E"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8CBF34" w14:textId="77777777" w:rsidR="00533140" w:rsidRPr="00533140" w:rsidRDefault="00533140" w:rsidP="00533140">
            <w:pPr>
              <w:pStyle w:val="NormalWeb"/>
              <w:spacing w:before="480" w:after="480"/>
              <w:rPr>
                <w:color w:val="000000"/>
              </w:rPr>
            </w:pPr>
            <w:r w:rsidRPr="00533140">
              <w:rPr>
                <w:color w:val="000000"/>
              </w:rPr>
              <w:t>6.     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902985" w14:textId="77777777" w:rsidR="00533140" w:rsidRPr="00533140" w:rsidRDefault="00533140" w:rsidP="00533140">
            <w:pPr>
              <w:pStyle w:val="NormalWeb"/>
              <w:spacing w:before="480" w:after="480"/>
              <w:jc w:val="both"/>
              <w:rPr>
                <w:color w:val="000000"/>
              </w:rPr>
            </w:pPr>
            <w:r w:rsidRPr="00533140">
              <w:rPr>
                <w:color w:val="000000"/>
              </w:rPr>
              <w:t>a blessing during emergencies.</w:t>
            </w:r>
          </w:p>
        </w:tc>
      </w:tr>
      <w:tr w:rsidR="00533140" w:rsidRPr="00533140" w14:paraId="00215115"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36FA35" w14:textId="77777777" w:rsidR="00533140" w:rsidRPr="00533140" w:rsidRDefault="00533140" w:rsidP="00533140">
            <w:pPr>
              <w:pStyle w:val="NormalWeb"/>
              <w:spacing w:before="480" w:after="480"/>
              <w:rPr>
                <w:color w:val="000000"/>
              </w:rPr>
            </w:pPr>
            <w:r w:rsidRPr="00533140">
              <w:rPr>
                <w:color w:val="000000"/>
              </w:rPr>
              <w:t>7.     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29795B" w14:textId="77777777" w:rsidR="00533140" w:rsidRPr="00533140" w:rsidRDefault="00533140" w:rsidP="00533140">
            <w:pPr>
              <w:pStyle w:val="NormalWeb"/>
              <w:spacing w:before="480" w:after="480"/>
              <w:jc w:val="both"/>
              <w:rPr>
                <w:color w:val="000000"/>
              </w:rPr>
            </w:pPr>
            <w:r w:rsidRPr="00533140">
              <w:rPr>
                <w:color w:val="000000"/>
              </w:rPr>
              <w:t>something I rely on to meet basic needs.</w:t>
            </w:r>
          </w:p>
        </w:tc>
      </w:tr>
      <w:tr w:rsidR="00533140" w:rsidRPr="00533140" w14:paraId="7BD0FAA5"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304EE0" w14:textId="77777777" w:rsidR="00533140" w:rsidRPr="00533140" w:rsidRDefault="00533140" w:rsidP="00533140">
            <w:pPr>
              <w:pStyle w:val="NormalWeb"/>
              <w:spacing w:before="480" w:after="480"/>
              <w:rPr>
                <w:color w:val="000000"/>
              </w:rPr>
            </w:pPr>
            <w:r w:rsidRPr="00533140">
              <w:rPr>
                <w:color w:val="000000"/>
              </w:rPr>
              <w:t>8.     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4E9C59" w14:textId="77777777" w:rsidR="00533140" w:rsidRPr="00533140" w:rsidRDefault="00533140" w:rsidP="00533140">
            <w:pPr>
              <w:pStyle w:val="NormalWeb"/>
              <w:spacing w:before="480" w:after="480"/>
              <w:jc w:val="both"/>
              <w:rPr>
                <w:color w:val="000000"/>
              </w:rPr>
            </w:pPr>
            <w:proofErr w:type="gramStart"/>
            <w:r w:rsidRPr="00533140">
              <w:rPr>
                <w:color w:val="000000"/>
              </w:rPr>
              <w:t>an assistance</w:t>
            </w:r>
            <w:proofErr w:type="gramEnd"/>
            <w:r w:rsidRPr="00533140">
              <w:rPr>
                <w:color w:val="000000"/>
              </w:rPr>
              <w:t xml:space="preserve"> that supports my children’s school expenses and needs.</w:t>
            </w:r>
          </w:p>
        </w:tc>
      </w:tr>
      <w:tr w:rsidR="00533140" w:rsidRPr="00533140" w14:paraId="1CE33B2C"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2C8926" w14:textId="77777777" w:rsidR="00533140" w:rsidRPr="00533140" w:rsidRDefault="00533140" w:rsidP="00533140">
            <w:pPr>
              <w:pStyle w:val="NormalWeb"/>
              <w:spacing w:before="480" w:after="480"/>
              <w:rPr>
                <w:color w:val="000000"/>
              </w:rPr>
            </w:pPr>
            <w:r w:rsidRPr="00533140">
              <w:rPr>
                <w:color w:val="000000"/>
              </w:rPr>
              <w:t>9.     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963E5D" w14:textId="77777777" w:rsidR="00533140" w:rsidRPr="00533140" w:rsidRDefault="00533140" w:rsidP="00533140">
            <w:pPr>
              <w:pStyle w:val="NormalWeb"/>
              <w:spacing w:before="480" w:after="480"/>
              <w:jc w:val="both"/>
              <w:rPr>
                <w:color w:val="000000"/>
              </w:rPr>
            </w:pPr>
            <w:r w:rsidRPr="00533140">
              <w:rPr>
                <w:color w:val="000000"/>
              </w:rPr>
              <w:t>more helpful when it is given on a regular basis.</w:t>
            </w:r>
          </w:p>
        </w:tc>
      </w:tr>
      <w:tr w:rsidR="00533140" w:rsidRPr="00533140" w14:paraId="1951425F"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61C21A" w14:textId="77777777" w:rsidR="00533140" w:rsidRPr="00533140" w:rsidRDefault="00533140" w:rsidP="00533140">
            <w:pPr>
              <w:pStyle w:val="NormalWeb"/>
              <w:spacing w:before="480" w:after="480"/>
              <w:rPr>
                <w:color w:val="000000"/>
              </w:rPr>
            </w:pPr>
            <w:r w:rsidRPr="00533140">
              <w:rPr>
                <w:color w:val="000000"/>
              </w:rPr>
              <w:t>10.  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604559" w14:textId="77777777" w:rsidR="00533140" w:rsidRPr="00533140" w:rsidRDefault="00533140" w:rsidP="00533140">
            <w:pPr>
              <w:pStyle w:val="NormalWeb"/>
              <w:spacing w:before="480" w:after="480"/>
              <w:jc w:val="both"/>
              <w:rPr>
                <w:color w:val="000000"/>
              </w:rPr>
            </w:pPr>
            <w:r w:rsidRPr="00533140">
              <w:rPr>
                <w:color w:val="000000"/>
              </w:rPr>
              <w:t>sometimes given based on who you know, not what you need.</w:t>
            </w:r>
          </w:p>
        </w:tc>
      </w:tr>
      <w:tr w:rsidR="00533140" w:rsidRPr="00533140" w14:paraId="4BB6E4B4"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6C0496" w14:textId="77777777" w:rsidR="00533140" w:rsidRPr="00533140" w:rsidRDefault="00533140" w:rsidP="00533140">
            <w:pPr>
              <w:pStyle w:val="NormalWeb"/>
              <w:spacing w:before="480" w:after="480"/>
              <w:rPr>
                <w:color w:val="000000"/>
              </w:rPr>
            </w:pPr>
            <w:r w:rsidRPr="00533140">
              <w:rPr>
                <w:color w:val="000000"/>
              </w:rPr>
              <w:t>11.  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F8D2AD" w14:textId="77777777" w:rsidR="00533140" w:rsidRPr="00533140" w:rsidRDefault="00533140" w:rsidP="00533140">
            <w:pPr>
              <w:pStyle w:val="NormalWeb"/>
              <w:spacing w:before="480" w:after="480"/>
              <w:jc w:val="both"/>
              <w:rPr>
                <w:color w:val="000000"/>
              </w:rPr>
            </w:pPr>
            <w:r w:rsidRPr="00533140">
              <w:rPr>
                <w:color w:val="000000"/>
              </w:rPr>
              <w:t>a political tool used to gain favor from citizens.</w:t>
            </w:r>
          </w:p>
        </w:tc>
      </w:tr>
      <w:tr w:rsidR="00533140" w:rsidRPr="00533140" w14:paraId="46DE2803"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70AD86" w14:textId="77777777" w:rsidR="00533140" w:rsidRPr="00533140" w:rsidRDefault="00533140" w:rsidP="00533140">
            <w:pPr>
              <w:pStyle w:val="NormalWeb"/>
              <w:spacing w:before="480" w:after="480"/>
              <w:rPr>
                <w:color w:val="000000"/>
              </w:rPr>
            </w:pPr>
            <w:r w:rsidRPr="00533140">
              <w:rPr>
                <w:color w:val="000000"/>
              </w:rPr>
              <w:t>12.  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BDC93D" w14:textId="77777777" w:rsidR="00533140" w:rsidRPr="00533140" w:rsidRDefault="00533140" w:rsidP="00533140">
            <w:pPr>
              <w:pStyle w:val="NormalWeb"/>
              <w:spacing w:before="480" w:after="480"/>
              <w:jc w:val="both"/>
              <w:rPr>
                <w:color w:val="000000"/>
              </w:rPr>
            </w:pPr>
            <w:r w:rsidRPr="00533140">
              <w:rPr>
                <w:color w:val="000000"/>
              </w:rPr>
              <w:t>a form of help that I associate with a certain politician.</w:t>
            </w:r>
          </w:p>
        </w:tc>
      </w:tr>
      <w:tr w:rsidR="00533140" w:rsidRPr="00533140" w14:paraId="6F6478A8"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B1E8DC" w14:textId="77777777" w:rsidR="00533140" w:rsidRPr="00533140" w:rsidRDefault="00533140" w:rsidP="00533140">
            <w:pPr>
              <w:pStyle w:val="NormalWeb"/>
              <w:spacing w:before="480" w:after="480"/>
              <w:rPr>
                <w:color w:val="000000"/>
              </w:rPr>
            </w:pPr>
            <w:r w:rsidRPr="00533140">
              <w:rPr>
                <w:color w:val="000000"/>
              </w:rPr>
              <w:t>13.  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3F1DBB" w14:textId="77777777" w:rsidR="00533140" w:rsidRPr="00533140" w:rsidRDefault="00533140" w:rsidP="00533140">
            <w:pPr>
              <w:pStyle w:val="NormalWeb"/>
              <w:spacing w:before="480" w:after="480"/>
              <w:jc w:val="both"/>
              <w:rPr>
                <w:color w:val="000000"/>
              </w:rPr>
            </w:pPr>
            <w:r w:rsidRPr="00533140">
              <w:rPr>
                <w:color w:val="000000"/>
              </w:rPr>
              <w:t>only given to those who are registered voters.</w:t>
            </w:r>
          </w:p>
        </w:tc>
      </w:tr>
      <w:tr w:rsidR="00533140" w:rsidRPr="00533140" w14:paraId="41ABAC4A"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75AA42" w14:textId="77777777" w:rsidR="00533140" w:rsidRPr="00533140" w:rsidRDefault="00533140" w:rsidP="00533140">
            <w:pPr>
              <w:pStyle w:val="NormalWeb"/>
              <w:spacing w:before="480" w:after="480"/>
              <w:rPr>
                <w:color w:val="000000"/>
              </w:rPr>
            </w:pPr>
            <w:r w:rsidRPr="00533140">
              <w:rPr>
                <w:color w:val="000000"/>
              </w:rPr>
              <w:t>14.  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118F1A" w14:textId="77777777" w:rsidR="00533140" w:rsidRPr="00533140" w:rsidRDefault="00533140" w:rsidP="00533140">
            <w:pPr>
              <w:pStyle w:val="NormalWeb"/>
              <w:spacing w:before="480" w:after="480"/>
              <w:jc w:val="both"/>
              <w:rPr>
                <w:color w:val="000000"/>
              </w:rPr>
            </w:pPr>
            <w:r w:rsidRPr="00533140">
              <w:rPr>
                <w:color w:val="000000"/>
              </w:rPr>
              <w:t>a tool that helps me pay for essential bills like electricity and water.</w:t>
            </w:r>
          </w:p>
        </w:tc>
      </w:tr>
      <w:tr w:rsidR="00533140" w:rsidRPr="00533140" w14:paraId="1822AEE2"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FD7689" w14:textId="77777777" w:rsidR="00533140" w:rsidRPr="00533140" w:rsidRDefault="00533140" w:rsidP="00533140">
            <w:pPr>
              <w:pStyle w:val="NormalWeb"/>
              <w:spacing w:before="480" w:after="480"/>
              <w:rPr>
                <w:color w:val="000000"/>
              </w:rPr>
            </w:pPr>
            <w:r w:rsidRPr="00533140">
              <w:rPr>
                <w:color w:val="000000"/>
              </w:rPr>
              <w:t>15.  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B955F0" w14:textId="77777777" w:rsidR="00533140" w:rsidRPr="00533140" w:rsidRDefault="00533140" w:rsidP="00533140">
            <w:pPr>
              <w:pStyle w:val="NormalWeb"/>
              <w:spacing w:before="480" w:after="480"/>
              <w:jc w:val="both"/>
              <w:rPr>
                <w:color w:val="000000"/>
              </w:rPr>
            </w:pPr>
            <w:r w:rsidRPr="00533140">
              <w:rPr>
                <w:color w:val="000000"/>
              </w:rPr>
              <w:t>helpful for sustaining my small business.</w:t>
            </w:r>
          </w:p>
        </w:tc>
      </w:tr>
      <w:tr w:rsidR="00533140" w:rsidRPr="00533140" w14:paraId="6F300538"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9BCDA6" w14:textId="77777777" w:rsidR="00533140" w:rsidRPr="00533140" w:rsidRDefault="00533140" w:rsidP="00533140">
            <w:pPr>
              <w:pStyle w:val="NormalWeb"/>
              <w:spacing w:before="480" w:after="480"/>
              <w:rPr>
                <w:color w:val="000000"/>
              </w:rPr>
            </w:pPr>
            <w:r w:rsidRPr="00533140">
              <w:rPr>
                <w:color w:val="000000"/>
              </w:rPr>
              <w:t>16.  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2D1FF6" w14:textId="77777777" w:rsidR="00533140" w:rsidRPr="00533140" w:rsidRDefault="00533140" w:rsidP="00533140">
            <w:pPr>
              <w:pStyle w:val="NormalWeb"/>
              <w:spacing w:before="480" w:after="480"/>
              <w:jc w:val="both"/>
              <w:rPr>
                <w:color w:val="000000"/>
              </w:rPr>
            </w:pPr>
            <w:r w:rsidRPr="00533140">
              <w:rPr>
                <w:color w:val="000000"/>
              </w:rPr>
              <w:t xml:space="preserve">a way for me to buy </w:t>
            </w:r>
            <w:proofErr w:type="gramStart"/>
            <w:r w:rsidRPr="00533140">
              <w:rPr>
                <w:color w:val="000000"/>
              </w:rPr>
              <w:t>basic necessities</w:t>
            </w:r>
            <w:proofErr w:type="gramEnd"/>
            <w:r w:rsidRPr="00533140">
              <w:rPr>
                <w:color w:val="000000"/>
              </w:rPr>
              <w:t xml:space="preserve"> like rice and groceries.</w:t>
            </w:r>
          </w:p>
        </w:tc>
      </w:tr>
      <w:tr w:rsidR="00533140" w:rsidRPr="00533140" w14:paraId="181A7451"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4521EB" w14:textId="77777777" w:rsidR="00533140" w:rsidRPr="00533140" w:rsidRDefault="00533140" w:rsidP="00533140">
            <w:pPr>
              <w:pStyle w:val="NormalWeb"/>
              <w:spacing w:before="480" w:after="480"/>
              <w:rPr>
                <w:color w:val="000000"/>
              </w:rPr>
            </w:pPr>
            <w:r w:rsidRPr="00533140">
              <w:rPr>
                <w:color w:val="000000"/>
              </w:rPr>
              <w:t>17.  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32EF7E" w14:textId="77777777" w:rsidR="00533140" w:rsidRPr="00533140" w:rsidRDefault="00533140" w:rsidP="00533140">
            <w:pPr>
              <w:pStyle w:val="NormalWeb"/>
              <w:spacing w:before="480" w:after="480"/>
              <w:jc w:val="both"/>
              <w:rPr>
                <w:color w:val="000000"/>
              </w:rPr>
            </w:pPr>
            <w:r w:rsidRPr="00533140">
              <w:rPr>
                <w:color w:val="000000"/>
              </w:rPr>
              <w:t>a resource that enables me to cover my medical and maintenance medicine costs.</w:t>
            </w:r>
          </w:p>
        </w:tc>
      </w:tr>
      <w:tr w:rsidR="00533140" w:rsidRPr="00533140" w14:paraId="6FE1B57E"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ECFC1A" w14:textId="77777777" w:rsidR="00533140" w:rsidRPr="00533140" w:rsidRDefault="00533140" w:rsidP="00533140">
            <w:pPr>
              <w:pStyle w:val="NormalWeb"/>
              <w:spacing w:before="480" w:after="480"/>
              <w:rPr>
                <w:color w:val="000000"/>
              </w:rPr>
            </w:pPr>
            <w:r w:rsidRPr="00533140">
              <w:rPr>
                <w:color w:val="000000"/>
              </w:rPr>
              <w:t>18.  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903F86" w14:textId="77777777" w:rsidR="00533140" w:rsidRPr="00533140" w:rsidRDefault="00533140" w:rsidP="00533140">
            <w:pPr>
              <w:pStyle w:val="NormalWeb"/>
              <w:spacing w:before="480" w:after="480"/>
              <w:jc w:val="both"/>
              <w:rPr>
                <w:color w:val="000000"/>
              </w:rPr>
            </w:pPr>
            <w:r w:rsidRPr="00533140">
              <w:rPr>
                <w:color w:val="000000"/>
              </w:rPr>
              <w:t>a means to help me settle debts and other financial obligations.</w:t>
            </w:r>
          </w:p>
        </w:tc>
      </w:tr>
      <w:tr w:rsidR="00533140" w:rsidRPr="00533140" w14:paraId="0C680F5E"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FC9D5B" w14:textId="77777777" w:rsidR="00533140" w:rsidRPr="00533140" w:rsidRDefault="00533140" w:rsidP="00533140">
            <w:pPr>
              <w:pStyle w:val="NormalWeb"/>
              <w:spacing w:before="480" w:after="480"/>
              <w:rPr>
                <w:color w:val="000000"/>
              </w:rPr>
            </w:pPr>
            <w:r w:rsidRPr="00533140">
              <w:rPr>
                <w:color w:val="000000"/>
              </w:rPr>
              <w:t>19.  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2D8C31" w14:textId="77777777" w:rsidR="00533140" w:rsidRPr="00533140" w:rsidRDefault="00533140" w:rsidP="00533140">
            <w:pPr>
              <w:pStyle w:val="NormalWeb"/>
              <w:spacing w:before="480" w:after="480"/>
              <w:jc w:val="both"/>
              <w:rPr>
                <w:color w:val="000000"/>
              </w:rPr>
            </w:pPr>
            <w:r w:rsidRPr="00533140">
              <w:rPr>
                <w:color w:val="000000"/>
              </w:rPr>
              <w:t>useful for buying food when we’ve already run out of budget.</w:t>
            </w:r>
          </w:p>
        </w:tc>
      </w:tr>
      <w:tr w:rsidR="00533140" w:rsidRPr="00533140" w14:paraId="18E4D478"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223B47" w14:textId="77777777" w:rsidR="00533140" w:rsidRPr="00533140" w:rsidRDefault="00533140" w:rsidP="00533140">
            <w:pPr>
              <w:pStyle w:val="NormalWeb"/>
              <w:spacing w:before="480" w:after="480"/>
              <w:rPr>
                <w:color w:val="000000"/>
              </w:rPr>
            </w:pPr>
            <w:r w:rsidRPr="00533140">
              <w:rPr>
                <w:color w:val="000000"/>
              </w:rPr>
              <w:t>20.  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48DA20" w14:textId="77777777" w:rsidR="00533140" w:rsidRPr="00533140" w:rsidRDefault="00533140" w:rsidP="00533140">
            <w:pPr>
              <w:pStyle w:val="NormalWeb"/>
              <w:spacing w:before="480" w:after="480"/>
              <w:jc w:val="both"/>
              <w:rPr>
                <w:color w:val="000000"/>
              </w:rPr>
            </w:pPr>
            <w:r w:rsidRPr="00533140">
              <w:rPr>
                <w:color w:val="000000"/>
              </w:rPr>
              <w:t>easier to access if you are related to someone in charge.</w:t>
            </w:r>
          </w:p>
        </w:tc>
      </w:tr>
      <w:tr w:rsidR="00533140" w:rsidRPr="00533140" w14:paraId="4222E0D0"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B7C714" w14:textId="77777777" w:rsidR="00533140" w:rsidRPr="00533140" w:rsidRDefault="00533140" w:rsidP="00533140">
            <w:pPr>
              <w:pStyle w:val="NormalWeb"/>
              <w:spacing w:before="480" w:after="480"/>
              <w:rPr>
                <w:color w:val="000000"/>
              </w:rPr>
            </w:pPr>
            <w:r w:rsidRPr="00533140">
              <w:rPr>
                <w:color w:val="000000"/>
              </w:rPr>
              <w:t>21.  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5D08AF" w14:textId="77777777" w:rsidR="00533140" w:rsidRPr="00533140" w:rsidRDefault="00533140" w:rsidP="00533140">
            <w:pPr>
              <w:pStyle w:val="NormalWeb"/>
              <w:spacing w:before="480" w:after="480"/>
              <w:jc w:val="both"/>
              <w:rPr>
                <w:color w:val="000000"/>
              </w:rPr>
            </w:pPr>
            <w:r w:rsidRPr="00533140">
              <w:rPr>
                <w:color w:val="000000"/>
              </w:rPr>
              <w:t>not equally accessible to everyone in our neighborhood.</w:t>
            </w:r>
          </w:p>
        </w:tc>
      </w:tr>
      <w:tr w:rsidR="00533140" w:rsidRPr="00533140" w14:paraId="12D1BCB1"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177117" w14:textId="77777777" w:rsidR="00533140" w:rsidRPr="00533140" w:rsidRDefault="00533140" w:rsidP="00533140">
            <w:pPr>
              <w:pStyle w:val="NormalWeb"/>
              <w:spacing w:before="480" w:after="480"/>
              <w:rPr>
                <w:color w:val="000000"/>
              </w:rPr>
            </w:pPr>
            <w:r w:rsidRPr="00533140">
              <w:rPr>
                <w:color w:val="000000"/>
              </w:rPr>
              <w:t>22.  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5A5DEA" w14:textId="77777777" w:rsidR="00533140" w:rsidRPr="00533140" w:rsidRDefault="00533140" w:rsidP="00533140">
            <w:pPr>
              <w:pStyle w:val="NormalWeb"/>
              <w:spacing w:before="480" w:after="480"/>
              <w:jc w:val="both"/>
              <w:rPr>
                <w:color w:val="000000"/>
              </w:rPr>
            </w:pPr>
            <w:r w:rsidRPr="00533140">
              <w:rPr>
                <w:color w:val="000000"/>
              </w:rPr>
              <w:t xml:space="preserve">questionable when I see the same families getting it </w:t>
            </w:r>
            <w:proofErr w:type="gramStart"/>
            <w:r w:rsidRPr="00533140">
              <w:rPr>
                <w:color w:val="000000"/>
              </w:rPr>
              <w:t>over and over</w:t>
            </w:r>
            <w:proofErr w:type="gramEnd"/>
            <w:r w:rsidRPr="00533140">
              <w:rPr>
                <w:color w:val="000000"/>
              </w:rPr>
              <w:t>.</w:t>
            </w:r>
          </w:p>
        </w:tc>
      </w:tr>
      <w:tr w:rsidR="00533140" w:rsidRPr="00533140" w14:paraId="75CF3EC3"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408E3F" w14:textId="77777777" w:rsidR="00533140" w:rsidRPr="00533140" w:rsidRDefault="00533140" w:rsidP="00533140">
            <w:pPr>
              <w:pStyle w:val="NormalWeb"/>
              <w:spacing w:before="480" w:after="480"/>
              <w:rPr>
                <w:color w:val="000000"/>
              </w:rPr>
            </w:pPr>
            <w:r w:rsidRPr="00533140">
              <w:rPr>
                <w:color w:val="000000"/>
              </w:rPr>
              <w:t>23.  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9DC65A" w14:textId="77777777" w:rsidR="00533140" w:rsidRPr="00533140" w:rsidRDefault="00533140" w:rsidP="00533140">
            <w:pPr>
              <w:pStyle w:val="NormalWeb"/>
              <w:spacing w:before="480" w:after="480"/>
              <w:jc w:val="both"/>
              <w:rPr>
                <w:color w:val="000000"/>
              </w:rPr>
            </w:pPr>
            <w:r w:rsidRPr="00533140">
              <w:rPr>
                <w:color w:val="000000"/>
              </w:rPr>
              <w:t>not sufficient due to inflation and rising costs.</w:t>
            </w:r>
          </w:p>
        </w:tc>
      </w:tr>
      <w:tr w:rsidR="00533140" w:rsidRPr="00533140" w14:paraId="7BBE5A88"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A7B767" w14:textId="77777777" w:rsidR="00533140" w:rsidRPr="00533140" w:rsidRDefault="00533140" w:rsidP="00533140">
            <w:pPr>
              <w:pStyle w:val="NormalWeb"/>
              <w:spacing w:before="480" w:after="480"/>
              <w:rPr>
                <w:color w:val="000000"/>
              </w:rPr>
            </w:pPr>
            <w:r w:rsidRPr="00533140">
              <w:rPr>
                <w:color w:val="000000"/>
              </w:rPr>
              <w:t>24.  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33A7EE" w14:textId="77777777" w:rsidR="00533140" w:rsidRPr="00533140" w:rsidRDefault="00533140" w:rsidP="00533140">
            <w:pPr>
              <w:pStyle w:val="NormalWeb"/>
              <w:spacing w:before="480" w:after="480"/>
              <w:jc w:val="both"/>
              <w:rPr>
                <w:color w:val="000000"/>
              </w:rPr>
            </w:pPr>
            <w:r w:rsidRPr="00533140">
              <w:rPr>
                <w:color w:val="000000"/>
              </w:rPr>
              <w:t>not enough to support my family for more than a few days.</w:t>
            </w:r>
          </w:p>
        </w:tc>
      </w:tr>
      <w:tr w:rsidR="00533140" w:rsidRPr="00533140" w14:paraId="5D52F4F8"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A40406" w14:textId="77777777" w:rsidR="00533140" w:rsidRPr="00533140" w:rsidRDefault="00533140" w:rsidP="00533140">
            <w:pPr>
              <w:pStyle w:val="NormalWeb"/>
              <w:spacing w:before="480" w:after="480"/>
              <w:rPr>
                <w:color w:val="000000"/>
              </w:rPr>
            </w:pPr>
            <w:r w:rsidRPr="00533140">
              <w:rPr>
                <w:color w:val="000000"/>
              </w:rPr>
              <w:lastRenderedPageBreak/>
              <w:t>25.  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3B3452" w14:textId="77777777" w:rsidR="00533140" w:rsidRPr="00533140" w:rsidRDefault="00533140" w:rsidP="00533140">
            <w:pPr>
              <w:pStyle w:val="NormalWeb"/>
              <w:spacing w:before="480" w:after="480"/>
              <w:jc w:val="both"/>
              <w:rPr>
                <w:color w:val="000000"/>
              </w:rPr>
            </w:pPr>
            <w:r w:rsidRPr="00533140">
              <w:rPr>
                <w:color w:val="000000"/>
              </w:rPr>
              <w:t>given only when elections are near.</w:t>
            </w:r>
          </w:p>
        </w:tc>
      </w:tr>
      <w:tr w:rsidR="00533140" w:rsidRPr="00533140" w14:paraId="273B2742"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8CBD5D" w14:textId="77777777" w:rsidR="00533140" w:rsidRPr="00533140" w:rsidRDefault="00533140" w:rsidP="00533140">
            <w:pPr>
              <w:pStyle w:val="NormalWeb"/>
              <w:spacing w:before="480" w:after="480"/>
              <w:rPr>
                <w:color w:val="000000"/>
              </w:rPr>
            </w:pPr>
            <w:r w:rsidRPr="00533140">
              <w:rPr>
                <w:color w:val="000000"/>
              </w:rPr>
              <w:t>26.  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496881" w14:textId="77777777" w:rsidR="00533140" w:rsidRPr="00533140" w:rsidRDefault="00533140" w:rsidP="00533140">
            <w:pPr>
              <w:pStyle w:val="NormalWeb"/>
              <w:spacing w:before="480" w:after="480"/>
              <w:jc w:val="both"/>
              <w:rPr>
                <w:color w:val="000000"/>
              </w:rPr>
            </w:pPr>
            <w:r w:rsidRPr="00533140">
              <w:rPr>
                <w:color w:val="000000"/>
              </w:rPr>
              <w:t>used by some politicians to boost their public image</w:t>
            </w:r>
          </w:p>
        </w:tc>
      </w:tr>
      <w:tr w:rsidR="00533140" w:rsidRPr="00533140" w14:paraId="38DE1A66"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5DD556" w14:textId="77777777" w:rsidR="00533140" w:rsidRPr="00533140" w:rsidRDefault="00533140" w:rsidP="00533140">
            <w:pPr>
              <w:pStyle w:val="NormalWeb"/>
              <w:spacing w:before="480" w:after="480"/>
              <w:rPr>
                <w:color w:val="000000"/>
              </w:rPr>
            </w:pPr>
            <w:r w:rsidRPr="00533140">
              <w:rPr>
                <w:color w:val="000000"/>
              </w:rPr>
              <w:t>27.  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CE0D38" w14:textId="77777777" w:rsidR="00533140" w:rsidRPr="00533140" w:rsidRDefault="00533140" w:rsidP="00533140">
            <w:pPr>
              <w:pStyle w:val="NormalWeb"/>
              <w:spacing w:before="480" w:after="480"/>
              <w:jc w:val="both"/>
              <w:rPr>
                <w:color w:val="000000"/>
              </w:rPr>
            </w:pPr>
            <w:r w:rsidRPr="00533140">
              <w:rPr>
                <w:color w:val="000000"/>
              </w:rPr>
              <w:t>not a debt of gratitude I owe to any politician.</w:t>
            </w:r>
          </w:p>
        </w:tc>
      </w:tr>
      <w:tr w:rsidR="00533140" w:rsidRPr="00533140" w14:paraId="597806D1"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A79AF7" w14:textId="77777777" w:rsidR="00533140" w:rsidRPr="00533140" w:rsidRDefault="00533140" w:rsidP="00533140">
            <w:pPr>
              <w:pStyle w:val="NormalWeb"/>
              <w:spacing w:before="480" w:after="480"/>
              <w:rPr>
                <w:color w:val="000000"/>
              </w:rPr>
            </w:pPr>
            <w:r w:rsidRPr="00533140">
              <w:rPr>
                <w:color w:val="000000"/>
              </w:rPr>
              <w:t>28.  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F0BC64" w14:textId="77777777" w:rsidR="00533140" w:rsidRPr="00533140" w:rsidRDefault="00533140" w:rsidP="00533140">
            <w:pPr>
              <w:pStyle w:val="NormalWeb"/>
              <w:spacing w:before="480" w:after="480"/>
              <w:jc w:val="both"/>
              <w:rPr>
                <w:color w:val="000000"/>
              </w:rPr>
            </w:pPr>
            <w:r w:rsidRPr="00533140">
              <w:rPr>
                <w:color w:val="000000"/>
              </w:rPr>
              <w:t>unfair when families who are well-off still receive it.</w:t>
            </w:r>
          </w:p>
        </w:tc>
      </w:tr>
      <w:tr w:rsidR="00533140" w:rsidRPr="00533140" w14:paraId="69DA246E"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AA6C7F" w14:textId="77777777" w:rsidR="00533140" w:rsidRPr="00533140" w:rsidRDefault="00533140" w:rsidP="00533140">
            <w:pPr>
              <w:pStyle w:val="NormalWeb"/>
              <w:spacing w:before="480" w:after="480"/>
              <w:rPr>
                <w:color w:val="000000"/>
              </w:rPr>
            </w:pPr>
            <w:r w:rsidRPr="00533140">
              <w:rPr>
                <w:color w:val="000000"/>
              </w:rPr>
              <w:t>29.  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11258B" w14:textId="77777777" w:rsidR="00533140" w:rsidRPr="00533140" w:rsidRDefault="00533140" w:rsidP="00533140">
            <w:pPr>
              <w:pStyle w:val="NormalWeb"/>
              <w:spacing w:before="480" w:after="480"/>
              <w:jc w:val="both"/>
              <w:rPr>
                <w:color w:val="000000"/>
              </w:rPr>
            </w:pPr>
            <w:r w:rsidRPr="00533140">
              <w:rPr>
                <w:color w:val="000000"/>
              </w:rPr>
              <w:t>often accompanied by speeches from politicians promoting themselves.</w:t>
            </w:r>
          </w:p>
        </w:tc>
      </w:tr>
      <w:tr w:rsidR="00533140" w:rsidRPr="00533140" w14:paraId="0C125625"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B46F1E" w14:textId="77777777" w:rsidR="00533140" w:rsidRPr="00533140" w:rsidRDefault="00533140" w:rsidP="00533140">
            <w:pPr>
              <w:pStyle w:val="NormalWeb"/>
              <w:spacing w:before="480" w:after="480"/>
              <w:rPr>
                <w:color w:val="000000"/>
              </w:rPr>
            </w:pPr>
            <w:r w:rsidRPr="00533140">
              <w:rPr>
                <w:color w:val="000000"/>
              </w:rPr>
              <w:t>30.  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17C5F6" w14:textId="77777777" w:rsidR="00533140" w:rsidRPr="00533140" w:rsidRDefault="00533140" w:rsidP="00533140">
            <w:pPr>
              <w:pStyle w:val="NormalWeb"/>
              <w:spacing w:before="480" w:after="480"/>
              <w:jc w:val="both"/>
              <w:rPr>
                <w:color w:val="000000"/>
              </w:rPr>
            </w:pPr>
            <w:r w:rsidRPr="00533140">
              <w:rPr>
                <w:color w:val="000000"/>
              </w:rPr>
              <w:t>a necessary backup, but not something to rely on forever.</w:t>
            </w:r>
          </w:p>
        </w:tc>
      </w:tr>
      <w:tr w:rsidR="00533140" w:rsidRPr="00533140" w14:paraId="4013525A"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7F92DF" w14:textId="77777777" w:rsidR="00533140" w:rsidRPr="00533140" w:rsidRDefault="00533140" w:rsidP="00533140">
            <w:pPr>
              <w:pStyle w:val="NormalWeb"/>
              <w:spacing w:before="480" w:after="480"/>
              <w:rPr>
                <w:color w:val="000000"/>
              </w:rPr>
            </w:pPr>
            <w:r w:rsidRPr="00533140">
              <w:rPr>
                <w:color w:val="000000"/>
              </w:rPr>
              <w:t>31.  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324F26" w14:textId="77777777" w:rsidR="00533140" w:rsidRPr="00533140" w:rsidRDefault="00533140" w:rsidP="00533140">
            <w:pPr>
              <w:pStyle w:val="NormalWeb"/>
              <w:spacing w:before="480" w:after="480"/>
              <w:jc w:val="both"/>
              <w:rPr>
                <w:color w:val="000000"/>
              </w:rPr>
            </w:pPr>
            <w:r w:rsidRPr="00533140">
              <w:rPr>
                <w:color w:val="000000"/>
              </w:rPr>
              <w:t>needed only when people cannot meet their needs on their own.</w:t>
            </w:r>
          </w:p>
        </w:tc>
      </w:tr>
      <w:tr w:rsidR="00533140" w:rsidRPr="00533140" w14:paraId="60E3C226"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4B0F9A" w14:textId="77777777" w:rsidR="00533140" w:rsidRPr="00533140" w:rsidRDefault="00533140" w:rsidP="00533140">
            <w:pPr>
              <w:pStyle w:val="NormalWeb"/>
              <w:spacing w:before="480" w:after="480"/>
              <w:rPr>
                <w:color w:val="000000"/>
              </w:rPr>
            </w:pPr>
            <w:r w:rsidRPr="00533140">
              <w:rPr>
                <w:color w:val="000000"/>
              </w:rPr>
              <w:t>32.  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A256AC" w14:textId="77777777" w:rsidR="00533140" w:rsidRPr="00533140" w:rsidRDefault="00533140" w:rsidP="00533140">
            <w:pPr>
              <w:pStyle w:val="NormalWeb"/>
              <w:spacing w:before="480" w:after="480"/>
              <w:jc w:val="both"/>
              <w:rPr>
                <w:color w:val="000000"/>
              </w:rPr>
            </w:pPr>
            <w:r w:rsidRPr="00533140">
              <w:rPr>
                <w:color w:val="000000"/>
              </w:rPr>
              <w:t>a necessary support system during times of crisis.</w:t>
            </w:r>
          </w:p>
        </w:tc>
      </w:tr>
      <w:tr w:rsidR="00533140" w:rsidRPr="00533140" w14:paraId="0AA49EFC"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9C1874" w14:textId="77777777" w:rsidR="00533140" w:rsidRPr="00533140" w:rsidRDefault="00533140" w:rsidP="00533140">
            <w:pPr>
              <w:pStyle w:val="NormalWeb"/>
              <w:spacing w:before="480" w:after="480"/>
              <w:rPr>
                <w:color w:val="000000"/>
              </w:rPr>
            </w:pPr>
            <w:r w:rsidRPr="00533140">
              <w:rPr>
                <w:color w:val="000000"/>
              </w:rPr>
              <w:t>33.  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62DC27" w14:textId="77777777" w:rsidR="00533140" w:rsidRPr="00533140" w:rsidRDefault="00533140" w:rsidP="00533140">
            <w:pPr>
              <w:pStyle w:val="NormalWeb"/>
              <w:spacing w:before="480" w:after="480"/>
              <w:jc w:val="both"/>
              <w:rPr>
                <w:color w:val="000000"/>
              </w:rPr>
            </w:pPr>
            <w:r w:rsidRPr="00533140">
              <w:rPr>
                <w:color w:val="000000"/>
              </w:rPr>
              <w:t>something that encourages dependency.</w:t>
            </w:r>
          </w:p>
        </w:tc>
      </w:tr>
      <w:tr w:rsidR="00533140" w:rsidRPr="00533140" w14:paraId="255BF447"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73E2B7" w14:textId="77777777" w:rsidR="00533140" w:rsidRPr="00533140" w:rsidRDefault="00533140" w:rsidP="00533140">
            <w:pPr>
              <w:pStyle w:val="NormalWeb"/>
              <w:spacing w:before="480" w:after="480"/>
              <w:rPr>
                <w:color w:val="000000"/>
              </w:rPr>
            </w:pPr>
            <w:r w:rsidRPr="00533140">
              <w:rPr>
                <w:color w:val="000000"/>
              </w:rPr>
              <w:t>34.  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CD7706" w14:textId="77777777" w:rsidR="00533140" w:rsidRPr="00533140" w:rsidRDefault="00533140" w:rsidP="00533140">
            <w:pPr>
              <w:pStyle w:val="NormalWeb"/>
              <w:spacing w:before="480" w:after="480"/>
              <w:jc w:val="both"/>
              <w:rPr>
                <w:color w:val="000000"/>
              </w:rPr>
            </w:pPr>
            <w:r w:rsidRPr="00533140">
              <w:rPr>
                <w:color w:val="000000"/>
              </w:rPr>
              <w:t>a short-term help when I have no one else to rely on.</w:t>
            </w:r>
          </w:p>
        </w:tc>
      </w:tr>
      <w:tr w:rsidR="00533140" w:rsidRPr="00533140" w14:paraId="655FD872"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B70C20" w14:textId="77777777" w:rsidR="00533140" w:rsidRPr="00533140" w:rsidRDefault="00533140" w:rsidP="00533140">
            <w:pPr>
              <w:pStyle w:val="NormalWeb"/>
              <w:spacing w:before="480" w:after="480"/>
              <w:rPr>
                <w:color w:val="000000"/>
              </w:rPr>
            </w:pPr>
            <w:r w:rsidRPr="00533140">
              <w:rPr>
                <w:color w:val="000000"/>
              </w:rPr>
              <w:t>35.  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591AA4" w14:textId="77777777" w:rsidR="00533140" w:rsidRPr="00533140" w:rsidRDefault="00533140" w:rsidP="00533140">
            <w:pPr>
              <w:pStyle w:val="NormalWeb"/>
              <w:spacing w:before="480" w:after="480"/>
              <w:jc w:val="both"/>
              <w:rPr>
                <w:color w:val="000000"/>
              </w:rPr>
            </w:pPr>
            <w:r w:rsidRPr="00533140">
              <w:rPr>
                <w:color w:val="000000"/>
              </w:rPr>
              <w:t>important when jobs are scarce or income is delayed.</w:t>
            </w:r>
          </w:p>
        </w:tc>
      </w:tr>
      <w:tr w:rsidR="00533140" w:rsidRPr="00533140" w14:paraId="2E100DD6"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FF8992" w14:textId="77777777" w:rsidR="00533140" w:rsidRPr="00533140" w:rsidRDefault="00533140" w:rsidP="00533140">
            <w:pPr>
              <w:pStyle w:val="NormalWeb"/>
              <w:spacing w:before="480" w:after="480"/>
              <w:rPr>
                <w:color w:val="000000"/>
              </w:rPr>
            </w:pPr>
            <w:r w:rsidRPr="00533140">
              <w:rPr>
                <w:color w:val="000000"/>
              </w:rPr>
              <w:t>36.  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4D7F0D" w14:textId="77777777" w:rsidR="00533140" w:rsidRPr="00533140" w:rsidRDefault="00533140" w:rsidP="00533140">
            <w:pPr>
              <w:pStyle w:val="NormalWeb"/>
              <w:spacing w:before="480" w:after="480"/>
              <w:rPr>
                <w:color w:val="000000"/>
              </w:rPr>
            </w:pPr>
            <w:r w:rsidRPr="00533140">
              <w:rPr>
                <w:color w:val="000000"/>
              </w:rPr>
              <w:t>a source of hope for low-income families.</w:t>
            </w:r>
          </w:p>
        </w:tc>
      </w:tr>
      <w:tr w:rsidR="00533140" w:rsidRPr="00533140" w14:paraId="060A653A"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EF84D0" w14:textId="77777777" w:rsidR="00533140" w:rsidRPr="00533140" w:rsidRDefault="00533140" w:rsidP="00533140">
            <w:pPr>
              <w:pStyle w:val="NormalWeb"/>
              <w:spacing w:before="480" w:after="480"/>
              <w:rPr>
                <w:color w:val="000000"/>
              </w:rPr>
            </w:pPr>
            <w:r w:rsidRPr="00533140">
              <w:rPr>
                <w:color w:val="000000"/>
              </w:rPr>
              <w:t>37.  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C6F0A2" w14:textId="77777777" w:rsidR="00533140" w:rsidRPr="00533140" w:rsidRDefault="00533140" w:rsidP="00533140">
            <w:pPr>
              <w:pStyle w:val="NormalWeb"/>
              <w:spacing w:before="480" w:after="480"/>
              <w:jc w:val="both"/>
              <w:rPr>
                <w:color w:val="000000"/>
              </w:rPr>
            </w:pPr>
            <w:r w:rsidRPr="00533140">
              <w:rPr>
                <w:color w:val="000000"/>
              </w:rPr>
              <w:t>a support that I can survive without.</w:t>
            </w:r>
          </w:p>
        </w:tc>
      </w:tr>
      <w:tr w:rsidR="00533140" w:rsidRPr="00533140" w14:paraId="58FBEE9D"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DA0489" w14:textId="77777777" w:rsidR="00533140" w:rsidRPr="00533140" w:rsidRDefault="00533140" w:rsidP="00533140">
            <w:pPr>
              <w:pStyle w:val="NormalWeb"/>
              <w:spacing w:before="480" w:after="480"/>
              <w:rPr>
                <w:color w:val="000000"/>
              </w:rPr>
            </w:pPr>
            <w:r w:rsidRPr="00533140">
              <w:rPr>
                <w:color w:val="000000"/>
              </w:rPr>
              <w:t>38.  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ECEAE3" w14:textId="77777777" w:rsidR="00533140" w:rsidRPr="00533140" w:rsidRDefault="00533140" w:rsidP="00533140">
            <w:pPr>
              <w:pStyle w:val="NormalWeb"/>
              <w:spacing w:before="480" w:after="480"/>
              <w:jc w:val="both"/>
              <w:rPr>
                <w:color w:val="000000"/>
              </w:rPr>
            </w:pPr>
            <w:r w:rsidRPr="00533140">
              <w:rPr>
                <w:color w:val="000000"/>
              </w:rPr>
              <w:t>a proof that the government is fulfilling its duty.</w:t>
            </w:r>
          </w:p>
        </w:tc>
      </w:tr>
      <w:tr w:rsidR="00533140" w:rsidRPr="00533140" w14:paraId="588F63DA"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FDE94E" w14:textId="77777777" w:rsidR="00533140" w:rsidRPr="00533140" w:rsidRDefault="00533140" w:rsidP="00533140">
            <w:pPr>
              <w:pStyle w:val="NormalWeb"/>
              <w:spacing w:before="480" w:after="480"/>
              <w:rPr>
                <w:color w:val="000000"/>
              </w:rPr>
            </w:pPr>
            <w:r w:rsidRPr="00533140">
              <w:rPr>
                <w:color w:val="000000"/>
              </w:rPr>
              <w:t>39.  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EC413B" w14:textId="77777777" w:rsidR="00533140" w:rsidRPr="00533140" w:rsidRDefault="00533140" w:rsidP="00533140">
            <w:pPr>
              <w:pStyle w:val="NormalWeb"/>
              <w:spacing w:before="480" w:after="480"/>
              <w:jc w:val="both"/>
              <w:rPr>
                <w:color w:val="000000"/>
              </w:rPr>
            </w:pPr>
            <w:r w:rsidRPr="00533140">
              <w:rPr>
                <w:color w:val="000000"/>
              </w:rPr>
              <w:t>not a form of corruption.</w:t>
            </w:r>
          </w:p>
        </w:tc>
      </w:tr>
      <w:tr w:rsidR="00533140" w:rsidRPr="00533140" w14:paraId="07ACAD5E" w14:textId="77777777" w:rsidTr="00533140">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F67FDC" w14:textId="77777777" w:rsidR="00533140" w:rsidRPr="00533140" w:rsidRDefault="00533140" w:rsidP="00533140">
            <w:pPr>
              <w:pStyle w:val="NormalWeb"/>
              <w:spacing w:before="480" w:after="480"/>
              <w:rPr>
                <w:color w:val="000000"/>
              </w:rPr>
            </w:pPr>
            <w:r w:rsidRPr="00533140">
              <w:rPr>
                <w:color w:val="000000"/>
              </w:rPr>
              <w:t>40.  </w:t>
            </w:r>
          </w:p>
        </w:tc>
        <w:tc>
          <w:tcPr>
            <w:tcW w:w="99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93D058" w14:textId="77777777" w:rsidR="00533140" w:rsidRPr="00533140" w:rsidRDefault="00533140" w:rsidP="00533140">
            <w:pPr>
              <w:pStyle w:val="NormalWeb"/>
              <w:spacing w:before="480" w:after="480"/>
              <w:jc w:val="both"/>
              <w:rPr>
                <w:color w:val="000000"/>
              </w:rPr>
            </w:pPr>
            <w:r w:rsidRPr="00533140">
              <w:rPr>
                <w:color w:val="000000"/>
              </w:rPr>
              <w:t>a practical way for the government to return the taxes paid by the people.</w:t>
            </w:r>
          </w:p>
        </w:tc>
      </w:tr>
    </w:tbl>
    <w:p w14:paraId="0683AA1F" w14:textId="77777777" w:rsidR="00533140" w:rsidRPr="00533140" w:rsidRDefault="00533140" w:rsidP="00533140">
      <w:pPr>
        <w:pStyle w:val="NormalWeb"/>
        <w:spacing w:before="480" w:after="480"/>
        <w:rPr>
          <w:color w:val="000000"/>
        </w:rPr>
      </w:pPr>
      <w:r w:rsidRPr="00533140">
        <w:rPr>
          <w:b/>
          <w:bCs/>
          <w:color w:val="000000"/>
        </w:rPr>
        <w:t>Findings for Quantitative Phase</w:t>
      </w:r>
    </w:p>
    <w:p w14:paraId="042218DE" w14:textId="77777777" w:rsidR="00533140" w:rsidRPr="00533140" w:rsidRDefault="00533140" w:rsidP="00533140">
      <w:pPr>
        <w:pStyle w:val="NormalWeb"/>
        <w:spacing w:before="480" w:after="480"/>
        <w:jc w:val="both"/>
        <w:rPr>
          <w:color w:val="000000"/>
        </w:rPr>
      </w:pPr>
      <w:r w:rsidRPr="00533140">
        <w:rPr>
          <w:color w:val="000000"/>
        </w:rPr>
        <w:tab/>
        <w:t>To assess the suitability of the data for Exploratory Factor Analysis (EFA), the Kaiser-Meyer-Olkin (KMO) Measure of Sampling Adequacy and Bartlett’s Test of Sphericity were computed. The KMO value was 0.839, which, according to Kaiser’s (1974) guidelines, falls within the acceptable range for factor analysis. This suggests that partial correlations among variables are low, indicating the presence of underlying common factors. Bartlett’s Test of Sphericity produced a Chi-Square value of 4350.628 with 780 degrees of freedom (p &lt; .001), confirming that correlations among items are statistically significant. These results validate that the dataset is factorable and appropriate for dimension reduction using EFA (Field, 2013; Tabachnick &amp; Fidell, 2019; Hair et al., 2010).</w:t>
      </w:r>
    </w:p>
    <w:p w14:paraId="2B20B991" w14:textId="7F97F51A" w:rsidR="00533140" w:rsidRPr="00533140" w:rsidRDefault="00533140" w:rsidP="00533140">
      <w:pPr>
        <w:pStyle w:val="NormalWeb"/>
        <w:spacing w:before="0" w:beforeAutospacing="0" w:after="0" w:afterAutospacing="0"/>
        <w:rPr>
          <w:color w:val="000000"/>
        </w:rPr>
      </w:pPr>
      <w:r w:rsidRPr="00533140">
        <w:rPr>
          <w:i/>
          <w:iCs/>
          <w:color w:val="000000"/>
        </w:rPr>
        <w:t>Table 3</w:t>
      </w:r>
      <w:r>
        <w:rPr>
          <w:i/>
          <w:iCs/>
          <w:color w:val="000000"/>
        </w:rPr>
        <w:t>:</w:t>
      </w:r>
      <w:r w:rsidRPr="00533140">
        <w:rPr>
          <w:i/>
          <w:iCs/>
          <w:color w:val="000000"/>
        </w:rPr>
        <w:t xml:space="preserve"> KMO and Bartlett's Test</w:t>
      </w:r>
    </w:p>
    <w:tbl>
      <w:tblPr>
        <w:tblW w:w="0" w:type="auto"/>
        <w:tblCellMar>
          <w:top w:w="15" w:type="dxa"/>
          <w:left w:w="15" w:type="dxa"/>
          <w:bottom w:w="15" w:type="dxa"/>
          <w:right w:w="15" w:type="dxa"/>
        </w:tblCellMar>
        <w:tblLook w:val="04A0" w:firstRow="1" w:lastRow="0" w:firstColumn="1" w:lastColumn="0" w:noHBand="0" w:noVBand="1"/>
      </w:tblPr>
      <w:tblGrid>
        <w:gridCol w:w="6237"/>
        <w:gridCol w:w="2835"/>
        <w:gridCol w:w="1560"/>
      </w:tblGrid>
      <w:tr w:rsidR="00533140" w:rsidRPr="00533140" w14:paraId="015925C7" w14:textId="77777777" w:rsidTr="00533140">
        <w:trPr>
          <w:trHeight w:val="283"/>
        </w:trPr>
        <w:tc>
          <w:tcPr>
            <w:tcW w:w="9072" w:type="dxa"/>
            <w:gridSpan w:val="2"/>
            <w:tcBorders>
              <w:top w:val="single" w:sz="6" w:space="0" w:color="000000"/>
            </w:tcBorders>
            <w:hideMark/>
          </w:tcPr>
          <w:p w14:paraId="217BBD01" w14:textId="77777777" w:rsidR="00533140" w:rsidRPr="00533140" w:rsidRDefault="00533140" w:rsidP="00533140">
            <w:pPr>
              <w:pStyle w:val="NormalWeb"/>
              <w:spacing w:before="480" w:after="480"/>
              <w:rPr>
                <w:color w:val="000000"/>
              </w:rPr>
            </w:pPr>
            <w:r w:rsidRPr="00533140">
              <w:rPr>
                <w:color w:val="000000"/>
              </w:rPr>
              <w:t>Kaiser-Meyer-Olkin Measure of Sampling Adequacy.</w:t>
            </w:r>
          </w:p>
        </w:tc>
        <w:tc>
          <w:tcPr>
            <w:tcW w:w="1560" w:type="dxa"/>
            <w:tcBorders>
              <w:top w:val="single" w:sz="6" w:space="0" w:color="000000"/>
            </w:tcBorders>
            <w:hideMark/>
          </w:tcPr>
          <w:p w14:paraId="230E9439" w14:textId="77777777" w:rsidR="00533140" w:rsidRPr="00533140" w:rsidRDefault="00533140" w:rsidP="00533140">
            <w:pPr>
              <w:pStyle w:val="NormalWeb"/>
              <w:spacing w:before="480" w:after="480"/>
              <w:rPr>
                <w:color w:val="000000"/>
              </w:rPr>
            </w:pPr>
            <w:r w:rsidRPr="00533140">
              <w:rPr>
                <w:color w:val="000000"/>
              </w:rPr>
              <w:t>.839</w:t>
            </w:r>
          </w:p>
        </w:tc>
      </w:tr>
      <w:tr w:rsidR="00533140" w:rsidRPr="00533140" w14:paraId="1D67688F" w14:textId="77777777" w:rsidTr="00533140">
        <w:trPr>
          <w:trHeight w:val="300"/>
        </w:trPr>
        <w:tc>
          <w:tcPr>
            <w:tcW w:w="6237" w:type="dxa"/>
            <w:vMerge w:val="restart"/>
            <w:tcBorders>
              <w:bottom w:val="single" w:sz="6" w:space="0" w:color="000000"/>
            </w:tcBorders>
            <w:hideMark/>
          </w:tcPr>
          <w:p w14:paraId="540AF951" w14:textId="77777777" w:rsidR="00533140" w:rsidRPr="00533140" w:rsidRDefault="00533140" w:rsidP="00533140">
            <w:pPr>
              <w:pStyle w:val="NormalWeb"/>
              <w:spacing w:before="480" w:after="480"/>
              <w:rPr>
                <w:color w:val="000000"/>
              </w:rPr>
            </w:pPr>
            <w:r w:rsidRPr="00533140">
              <w:rPr>
                <w:color w:val="000000"/>
              </w:rPr>
              <w:t>Bartlett's Test of Sphericity</w:t>
            </w:r>
          </w:p>
        </w:tc>
        <w:tc>
          <w:tcPr>
            <w:tcW w:w="2835" w:type="dxa"/>
            <w:hideMark/>
          </w:tcPr>
          <w:p w14:paraId="440B70D8" w14:textId="77777777" w:rsidR="00533140" w:rsidRPr="00533140" w:rsidRDefault="00533140" w:rsidP="00533140">
            <w:pPr>
              <w:pStyle w:val="NormalWeb"/>
              <w:spacing w:before="480" w:after="480"/>
              <w:rPr>
                <w:color w:val="000000"/>
              </w:rPr>
            </w:pPr>
            <w:r w:rsidRPr="00533140">
              <w:rPr>
                <w:color w:val="000000"/>
              </w:rPr>
              <w:t>Approx. Chi-Square</w:t>
            </w:r>
          </w:p>
        </w:tc>
        <w:tc>
          <w:tcPr>
            <w:tcW w:w="1560" w:type="dxa"/>
            <w:hideMark/>
          </w:tcPr>
          <w:p w14:paraId="05F4DA4D" w14:textId="77777777" w:rsidR="00533140" w:rsidRPr="00533140" w:rsidRDefault="00533140" w:rsidP="00533140">
            <w:pPr>
              <w:pStyle w:val="NormalWeb"/>
              <w:spacing w:before="480" w:after="480"/>
              <w:rPr>
                <w:color w:val="000000"/>
              </w:rPr>
            </w:pPr>
            <w:r w:rsidRPr="00533140">
              <w:rPr>
                <w:color w:val="000000"/>
              </w:rPr>
              <w:t>4350.628</w:t>
            </w:r>
          </w:p>
        </w:tc>
      </w:tr>
      <w:tr w:rsidR="00533140" w:rsidRPr="00533140" w14:paraId="4DB02AA3" w14:textId="77777777" w:rsidTr="00533140">
        <w:trPr>
          <w:trHeight w:val="255"/>
        </w:trPr>
        <w:tc>
          <w:tcPr>
            <w:tcW w:w="6237" w:type="dxa"/>
            <w:vMerge/>
            <w:tcBorders>
              <w:bottom w:val="single" w:sz="6" w:space="0" w:color="000000"/>
            </w:tcBorders>
            <w:vAlign w:val="center"/>
            <w:hideMark/>
          </w:tcPr>
          <w:p w14:paraId="2322EC59" w14:textId="77777777" w:rsidR="00533140" w:rsidRPr="00533140" w:rsidRDefault="00533140" w:rsidP="00533140">
            <w:pPr>
              <w:pStyle w:val="NormalWeb"/>
              <w:spacing w:before="480" w:after="480"/>
              <w:jc w:val="both"/>
              <w:rPr>
                <w:color w:val="000000"/>
              </w:rPr>
            </w:pPr>
          </w:p>
        </w:tc>
        <w:tc>
          <w:tcPr>
            <w:tcW w:w="2835" w:type="dxa"/>
            <w:hideMark/>
          </w:tcPr>
          <w:p w14:paraId="0DD1E73B" w14:textId="77777777" w:rsidR="00533140" w:rsidRPr="00533140" w:rsidRDefault="00533140" w:rsidP="00533140">
            <w:pPr>
              <w:pStyle w:val="NormalWeb"/>
              <w:spacing w:before="480" w:after="480"/>
              <w:rPr>
                <w:color w:val="000000"/>
              </w:rPr>
            </w:pPr>
            <w:proofErr w:type="spellStart"/>
            <w:r w:rsidRPr="00533140">
              <w:rPr>
                <w:color w:val="000000"/>
              </w:rPr>
              <w:t>df</w:t>
            </w:r>
            <w:proofErr w:type="spellEnd"/>
          </w:p>
        </w:tc>
        <w:tc>
          <w:tcPr>
            <w:tcW w:w="1560" w:type="dxa"/>
            <w:hideMark/>
          </w:tcPr>
          <w:p w14:paraId="48A06E31" w14:textId="77777777" w:rsidR="00533140" w:rsidRPr="00533140" w:rsidRDefault="00533140" w:rsidP="00533140">
            <w:pPr>
              <w:pStyle w:val="NormalWeb"/>
              <w:spacing w:before="480" w:after="480"/>
              <w:rPr>
                <w:color w:val="000000"/>
              </w:rPr>
            </w:pPr>
            <w:r w:rsidRPr="00533140">
              <w:rPr>
                <w:color w:val="000000"/>
              </w:rPr>
              <w:t>780</w:t>
            </w:r>
          </w:p>
        </w:tc>
      </w:tr>
      <w:tr w:rsidR="00533140" w:rsidRPr="00533140" w14:paraId="1CBC2E39" w14:textId="77777777" w:rsidTr="00533140">
        <w:trPr>
          <w:trHeight w:val="330"/>
        </w:trPr>
        <w:tc>
          <w:tcPr>
            <w:tcW w:w="6237" w:type="dxa"/>
            <w:vMerge/>
            <w:tcBorders>
              <w:bottom w:val="single" w:sz="6" w:space="0" w:color="000000"/>
            </w:tcBorders>
            <w:vAlign w:val="center"/>
            <w:hideMark/>
          </w:tcPr>
          <w:p w14:paraId="7A608B13" w14:textId="77777777" w:rsidR="00533140" w:rsidRPr="00533140" w:rsidRDefault="00533140" w:rsidP="00533140">
            <w:pPr>
              <w:pStyle w:val="NormalWeb"/>
              <w:spacing w:before="480" w:after="480"/>
              <w:jc w:val="both"/>
              <w:rPr>
                <w:color w:val="000000"/>
              </w:rPr>
            </w:pPr>
          </w:p>
        </w:tc>
        <w:tc>
          <w:tcPr>
            <w:tcW w:w="2835" w:type="dxa"/>
            <w:tcBorders>
              <w:bottom w:val="single" w:sz="6" w:space="0" w:color="000000"/>
            </w:tcBorders>
            <w:hideMark/>
          </w:tcPr>
          <w:p w14:paraId="64C44C44" w14:textId="77777777" w:rsidR="00533140" w:rsidRPr="00533140" w:rsidRDefault="00533140" w:rsidP="00533140">
            <w:pPr>
              <w:pStyle w:val="NormalWeb"/>
              <w:spacing w:before="480" w:after="480"/>
              <w:rPr>
                <w:color w:val="000000"/>
              </w:rPr>
            </w:pPr>
            <w:r w:rsidRPr="00533140">
              <w:rPr>
                <w:color w:val="000000"/>
              </w:rPr>
              <w:t>Sig.</w:t>
            </w:r>
          </w:p>
        </w:tc>
        <w:tc>
          <w:tcPr>
            <w:tcW w:w="1560" w:type="dxa"/>
            <w:tcBorders>
              <w:bottom w:val="single" w:sz="6" w:space="0" w:color="000000"/>
            </w:tcBorders>
            <w:hideMark/>
          </w:tcPr>
          <w:p w14:paraId="59AEA9FD" w14:textId="77777777" w:rsidR="00533140" w:rsidRPr="00533140" w:rsidRDefault="00533140" w:rsidP="00533140">
            <w:pPr>
              <w:pStyle w:val="NormalWeb"/>
              <w:spacing w:before="480" w:after="480"/>
              <w:rPr>
                <w:color w:val="000000"/>
              </w:rPr>
            </w:pPr>
            <w:r w:rsidRPr="00533140">
              <w:rPr>
                <w:color w:val="000000"/>
              </w:rPr>
              <w:t>.000</w:t>
            </w:r>
          </w:p>
        </w:tc>
      </w:tr>
    </w:tbl>
    <w:p w14:paraId="7A45F5FA" w14:textId="77777777" w:rsidR="00533140" w:rsidRPr="00533140" w:rsidRDefault="00533140" w:rsidP="00533140">
      <w:pPr>
        <w:pStyle w:val="NormalWeb"/>
        <w:spacing w:before="480" w:after="480"/>
        <w:ind w:firstLine="720"/>
        <w:jc w:val="both"/>
        <w:rPr>
          <w:color w:val="000000"/>
        </w:rPr>
      </w:pPr>
      <w:r w:rsidRPr="00533140">
        <w:rPr>
          <w:color w:val="000000"/>
        </w:rPr>
        <w:t>These results confirmed the dataset’s suitability for EFA and justify the use of PCA with Varimax rotation to identify the underlying structure of perceptions toward “</w:t>
      </w:r>
      <w:proofErr w:type="spellStart"/>
      <w:r w:rsidRPr="00533140">
        <w:rPr>
          <w:color w:val="000000"/>
        </w:rPr>
        <w:t>ayuda</w:t>
      </w:r>
      <w:proofErr w:type="spellEnd"/>
      <w:r w:rsidRPr="00533140">
        <w:rPr>
          <w:color w:val="000000"/>
        </w:rPr>
        <w:t>” programs. Furthermore, the Kaiser Criterion (Kaiser, 1960) was used to guide factor extraction via Principal Component Analysis (PCA). Eight factors with eigenvalues above 1.0 were identified, accounting for 63.495% of the total variance—exceeding the 50% threshold considered acceptable in social science research (Hair et al., 2010; Yong &amp; Pearce, 2013).</w:t>
      </w:r>
    </w:p>
    <w:p w14:paraId="68FA7DA4" w14:textId="77777777" w:rsidR="00533140" w:rsidRPr="00533140" w:rsidRDefault="00533140" w:rsidP="00533140">
      <w:pPr>
        <w:pStyle w:val="NormalWeb"/>
        <w:spacing w:before="480" w:after="480"/>
        <w:ind w:firstLine="720"/>
        <w:jc w:val="both"/>
        <w:rPr>
          <w:color w:val="000000"/>
        </w:rPr>
      </w:pPr>
      <w:r w:rsidRPr="00533140">
        <w:rPr>
          <w:color w:val="000000"/>
        </w:rPr>
        <w:t>Factor 1 recorded the highest eigenvalue of 5.678, explaining 14.20% of the total variance. This was followed by Factor 2 (5.085, 12.71%), Factor 3 (4.382, 10.95%), Factor 4 (3.369, 8.42%), Factor 5 (2.420, 6.05%), and Factor 6 (1.855, 4.64%). Factors 7 and 8, although exceeding the eigenvalue threshold (1.552 and 1.057, respectively), contributed marginal proportions of variance (3.88% and 2.64%).</w:t>
      </w:r>
    </w:p>
    <w:p w14:paraId="1AC7F7A6" w14:textId="77777777" w:rsidR="00533140" w:rsidRDefault="00533140">
      <w:pPr>
        <w:rPr>
          <w:rFonts w:ascii="Times New Roman" w:eastAsia="Times New Roman" w:hAnsi="Times New Roman" w:cs="Times New Roman"/>
          <w:i/>
          <w:iCs/>
          <w:color w:val="000000"/>
          <w:sz w:val="24"/>
          <w:szCs w:val="24"/>
          <w:lang w:eastAsia="en-PH"/>
        </w:rPr>
      </w:pPr>
      <w:r>
        <w:rPr>
          <w:i/>
          <w:iCs/>
          <w:color w:val="000000"/>
        </w:rPr>
        <w:br w:type="page"/>
      </w:r>
    </w:p>
    <w:p w14:paraId="6CB2E64D" w14:textId="520B6900" w:rsidR="00533140" w:rsidRPr="00533140" w:rsidRDefault="00533140" w:rsidP="00533140">
      <w:pPr>
        <w:pStyle w:val="NormalWeb"/>
        <w:spacing w:before="0" w:beforeAutospacing="0" w:after="240" w:afterAutospacing="0"/>
        <w:jc w:val="both"/>
        <w:rPr>
          <w:i/>
          <w:iCs/>
          <w:color w:val="000000"/>
        </w:rPr>
      </w:pPr>
      <w:r w:rsidRPr="00533140">
        <w:rPr>
          <w:i/>
          <w:iCs/>
          <w:color w:val="000000"/>
        </w:rPr>
        <w:lastRenderedPageBreak/>
        <w:t>Table 4</w:t>
      </w:r>
      <w:r>
        <w:rPr>
          <w:i/>
          <w:iCs/>
          <w:color w:val="000000"/>
        </w:rPr>
        <w:t xml:space="preserve">: </w:t>
      </w:r>
      <w:r w:rsidRPr="00533140">
        <w:rPr>
          <w:i/>
          <w:iCs/>
          <w:color w:val="000000"/>
        </w:rPr>
        <w:t>Latent Roots Criterion</w:t>
      </w:r>
    </w:p>
    <w:tbl>
      <w:tblPr>
        <w:tblW w:w="0" w:type="auto"/>
        <w:tblInd w:w="1843" w:type="dxa"/>
        <w:tblCellMar>
          <w:top w:w="15" w:type="dxa"/>
          <w:left w:w="15" w:type="dxa"/>
          <w:bottom w:w="15" w:type="dxa"/>
          <w:right w:w="15" w:type="dxa"/>
        </w:tblCellMar>
        <w:tblLook w:val="04A0" w:firstRow="1" w:lastRow="0" w:firstColumn="1" w:lastColumn="0" w:noHBand="0" w:noVBand="1"/>
      </w:tblPr>
      <w:tblGrid>
        <w:gridCol w:w="1418"/>
        <w:gridCol w:w="1417"/>
        <w:gridCol w:w="1843"/>
        <w:gridCol w:w="1984"/>
      </w:tblGrid>
      <w:tr w:rsidR="00533140" w:rsidRPr="00533140" w14:paraId="376512A3" w14:textId="77777777" w:rsidTr="00533140">
        <w:trPr>
          <w:trHeight w:val="225"/>
        </w:trPr>
        <w:tc>
          <w:tcPr>
            <w:tcW w:w="1418" w:type="dxa"/>
            <w:tcBorders>
              <w:top w:val="single" w:sz="6" w:space="0" w:color="000000"/>
              <w:bottom w:val="single" w:sz="6" w:space="0" w:color="000000"/>
            </w:tcBorders>
            <w:hideMark/>
          </w:tcPr>
          <w:p w14:paraId="2639FD21" w14:textId="77777777" w:rsidR="00533140" w:rsidRPr="00533140" w:rsidRDefault="00533140" w:rsidP="00533140">
            <w:pPr>
              <w:pStyle w:val="NormalWeb"/>
              <w:spacing w:before="480" w:after="480"/>
              <w:jc w:val="both"/>
              <w:rPr>
                <w:color w:val="000000"/>
              </w:rPr>
            </w:pPr>
            <w:r w:rsidRPr="00533140">
              <w:rPr>
                <w:color w:val="000000"/>
              </w:rPr>
              <w:t> </w:t>
            </w:r>
          </w:p>
        </w:tc>
        <w:tc>
          <w:tcPr>
            <w:tcW w:w="1417" w:type="dxa"/>
            <w:tcBorders>
              <w:top w:val="single" w:sz="6" w:space="0" w:color="000000"/>
              <w:bottom w:val="single" w:sz="6" w:space="0" w:color="000000"/>
            </w:tcBorders>
            <w:hideMark/>
          </w:tcPr>
          <w:p w14:paraId="19B096DC" w14:textId="77777777" w:rsidR="00533140" w:rsidRPr="00533140" w:rsidRDefault="00533140" w:rsidP="00533140">
            <w:pPr>
              <w:pStyle w:val="NormalWeb"/>
              <w:spacing w:before="480" w:after="480"/>
              <w:jc w:val="center"/>
              <w:rPr>
                <w:color w:val="000000"/>
              </w:rPr>
            </w:pPr>
            <w:r w:rsidRPr="00533140">
              <w:rPr>
                <w:color w:val="000000"/>
              </w:rPr>
              <w:t>Eigenvalues</w:t>
            </w:r>
          </w:p>
        </w:tc>
        <w:tc>
          <w:tcPr>
            <w:tcW w:w="1843" w:type="dxa"/>
            <w:tcBorders>
              <w:top w:val="single" w:sz="6" w:space="0" w:color="000000"/>
              <w:bottom w:val="single" w:sz="6" w:space="0" w:color="000000"/>
            </w:tcBorders>
            <w:hideMark/>
          </w:tcPr>
          <w:p w14:paraId="26982E6B" w14:textId="77777777" w:rsidR="00533140" w:rsidRPr="00533140" w:rsidRDefault="00533140" w:rsidP="00533140">
            <w:pPr>
              <w:pStyle w:val="NormalWeb"/>
              <w:spacing w:before="480" w:after="480"/>
              <w:jc w:val="center"/>
              <w:rPr>
                <w:color w:val="000000"/>
              </w:rPr>
            </w:pPr>
            <w:r w:rsidRPr="00533140">
              <w:rPr>
                <w:color w:val="000000"/>
              </w:rPr>
              <w:t>Proportion Variance</w:t>
            </w:r>
          </w:p>
        </w:tc>
        <w:tc>
          <w:tcPr>
            <w:tcW w:w="1984" w:type="dxa"/>
            <w:tcBorders>
              <w:top w:val="single" w:sz="6" w:space="0" w:color="000000"/>
              <w:bottom w:val="single" w:sz="6" w:space="0" w:color="000000"/>
            </w:tcBorders>
            <w:hideMark/>
          </w:tcPr>
          <w:p w14:paraId="37399710" w14:textId="77777777" w:rsidR="00533140" w:rsidRPr="00533140" w:rsidRDefault="00533140" w:rsidP="00533140">
            <w:pPr>
              <w:pStyle w:val="NormalWeb"/>
              <w:spacing w:before="480" w:after="480"/>
              <w:jc w:val="center"/>
              <w:rPr>
                <w:color w:val="000000"/>
              </w:rPr>
            </w:pPr>
            <w:r w:rsidRPr="00533140">
              <w:rPr>
                <w:color w:val="000000"/>
              </w:rPr>
              <w:t>Cumulative Variance</w:t>
            </w:r>
          </w:p>
        </w:tc>
      </w:tr>
      <w:tr w:rsidR="00533140" w:rsidRPr="00533140" w14:paraId="274C4E9F" w14:textId="77777777" w:rsidTr="00533140">
        <w:trPr>
          <w:trHeight w:val="240"/>
        </w:trPr>
        <w:tc>
          <w:tcPr>
            <w:tcW w:w="1418" w:type="dxa"/>
            <w:tcBorders>
              <w:top w:val="single" w:sz="6" w:space="0" w:color="000000"/>
            </w:tcBorders>
            <w:hideMark/>
          </w:tcPr>
          <w:p w14:paraId="3B88B82E" w14:textId="77777777" w:rsidR="00533140" w:rsidRPr="00533140" w:rsidRDefault="00533140" w:rsidP="00533140">
            <w:pPr>
              <w:pStyle w:val="NormalWeb"/>
              <w:spacing w:before="480" w:after="480"/>
              <w:jc w:val="center"/>
              <w:rPr>
                <w:color w:val="000000"/>
              </w:rPr>
            </w:pPr>
            <w:r w:rsidRPr="00533140">
              <w:rPr>
                <w:color w:val="000000"/>
              </w:rPr>
              <w:t>Factor 1</w:t>
            </w:r>
          </w:p>
        </w:tc>
        <w:tc>
          <w:tcPr>
            <w:tcW w:w="1417" w:type="dxa"/>
            <w:tcBorders>
              <w:top w:val="single" w:sz="6" w:space="0" w:color="000000"/>
            </w:tcBorders>
            <w:hideMark/>
          </w:tcPr>
          <w:p w14:paraId="070E82B3" w14:textId="77777777" w:rsidR="00533140" w:rsidRPr="00533140" w:rsidRDefault="00533140" w:rsidP="00533140">
            <w:pPr>
              <w:pStyle w:val="NormalWeb"/>
              <w:spacing w:before="480" w:after="480"/>
              <w:jc w:val="center"/>
              <w:rPr>
                <w:color w:val="000000"/>
              </w:rPr>
            </w:pPr>
            <w:r w:rsidRPr="00533140">
              <w:rPr>
                <w:color w:val="000000"/>
              </w:rPr>
              <w:t>5.678</w:t>
            </w:r>
          </w:p>
        </w:tc>
        <w:tc>
          <w:tcPr>
            <w:tcW w:w="1843" w:type="dxa"/>
            <w:tcBorders>
              <w:top w:val="single" w:sz="6" w:space="0" w:color="000000"/>
            </w:tcBorders>
            <w:hideMark/>
          </w:tcPr>
          <w:p w14:paraId="52B8B32A" w14:textId="77777777" w:rsidR="00533140" w:rsidRPr="00533140" w:rsidRDefault="00533140" w:rsidP="00533140">
            <w:pPr>
              <w:pStyle w:val="NormalWeb"/>
              <w:spacing w:before="480" w:after="480"/>
              <w:jc w:val="center"/>
              <w:rPr>
                <w:color w:val="000000"/>
              </w:rPr>
            </w:pPr>
            <w:r w:rsidRPr="00533140">
              <w:rPr>
                <w:color w:val="000000"/>
              </w:rPr>
              <w:t>14.196</w:t>
            </w:r>
          </w:p>
        </w:tc>
        <w:tc>
          <w:tcPr>
            <w:tcW w:w="1984" w:type="dxa"/>
            <w:tcBorders>
              <w:top w:val="single" w:sz="6" w:space="0" w:color="000000"/>
            </w:tcBorders>
            <w:hideMark/>
          </w:tcPr>
          <w:p w14:paraId="12BE3D8F" w14:textId="77777777" w:rsidR="00533140" w:rsidRPr="00533140" w:rsidRDefault="00533140" w:rsidP="00533140">
            <w:pPr>
              <w:pStyle w:val="NormalWeb"/>
              <w:spacing w:before="480" w:after="480"/>
              <w:jc w:val="center"/>
              <w:rPr>
                <w:color w:val="000000"/>
              </w:rPr>
            </w:pPr>
            <w:r w:rsidRPr="00533140">
              <w:rPr>
                <w:color w:val="000000"/>
              </w:rPr>
              <w:t>14.196</w:t>
            </w:r>
          </w:p>
        </w:tc>
      </w:tr>
      <w:tr w:rsidR="00533140" w:rsidRPr="00533140" w14:paraId="5F198AAD" w14:textId="77777777" w:rsidTr="00533140">
        <w:trPr>
          <w:trHeight w:val="225"/>
        </w:trPr>
        <w:tc>
          <w:tcPr>
            <w:tcW w:w="1418" w:type="dxa"/>
            <w:hideMark/>
          </w:tcPr>
          <w:p w14:paraId="35710207" w14:textId="77777777" w:rsidR="00533140" w:rsidRPr="00533140" w:rsidRDefault="00533140" w:rsidP="00533140">
            <w:pPr>
              <w:pStyle w:val="NormalWeb"/>
              <w:spacing w:before="480" w:after="480"/>
              <w:jc w:val="center"/>
              <w:rPr>
                <w:color w:val="000000"/>
              </w:rPr>
            </w:pPr>
            <w:r w:rsidRPr="00533140">
              <w:rPr>
                <w:color w:val="000000"/>
              </w:rPr>
              <w:t>Factor 2</w:t>
            </w:r>
          </w:p>
        </w:tc>
        <w:tc>
          <w:tcPr>
            <w:tcW w:w="1417" w:type="dxa"/>
            <w:hideMark/>
          </w:tcPr>
          <w:p w14:paraId="4B679F55" w14:textId="77777777" w:rsidR="00533140" w:rsidRPr="00533140" w:rsidRDefault="00533140" w:rsidP="00533140">
            <w:pPr>
              <w:pStyle w:val="NormalWeb"/>
              <w:spacing w:before="480" w:after="480"/>
              <w:jc w:val="center"/>
              <w:rPr>
                <w:color w:val="000000"/>
              </w:rPr>
            </w:pPr>
            <w:r w:rsidRPr="00533140">
              <w:rPr>
                <w:color w:val="000000"/>
              </w:rPr>
              <w:t>5.085</w:t>
            </w:r>
          </w:p>
        </w:tc>
        <w:tc>
          <w:tcPr>
            <w:tcW w:w="1843" w:type="dxa"/>
            <w:hideMark/>
          </w:tcPr>
          <w:p w14:paraId="61586315" w14:textId="77777777" w:rsidR="00533140" w:rsidRPr="00533140" w:rsidRDefault="00533140" w:rsidP="00533140">
            <w:pPr>
              <w:pStyle w:val="NormalWeb"/>
              <w:spacing w:before="480" w:after="480"/>
              <w:jc w:val="center"/>
              <w:rPr>
                <w:color w:val="000000"/>
              </w:rPr>
            </w:pPr>
            <w:r w:rsidRPr="00533140">
              <w:rPr>
                <w:color w:val="000000"/>
              </w:rPr>
              <w:t>12.713</w:t>
            </w:r>
          </w:p>
        </w:tc>
        <w:tc>
          <w:tcPr>
            <w:tcW w:w="1984" w:type="dxa"/>
            <w:hideMark/>
          </w:tcPr>
          <w:p w14:paraId="16DE095A" w14:textId="77777777" w:rsidR="00533140" w:rsidRPr="00533140" w:rsidRDefault="00533140" w:rsidP="00533140">
            <w:pPr>
              <w:pStyle w:val="NormalWeb"/>
              <w:spacing w:before="480" w:after="480"/>
              <w:jc w:val="center"/>
              <w:rPr>
                <w:color w:val="000000"/>
              </w:rPr>
            </w:pPr>
            <w:r w:rsidRPr="00533140">
              <w:rPr>
                <w:color w:val="000000"/>
              </w:rPr>
              <w:t>26.910</w:t>
            </w:r>
          </w:p>
        </w:tc>
      </w:tr>
      <w:tr w:rsidR="00533140" w:rsidRPr="00533140" w14:paraId="1486C10A" w14:textId="77777777" w:rsidTr="00533140">
        <w:trPr>
          <w:trHeight w:val="225"/>
        </w:trPr>
        <w:tc>
          <w:tcPr>
            <w:tcW w:w="1418" w:type="dxa"/>
            <w:hideMark/>
          </w:tcPr>
          <w:p w14:paraId="71E9E589" w14:textId="77777777" w:rsidR="00533140" w:rsidRPr="00533140" w:rsidRDefault="00533140" w:rsidP="00533140">
            <w:pPr>
              <w:pStyle w:val="NormalWeb"/>
              <w:spacing w:before="480" w:after="480"/>
              <w:jc w:val="center"/>
              <w:rPr>
                <w:color w:val="000000"/>
              </w:rPr>
            </w:pPr>
            <w:r w:rsidRPr="00533140">
              <w:rPr>
                <w:color w:val="000000"/>
              </w:rPr>
              <w:t>Factor 3</w:t>
            </w:r>
          </w:p>
        </w:tc>
        <w:tc>
          <w:tcPr>
            <w:tcW w:w="1417" w:type="dxa"/>
            <w:hideMark/>
          </w:tcPr>
          <w:p w14:paraId="3517BF0B" w14:textId="77777777" w:rsidR="00533140" w:rsidRPr="00533140" w:rsidRDefault="00533140" w:rsidP="00533140">
            <w:pPr>
              <w:pStyle w:val="NormalWeb"/>
              <w:spacing w:before="480" w:after="480"/>
              <w:jc w:val="center"/>
              <w:rPr>
                <w:color w:val="000000"/>
              </w:rPr>
            </w:pPr>
            <w:r w:rsidRPr="00533140">
              <w:rPr>
                <w:color w:val="000000"/>
              </w:rPr>
              <w:t>4.382</w:t>
            </w:r>
          </w:p>
        </w:tc>
        <w:tc>
          <w:tcPr>
            <w:tcW w:w="1843" w:type="dxa"/>
            <w:hideMark/>
          </w:tcPr>
          <w:p w14:paraId="6B08CFA7" w14:textId="77777777" w:rsidR="00533140" w:rsidRPr="00533140" w:rsidRDefault="00533140" w:rsidP="00533140">
            <w:pPr>
              <w:pStyle w:val="NormalWeb"/>
              <w:spacing w:before="480" w:after="480"/>
              <w:jc w:val="center"/>
              <w:rPr>
                <w:color w:val="000000"/>
              </w:rPr>
            </w:pPr>
            <w:r w:rsidRPr="00533140">
              <w:rPr>
                <w:color w:val="000000"/>
              </w:rPr>
              <w:t>10.954</w:t>
            </w:r>
          </w:p>
        </w:tc>
        <w:tc>
          <w:tcPr>
            <w:tcW w:w="1984" w:type="dxa"/>
            <w:hideMark/>
          </w:tcPr>
          <w:p w14:paraId="4C131E85" w14:textId="77777777" w:rsidR="00533140" w:rsidRPr="00533140" w:rsidRDefault="00533140" w:rsidP="00533140">
            <w:pPr>
              <w:pStyle w:val="NormalWeb"/>
              <w:spacing w:before="480" w:after="480"/>
              <w:jc w:val="center"/>
              <w:rPr>
                <w:color w:val="000000"/>
              </w:rPr>
            </w:pPr>
            <w:r w:rsidRPr="00533140">
              <w:rPr>
                <w:color w:val="000000"/>
              </w:rPr>
              <w:t>37.863</w:t>
            </w:r>
          </w:p>
        </w:tc>
      </w:tr>
      <w:tr w:rsidR="00533140" w:rsidRPr="00533140" w14:paraId="11CA6C76" w14:textId="77777777" w:rsidTr="00533140">
        <w:trPr>
          <w:trHeight w:val="225"/>
        </w:trPr>
        <w:tc>
          <w:tcPr>
            <w:tcW w:w="1418" w:type="dxa"/>
            <w:hideMark/>
          </w:tcPr>
          <w:p w14:paraId="10A8659E" w14:textId="77777777" w:rsidR="00533140" w:rsidRPr="00533140" w:rsidRDefault="00533140" w:rsidP="00533140">
            <w:pPr>
              <w:pStyle w:val="NormalWeb"/>
              <w:spacing w:before="480" w:after="480"/>
              <w:jc w:val="center"/>
              <w:rPr>
                <w:color w:val="000000"/>
              </w:rPr>
            </w:pPr>
            <w:r w:rsidRPr="00533140">
              <w:rPr>
                <w:color w:val="000000"/>
              </w:rPr>
              <w:t>Factor 4</w:t>
            </w:r>
          </w:p>
        </w:tc>
        <w:tc>
          <w:tcPr>
            <w:tcW w:w="1417" w:type="dxa"/>
            <w:hideMark/>
          </w:tcPr>
          <w:p w14:paraId="274F0EBB" w14:textId="77777777" w:rsidR="00533140" w:rsidRPr="00533140" w:rsidRDefault="00533140" w:rsidP="00533140">
            <w:pPr>
              <w:pStyle w:val="NormalWeb"/>
              <w:spacing w:before="480" w:after="480"/>
              <w:jc w:val="center"/>
              <w:rPr>
                <w:color w:val="000000"/>
              </w:rPr>
            </w:pPr>
            <w:r w:rsidRPr="00533140">
              <w:rPr>
                <w:color w:val="000000"/>
              </w:rPr>
              <w:t>3.369</w:t>
            </w:r>
          </w:p>
        </w:tc>
        <w:tc>
          <w:tcPr>
            <w:tcW w:w="1843" w:type="dxa"/>
            <w:hideMark/>
          </w:tcPr>
          <w:p w14:paraId="1EF4D57B" w14:textId="77777777" w:rsidR="00533140" w:rsidRPr="00533140" w:rsidRDefault="00533140" w:rsidP="00533140">
            <w:pPr>
              <w:pStyle w:val="NormalWeb"/>
              <w:spacing w:before="480" w:after="480"/>
              <w:jc w:val="center"/>
              <w:rPr>
                <w:color w:val="000000"/>
              </w:rPr>
            </w:pPr>
            <w:r w:rsidRPr="00533140">
              <w:rPr>
                <w:color w:val="000000"/>
              </w:rPr>
              <w:t>8.422</w:t>
            </w:r>
          </w:p>
        </w:tc>
        <w:tc>
          <w:tcPr>
            <w:tcW w:w="1984" w:type="dxa"/>
            <w:hideMark/>
          </w:tcPr>
          <w:p w14:paraId="31AE9658" w14:textId="77777777" w:rsidR="00533140" w:rsidRPr="00533140" w:rsidRDefault="00533140" w:rsidP="00533140">
            <w:pPr>
              <w:pStyle w:val="NormalWeb"/>
              <w:spacing w:before="480" w:after="480"/>
              <w:jc w:val="center"/>
              <w:rPr>
                <w:color w:val="000000"/>
              </w:rPr>
            </w:pPr>
            <w:r w:rsidRPr="00533140">
              <w:rPr>
                <w:color w:val="000000"/>
              </w:rPr>
              <w:t>46.286</w:t>
            </w:r>
          </w:p>
        </w:tc>
      </w:tr>
      <w:tr w:rsidR="00533140" w:rsidRPr="00533140" w14:paraId="357F2EAA" w14:textId="77777777" w:rsidTr="00533140">
        <w:trPr>
          <w:trHeight w:val="225"/>
        </w:trPr>
        <w:tc>
          <w:tcPr>
            <w:tcW w:w="1418" w:type="dxa"/>
            <w:hideMark/>
          </w:tcPr>
          <w:p w14:paraId="1DAFB114" w14:textId="77777777" w:rsidR="00533140" w:rsidRPr="00533140" w:rsidRDefault="00533140" w:rsidP="00533140">
            <w:pPr>
              <w:pStyle w:val="NormalWeb"/>
              <w:spacing w:before="480" w:after="480"/>
              <w:jc w:val="center"/>
              <w:rPr>
                <w:color w:val="000000"/>
              </w:rPr>
            </w:pPr>
            <w:r w:rsidRPr="00533140">
              <w:rPr>
                <w:color w:val="000000"/>
              </w:rPr>
              <w:t>Factor 5</w:t>
            </w:r>
          </w:p>
        </w:tc>
        <w:tc>
          <w:tcPr>
            <w:tcW w:w="1417" w:type="dxa"/>
            <w:hideMark/>
          </w:tcPr>
          <w:p w14:paraId="7829074E" w14:textId="77777777" w:rsidR="00533140" w:rsidRPr="00533140" w:rsidRDefault="00533140" w:rsidP="00533140">
            <w:pPr>
              <w:pStyle w:val="NormalWeb"/>
              <w:spacing w:before="480" w:after="480"/>
              <w:jc w:val="center"/>
              <w:rPr>
                <w:color w:val="000000"/>
              </w:rPr>
            </w:pPr>
            <w:r w:rsidRPr="00533140">
              <w:rPr>
                <w:color w:val="000000"/>
              </w:rPr>
              <w:t>2.420</w:t>
            </w:r>
          </w:p>
        </w:tc>
        <w:tc>
          <w:tcPr>
            <w:tcW w:w="1843" w:type="dxa"/>
            <w:hideMark/>
          </w:tcPr>
          <w:p w14:paraId="590A40A2" w14:textId="77777777" w:rsidR="00533140" w:rsidRPr="00533140" w:rsidRDefault="00533140" w:rsidP="00533140">
            <w:pPr>
              <w:pStyle w:val="NormalWeb"/>
              <w:spacing w:before="480" w:after="480"/>
              <w:jc w:val="center"/>
              <w:rPr>
                <w:color w:val="000000"/>
              </w:rPr>
            </w:pPr>
            <w:r w:rsidRPr="00533140">
              <w:rPr>
                <w:color w:val="000000"/>
              </w:rPr>
              <w:t>6.049</w:t>
            </w:r>
          </w:p>
        </w:tc>
        <w:tc>
          <w:tcPr>
            <w:tcW w:w="1984" w:type="dxa"/>
            <w:hideMark/>
          </w:tcPr>
          <w:p w14:paraId="795E6615" w14:textId="77777777" w:rsidR="00533140" w:rsidRPr="00533140" w:rsidRDefault="00533140" w:rsidP="00533140">
            <w:pPr>
              <w:pStyle w:val="NormalWeb"/>
              <w:spacing w:before="480" w:after="480"/>
              <w:jc w:val="center"/>
              <w:rPr>
                <w:color w:val="000000"/>
              </w:rPr>
            </w:pPr>
            <w:r w:rsidRPr="00533140">
              <w:rPr>
                <w:color w:val="000000"/>
              </w:rPr>
              <w:t>52.335</w:t>
            </w:r>
          </w:p>
        </w:tc>
      </w:tr>
      <w:tr w:rsidR="00533140" w:rsidRPr="00533140" w14:paraId="0433D753" w14:textId="77777777" w:rsidTr="00533140">
        <w:trPr>
          <w:trHeight w:val="225"/>
        </w:trPr>
        <w:tc>
          <w:tcPr>
            <w:tcW w:w="1418" w:type="dxa"/>
            <w:hideMark/>
          </w:tcPr>
          <w:p w14:paraId="6B2DED1F" w14:textId="77777777" w:rsidR="00533140" w:rsidRPr="00533140" w:rsidRDefault="00533140" w:rsidP="00533140">
            <w:pPr>
              <w:pStyle w:val="NormalWeb"/>
              <w:spacing w:before="480" w:after="480"/>
              <w:jc w:val="center"/>
              <w:rPr>
                <w:color w:val="000000"/>
              </w:rPr>
            </w:pPr>
            <w:r w:rsidRPr="00533140">
              <w:rPr>
                <w:color w:val="000000"/>
              </w:rPr>
              <w:t>Factor 6</w:t>
            </w:r>
          </w:p>
        </w:tc>
        <w:tc>
          <w:tcPr>
            <w:tcW w:w="1417" w:type="dxa"/>
            <w:hideMark/>
          </w:tcPr>
          <w:p w14:paraId="5BEEB565" w14:textId="77777777" w:rsidR="00533140" w:rsidRPr="00533140" w:rsidRDefault="00533140" w:rsidP="00533140">
            <w:pPr>
              <w:pStyle w:val="NormalWeb"/>
              <w:spacing w:before="480" w:after="480"/>
              <w:jc w:val="center"/>
              <w:rPr>
                <w:color w:val="000000"/>
              </w:rPr>
            </w:pPr>
            <w:r w:rsidRPr="00533140">
              <w:rPr>
                <w:color w:val="000000"/>
              </w:rPr>
              <w:t>1.855</w:t>
            </w:r>
          </w:p>
        </w:tc>
        <w:tc>
          <w:tcPr>
            <w:tcW w:w="1843" w:type="dxa"/>
            <w:hideMark/>
          </w:tcPr>
          <w:p w14:paraId="6FB1DCB3" w14:textId="77777777" w:rsidR="00533140" w:rsidRPr="00533140" w:rsidRDefault="00533140" w:rsidP="00533140">
            <w:pPr>
              <w:pStyle w:val="NormalWeb"/>
              <w:spacing w:before="480" w:after="480"/>
              <w:jc w:val="center"/>
              <w:rPr>
                <w:color w:val="000000"/>
              </w:rPr>
            </w:pPr>
            <w:r w:rsidRPr="00533140">
              <w:rPr>
                <w:color w:val="000000"/>
              </w:rPr>
              <w:t>4.637</w:t>
            </w:r>
          </w:p>
        </w:tc>
        <w:tc>
          <w:tcPr>
            <w:tcW w:w="1984" w:type="dxa"/>
            <w:hideMark/>
          </w:tcPr>
          <w:p w14:paraId="156CA648" w14:textId="77777777" w:rsidR="00533140" w:rsidRPr="00533140" w:rsidRDefault="00533140" w:rsidP="00533140">
            <w:pPr>
              <w:pStyle w:val="NormalWeb"/>
              <w:spacing w:before="480" w:after="480"/>
              <w:jc w:val="center"/>
              <w:rPr>
                <w:color w:val="000000"/>
              </w:rPr>
            </w:pPr>
            <w:r w:rsidRPr="00533140">
              <w:rPr>
                <w:color w:val="000000"/>
              </w:rPr>
              <w:t>56.972</w:t>
            </w:r>
          </w:p>
        </w:tc>
      </w:tr>
      <w:tr w:rsidR="00533140" w:rsidRPr="00533140" w14:paraId="73473762" w14:textId="77777777" w:rsidTr="00533140">
        <w:trPr>
          <w:trHeight w:val="225"/>
        </w:trPr>
        <w:tc>
          <w:tcPr>
            <w:tcW w:w="1418" w:type="dxa"/>
            <w:hideMark/>
          </w:tcPr>
          <w:p w14:paraId="53D84359" w14:textId="77777777" w:rsidR="00533140" w:rsidRPr="00533140" w:rsidRDefault="00533140" w:rsidP="00533140">
            <w:pPr>
              <w:pStyle w:val="NormalWeb"/>
              <w:spacing w:before="480" w:after="480"/>
              <w:jc w:val="center"/>
              <w:rPr>
                <w:color w:val="000000"/>
              </w:rPr>
            </w:pPr>
            <w:r w:rsidRPr="00533140">
              <w:rPr>
                <w:color w:val="000000"/>
              </w:rPr>
              <w:t>Factor 7</w:t>
            </w:r>
          </w:p>
        </w:tc>
        <w:tc>
          <w:tcPr>
            <w:tcW w:w="1417" w:type="dxa"/>
            <w:hideMark/>
          </w:tcPr>
          <w:p w14:paraId="2A9C9004" w14:textId="77777777" w:rsidR="00533140" w:rsidRPr="00533140" w:rsidRDefault="00533140" w:rsidP="00533140">
            <w:pPr>
              <w:pStyle w:val="NormalWeb"/>
              <w:spacing w:before="480" w:after="480"/>
              <w:jc w:val="center"/>
              <w:rPr>
                <w:color w:val="000000"/>
              </w:rPr>
            </w:pPr>
            <w:r w:rsidRPr="00533140">
              <w:rPr>
                <w:color w:val="000000"/>
              </w:rPr>
              <w:t>1.552</w:t>
            </w:r>
          </w:p>
        </w:tc>
        <w:tc>
          <w:tcPr>
            <w:tcW w:w="1843" w:type="dxa"/>
            <w:hideMark/>
          </w:tcPr>
          <w:p w14:paraId="534DA565" w14:textId="77777777" w:rsidR="00533140" w:rsidRPr="00533140" w:rsidRDefault="00533140" w:rsidP="00533140">
            <w:pPr>
              <w:pStyle w:val="NormalWeb"/>
              <w:spacing w:before="480" w:after="480"/>
              <w:jc w:val="center"/>
              <w:rPr>
                <w:color w:val="000000"/>
              </w:rPr>
            </w:pPr>
            <w:r w:rsidRPr="00533140">
              <w:rPr>
                <w:color w:val="000000"/>
              </w:rPr>
              <w:t>3.881</w:t>
            </w:r>
          </w:p>
        </w:tc>
        <w:tc>
          <w:tcPr>
            <w:tcW w:w="1984" w:type="dxa"/>
            <w:hideMark/>
          </w:tcPr>
          <w:p w14:paraId="64CEF984" w14:textId="77777777" w:rsidR="00533140" w:rsidRPr="00533140" w:rsidRDefault="00533140" w:rsidP="00533140">
            <w:pPr>
              <w:pStyle w:val="NormalWeb"/>
              <w:spacing w:before="480" w:after="480"/>
              <w:jc w:val="center"/>
              <w:rPr>
                <w:color w:val="000000"/>
              </w:rPr>
            </w:pPr>
            <w:r w:rsidRPr="00533140">
              <w:rPr>
                <w:color w:val="000000"/>
              </w:rPr>
              <w:t>60.853</w:t>
            </w:r>
          </w:p>
        </w:tc>
      </w:tr>
      <w:tr w:rsidR="00533140" w:rsidRPr="00533140" w14:paraId="5CF32371" w14:textId="77777777" w:rsidTr="00533140">
        <w:trPr>
          <w:trHeight w:val="225"/>
        </w:trPr>
        <w:tc>
          <w:tcPr>
            <w:tcW w:w="1418" w:type="dxa"/>
            <w:tcBorders>
              <w:bottom w:val="single" w:sz="6" w:space="0" w:color="000000"/>
            </w:tcBorders>
            <w:hideMark/>
          </w:tcPr>
          <w:p w14:paraId="0E24A32A" w14:textId="77777777" w:rsidR="00533140" w:rsidRPr="00533140" w:rsidRDefault="00533140" w:rsidP="00533140">
            <w:pPr>
              <w:pStyle w:val="NormalWeb"/>
              <w:spacing w:before="480" w:after="480"/>
              <w:jc w:val="center"/>
              <w:rPr>
                <w:color w:val="000000"/>
              </w:rPr>
            </w:pPr>
            <w:r w:rsidRPr="00533140">
              <w:rPr>
                <w:color w:val="000000"/>
              </w:rPr>
              <w:t>Factor 8</w:t>
            </w:r>
          </w:p>
        </w:tc>
        <w:tc>
          <w:tcPr>
            <w:tcW w:w="1417" w:type="dxa"/>
            <w:tcBorders>
              <w:bottom w:val="single" w:sz="6" w:space="0" w:color="000000"/>
            </w:tcBorders>
            <w:hideMark/>
          </w:tcPr>
          <w:p w14:paraId="2E943FC6" w14:textId="77777777" w:rsidR="00533140" w:rsidRPr="00533140" w:rsidRDefault="00533140" w:rsidP="00533140">
            <w:pPr>
              <w:pStyle w:val="NormalWeb"/>
              <w:spacing w:before="480" w:after="480"/>
              <w:jc w:val="center"/>
              <w:rPr>
                <w:color w:val="000000"/>
              </w:rPr>
            </w:pPr>
            <w:r w:rsidRPr="00533140">
              <w:rPr>
                <w:color w:val="000000"/>
              </w:rPr>
              <w:t>1.057</w:t>
            </w:r>
          </w:p>
        </w:tc>
        <w:tc>
          <w:tcPr>
            <w:tcW w:w="1843" w:type="dxa"/>
            <w:tcBorders>
              <w:bottom w:val="single" w:sz="6" w:space="0" w:color="000000"/>
            </w:tcBorders>
            <w:hideMark/>
          </w:tcPr>
          <w:p w14:paraId="085F6DA5" w14:textId="77777777" w:rsidR="00533140" w:rsidRPr="00533140" w:rsidRDefault="00533140" w:rsidP="00533140">
            <w:pPr>
              <w:pStyle w:val="NormalWeb"/>
              <w:spacing w:before="480" w:after="480"/>
              <w:jc w:val="center"/>
              <w:rPr>
                <w:color w:val="000000"/>
              </w:rPr>
            </w:pPr>
            <w:r w:rsidRPr="00533140">
              <w:rPr>
                <w:color w:val="000000"/>
              </w:rPr>
              <w:t>2.642</w:t>
            </w:r>
          </w:p>
        </w:tc>
        <w:tc>
          <w:tcPr>
            <w:tcW w:w="1984" w:type="dxa"/>
            <w:tcBorders>
              <w:bottom w:val="single" w:sz="6" w:space="0" w:color="000000"/>
            </w:tcBorders>
            <w:hideMark/>
          </w:tcPr>
          <w:p w14:paraId="4FFDF6D5" w14:textId="77777777" w:rsidR="00533140" w:rsidRPr="00533140" w:rsidRDefault="00533140" w:rsidP="00533140">
            <w:pPr>
              <w:pStyle w:val="NormalWeb"/>
              <w:spacing w:before="480" w:after="480"/>
              <w:jc w:val="center"/>
              <w:rPr>
                <w:color w:val="000000"/>
              </w:rPr>
            </w:pPr>
            <w:r w:rsidRPr="00533140">
              <w:rPr>
                <w:color w:val="000000"/>
              </w:rPr>
              <w:t>63.495</w:t>
            </w:r>
          </w:p>
        </w:tc>
      </w:tr>
    </w:tbl>
    <w:p w14:paraId="76A38CA0" w14:textId="77777777" w:rsidR="00533140" w:rsidRPr="00533140" w:rsidRDefault="00533140" w:rsidP="00533140">
      <w:pPr>
        <w:pStyle w:val="NormalWeb"/>
        <w:spacing w:before="480" w:after="480"/>
        <w:ind w:firstLine="720"/>
        <w:jc w:val="both"/>
        <w:rPr>
          <w:color w:val="000000"/>
        </w:rPr>
      </w:pPr>
      <w:r w:rsidRPr="00533140">
        <w:rPr>
          <w:color w:val="000000"/>
        </w:rPr>
        <w:t>While the eigenvalue criterion suggested an eight-factor solution, further analysis using the scree plot and rotated component matrix supported reducing the structure to six interpretable components. This aligns with EFA best practices, which recommend supplementing eigenvalues with interpretability, item loading strength, and theoretical coherence (</w:t>
      </w:r>
      <w:proofErr w:type="spellStart"/>
      <w:r w:rsidRPr="00533140">
        <w:rPr>
          <w:color w:val="000000"/>
        </w:rPr>
        <w:t>Fabrigar</w:t>
      </w:r>
      <w:proofErr w:type="spellEnd"/>
      <w:r w:rsidRPr="00533140">
        <w:rPr>
          <w:color w:val="000000"/>
        </w:rPr>
        <w:t xml:space="preserve"> et al., 1999; Costello &amp; Osborne, 2005). After Varimax rotation, only six factors showed sufficient internal consistency and conceptual clarity. Factors 7 and 8 were excluded due to weak loadings and interpretive ambiguity. The retained six-factor model met statistical standards and aligned with Rawls’ Theory of Justice and Social Exchange Theory, strengthening its theoretical and empirical validity. Thus, the final six-factor solution offers a robust and parsimonious representation of public perceptions of “</w:t>
      </w:r>
      <w:proofErr w:type="spellStart"/>
      <w:r w:rsidRPr="00533140">
        <w:rPr>
          <w:color w:val="000000"/>
        </w:rPr>
        <w:t>ayuda</w:t>
      </w:r>
      <w:proofErr w:type="spellEnd"/>
      <w:r w:rsidRPr="00533140">
        <w:rPr>
          <w:color w:val="000000"/>
        </w:rPr>
        <w:t>” programs, forming the basis for the thematic and policy discussions that follow.</w:t>
      </w:r>
    </w:p>
    <w:p w14:paraId="7B56C983" w14:textId="77777777" w:rsidR="00533140" w:rsidRPr="00533140" w:rsidRDefault="00533140" w:rsidP="00533140">
      <w:pPr>
        <w:pStyle w:val="NormalWeb"/>
        <w:spacing w:before="480" w:after="480"/>
        <w:ind w:firstLine="720"/>
        <w:jc w:val="both"/>
        <w:rPr>
          <w:color w:val="000000"/>
        </w:rPr>
      </w:pPr>
      <w:r w:rsidRPr="00533140">
        <w:rPr>
          <w:color w:val="000000"/>
        </w:rPr>
        <w:t>The factor extraction process was further examined using the graphical method of the Scree Plot. The Scree Plot presents the eigenvalues plotted against their respective component numbers to visually assess the optimal number of factors to retain. The plot demonstrates a clear inflection point, or “elbow,” occurring between Components 6 and 7. The first six components exhibit substantial eigenvalues greater than 1.0; after this, the slope levels off, and the remaining eigenvalues gradually decline, clustering near zero. This indicates that additional factors beyond the sixth contribute minimal unique variance and likely reflect random error or specific variance rather than true common factors.</w:t>
      </w:r>
    </w:p>
    <w:p w14:paraId="4B7D9C4D" w14:textId="77777777" w:rsidR="00533140" w:rsidRPr="00533140" w:rsidRDefault="00533140" w:rsidP="00533140">
      <w:pPr>
        <w:pStyle w:val="NormalWeb"/>
        <w:spacing w:before="480" w:after="480"/>
        <w:ind w:firstLine="720"/>
        <w:jc w:val="both"/>
        <w:rPr>
          <w:color w:val="000000"/>
        </w:rPr>
      </w:pPr>
      <w:r w:rsidRPr="00533140">
        <w:rPr>
          <w:color w:val="000000"/>
        </w:rPr>
        <w:t>The Scree Plot thus provides empirical support for a six-factor solution, consistent with the results of the eigenvalue criterion (Latent Roots Criterion). The convergence of both the Kaiser Criterion and the Scree Test strengthens the decision to retain six factors, indicating a stable factor structure within the dataset. The consistency between both statistical (eigenvalues) and visual (scree plot) criteria demonstrates the robustness of the factor extraction process and supports the construct validity of the instrument used to measure perceptions of government-provided “</w:t>
      </w:r>
      <w:proofErr w:type="spellStart"/>
      <w:r w:rsidRPr="00533140">
        <w:rPr>
          <w:color w:val="000000"/>
        </w:rPr>
        <w:t>ayuda</w:t>
      </w:r>
      <w:proofErr w:type="spellEnd"/>
      <w:r w:rsidRPr="00533140">
        <w:rPr>
          <w:color w:val="000000"/>
        </w:rPr>
        <w:t>” programs.</w:t>
      </w:r>
    </w:p>
    <w:p w14:paraId="7996586F" w14:textId="08945728" w:rsidR="00533140" w:rsidRPr="00533140" w:rsidRDefault="00533140" w:rsidP="00533140">
      <w:pPr>
        <w:pStyle w:val="NormalWeb"/>
        <w:spacing w:before="480" w:after="480"/>
        <w:ind w:firstLine="720"/>
        <w:jc w:val="both"/>
        <w:rPr>
          <w:color w:val="000000"/>
        </w:rPr>
      </w:pPr>
      <w:r w:rsidRPr="00533140">
        <w:rPr>
          <w:color w:val="000000"/>
        </w:rPr>
        <w:t>Exploratory Factor Analysis, using Principal Component Analysis extraction and Varimax rotation, yielded a six-factor solution, with factor loadings presented in Table 5. Loadings above 0.70 were considered strong indicators of item-factor association. Each factor showed clear item clustering with minimal cross-loadings, indicating well-defined factor structures.</w:t>
      </w:r>
    </w:p>
    <w:p w14:paraId="17CBA312" w14:textId="53E17499" w:rsidR="00533140" w:rsidRPr="00533140" w:rsidRDefault="00533140" w:rsidP="00533140">
      <w:pPr>
        <w:pStyle w:val="NormalWeb"/>
        <w:spacing w:before="480" w:after="0" w:afterAutospacing="0"/>
        <w:rPr>
          <w:i/>
          <w:iCs/>
          <w:color w:val="000000"/>
        </w:rPr>
      </w:pPr>
      <w:r w:rsidRPr="00533140">
        <w:rPr>
          <w:i/>
          <w:iCs/>
          <w:color w:val="000000"/>
        </w:rPr>
        <w:t xml:space="preserve">Table </w:t>
      </w:r>
      <w:r>
        <w:rPr>
          <w:i/>
          <w:iCs/>
          <w:color w:val="000000"/>
        </w:rPr>
        <w:t>5:</w:t>
      </w:r>
      <w:r w:rsidRPr="00533140">
        <w:rPr>
          <w:i/>
          <w:iCs/>
          <w:color w:val="000000"/>
        </w:rPr>
        <w:t xml:space="preserve"> Rotated Component Matrix for Perceptions on “Ayuda” Programs of the Government</w:t>
      </w:r>
    </w:p>
    <w:tbl>
      <w:tblPr>
        <w:tblW w:w="0" w:type="auto"/>
        <w:tblCellMar>
          <w:top w:w="15" w:type="dxa"/>
          <w:left w:w="15" w:type="dxa"/>
          <w:bottom w:w="15" w:type="dxa"/>
          <w:right w:w="15" w:type="dxa"/>
        </w:tblCellMar>
        <w:tblLook w:val="04A0" w:firstRow="1" w:lastRow="0" w:firstColumn="1" w:lastColumn="0" w:noHBand="0" w:noVBand="1"/>
      </w:tblPr>
      <w:tblGrid>
        <w:gridCol w:w="2686"/>
        <w:gridCol w:w="1559"/>
        <w:gridCol w:w="1276"/>
        <w:gridCol w:w="1417"/>
        <w:gridCol w:w="1276"/>
        <w:gridCol w:w="1276"/>
        <w:gridCol w:w="1165"/>
      </w:tblGrid>
      <w:tr w:rsidR="00533140" w:rsidRPr="00533140" w14:paraId="6C743D59"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3BB00B" w14:textId="77777777" w:rsidR="00533140" w:rsidRPr="00533140" w:rsidRDefault="00533140" w:rsidP="003B496E">
            <w:pPr>
              <w:pStyle w:val="NormalWeb"/>
              <w:spacing w:before="480" w:after="480"/>
              <w:jc w:val="center"/>
              <w:rPr>
                <w:color w:val="000000"/>
              </w:rPr>
            </w:pPr>
            <w:r w:rsidRPr="00533140">
              <w:rPr>
                <w:b/>
                <w:bCs/>
                <w:color w:val="000000"/>
              </w:rPr>
              <w:t>Item Number</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EDD9346" w14:textId="77777777" w:rsidR="00533140" w:rsidRPr="00533140" w:rsidRDefault="00533140" w:rsidP="003B496E">
            <w:pPr>
              <w:pStyle w:val="NormalWeb"/>
              <w:spacing w:before="480" w:after="480"/>
              <w:jc w:val="center"/>
              <w:rPr>
                <w:color w:val="000000"/>
              </w:rPr>
            </w:pPr>
            <w:r w:rsidRPr="00533140">
              <w:rPr>
                <w:b/>
                <w:bCs/>
                <w:color w:val="000000"/>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567D93D" w14:textId="77777777" w:rsidR="00533140" w:rsidRPr="00533140" w:rsidRDefault="00533140" w:rsidP="003B496E">
            <w:pPr>
              <w:pStyle w:val="NormalWeb"/>
              <w:spacing w:before="480" w:after="480"/>
              <w:jc w:val="center"/>
              <w:rPr>
                <w:color w:val="000000"/>
              </w:rPr>
            </w:pPr>
            <w:r w:rsidRPr="00533140">
              <w:rPr>
                <w:b/>
                <w:bCs/>
                <w:color w:val="000000"/>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C06002F" w14:textId="77777777" w:rsidR="00533140" w:rsidRPr="00533140" w:rsidRDefault="00533140" w:rsidP="003B496E">
            <w:pPr>
              <w:pStyle w:val="NormalWeb"/>
              <w:spacing w:before="480" w:after="480"/>
              <w:jc w:val="center"/>
              <w:rPr>
                <w:color w:val="000000"/>
              </w:rPr>
            </w:pPr>
            <w:r w:rsidRPr="00533140">
              <w:rPr>
                <w:b/>
                <w:bCs/>
                <w:color w:val="000000"/>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D41CAD6" w14:textId="77777777" w:rsidR="00533140" w:rsidRPr="00533140" w:rsidRDefault="00533140" w:rsidP="003B496E">
            <w:pPr>
              <w:pStyle w:val="NormalWeb"/>
              <w:spacing w:before="480" w:after="480"/>
              <w:jc w:val="center"/>
              <w:rPr>
                <w:color w:val="000000"/>
              </w:rPr>
            </w:pPr>
            <w:r w:rsidRPr="00533140">
              <w:rPr>
                <w:b/>
                <w:bCs/>
                <w:color w:val="000000"/>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00F63AF" w14:textId="77777777" w:rsidR="00533140" w:rsidRPr="00533140" w:rsidRDefault="00533140" w:rsidP="003B496E">
            <w:pPr>
              <w:pStyle w:val="NormalWeb"/>
              <w:spacing w:before="480" w:after="480"/>
              <w:jc w:val="center"/>
              <w:rPr>
                <w:color w:val="000000"/>
              </w:rPr>
            </w:pPr>
            <w:r w:rsidRPr="00533140">
              <w:rPr>
                <w:b/>
                <w:bCs/>
                <w:color w:val="000000"/>
              </w:rPr>
              <w:t>5</w:t>
            </w: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97018CD" w14:textId="77777777" w:rsidR="00533140" w:rsidRPr="00533140" w:rsidRDefault="00533140" w:rsidP="003B496E">
            <w:pPr>
              <w:pStyle w:val="NormalWeb"/>
              <w:spacing w:before="480" w:after="480"/>
              <w:jc w:val="center"/>
              <w:rPr>
                <w:color w:val="000000"/>
              </w:rPr>
            </w:pPr>
            <w:r w:rsidRPr="00533140">
              <w:rPr>
                <w:b/>
                <w:bCs/>
                <w:color w:val="000000"/>
              </w:rPr>
              <w:t>6</w:t>
            </w:r>
          </w:p>
        </w:tc>
      </w:tr>
      <w:tr w:rsidR="00533140" w:rsidRPr="00533140" w14:paraId="4BFE75DE"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62671C" w14:textId="77777777" w:rsidR="00533140" w:rsidRPr="00533140" w:rsidRDefault="00533140" w:rsidP="003B496E">
            <w:pPr>
              <w:pStyle w:val="NormalWeb"/>
              <w:spacing w:before="480" w:after="480"/>
              <w:jc w:val="center"/>
              <w:rPr>
                <w:color w:val="000000"/>
              </w:rPr>
            </w:pPr>
            <w:r w:rsidRPr="00533140">
              <w:rPr>
                <w:color w:val="000000"/>
              </w:rPr>
              <w:t>19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41A66AD" w14:textId="77777777" w:rsidR="00533140" w:rsidRPr="00533140" w:rsidRDefault="00533140" w:rsidP="003B496E">
            <w:pPr>
              <w:pStyle w:val="NormalWeb"/>
              <w:spacing w:before="480" w:after="480"/>
              <w:jc w:val="center"/>
              <w:rPr>
                <w:color w:val="000000"/>
              </w:rPr>
            </w:pPr>
            <w:r w:rsidRPr="00533140">
              <w:rPr>
                <w:color w:val="000000"/>
              </w:rPr>
              <w:t>0.827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3E1DBF5" w14:textId="7355FCE6"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AC00910" w14:textId="44D404A8"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4289A75" w14:textId="14C379AD"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4BA46B4" w14:textId="2A1F90C1"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9375D2E" w14:textId="18010AB7" w:rsidR="00533140" w:rsidRPr="00533140" w:rsidRDefault="00533140" w:rsidP="003B496E">
            <w:pPr>
              <w:pStyle w:val="NormalWeb"/>
              <w:spacing w:before="480" w:after="480"/>
              <w:jc w:val="center"/>
              <w:rPr>
                <w:color w:val="000000"/>
              </w:rPr>
            </w:pPr>
          </w:p>
        </w:tc>
      </w:tr>
      <w:tr w:rsidR="00533140" w:rsidRPr="00533140" w14:paraId="014466B9"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FC9C69" w14:textId="77777777" w:rsidR="00533140" w:rsidRPr="00533140" w:rsidRDefault="00533140" w:rsidP="003B496E">
            <w:pPr>
              <w:pStyle w:val="NormalWeb"/>
              <w:spacing w:before="480" w:after="480"/>
              <w:jc w:val="center"/>
              <w:rPr>
                <w:color w:val="000000"/>
              </w:rPr>
            </w:pPr>
            <w:r w:rsidRPr="00533140">
              <w:rPr>
                <w:color w:val="000000"/>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5097563" w14:textId="77777777" w:rsidR="00533140" w:rsidRPr="00533140" w:rsidRDefault="00533140" w:rsidP="003B496E">
            <w:pPr>
              <w:pStyle w:val="NormalWeb"/>
              <w:spacing w:before="480" w:after="480"/>
              <w:jc w:val="center"/>
              <w:rPr>
                <w:color w:val="000000"/>
              </w:rPr>
            </w:pPr>
            <w:r w:rsidRPr="00533140">
              <w:rPr>
                <w:color w:val="000000"/>
              </w:rPr>
              <w:t>0.812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6E91993" w14:textId="7B04D6B5"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7870899" w14:textId="03ADE1DB"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261BA83" w14:textId="40BE4B07"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A3D00C4" w14:textId="5F51156C"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1533C7D" w14:textId="44AFADD2" w:rsidR="00533140" w:rsidRPr="00533140" w:rsidRDefault="00533140" w:rsidP="003B496E">
            <w:pPr>
              <w:pStyle w:val="NormalWeb"/>
              <w:spacing w:before="480" w:after="480"/>
              <w:jc w:val="center"/>
              <w:rPr>
                <w:color w:val="000000"/>
              </w:rPr>
            </w:pPr>
          </w:p>
        </w:tc>
      </w:tr>
      <w:tr w:rsidR="00533140" w:rsidRPr="00533140" w14:paraId="32F571C1"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257C7B" w14:textId="77777777" w:rsidR="00533140" w:rsidRPr="00533140" w:rsidRDefault="00533140" w:rsidP="003B496E">
            <w:pPr>
              <w:pStyle w:val="NormalWeb"/>
              <w:spacing w:before="480" w:after="480"/>
              <w:jc w:val="center"/>
              <w:rPr>
                <w:color w:val="000000"/>
              </w:rPr>
            </w:pPr>
            <w:r w:rsidRPr="00533140">
              <w:rPr>
                <w:color w:val="000000"/>
              </w:rPr>
              <w:t>16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1255A26" w14:textId="77777777" w:rsidR="00533140" w:rsidRPr="00533140" w:rsidRDefault="00533140" w:rsidP="003B496E">
            <w:pPr>
              <w:pStyle w:val="NormalWeb"/>
              <w:spacing w:before="480" w:after="480"/>
              <w:jc w:val="center"/>
              <w:rPr>
                <w:color w:val="000000"/>
              </w:rPr>
            </w:pPr>
            <w:r w:rsidRPr="00533140">
              <w:rPr>
                <w:color w:val="000000"/>
              </w:rPr>
              <w:t>0.777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1000C1D" w14:textId="22AC261C"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9DDAA19" w14:textId="413ECB53"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7D35AB3" w14:textId="210B101D"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24B41CB" w14:textId="4075DDA9"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C27EE80" w14:textId="04C56DEC" w:rsidR="00533140" w:rsidRPr="00533140" w:rsidRDefault="00533140" w:rsidP="003B496E">
            <w:pPr>
              <w:pStyle w:val="NormalWeb"/>
              <w:spacing w:before="480" w:after="480"/>
              <w:jc w:val="center"/>
              <w:rPr>
                <w:color w:val="000000"/>
              </w:rPr>
            </w:pPr>
          </w:p>
        </w:tc>
      </w:tr>
      <w:tr w:rsidR="00533140" w:rsidRPr="00533140" w14:paraId="1550D31B"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19B702" w14:textId="77777777" w:rsidR="00533140" w:rsidRPr="00533140" w:rsidRDefault="00533140" w:rsidP="003B496E">
            <w:pPr>
              <w:pStyle w:val="NormalWeb"/>
              <w:spacing w:before="480" w:after="480"/>
              <w:jc w:val="center"/>
              <w:rPr>
                <w:color w:val="000000"/>
              </w:rPr>
            </w:pPr>
            <w:r w:rsidRPr="00533140">
              <w:rPr>
                <w:color w:val="000000"/>
              </w:rPr>
              <w:t>14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E8E7C8D" w14:textId="77777777" w:rsidR="00533140" w:rsidRPr="00533140" w:rsidRDefault="00533140" w:rsidP="003B496E">
            <w:pPr>
              <w:pStyle w:val="NormalWeb"/>
              <w:spacing w:before="480" w:after="480"/>
              <w:jc w:val="center"/>
              <w:rPr>
                <w:color w:val="000000"/>
              </w:rPr>
            </w:pPr>
            <w:r w:rsidRPr="00533140">
              <w:rPr>
                <w:color w:val="000000"/>
              </w:rPr>
              <w:t>0.777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B4D093C" w14:textId="25169BD3"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5681EBC" w14:textId="6F64C41E"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66FE744" w14:textId="07C4A445"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07F4CB" w14:textId="1DDE97CD"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246E877" w14:textId="7F7257CE" w:rsidR="00533140" w:rsidRPr="00533140" w:rsidRDefault="00533140" w:rsidP="003B496E">
            <w:pPr>
              <w:pStyle w:val="NormalWeb"/>
              <w:spacing w:before="480" w:after="480"/>
              <w:jc w:val="center"/>
              <w:rPr>
                <w:color w:val="000000"/>
              </w:rPr>
            </w:pPr>
          </w:p>
        </w:tc>
      </w:tr>
      <w:tr w:rsidR="00533140" w:rsidRPr="00533140" w14:paraId="0B8077CA"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BF7D49" w14:textId="77777777" w:rsidR="00533140" w:rsidRPr="00533140" w:rsidRDefault="00533140" w:rsidP="003B496E">
            <w:pPr>
              <w:pStyle w:val="NormalWeb"/>
              <w:spacing w:before="480" w:after="480"/>
              <w:jc w:val="center"/>
              <w:rPr>
                <w:color w:val="000000"/>
              </w:rPr>
            </w:pPr>
            <w:r w:rsidRPr="00533140">
              <w:rPr>
                <w:color w:val="000000"/>
              </w:rPr>
              <w:t>15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536487D" w14:textId="77777777" w:rsidR="00533140" w:rsidRPr="00533140" w:rsidRDefault="00533140" w:rsidP="003B496E">
            <w:pPr>
              <w:pStyle w:val="NormalWeb"/>
              <w:spacing w:before="480" w:after="480"/>
              <w:jc w:val="center"/>
              <w:rPr>
                <w:color w:val="000000"/>
              </w:rPr>
            </w:pPr>
            <w:r w:rsidRPr="00533140">
              <w:rPr>
                <w:color w:val="000000"/>
              </w:rPr>
              <w:t>0.775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87BDA0" w14:textId="609F6CD9"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8827146" w14:textId="5F1FBA24"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F407594" w14:textId="5F34D3D6"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6EB7EDC" w14:textId="08AFB401"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36EC4CB" w14:textId="5799361F" w:rsidR="00533140" w:rsidRPr="00533140" w:rsidRDefault="00533140" w:rsidP="003B496E">
            <w:pPr>
              <w:pStyle w:val="NormalWeb"/>
              <w:spacing w:before="480" w:after="480"/>
              <w:jc w:val="center"/>
              <w:rPr>
                <w:color w:val="000000"/>
              </w:rPr>
            </w:pPr>
          </w:p>
        </w:tc>
      </w:tr>
      <w:tr w:rsidR="00533140" w:rsidRPr="00533140" w14:paraId="36DE409D"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804444" w14:textId="77777777" w:rsidR="00533140" w:rsidRPr="00533140" w:rsidRDefault="00533140" w:rsidP="003B496E">
            <w:pPr>
              <w:pStyle w:val="NormalWeb"/>
              <w:spacing w:before="480" w:after="480"/>
              <w:jc w:val="center"/>
              <w:rPr>
                <w:color w:val="000000"/>
              </w:rPr>
            </w:pPr>
            <w:r w:rsidRPr="00533140">
              <w:rPr>
                <w:color w:val="000000"/>
              </w:rPr>
              <w:t>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5C7D446" w14:textId="77777777" w:rsidR="00533140" w:rsidRPr="00533140" w:rsidRDefault="00533140" w:rsidP="003B496E">
            <w:pPr>
              <w:pStyle w:val="NormalWeb"/>
              <w:spacing w:before="480" w:after="480"/>
              <w:jc w:val="center"/>
              <w:rPr>
                <w:color w:val="000000"/>
              </w:rPr>
            </w:pPr>
            <w:r w:rsidRPr="00533140">
              <w:rPr>
                <w:color w:val="000000"/>
              </w:rPr>
              <w:t>0.766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E2746A9" w14:textId="2BBE2019"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3CEBB4E" w14:textId="37E23AF2"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CF4671E" w14:textId="7CFC23E9"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724C430" w14:textId="6FFAA537"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8873A8F" w14:textId="7DA12DAE" w:rsidR="00533140" w:rsidRPr="00533140" w:rsidRDefault="00533140" w:rsidP="003B496E">
            <w:pPr>
              <w:pStyle w:val="NormalWeb"/>
              <w:spacing w:before="480" w:after="480"/>
              <w:jc w:val="center"/>
              <w:rPr>
                <w:color w:val="000000"/>
              </w:rPr>
            </w:pPr>
          </w:p>
        </w:tc>
      </w:tr>
      <w:tr w:rsidR="00533140" w:rsidRPr="00533140" w14:paraId="3EF01065"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619783" w14:textId="77777777" w:rsidR="00533140" w:rsidRPr="00533140" w:rsidRDefault="00533140" w:rsidP="003B496E">
            <w:pPr>
              <w:pStyle w:val="NormalWeb"/>
              <w:spacing w:before="480" w:after="480"/>
              <w:jc w:val="center"/>
              <w:rPr>
                <w:color w:val="000000"/>
              </w:rPr>
            </w:pPr>
            <w:r w:rsidRPr="00533140">
              <w:rPr>
                <w:color w:val="000000"/>
              </w:rPr>
              <w:t>17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5FE3336" w14:textId="77777777" w:rsidR="00533140" w:rsidRPr="00533140" w:rsidRDefault="00533140" w:rsidP="003B496E">
            <w:pPr>
              <w:pStyle w:val="NormalWeb"/>
              <w:spacing w:before="480" w:after="480"/>
              <w:jc w:val="center"/>
              <w:rPr>
                <w:color w:val="000000"/>
              </w:rPr>
            </w:pPr>
            <w:r w:rsidRPr="00533140">
              <w:rPr>
                <w:color w:val="000000"/>
              </w:rPr>
              <w:t>0.753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3FF886B" w14:textId="2B627269"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D2136A1" w14:textId="7ACBE5E8"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E399C73" w14:textId="7B3FE539"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333B913" w14:textId="5D49A3EE"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24FEAD1" w14:textId="6D22D4C6" w:rsidR="00533140" w:rsidRPr="00533140" w:rsidRDefault="00533140" w:rsidP="003B496E">
            <w:pPr>
              <w:pStyle w:val="NormalWeb"/>
              <w:spacing w:before="480" w:after="480"/>
              <w:jc w:val="center"/>
              <w:rPr>
                <w:color w:val="000000"/>
              </w:rPr>
            </w:pPr>
          </w:p>
        </w:tc>
      </w:tr>
      <w:tr w:rsidR="00533140" w:rsidRPr="00533140" w14:paraId="5D25DFDF"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B1BC93" w14:textId="77777777" w:rsidR="00533140" w:rsidRPr="00533140" w:rsidRDefault="00533140" w:rsidP="003B496E">
            <w:pPr>
              <w:pStyle w:val="NormalWeb"/>
              <w:spacing w:before="480" w:after="480"/>
              <w:jc w:val="center"/>
              <w:rPr>
                <w:color w:val="000000"/>
              </w:rPr>
            </w:pPr>
            <w:r w:rsidRPr="00533140">
              <w:rPr>
                <w:color w:val="000000"/>
              </w:rPr>
              <w:t>18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F9C0AA0" w14:textId="77777777" w:rsidR="00533140" w:rsidRPr="00533140" w:rsidRDefault="00533140" w:rsidP="003B496E">
            <w:pPr>
              <w:pStyle w:val="NormalWeb"/>
              <w:spacing w:before="480" w:after="480"/>
              <w:jc w:val="center"/>
              <w:rPr>
                <w:color w:val="000000"/>
              </w:rPr>
            </w:pPr>
            <w:r w:rsidRPr="00533140">
              <w:rPr>
                <w:color w:val="000000"/>
              </w:rPr>
              <w:t>0.752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05070F2" w14:textId="6C499EAC"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909BF10" w14:textId="5F59184E"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5F3D023" w14:textId="780650DC"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58483FC" w14:textId="2558F0AC"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7C8605E" w14:textId="6015CDED" w:rsidR="00533140" w:rsidRPr="00533140" w:rsidRDefault="00533140" w:rsidP="003B496E">
            <w:pPr>
              <w:pStyle w:val="NormalWeb"/>
              <w:spacing w:before="480" w:after="480"/>
              <w:jc w:val="center"/>
              <w:rPr>
                <w:color w:val="000000"/>
              </w:rPr>
            </w:pPr>
          </w:p>
        </w:tc>
      </w:tr>
      <w:tr w:rsidR="00533140" w:rsidRPr="00533140" w14:paraId="5448C457"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0A533E" w14:textId="77777777" w:rsidR="00533140" w:rsidRPr="00533140" w:rsidRDefault="00533140" w:rsidP="003B496E">
            <w:pPr>
              <w:pStyle w:val="NormalWeb"/>
              <w:spacing w:before="480" w:after="480"/>
              <w:jc w:val="center"/>
              <w:rPr>
                <w:color w:val="000000"/>
              </w:rPr>
            </w:pPr>
            <w:r w:rsidRPr="00533140">
              <w:rPr>
                <w:color w:val="000000"/>
              </w:rPr>
              <w:lastRenderedPageBreak/>
              <w:t>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4283435" w14:textId="77777777" w:rsidR="00533140" w:rsidRPr="00533140" w:rsidRDefault="00533140" w:rsidP="003B496E">
            <w:pPr>
              <w:pStyle w:val="NormalWeb"/>
              <w:spacing w:before="480" w:after="480"/>
              <w:jc w:val="center"/>
              <w:rPr>
                <w:color w:val="000000"/>
              </w:rPr>
            </w:pPr>
            <w:r w:rsidRPr="00533140">
              <w:rPr>
                <w:color w:val="000000"/>
              </w:rPr>
              <w:t>0.732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567C86C" w14:textId="3F89D5F7"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98091AE" w14:textId="25E2288B"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4618DC2" w14:textId="703A1EBB"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D884B9A" w14:textId="00B9DBA8"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0C94429" w14:textId="752C68E9" w:rsidR="00533140" w:rsidRPr="00533140" w:rsidRDefault="00533140" w:rsidP="003B496E">
            <w:pPr>
              <w:pStyle w:val="NormalWeb"/>
              <w:spacing w:before="480" w:after="480"/>
              <w:jc w:val="center"/>
              <w:rPr>
                <w:color w:val="000000"/>
              </w:rPr>
            </w:pPr>
          </w:p>
        </w:tc>
      </w:tr>
      <w:tr w:rsidR="00533140" w:rsidRPr="00533140" w14:paraId="1527A677"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A12995" w14:textId="77777777" w:rsidR="00533140" w:rsidRPr="00533140" w:rsidRDefault="00533140" w:rsidP="003B496E">
            <w:pPr>
              <w:pStyle w:val="NormalWeb"/>
              <w:spacing w:before="480" w:after="480"/>
              <w:jc w:val="center"/>
              <w:rPr>
                <w:color w:val="000000"/>
              </w:rPr>
            </w:pPr>
            <w:r w:rsidRPr="00533140">
              <w:rPr>
                <w:color w:val="000000"/>
              </w:rPr>
              <w:t>11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FC4E2C9" w14:textId="43C1AB48"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F3D38EB" w14:textId="77777777" w:rsidR="00533140" w:rsidRPr="00533140" w:rsidRDefault="00533140" w:rsidP="003B496E">
            <w:pPr>
              <w:pStyle w:val="NormalWeb"/>
              <w:spacing w:before="480" w:after="480"/>
              <w:jc w:val="center"/>
              <w:rPr>
                <w:color w:val="000000"/>
              </w:rPr>
            </w:pPr>
            <w:r w:rsidRPr="00533140">
              <w:rPr>
                <w:color w:val="000000"/>
              </w:rPr>
              <w:t>0.786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ABD91F9" w14:textId="77D4B91A"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595C802" w14:textId="36CE1361"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E26EAAB" w14:textId="1ACA50AC"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6055201" w14:textId="5E85A78E" w:rsidR="00533140" w:rsidRPr="00533140" w:rsidRDefault="00533140" w:rsidP="003B496E">
            <w:pPr>
              <w:pStyle w:val="NormalWeb"/>
              <w:spacing w:before="480" w:after="480"/>
              <w:jc w:val="center"/>
              <w:rPr>
                <w:color w:val="000000"/>
              </w:rPr>
            </w:pPr>
          </w:p>
        </w:tc>
      </w:tr>
      <w:tr w:rsidR="00533140" w:rsidRPr="00533140" w14:paraId="01A8A191"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29DC41" w14:textId="77777777" w:rsidR="00533140" w:rsidRPr="00533140" w:rsidRDefault="00533140" w:rsidP="003B496E">
            <w:pPr>
              <w:pStyle w:val="NormalWeb"/>
              <w:spacing w:before="480" w:after="480"/>
              <w:jc w:val="center"/>
              <w:rPr>
                <w:color w:val="000000"/>
              </w:rPr>
            </w:pPr>
            <w:r w:rsidRPr="00533140">
              <w:rPr>
                <w:color w:val="000000"/>
              </w:rPr>
              <w:t>29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9F365DB" w14:textId="4879E0F5"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9975DE5" w14:textId="77777777" w:rsidR="00533140" w:rsidRPr="00533140" w:rsidRDefault="00533140" w:rsidP="003B496E">
            <w:pPr>
              <w:pStyle w:val="NormalWeb"/>
              <w:spacing w:before="480" w:after="480"/>
              <w:jc w:val="center"/>
              <w:rPr>
                <w:color w:val="000000"/>
              </w:rPr>
            </w:pPr>
            <w:r w:rsidRPr="00533140">
              <w:rPr>
                <w:color w:val="000000"/>
              </w:rPr>
              <w:t>0.763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FA0424" w14:textId="06B7DFD7"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87DACC5" w14:textId="5712DD7F"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859FDA6" w14:textId="09C8394A"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F649B59" w14:textId="614A91CA" w:rsidR="00533140" w:rsidRPr="00533140" w:rsidRDefault="00533140" w:rsidP="003B496E">
            <w:pPr>
              <w:pStyle w:val="NormalWeb"/>
              <w:spacing w:before="480" w:after="480"/>
              <w:jc w:val="center"/>
              <w:rPr>
                <w:color w:val="000000"/>
              </w:rPr>
            </w:pPr>
          </w:p>
        </w:tc>
      </w:tr>
      <w:tr w:rsidR="00533140" w:rsidRPr="00533140" w14:paraId="45AAE992"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4AF172" w14:textId="77777777" w:rsidR="00533140" w:rsidRPr="00533140" w:rsidRDefault="00533140" w:rsidP="003B496E">
            <w:pPr>
              <w:pStyle w:val="NormalWeb"/>
              <w:spacing w:before="480" w:after="480"/>
              <w:jc w:val="center"/>
              <w:rPr>
                <w:color w:val="000000"/>
              </w:rPr>
            </w:pPr>
            <w:r w:rsidRPr="00533140">
              <w:rPr>
                <w:color w:val="000000"/>
              </w:rPr>
              <w:t>12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F1D7DF9" w14:textId="04C7DE49"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976C3C7" w14:textId="77777777" w:rsidR="00533140" w:rsidRPr="00533140" w:rsidRDefault="00533140" w:rsidP="003B496E">
            <w:pPr>
              <w:pStyle w:val="NormalWeb"/>
              <w:spacing w:before="480" w:after="480"/>
              <w:jc w:val="center"/>
              <w:rPr>
                <w:color w:val="000000"/>
              </w:rPr>
            </w:pPr>
            <w:r w:rsidRPr="00533140">
              <w:rPr>
                <w:color w:val="000000"/>
              </w:rPr>
              <w:t>0.758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C4168C2" w14:textId="02A73937"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45CAE8D" w14:textId="644AAA47"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2A1030E" w14:textId="1F734196"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5FF13E4" w14:textId="23A7CF2A" w:rsidR="00533140" w:rsidRPr="00533140" w:rsidRDefault="00533140" w:rsidP="003B496E">
            <w:pPr>
              <w:pStyle w:val="NormalWeb"/>
              <w:spacing w:before="480" w:after="480"/>
              <w:jc w:val="center"/>
              <w:rPr>
                <w:color w:val="000000"/>
              </w:rPr>
            </w:pPr>
          </w:p>
        </w:tc>
      </w:tr>
      <w:tr w:rsidR="00533140" w:rsidRPr="00533140" w14:paraId="6EAB20A0"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CF546A" w14:textId="77777777" w:rsidR="00533140" w:rsidRPr="00533140" w:rsidRDefault="00533140" w:rsidP="003B496E">
            <w:pPr>
              <w:pStyle w:val="NormalWeb"/>
              <w:spacing w:before="480" w:after="480"/>
              <w:jc w:val="center"/>
              <w:rPr>
                <w:color w:val="000000"/>
              </w:rPr>
            </w:pPr>
            <w:r w:rsidRPr="00533140">
              <w:rPr>
                <w:color w:val="000000"/>
              </w:rPr>
              <w:t>13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4E64032" w14:textId="77C35685"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039A844" w14:textId="77777777" w:rsidR="00533140" w:rsidRPr="00533140" w:rsidRDefault="00533140" w:rsidP="003B496E">
            <w:pPr>
              <w:pStyle w:val="NormalWeb"/>
              <w:spacing w:before="480" w:after="480"/>
              <w:jc w:val="center"/>
              <w:rPr>
                <w:color w:val="000000"/>
              </w:rPr>
            </w:pPr>
            <w:r w:rsidRPr="00533140">
              <w:rPr>
                <w:color w:val="000000"/>
              </w:rPr>
              <w:t>0.753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EF8F3F8" w14:textId="1BDB2B79"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FB464F0" w14:textId="421F7DE0"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690F79F" w14:textId="4D2CC7B3"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2785D96" w14:textId="49F60940" w:rsidR="00533140" w:rsidRPr="00533140" w:rsidRDefault="00533140" w:rsidP="003B496E">
            <w:pPr>
              <w:pStyle w:val="NormalWeb"/>
              <w:spacing w:before="480" w:after="480"/>
              <w:jc w:val="center"/>
              <w:rPr>
                <w:color w:val="000000"/>
              </w:rPr>
            </w:pPr>
          </w:p>
        </w:tc>
      </w:tr>
      <w:tr w:rsidR="00533140" w:rsidRPr="00533140" w14:paraId="0C18CE2B"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0F91DD" w14:textId="77777777" w:rsidR="00533140" w:rsidRPr="00533140" w:rsidRDefault="00533140" w:rsidP="003B496E">
            <w:pPr>
              <w:pStyle w:val="NormalWeb"/>
              <w:spacing w:before="480" w:after="480"/>
              <w:jc w:val="center"/>
              <w:rPr>
                <w:color w:val="000000"/>
              </w:rPr>
            </w:pPr>
            <w:r w:rsidRPr="00533140">
              <w:rPr>
                <w:color w:val="000000"/>
              </w:rPr>
              <w:t>25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E5B88F4" w14:textId="7ECDB350"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8A1BEEC" w14:textId="77777777" w:rsidR="00533140" w:rsidRPr="00533140" w:rsidRDefault="00533140" w:rsidP="003B496E">
            <w:pPr>
              <w:pStyle w:val="NormalWeb"/>
              <w:spacing w:before="480" w:after="480"/>
              <w:jc w:val="center"/>
              <w:rPr>
                <w:color w:val="000000"/>
              </w:rPr>
            </w:pPr>
            <w:r w:rsidRPr="00533140">
              <w:rPr>
                <w:color w:val="000000"/>
              </w:rPr>
              <w:t>0.752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0264C1D" w14:textId="346506D0"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842A8FB" w14:textId="22C3320E"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059AB15" w14:textId="35640A6B"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B050EE1" w14:textId="59F081B6" w:rsidR="00533140" w:rsidRPr="00533140" w:rsidRDefault="00533140" w:rsidP="003B496E">
            <w:pPr>
              <w:pStyle w:val="NormalWeb"/>
              <w:spacing w:before="480" w:after="480"/>
              <w:jc w:val="center"/>
              <w:rPr>
                <w:color w:val="000000"/>
              </w:rPr>
            </w:pPr>
          </w:p>
        </w:tc>
      </w:tr>
      <w:tr w:rsidR="00533140" w:rsidRPr="00533140" w14:paraId="1E66AC3C"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AA07FC" w14:textId="77777777" w:rsidR="00533140" w:rsidRPr="00533140" w:rsidRDefault="00533140" w:rsidP="003B496E">
            <w:pPr>
              <w:pStyle w:val="NormalWeb"/>
              <w:spacing w:before="480" w:after="480"/>
              <w:jc w:val="center"/>
              <w:rPr>
                <w:color w:val="000000"/>
              </w:rPr>
            </w:pPr>
            <w:r w:rsidRPr="00533140">
              <w:rPr>
                <w:color w:val="000000"/>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C012982" w14:textId="7AAD10F5"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3A24DB2" w14:textId="77777777" w:rsidR="00533140" w:rsidRPr="00533140" w:rsidRDefault="00533140" w:rsidP="003B496E">
            <w:pPr>
              <w:pStyle w:val="NormalWeb"/>
              <w:spacing w:before="480" w:after="480"/>
              <w:jc w:val="center"/>
              <w:rPr>
                <w:color w:val="000000"/>
              </w:rPr>
            </w:pPr>
            <w:r w:rsidRPr="00533140">
              <w:rPr>
                <w:color w:val="000000"/>
              </w:rPr>
              <w:t>0.74</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48B8DF6" w14:textId="5C709225"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8D21093" w14:textId="65A37B1E"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DD2BB0F" w14:textId="4BB71A65"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85EF840" w14:textId="4A7C6F21" w:rsidR="00533140" w:rsidRPr="00533140" w:rsidRDefault="00533140" w:rsidP="003B496E">
            <w:pPr>
              <w:pStyle w:val="NormalWeb"/>
              <w:spacing w:before="480" w:after="480"/>
              <w:jc w:val="center"/>
              <w:rPr>
                <w:color w:val="000000"/>
              </w:rPr>
            </w:pPr>
          </w:p>
        </w:tc>
      </w:tr>
      <w:tr w:rsidR="00533140" w:rsidRPr="00533140" w14:paraId="246822E4"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EA2C5F" w14:textId="77777777" w:rsidR="00533140" w:rsidRPr="00533140" w:rsidRDefault="00533140" w:rsidP="003B496E">
            <w:pPr>
              <w:pStyle w:val="NormalWeb"/>
              <w:spacing w:before="480" w:after="480"/>
              <w:jc w:val="center"/>
              <w:rPr>
                <w:color w:val="000000"/>
              </w:rPr>
            </w:pPr>
            <w:r w:rsidRPr="00533140">
              <w:rPr>
                <w:color w:val="000000"/>
              </w:rPr>
              <w:t>27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9B529A8" w14:textId="22C0280C"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60BD026" w14:textId="77777777" w:rsidR="00533140" w:rsidRPr="00533140" w:rsidRDefault="00533140" w:rsidP="003B496E">
            <w:pPr>
              <w:pStyle w:val="NormalWeb"/>
              <w:spacing w:before="480" w:after="480"/>
              <w:jc w:val="center"/>
              <w:rPr>
                <w:color w:val="000000"/>
              </w:rPr>
            </w:pPr>
            <w:r w:rsidRPr="00533140">
              <w:rPr>
                <w:color w:val="000000"/>
              </w:rPr>
              <w:t>0.728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E3D0B89" w14:textId="40CD0CC8"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6F0566A" w14:textId="157025E2"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D3023EE" w14:textId="0A69FEAF"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ADF5261" w14:textId="1F5C402A" w:rsidR="00533140" w:rsidRPr="00533140" w:rsidRDefault="00533140" w:rsidP="003B496E">
            <w:pPr>
              <w:pStyle w:val="NormalWeb"/>
              <w:spacing w:before="480" w:after="480"/>
              <w:jc w:val="center"/>
              <w:rPr>
                <w:color w:val="000000"/>
              </w:rPr>
            </w:pPr>
          </w:p>
        </w:tc>
      </w:tr>
      <w:tr w:rsidR="00533140" w:rsidRPr="00533140" w14:paraId="6031E97F"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0F3B87" w14:textId="77777777" w:rsidR="00533140" w:rsidRPr="00533140" w:rsidRDefault="00533140" w:rsidP="003B496E">
            <w:pPr>
              <w:pStyle w:val="NormalWeb"/>
              <w:spacing w:before="480" w:after="480"/>
              <w:jc w:val="center"/>
              <w:rPr>
                <w:color w:val="000000"/>
              </w:rPr>
            </w:pPr>
            <w:r w:rsidRPr="00533140">
              <w:rPr>
                <w:color w:val="000000"/>
              </w:rPr>
              <w:t>26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56B7472" w14:textId="311654C4"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65F216A" w14:textId="77777777" w:rsidR="00533140" w:rsidRPr="00533140" w:rsidRDefault="00533140" w:rsidP="003B496E">
            <w:pPr>
              <w:pStyle w:val="NormalWeb"/>
              <w:spacing w:before="480" w:after="480"/>
              <w:jc w:val="center"/>
              <w:rPr>
                <w:color w:val="000000"/>
              </w:rPr>
            </w:pPr>
            <w:r w:rsidRPr="00533140">
              <w:rPr>
                <w:color w:val="000000"/>
              </w:rPr>
              <w:t>0.725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A91BDD8" w14:textId="40BE9DF2"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42CD53E" w14:textId="6BBE3656"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6FD9A31" w14:textId="7B3770E2"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A112E81" w14:textId="18F280D2" w:rsidR="00533140" w:rsidRPr="00533140" w:rsidRDefault="00533140" w:rsidP="003B496E">
            <w:pPr>
              <w:pStyle w:val="NormalWeb"/>
              <w:spacing w:before="480" w:after="480"/>
              <w:jc w:val="center"/>
              <w:rPr>
                <w:color w:val="000000"/>
              </w:rPr>
            </w:pPr>
          </w:p>
        </w:tc>
      </w:tr>
      <w:tr w:rsidR="00533140" w:rsidRPr="00533140" w14:paraId="34972F99"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D796C8" w14:textId="77777777" w:rsidR="00533140" w:rsidRPr="00533140" w:rsidRDefault="00533140" w:rsidP="003B496E">
            <w:pPr>
              <w:pStyle w:val="NormalWeb"/>
              <w:spacing w:before="480" w:after="480"/>
              <w:jc w:val="center"/>
              <w:rPr>
                <w:color w:val="000000"/>
              </w:rPr>
            </w:pPr>
            <w:r w:rsidRPr="00533140">
              <w:rPr>
                <w:color w:val="000000"/>
              </w:rPr>
              <w:t>10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AC07B34" w14:textId="2A44AF5D"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543602A" w14:textId="280849AB"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4CD2923" w14:textId="77777777" w:rsidR="00533140" w:rsidRPr="00533140" w:rsidRDefault="00533140" w:rsidP="003B496E">
            <w:pPr>
              <w:pStyle w:val="NormalWeb"/>
              <w:spacing w:before="480" w:after="480"/>
              <w:jc w:val="center"/>
              <w:rPr>
                <w:color w:val="000000"/>
              </w:rPr>
            </w:pPr>
            <w:r w:rsidRPr="00533140">
              <w:rPr>
                <w:color w:val="000000"/>
              </w:rPr>
              <w:t>0.79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DB0038C" w14:textId="60FEF884"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484F7EA" w14:textId="3090C02A"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C278E9F" w14:textId="3C28C76D" w:rsidR="00533140" w:rsidRPr="00533140" w:rsidRDefault="00533140" w:rsidP="003B496E">
            <w:pPr>
              <w:pStyle w:val="NormalWeb"/>
              <w:spacing w:before="480" w:after="480"/>
              <w:jc w:val="center"/>
              <w:rPr>
                <w:color w:val="000000"/>
              </w:rPr>
            </w:pPr>
          </w:p>
        </w:tc>
      </w:tr>
      <w:tr w:rsidR="00533140" w:rsidRPr="00533140" w14:paraId="5FDC8C41"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09BF26" w14:textId="77777777" w:rsidR="00533140" w:rsidRPr="00533140" w:rsidRDefault="00533140" w:rsidP="003B496E">
            <w:pPr>
              <w:pStyle w:val="NormalWeb"/>
              <w:spacing w:before="480" w:after="480"/>
              <w:jc w:val="center"/>
              <w:rPr>
                <w:color w:val="000000"/>
              </w:rPr>
            </w:pPr>
            <w:r w:rsidRPr="00533140">
              <w:rPr>
                <w:color w:val="000000"/>
              </w:rPr>
              <w:t>20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BF6E1FB" w14:textId="037774F9"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9483779" w14:textId="18CF15CE"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284D5E7" w14:textId="77777777" w:rsidR="00533140" w:rsidRPr="00533140" w:rsidRDefault="00533140" w:rsidP="003B496E">
            <w:pPr>
              <w:pStyle w:val="NormalWeb"/>
              <w:spacing w:before="480" w:after="480"/>
              <w:jc w:val="center"/>
              <w:rPr>
                <w:color w:val="000000"/>
              </w:rPr>
            </w:pPr>
            <w:r w:rsidRPr="00533140">
              <w:rPr>
                <w:color w:val="000000"/>
              </w:rPr>
              <w:t>0.779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D0EDA8F" w14:textId="5B842CCB"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DE3590C" w14:textId="78B740FC"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5DBE493" w14:textId="2944EA33" w:rsidR="00533140" w:rsidRPr="00533140" w:rsidRDefault="00533140" w:rsidP="003B496E">
            <w:pPr>
              <w:pStyle w:val="NormalWeb"/>
              <w:spacing w:before="480" w:after="480"/>
              <w:jc w:val="center"/>
              <w:rPr>
                <w:color w:val="000000"/>
              </w:rPr>
            </w:pPr>
          </w:p>
        </w:tc>
      </w:tr>
      <w:tr w:rsidR="00533140" w:rsidRPr="00533140" w14:paraId="66D9CCD2"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FD83F0" w14:textId="77777777" w:rsidR="00533140" w:rsidRPr="00533140" w:rsidRDefault="00533140" w:rsidP="003B496E">
            <w:pPr>
              <w:pStyle w:val="NormalWeb"/>
              <w:spacing w:before="480" w:after="480"/>
              <w:jc w:val="center"/>
              <w:rPr>
                <w:color w:val="000000"/>
              </w:rPr>
            </w:pPr>
            <w:r w:rsidRPr="00533140">
              <w:rPr>
                <w:color w:val="000000"/>
              </w:rPr>
              <w:t>22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ABB5E5C" w14:textId="53D97AAC"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11FD6E5" w14:textId="5943F1A6"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D84097A" w14:textId="77777777" w:rsidR="00533140" w:rsidRPr="00533140" w:rsidRDefault="00533140" w:rsidP="003B496E">
            <w:pPr>
              <w:pStyle w:val="NormalWeb"/>
              <w:spacing w:before="480" w:after="480"/>
              <w:jc w:val="center"/>
              <w:rPr>
                <w:color w:val="000000"/>
              </w:rPr>
            </w:pPr>
            <w:r w:rsidRPr="00533140">
              <w:rPr>
                <w:color w:val="000000"/>
              </w:rPr>
              <w:t>0.754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D6C5194" w14:textId="1E9A4CFE"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F8286CF" w14:textId="20885E07"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D7AB0B3" w14:textId="2A8BFD66" w:rsidR="00533140" w:rsidRPr="00533140" w:rsidRDefault="00533140" w:rsidP="003B496E">
            <w:pPr>
              <w:pStyle w:val="NormalWeb"/>
              <w:spacing w:before="480" w:after="480"/>
              <w:jc w:val="center"/>
              <w:rPr>
                <w:color w:val="000000"/>
              </w:rPr>
            </w:pPr>
          </w:p>
        </w:tc>
      </w:tr>
      <w:tr w:rsidR="00533140" w:rsidRPr="00533140" w14:paraId="57BDE793"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936FA0" w14:textId="77777777" w:rsidR="00533140" w:rsidRPr="00533140" w:rsidRDefault="00533140" w:rsidP="003B496E">
            <w:pPr>
              <w:pStyle w:val="NormalWeb"/>
              <w:spacing w:before="480" w:after="480"/>
              <w:jc w:val="center"/>
              <w:rPr>
                <w:color w:val="000000"/>
              </w:rPr>
            </w:pPr>
            <w:r w:rsidRPr="00533140">
              <w:rPr>
                <w:color w:val="000000"/>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F2E3713" w14:textId="5784F723"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B03A799" w14:textId="2309E5B0"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6416E4E" w14:textId="77777777" w:rsidR="00533140" w:rsidRPr="00533140" w:rsidRDefault="00533140" w:rsidP="003B496E">
            <w:pPr>
              <w:pStyle w:val="NormalWeb"/>
              <w:spacing w:before="480" w:after="480"/>
              <w:jc w:val="center"/>
              <w:rPr>
                <w:color w:val="000000"/>
              </w:rPr>
            </w:pPr>
            <w:r w:rsidRPr="00533140">
              <w:rPr>
                <w:color w:val="000000"/>
              </w:rPr>
              <w:t>0.745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7315204" w14:textId="4DBD60F6"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A245FAF" w14:textId="753D96E7"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0779C90" w14:textId="56D31E71" w:rsidR="00533140" w:rsidRPr="00533140" w:rsidRDefault="00533140" w:rsidP="003B496E">
            <w:pPr>
              <w:pStyle w:val="NormalWeb"/>
              <w:spacing w:before="480" w:after="480"/>
              <w:jc w:val="center"/>
              <w:rPr>
                <w:color w:val="000000"/>
              </w:rPr>
            </w:pPr>
          </w:p>
        </w:tc>
      </w:tr>
      <w:tr w:rsidR="00533140" w:rsidRPr="00533140" w14:paraId="164CF529"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69D323" w14:textId="77777777" w:rsidR="00533140" w:rsidRPr="00533140" w:rsidRDefault="00533140" w:rsidP="003B496E">
            <w:pPr>
              <w:pStyle w:val="NormalWeb"/>
              <w:spacing w:before="480" w:after="480"/>
              <w:jc w:val="center"/>
              <w:rPr>
                <w:color w:val="000000"/>
              </w:rPr>
            </w:pPr>
            <w:r w:rsidRPr="00533140">
              <w:rPr>
                <w:color w:val="000000"/>
              </w:rPr>
              <w:t>21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5D5AC4D" w14:textId="7C43BF12"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13FBD7F" w14:textId="4E061691"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5557B77" w14:textId="77777777" w:rsidR="00533140" w:rsidRPr="00533140" w:rsidRDefault="00533140" w:rsidP="003B496E">
            <w:pPr>
              <w:pStyle w:val="NormalWeb"/>
              <w:spacing w:before="480" w:after="480"/>
              <w:jc w:val="center"/>
              <w:rPr>
                <w:color w:val="000000"/>
              </w:rPr>
            </w:pPr>
            <w:r w:rsidRPr="00533140">
              <w:rPr>
                <w:color w:val="000000"/>
              </w:rPr>
              <w:t>0.735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B6E6542" w14:textId="5A9C8A6C"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52F9DCB" w14:textId="42773198"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EC568AA" w14:textId="71B65E52" w:rsidR="00533140" w:rsidRPr="00533140" w:rsidRDefault="00533140" w:rsidP="003B496E">
            <w:pPr>
              <w:pStyle w:val="NormalWeb"/>
              <w:spacing w:before="480" w:after="480"/>
              <w:jc w:val="center"/>
              <w:rPr>
                <w:color w:val="000000"/>
              </w:rPr>
            </w:pPr>
          </w:p>
        </w:tc>
      </w:tr>
      <w:tr w:rsidR="00533140" w:rsidRPr="00533140" w14:paraId="50DAB95C"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65F09A" w14:textId="77777777" w:rsidR="00533140" w:rsidRPr="00533140" w:rsidRDefault="00533140" w:rsidP="003B496E">
            <w:pPr>
              <w:pStyle w:val="NormalWeb"/>
              <w:spacing w:before="480" w:after="480"/>
              <w:jc w:val="center"/>
              <w:rPr>
                <w:color w:val="000000"/>
              </w:rPr>
            </w:pPr>
            <w:r w:rsidRPr="00533140">
              <w:rPr>
                <w:color w:val="000000"/>
              </w:rPr>
              <w:t>28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ECBFB17" w14:textId="7C4D6247"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26C9592" w14:textId="3FC02C9D"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AB2D151" w14:textId="77777777" w:rsidR="00533140" w:rsidRPr="00533140" w:rsidRDefault="00533140" w:rsidP="003B496E">
            <w:pPr>
              <w:pStyle w:val="NormalWeb"/>
              <w:spacing w:before="480" w:after="480"/>
              <w:jc w:val="center"/>
              <w:rPr>
                <w:color w:val="000000"/>
              </w:rPr>
            </w:pPr>
            <w:r w:rsidRPr="00533140">
              <w:rPr>
                <w:color w:val="000000"/>
              </w:rPr>
              <w:t>0.733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914CAA6" w14:textId="4A7C4F63"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DAEFAF4" w14:textId="1DFE6654"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CDE2267" w14:textId="43A8646E" w:rsidR="00533140" w:rsidRPr="00533140" w:rsidRDefault="00533140" w:rsidP="003B496E">
            <w:pPr>
              <w:pStyle w:val="NormalWeb"/>
              <w:spacing w:before="480" w:after="480"/>
              <w:jc w:val="center"/>
              <w:rPr>
                <w:color w:val="000000"/>
              </w:rPr>
            </w:pPr>
          </w:p>
        </w:tc>
      </w:tr>
      <w:tr w:rsidR="00533140" w:rsidRPr="00533140" w14:paraId="02933922"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05E67F" w14:textId="77777777" w:rsidR="00533140" w:rsidRPr="00533140" w:rsidRDefault="00533140" w:rsidP="003B496E">
            <w:pPr>
              <w:pStyle w:val="NormalWeb"/>
              <w:spacing w:before="480" w:after="480"/>
              <w:jc w:val="center"/>
              <w:rPr>
                <w:color w:val="000000"/>
              </w:rPr>
            </w:pPr>
            <w:r w:rsidRPr="00533140">
              <w:rPr>
                <w:color w:val="000000"/>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7687B70" w14:textId="2E21A77B"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E5467B5" w14:textId="5C22D327"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71B536E" w14:textId="77777777" w:rsidR="00533140" w:rsidRPr="00533140" w:rsidRDefault="00533140" w:rsidP="003B496E">
            <w:pPr>
              <w:pStyle w:val="NormalWeb"/>
              <w:spacing w:before="480" w:after="480"/>
              <w:jc w:val="center"/>
              <w:rPr>
                <w:color w:val="000000"/>
              </w:rPr>
            </w:pPr>
            <w:r w:rsidRPr="00533140">
              <w:rPr>
                <w:color w:val="000000"/>
              </w:rPr>
              <w:t>0.726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E5CAA81" w14:textId="3F0B6538"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4060754" w14:textId="3336FE52"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6541415" w14:textId="5FC7559F" w:rsidR="00533140" w:rsidRPr="00533140" w:rsidRDefault="00533140" w:rsidP="003B496E">
            <w:pPr>
              <w:pStyle w:val="NormalWeb"/>
              <w:spacing w:before="480" w:after="480"/>
              <w:jc w:val="center"/>
              <w:rPr>
                <w:color w:val="000000"/>
              </w:rPr>
            </w:pPr>
          </w:p>
        </w:tc>
      </w:tr>
      <w:tr w:rsidR="00533140" w:rsidRPr="00533140" w14:paraId="7AE18ECF"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03761C" w14:textId="77777777" w:rsidR="00533140" w:rsidRPr="00533140" w:rsidRDefault="00533140" w:rsidP="003B496E">
            <w:pPr>
              <w:pStyle w:val="NormalWeb"/>
              <w:spacing w:before="480" w:after="480"/>
              <w:jc w:val="center"/>
              <w:rPr>
                <w:color w:val="000000"/>
              </w:rPr>
            </w:pPr>
            <w:r w:rsidRPr="00533140">
              <w:rPr>
                <w:color w:val="000000"/>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0D7092F" w14:textId="7D2C99B0"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48827F7" w14:textId="3310E87A"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6720B0B" w14:textId="77777777" w:rsidR="00533140" w:rsidRPr="00533140" w:rsidRDefault="00533140" w:rsidP="003B496E">
            <w:pPr>
              <w:pStyle w:val="NormalWeb"/>
              <w:spacing w:before="480" w:after="480"/>
              <w:jc w:val="center"/>
              <w:rPr>
                <w:color w:val="000000"/>
              </w:rPr>
            </w:pPr>
            <w:r w:rsidRPr="00533140">
              <w:rPr>
                <w:color w:val="000000"/>
              </w:rPr>
              <w:t>0.69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01E7671" w14:textId="2AB36DC2"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BB2B7E6" w14:textId="4086725C"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245CD4A" w14:textId="00DE06D2" w:rsidR="00533140" w:rsidRPr="00533140" w:rsidRDefault="00533140" w:rsidP="003B496E">
            <w:pPr>
              <w:pStyle w:val="NormalWeb"/>
              <w:spacing w:before="480" w:after="480"/>
              <w:jc w:val="center"/>
              <w:rPr>
                <w:color w:val="000000"/>
              </w:rPr>
            </w:pPr>
          </w:p>
        </w:tc>
      </w:tr>
      <w:tr w:rsidR="00533140" w:rsidRPr="00533140" w14:paraId="4969786F"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309003" w14:textId="77777777" w:rsidR="00533140" w:rsidRPr="00533140" w:rsidRDefault="00533140" w:rsidP="003B496E">
            <w:pPr>
              <w:pStyle w:val="NormalWeb"/>
              <w:spacing w:before="480" w:after="480"/>
              <w:jc w:val="center"/>
              <w:rPr>
                <w:color w:val="000000"/>
              </w:rPr>
            </w:pPr>
            <w:r w:rsidRPr="00533140">
              <w:rPr>
                <w:color w:val="000000"/>
              </w:rPr>
              <w:t>32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411A3D2" w14:textId="60B86022"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3C69C3C" w14:textId="1C4CDAE3"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56487D5" w14:textId="4B75EFEF"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CBBCEA6" w14:textId="77777777" w:rsidR="00533140" w:rsidRPr="00533140" w:rsidRDefault="00533140" w:rsidP="003B496E">
            <w:pPr>
              <w:pStyle w:val="NormalWeb"/>
              <w:spacing w:before="480" w:after="480"/>
              <w:jc w:val="center"/>
              <w:rPr>
                <w:color w:val="000000"/>
              </w:rPr>
            </w:pPr>
            <w:r w:rsidRPr="00533140">
              <w:rPr>
                <w:color w:val="000000"/>
              </w:rPr>
              <w:t>0.79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BF368BC" w14:textId="068289E1"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405B123" w14:textId="58F03F59" w:rsidR="00533140" w:rsidRPr="00533140" w:rsidRDefault="00533140" w:rsidP="003B496E">
            <w:pPr>
              <w:pStyle w:val="NormalWeb"/>
              <w:spacing w:before="480" w:after="480"/>
              <w:jc w:val="center"/>
              <w:rPr>
                <w:color w:val="000000"/>
              </w:rPr>
            </w:pPr>
          </w:p>
        </w:tc>
      </w:tr>
      <w:tr w:rsidR="00533140" w:rsidRPr="00533140" w14:paraId="4B3A01B1"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3E29AA" w14:textId="77777777" w:rsidR="00533140" w:rsidRPr="00533140" w:rsidRDefault="00533140" w:rsidP="003B496E">
            <w:pPr>
              <w:pStyle w:val="NormalWeb"/>
              <w:spacing w:before="480" w:after="480"/>
              <w:jc w:val="center"/>
              <w:rPr>
                <w:color w:val="000000"/>
              </w:rPr>
            </w:pPr>
            <w:r w:rsidRPr="00533140">
              <w:rPr>
                <w:color w:val="000000"/>
              </w:rPr>
              <w:t>31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1D15BD0" w14:textId="13BB2588"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7BC1A8C" w14:textId="0D9B90FA"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6533A7C" w14:textId="24156DA3"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1F787C9" w14:textId="77777777" w:rsidR="00533140" w:rsidRPr="00533140" w:rsidRDefault="00533140" w:rsidP="003B496E">
            <w:pPr>
              <w:pStyle w:val="NormalWeb"/>
              <w:spacing w:before="480" w:after="480"/>
              <w:jc w:val="center"/>
              <w:rPr>
                <w:color w:val="000000"/>
              </w:rPr>
            </w:pPr>
            <w:r w:rsidRPr="00533140">
              <w:rPr>
                <w:color w:val="000000"/>
              </w:rPr>
              <w:t>0.775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020CA3E" w14:textId="651BBD23"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4FB640C" w14:textId="7433C705" w:rsidR="00533140" w:rsidRPr="00533140" w:rsidRDefault="00533140" w:rsidP="003B496E">
            <w:pPr>
              <w:pStyle w:val="NormalWeb"/>
              <w:spacing w:before="480" w:after="480"/>
              <w:jc w:val="center"/>
              <w:rPr>
                <w:color w:val="000000"/>
              </w:rPr>
            </w:pPr>
          </w:p>
        </w:tc>
      </w:tr>
      <w:tr w:rsidR="00533140" w:rsidRPr="00533140" w14:paraId="58ED3A7C"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5FBB45" w14:textId="77777777" w:rsidR="00533140" w:rsidRPr="00533140" w:rsidRDefault="00533140" w:rsidP="003B496E">
            <w:pPr>
              <w:pStyle w:val="NormalWeb"/>
              <w:spacing w:before="480" w:after="480"/>
              <w:jc w:val="center"/>
              <w:rPr>
                <w:color w:val="000000"/>
              </w:rPr>
            </w:pPr>
            <w:r w:rsidRPr="00533140">
              <w:rPr>
                <w:color w:val="000000"/>
              </w:rPr>
              <w:t>34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2A002FB" w14:textId="01670CD2"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F9F4ADF" w14:textId="69638D75"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D08383D" w14:textId="2B36B20D"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F622CF0" w14:textId="77777777" w:rsidR="00533140" w:rsidRPr="00533140" w:rsidRDefault="00533140" w:rsidP="003B496E">
            <w:pPr>
              <w:pStyle w:val="NormalWeb"/>
              <w:spacing w:before="480" w:after="480"/>
              <w:jc w:val="center"/>
              <w:rPr>
                <w:color w:val="000000"/>
              </w:rPr>
            </w:pPr>
            <w:r w:rsidRPr="00533140">
              <w:rPr>
                <w:color w:val="000000"/>
              </w:rPr>
              <w:t>0.773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462D68B" w14:textId="6C5954EB"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ECD66CA" w14:textId="3A1B9E0D" w:rsidR="00533140" w:rsidRPr="00533140" w:rsidRDefault="00533140" w:rsidP="003B496E">
            <w:pPr>
              <w:pStyle w:val="NormalWeb"/>
              <w:spacing w:before="480" w:after="480"/>
              <w:jc w:val="center"/>
              <w:rPr>
                <w:color w:val="000000"/>
              </w:rPr>
            </w:pPr>
          </w:p>
        </w:tc>
      </w:tr>
      <w:tr w:rsidR="00533140" w:rsidRPr="00533140" w14:paraId="71682F7C"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E97E7E" w14:textId="77777777" w:rsidR="00533140" w:rsidRPr="00533140" w:rsidRDefault="00533140" w:rsidP="003B496E">
            <w:pPr>
              <w:pStyle w:val="NormalWeb"/>
              <w:spacing w:before="480" w:after="480"/>
              <w:jc w:val="center"/>
              <w:rPr>
                <w:color w:val="000000"/>
              </w:rPr>
            </w:pPr>
            <w:r w:rsidRPr="00533140">
              <w:rPr>
                <w:color w:val="000000"/>
              </w:rPr>
              <w:t>33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BA65A46" w14:textId="508B3B1A"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7E2199B" w14:textId="0867413F"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7FD118B" w14:textId="7C3EB778"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296F137" w14:textId="77777777" w:rsidR="00533140" w:rsidRPr="00533140" w:rsidRDefault="00533140" w:rsidP="003B496E">
            <w:pPr>
              <w:pStyle w:val="NormalWeb"/>
              <w:spacing w:before="480" w:after="480"/>
              <w:jc w:val="center"/>
              <w:rPr>
                <w:color w:val="000000"/>
              </w:rPr>
            </w:pPr>
            <w:r w:rsidRPr="00533140">
              <w:rPr>
                <w:color w:val="000000"/>
              </w:rPr>
              <w:t>0.768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3B09E27" w14:textId="0D116F88"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9B00978" w14:textId="70F06E79" w:rsidR="00533140" w:rsidRPr="00533140" w:rsidRDefault="00533140" w:rsidP="003B496E">
            <w:pPr>
              <w:pStyle w:val="NormalWeb"/>
              <w:spacing w:before="480" w:after="480"/>
              <w:jc w:val="center"/>
              <w:rPr>
                <w:color w:val="000000"/>
              </w:rPr>
            </w:pPr>
          </w:p>
        </w:tc>
      </w:tr>
      <w:tr w:rsidR="00533140" w:rsidRPr="00533140" w14:paraId="74C159C7"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F2A1A8" w14:textId="77777777" w:rsidR="00533140" w:rsidRPr="00533140" w:rsidRDefault="00533140" w:rsidP="003B496E">
            <w:pPr>
              <w:pStyle w:val="NormalWeb"/>
              <w:spacing w:before="480" w:after="480"/>
              <w:jc w:val="center"/>
              <w:rPr>
                <w:color w:val="000000"/>
              </w:rPr>
            </w:pPr>
            <w:r w:rsidRPr="00533140">
              <w:rPr>
                <w:color w:val="000000"/>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B307C61" w14:textId="52CB0F64"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E20609D" w14:textId="531A5DD9"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B275CE6" w14:textId="358F249A"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023B2C0" w14:textId="77777777" w:rsidR="00533140" w:rsidRPr="00533140" w:rsidRDefault="00533140" w:rsidP="003B496E">
            <w:pPr>
              <w:pStyle w:val="NormalWeb"/>
              <w:spacing w:before="480" w:after="480"/>
              <w:jc w:val="center"/>
              <w:rPr>
                <w:color w:val="000000"/>
              </w:rPr>
            </w:pPr>
            <w:r w:rsidRPr="00533140">
              <w:rPr>
                <w:color w:val="000000"/>
              </w:rPr>
              <w:t>0.75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48D6FBB" w14:textId="4F7BE875"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10415B3" w14:textId="5F91B967" w:rsidR="00533140" w:rsidRPr="00533140" w:rsidRDefault="00533140" w:rsidP="003B496E">
            <w:pPr>
              <w:pStyle w:val="NormalWeb"/>
              <w:spacing w:before="480" w:after="480"/>
              <w:jc w:val="center"/>
              <w:rPr>
                <w:color w:val="000000"/>
              </w:rPr>
            </w:pPr>
          </w:p>
        </w:tc>
      </w:tr>
      <w:tr w:rsidR="00533140" w:rsidRPr="00533140" w14:paraId="0645870E"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9E1AC2" w14:textId="77777777" w:rsidR="00533140" w:rsidRPr="00533140" w:rsidRDefault="00533140" w:rsidP="003B496E">
            <w:pPr>
              <w:pStyle w:val="NormalWeb"/>
              <w:spacing w:before="480" w:after="480"/>
              <w:jc w:val="center"/>
              <w:rPr>
                <w:color w:val="000000"/>
              </w:rPr>
            </w:pPr>
            <w:r w:rsidRPr="00533140">
              <w:rPr>
                <w:color w:val="000000"/>
              </w:rPr>
              <w:t>35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4755ADF" w14:textId="748289A5"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52BE10C" w14:textId="4EE767FE"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F656080" w14:textId="1E8D483A"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F33F1DB" w14:textId="77777777" w:rsidR="00533140" w:rsidRPr="00533140" w:rsidRDefault="00533140" w:rsidP="003B496E">
            <w:pPr>
              <w:pStyle w:val="NormalWeb"/>
              <w:spacing w:before="480" w:after="480"/>
              <w:jc w:val="center"/>
              <w:rPr>
                <w:color w:val="000000"/>
              </w:rPr>
            </w:pPr>
            <w:r w:rsidRPr="00533140">
              <w:rPr>
                <w:color w:val="000000"/>
              </w:rPr>
              <w:t>0.748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6D232DA" w14:textId="2D18A174"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8F5BC4B" w14:textId="24F6A474" w:rsidR="00533140" w:rsidRPr="00533140" w:rsidRDefault="00533140" w:rsidP="003B496E">
            <w:pPr>
              <w:pStyle w:val="NormalWeb"/>
              <w:spacing w:before="480" w:after="480"/>
              <w:jc w:val="center"/>
              <w:rPr>
                <w:color w:val="000000"/>
              </w:rPr>
            </w:pPr>
          </w:p>
        </w:tc>
      </w:tr>
      <w:tr w:rsidR="00533140" w:rsidRPr="00533140" w14:paraId="012D3125"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5AD6AA" w14:textId="77777777" w:rsidR="00533140" w:rsidRPr="00533140" w:rsidRDefault="00533140" w:rsidP="003B496E">
            <w:pPr>
              <w:pStyle w:val="NormalWeb"/>
              <w:spacing w:before="480" w:after="480"/>
              <w:jc w:val="center"/>
              <w:rPr>
                <w:color w:val="000000"/>
              </w:rPr>
            </w:pPr>
            <w:r w:rsidRPr="00533140">
              <w:rPr>
                <w:color w:val="000000"/>
              </w:rPr>
              <w:t>38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BEA028A" w14:textId="250FAA4B"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B70263F" w14:textId="6504C2E8"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8782EFB" w14:textId="02B618F3"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5AF22D5" w14:textId="1EE7CD83"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AD82271" w14:textId="77777777" w:rsidR="00533140" w:rsidRPr="00533140" w:rsidRDefault="00533140" w:rsidP="003B496E">
            <w:pPr>
              <w:pStyle w:val="NormalWeb"/>
              <w:spacing w:before="480" w:after="480"/>
              <w:jc w:val="center"/>
              <w:rPr>
                <w:color w:val="000000"/>
              </w:rPr>
            </w:pPr>
            <w:r w:rsidRPr="00533140">
              <w:rPr>
                <w:color w:val="000000"/>
              </w:rPr>
              <w:t>0.836</w:t>
            </w: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0AE1375" w14:textId="3DC3ED04" w:rsidR="00533140" w:rsidRPr="00533140" w:rsidRDefault="00533140" w:rsidP="003B496E">
            <w:pPr>
              <w:pStyle w:val="NormalWeb"/>
              <w:spacing w:before="480" w:after="480"/>
              <w:jc w:val="center"/>
              <w:rPr>
                <w:color w:val="000000"/>
              </w:rPr>
            </w:pPr>
          </w:p>
        </w:tc>
      </w:tr>
      <w:tr w:rsidR="00533140" w:rsidRPr="00533140" w14:paraId="1E2CBF5E"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C3106A" w14:textId="77777777" w:rsidR="00533140" w:rsidRPr="00533140" w:rsidRDefault="00533140" w:rsidP="003B496E">
            <w:pPr>
              <w:pStyle w:val="NormalWeb"/>
              <w:spacing w:before="480" w:after="480"/>
              <w:jc w:val="center"/>
              <w:rPr>
                <w:color w:val="000000"/>
              </w:rPr>
            </w:pPr>
            <w:r w:rsidRPr="00533140">
              <w:rPr>
                <w:color w:val="000000"/>
              </w:rPr>
              <w:t>39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F598048" w14:textId="20687571"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79B444B" w14:textId="626E325C"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A97A7B9" w14:textId="388EEA1C"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70A19B4" w14:textId="5DB80338"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98902C1" w14:textId="77777777" w:rsidR="00533140" w:rsidRPr="00533140" w:rsidRDefault="00533140" w:rsidP="003B496E">
            <w:pPr>
              <w:pStyle w:val="NormalWeb"/>
              <w:spacing w:before="480" w:after="480"/>
              <w:jc w:val="center"/>
              <w:rPr>
                <w:color w:val="000000"/>
              </w:rPr>
            </w:pPr>
            <w:r w:rsidRPr="00533140">
              <w:rPr>
                <w:color w:val="000000"/>
              </w:rPr>
              <w:t>0.829</w:t>
            </w: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83B8365" w14:textId="77606D62" w:rsidR="00533140" w:rsidRPr="00533140" w:rsidRDefault="00533140" w:rsidP="003B496E">
            <w:pPr>
              <w:pStyle w:val="NormalWeb"/>
              <w:spacing w:before="480" w:after="480"/>
              <w:jc w:val="center"/>
              <w:rPr>
                <w:color w:val="000000"/>
              </w:rPr>
            </w:pPr>
          </w:p>
        </w:tc>
      </w:tr>
      <w:tr w:rsidR="00533140" w:rsidRPr="00533140" w14:paraId="731F6CAF"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B62E6C" w14:textId="77777777" w:rsidR="00533140" w:rsidRPr="00533140" w:rsidRDefault="00533140" w:rsidP="003B496E">
            <w:pPr>
              <w:pStyle w:val="NormalWeb"/>
              <w:spacing w:before="480" w:after="480"/>
              <w:jc w:val="center"/>
              <w:rPr>
                <w:color w:val="000000"/>
              </w:rPr>
            </w:pPr>
            <w:r w:rsidRPr="00533140">
              <w:rPr>
                <w:color w:val="000000"/>
              </w:rPr>
              <w:t>40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91FC4B2" w14:textId="495133F9"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2C9A3E0" w14:textId="4B43BC89"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CA09F97" w14:textId="00A4AEE3"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9174E2E" w14:textId="48D5E925"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E1F0AE3" w14:textId="77777777" w:rsidR="00533140" w:rsidRPr="00533140" w:rsidRDefault="00533140" w:rsidP="003B496E">
            <w:pPr>
              <w:pStyle w:val="NormalWeb"/>
              <w:spacing w:before="480" w:after="480"/>
              <w:jc w:val="center"/>
              <w:rPr>
                <w:color w:val="000000"/>
              </w:rPr>
            </w:pPr>
            <w:r w:rsidRPr="00533140">
              <w:rPr>
                <w:color w:val="000000"/>
              </w:rPr>
              <w:t>0.821</w:t>
            </w: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7F16794" w14:textId="515E1080" w:rsidR="00533140" w:rsidRPr="00533140" w:rsidRDefault="00533140" w:rsidP="003B496E">
            <w:pPr>
              <w:pStyle w:val="NormalWeb"/>
              <w:spacing w:before="480" w:after="480"/>
              <w:jc w:val="center"/>
              <w:rPr>
                <w:color w:val="000000"/>
              </w:rPr>
            </w:pPr>
          </w:p>
        </w:tc>
      </w:tr>
      <w:tr w:rsidR="00533140" w:rsidRPr="00533140" w14:paraId="7E1604B6"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996033" w14:textId="77777777" w:rsidR="00533140" w:rsidRPr="00533140" w:rsidRDefault="00533140" w:rsidP="003B496E">
            <w:pPr>
              <w:pStyle w:val="NormalWeb"/>
              <w:spacing w:before="480" w:after="480"/>
              <w:jc w:val="center"/>
              <w:rPr>
                <w:color w:val="000000"/>
              </w:rPr>
            </w:pPr>
            <w:r w:rsidRPr="00533140">
              <w:rPr>
                <w:color w:val="000000"/>
              </w:rPr>
              <w:t>24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20C4A48" w14:textId="20ABDE8F"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C8AB07A" w14:textId="7C85E88A"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FA13021" w14:textId="3836F91C"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5C04CD5" w14:textId="2FFF6E21"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D508854" w14:textId="7530C259"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58AEF95" w14:textId="77777777" w:rsidR="00533140" w:rsidRPr="00533140" w:rsidRDefault="00533140" w:rsidP="003B496E">
            <w:pPr>
              <w:pStyle w:val="NormalWeb"/>
              <w:spacing w:before="480" w:after="480"/>
              <w:jc w:val="center"/>
              <w:rPr>
                <w:color w:val="000000"/>
              </w:rPr>
            </w:pPr>
            <w:r w:rsidRPr="00533140">
              <w:rPr>
                <w:color w:val="000000"/>
              </w:rPr>
              <w:t>0.822</w:t>
            </w:r>
          </w:p>
        </w:tc>
      </w:tr>
      <w:tr w:rsidR="00533140" w:rsidRPr="00533140" w14:paraId="6B0F8248"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BFB54D" w14:textId="77777777" w:rsidR="00533140" w:rsidRPr="00533140" w:rsidRDefault="00533140" w:rsidP="003B496E">
            <w:pPr>
              <w:pStyle w:val="NormalWeb"/>
              <w:spacing w:before="480" w:after="480"/>
              <w:jc w:val="center"/>
              <w:rPr>
                <w:color w:val="000000"/>
              </w:rPr>
            </w:pPr>
            <w:r w:rsidRPr="00533140">
              <w:rPr>
                <w:color w:val="000000"/>
              </w:rPr>
              <w:t>23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E9B1621" w14:textId="6A9CD2C8"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EACAA96" w14:textId="1D4F25A4"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118F19F" w14:textId="0063B609"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4FA0BED" w14:textId="0C4B2641"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7A82831" w14:textId="3A073AD2"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91A8FE7" w14:textId="77777777" w:rsidR="00533140" w:rsidRPr="00533140" w:rsidRDefault="00533140" w:rsidP="003B496E">
            <w:pPr>
              <w:pStyle w:val="NormalWeb"/>
              <w:spacing w:before="480" w:after="480"/>
              <w:jc w:val="center"/>
              <w:rPr>
                <w:color w:val="000000"/>
              </w:rPr>
            </w:pPr>
            <w:r w:rsidRPr="00533140">
              <w:rPr>
                <w:color w:val="000000"/>
              </w:rPr>
              <w:t>0.819</w:t>
            </w:r>
          </w:p>
        </w:tc>
      </w:tr>
      <w:tr w:rsidR="00533140" w:rsidRPr="00533140" w14:paraId="4F79038F" w14:textId="77777777" w:rsidTr="003B496E">
        <w:trPr>
          <w:trHeight w:val="144"/>
        </w:trPr>
        <w:tc>
          <w:tcPr>
            <w:tcW w:w="2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05FD8A" w14:textId="77777777" w:rsidR="00533140" w:rsidRPr="00533140" w:rsidRDefault="00533140" w:rsidP="003B496E">
            <w:pPr>
              <w:pStyle w:val="NormalWeb"/>
              <w:spacing w:before="480" w:after="480"/>
              <w:jc w:val="center"/>
              <w:rPr>
                <w:color w:val="000000"/>
              </w:rPr>
            </w:pPr>
            <w:r w:rsidRPr="00533140">
              <w:rPr>
                <w:color w:val="000000"/>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9DC7ADC" w14:textId="42685CC7"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A62410F" w14:textId="38BC0853" w:rsidR="00533140" w:rsidRPr="00533140" w:rsidRDefault="00533140" w:rsidP="003B496E">
            <w:pPr>
              <w:pStyle w:val="NormalWeb"/>
              <w:spacing w:before="480" w:after="480"/>
              <w:jc w:val="center"/>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666AF18" w14:textId="20981D50"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C5812F8" w14:textId="06A952A5" w:rsidR="00533140" w:rsidRPr="00533140" w:rsidRDefault="00533140" w:rsidP="003B496E">
            <w:pPr>
              <w:pStyle w:val="NormalWeb"/>
              <w:spacing w:before="480" w:after="480"/>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9DC997A" w14:textId="28D4297B" w:rsidR="00533140" w:rsidRPr="00533140" w:rsidRDefault="00533140" w:rsidP="003B496E">
            <w:pPr>
              <w:pStyle w:val="NormalWeb"/>
              <w:spacing w:before="480" w:after="480"/>
              <w:jc w:val="center"/>
              <w:rPr>
                <w:color w:val="000000"/>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EF887A7" w14:textId="77777777" w:rsidR="00533140" w:rsidRPr="00533140" w:rsidRDefault="00533140" w:rsidP="003B496E">
            <w:pPr>
              <w:pStyle w:val="NormalWeb"/>
              <w:spacing w:before="480" w:after="480"/>
              <w:jc w:val="center"/>
              <w:rPr>
                <w:color w:val="000000"/>
              </w:rPr>
            </w:pPr>
            <w:r w:rsidRPr="00533140">
              <w:rPr>
                <w:color w:val="000000"/>
              </w:rPr>
              <w:t>0.794</w:t>
            </w:r>
          </w:p>
        </w:tc>
      </w:tr>
    </w:tbl>
    <w:p w14:paraId="708A6262" w14:textId="77777777" w:rsidR="00533140" w:rsidRPr="00533140" w:rsidRDefault="00533140" w:rsidP="003B496E">
      <w:pPr>
        <w:pStyle w:val="NormalWeb"/>
        <w:spacing w:before="480" w:after="480"/>
        <w:ind w:firstLine="720"/>
        <w:jc w:val="both"/>
        <w:rPr>
          <w:color w:val="000000"/>
        </w:rPr>
      </w:pPr>
      <w:r w:rsidRPr="003B496E">
        <w:rPr>
          <w:color w:val="000000"/>
        </w:rPr>
        <w:t>Dimension 1:</w:t>
      </w:r>
      <w:r w:rsidRPr="00533140">
        <w:rPr>
          <w:i/>
          <w:iCs/>
          <w:color w:val="000000"/>
        </w:rPr>
        <w:t xml:space="preserve"> Survival-Based Utilization. </w:t>
      </w:r>
      <w:r w:rsidRPr="00533140">
        <w:rPr>
          <w:color w:val="000000"/>
        </w:rPr>
        <w:t>Dimension 1 yielded 9 items, with a coefficient pattern ranging from 0.827 to 0.732 for this dimension, as shown in Table 6. This span implies consistency among the elements in the dimension. The coefficients demonstrate a strong connection between variables, creating a harmonious and interconnected set of items within Dimension 1. Item 6 has the lowest coefficient value at 0.732, while Item 19 has the highest at 0.827. All items got coefficient values greater than the minimum requirement, which is ±0.40.</w:t>
      </w:r>
    </w:p>
    <w:p w14:paraId="07ED36DA" w14:textId="0741AFBE" w:rsidR="00533140" w:rsidRPr="003B496E" w:rsidRDefault="00533140" w:rsidP="003B496E">
      <w:pPr>
        <w:pStyle w:val="NormalWeb"/>
        <w:spacing w:before="0" w:beforeAutospacing="0" w:after="0" w:afterAutospacing="0"/>
        <w:rPr>
          <w:i/>
          <w:iCs/>
          <w:color w:val="000000"/>
        </w:rPr>
      </w:pPr>
      <w:r w:rsidRPr="003B496E">
        <w:rPr>
          <w:i/>
          <w:iCs/>
          <w:color w:val="000000"/>
        </w:rPr>
        <w:t>Table 6</w:t>
      </w:r>
      <w:r w:rsidR="003B496E" w:rsidRPr="003B496E">
        <w:rPr>
          <w:i/>
          <w:iCs/>
          <w:color w:val="000000"/>
        </w:rPr>
        <w:t xml:space="preserve">: </w:t>
      </w:r>
      <w:r w:rsidRPr="003B496E">
        <w:rPr>
          <w:i/>
          <w:iCs/>
          <w:color w:val="000000"/>
        </w:rPr>
        <w:t>Constructs and loadings under Dimension 1</w:t>
      </w:r>
    </w:p>
    <w:tbl>
      <w:tblPr>
        <w:tblW w:w="0" w:type="auto"/>
        <w:tblCellMar>
          <w:top w:w="15" w:type="dxa"/>
          <w:left w:w="15" w:type="dxa"/>
          <w:bottom w:w="15" w:type="dxa"/>
          <w:right w:w="15" w:type="dxa"/>
        </w:tblCellMar>
        <w:tblLook w:val="04A0" w:firstRow="1" w:lastRow="0" w:firstColumn="1" w:lastColumn="0" w:noHBand="0" w:noVBand="1"/>
      </w:tblPr>
      <w:tblGrid>
        <w:gridCol w:w="2119"/>
        <w:gridCol w:w="3685"/>
        <w:gridCol w:w="851"/>
        <w:gridCol w:w="2693"/>
        <w:gridCol w:w="1333"/>
      </w:tblGrid>
      <w:tr w:rsidR="00533140" w:rsidRPr="00533140" w14:paraId="2B473C2D" w14:textId="77777777" w:rsidTr="003B496E">
        <w:trPr>
          <w:trHeight w:val="435"/>
        </w:trPr>
        <w:tc>
          <w:tcPr>
            <w:tcW w:w="2119" w:type="dxa"/>
            <w:tcBorders>
              <w:top w:val="single" w:sz="6" w:space="0" w:color="000000"/>
              <w:left w:val="single" w:sz="6" w:space="0" w:color="000000"/>
              <w:bottom w:val="single" w:sz="6" w:space="0" w:color="000000"/>
              <w:right w:val="single" w:sz="6" w:space="0" w:color="000000"/>
            </w:tcBorders>
            <w:hideMark/>
          </w:tcPr>
          <w:p w14:paraId="325DF661" w14:textId="77777777" w:rsidR="00533140" w:rsidRPr="00533140" w:rsidRDefault="00533140" w:rsidP="003B496E">
            <w:pPr>
              <w:pStyle w:val="NormalWeb"/>
              <w:spacing w:before="480" w:after="480"/>
              <w:jc w:val="center"/>
              <w:rPr>
                <w:color w:val="000000"/>
              </w:rPr>
            </w:pPr>
            <w:r w:rsidRPr="00533140">
              <w:rPr>
                <w:b/>
                <w:bCs/>
                <w:color w:val="000000"/>
              </w:rPr>
              <w:t>Dimension</w:t>
            </w:r>
          </w:p>
        </w:tc>
        <w:tc>
          <w:tcPr>
            <w:tcW w:w="3685" w:type="dxa"/>
            <w:tcBorders>
              <w:top w:val="single" w:sz="6" w:space="0" w:color="000000"/>
              <w:left w:val="single" w:sz="6" w:space="0" w:color="000000"/>
              <w:bottom w:val="single" w:sz="6" w:space="0" w:color="000000"/>
              <w:right w:val="single" w:sz="6" w:space="0" w:color="000000"/>
            </w:tcBorders>
            <w:hideMark/>
          </w:tcPr>
          <w:p w14:paraId="59C1AF05" w14:textId="77777777" w:rsidR="00533140" w:rsidRPr="00533140" w:rsidRDefault="00533140" w:rsidP="003B496E">
            <w:pPr>
              <w:pStyle w:val="NormalWeb"/>
              <w:spacing w:before="480" w:after="480"/>
              <w:jc w:val="center"/>
              <w:rPr>
                <w:color w:val="000000"/>
              </w:rPr>
            </w:pPr>
            <w:r w:rsidRPr="00533140">
              <w:rPr>
                <w:b/>
                <w:bCs/>
                <w:color w:val="000000"/>
              </w:rPr>
              <w:t>Description</w:t>
            </w:r>
          </w:p>
        </w:tc>
        <w:tc>
          <w:tcPr>
            <w:tcW w:w="851" w:type="dxa"/>
            <w:tcBorders>
              <w:top w:val="single" w:sz="6" w:space="0" w:color="000000"/>
              <w:left w:val="single" w:sz="6" w:space="0" w:color="000000"/>
              <w:bottom w:val="single" w:sz="6" w:space="0" w:color="000000"/>
              <w:right w:val="single" w:sz="6" w:space="0" w:color="000000"/>
            </w:tcBorders>
            <w:hideMark/>
          </w:tcPr>
          <w:p w14:paraId="76642D1A" w14:textId="77777777" w:rsidR="00533140" w:rsidRPr="00533140" w:rsidRDefault="00533140" w:rsidP="003B496E">
            <w:pPr>
              <w:pStyle w:val="NormalWeb"/>
              <w:spacing w:before="480" w:after="480"/>
              <w:jc w:val="center"/>
              <w:rPr>
                <w:color w:val="000000"/>
              </w:rPr>
            </w:pPr>
            <w:r w:rsidRPr="00533140">
              <w:rPr>
                <w:b/>
                <w:bCs/>
                <w:color w:val="000000"/>
              </w:rPr>
              <w:t>Item</w:t>
            </w:r>
          </w:p>
        </w:tc>
        <w:tc>
          <w:tcPr>
            <w:tcW w:w="2693" w:type="dxa"/>
            <w:tcBorders>
              <w:top w:val="single" w:sz="6" w:space="0" w:color="000000"/>
              <w:left w:val="single" w:sz="6" w:space="0" w:color="000000"/>
              <w:bottom w:val="single" w:sz="6" w:space="0" w:color="000000"/>
              <w:right w:val="single" w:sz="6" w:space="0" w:color="000000"/>
            </w:tcBorders>
            <w:hideMark/>
          </w:tcPr>
          <w:p w14:paraId="7C2339EC" w14:textId="77777777" w:rsidR="00533140" w:rsidRPr="00533140" w:rsidRDefault="00533140" w:rsidP="003B496E">
            <w:pPr>
              <w:pStyle w:val="NormalWeb"/>
              <w:spacing w:before="480" w:after="480"/>
              <w:jc w:val="center"/>
              <w:rPr>
                <w:color w:val="000000"/>
              </w:rPr>
            </w:pPr>
            <w:r w:rsidRPr="00533140">
              <w:rPr>
                <w:b/>
                <w:bCs/>
                <w:color w:val="000000"/>
              </w:rPr>
              <w:t>Constructs</w:t>
            </w:r>
          </w:p>
        </w:tc>
        <w:tc>
          <w:tcPr>
            <w:tcW w:w="1333" w:type="dxa"/>
            <w:tcBorders>
              <w:top w:val="single" w:sz="6" w:space="0" w:color="000000"/>
              <w:left w:val="single" w:sz="6" w:space="0" w:color="000000"/>
              <w:bottom w:val="single" w:sz="6" w:space="0" w:color="000000"/>
              <w:right w:val="single" w:sz="6" w:space="0" w:color="000000"/>
            </w:tcBorders>
            <w:hideMark/>
          </w:tcPr>
          <w:p w14:paraId="6E72201F" w14:textId="77777777" w:rsidR="00533140" w:rsidRPr="00533140" w:rsidRDefault="00533140" w:rsidP="003B496E">
            <w:pPr>
              <w:pStyle w:val="NormalWeb"/>
              <w:spacing w:before="480" w:after="480"/>
              <w:jc w:val="center"/>
              <w:rPr>
                <w:color w:val="000000"/>
              </w:rPr>
            </w:pPr>
            <w:r w:rsidRPr="00533140">
              <w:rPr>
                <w:b/>
                <w:bCs/>
                <w:color w:val="000000"/>
              </w:rPr>
              <w:t>Loadings</w:t>
            </w:r>
          </w:p>
        </w:tc>
      </w:tr>
      <w:tr w:rsidR="00533140" w:rsidRPr="00533140" w14:paraId="6365B09F" w14:textId="77777777" w:rsidTr="003B496E">
        <w:trPr>
          <w:trHeight w:val="480"/>
        </w:trPr>
        <w:tc>
          <w:tcPr>
            <w:tcW w:w="2119" w:type="dxa"/>
            <w:vMerge w:val="restart"/>
            <w:tcBorders>
              <w:top w:val="single" w:sz="6" w:space="0" w:color="000000"/>
              <w:left w:val="single" w:sz="6" w:space="0" w:color="000000"/>
              <w:bottom w:val="single" w:sz="6" w:space="0" w:color="000000"/>
              <w:right w:val="single" w:sz="6" w:space="0" w:color="000000"/>
            </w:tcBorders>
            <w:hideMark/>
          </w:tcPr>
          <w:p w14:paraId="66DC4803" w14:textId="77777777" w:rsidR="00533140" w:rsidRPr="00533140" w:rsidRDefault="00533140" w:rsidP="003B496E">
            <w:pPr>
              <w:pStyle w:val="NormalWeb"/>
              <w:spacing w:before="480" w:after="480"/>
              <w:jc w:val="center"/>
              <w:rPr>
                <w:color w:val="000000"/>
              </w:rPr>
            </w:pPr>
            <w:r w:rsidRPr="00533140">
              <w:rPr>
                <w:color w:val="000000"/>
              </w:rPr>
              <w:t>Survival-Based Utilization</w:t>
            </w:r>
          </w:p>
        </w:tc>
        <w:tc>
          <w:tcPr>
            <w:tcW w:w="3685" w:type="dxa"/>
            <w:vMerge w:val="restart"/>
            <w:tcBorders>
              <w:top w:val="single" w:sz="6" w:space="0" w:color="000000"/>
              <w:left w:val="single" w:sz="6" w:space="0" w:color="000000"/>
              <w:bottom w:val="single" w:sz="6" w:space="0" w:color="000000"/>
              <w:right w:val="single" w:sz="6" w:space="0" w:color="000000"/>
            </w:tcBorders>
            <w:hideMark/>
          </w:tcPr>
          <w:p w14:paraId="2BC387BD" w14:textId="77777777" w:rsidR="00533140" w:rsidRPr="00533140" w:rsidRDefault="00533140" w:rsidP="003B496E">
            <w:pPr>
              <w:pStyle w:val="NormalWeb"/>
              <w:spacing w:before="480" w:after="480"/>
              <w:jc w:val="both"/>
              <w:rPr>
                <w:color w:val="000000"/>
              </w:rPr>
            </w:pPr>
            <w:r w:rsidRPr="00533140">
              <w:rPr>
                <w:color w:val="000000"/>
              </w:rPr>
              <w:t>These statements reflect how beneficiaries rely on “</w:t>
            </w:r>
            <w:proofErr w:type="spellStart"/>
            <w:r w:rsidRPr="00533140">
              <w:rPr>
                <w:color w:val="000000"/>
              </w:rPr>
              <w:t>ayuda</w:t>
            </w:r>
            <w:proofErr w:type="spellEnd"/>
            <w:r w:rsidRPr="00533140">
              <w:rPr>
                <w:color w:val="000000"/>
              </w:rPr>
              <w:t>” to meet day-to-day essentials such as food, utilities, education, and health expenses. It emphasizes aid as a vital coping mechanism amid economic vulnerability.</w:t>
            </w:r>
          </w:p>
        </w:tc>
        <w:tc>
          <w:tcPr>
            <w:tcW w:w="851" w:type="dxa"/>
            <w:tcBorders>
              <w:top w:val="single" w:sz="6" w:space="0" w:color="000000"/>
              <w:left w:val="single" w:sz="6" w:space="0" w:color="000000"/>
              <w:bottom w:val="single" w:sz="6" w:space="0" w:color="000000"/>
              <w:right w:val="single" w:sz="6" w:space="0" w:color="000000"/>
            </w:tcBorders>
            <w:hideMark/>
          </w:tcPr>
          <w:p w14:paraId="073B1FAD" w14:textId="77777777" w:rsidR="00533140" w:rsidRPr="00533140" w:rsidRDefault="00533140" w:rsidP="003B496E">
            <w:pPr>
              <w:pStyle w:val="NormalWeb"/>
              <w:spacing w:before="480" w:after="480"/>
              <w:jc w:val="center"/>
              <w:rPr>
                <w:color w:val="000000"/>
              </w:rPr>
            </w:pPr>
            <w:r w:rsidRPr="00533140">
              <w:rPr>
                <w:color w:val="000000"/>
              </w:rPr>
              <w:t>19</w:t>
            </w:r>
          </w:p>
        </w:tc>
        <w:tc>
          <w:tcPr>
            <w:tcW w:w="2693" w:type="dxa"/>
            <w:tcBorders>
              <w:top w:val="single" w:sz="6" w:space="0" w:color="000000"/>
              <w:left w:val="single" w:sz="6" w:space="0" w:color="000000"/>
              <w:bottom w:val="single" w:sz="6" w:space="0" w:color="000000"/>
              <w:right w:val="single" w:sz="6" w:space="0" w:color="000000"/>
            </w:tcBorders>
            <w:hideMark/>
          </w:tcPr>
          <w:p w14:paraId="023AE44D" w14:textId="77777777" w:rsidR="00533140" w:rsidRPr="00533140" w:rsidRDefault="00533140" w:rsidP="003B496E">
            <w:pPr>
              <w:pStyle w:val="NormalWeb"/>
              <w:spacing w:before="480" w:after="480"/>
              <w:rPr>
                <w:color w:val="000000"/>
              </w:rPr>
            </w:pPr>
            <w:r w:rsidRPr="00533140">
              <w:rPr>
                <w:color w:val="000000"/>
              </w:rPr>
              <w:t>useful for buying food when we’ve already run out of budget.</w:t>
            </w:r>
          </w:p>
        </w:tc>
        <w:tc>
          <w:tcPr>
            <w:tcW w:w="1333" w:type="dxa"/>
            <w:tcBorders>
              <w:top w:val="single" w:sz="6" w:space="0" w:color="000000"/>
              <w:left w:val="single" w:sz="6" w:space="0" w:color="000000"/>
              <w:bottom w:val="single" w:sz="6" w:space="0" w:color="000000"/>
              <w:right w:val="single" w:sz="6" w:space="0" w:color="000000"/>
            </w:tcBorders>
            <w:hideMark/>
          </w:tcPr>
          <w:p w14:paraId="28551725" w14:textId="77777777" w:rsidR="00533140" w:rsidRPr="00533140" w:rsidRDefault="00533140" w:rsidP="003B496E">
            <w:pPr>
              <w:pStyle w:val="NormalWeb"/>
              <w:spacing w:before="480" w:after="480"/>
              <w:jc w:val="center"/>
              <w:rPr>
                <w:color w:val="000000"/>
              </w:rPr>
            </w:pPr>
            <w:r w:rsidRPr="00533140">
              <w:rPr>
                <w:color w:val="000000"/>
              </w:rPr>
              <w:t>0.827</w:t>
            </w:r>
          </w:p>
        </w:tc>
      </w:tr>
      <w:tr w:rsidR="00533140" w:rsidRPr="00533140" w14:paraId="2916AB46" w14:textId="77777777" w:rsidTr="003B496E">
        <w:trPr>
          <w:trHeight w:val="465"/>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4F35ADDC" w14:textId="77777777" w:rsidR="00533140" w:rsidRPr="00533140" w:rsidRDefault="00533140" w:rsidP="00533140">
            <w:pPr>
              <w:pStyle w:val="NormalWeb"/>
              <w:spacing w:before="480" w:after="480"/>
              <w:jc w:val="both"/>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595BB28D"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2DDDBF10" w14:textId="77777777" w:rsidR="00533140" w:rsidRPr="00533140" w:rsidRDefault="00533140" w:rsidP="003B496E">
            <w:pPr>
              <w:pStyle w:val="NormalWeb"/>
              <w:spacing w:before="480" w:after="480"/>
              <w:jc w:val="center"/>
              <w:rPr>
                <w:color w:val="000000"/>
              </w:rPr>
            </w:pPr>
            <w:r w:rsidRPr="00533140">
              <w:rPr>
                <w:color w:val="000000"/>
              </w:rPr>
              <w:t>7</w:t>
            </w:r>
          </w:p>
        </w:tc>
        <w:tc>
          <w:tcPr>
            <w:tcW w:w="2693" w:type="dxa"/>
            <w:tcBorders>
              <w:top w:val="single" w:sz="6" w:space="0" w:color="000000"/>
              <w:left w:val="single" w:sz="6" w:space="0" w:color="000000"/>
              <w:bottom w:val="single" w:sz="6" w:space="0" w:color="000000"/>
              <w:right w:val="single" w:sz="6" w:space="0" w:color="000000"/>
            </w:tcBorders>
            <w:hideMark/>
          </w:tcPr>
          <w:p w14:paraId="2EF79B9C" w14:textId="77777777" w:rsidR="00533140" w:rsidRPr="00533140" w:rsidRDefault="00533140" w:rsidP="003B496E">
            <w:pPr>
              <w:pStyle w:val="NormalWeb"/>
              <w:spacing w:before="480" w:after="480"/>
              <w:rPr>
                <w:color w:val="000000"/>
              </w:rPr>
            </w:pPr>
            <w:r w:rsidRPr="00533140">
              <w:rPr>
                <w:color w:val="000000"/>
              </w:rPr>
              <w:t>something I rely on to meet basic needs.</w:t>
            </w:r>
          </w:p>
        </w:tc>
        <w:tc>
          <w:tcPr>
            <w:tcW w:w="1333" w:type="dxa"/>
            <w:tcBorders>
              <w:top w:val="single" w:sz="6" w:space="0" w:color="000000"/>
              <w:left w:val="single" w:sz="6" w:space="0" w:color="000000"/>
              <w:bottom w:val="single" w:sz="6" w:space="0" w:color="000000"/>
              <w:right w:val="single" w:sz="6" w:space="0" w:color="000000"/>
            </w:tcBorders>
            <w:hideMark/>
          </w:tcPr>
          <w:p w14:paraId="6C197E7E" w14:textId="77777777" w:rsidR="00533140" w:rsidRPr="00533140" w:rsidRDefault="00533140" w:rsidP="003B496E">
            <w:pPr>
              <w:pStyle w:val="NormalWeb"/>
              <w:spacing w:before="480" w:after="480"/>
              <w:jc w:val="center"/>
              <w:rPr>
                <w:color w:val="000000"/>
              </w:rPr>
            </w:pPr>
            <w:r w:rsidRPr="00533140">
              <w:rPr>
                <w:color w:val="000000"/>
              </w:rPr>
              <w:t>0.812</w:t>
            </w:r>
          </w:p>
        </w:tc>
      </w:tr>
      <w:tr w:rsidR="00533140" w:rsidRPr="00533140" w14:paraId="72A44EB7"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65B56DE0" w14:textId="77777777" w:rsidR="00533140" w:rsidRPr="00533140" w:rsidRDefault="00533140" w:rsidP="00533140">
            <w:pPr>
              <w:pStyle w:val="NormalWeb"/>
              <w:spacing w:before="480" w:after="480"/>
              <w:jc w:val="both"/>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7C451538"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014C064D" w14:textId="77777777" w:rsidR="00533140" w:rsidRPr="00533140" w:rsidRDefault="00533140" w:rsidP="003B496E">
            <w:pPr>
              <w:pStyle w:val="NormalWeb"/>
              <w:spacing w:before="480" w:after="480"/>
              <w:jc w:val="center"/>
              <w:rPr>
                <w:color w:val="000000"/>
              </w:rPr>
            </w:pPr>
            <w:r w:rsidRPr="00533140">
              <w:rPr>
                <w:color w:val="000000"/>
              </w:rPr>
              <w:t>16</w:t>
            </w:r>
          </w:p>
        </w:tc>
        <w:tc>
          <w:tcPr>
            <w:tcW w:w="2693" w:type="dxa"/>
            <w:tcBorders>
              <w:top w:val="single" w:sz="6" w:space="0" w:color="000000"/>
              <w:left w:val="single" w:sz="6" w:space="0" w:color="000000"/>
              <w:bottom w:val="single" w:sz="6" w:space="0" w:color="000000"/>
              <w:right w:val="single" w:sz="6" w:space="0" w:color="000000"/>
            </w:tcBorders>
            <w:hideMark/>
          </w:tcPr>
          <w:p w14:paraId="5C9A5C50" w14:textId="77777777" w:rsidR="00533140" w:rsidRPr="00533140" w:rsidRDefault="00533140" w:rsidP="003B496E">
            <w:pPr>
              <w:pStyle w:val="NormalWeb"/>
              <w:spacing w:before="480" w:after="480"/>
              <w:rPr>
                <w:color w:val="000000"/>
              </w:rPr>
            </w:pPr>
            <w:r w:rsidRPr="00533140">
              <w:rPr>
                <w:color w:val="000000"/>
              </w:rPr>
              <w:t xml:space="preserve">a way for me to buy </w:t>
            </w:r>
            <w:proofErr w:type="gramStart"/>
            <w:r w:rsidRPr="00533140">
              <w:rPr>
                <w:color w:val="000000"/>
              </w:rPr>
              <w:t>basic necessities</w:t>
            </w:r>
            <w:proofErr w:type="gramEnd"/>
            <w:r w:rsidRPr="00533140">
              <w:rPr>
                <w:color w:val="000000"/>
              </w:rPr>
              <w:t xml:space="preserve"> like rice and groceries.</w:t>
            </w:r>
          </w:p>
        </w:tc>
        <w:tc>
          <w:tcPr>
            <w:tcW w:w="1333" w:type="dxa"/>
            <w:tcBorders>
              <w:top w:val="single" w:sz="6" w:space="0" w:color="000000"/>
              <w:left w:val="single" w:sz="6" w:space="0" w:color="000000"/>
              <w:bottom w:val="single" w:sz="6" w:space="0" w:color="000000"/>
              <w:right w:val="single" w:sz="6" w:space="0" w:color="000000"/>
            </w:tcBorders>
            <w:hideMark/>
          </w:tcPr>
          <w:p w14:paraId="28D44693" w14:textId="77777777" w:rsidR="00533140" w:rsidRPr="00533140" w:rsidRDefault="00533140" w:rsidP="003B496E">
            <w:pPr>
              <w:pStyle w:val="NormalWeb"/>
              <w:spacing w:before="480" w:after="480"/>
              <w:jc w:val="center"/>
              <w:rPr>
                <w:color w:val="000000"/>
              </w:rPr>
            </w:pPr>
            <w:r w:rsidRPr="00533140">
              <w:rPr>
                <w:color w:val="000000"/>
              </w:rPr>
              <w:t>0.777</w:t>
            </w:r>
          </w:p>
        </w:tc>
      </w:tr>
      <w:tr w:rsidR="00533140" w:rsidRPr="00533140" w14:paraId="77138F84"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246CB01A" w14:textId="77777777" w:rsidR="00533140" w:rsidRPr="00533140" w:rsidRDefault="00533140" w:rsidP="00533140">
            <w:pPr>
              <w:pStyle w:val="NormalWeb"/>
              <w:spacing w:before="480" w:after="480"/>
              <w:jc w:val="both"/>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78ACA564"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1251E644" w14:textId="77777777" w:rsidR="00533140" w:rsidRPr="00533140" w:rsidRDefault="00533140" w:rsidP="003B496E">
            <w:pPr>
              <w:pStyle w:val="NormalWeb"/>
              <w:spacing w:before="480" w:after="480"/>
              <w:jc w:val="center"/>
              <w:rPr>
                <w:color w:val="000000"/>
              </w:rPr>
            </w:pPr>
            <w:r w:rsidRPr="00533140">
              <w:rPr>
                <w:color w:val="000000"/>
              </w:rPr>
              <w:t>14</w:t>
            </w:r>
          </w:p>
        </w:tc>
        <w:tc>
          <w:tcPr>
            <w:tcW w:w="2693" w:type="dxa"/>
            <w:tcBorders>
              <w:top w:val="single" w:sz="6" w:space="0" w:color="000000"/>
              <w:left w:val="single" w:sz="6" w:space="0" w:color="000000"/>
              <w:bottom w:val="single" w:sz="6" w:space="0" w:color="000000"/>
              <w:right w:val="single" w:sz="6" w:space="0" w:color="000000"/>
            </w:tcBorders>
            <w:hideMark/>
          </w:tcPr>
          <w:p w14:paraId="6AFB78C5" w14:textId="77777777" w:rsidR="00533140" w:rsidRPr="00533140" w:rsidRDefault="00533140" w:rsidP="003B496E">
            <w:pPr>
              <w:pStyle w:val="NormalWeb"/>
              <w:spacing w:before="480" w:after="480"/>
              <w:rPr>
                <w:color w:val="000000"/>
              </w:rPr>
            </w:pPr>
            <w:r w:rsidRPr="00533140">
              <w:rPr>
                <w:color w:val="000000"/>
              </w:rPr>
              <w:t>a tool that helps me pay for essential bills like electricity and water.</w:t>
            </w:r>
          </w:p>
        </w:tc>
        <w:tc>
          <w:tcPr>
            <w:tcW w:w="1333" w:type="dxa"/>
            <w:tcBorders>
              <w:top w:val="single" w:sz="6" w:space="0" w:color="000000"/>
              <w:left w:val="single" w:sz="6" w:space="0" w:color="000000"/>
              <w:bottom w:val="single" w:sz="6" w:space="0" w:color="000000"/>
              <w:right w:val="single" w:sz="6" w:space="0" w:color="000000"/>
            </w:tcBorders>
            <w:hideMark/>
          </w:tcPr>
          <w:p w14:paraId="4C551500" w14:textId="77777777" w:rsidR="00533140" w:rsidRPr="00533140" w:rsidRDefault="00533140" w:rsidP="003B496E">
            <w:pPr>
              <w:pStyle w:val="NormalWeb"/>
              <w:spacing w:before="480" w:after="480"/>
              <w:jc w:val="center"/>
              <w:rPr>
                <w:color w:val="000000"/>
              </w:rPr>
            </w:pPr>
            <w:r w:rsidRPr="00533140">
              <w:rPr>
                <w:color w:val="000000"/>
              </w:rPr>
              <w:t>0.777</w:t>
            </w:r>
          </w:p>
        </w:tc>
      </w:tr>
      <w:tr w:rsidR="00533140" w:rsidRPr="00533140" w14:paraId="62696464" w14:textId="77777777" w:rsidTr="003B496E">
        <w:trPr>
          <w:trHeight w:val="495"/>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4475B815" w14:textId="77777777" w:rsidR="00533140" w:rsidRPr="00533140" w:rsidRDefault="00533140" w:rsidP="00533140">
            <w:pPr>
              <w:pStyle w:val="NormalWeb"/>
              <w:spacing w:before="480" w:after="480"/>
              <w:jc w:val="both"/>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7323E4A7" w14:textId="77777777" w:rsidR="00533140" w:rsidRPr="00533140" w:rsidRDefault="00533140" w:rsidP="00533140">
            <w:pPr>
              <w:pStyle w:val="NormalWeb"/>
              <w:spacing w:before="480" w:after="480"/>
              <w:jc w:val="both"/>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4307D181" w14:textId="77777777" w:rsidR="00533140" w:rsidRPr="00533140" w:rsidRDefault="00533140" w:rsidP="003B496E">
            <w:pPr>
              <w:pStyle w:val="NormalWeb"/>
              <w:spacing w:before="480" w:after="480"/>
              <w:jc w:val="center"/>
              <w:rPr>
                <w:color w:val="000000"/>
              </w:rPr>
            </w:pPr>
            <w:r w:rsidRPr="00533140">
              <w:rPr>
                <w:color w:val="000000"/>
              </w:rPr>
              <w:t>15</w:t>
            </w:r>
          </w:p>
        </w:tc>
        <w:tc>
          <w:tcPr>
            <w:tcW w:w="2693" w:type="dxa"/>
            <w:tcBorders>
              <w:top w:val="single" w:sz="6" w:space="0" w:color="000000"/>
              <w:left w:val="single" w:sz="6" w:space="0" w:color="000000"/>
              <w:bottom w:val="single" w:sz="6" w:space="0" w:color="000000"/>
              <w:right w:val="single" w:sz="6" w:space="0" w:color="000000"/>
            </w:tcBorders>
            <w:hideMark/>
          </w:tcPr>
          <w:p w14:paraId="1DFD1F00" w14:textId="77777777" w:rsidR="00533140" w:rsidRPr="00533140" w:rsidRDefault="00533140" w:rsidP="003B496E">
            <w:pPr>
              <w:pStyle w:val="NormalWeb"/>
              <w:spacing w:before="480" w:after="480"/>
              <w:rPr>
                <w:color w:val="000000"/>
              </w:rPr>
            </w:pPr>
            <w:r w:rsidRPr="00533140">
              <w:rPr>
                <w:color w:val="000000"/>
              </w:rPr>
              <w:t>helpful for sustaining my small business.</w:t>
            </w:r>
          </w:p>
        </w:tc>
        <w:tc>
          <w:tcPr>
            <w:tcW w:w="1333" w:type="dxa"/>
            <w:tcBorders>
              <w:top w:val="single" w:sz="6" w:space="0" w:color="000000"/>
              <w:left w:val="single" w:sz="6" w:space="0" w:color="000000"/>
              <w:bottom w:val="single" w:sz="6" w:space="0" w:color="000000"/>
              <w:right w:val="single" w:sz="6" w:space="0" w:color="000000"/>
            </w:tcBorders>
            <w:hideMark/>
          </w:tcPr>
          <w:p w14:paraId="129B1460" w14:textId="77777777" w:rsidR="00533140" w:rsidRPr="00533140" w:rsidRDefault="00533140" w:rsidP="003B496E">
            <w:pPr>
              <w:pStyle w:val="NormalWeb"/>
              <w:spacing w:before="480" w:after="480"/>
              <w:jc w:val="center"/>
              <w:rPr>
                <w:color w:val="000000"/>
              </w:rPr>
            </w:pPr>
            <w:r w:rsidRPr="00533140">
              <w:rPr>
                <w:color w:val="000000"/>
              </w:rPr>
              <w:t>0.775</w:t>
            </w:r>
          </w:p>
        </w:tc>
      </w:tr>
      <w:tr w:rsidR="00533140" w:rsidRPr="00533140" w14:paraId="2BF6DA9D" w14:textId="77777777" w:rsidTr="003B496E">
        <w:trPr>
          <w:trHeight w:val="735"/>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003D2F0B" w14:textId="77777777" w:rsidR="00533140" w:rsidRPr="00533140" w:rsidRDefault="00533140" w:rsidP="00533140">
            <w:pPr>
              <w:pStyle w:val="NormalWeb"/>
              <w:spacing w:before="480" w:after="480"/>
              <w:jc w:val="both"/>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46425CE3" w14:textId="77777777" w:rsidR="00533140" w:rsidRPr="00533140" w:rsidRDefault="00533140" w:rsidP="00533140">
            <w:pPr>
              <w:pStyle w:val="NormalWeb"/>
              <w:spacing w:before="480" w:after="480"/>
              <w:jc w:val="both"/>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7AF24A87" w14:textId="77777777" w:rsidR="00533140" w:rsidRPr="00533140" w:rsidRDefault="00533140" w:rsidP="003B496E">
            <w:pPr>
              <w:pStyle w:val="NormalWeb"/>
              <w:spacing w:before="480" w:after="480"/>
              <w:jc w:val="center"/>
              <w:rPr>
                <w:color w:val="000000"/>
              </w:rPr>
            </w:pPr>
            <w:r w:rsidRPr="00533140">
              <w:rPr>
                <w:color w:val="000000"/>
              </w:rPr>
              <w:t>8</w:t>
            </w:r>
          </w:p>
        </w:tc>
        <w:tc>
          <w:tcPr>
            <w:tcW w:w="2693" w:type="dxa"/>
            <w:tcBorders>
              <w:top w:val="single" w:sz="6" w:space="0" w:color="000000"/>
              <w:left w:val="single" w:sz="6" w:space="0" w:color="000000"/>
              <w:bottom w:val="single" w:sz="6" w:space="0" w:color="000000"/>
              <w:right w:val="single" w:sz="6" w:space="0" w:color="000000"/>
            </w:tcBorders>
            <w:hideMark/>
          </w:tcPr>
          <w:p w14:paraId="3C221202" w14:textId="77777777" w:rsidR="00533140" w:rsidRPr="00533140" w:rsidRDefault="00533140" w:rsidP="003B496E">
            <w:pPr>
              <w:pStyle w:val="NormalWeb"/>
              <w:spacing w:before="480" w:after="480"/>
              <w:rPr>
                <w:color w:val="000000"/>
              </w:rPr>
            </w:pPr>
            <w:proofErr w:type="gramStart"/>
            <w:r w:rsidRPr="00533140">
              <w:rPr>
                <w:color w:val="000000"/>
              </w:rPr>
              <w:t>an assistance</w:t>
            </w:r>
            <w:proofErr w:type="gramEnd"/>
            <w:r w:rsidRPr="00533140">
              <w:rPr>
                <w:color w:val="000000"/>
              </w:rPr>
              <w:t xml:space="preserve"> that supports my children’s school expenses and needs.</w:t>
            </w:r>
          </w:p>
        </w:tc>
        <w:tc>
          <w:tcPr>
            <w:tcW w:w="1333" w:type="dxa"/>
            <w:tcBorders>
              <w:top w:val="single" w:sz="6" w:space="0" w:color="000000"/>
              <w:left w:val="single" w:sz="6" w:space="0" w:color="000000"/>
              <w:bottom w:val="single" w:sz="6" w:space="0" w:color="000000"/>
              <w:right w:val="single" w:sz="6" w:space="0" w:color="000000"/>
            </w:tcBorders>
            <w:hideMark/>
          </w:tcPr>
          <w:p w14:paraId="02199F09" w14:textId="77777777" w:rsidR="00533140" w:rsidRPr="00533140" w:rsidRDefault="00533140" w:rsidP="003B496E">
            <w:pPr>
              <w:pStyle w:val="NormalWeb"/>
              <w:spacing w:before="480" w:after="480"/>
              <w:jc w:val="center"/>
              <w:rPr>
                <w:color w:val="000000"/>
              </w:rPr>
            </w:pPr>
            <w:r w:rsidRPr="00533140">
              <w:rPr>
                <w:color w:val="000000"/>
              </w:rPr>
              <w:t>0.766</w:t>
            </w:r>
          </w:p>
        </w:tc>
      </w:tr>
      <w:tr w:rsidR="00533140" w:rsidRPr="00533140" w14:paraId="4B969E93" w14:textId="77777777" w:rsidTr="003B496E">
        <w:trPr>
          <w:trHeight w:val="705"/>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382D714F" w14:textId="77777777" w:rsidR="00533140" w:rsidRPr="00533140" w:rsidRDefault="00533140" w:rsidP="00533140">
            <w:pPr>
              <w:pStyle w:val="NormalWeb"/>
              <w:spacing w:before="480" w:after="480"/>
              <w:jc w:val="both"/>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4260BDFD" w14:textId="77777777" w:rsidR="00533140" w:rsidRPr="00533140" w:rsidRDefault="00533140" w:rsidP="00533140">
            <w:pPr>
              <w:pStyle w:val="NormalWeb"/>
              <w:spacing w:before="480" w:after="480"/>
              <w:jc w:val="both"/>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14656808" w14:textId="77777777" w:rsidR="00533140" w:rsidRPr="00533140" w:rsidRDefault="00533140" w:rsidP="003B496E">
            <w:pPr>
              <w:pStyle w:val="NormalWeb"/>
              <w:spacing w:before="480" w:after="480"/>
              <w:jc w:val="center"/>
              <w:rPr>
                <w:color w:val="000000"/>
              </w:rPr>
            </w:pPr>
            <w:r w:rsidRPr="00533140">
              <w:rPr>
                <w:color w:val="000000"/>
              </w:rPr>
              <w:t>17</w:t>
            </w:r>
          </w:p>
        </w:tc>
        <w:tc>
          <w:tcPr>
            <w:tcW w:w="2693" w:type="dxa"/>
            <w:tcBorders>
              <w:top w:val="single" w:sz="6" w:space="0" w:color="000000"/>
              <w:left w:val="single" w:sz="6" w:space="0" w:color="000000"/>
              <w:bottom w:val="single" w:sz="6" w:space="0" w:color="000000"/>
              <w:right w:val="single" w:sz="6" w:space="0" w:color="000000"/>
            </w:tcBorders>
            <w:hideMark/>
          </w:tcPr>
          <w:p w14:paraId="1154BB93" w14:textId="77777777" w:rsidR="00533140" w:rsidRPr="00533140" w:rsidRDefault="00533140" w:rsidP="003B496E">
            <w:pPr>
              <w:pStyle w:val="NormalWeb"/>
              <w:spacing w:before="480" w:after="480"/>
              <w:rPr>
                <w:color w:val="000000"/>
              </w:rPr>
            </w:pPr>
            <w:r w:rsidRPr="00533140">
              <w:rPr>
                <w:color w:val="000000"/>
              </w:rPr>
              <w:t>a resource that enables me to cover my medical and maintenance medicine costs</w:t>
            </w:r>
          </w:p>
        </w:tc>
        <w:tc>
          <w:tcPr>
            <w:tcW w:w="1333" w:type="dxa"/>
            <w:tcBorders>
              <w:top w:val="single" w:sz="6" w:space="0" w:color="000000"/>
              <w:left w:val="single" w:sz="6" w:space="0" w:color="000000"/>
              <w:bottom w:val="single" w:sz="6" w:space="0" w:color="000000"/>
              <w:right w:val="single" w:sz="6" w:space="0" w:color="000000"/>
            </w:tcBorders>
            <w:hideMark/>
          </w:tcPr>
          <w:p w14:paraId="7AACA082" w14:textId="77777777" w:rsidR="00533140" w:rsidRPr="00533140" w:rsidRDefault="00533140" w:rsidP="003B496E">
            <w:pPr>
              <w:pStyle w:val="NormalWeb"/>
              <w:spacing w:before="480" w:after="480"/>
              <w:jc w:val="center"/>
              <w:rPr>
                <w:color w:val="000000"/>
              </w:rPr>
            </w:pPr>
            <w:r w:rsidRPr="00533140">
              <w:rPr>
                <w:color w:val="000000"/>
              </w:rPr>
              <w:t>0.753</w:t>
            </w:r>
          </w:p>
        </w:tc>
      </w:tr>
      <w:tr w:rsidR="00533140" w:rsidRPr="00533140" w14:paraId="4DC55F75"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6C4E5746" w14:textId="77777777" w:rsidR="00533140" w:rsidRPr="00533140" w:rsidRDefault="00533140" w:rsidP="00533140">
            <w:pPr>
              <w:pStyle w:val="NormalWeb"/>
              <w:spacing w:before="480" w:after="480"/>
              <w:jc w:val="both"/>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14770B86" w14:textId="77777777" w:rsidR="00533140" w:rsidRPr="00533140" w:rsidRDefault="00533140" w:rsidP="00533140">
            <w:pPr>
              <w:pStyle w:val="NormalWeb"/>
              <w:spacing w:before="480" w:after="480"/>
              <w:jc w:val="both"/>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3601C728" w14:textId="77777777" w:rsidR="00533140" w:rsidRPr="00533140" w:rsidRDefault="00533140" w:rsidP="003B496E">
            <w:pPr>
              <w:pStyle w:val="NormalWeb"/>
              <w:spacing w:before="480" w:after="480"/>
              <w:jc w:val="center"/>
              <w:rPr>
                <w:color w:val="000000"/>
              </w:rPr>
            </w:pPr>
            <w:r w:rsidRPr="00533140">
              <w:rPr>
                <w:color w:val="000000"/>
              </w:rPr>
              <w:t>18</w:t>
            </w:r>
          </w:p>
        </w:tc>
        <w:tc>
          <w:tcPr>
            <w:tcW w:w="2693" w:type="dxa"/>
            <w:tcBorders>
              <w:top w:val="single" w:sz="6" w:space="0" w:color="000000"/>
              <w:left w:val="single" w:sz="6" w:space="0" w:color="000000"/>
              <w:bottom w:val="single" w:sz="6" w:space="0" w:color="000000"/>
              <w:right w:val="single" w:sz="6" w:space="0" w:color="000000"/>
            </w:tcBorders>
            <w:hideMark/>
          </w:tcPr>
          <w:p w14:paraId="7D421B33" w14:textId="77777777" w:rsidR="00533140" w:rsidRPr="00533140" w:rsidRDefault="00533140" w:rsidP="003B496E">
            <w:pPr>
              <w:pStyle w:val="NormalWeb"/>
              <w:spacing w:before="480" w:after="480"/>
              <w:rPr>
                <w:color w:val="000000"/>
              </w:rPr>
            </w:pPr>
            <w:r w:rsidRPr="00533140">
              <w:rPr>
                <w:color w:val="000000"/>
              </w:rPr>
              <w:t>a means to help me settle debts and other financial obligations.</w:t>
            </w:r>
          </w:p>
        </w:tc>
        <w:tc>
          <w:tcPr>
            <w:tcW w:w="1333" w:type="dxa"/>
            <w:tcBorders>
              <w:top w:val="single" w:sz="6" w:space="0" w:color="000000"/>
              <w:left w:val="single" w:sz="6" w:space="0" w:color="000000"/>
              <w:bottom w:val="single" w:sz="6" w:space="0" w:color="000000"/>
              <w:right w:val="single" w:sz="6" w:space="0" w:color="000000"/>
            </w:tcBorders>
            <w:hideMark/>
          </w:tcPr>
          <w:p w14:paraId="6C1A7347" w14:textId="77777777" w:rsidR="00533140" w:rsidRPr="00533140" w:rsidRDefault="00533140" w:rsidP="003B496E">
            <w:pPr>
              <w:pStyle w:val="NormalWeb"/>
              <w:spacing w:before="480" w:after="480"/>
              <w:jc w:val="center"/>
              <w:rPr>
                <w:color w:val="000000"/>
              </w:rPr>
            </w:pPr>
            <w:r w:rsidRPr="00533140">
              <w:rPr>
                <w:color w:val="000000"/>
              </w:rPr>
              <w:t>0.752</w:t>
            </w:r>
          </w:p>
        </w:tc>
      </w:tr>
      <w:tr w:rsidR="00533140" w:rsidRPr="00533140" w14:paraId="336F5645" w14:textId="77777777" w:rsidTr="003B496E">
        <w:trPr>
          <w:trHeight w:val="435"/>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27EBDE4D" w14:textId="77777777" w:rsidR="00533140" w:rsidRPr="00533140" w:rsidRDefault="00533140" w:rsidP="00533140">
            <w:pPr>
              <w:pStyle w:val="NormalWeb"/>
              <w:spacing w:before="480" w:after="480"/>
              <w:jc w:val="both"/>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1EBBFECD" w14:textId="77777777" w:rsidR="00533140" w:rsidRPr="00533140" w:rsidRDefault="00533140" w:rsidP="00533140">
            <w:pPr>
              <w:pStyle w:val="NormalWeb"/>
              <w:spacing w:before="480" w:after="480"/>
              <w:jc w:val="both"/>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2D2AB53F" w14:textId="77777777" w:rsidR="00533140" w:rsidRPr="00533140" w:rsidRDefault="00533140" w:rsidP="003B496E">
            <w:pPr>
              <w:pStyle w:val="NormalWeb"/>
              <w:spacing w:before="480" w:after="480"/>
              <w:jc w:val="center"/>
              <w:rPr>
                <w:color w:val="000000"/>
              </w:rPr>
            </w:pPr>
            <w:r w:rsidRPr="00533140">
              <w:rPr>
                <w:color w:val="000000"/>
              </w:rPr>
              <w:t>6</w:t>
            </w:r>
          </w:p>
        </w:tc>
        <w:tc>
          <w:tcPr>
            <w:tcW w:w="2693" w:type="dxa"/>
            <w:tcBorders>
              <w:top w:val="single" w:sz="6" w:space="0" w:color="000000"/>
              <w:left w:val="single" w:sz="6" w:space="0" w:color="000000"/>
              <w:bottom w:val="single" w:sz="6" w:space="0" w:color="000000"/>
              <w:right w:val="single" w:sz="6" w:space="0" w:color="000000"/>
            </w:tcBorders>
            <w:hideMark/>
          </w:tcPr>
          <w:p w14:paraId="5A780342" w14:textId="77777777" w:rsidR="00533140" w:rsidRPr="00533140" w:rsidRDefault="00533140" w:rsidP="003B496E">
            <w:pPr>
              <w:pStyle w:val="NormalWeb"/>
              <w:spacing w:before="480" w:after="480"/>
              <w:rPr>
                <w:color w:val="000000"/>
              </w:rPr>
            </w:pPr>
            <w:r w:rsidRPr="00533140">
              <w:rPr>
                <w:color w:val="000000"/>
              </w:rPr>
              <w:t>a blessing during emergencies</w:t>
            </w:r>
          </w:p>
        </w:tc>
        <w:tc>
          <w:tcPr>
            <w:tcW w:w="1333" w:type="dxa"/>
            <w:tcBorders>
              <w:top w:val="single" w:sz="6" w:space="0" w:color="000000"/>
              <w:left w:val="single" w:sz="6" w:space="0" w:color="000000"/>
              <w:bottom w:val="single" w:sz="6" w:space="0" w:color="000000"/>
              <w:right w:val="single" w:sz="6" w:space="0" w:color="000000"/>
            </w:tcBorders>
            <w:hideMark/>
          </w:tcPr>
          <w:p w14:paraId="4921DEDB" w14:textId="77777777" w:rsidR="00533140" w:rsidRPr="00533140" w:rsidRDefault="00533140" w:rsidP="003B496E">
            <w:pPr>
              <w:pStyle w:val="NormalWeb"/>
              <w:spacing w:before="480" w:after="480"/>
              <w:jc w:val="center"/>
              <w:rPr>
                <w:color w:val="000000"/>
              </w:rPr>
            </w:pPr>
            <w:r w:rsidRPr="00533140">
              <w:rPr>
                <w:color w:val="000000"/>
              </w:rPr>
              <w:t>0.732</w:t>
            </w:r>
          </w:p>
        </w:tc>
      </w:tr>
    </w:tbl>
    <w:p w14:paraId="204EA6DB" w14:textId="79BFEC78" w:rsidR="00533140" w:rsidRPr="00533140" w:rsidRDefault="00533140" w:rsidP="003B496E">
      <w:pPr>
        <w:pStyle w:val="NormalWeb"/>
        <w:spacing w:before="480" w:after="480"/>
        <w:ind w:firstLine="720"/>
        <w:jc w:val="both"/>
        <w:rPr>
          <w:color w:val="000000"/>
        </w:rPr>
      </w:pPr>
      <w:r w:rsidRPr="00533140">
        <w:rPr>
          <w:color w:val="000000"/>
        </w:rPr>
        <w:t xml:space="preserve">Dimension 2: </w:t>
      </w:r>
      <w:r w:rsidRPr="00533140">
        <w:rPr>
          <w:i/>
          <w:iCs/>
          <w:color w:val="000000"/>
        </w:rPr>
        <w:t xml:space="preserve">Political Instrumentalization. </w:t>
      </w:r>
      <w:r w:rsidRPr="00533140">
        <w:rPr>
          <w:color w:val="000000"/>
        </w:rPr>
        <w:t>Dimension 2 identified 8 items, with coefficients ranging from 0.786 to 0.725, as indicated in Table 7. This range suggests consistency among the elements in this dimension. The coefficients within this range indicate strong connections between the variables, reflecting a cohesive set of items within Dimension 2. Item 26 has the lowest coefficient value at 0.725, while item 11 has the highest value at 0.786. All items exceed the minimum requirement of ±0.40.</w:t>
      </w:r>
    </w:p>
    <w:p w14:paraId="0463DFC7" w14:textId="173E8D52" w:rsidR="00533140" w:rsidRPr="003B496E" w:rsidRDefault="00533140" w:rsidP="003B496E">
      <w:pPr>
        <w:pStyle w:val="NormalWeb"/>
        <w:spacing w:before="480" w:after="0" w:afterAutospacing="0"/>
        <w:rPr>
          <w:i/>
          <w:iCs/>
          <w:color w:val="000000"/>
        </w:rPr>
      </w:pPr>
      <w:r w:rsidRPr="003B496E">
        <w:rPr>
          <w:i/>
          <w:iCs/>
          <w:color w:val="000000"/>
        </w:rPr>
        <w:t>Table 7</w:t>
      </w:r>
      <w:r w:rsidR="003B496E">
        <w:rPr>
          <w:i/>
          <w:iCs/>
          <w:color w:val="000000"/>
        </w:rPr>
        <w:t>:</w:t>
      </w:r>
      <w:r w:rsidRPr="003B496E">
        <w:rPr>
          <w:i/>
          <w:iCs/>
          <w:color w:val="000000"/>
        </w:rPr>
        <w:t xml:space="preserve"> Constructs and loadings under Dimension 2</w:t>
      </w:r>
    </w:p>
    <w:tbl>
      <w:tblPr>
        <w:tblW w:w="0" w:type="auto"/>
        <w:tblCellMar>
          <w:top w:w="15" w:type="dxa"/>
          <w:left w:w="15" w:type="dxa"/>
          <w:bottom w:w="15" w:type="dxa"/>
          <w:right w:w="15" w:type="dxa"/>
        </w:tblCellMar>
        <w:tblLook w:val="04A0" w:firstRow="1" w:lastRow="0" w:firstColumn="1" w:lastColumn="0" w:noHBand="0" w:noVBand="1"/>
      </w:tblPr>
      <w:tblGrid>
        <w:gridCol w:w="2080"/>
        <w:gridCol w:w="3724"/>
        <w:gridCol w:w="851"/>
        <w:gridCol w:w="2693"/>
        <w:gridCol w:w="1333"/>
      </w:tblGrid>
      <w:tr w:rsidR="00533140" w:rsidRPr="00533140" w14:paraId="40816E41" w14:textId="77777777" w:rsidTr="003B496E">
        <w:trPr>
          <w:trHeight w:val="435"/>
        </w:trPr>
        <w:tc>
          <w:tcPr>
            <w:tcW w:w="2080" w:type="dxa"/>
            <w:tcBorders>
              <w:top w:val="single" w:sz="6" w:space="0" w:color="000000"/>
              <w:left w:val="single" w:sz="6" w:space="0" w:color="000000"/>
              <w:bottom w:val="single" w:sz="6" w:space="0" w:color="000000"/>
              <w:right w:val="single" w:sz="6" w:space="0" w:color="000000"/>
            </w:tcBorders>
            <w:hideMark/>
          </w:tcPr>
          <w:p w14:paraId="068C7BF6" w14:textId="77777777" w:rsidR="00533140" w:rsidRPr="00533140" w:rsidRDefault="00533140" w:rsidP="003B496E">
            <w:pPr>
              <w:pStyle w:val="NormalWeb"/>
              <w:spacing w:before="480" w:after="480"/>
              <w:jc w:val="center"/>
              <w:rPr>
                <w:color w:val="000000"/>
              </w:rPr>
            </w:pPr>
            <w:r w:rsidRPr="00533140">
              <w:rPr>
                <w:b/>
                <w:bCs/>
                <w:color w:val="000000"/>
              </w:rPr>
              <w:t>Dimension</w:t>
            </w:r>
          </w:p>
        </w:tc>
        <w:tc>
          <w:tcPr>
            <w:tcW w:w="3724" w:type="dxa"/>
            <w:tcBorders>
              <w:top w:val="single" w:sz="6" w:space="0" w:color="000000"/>
              <w:left w:val="single" w:sz="6" w:space="0" w:color="000000"/>
              <w:bottom w:val="single" w:sz="6" w:space="0" w:color="000000"/>
              <w:right w:val="single" w:sz="6" w:space="0" w:color="000000"/>
            </w:tcBorders>
            <w:hideMark/>
          </w:tcPr>
          <w:p w14:paraId="567C355A" w14:textId="77777777" w:rsidR="00533140" w:rsidRPr="00533140" w:rsidRDefault="00533140" w:rsidP="003B496E">
            <w:pPr>
              <w:pStyle w:val="NormalWeb"/>
              <w:spacing w:before="480" w:after="480"/>
              <w:jc w:val="center"/>
              <w:rPr>
                <w:color w:val="000000"/>
              </w:rPr>
            </w:pPr>
            <w:r w:rsidRPr="00533140">
              <w:rPr>
                <w:b/>
                <w:bCs/>
                <w:color w:val="000000"/>
              </w:rPr>
              <w:t>Description</w:t>
            </w:r>
          </w:p>
        </w:tc>
        <w:tc>
          <w:tcPr>
            <w:tcW w:w="851" w:type="dxa"/>
            <w:tcBorders>
              <w:top w:val="single" w:sz="6" w:space="0" w:color="000000"/>
              <w:left w:val="single" w:sz="6" w:space="0" w:color="000000"/>
              <w:bottom w:val="single" w:sz="6" w:space="0" w:color="000000"/>
              <w:right w:val="single" w:sz="6" w:space="0" w:color="000000"/>
            </w:tcBorders>
            <w:hideMark/>
          </w:tcPr>
          <w:p w14:paraId="7617A53E" w14:textId="77777777" w:rsidR="00533140" w:rsidRPr="00533140" w:rsidRDefault="00533140" w:rsidP="003B496E">
            <w:pPr>
              <w:pStyle w:val="NormalWeb"/>
              <w:spacing w:before="480" w:after="480"/>
              <w:jc w:val="center"/>
              <w:rPr>
                <w:color w:val="000000"/>
              </w:rPr>
            </w:pPr>
            <w:r w:rsidRPr="00533140">
              <w:rPr>
                <w:b/>
                <w:bCs/>
                <w:color w:val="000000"/>
              </w:rPr>
              <w:t>Item</w:t>
            </w:r>
          </w:p>
        </w:tc>
        <w:tc>
          <w:tcPr>
            <w:tcW w:w="2693" w:type="dxa"/>
            <w:tcBorders>
              <w:top w:val="single" w:sz="6" w:space="0" w:color="000000"/>
              <w:left w:val="single" w:sz="6" w:space="0" w:color="000000"/>
              <w:bottom w:val="single" w:sz="6" w:space="0" w:color="000000"/>
              <w:right w:val="single" w:sz="6" w:space="0" w:color="000000"/>
            </w:tcBorders>
            <w:hideMark/>
          </w:tcPr>
          <w:p w14:paraId="042B3CC7" w14:textId="77777777" w:rsidR="00533140" w:rsidRPr="00533140" w:rsidRDefault="00533140" w:rsidP="003B496E">
            <w:pPr>
              <w:pStyle w:val="NormalWeb"/>
              <w:spacing w:before="480" w:after="480"/>
              <w:jc w:val="center"/>
              <w:rPr>
                <w:color w:val="000000"/>
              </w:rPr>
            </w:pPr>
            <w:r w:rsidRPr="00533140">
              <w:rPr>
                <w:b/>
                <w:bCs/>
                <w:color w:val="000000"/>
              </w:rPr>
              <w:t>Constructs</w:t>
            </w:r>
          </w:p>
        </w:tc>
        <w:tc>
          <w:tcPr>
            <w:tcW w:w="1333" w:type="dxa"/>
            <w:tcBorders>
              <w:top w:val="single" w:sz="6" w:space="0" w:color="000000"/>
              <w:left w:val="single" w:sz="6" w:space="0" w:color="000000"/>
              <w:bottom w:val="single" w:sz="6" w:space="0" w:color="000000"/>
              <w:right w:val="single" w:sz="6" w:space="0" w:color="000000"/>
            </w:tcBorders>
            <w:hideMark/>
          </w:tcPr>
          <w:p w14:paraId="09C75E83" w14:textId="77777777" w:rsidR="00533140" w:rsidRPr="00533140" w:rsidRDefault="00533140" w:rsidP="003B496E">
            <w:pPr>
              <w:pStyle w:val="NormalWeb"/>
              <w:spacing w:before="480" w:after="480"/>
              <w:jc w:val="center"/>
              <w:rPr>
                <w:color w:val="000000"/>
              </w:rPr>
            </w:pPr>
            <w:r w:rsidRPr="00533140">
              <w:rPr>
                <w:b/>
                <w:bCs/>
                <w:color w:val="000000"/>
              </w:rPr>
              <w:t>Loadings</w:t>
            </w:r>
          </w:p>
        </w:tc>
      </w:tr>
      <w:tr w:rsidR="00533140" w:rsidRPr="00533140" w14:paraId="716E8291" w14:textId="77777777" w:rsidTr="003B496E">
        <w:trPr>
          <w:trHeight w:val="480"/>
        </w:trPr>
        <w:tc>
          <w:tcPr>
            <w:tcW w:w="2080" w:type="dxa"/>
            <w:vMerge w:val="restart"/>
            <w:tcBorders>
              <w:top w:val="single" w:sz="6" w:space="0" w:color="000000"/>
              <w:left w:val="single" w:sz="6" w:space="0" w:color="000000"/>
              <w:bottom w:val="single" w:sz="6" w:space="0" w:color="000000"/>
              <w:right w:val="single" w:sz="6" w:space="0" w:color="000000"/>
            </w:tcBorders>
            <w:hideMark/>
          </w:tcPr>
          <w:p w14:paraId="406F82F6" w14:textId="77777777" w:rsidR="00533140" w:rsidRPr="00533140" w:rsidRDefault="00533140" w:rsidP="003B496E">
            <w:pPr>
              <w:pStyle w:val="NormalWeb"/>
              <w:spacing w:before="480" w:after="480"/>
              <w:jc w:val="center"/>
              <w:rPr>
                <w:color w:val="000000"/>
              </w:rPr>
            </w:pPr>
            <w:r w:rsidRPr="00533140">
              <w:rPr>
                <w:color w:val="000000"/>
              </w:rPr>
              <w:t>Political Instrumentalization</w:t>
            </w:r>
          </w:p>
        </w:tc>
        <w:tc>
          <w:tcPr>
            <w:tcW w:w="3724" w:type="dxa"/>
            <w:vMerge w:val="restart"/>
            <w:tcBorders>
              <w:top w:val="single" w:sz="6" w:space="0" w:color="000000"/>
              <w:left w:val="single" w:sz="6" w:space="0" w:color="000000"/>
              <w:bottom w:val="single" w:sz="6" w:space="0" w:color="000000"/>
              <w:right w:val="single" w:sz="6" w:space="0" w:color="000000"/>
            </w:tcBorders>
            <w:hideMark/>
          </w:tcPr>
          <w:p w14:paraId="10FFFEEC" w14:textId="77777777" w:rsidR="00533140" w:rsidRPr="00533140" w:rsidRDefault="00533140" w:rsidP="003B496E">
            <w:pPr>
              <w:pStyle w:val="NormalWeb"/>
              <w:spacing w:before="480" w:after="480"/>
              <w:jc w:val="both"/>
              <w:rPr>
                <w:color w:val="000000"/>
              </w:rPr>
            </w:pPr>
            <w:r w:rsidRPr="00533140">
              <w:rPr>
                <w:color w:val="000000"/>
              </w:rPr>
              <w:t>Captures how “</w:t>
            </w:r>
            <w:proofErr w:type="spellStart"/>
            <w:r w:rsidRPr="00533140">
              <w:rPr>
                <w:color w:val="000000"/>
              </w:rPr>
              <w:t>ayuda</w:t>
            </w:r>
            <w:proofErr w:type="spellEnd"/>
            <w:r w:rsidRPr="00533140">
              <w:rPr>
                <w:color w:val="000000"/>
              </w:rPr>
              <w:t>” is seen as a political tool used for vote buying, patronage, or enhancing a politician’s image. It exposes the tension between assistance and political interest.</w:t>
            </w:r>
          </w:p>
        </w:tc>
        <w:tc>
          <w:tcPr>
            <w:tcW w:w="851" w:type="dxa"/>
            <w:tcBorders>
              <w:top w:val="single" w:sz="6" w:space="0" w:color="000000"/>
              <w:left w:val="single" w:sz="6" w:space="0" w:color="000000"/>
              <w:bottom w:val="single" w:sz="6" w:space="0" w:color="000000"/>
              <w:right w:val="single" w:sz="6" w:space="0" w:color="000000"/>
            </w:tcBorders>
            <w:hideMark/>
          </w:tcPr>
          <w:p w14:paraId="47E35842" w14:textId="77777777" w:rsidR="00533140" w:rsidRPr="00533140" w:rsidRDefault="00533140" w:rsidP="003B496E">
            <w:pPr>
              <w:pStyle w:val="NormalWeb"/>
              <w:spacing w:before="480" w:after="480"/>
              <w:jc w:val="center"/>
              <w:rPr>
                <w:color w:val="000000"/>
              </w:rPr>
            </w:pPr>
            <w:r w:rsidRPr="00533140">
              <w:rPr>
                <w:color w:val="000000"/>
              </w:rPr>
              <w:t>11</w:t>
            </w:r>
          </w:p>
        </w:tc>
        <w:tc>
          <w:tcPr>
            <w:tcW w:w="2693" w:type="dxa"/>
            <w:tcBorders>
              <w:top w:val="single" w:sz="6" w:space="0" w:color="000000"/>
              <w:left w:val="single" w:sz="6" w:space="0" w:color="000000"/>
              <w:bottom w:val="single" w:sz="6" w:space="0" w:color="000000"/>
              <w:right w:val="single" w:sz="6" w:space="0" w:color="000000"/>
            </w:tcBorders>
            <w:hideMark/>
          </w:tcPr>
          <w:p w14:paraId="77BDC27A" w14:textId="77777777" w:rsidR="00533140" w:rsidRPr="00533140" w:rsidRDefault="00533140" w:rsidP="003B496E">
            <w:pPr>
              <w:pStyle w:val="NormalWeb"/>
              <w:spacing w:before="480" w:after="480"/>
              <w:rPr>
                <w:color w:val="000000"/>
              </w:rPr>
            </w:pPr>
            <w:r w:rsidRPr="00533140">
              <w:rPr>
                <w:color w:val="000000"/>
              </w:rPr>
              <w:t>a political tool used to gain favor from citizens.</w:t>
            </w:r>
          </w:p>
        </w:tc>
        <w:tc>
          <w:tcPr>
            <w:tcW w:w="1333" w:type="dxa"/>
            <w:tcBorders>
              <w:top w:val="single" w:sz="6" w:space="0" w:color="000000"/>
              <w:left w:val="single" w:sz="6" w:space="0" w:color="000000"/>
              <w:bottom w:val="single" w:sz="6" w:space="0" w:color="000000"/>
              <w:right w:val="single" w:sz="6" w:space="0" w:color="000000"/>
            </w:tcBorders>
            <w:hideMark/>
          </w:tcPr>
          <w:p w14:paraId="45DAAEBE" w14:textId="77777777" w:rsidR="00533140" w:rsidRPr="00533140" w:rsidRDefault="00533140" w:rsidP="003B496E">
            <w:pPr>
              <w:pStyle w:val="NormalWeb"/>
              <w:spacing w:before="480" w:after="480"/>
              <w:jc w:val="center"/>
              <w:rPr>
                <w:color w:val="000000"/>
              </w:rPr>
            </w:pPr>
            <w:r w:rsidRPr="00533140">
              <w:rPr>
                <w:color w:val="000000"/>
              </w:rPr>
              <w:t>0.786</w:t>
            </w:r>
          </w:p>
        </w:tc>
      </w:tr>
      <w:tr w:rsidR="00533140" w:rsidRPr="00533140" w14:paraId="70187776" w14:textId="77777777" w:rsidTr="003B496E">
        <w:trPr>
          <w:trHeight w:val="480"/>
        </w:trPr>
        <w:tc>
          <w:tcPr>
            <w:tcW w:w="2080" w:type="dxa"/>
            <w:vMerge/>
            <w:tcBorders>
              <w:top w:val="single" w:sz="6" w:space="0" w:color="000000"/>
              <w:left w:val="single" w:sz="6" w:space="0" w:color="000000"/>
              <w:bottom w:val="single" w:sz="6" w:space="0" w:color="000000"/>
              <w:right w:val="single" w:sz="6" w:space="0" w:color="000000"/>
            </w:tcBorders>
            <w:vAlign w:val="center"/>
            <w:hideMark/>
          </w:tcPr>
          <w:p w14:paraId="3793E2D2" w14:textId="77777777" w:rsidR="00533140" w:rsidRPr="00533140" w:rsidRDefault="00533140" w:rsidP="003B496E">
            <w:pPr>
              <w:pStyle w:val="NormalWeb"/>
              <w:spacing w:before="480" w:after="480"/>
              <w:jc w:val="center"/>
              <w:rPr>
                <w:color w:val="000000"/>
              </w:rPr>
            </w:pPr>
          </w:p>
        </w:tc>
        <w:tc>
          <w:tcPr>
            <w:tcW w:w="3724" w:type="dxa"/>
            <w:vMerge/>
            <w:tcBorders>
              <w:top w:val="single" w:sz="6" w:space="0" w:color="000000"/>
              <w:left w:val="single" w:sz="6" w:space="0" w:color="000000"/>
              <w:bottom w:val="single" w:sz="6" w:space="0" w:color="000000"/>
              <w:right w:val="single" w:sz="6" w:space="0" w:color="000000"/>
            </w:tcBorders>
            <w:vAlign w:val="center"/>
            <w:hideMark/>
          </w:tcPr>
          <w:p w14:paraId="3F716CBA"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7D64FE9F" w14:textId="77777777" w:rsidR="00533140" w:rsidRPr="00533140" w:rsidRDefault="00533140" w:rsidP="003B496E">
            <w:pPr>
              <w:pStyle w:val="NormalWeb"/>
              <w:spacing w:before="480" w:after="480"/>
              <w:jc w:val="center"/>
              <w:rPr>
                <w:color w:val="000000"/>
              </w:rPr>
            </w:pPr>
            <w:r w:rsidRPr="00533140">
              <w:rPr>
                <w:color w:val="000000"/>
              </w:rPr>
              <w:t>29</w:t>
            </w:r>
          </w:p>
        </w:tc>
        <w:tc>
          <w:tcPr>
            <w:tcW w:w="2693" w:type="dxa"/>
            <w:tcBorders>
              <w:top w:val="single" w:sz="6" w:space="0" w:color="000000"/>
              <w:left w:val="single" w:sz="6" w:space="0" w:color="000000"/>
              <w:bottom w:val="single" w:sz="6" w:space="0" w:color="000000"/>
              <w:right w:val="single" w:sz="6" w:space="0" w:color="000000"/>
            </w:tcBorders>
            <w:hideMark/>
          </w:tcPr>
          <w:p w14:paraId="26891EE9" w14:textId="77777777" w:rsidR="00533140" w:rsidRPr="00533140" w:rsidRDefault="00533140" w:rsidP="003B496E">
            <w:pPr>
              <w:pStyle w:val="NormalWeb"/>
              <w:spacing w:before="480" w:after="480"/>
              <w:rPr>
                <w:color w:val="000000"/>
              </w:rPr>
            </w:pPr>
            <w:r w:rsidRPr="00533140">
              <w:rPr>
                <w:color w:val="000000"/>
              </w:rPr>
              <w:t>often accompanied by speeches from politicians promoting themselves.</w:t>
            </w:r>
          </w:p>
        </w:tc>
        <w:tc>
          <w:tcPr>
            <w:tcW w:w="1333" w:type="dxa"/>
            <w:tcBorders>
              <w:top w:val="single" w:sz="6" w:space="0" w:color="000000"/>
              <w:left w:val="single" w:sz="6" w:space="0" w:color="000000"/>
              <w:bottom w:val="single" w:sz="6" w:space="0" w:color="000000"/>
              <w:right w:val="single" w:sz="6" w:space="0" w:color="000000"/>
            </w:tcBorders>
            <w:hideMark/>
          </w:tcPr>
          <w:p w14:paraId="7573A1F0" w14:textId="77777777" w:rsidR="00533140" w:rsidRPr="00533140" w:rsidRDefault="00533140" w:rsidP="003B496E">
            <w:pPr>
              <w:pStyle w:val="NormalWeb"/>
              <w:spacing w:before="480" w:after="480"/>
              <w:jc w:val="center"/>
              <w:rPr>
                <w:color w:val="000000"/>
              </w:rPr>
            </w:pPr>
            <w:r w:rsidRPr="00533140">
              <w:rPr>
                <w:color w:val="000000"/>
              </w:rPr>
              <w:t>0.763</w:t>
            </w:r>
          </w:p>
        </w:tc>
      </w:tr>
      <w:tr w:rsidR="00533140" w:rsidRPr="00533140" w14:paraId="64FB93EA" w14:textId="77777777" w:rsidTr="003B496E">
        <w:trPr>
          <w:trHeight w:val="510"/>
        </w:trPr>
        <w:tc>
          <w:tcPr>
            <w:tcW w:w="2080" w:type="dxa"/>
            <w:vMerge/>
            <w:tcBorders>
              <w:top w:val="single" w:sz="6" w:space="0" w:color="000000"/>
              <w:left w:val="single" w:sz="6" w:space="0" w:color="000000"/>
              <w:bottom w:val="single" w:sz="6" w:space="0" w:color="000000"/>
              <w:right w:val="single" w:sz="6" w:space="0" w:color="000000"/>
            </w:tcBorders>
            <w:vAlign w:val="center"/>
            <w:hideMark/>
          </w:tcPr>
          <w:p w14:paraId="75ABCCB2" w14:textId="77777777" w:rsidR="00533140" w:rsidRPr="00533140" w:rsidRDefault="00533140" w:rsidP="003B496E">
            <w:pPr>
              <w:pStyle w:val="NormalWeb"/>
              <w:spacing w:before="480" w:after="480"/>
              <w:jc w:val="center"/>
              <w:rPr>
                <w:color w:val="000000"/>
              </w:rPr>
            </w:pPr>
          </w:p>
        </w:tc>
        <w:tc>
          <w:tcPr>
            <w:tcW w:w="3724" w:type="dxa"/>
            <w:vMerge/>
            <w:tcBorders>
              <w:top w:val="single" w:sz="6" w:space="0" w:color="000000"/>
              <w:left w:val="single" w:sz="6" w:space="0" w:color="000000"/>
              <w:bottom w:val="single" w:sz="6" w:space="0" w:color="000000"/>
              <w:right w:val="single" w:sz="6" w:space="0" w:color="000000"/>
            </w:tcBorders>
            <w:vAlign w:val="center"/>
            <w:hideMark/>
          </w:tcPr>
          <w:p w14:paraId="5AD8B8FB"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473D59D0" w14:textId="77777777" w:rsidR="00533140" w:rsidRPr="00533140" w:rsidRDefault="00533140" w:rsidP="003B496E">
            <w:pPr>
              <w:pStyle w:val="NormalWeb"/>
              <w:spacing w:before="480" w:after="480"/>
              <w:jc w:val="center"/>
              <w:rPr>
                <w:color w:val="000000"/>
              </w:rPr>
            </w:pPr>
            <w:r w:rsidRPr="00533140">
              <w:rPr>
                <w:color w:val="000000"/>
              </w:rPr>
              <w:t>12</w:t>
            </w:r>
          </w:p>
        </w:tc>
        <w:tc>
          <w:tcPr>
            <w:tcW w:w="2693" w:type="dxa"/>
            <w:tcBorders>
              <w:top w:val="single" w:sz="6" w:space="0" w:color="000000"/>
              <w:left w:val="single" w:sz="6" w:space="0" w:color="000000"/>
              <w:bottom w:val="single" w:sz="6" w:space="0" w:color="000000"/>
              <w:right w:val="single" w:sz="6" w:space="0" w:color="000000"/>
            </w:tcBorders>
            <w:hideMark/>
          </w:tcPr>
          <w:p w14:paraId="17AB583B" w14:textId="77777777" w:rsidR="00533140" w:rsidRPr="00533140" w:rsidRDefault="00533140" w:rsidP="003B496E">
            <w:pPr>
              <w:pStyle w:val="NormalWeb"/>
              <w:spacing w:before="480" w:after="480"/>
              <w:rPr>
                <w:color w:val="000000"/>
              </w:rPr>
            </w:pPr>
            <w:r w:rsidRPr="00533140">
              <w:rPr>
                <w:color w:val="000000"/>
              </w:rPr>
              <w:t>a form of help that I associate with a certain politician.</w:t>
            </w:r>
          </w:p>
        </w:tc>
        <w:tc>
          <w:tcPr>
            <w:tcW w:w="1333" w:type="dxa"/>
            <w:tcBorders>
              <w:top w:val="single" w:sz="6" w:space="0" w:color="000000"/>
              <w:left w:val="single" w:sz="6" w:space="0" w:color="000000"/>
              <w:bottom w:val="single" w:sz="6" w:space="0" w:color="000000"/>
              <w:right w:val="single" w:sz="6" w:space="0" w:color="000000"/>
            </w:tcBorders>
            <w:hideMark/>
          </w:tcPr>
          <w:p w14:paraId="236496D8" w14:textId="77777777" w:rsidR="00533140" w:rsidRPr="00533140" w:rsidRDefault="00533140" w:rsidP="003B496E">
            <w:pPr>
              <w:pStyle w:val="NormalWeb"/>
              <w:spacing w:before="480" w:after="480"/>
              <w:jc w:val="center"/>
              <w:rPr>
                <w:color w:val="000000"/>
              </w:rPr>
            </w:pPr>
            <w:r w:rsidRPr="00533140">
              <w:rPr>
                <w:color w:val="000000"/>
              </w:rPr>
              <w:t>0.758</w:t>
            </w:r>
          </w:p>
        </w:tc>
      </w:tr>
      <w:tr w:rsidR="00533140" w:rsidRPr="00533140" w14:paraId="095E9612" w14:textId="77777777" w:rsidTr="003B496E">
        <w:trPr>
          <w:trHeight w:val="480"/>
        </w:trPr>
        <w:tc>
          <w:tcPr>
            <w:tcW w:w="2080" w:type="dxa"/>
            <w:vMerge/>
            <w:tcBorders>
              <w:top w:val="single" w:sz="6" w:space="0" w:color="000000"/>
              <w:left w:val="single" w:sz="6" w:space="0" w:color="000000"/>
              <w:bottom w:val="single" w:sz="6" w:space="0" w:color="000000"/>
              <w:right w:val="single" w:sz="6" w:space="0" w:color="000000"/>
            </w:tcBorders>
            <w:vAlign w:val="center"/>
            <w:hideMark/>
          </w:tcPr>
          <w:p w14:paraId="226661BC" w14:textId="77777777" w:rsidR="00533140" w:rsidRPr="00533140" w:rsidRDefault="00533140" w:rsidP="003B496E">
            <w:pPr>
              <w:pStyle w:val="NormalWeb"/>
              <w:spacing w:before="480" w:after="480"/>
              <w:jc w:val="center"/>
              <w:rPr>
                <w:color w:val="000000"/>
              </w:rPr>
            </w:pPr>
          </w:p>
        </w:tc>
        <w:tc>
          <w:tcPr>
            <w:tcW w:w="3724" w:type="dxa"/>
            <w:vMerge/>
            <w:tcBorders>
              <w:top w:val="single" w:sz="6" w:space="0" w:color="000000"/>
              <w:left w:val="single" w:sz="6" w:space="0" w:color="000000"/>
              <w:bottom w:val="single" w:sz="6" w:space="0" w:color="000000"/>
              <w:right w:val="single" w:sz="6" w:space="0" w:color="000000"/>
            </w:tcBorders>
            <w:vAlign w:val="center"/>
            <w:hideMark/>
          </w:tcPr>
          <w:p w14:paraId="4CC02816"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02CEB614" w14:textId="77777777" w:rsidR="00533140" w:rsidRPr="00533140" w:rsidRDefault="00533140" w:rsidP="003B496E">
            <w:pPr>
              <w:pStyle w:val="NormalWeb"/>
              <w:spacing w:before="480" w:after="480"/>
              <w:jc w:val="center"/>
              <w:rPr>
                <w:color w:val="000000"/>
              </w:rPr>
            </w:pPr>
            <w:r w:rsidRPr="00533140">
              <w:rPr>
                <w:color w:val="000000"/>
              </w:rPr>
              <w:t>13</w:t>
            </w:r>
          </w:p>
        </w:tc>
        <w:tc>
          <w:tcPr>
            <w:tcW w:w="2693" w:type="dxa"/>
            <w:tcBorders>
              <w:top w:val="single" w:sz="6" w:space="0" w:color="000000"/>
              <w:left w:val="single" w:sz="6" w:space="0" w:color="000000"/>
              <w:bottom w:val="single" w:sz="6" w:space="0" w:color="000000"/>
              <w:right w:val="single" w:sz="6" w:space="0" w:color="000000"/>
            </w:tcBorders>
            <w:hideMark/>
          </w:tcPr>
          <w:p w14:paraId="4F2BC7D3" w14:textId="77777777" w:rsidR="00533140" w:rsidRPr="00533140" w:rsidRDefault="00533140" w:rsidP="003B496E">
            <w:pPr>
              <w:pStyle w:val="NormalWeb"/>
              <w:spacing w:before="480" w:after="480"/>
              <w:rPr>
                <w:color w:val="000000"/>
              </w:rPr>
            </w:pPr>
            <w:r w:rsidRPr="00533140">
              <w:rPr>
                <w:color w:val="000000"/>
              </w:rPr>
              <w:t>only given to those who are registered voters.</w:t>
            </w:r>
          </w:p>
        </w:tc>
        <w:tc>
          <w:tcPr>
            <w:tcW w:w="1333" w:type="dxa"/>
            <w:tcBorders>
              <w:top w:val="single" w:sz="6" w:space="0" w:color="000000"/>
              <w:left w:val="single" w:sz="6" w:space="0" w:color="000000"/>
              <w:bottom w:val="single" w:sz="6" w:space="0" w:color="000000"/>
              <w:right w:val="single" w:sz="6" w:space="0" w:color="000000"/>
            </w:tcBorders>
            <w:hideMark/>
          </w:tcPr>
          <w:p w14:paraId="5D9DCA16" w14:textId="77777777" w:rsidR="00533140" w:rsidRPr="00533140" w:rsidRDefault="00533140" w:rsidP="003B496E">
            <w:pPr>
              <w:pStyle w:val="NormalWeb"/>
              <w:spacing w:before="480" w:after="480"/>
              <w:jc w:val="center"/>
              <w:rPr>
                <w:color w:val="000000"/>
              </w:rPr>
            </w:pPr>
            <w:r w:rsidRPr="00533140">
              <w:rPr>
                <w:color w:val="000000"/>
              </w:rPr>
              <w:t>0.753</w:t>
            </w:r>
          </w:p>
        </w:tc>
      </w:tr>
      <w:tr w:rsidR="00533140" w:rsidRPr="00533140" w14:paraId="0B7AF966" w14:textId="77777777" w:rsidTr="003B496E">
        <w:trPr>
          <w:trHeight w:val="435"/>
        </w:trPr>
        <w:tc>
          <w:tcPr>
            <w:tcW w:w="2080" w:type="dxa"/>
            <w:vMerge/>
            <w:tcBorders>
              <w:top w:val="single" w:sz="6" w:space="0" w:color="000000"/>
              <w:left w:val="single" w:sz="6" w:space="0" w:color="000000"/>
              <w:bottom w:val="single" w:sz="6" w:space="0" w:color="000000"/>
              <w:right w:val="single" w:sz="6" w:space="0" w:color="000000"/>
            </w:tcBorders>
            <w:vAlign w:val="center"/>
            <w:hideMark/>
          </w:tcPr>
          <w:p w14:paraId="0CAFEF7B" w14:textId="77777777" w:rsidR="00533140" w:rsidRPr="00533140" w:rsidRDefault="00533140" w:rsidP="003B496E">
            <w:pPr>
              <w:pStyle w:val="NormalWeb"/>
              <w:spacing w:before="480" w:after="480"/>
              <w:jc w:val="center"/>
              <w:rPr>
                <w:color w:val="000000"/>
              </w:rPr>
            </w:pPr>
          </w:p>
        </w:tc>
        <w:tc>
          <w:tcPr>
            <w:tcW w:w="3724" w:type="dxa"/>
            <w:vMerge/>
            <w:tcBorders>
              <w:top w:val="single" w:sz="6" w:space="0" w:color="000000"/>
              <w:left w:val="single" w:sz="6" w:space="0" w:color="000000"/>
              <w:bottom w:val="single" w:sz="6" w:space="0" w:color="000000"/>
              <w:right w:val="single" w:sz="6" w:space="0" w:color="000000"/>
            </w:tcBorders>
            <w:vAlign w:val="center"/>
            <w:hideMark/>
          </w:tcPr>
          <w:p w14:paraId="54830B56"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4256D149" w14:textId="77777777" w:rsidR="00533140" w:rsidRPr="00533140" w:rsidRDefault="00533140" w:rsidP="003B496E">
            <w:pPr>
              <w:pStyle w:val="NormalWeb"/>
              <w:spacing w:before="480" w:after="480"/>
              <w:jc w:val="center"/>
              <w:rPr>
                <w:color w:val="000000"/>
              </w:rPr>
            </w:pPr>
            <w:r w:rsidRPr="00533140">
              <w:rPr>
                <w:color w:val="000000"/>
              </w:rPr>
              <w:t>25</w:t>
            </w:r>
          </w:p>
        </w:tc>
        <w:tc>
          <w:tcPr>
            <w:tcW w:w="2693" w:type="dxa"/>
            <w:tcBorders>
              <w:top w:val="single" w:sz="6" w:space="0" w:color="000000"/>
              <w:left w:val="single" w:sz="6" w:space="0" w:color="000000"/>
              <w:bottom w:val="single" w:sz="6" w:space="0" w:color="000000"/>
              <w:right w:val="single" w:sz="6" w:space="0" w:color="000000"/>
            </w:tcBorders>
            <w:hideMark/>
          </w:tcPr>
          <w:p w14:paraId="17A7BEB4" w14:textId="77777777" w:rsidR="00533140" w:rsidRPr="00533140" w:rsidRDefault="00533140" w:rsidP="003B496E">
            <w:pPr>
              <w:pStyle w:val="NormalWeb"/>
              <w:spacing w:before="480" w:after="480"/>
              <w:rPr>
                <w:color w:val="000000"/>
              </w:rPr>
            </w:pPr>
            <w:r w:rsidRPr="00533140">
              <w:rPr>
                <w:color w:val="000000"/>
              </w:rPr>
              <w:t>given only when elections are near.</w:t>
            </w:r>
          </w:p>
        </w:tc>
        <w:tc>
          <w:tcPr>
            <w:tcW w:w="1333" w:type="dxa"/>
            <w:tcBorders>
              <w:top w:val="single" w:sz="6" w:space="0" w:color="000000"/>
              <w:left w:val="single" w:sz="6" w:space="0" w:color="000000"/>
              <w:bottom w:val="single" w:sz="6" w:space="0" w:color="000000"/>
              <w:right w:val="single" w:sz="6" w:space="0" w:color="000000"/>
            </w:tcBorders>
            <w:hideMark/>
          </w:tcPr>
          <w:p w14:paraId="194BC96C" w14:textId="77777777" w:rsidR="00533140" w:rsidRPr="00533140" w:rsidRDefault="00533140" w:rsidP="003B496E">
            <w:pPr>
              <w:pStyle w:val="NormalWeb"/>
              <w:spacing w:before="480" w:after="480"/>
              <w:jc w:val="center"/>
              <w:rPr>
                <w:color w:val="000000"/>
              </w:rPr>
            </w:pPr>
            <w:r w:rsidRPr="00533140">
              <w:rPr>
                <w:color w:val="000000"/>
              </w:rPr>
              <w:t>0.752</w:t>
            </w:r>
          </w:p>
        </w:tc>
      </w:tr>
      <w:tr w:rsidR="00533140" w:rsidRPr="00533140" w14:paraId="07C6ADA0" w14:textId="77777777" w:rsidTr="003B496E">
        <w:trPr>
          <w:trHeight w:val="480"/>
        </w:trPr>
        <w:tc>
          <w:tcPr>
            <w:tcW w:w="2080" w:type="dxa"/>
            <w:vMerge/>
            <w:tcBorders>
              <w:top w:val="single" w:sz="6" w:space="0" w:color="000000"/>
              <w:left w:val="single" w:sz="6" w:space="0" w:color="000000"/>
              <w:bottom w:val="single" w:sz="6" w:space="0" w:color="000000"/>
              <w:right w:val="single" w:sz="6" w:space="0" w:color="000000"/>
            </w:tcBorders>
            <w:vAlign w:val="center"/>
            <w:hideMark/>
          </w:tcPr>
          <w:p w14:paraId="07BE6446" w14:textId="77777777" w:rsidR="00533140" w:rsidRPr="00533140" w:rsidRDefault="00533140" w:rsidP="003B496E">
            <w:pPr>
              <w:pStyle w:val="NormalWeb"/>
              <w:spacing w:before="480" w:after="480"/>
              <w:jc w:val="center"/>
              <w:rPr>
                <w:color w:val="000000"/>
              </w:rPr>
            </w:pPr>
          </w:p>
        </w:tc>
        <w:tc>
          <w:tcPr>
            <w:tcW w:w="3724" w:type="dxa"/>
            <w:vMerge/>
            <w:tcBorders>
              <w:top w:val="single" w:sz="6" w:space="0" w:color="000000"/>
              <w:left w:val="single" w:sz="6" w:space="0" w:color="000000"/>
              <w:bottom w:val="single" w:sz="6" w:space="0" w:color="000000"/>
              <w:right w:val="single" w:sz="6" w:space="0" w:color="000000"/>
            </w:tcBorders>
            <w:vAlign w:val="center"/>
            <w:hideMark/>
          </w:tcPr>
          <w:p w14:paraId="2E1976F8"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21F5E203" w14:textId="77777777" w:rsidR="00533140" w:rsidRPr="00533140" w:rsidRDefault="00533140" w:rsidP="003B496E">
            <w:pPr>
              <w:pStyle w:val="NormalWeb"/>
              <w:spacing w:before="480" w:after="480"/>
              <w:jc w:val="center"/>
              <w:rPr>
                <w:color w:val="000000"/>
              </w:rPr>
            </w:pPr>
            <w:r w:rsidRPr="00533140">
              <w:rPr>
                <w:color w:val="000000"/>
              </w:rPr>
              <w:t>3</w:t>
            </w:r>
          </w:p>
        </w:tc>
        <w:tc>
          <w:tcPr>
            <w:tcW w:w="2693" w:type="dxa"/>
            <w:tcBorders>
              <w:top w:val="single" w:sz="6" w:space="0" w:color="000000"/>
              <w:left w:val="single" w:sz="6" w:space="0" w:color="000000"/>
              <w:bottom w:val="single" w:sz="6" w:space="0" w:color="000000"/>
              <w:right w:val="single" w:sz="6" w:space="0" w:color="000000"/>
            </w:tcBorders>
            <w:hideMark/>
          </w:tcPr>
          <w:p w14:paraId="70EC3F5D" w14:textId="77777777" w:rsidR="00533140" w:rsidRPr="00533140" w:rsidRDefault="00533140" w:rsidP="003B496E">
            <w:pPr>
              <w:pStyle w:val="NormalWeb"/>
              <w:spacing w:before="480" w:after="480"/>
              <w:rPr>
                <w:color w:val="000000"/>
              </w:rPr>
            </w:pPr>
            <w:r w:rsidRPr="00533140">
              <w:rPr>
                <w:color w:val="000000"/>
              </w:rPr>
              <w:t>influenced by personal or political connections.</w:t>
            </w:r>
          </w:p>
        </w:tc>
        <w:tc>
          <w:tcPr>
            <w:tcW w:w="1333" w:type="dxa"/>
            <w:tcBorders>
              <w:top w:val="single" w:sz="6" w:space="0" w:color="000000"/>
              <w:left w:val="single" w:sz="6" w:space="0" w:color="000000"/>
              <w:bottom w:val="single" w:sz="6" w:space="0" w:color="000000"/>
              <w:right w:val="single" w:sz="6" w:space="0" w:color="000000"/>
            </w:tcBorders>
            <w:hideMark/>
          </w:tcPr>
          <w:p w14:paraId="3247CE6B" w14:textId="77777777" w:rsidR="00533140" w:rsidRPr="00533140" w:rsidRDefault="00533140" w:rsidP="003B496E">
            <w:pPr>
              <w:pStyle w:val="NormalWeb"/>
              <w:spacing w:before="480" w:after="480"/>
              <w:jc w:val="center"/>
              <w:rPr>
                <w:color w:val="000000"/>
              </w:rPr>
            </w:pPr>
            <w:r w:rsidRPr="00533140">
              <w:rPr>
                <w:color w:val="000000"/>
              </w:rPr>
              <w:t>0.74</w:t>
            </w:r>
          </w:p>
        </w:tc>
      </w:tr>
      <w:tr w:rsidR="00533140" w:rsidRPr="00533140" w14:paraId="3E2A2B5D" w14:textId="77777777" w:rsidTr="003B496E">
        <w:trPr>
          <w:trHeight w:val="525"/>
        </w:trPr>
        <w:tc>
          <w:tcPr>
            <w:tcW w:w="2080" w:type="dxa"/>
            <w:vMerge/>
            <w:tcBorders>
              <w:top w:val="single" w:sz="6" w:space="0" w:color="000000"/>
              <w:left w:val="single" w:sz="6" w:space="0" w:color="000000"/>
              <w:bottom w:val="single" w:sz="6" w:space="0" w:color="000000"/>
              <w:right w:val="single" w:sz="6" w:space="0" w:color="000000"/>
            </w:tcBorders>
            <w:vAlign w:val="center"/>
            <w:hideMark/>
          </w:tcPr>
          <w:p w14:paraId="6BFF82ED" w14:textId="77777777" w:rsidR="00533140" w:rsidRPr="00533140" w:rsidRDefault="00533140" w:rsidP="003B496E">
            <w:pPr>
              <w:pStyle w:val="NormalWeb"/>
              <w:spacing w:before="480" w:after="480"/>
              <w:jc w:val="center"/>
              <w:rPr>
                <w:color w:val="000000"/>
              </w:rPr>
            </w:pPr>
          </w:p>
        </w:tc>
        <w:tc>
          <w:tcPr>
            <w:tcW w:w="3724" w:type="dxa"/>
            <w:vMerge/>
            <w:tcBorders>
              <w:top w:val="single" w:sz="6" w:space="0" w:color="000000"/>
              <w:left w:val="single" w:sz="6" w:space="0" w:color="000000"/>
              <w:bottom w:val="single" w:sz="6" w:space="0" w:color="000000"/>
              <w:right w:val="single" w:sz="6" w:space="0" w:color="000000"/>
            </w:tcBorders>
            <w:vAlign w:val="center"/>
            <w:hideMark/>
          </w:tcPr>
          <w:p w14:paraId="444EB9F4"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1B40A939" w14:textId="77777777" w:rsidR="00533140" w:rsidRPr="00533140" w:rsidRDefault="00533140" w:rsidP="003B496E">
            <w:pPr>
              <w:pStyle w:val="NormalWeb"/>
              <w:spacing w:before="480" w:after="480"/>
              <w:jc w:val="center"/>
              <w:rPr>
                <w:color w:val="000000"/>
              </w:rPr>
            </w:pPr>
            <w:r w:rsidRPr="00533140">
              <w:rPr>
                <w:color w:val="000000"/>
              </w:rPr>
              <w:t>27</w:t>
            </w:r>
          </w:p>
        </w:tc>
        <w:tc>
          <w:tcPr>
            <w:tcW w:w="2693" w:type="dxa"/>
            <w:tcBorders>
              <w:top w:val="single" w:sz="6" w:space="0" w:color="000000"/>
              <w:left w:val="single" w:sz="6" w:space="0" w:color="000000"/>
              <w:bottom w:val="single" w:sz="6" w:space="0" w:color="000000"/>
              <w:right w:val="single" w:sz="6" w:space="0" w:color="000000"/>
            </w:tcBorders>
            <w:hideMark/>
          </w:tcPr>
          <w:p w14:paraId="1AA8B28C" w14:textId="77777777" w:rsidR="00533140" w:rsidRPr="00533140" w:rsidRDefault="00533140" w:rsidP="003B496E">
            <w:pPr>
              <w:pStyle w:val="NormalWeb"/>
              <w:spacing w:before="480" w:after="480"/>
              <w:rPr>
                <w:color w:val="000000"/>
              </w:rPr>
            </w:pPr>
            <w:r w:rsidRPr="00533140">
              <w:rPr>
                <w:color w:val="000000"/>
              </w:rPr>
              <w:t>not a debt of gratitude I owe to any politician.</w:t>
            </w:r>
          </w:p>
        </w:tc>
        <w:tc>
          <w:tcPr>
            <w:tcW w:w="1333" w:type="dxa"/>
            <w:tcBorders>
              <w:top w:val="single" w:sz="6" w:space="0" w:color="000000"/>
              <w:left w:val="single" w:sz="6" w:space="0" w:color="000000"/>
              <w:bottom w:val="single" w:sz="6" w:space="0" w:color="000000"/>
              <w:right w:val="single" w:sz="6" w:space="0" w:color="000000"/>
            </w:tcBorders>
            <w:hideMark/>
          </w:tcPr>
          <w:p w14:paraId="54D6593C" w14:textId="77777777" w:rsidR="00533140" w:rsidRPr="00533140" w:rsidRDefault="00533140" w:rsidP="003B496E">
            <w:pPr>
              <w:pStyle w:val="NormalWeb"/>
              <w:spacing w:before="480" w:after="480"/>
              <w:jc w:val="center"/>
              <w:rPr>
                <w:color w:val="000000"/>
              </w:rPr>
            </w:pPr>
            <w:r w:rsidRPr="00533140">
              <w:rPr>
                <w:color w:val="000000"/>
              </w:rPr>
              <w:t>0.728</w:t>
            </w:r>
          </w:p>
        </w:tc>
      </w:tr>
      <w:tr w:rsidR="00533140" w:rsidRPr="00533140" w14:paraId="58CA7B6D" w14:textId="77777777" w:rsidTr="003B496E">
        <w:trPr>
          <w:trHeight w:val="480"/>
        </w:trPr>
        <w:tc>
          <w:tcPr>
            <w:tcW w:w="2080" w:type="dxa"/>
            <w:vMerge/>
            <w:tcBorders>
              <w:top w:val="single" w:sz="6" w:space="0" w:color="000000"/>
              <w:left w:val="single" w:sz="6" w:space="0" w:color="000000"/>
              <w:bottom w:val="single" w:sz="6" w:space="0" w:color="000000"/>
              <w:right w:val="single" w:sz="6" w:space="0" w:color="000000"/>
            </w:tcBorders>
            <w:vAlign w:val="center"/>
            <w:hideMark/>
          </w:tcPr>
          <w:p w14:paraId="72CE5D15" w14:textId="77777777" w:rsidR="00533140" w:rsidRPr="00533140" w:rsidRDefault="00533140" w:rsidP="003B496E">
            <w:pPr>
              <w:pStyle w:val="NormalWeb"/>
              <w:spacing w:before="480" w:after="480"/>
              <w:jc w:val="center"/>
              <w:rPr>
                <w:color w:val="000000"/>
              </w:rPr>
            </w:pPr>
          </w:p>
        </w:tc>
        <w:tc>
          <w:tcPr>
            <w:tcW w:w="3724" w:type="dxa"/>
            <w:vMerge/>
            <w:tcBorders>
              <w:top w:val="single" w:sz="6" w:space="0" w:color="000000"/>
              <w:left w:val="single" w:sz="6" w:space="0" w:color="000000"/>
              <w:bottom w:val="single" w:sz="6" w:space="0" w:color="000000"/>
              <w:right w:val="single" w:sz="6" w:space="0" w:color="000000"/>
            </w:tcBorders>
            <w:vAlign w:val="center"/>
            <w:hideMark/>
          </w:tcPr>
          <w:p w14:paraId="71D5E7B6"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36271F56" w14:textId="77777777" w:rsidR="00533140" w:rsidRPr="00533140" w:rsidRDefault="00533140" w:rsidP="003B496E">
            <w:pPr>
              <w:pStyle w:val="NormalWeb"/>
              <w:spacing w:before="480" w:after="480"/>
              <w:jc w:val="center"/>
              <w:rPr>
                <w:color w:val="000000"/>
              </w:rPr>
            </w:pPr>
            <w:r w:rsidRPr="00533140">
              <w:rPr>
                <w:color w:val="000000"/>
              </w:rPr>
              <w:t>26</w:t>
            </w:r>
          </w:p>
        </w:tc>
        <w:tc>
          <w:tcPr>
            <w:tcW w:w="2693" w:type="dxa"/>
            <w:tcBorders>
              <w:top w:val="single" w:sz="6" w:space="0" w:color="000000"/>
              <w:left w:val="single" w:sz="6" w:space="0" w:color="000000"/>
              <w:bottom w:val="single" w:sz="6" w:space="0" w:color="000000"/>
              <w:right w:val="single" w:sz="6" w:space="0" w:color="000000"/>
            </w:tcBorders>
            <w:hideMark/>
          </w:tcPr>
          <w:p w14:paraId="15EA0794" w14:textId="77777777" w:rsidR="00533140" w:rsidRPr="00533140" w:rsidRDefault="00533140" w:rsidP="003B496E">
            <w:pPr>
              <w:pStyle w:val="NormalWeb"/>
              <w:spacing w:before="480" w:after="480"/>
              <w:rPr>
                <w:color w:val="000000"/>
              </w:rPr>
            </w:pPr>
            <w:r w:rsidRPr="00533140">
              <w:rPr>
                <w:color w:val="000000"/>
              </w:rPr>
              <w:t>used by some politicians to boost their public image.</w:t>
            </w:r>
          </w:p>
        </w:tc>
        <w:tc>
          <w:tcPr>
            <w:tcW w:w="1333" w:type="dxa"/>
            <w:tcBorders>
              <w:top w:val="single" w:sz="6" w:space="0" w:color="000000"/>
              <w:left w:val="single" w:sz="6" w:space="0" w:color="000000"/>
              <w:bottom w:val="single" w:sz="6" w:space="0" w:color="000000"/>
              <w:right w:val="single" w:sz="6" w:space="0" w:color="000000"/>
            </w:tcBorders>
            <w:hideMark/>
          </w:tcPr>
          <w:p w14:paraId="4E316A5E" w14:textId="77777777" w:rsidR="00533140" w:rsidRPr="00533140" w:rsidRDefault="00533140" w:rsidP="003B496E">
            <w:pPr>
              <w:pStyle w:val="NormalWeb"/>
              <w:spacing w:before="480" w:after="480"/>
              <w:jc w:val="center"/>
              <w:rPr>
                <w:color w:val="000000"/>
              </w:rPr>
            </w:pPr>
            <w:r w:rsidRPr="00533140">
              <w:rPr>
                <w:color w:val="000000"/>
              </w:rPr>
              <w:t>0.725</w:t>
            </w:r>
          </w:p>
        </w:tc>
      </w:tr>
    </w:tbl>
    <w:p w14:paraId="6AEDF849" w14:textId="5A60B82A" w:rsidR="00533140" w:rsidRPr="00533140" w:rsidRDefault="00533140" w:rsidP="003B496E">
      <w:pPr>
        <w:pStyle w:val="NormalWeb"/>
        <w:spacing w:before="480" w:after="480"/>
        <w:ind w:firstLine="720"/>
        <w:jc w:val="both"/>
        <w:rPr>
          <w:color w:val="000000"/>
        </w:rPr>
      </w:pPr>
      <w:r w:rsidRPr="00533140">
        <w:rPr>
          <w:color w:val="000000"/>
        </w:rPr>
        <w:t>Dimension 3</w:t>
      </w:r>
      <w:r w:rsidR="003B496E">
        <w:rPr>
          <w:color w:val="000000"/>
        </w:rPr>
        <w:t>:</w:t>
      </w:r>
      <w:r w:rsidRPr="00533140">
        <w:rPr>
          <w:color w:val="000000"/>
        </w:rPr>
        <w:t xml:space="preserve"> </w:t>
      </w:r>
      <w:r w:rsidRPr="00533140">
        <w:rPr>
          <w:i/>
          <w:iCs/>
          <w:color w:val="000000"/>
        </w:rPr>
        <w:t>Equity and Access Discontent</w:t>
      </w:r>
      <w:r w:rsidRPr="00533140">
        <w:rPr>
          <w:color w:val="000000"/>
        </w:rPr>
        <w:t>. Dimension 3 identified 8 items with coefficients ranging from 0.79 to 0.69, as presented in Table 8. This range suggests consistency among the elements in this dimension. The coefficients within this range indicate strong connections between the variables, reflecting a cohesive set of items within Dimension 3. Item 1 has the lowest coefficient value at 0.69, while Item 10 has the highest value at 0.79.  All items surpass the minimum requirement of ±0.40.</w:t>
      </w:r>
    </w:p>
    <w:p w14:paraId="30E6231D" w14:textId="77777777" w:rsidR="003B496E" w:rsidRDefault="003B496E">
      <w:pPr>
        <w:rPr>
          <w:rFonts w:ascii="Times New Roman" w:eastAsia="Times New Roman" w:hAnsi="Times New Roman" w:cs="Times New Roman"/>
          <w:i/>
          <w:iCs/>
          <w:color w:val="000000"/>
          <w:sz w:val="24"/>
          <w:szCs w:val="24"/>
          <w:lang w:eastAsia="en-PH"/>
        </w:rPr>
      </w:pPr>
      <w:r>
        <w:rPr>
          <w:i/>
          <w:iCs/>
          <w:color w:val="000000"/>
        </w:rPr>
        <w:br w:type="page"/>
      </w:r>
    </w:p>
    <w:p w14:paraId="465AF3BE" w14:textId="711E4265" w:rsidR="00533140" w:rsidRPr="003B496E" w:rsidRDefault="00533140" w:rsidP="003B496E">
      <w:pPr>
        <w:pStyle w:val="NormalWeb"/>
        <w:spacing w:before="480" w:after="0" w:afterAutospacing="0"/>
        <w:rPr>
          <w:i/>
          <w:iCs/>
          <w:color w:val="000000"/>
        </w:rPr>
      </w:pPr>
      <w:r w:rsidRPr="003B496E">
        <w:rPr>
          <w:i/>
          <w:iCs/>
          <w:color w:val="000000"/>
        </w:rPr>
        <w:lastRenderedPageBreak/>
        <w:t>Table 8</w:t>
      </w:r>
      <w:r w:rsidR="003B496E">
        <w:rPr>
          <w:i/>
          <w:iCs/>
          <w:color w:val="000000"/>
        </w:rPr>
        <w:t>:</w:t>
      </w:r>
      <w:r w:rsidRPr="003B496E">
        <w:rPr>
          <w:i/>
          <w:iCs/>
          <w:color w:val="000000"/>
        </w:rPr>
        <w:t xml:space="preserve"> Constructs and loadings under Dimension 3</w:t>
      </w:r>
    </w:p>
    <w:tbl>
      <w:tblPr>
        <w:tblW w:w="0" w:type="auto"/>
        <w:tblCellMar>
          <w:top w:w="15" w:type="dxa"/>
          <w:left w:w="15" w:type="dxa"/>
          <w:bottom w:w="15" w:type="dxa"/>
          <w:right w:w="15" w:type="dxa"/>
        </w:tblCellMar>
        <w:tblLook w:val="04A0" w:firstRow="1" w:lastRow="0" w:firstColumn="1" w:lastColumn="0" w:noHBand="0" w:noVBand="1"/>
      </w:tblPr>
      <w:tblGrid>
        <w:gridCol w:w="2119"/>
        <w:gridCol w:w="3685"/>
        <w:gridCol w:w="851"/>
        <w:gridCol w:w="2693"/>
        <w:gridCol w:w="1333"/>
      </w:tblGrid>
      <w:tr w:rsidR="00533140" w:rsidRPr="00533140" w14:paraId="1F9E49F9" w14:textId="77777777" w:rsidTr="003B496E">
        <w:trPr>
          <w:trHeight w:val="420"/>
        </w:trPr>
        <w:tc>
          <w:tcPr>
            <w:tcW w:w="2119" w:type="dxa"/>
            <w:tcBorders>
              <w:top w:val="single" w:sz="6" w:space="0" w:color="000000"/>
              <w:left w:val="single" w:sz="6" w:space="0" w:color="000000"/>
              <w:bottom w:val="single" w:sz="6" w:space="0" w:color="000000"/>
              <w:right w:val="single" w:sz="6" w:space="0" w:color="000000"/>
            </w:tcBorders>
            <w:hideMark/>
          </w:tcPr>
          <w:p w14:paraId="2A45972B" w14:textId="77777777" w:rsidR="00533140" w:rsidRPr="00533140" w:rsidRDefault="00533140" w:rsidP="003B496E">
            <w:pPr>
              <w:pStyle w:val="NormalWeb"/>
              <w:spacing w:before="480" w:after="480"/>
              <w:jc w:val="center"/>
              <w:rPr>
                <w:color w:val="000000"/>
              </w:rPr>
            </w:pPr>
            <w:r w:rsidRPr="00533140">
              <w:rPr>
                <w:b/>
                <w:bCs/>
                <w:color w:val="000000"/>
              </w:rPr>
              <w:t>Dimension</w:t>
            </w:r>
          </w:p>
        </w:tc>
        <w:tc>
          <w:tcPr>
            <w:tcW w:w="3685" w:type="dxa"/>
            <w:tcBorders>
              <w:top w:val="single" w:sz="6" w:space="0" w:color="000000"/>
              <w:left w:val="single" w:sz="6" w:space="0" w:color="000000"/>
              <w:bottom w:val="single" w:sz="6" w:space="0" w:color="000000"/>
              <w:right w:val="single" w:sz="6" w:space="0" w:color="000000"/>
            </w:tcBorders>
            <w:hideMark/>
          </w:tcPr>
          <w:p w14:paraId="4AC5099D" w14:textId="77777777" w:rsidR="00533140" w:rsidRPr="00533140" w:rsidRDefault="00533140" w:rsidP="003B496E">
            <w:pPr>
              <w:pStyle w:val="NormalWeb"/>
              <w:spacing w:before="480" w:after="480"/>
              <w:jc w:val="center"/>
              <w:rPr>
                <w:color w:val="000000"/>
              </w:rPr>
            </w:pPr>
            <w:r w:rsidRPr="00533140">
              <w:rPr>
                <w:b/>
                <w:bCs/>
                <w:color w:val="000000"/>
              </w:rPr>
              <w:t>Description</w:t>
            </w:r>
          </w:p>
        </w:tc>
        <w:tc>
          <w:tcPr>
            <w:tcW w:w="851" w:type="dxa"/>
            <w:tcBorders>
              <w:top w:val="single" w:sz="6" w:space="0" w:color="000000"/>
              <w:left w:val="single" w:sz="6" w:space="0" w:color="000000"/>
              <w:bottom w:val="single" w:sz="6" w:space="0" w:color="000000"/>
              <w:right w:val="single" w:sz="6" w:space="0" w:color="000000"/>
            </w:tcBorders>
            <w:hideMark/>
          </w:tcPr>
          <w:p w14:paraId="040EA055" w14:textId="77777777" w:rsidR="00533140" w:rsidRPr="00533140" w:rsidRDefault="00533140" w:rsidP="003B496E">
            <w:pPr>
              <w:pStyle w:val="NormalWeb"/>
              <w:spacing w:before="480" w:after="480"/>
              <w:jc w:val="center"/>
              <w:rPr>
                <w:color w:val="000000"/>
              </w:rPr>
            </w:pPr>
            <w:r w:rsidRPr="00533140">
              <w:rPr>
                <w:b/>
                <w:bCs/>
                <w:color w:val="000000"/>
              </w:rPr>
              <w:t>Item</w:t>
            </w:r>
          </w:p>
        </w:tc>
        <w:tc>
          <w:tcPr>
            <w:tcW w:w="2693" w:type="dxa"/>
            <w:tcBorders>
              <w:top w:val="single" w:sz="6" w:space="0" w:color="000000"/>
              <w:left w:val="single" w:sz="6" w:space="0" w:color="000000"/>
              <w:bottom w:val="single" w:sz="6" w:space="0" w:color="000000"/>
              <w:right w:val="single" w:sz="6" w:space="0" w:color="000000"/>
            </w:tcBorders>
            <w:hideMark/>
          </w:tcPr>
          <w:p w14:paraId="40299D9E" w14:textId="77777777" w:rsidR="00533140" w:rsidRPr="00533140" w:rsidRDefault="00533140" w:rsidP="003B496E">
            <w:pPr>
              <w:pStyle w:val="NormalWeb"/>
              <w:spacing w:before="480" w:after="480"/>
              <w:jc w:val="center"/>
              <w:rPr>
                <w:color w:val="000000"/>
              </w:rPr>
            </w:pPr>
            <w:r w:rsidRPr="00533140">
              <w:rPr>
                <w:b/>
                <w:bCs/>
                <w:color w:val="000000"/>
              </w:rPr>
              <w:t>Constructs</w:t>
            </w:r>
          </w:p>
        </w:tc>
        <w:tc>
          <w:tcPr>
            <w:tcW w:w="1333" w:type="dxa"/>
            <w:tcBorders>
              <w:top w:val="single" w:sz="6" w:space="0" w:color="000000"/>
              <w:left w:val="single" w:sz="6" w:space="0" w:color="000000"/>
              <w:bottom w:val="single" w:sz="6" w:space="0" w:color="000000"/>
              <w:right w:val="single" w:sz="6" w:space="0" w:color="000000"/>
            </w:tcBorders>
            <w:hideMark/>
          </w:tcPr>
          <w:p w14:paraId="17908DD8" w14:textId="77777777" w:rsidR="00533140" w:rsidRPr="00533140" w:rsidRDefault="00533140" w:rsidP="003B496E">
            <w:pPr>
              <w:pStyle w:val="NormalWeb"/>
              <w:spacing w:before="480" w:after="480"/>
              <w:jc w:val="center"/>
              <w:rPr>
                <w:color w:val="000000"/>
              </w:rPr>
            </w:pPr>
            <w:r w:rsidRPr="00533140">
              <w:rPr>
                <w:b/>
                <w:bCs/>
                <w:color w:val="000000"/>
              </w:rPr>
              <w:t>Loadings</w:t>
            </w:r>
          </w:p>
        </w:tc>
      </w:tr>
      <w:tr w:rsidR="00533140" w:rsidRPr="00533140" w14:paraId="66D937DE" w14:textId="77777777" w:rsidTr="003B496E">
        <w:trPr>
          <w:trHeight w:val="480"/>
        </w:trPr>
        <w:tc>
          <w:tcPr>
            <w:tcW w:w="2119" w:type="dxa"/>
            <w:vMerge w:val="restart"/>
            <w:tcBorders>
              <w:top w:val="single" w:sz="6" w:space="0" w:color="000000"/>
              <w:left w:val="single" w:sz="6" w:space="0" w:color="000000"/>
              <w:bottom w:val="single" w:sz="6" w:space="0" w:color="000000"/>
              <w:right w:val="single" w:sz="6" w:space="0" w:color="000000"/>
            </w:tcBorders>
            <w:hideMark/>
          </w:tcPr>
          <w:p w14:paraId="16889945" w14:textId="77777777" w:rsidR="00533140" w:rsidRPr="00533140" w:rsidRDefault="00533140" w:rsidP="003B496E">
            <w:pPr>
              <w:pStyle w:val="NormalWeb"/>
              <w:spacing w:before="480" w:after="480"/>
              <w:jc w:val="center"/>
              <w:rPr>
                <w:color w:val="000000"/>
              </w:rPr>
            </w:pPr>
            <w:r w:rsidRPr="00533140">
              <w:rPr>
                <w:color w:val="000000"/>
              </w:rPr>
              <w:t>Equity and Access Discontent</w:t>
            </w:r>
          </w:p>
        </w:tc>
        <w:tc>
          <w:tcPr>
            <w:tcW w:w="3685" w:type="dxa"/>
            <w:vMerge w:val="restart"/>
            <w:tcBorders>
              <w:top w:val="single" w:sz="6" w:space="0" w:color="000000"/>
              <w:left w:val="single" w:sz="6" w:space="0" w:color="000000"/>
              <w:bottom w:val="single" w:sz="6" w:space="0" w:color="000000"/>
              <w:right w:val="single" w:sz="6" w:space="0" w:color="000000"/>
            </w:tcBorders>
            <w:hideMark/>
          </w:tcPr>
          <w:p w14:paraId="116CAE4E" w14:textId="77777777" w:rsidR="00533140" w:rsidRPr="00533140" w:rsidRDefault="00533140" w:rsidP="003B496E">
            <w:pPr>
              <w:pStyle w:val="NormalWeb"/>
              <w:spacing w:before="480" w:after="480"/>
              <w:jc w:val="both"/>
              <w:rPr>
                <w:color w:val="000000"/>
              </w:rPr>
            </w:pPr>
            <w:r w:rsidRPr="00533140">
              <w:rPr>
                <w:color w:val="000000"/>
              </w:rPr>
              <w:t>Represents concerns about unfair distribution, favoritism, and selective accessibility, especially when political ties or social connections influence eligibility over genuine need.</w:t>
            </w:r>
          </w:p>
        </w:tc>
        <w:tc>
          <w:tcPr>
            <w:tcW w:w="851" w:type="dxa"/>
            <w:tcBorders>
              <w:top w:val="single" w:sz="6" w:space="0" w:color="000000"/>
              <w:left w:val="single" w:sz="6" w:space="0" w:color="000000"/>
              <w:bottom w:val="single" w:sz="6" w:space="0" w:color="000000"/>
              <w:right w:val="single" w:sz="6" w:space="0" w:color="000000"/>
            </w:tcBorders>
            <w:hideMark/>
          </w:tcPr>
          <w:p w14:paraId="1167AFB2" w14:textId="77777777" w:rsidR="00533140" w:rsidRPr="00533140" w:rsidRDefault="00533140" w:rsidP="003B496E">
            <w:pPr>
              <w:pStyle w:val="NormalWeb"/>
              <w:spacing w:before="480" w:after="480"/>
              <w:jc w:val="center"/>
              <w:rPr>
                <w:color w:val="000000"/>
              </w:rPr>
            </w:pPr>
            <w:r w:rsidRPr="00533140">
              <w:rPr>
                <w:color w:val="000000"/>
              </w:rPr>
              <w:t>10</w:t>
            </w:r>
          </w:p>
        </w:tc>
        <w:tc>
          <w:tcPr>
            <w:tcW w:w="2693" w:type="dxa"/>
            <w:tcBorders>
              <w:top w:val="single" w:sz="6" w:space="0" w:color="000000"/>
              <w:left w:val="single" w:sz="6" w:space="0" w:color="000000"/>
              <w:bottom w:val="single" w:sz="6" w:space="0" w:color="000000"/>
              <w:right w:val="single" w:sz="6" w:space="0" w:color="000000"/>
            </w:tcBorders>
            <w:hideMark/>
          </w:tcPr>
          <w:p w14:paraId="51CBEC78" w14:textId="77777777" w:rsidR="00533140" w:rsidRPr="00533140" w:rsidRDefault="00533140" w:rsidP="003B496E">
            <w:pPr>
              <w:pStyle w:val="NormalWeb"/>
              <w:spacing w:before="480" w:after="480"/>
              <w:rPr>
                <w:color w:val="000000"/>
              </w:rPr>
            </w:pPr>
            <w:r w:rsidRPr="00533140">
              <w:rPr>
                <w:color w:val="000000"/>
              </w:rPr>
              <w:t>sometimes given based on who you know, not what you need.</w:t>
            </w:r>
          </w:p>
        </w:tc>
        <w:tc>
          <w:tcPr>
            <w:tcW w:w="1333" w:type="dxa"/>
            <w:tcBorders>
              <w:top w:val="single" w:sz="6" w:space="0" w:color="000000"/>
              <w:left w:val="single" w:sz="6" w:space="0" w:color="000000"/>
              <w:bottom w:val="single" w:sz="6" w:space="0" w:color="000000"/>
              <w:right w:val="single" w:sz="6" w:space="0" w:color="000000"/>
            </w:tcBorders>
            <w:hideMark/>
          </w:tcPr>
          <w:p w14:paraId="173BA943" w14:textId="77777777" w:rsidR="00533140" w:rsidRPr="00533140" w:rsidRDefault="00533140" w:rsidP="003B496E">
            <w:pPr>
              <w:pStyle w:val="NormalWeb"/>
              <w:spacing w:before="480" w:after="480"/>
              <w:jc w:val="center"/>
              <w:rPr>
                <w:color w:val="000000"/>
              </w:rPr>
            </w:pPr>
            <w:r w:rsidRPr="00533140">
              <w:rPr>
                <w:color w:val="000000"/>
              </w:rPr>
              <w:t>0.79</w:t>
            </w:r>
          </w:p>
        </w:tc>
      </w:tr>
      <w:tr w:rsidR="00533140" w:rsidRPr="00533140" w14:paraId="4DF393F3"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36413942"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7F3E6B3F"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18A53AAA" w14:textId="77777777" w:rsidR="00533140" w:rsidRPr="00533140" w:rsidRDefault="00533140" w:rsidP="003B496E">
            <w:pPr>
              <w:pStyle w:val="NormalWeb"/>
              <w:spacing w:before="480" w:after="480"/>
              <w:jc w:val="center"/>
              <w:rPr>
                <w:color w:val="000000"/>
              </w:rPr>
            </w:pPr>
            <w:r w:rsidRPr="00533140">
              <w:rPr>
                <w:color w:val="000000"/>
              </w:rPr>
              <w:t>20</w:t>
            </w:r>
          </w:p>
        </w:tc>
        <w:tc>
          <w:tcPr>
            <w:tcW w:w="2693" w:type="dxa"/>
            <w:tcBorders>
              <w:top w:val="single" w:sz="6" w:space="0" w:color="000000"/>
              <w:left w:val="single" w:sz="6" w:space="0" w:color="000000"/>
              <w:bottom w:val="single" w:sz="6" w:space="0" w:color="000000"/>
              <w:right w:val="single" w:sz="6" w:space="0" w:color="000000"/>
            </w:tcBorders>
            <w:hideMark/>
          </w:tcPr>
          <w:p w14:paraId="15C83918" w14:textId="77777777" w:rsidR="00533140" w:rsidRPr="00533140" w:rsidRDefault="00533140" w:rsidP="003B496E">
            <w:pPr>
              <w:pStyle w:val="NormalWeb"/>
              <w:spacing w:before="480" w:after="480"/>
              <w:rPr>
                <w:color w:val="000000"/>
              </w:rPr>
            </w:pPr>
            <w:r w:rsidRPr="00533140">
              <w:rPr>
                <w:color w:val="000000"/>
              </w:rPr>
              <w:t>easier to access if you are related to someone in charge.</w:t>
            </w:r>
          </w:p>
        </w:tc>
        <w:tc>
          <w:tcPr>
            <w:tcW w:w="1333" w:type="dxa"/>
            <w:tcBorders>
              <w:top w:val="single" w:sz="6" w:space="0" w:color="000000"/>
              <w:left w:val="single" w:sz="6" w:space="0" w:color="000000"/>
              <w:bottom w:val="single" w:sz="6" w:space="0" w:color="000000"/>
              <w:right w:val="single" w:sz="6" w:space="0" w:color="000000"/>
            </w:tcBorders>
            <w:hideMark/>
          </w:tcPr>
          <w:p w14:paraId="3D42FD13" w14:textId="77777777" w:rsidR="00533140" w:rsidRPr="00533140" w:rsidRDefault="00533140" w:rsidP="003B496E">
            <w:pPr>
              <w:pStyle w:val="NormalWeb"/>
              <w:spacing w:before="480" w:after="480"/>
              <w:jc w:val="center"/>
              <w:rPr>
                <w:color w:val="000000"/>
              </w:rPr>
            </w:pPr>
            <w:r w:rsidRPr="00533140">
              <w:rPr>
                <w:color w:val="000000"/>
              </w:rPr>
              <w:t>0.779</w:t>
            </w:r>
          </w:p>
        </w:tc>
      </w:tr>
      <w:tr w:rsidR="00533140" w:rsidRPr="00533140" w14:paraId="0A9774E9"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147FA726"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003C166E"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1C35213A" w14:textId="77777777" w:rsidR="00533140" w:rsidRPr="00533140" w:rsidRDefault="00533140" w:rsidP="003B496E">
            <w:pPr>
              <w:pStyle w:val="NormalWeb"/>
              <w:spacing w:before="480" w:after="480"/>
              <w:jc w:val="center"/>
              <w:rPr>
                <w:color w:val="000000"/>
              </w:rPr>
            </w:pPr>
            <w:r w:rsidRPr="00533140">
              <w:rPr>
                <w:color w:val="000000"/>
              </w:rPr>
              <w:t>22</w:t>
            </w:r>
          </w:p>
        </w:tc>
        <w:tc>
          <w:tcPr>
            <w:tcW w:w="2693" w:type="dxa"/>
            <w:tcBorders>
              <w:top w:val="single" w:sz="6" w:space="0" w:color="000000"/>
              <w:left w:val="single" w:sz="6" w:space="0" w:color="000000"/>
              <w:bottom w:val="single" w:sz="6" w:space="0" w:color="000000"/>
              <w:right w:val="single" w:sz="6" w:space="0" w:color="000000"/>
            </w:tcBorders>
            <w:hideMark/>
          </w:tcPr>
          <w:p w14:paraId="3D486871" w14:textId="77777777" w:rsidR="00533140" w:rsidRPr="00533140" w:rsidRDefault="00533140" w:rsidP="003B496E">
            <w:pPr>
              <w:pStyle w:val="NormalWeb"/>
              <w:spacing w:before="480" w:after="480"/>
              <w:rPr>
                <w:color w:val="000000"/>
              </w:rPr>
            </w:pPr>
            <w:r w:rsidRPr="00533140">
              <w:rPr>
                <w:color w:val="000000"/>
              </w:rPr>
              <w:t xml:space="preserve">questionable when I see the same families getting it </w:t>
            </w:r>
            <w:proofErr w:type="gramStart"/>
            <w:r w:rsidRPr="00533140">
              <w:rPr>
                <w:color w:val="000000"/>
              </w:rPr>
              <w:t>over and over</w:t>
            </w:r>
            <w:proofErr w:type="gramEnd"/>
            <w:r w:rsidRPr="00533140">
              <w:rPr>
                <w:color w:val="000000"/>
              </w:rPr>
              <w:t>.</w:t>
            </w:r>
          </w:p>
        </w:tc>
        <w:tc>
          <w:tcPr>
            <w:tcW w:w="1333" w:type="dxa"/>
            <w:tcBorders>
              <w:top w:val="single" w:sz="6" w:space="0" w:color="000000"/>
              <w:left w:val="single" w:sz="6" w:space="0" w:color="000000"/>
              <w:bottom w:val="single" w:sz="6" w:space="0" w:color="000000"/>
              <w:right w:val="single" w:sz="6" w:space="0" w:color="000000"/>
            </w:tcBorders>
            <w:hideMark/>
          </w:tcPr>
          <w:p w14:paraId="1DDB8C06" w14:textId="77777777" w:rsidR="00533140" w:rsidRPr="00533140" w:rsidRDefault="00533140" w:rsidP="003B496E">
            <w:pPr>
              <w:pStyle w:val="NormalWeb"/>
              <w:spacing w:before="480" w:after="480"/>
              <w:jc w:val="center"/>
              <w:rPr>
                <w:color w:val="000000"/>
              </w:rPr>
            </w:pPr>
            <w:r w:rsidRPr="00533140">
              <w:rPr>
                <w:color w:val="000000"/>
              </w:rPr>
              <w:t>0.754</w:t>
            </w:r>
          </w:p>
        </w:tc>
      </w:tr>
      <w:tr w:rsidR="00533140" w:rsidRPr="00533140" w14:paraId="78FAD44F"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6F6CC0FE"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3A34D2E0"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178AA5EE" w14:textId="77777777" w:rsidR="00533140" w:rsidRPr="00533140" w:rsidRDefault="00533140" w:rsidP="003B496E">
            <w:pPr>
              <w:pStyle w:val="NormalWeb"/>
              <w:spacing w:before="480" w:after="480"/>
              <w:jc w:val="center"/>
              <w:rPr>
                <w:color w:val="000000"/>
              </w:rPr>
            </w:pPr>
            <w:r w:rsidRPr="00533140">
              <w:rPr>
                <w:color w:val="000000"/>
              </w:rPr>
              <w:t>4</w:t>
            </w:r>
          </w:p>
        </w:tc>
        <w:tc>
          <w:tcPr>
            <w:tcW w:w="2693" w:type="dxa"/>
            <w:tcBorders>
              <w:top w:val="single" w:sz="6" w:space="0" w:color="000000"/>
              <w:left w:val="single" w:sz="6" w:space="0" w:color="000000"/>
              <w:bottom w:val="single" w:sz="6" w:space="0" w:color="000000"/>
              <w:right w:val="single" w:sz="6" w:space="0" w:color="000000"/>
            </w:tcBorders>
            <w:hideMark/>
          </w:tcPr>
          <w:p w14:paraId="3D0C6B09" w14:textId="77777777" w:rsidR="00533140" w:rsidRPr="00533140" w:rsidRDefault="00533140" w:rsidP="003B496E">
            <w:pPr>
              <w:pStyle w:val="NormalWeb"/>
              <w:spacing w:before="480" w:after="480"/>
              <w:rPr>
                <w:color w:val="000000"/>
              </w:rPr>
            </w:pPr>
            <w:r w:rsidRPr="00533140">
              <w:rPr>
                <w:color w:val="000000"/>
              </w:rPr>
              <w:t>unfair when some people are left out even if they are in need.</w:t>
            </w:r>
          </w:p>
        </w:tc>
        <w:tc>
          <w:tcPr>
            <w:tcW w:w="1333" w:type="dxa"/>
            <w:tcBorders>
              <w:top w:val="single" w:sz="6" w:space="0" w:color="000000"/>
              <w:left w:val="single" w:sz="6" w:space="0" w:color="000000"/>
              <w:bottom w:val="single" w:sz="6" w:space="0" w:color="000000"/>
              <w:right w:val="single" w:sz="6" w:space="0" w:color="000000"/>
            </w:tcBorders>
            <w:hideMark/>
          </w:tcPr>
          <w:p w14:paraId="20730E5D" w14:textId="77777777" w:rsidR="00533140" w:rsidRPr="00533140" w:rsidRDefault="00533140" w:rsidP="003B496E">
            <w:pPr>
              <w:pStyle w:val="NormalWeb"/>
              <w:spacing w:before="480" w:after="480"/>
              <w:jc w:val="center"/>
              <w:rPr>
                <w:color w:val="000000"/>
              </w:rPr>
            </w:pPr>
            <w:r w:rsidRPr="00533140">
              <w:rPr>
                <w:color w:val="000000"/>
              </w:rPr>
              <w:t>0.745</w:t>
            </w:r>
          </w:p>
        </w:tc>
      </w:tr>
      <w:tr w:rsidR="00533140" w:rsidRPr="00533140" w14:paraId="4A1532B3" w14:textId="77777777" w:rsidTr="003B496E">
        <w:trPr>
          <w:trHeight w:val="525"/>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49AFC253"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76BECC15"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10A82AFB" w14:textId="77777777" w:rsidR="00533140" w:rsidRPr="00533140" w:rsidRDefault="00533140" w:rsidP="003B496E">
            <w:pPr>
              <w:pStyle w:val="NormalWeb"/>
              <w:spacing w:before="480" w:after="480"/>
              <w:jc w:val="center"/>
              <w:rPr>
                <w:color w:val="000000"/>
              </w:rPr>
            </w:pPr>
            <w:r w:rsidRPr="00533140">
              <w:rPr>
                <w:color w:val="000000"/>
              </w:rPr>
              <w:t>21</w:t>
            </w:r>
          </w:p>
        </w:tc>
        <w:tc>
          <w:tcPr>
            <w:tcW w:w="2693" w:type="dxa"/>
            <w:tcBorders>
              <w:top w:val="single" w:sz="6" w:space="0" w:color="000000"/>
              <w:left w:val="single" w:sz="6" w:space="0" w:color="000000"/>
              <w:bottom w:val="single" w:sz="6" w:space="0" w:color="000000"/>
              <w:right w:val="single" w:sz="6" w:space="0" w:color="000000"/>
            </w:tcBorders>
            <w:hideMark/>
          </w:tcPr>
          <w:p w14:paraId="1E85A1A6" w14:textId="77777777" w:rsidR="00533140" w:rsidRPr="00533140" w:rsidRDefault="00533140" w:rsidP="003B496E">
            <w:pPr>
              <w:pStyle w:val="NormalWeb"/>
              <w:spacing w:before="480" w:after="480"/>
              <w:rPr>
                <w:color w:val="000000"/>
              </w:rPr>
            </w:pPr>
            <w:r w:rsidRPr="00533140">
              <w:rPr>
                <w:color w:val="000000"/>
              </w:rPr>
              <w:t>not equally accessible to everyone in our neighborhood</w:t>
            </w:r>
          </w:p>
        </w:tc>
        <w:tc>
          <w:tcPr>
            <w:tcW w:w="1333" w:type="dxa"/>
            <w:tcBorders>
              <w:top w:val="single" w:sz="6" w:space="0" w:color="000000"/>
              <w:left w:val="single" w:sz="6" w:space="0" w:color="000000"/>
              <w:bottom w:val="single" w:sz="6" w:space="0" w:color="000000"/>
              <w:right w:val="single" w:sz="6" w:space="0" w:color="000000"/>
            </w:tcBorders>
            <w:hideMark/>
          </w:tcPr>
          <w:p w14:paraId="07971534" w14:textId="77777777" w:rsidR="00533140" w:rsidRPr="00533140" w:rsidRDefault="00533140" w:rsidP="003B496E">
            <w:pPr>
              <w:pStyle w:val="NormalWeb"/>
              <w:spacing w:before="480" w:after="480"/>
              <w:jc w:val="center"/>
              <w:rPr>
                <w:color w:val="000000"/>
              </w:rPr>
            </w:pPr>
            <w:r w:rsidRPr="00533140">
              <w:rPr>
                <w:color w:val="000000"/>
              </w:rPr>
              <w:t>0.735</w:t>
            </w:r>
          </w:p>
        </w:tc>
      </w:tr>
      <w:tr w:rsidR="00533140" w:rsidRPr="00533140" w14:paraId="2CABF40F"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2A46C975"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78AB4B77"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5E7B1CC0" w14:textId="77777777" w:rsidR="00533140" w:rsidRPr="00533140" w:rsidRDefault="00533140" w:rsidP="003B496E">
            <w:pPr>
              <w:pStyle w:val="NormalWeb"/>
              <w:spacing w:before="480" w:after="480"/>
              <w:jc w:val="center"/>
              <w:rPr>
                <w:color w:val="000000"/>
              </w:rPr>
            </w:pPr>
            <w:r w:rsidRPr="00533140">
              <w:rPr>
                <w:color w:val="000000"/>
              </w:rPr>
              <w:t>28</w:t>
            </w:r>
          </w:p>
        </w:tc>
        <w:tc>
          <w:tcPr>
            <w:tcW w:w="2693" w:type="dxa"/>
            <w:tcBorders>
              <w:top w:val="single" w:sz="6" w:space="0" w:color="000000"/>
              <w:left w:val="single" w:sz="6" w:space="0" w:color="000000"/>
              <w:bottom w:val="single" w:sz="6" w:space="0" w:color="000000"/>
              <w:right w:val="single" w:sz="6" w:space="0" w:color="000000"/>
            </w:tcBorders>
            <w:hideMark/>
          </w:tcPr>
          <w:p w14:paraId="340AC9CB" w14:textId="77777777" w:rsidR="00533140" w:rsidRPr="00533140" w:rsidRDefault="00533140" w:rsidP="003B496E">
            <w:pPr>
              <w:pStyle w:val="NormalWeb"/>
              <w:spacing w:before="480" w:after="480"/>
              <w:rPr>
                <w:color w:val="000000"/>
              </w:rPr>
            </w:pPr>
            <w:r w:rsidRPr="00533140">
              <w:rPr>
                <w:color w:val="000000"/>
              </w:rPr>
              <w:t>unfair when families who are well-off still receive it.</w:t>
            </w:r>
          </w:p>
        </w:tc>
        <w:tc>
          <w:tcPr>
            <w:tcW w:w="1333" w:type="dxa"/>
            <w:tcBorders>
              <w:top w:val="single" w:sz="6" w:space="0" w:color="000000"/>
              <w:left w:val="single" w:sz="6" w:space="0" w:color="000000"/>
              <w:bottom w:val="single" w:sz="6" w:space="0" w:color="000000"/>
              <w:right w:val="single" w:sz="6" w:space="0" w:color="000000"/>
            </w:tcBorders>
            <w:hideMark/>
          </w:tcPr>
          <w:p w14:paraId="1CEC34A2" w14:textId="77777777" w:rsidR="00533140" w:rsidRPr="00533140" w:rsidRDefault="00533140" w:rsidP="003B496E">
            <w:pPr>
              <w:pStyle w:val="NormalWeb"/>
              <w:spacing w:before="480" w:after="480"/>
              <w:jc w:val="center"/>
              <w:rPr>
                <w:color w:val="000000"/>
              </w:rPr>
            </w:pPr>
            <w:r w:rsidRPr="00533140">
              <w:rPr>
                <w:color w:val="000000"/>
              </w:rPr>
              <w:t>0.733</w:t>
            </w:r>
          </w:p>
        </w:tc>
      </w:tr>
      <w:tr w:rsidR="00533140" w:rsidRPr="00533140" w14:paraId="0C65AB3F"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5BBEA8AE"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3C5A151F"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66E90E0A" w14:textId="77777777" w:rsidR="00533140" w:rsidRPr="00533140" w:rsidRDefault="00533140" w:rsidP="003B496E">
            <w:pPr>
              <w:pStyle w:val="NormalWeb"/>
              <w:spacing w:before="480" w:after="480"/>
              <w:jc w:val="center"/>
              <w:rPr>
                <w:color w:val="000000"/>
              </w:rPr>
            </w:pPr>
            <w:r w:rsidRPr="00533140">
              <w:rPr>
                <w:color w:val="000000"/>
              </w:rPr>
              <w:t>5</w:t>
            </w:r>
          </w:p>
        </w:tc>
        <w:tc>
          <w:tcPr>
            <w:tcW w:w="2693" w:type="dxa"/>
            <w:tcBorders>
              <w:top w:val="single" w:sz="6" w:space="0" w:color="000000"/>
              <w:left w:val="single" w:sz="6" w:space="0" w:color="000000"/>
              <w:bottom w:val="single" w:sz="6" w:space="0" w:color="000000"/>
              <w:right w:val="single" w:sz="6" w:space="0" w:color="000000"/>
            </w:tcBorders>
            <w:hideMark/>
          </w:tcPr>
          <w:p w14:paraId="15CC964A" w14:textId="77777777" w:rsidR="00533140" w:rsidRPr="00533140" w:rsidRDefault="00533140" w:rsidP="003B496E">
            <w:pPr>
              <w:pStyle w:val="NormalWeb"/>
              <w:spacing w:before="480" w:after="480"/>
              <w:rPr>
                <w:color w:val="000000"/>
              </w:rPr>
            </w:pPr>
            <w:r w:rsidRPr="00533140">
              <w:rPr>
                <w:color w:val="000000"/>
              </w:rPr>
              <w:t xml:space="preserve">good </w:t>
            </w:r>
            <w:proofErr w:type="gramStart"/>
            <w:r w:rsidRPr="00533140">
              <w:rPr>
                <w:color w:val="000000"/>
              </w:rPr>
              <w:t>as long as</w:t>
            </w:r>
            <w:proofErr w:type="gramEnd"/>
            <w:r w:rsidRPr="00533140">
              <w:rPr>
                <w:color w:val="000000"/>
              </w:rPr>
              <w:t xml:space="preserve"> it is not selective or biased.</w:t>
            </w:r>
          </w:p>
        </w:tc>
        <w:tc>
          <w:tcPr>
            <w:tcW w:w="1333" w:type="dxa"/>
            <w:tcBorders>
              <w:top w:val="single" w:sz="6" w:space="0" w:color="000000"/>
              <w:left w:val="single" w:sz="6" w:space="0" w:color="000000"/>
              <w:bottom w:val="single" w:sz="6" w:space="0" w:color="000000"/>
              <w:right w:val="single" w:sz="6" w:space="0" w:color="000000"/>
            </w:tcBorders>
            <w:hideMark/>
          </w:tcPr>
          <w:p w14:paraId="64AE43A3" w14:textId="77777777" w:rsidR="00533140" w:rsidRPr="00533140" w:rsidRDefault="00533140" w:rsidP="003B496E">
            <w:pPr>
              <w:pStyle w:val="NormalWeb"/>
              <w:spacing w:before="480" w:after="480"/>
              <w:jc w:val="center"/>
              <w:rPr>
                <w:color w:val="000000"/>
              </w:rPr>
            </w:pPr>
            <w:r w:rsidRPr="00533140">
              <w:rPr>
                <w:color w:val="000000"/>
              </w:rPr>
              <w:t>0.726</w:t>
            </w:r>
          </w:p>
        </w:tc>
      </w:tr>
      <w:tr w:rsidR="00533140" w:rsidRPr="00533140" w14:paraId="55B4F2CC"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336739FF"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1A28C8A0"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29A56590" w14:textId="77777777" w:rsidR="00533140" w:rsidRPr="00533140" w:rsidRDefault="00533140" w:rsidP="003B496E">
            <w:pPr>
              <w:pStyle w:val="NormalWeb"/>
              <w:spacing w:before="480" w:after="480"/>
              <w:jc w:val="center"/>
              <w:rPr>
                <w:color w:val="000000"/>
              </w:rPr>
            </w:pPr>
            <w:r w:rsidRPr="00533140">
              <w:rPr>
                <w:color w:val="000000"/>
              </w:rPr>
              <w:t>1</w:t>
            </w:r>
          </w:p>
        </w:tc>
        <w:tc>
          <w:tcPr>
            <w:tcW w:w="2693" w:type="dxa"/>
            <w:tcBorders>
              <w:top w:val="single" w:sz="6" w:space="0" w:color="000000"/>
              <w:left w:val="single" w:sz="6" w:space="0" w:color="000000"/>
              <w:bottom w:val="single" w:sz="6" w:space="0" w:color="000000"/>
              <w:right w:val="single" w:sz="6" w:space="0" w:color="000000"/>
            </w:tcBorders>
            <w:hideMark/>
          </w:tcPr>
          <w:p w14:paraId="49360B12" w14:textId="77777777" w:rsidR="00533140" w:rsidRPr="00533140" w:rsidRDefault="00533140" w:rsidP="003B496E">
            <w:pPr>
              <w:pStyle w:val="NormalWeb"/>
              <w:spacing w:before="480" w:after="480"/>
              <w:rPr>
                <w:color w:val="000000"/>
              </w:rPr>
            </w:pPr>
            <w:r w:rsidRPr="00533140">
              <w:rPr>
                <w:color w:val="000000"/>
              </w:rPr>
              <w:t>sometimes distributed based on favoritism.</w:t>
            </w:r>
          </w:p>
        </w:tc>
        <w:tc>
          <w:tcPr>
            <w:tcW w:w="1333" w:type="dxa"/>
            <w:tcBorders>
              <w:top w:val="single" w:sz="6" w:space="0" w:color="000000"/>
              <w:left w:val="single" w:sz="6" w:space="0" w:color="000000"/>
              <w:bottom w:val="single" w:sz="6" w:space="0" w:color="000000"/>
              <w:right w:val="single" w:sz="6" w:space="0" w:color="000000"/>
            </w:tcBorders>
            <w:hideMark/>
          </w:tcPr>
          <w:p w14:paraId="39538F80" w14:textId="77777777" w:rsidR="00533140" w:rsidRPr="00533140" w:rsidRDefault="00533140" w:rsidP="003B496E">
            <w:pPr>
              <w:pStyle w:val="NormalWeb"/>
              <w:spacing w:before="480" w:after="480"/>
              <w:jc w:val="center"/>
              <w:rPr>
                <w:color w:val="000000"/>
              </w:rPr>
            </w:pPr>
            <w:r w:rsidRPr="00533140">
              <w:rPr>
                <w:color w:val="000000"/>
              </w:rPr>
              <w:t>0.69</w:t>
            </w:r>
          </w:p>
        </w:tc>
      </w:tr>
    </w:tbl>
    <w:p w14:paraId="19D35906" w14:textId="6DDE3EAA" w:rsidR="00533140" w:rsidRPr="00533140" w:rsidRDefault="00533140" w:rsidP="003B496E">
      <w:pPr>
        <w:pStyle w:val="NormalWeb"/>
        <w:spacing w:before="480" w:after="480"/>
        <w:ind w:firstLine="720"/>
        <w:jc w:val="both"/>
        <w:rPr>
          <w:color w:val="000000"/>
        </w:rPr>
      </w:pPr>
      <w:r w:rsidRPr="00533140">
        <w:rPr>
          <w:color w:val="000000"/>
        </w:rPr>
        <w:t>Dimension 4</w:t>
      </w:r>
      <w:r w:rsidR="003B496E">
        <w:rPr>
          <w:color w:val="000000"/>
        </w:rPr>
        <w:t>:</w:t>
      </w:r>
      <w:r w:rsidRPr="00533140">
        <w:rPr>
          <w:color w:val="000000"/>
        </w:rPr>
        <w:t xml:space="preserve"> </w:t>
      </w:r>
      <w:r w:rsidRPr="00533140">
        <w:rPr>
          <w:i/>
          <w:iCs/>
          <w:color w:val="000000"/>
        </w:rPr>
        <w:t>Contingent Dependency Framing.</w:t>
      </w:r>
      <w:r w:rsidRPr="00533140">
        <w:rPr>
          <w:color w:val="000000"/>
        </w:rPr>
        <w:t xml:space="preserve"> Dimension 4 identified 6 items with coefficients ranging from 0.79 to 0.748, as depicted in Table 9. It represents different degrees of correlation between the statements. The coefficients are within an acceptable range for factor analysis, with relatively good values indicating a strong relationship between the constructs. Item 35 has the lowest coefficient value at 0.748, while Item 32 has the highest coefficient value at 0.79. Table 9 shows the constructs and loading under dimension 3, which all surpassed the minimum requirement of ±0.40.</w:t>
      </w:r>
    </w:p>
    <w:p w14:paraId="5C0AF7A5" w14:textId="25A17CC9" w:rsidR="00533140" w:rsidRPr="003B496E" w:rsidRDefault="00533140" w:rsidP="003B496E">
      <w:pPr>
        <w:pStyle w:val="NormalWeb"/>
        <w:spacing w:before="480" w:after="0" w:afterAutospacing="0"/>
        <w:rPr>
          <w:i/>
          <w:iCs/>
          <w:color w:val="000000"/>
        </w:rPr>
      </w:pPr>
      <w:r w:rsidRPr="003B496E">
        <w:rPr>
          <w:i/>
          <w:iCs/>
          <w:color w:val="000000"/>
        </w:rPr>
        <w:t>Table 9</w:t>
      </w:r>
      <w:r w:rsidR="003B496E">
        <w:rPr>
          <w:i/>
          <w:iCs/>
          <w:color w:val="000000"/>
        </w:rPr>
        <w:t>:</w:t>
      </w:r>
      <w:r w:rsidRPr="003B496E">
        <w:rPr>
          <w:i/>
          <w:iCs/>
          <w:color w:val="000000"/>
        </w:rPr>
        <w:t xml:space="preserve"> Constructs and loadings under Dimension 4</w:t>
      </w:r>
    </w:p>
    <w:tbl>
      <w:tblPr>
        <w:tblW w:w="0" w:type="auto"/>
        <w:tblCellMar>
          <w:top w:w="15" w:type="dxa"/>
          <w:left w:w="15" w:type="dxa"/>
          <w:bottom w:w="15" w:type="dxa"/>
          <w:right w:w="15" w:type="dxa"/>
        </w:tblCellMar>
        <w:tblLook w:val="04A0" w:firstRow="1" w:lastRow="0" w:firstColumn="1" w:lastColumn="0" w:noHBand="0" w:noVBand="1"/>
      </w:tblPr>
      <w:tblGrid>
        <w:gridCol w:w="2119"/>
        <w:gridCol w:w="3685"/>
        <w:gridCol w:w="851"/>
        <w:gridCol w:w="2693"/>
        <w:gridCol w:w="1333"/>
      </w:tblGrid>
      <w:tr w:rsidR="00533140" w:rsidRPr="00533140" w14:paraId="19CEE930" w14:textId="77777777" w:rsidTr="003B496E">
        <w:trPr>
          <w:trHeight w:val="435"/>
        </w:trPr>
        <w:tc>
          <w:tcPr>
            <w:tcW w:w="2119" w:type="dxa"/>
            <w:tcBorders>
              <w:top w:val="single" w:sz="6" w:space="0" w:color="000000"/>
              <w:left w:val="single" w:sz="6" w:space="0" w:color="000000"/>
              <w:bottom w:val="single" w:sz="6" w:space="0" w:color="000000"/>
              <w:right w:val="single" w:sz="6" w:space="0" w:color="000000"/>
            </w:tcBorders>
            <w:hideMark/>
          </w:tcPr>
          <w:p w14:paraId="2BCB652F" w14:textId="77777777" w:rsidR="00533140" w:rsidRPr="00533140" w:rsidRDefault="00533140" w:rsidP="003B496E">
            <w:pPr>
              <w:pStyle w:val="NormalWeb"/>
              <w:spacing w:before="480" w:after="480"/>
              <w:jc w:val="center"/>
              <w:rPr>
                <w:color w:val="000000"/>
              </w:rPr>
            </w:pPr>
            <w:r w:rsidRPr="00533140">
              <w:rPr>
                <w:b/>
                <w:bCs/>
                <w:color w:val="000000"/>
              </w:rPr>
              <w:t>Dimension</w:t>
            </w:r>
          </w:p>
        </w:tc>
        <w:tc>
          <w:tcPr>
            <w:tcW w:w="3685" w:type="dxa"/>
            <w:tcBorders>
              <w:top w:val="single" w:sz="6" w:space="0" w:color="000000"/>
              <w:left w:val="single" w:sz="6" w:space="0" w:color="000000"/>
              <w:bottom w:val="single" w:sz="6" w:space="0" w:color="000000"/>
              <w:right w:val="single" w:sz="6" w:space="0" w:color="000000"/>
            </w:tcBorders>
            <w:hideMark/>
          </w:tcPr>
          <w:p w14:paraId="34F599A9" w14:textId="77777777" w:rsidR="00533140" w:rsidRPr="00533140" w:rsidRDefault="00533140" w:rsidP="003B496E">
            <w:pPr>
              <w:pStyle w:val="NormalWeb"/>
              <w:spacing w:before="480" w:after="480"/>
              <w:jc w:val="center"/>
              <w:rPr>
                <w:color w:val="000000"/>
              </w:rPr>
            </w:pPr>
            <w:r w:rsidRPr="00533140">
              <w:rPr>
                <w:b/>
                <w:bCs/>
                <w:color w:val="000000"/>
              </w:rPr>
              <w:t>Description</w:t>
            </w:r>
          </w:p>
        </w:tc>
        <w:tc>
          <w:tcPr>
            <w:tcW w:w="851" w:type="dxa"/>
            <w:tcBorders>
              <w:top w:val="single" w:sz="6" w:space="0" w:color="000000"/>
              <w:left w:val="single" w:sz="6" w:space="0" w:color="000000"/>
              <w:bottom w:val="single" w:sz="6" w:space="0" w:color="000000"/>
              <w:right w:val="single" w:sz="6" w:space="0" w:color="000000"/>
            </w:tcBorders>
            <w:hideMark/>
          </w:tcPr>
          <w:p w14:paraId="4D14BD36" w14:textId="77777777" w:rsidR="00533140" w:rsidRPr="00533140" w:rsidRDefault="00533140" w:rsidP="003B496E">
            <w:pPr>
              <w:pStyle w:val="NormalWeb"/>
              <w:spacing w:before="480" w:after="480"/>
              <w:jc w:val="center"/>
              <w:rPr>
                <w:color w:val="000000"/>
              </w:rPr>
            </w:pPr>
            <w:r w:rsidRPr="00533140">
              <w:rPr>
                <w:b/>
                <w:bCs/>
                <w:color w:val="000000"/>
              </w:rPr>
              <w:t>Item</w:t>
            </w:r>
          </w:p>
        </w:tc>
        <w:tc>
          <w:tcPr>
            <w:tcW w:w="2693" w:type="dxa"/>
            <w:tcBorders>
              <w:top w:val="single" w:sz="6" w:space="0" w:color="000000"/>
              <w:left w:val="single" w:sz="6" w:space="0" w:color="000000"/>
              <w:bottom w:val="single" w:sz="6" w:space="0" w:color="000000"/>
              <w:right w:val="single" w:sz="6" w:space="0" w:color="000000"/>
            </w:tcBorders>
            <w:hideMark/>
          </w:tcPr>
          <w:p w14:paraId="2FABB223" w14:textId="77777777" w:rsidR="00533140" w:rsidRPr="00533140" w:rsidRDefault="00533140" w:rsidP="003B496E">
            <w:pPr>
              <w:pStyle w:val="NormalWeb"/>
              <w:spacing w:before="480" w:after="480"/>
              <w:jc w:val="center"/>
              <w:rPr>
                <w:color w:val="000000"/>
              </w:rPr>
            </w:pPr>
            <w:r w:rsidRPr="00533140">
              <w:rPr>
                <w:b/>
                <w:bCs/>
                <w:color w:val="000000"/>
              </w:rPr>
              <w:t>Constructs</w:t>
            </w:r>
          </w:p>
        </w:tc>
        <w:tc>
          <w:tcPr>
            <w:tcW w:w="1333" w:type="dxa"/>
            <w:tcBorders>
              <w:top w:val="single" w:sz="6" w:space="0" w:color="000000"/>
              <w:left w:val="single" w:sz="6" w:space="0" w:color="000000"/>
              <w:bottom w:val="single" w:sz="6" w:space="0" w:color="000000"/>
              <w:right w:val="single" w:sz="6" w:space="0" w:color="000000"/>
            </w:tcBorders>
            <w:hideMark/>
          </w:tcPr>
          <w:p w14:paraId="68DDA34E" w14:textId="77777777" w:rsidR="00533140" w:rsidRPr="00533140" w:rsidRDefault="00533140" w:rsidP="003B496E">
            <w:pPr>
              <w:pStyle w:val="NormalWeb"/>
              <w:spacing w:before="480" w:after="480"/>
              <w:jc w:val="center"/>
              <w:rPr>
                <w:color w:val="000000"/>
              </w:rPr>
            </w:pPr>
            <w:r w:rsidRPr="00533140">
              <w:rPr>
                <w:b/>
                <w:bCs/>
                <w:color w:val="000000"/>
              </w:rPr>
              <w:t>Loadings</w:t>
            </w:r>
          </w:p>
        </w:tc>
      </w:tr>
      <w:tr w:rsidR="00533140" w:rsidRPr="00533140" w14:paraId="23A2481F" w14:textId="77777777" w:rsidTr="003B496E">
        <w:trPr>
          <w:trHeight w:val="480"/>
        </w:trPr>
        <w:tc>
          <w:tcPr>
            <w:tcW w:w="2119" w:type="dxa"/>
            <w:vMerge w:val="restart"/>
            <w:tcBorders>
              <w:top w:val="single" w:sz="6" w:space="0" w:color="000000"/>
              <w:left w:val="single" w:sz="6" w:space="0" w:color="000000"/>
              <w:bottom w:val="single" w:sz="6" w:space="0" w:color="000000"/>
              <w:right w:val="single" w:sz="6" w:space="0" w:color="000000"/>
            </w:tcBorders>
            <w:hideMark/>
          </w:tcPr>
          <w:p w14:paraId="31D4A7F6" w14:textId="77777777" w:rsidR="00533140" w:rsidRPr="00533140" w:rsidRDefault="00533140" w:rsidP="003B496E">
            <w:pPr>
              <w:pStyle w:val="NormalWeb"/>
              <w:spacing w:before="480" w:after="480"/>
              <w:jc w:val="center"/>
              <w:rPr>
                <w:color w:val="000000"/>
              </w:rPr>
            </w:pPr>
            <w:r w:rsidRPr="00533140">
              <w:rPr>
                <w:color w:val="000000"/>
              </w:rPr>
              <w:t>Contingent Dependency Framing</w:t>
            </w:r>
          </w:p>
        </w:tc>
        <w:tc>
          <w:tcPr>
            <w:tcW w:w="3685" w:type="dxa"/>
            <w:vMerge w:val="restart"/>
            <w:tcBorders>
              <w:top w:val="single" w:sz="6" w:space="0" w:color="000000"/>
              <w:left w:val="single" w:sz="6" w:space="0" w:color="000000"/>
              <w:bottom w:val="single" w:sz="6" w:space="0" w:color="000000"/>
              <w:right w:val="single" w:sz="6" w:space="0" w:color="000000"/>
            </w:tcBorders>
            <w:hideMark/>
          </w:tcPr>
          <w:p w14:paraId="463C53D2" w14:textId="77777777" w:rsidR="00533140" w:rsidRPr="00533140" w:rsidRDefault="00533140" w:rsidP="003B496E">
            <w:pPr>
              <w:pStyle w:val="NormalWeb"/>
              <w:spacing w:before="480" w:after="480"/>
              <w:jc w:val="both"/>
              <w:rPr>
                <w:color w:val="000000"/>
              </w:rPr>
            </w:pPr>
            <w:r w:rsidRPr="00533140">
              <w:rPr>
                <w:color w:val="000000"/>
              </w:rPr>
              <w:t>Highlights the dual perception of “</w:t>
            </w:r>
            <w:proofErr w:type="spellStart"/>
            <w:r w:rsidRPr="00533140">
              <w:rPr>
                <w:i/>
                <w:iCs/>
                <w:color w:val="000000"/>
              </w:rPr>
              <w:t>ayuda</w:t>
            </w:r>
            <w:proofErr w:type="spellEnd"/>
            <w:r w:rsidRPr="00533140">
              <w:rPr>
                <w:color w:val="000000"/>
              </w:rPr>
              <w:t>” as necessary during crises yet worrisome due to potential long-term dependency, situating it as a fallback rather than a development pathway.</w:t>
            </w:r>
          </w:p>
        </w:tc>
        <w:tc>
          <w:tcPr>
            <w:tcW w:w="851" w:type="dxa"/>
            <w:tcBorders>
              <w:top w:val="single" w:sz="6" w:space="0" w:color="000000"/>
              <w:left w:val="single" w:sz="6" w:space="0" w:color="000000"/>
              <w:bottom w:val="single" w:sz="6" w:space="0" w:color="000000"/>
              <w:right w:val="single" w:sz="6" w:space="0" w:color="000000"/>
            </w:tcBorders>
            <w:hideMark/>
          </w:tcPr>
          <w:p w14:paraId="136875C2" w14:textId="77777777" w:rsidR="00533140" w:rsidRPr="00533140" w:rsidRDefault="00533140" w:rsidP="003B496E">
            <w:pPr>
              <w:pStyle w:val="NormalWeb"/>
              <w:spacing w:before="480" w:after="480"/>
              <w:jc w:val="center"/>
              <w:rPr>
                <w:color w:val="000000"/>
              </w:rPr>
            </w:pPr>
            <w:r w:rsidRPr="00533140">
              <w:rPr>
                <w:color w:val="000000"/>
              </w:rPr>
              <w:t>32</w:t>
            </w:r>
          </w:p>
        </w:tc>
        <w:tc>
          <w:tcPr>
            <w:tcW w:w="2693" w:type="dxa"/>
            <w:tcBorders>
              <w:top w:val="single" w:sz="6" w:space="0" w:color="000000"/>
              <w:left w:val="single" w:sz="6" w:space="0" w:color="000000"/>
              <w:bottom w:val="single" w:sz="6" w:space="0" w:color="000000"/>
              <w:right w:val="single" w:sz="6" w:space="0" w:color="000000"/>
            </w:tcBorders>
            <w:hideMark/>
          </w:tcPr>
          <w:p w14:paraId="297A5E7B" w14:textId="77777777" w:rsidR="00533140" w:rsidRPr="00533140" w:rsidRDefault="00533140" w:rsidP="003B496E">
            <w:pPr>
              <w:pStyle w:val="NormalWeb"/>
              <w:spacing w:before="480" w:after="480"/>
              <w:rPr>
                <w:color w:val="000000"/>
              </w:rPr>
            </w:pPr>
            <w:r w:rsidRPr="00533140">
              <w:rPr>
                <w:color w:val="000000"/>
              </w:rPr>
              <w:t>a necessary support system during times of crisis.</w:t>
            </w:r>
          </w:p>
        </w:tc>
        <w:tc>
          <w:tcPr>
            <w:tcW w:w="1333" w:type="dxa"/>
            <w:tcBorders>
              <w:top w:val="single" w:sz="6" w:space="0" w:color="000000"/>
              <w:left w:val="single" w:sz="6" w:space="0" w:color="000000"/>
              <w:bottom w:val="single" w:sz="6" w:space="0" w:color="000000"/>
              <w:right w:val="single" w:sz="6" w:space="0" w:color="000000"/>
            </w:tcBorders>
            <w:hideMark/>
          </w:tcPr>
          <w:p w14:paraId="568767B4" w14:textId="77777777" w:rsidR="00533140" w:rsidRPr="00533140" w:rsidRDefault="00533140" w:rsidP="003B496E">
            <w:pPr>
              <w:pStyle w:val="NormalWeb"/>
              <w:spacing w:before="480" w:after="480"/>
              <w:jc w:val="center"/>
              <w:rPr>
                <w:color w:val="000000"/>
              </w:rPr>
            </w:pPr>
            <w:r w:rsidRPr="00533140">
              <w:rPr>
                <w:color w:val="000000"/>
              </w:rPr>
              <w:t>0.79</w:t>
            </w:r>
          </w:p>
        </w:tc>
      </w:tr>
      <w:tr w:rsidR="00533140" w:rsidRPr="00533140" w14:paraId="48952065"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23B59E09"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097C91C5"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0AF0E585" w14:textId="77777777" w:rsidR="00533140" w:rsidRPr="00533140" w:rsidRDefault="00533140" w:rsidP="003B496E">
            <w:pPr>
              <w:pStyle w:val="NormalWeb"/>
              <w:spacing w:before="480" w:after="480"/>
              <w:jc w:val="center"/>
              <w:rPr>
                <w:color w:val="000000"/>
              </w:rPr>
            </w:pPr>
            <w:r w:rsidRPr="00533140">
              <w:rPr>
                <w:color w:val="000000"/>
              </w:rPr>
              <w:t>31</w:t>
            </w:r>
          </w:p>
        </w:tc>
        <w:tc>
          <w:tcPr>
            <w:tcW w:w="2693" w:type="dxa"/>
            <w:tcBorders>
              <w:top w:val="single" w:sz="6" w:space="0" w:color="000000"/>
              <w:left w:val="single" w:sz="6" w:space="0" w:color="000000"/>
              <w:bottom w:val="single" w:sz="6" w:space="0" w:color="000000"/>
              <w:right w:val="single" w:sz="6" w:space="0" w:color="000000"/>
            </w:tcBorders>
            <w:hideMark/>
          </w:tcPr>
          <w:p w14:paraId="56A1E692" w14:textId="77777777" w:rsidR="00533140" w:rsidRPr="00533140" w:rsidRDefault="00533140" w:rsidP="003B496E">
            <w:pPr>
              <w:pStyle w:val="NormalWeb"/>
              <w:spacing w:before="480" w:after="480"/>
              <w:rPr>
                <w:color w:val="000000"/>
              </w:rPr>
            </w:pPr>
            <w:r w:rsidRPr="00533140">
              <w:rPr>
                <w:color w:val="000000"/>
              </w:rPr>
              <w:t>needed only when people cannot meet their needs on their own.</w:t>
            </w:r>
          </w:p>
        </w:tc>
        <w:tc>
          <w:tcPr>
            <w:tcW w:w="1333" w:type="dxa"/>
            <w:tcBorders>
              <w:top w:val="single" w:sz="6" w:space="0" w:color="000000"/>
              <w:left w:val="single" w:sz="6" w:space="0" w:color="000000"/>
              <w:bottom w:val="single" w:sz="6" w:space="0" w:color="000000"/>
              <w:right w:val="single" w:sz="6" w:space="0" w:color="000000"/>
            </w:tcBorders>
            <w:hideMark/>
          </w:tcPr>
          <w:p w14:paraId="1C176547" w14:textId="77777777" w:rsidR="00533140" w:rsidRPr="00533140" w:rsidRDefault="00533140" w:rsidP="003B496E">
            <w:pPr>
              <w:pStyle w:val="NormalWeb"/>
              <w:spacing w:before="480" w:after="480"/>
              <w:jc w:val="center"/>
              <w:rPr>
                <w:color w:val="000000"/>
              </w:rPr>
            </w:pPr>
            <w:r w:rsidRPr="00533140">
              <w:rPr>
                <w:color w:val="000000"/>
              </w:rPr>
              <w:t>0.775</w:t>
            </w:r>
          </w:p>
        </w:tc>
      </w:tr>
      <w:tr w:rsidR="00533140" w:rsidRPr="00533140" w14:paraId="710B98B7"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1C08A719"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12FF2CD9"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62682E3D" w14:textId="77777777" w:rsidR="00533140" w:rsidRPr="00533140" w:rsidRDefault="00533140" w:rsidP="003B496E">
            <w:pPr>
              <w:pStyle w:val="NormalWeb"/>
              <w:spacing w:before="480" w:after="480"/>
              <w:jc w:val="center"/>
              <w:rPr>
                <w:color w:val="000000"/>
              </w:rPr>
            </w:pPr>
            <w:r w:rsidRPr="00533140">
              <w:rPr>
                <w:color w:val="000000"/>
              </w:rPr>
              <w:t>34</w:t>
            </w:r>
          </w:p>
        </w:tc>
        <w:tc>
          <w:tcPr>
            <w:tcW w:w="2693" w:type="dxa"/>
            <w:tcBorders>
              <w:top w:val="single" w:sz="6" w:space="0" w:color="000000"/>
              <w:left w:val="single" w:sz="6" w:space="0" w:color="000000"/>
              <w:bottom w:val="single" w:sz="6" w:space="0" w:color="000000"/>
              <w:right w:val="single" w:sz="6" w:space="0" w:color="000000"/>
            </w:tcBorders>
            <w:hideMark/>
          </w:tcPr>
          <w:p w14:paraId="51C2B6D8" w14:textId="77777777" w:rsidR="00533140" w:rsidRPr="00533140" w:rsidRDefault="00533140" w:rsidP="003B496E">
            <w:pPr>
              <w:pStyle w:val="NormalWeb"/>
              <w:spacing w:before="480" w:after="480"/>
              <w:rPr>
                <w:color w:val="000000"/>
              </w:rPr>
            </w:pPr>
            <w:r w:rsidRPr="00533140">
              <w:rPr>
                <w:color w:val="000000"/>
              </w:rPr>
              <w:t>a short-term help when I have no one else to rely on.</w:t>
            </w:r>
          </w:p>
        </w:tc>
        <w:tc>
          <w:tcPr>
            <w:tcW w:w="1333" w:type="dxa"/>
            <w:tcBorders>
              <w:top w:val="single" w:sz="6" w:space="0" w:color="000000"/>
              <w:left w:val="single" w:sz="6" w:space="0" w:color="000000"/>
              <w:bottom w:val="single" w:sz="6" w:space="0" w:color="000000"/>
              <w:right w:val="single" w:sz="6" w:space="0" w:color="000000"/>
            </w:tcBorders>
            <w:hideMark/>
          </w:tcPr>
          <w:p w14:paraId="35ED70C2" w14:textId="77777777" w:rsidR="00533140" w:rsidRPr="00533140" w:rsidRDefault="00533140" w:rsidP="003B496E">
            <w:pPr>
              <w:pStyle w:val="NormalWeb"/>
              <w:spacing w:before="480" w:after="480"/>
              <w:jc w:val="center"/>
              <w:rPr>
                <w:color w:val="000000"/>
              </w:rPr>
            </w:pPr>
            <w:r w:rsidRPr="00533140">
              <w:rPr>
                <w:color w:val="000000"/>
              </w:rPr>
              <w:t>0.773</w:t>
            </w:r>
          </w:p>
        </w:tc>
      </w:tr>
      <w:tr w:rsidR="00533140" w:rsidRPr="00533140" w14:paraId="6069C37A" w14:textId="77777777" w:rsidTr="003B496E">
        <w:trPr>
          <w:trHeight w:val="465"/>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64EEA74E"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32953ADF"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22004731" w14:textId="77777777" w:rsidR="00533140" w:rsidRPr="00533140" w:rsidRDefault="00533140" w:rsidP="003B496E">
            <w:pPr>
              <w:pStyle w:val="NormalWeb"/>
              <w:spacing w:before="480" w:after="480"/>
              <w:jc w:val="center"/>
              <w:rPr>
                <w:color w:val="000000"/>
              </w:rPr>
            </w:pPr>
            <w:r w:rsidRPr="00533140">
              <w:rPr>
                <w:color w:val="000000"/>
              </w:rPr>
              <w:t>33</w:t>
            </w:r>
          </w:p>
        </w:tc>
        <w:tc>
          <w:tcPr>
            <w:tcW w:w="2693" w:type="dxa"/>
            <w:tcBorders>
              <w:top w:val="single" w:sz="6" w:space="0" w:color="000000"/>
              <w:left w:val="single" w:sz="6" w:space="0" w:color="000000"/>
              <w:bottom w:val="single" w:sz="6" w:space="0" w:color="000000"/>
              <w:right w:val="single" w:sz="6" w:space="0" w:color="000000"/>
            </w:tcBorders>
            <w:hideMark/>
          </w:tcPr>
          <w:p w14:paraId="7FB7F5E5" w14:textId="77777777" w:rsidR="00533140" w:rsidRPr="00533140" w:rsidRDefault="00533140" w:rsidP="003B496E">
            <w:pPr>
              <w:pStyle w:val="NormalWeb"/>
              <w:spacing w:before="480" w:after="480"/>
              <w:rPr>
                <w:color w:val="000000"/>
              </w:rPr>
            </w:pPr>
            <w:r w:rsidRPr="00533140">
              <w:rPr>
                <w:color w:val="000000"/>
              </w:rPr>
              <w:t>something that encourages dependency.</w:t>
            </w:r>
          </w:p>
        </w:tc>
        <w:tc>
          <w:tcPr>
            <w:tcW w:w="1333" w:type="dxa"/>
            <w:tcBorders>
              <w:top w:val="single" w:sz="6" w:space="0" w:color="000000"/>
              <w:left w:val="single" w:sz="6" w:space="0" w:color="000000"/>
              <w:bottom w:val="single" w:sz="6" w:space="0" w:color="000000"/>
              <w:right w:val="single" w:sz="6" w:space="0" w:color="000000"/>
            </w:tcBorders>
            <w:hideMark/>
          </w:tcPr>
          <w:p w14:paraId="4F613CE4" w14:textId="77777777" w:rsidR="00533140" w:rsidRPr="00533140" w:rsidRDefault="00533140" w:rsidP="003B496E">
            <w:pPr>
              <w:pStyle w:val="NormalWeb"/>
              <w:spacing w:before="480" w:after="480"/>
              <w:jc w:val="center"/>
              <w:rPr>
                <w:color w:val="000000"/>
              </w:rPr>
            </w:pPr>
            <w:r w:rsidRPr="00533140">
              <w:rPr>
                <w:color w:val="000000"/>
              </w:rPr>
              <w:t>0.768</w:t>
            </w:r>
          </w:p>
        </w:tc>
      </w:tr>
      <w:tr w:rsidR="00533140" w:rsidRPr="00533140" w14:paraId="1E463DC3"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547D188E"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5E23D561"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1FBDC341" w14:textId="77777777" w:rsidR="00533140" w:rsidRPr="00533140" w:rsidRDefault="00533140" w:rsidP="003B496E">
            <w:pPr>
              <w:pStyle w:val="NormalWeb"/>
              <w:spacing w:before="480" w:after="480"/>
              <w:jc w:val="center"/>
              <w:rPr>
                <w:color w:val="000000"/>
              </w:rPr>
            </w:pPr>
            <w:r w:rsidRPr="00533140">
              <w:rPr>
                <w:color w:val="000000"/>
              </w:rPr>
              <w:t>30</w:t>
            </w:r>
          </w:p>
        </w:tc>
        <w:tc>
          <w:tcPr>
            <w:tcW w:w="2693" w:type="dxa"/>
            <w:tcBorders>
              <w:top w:val="single" w:sz="6" w:space="0" w:color="000000"/>
              <w:left w:val="single" w:sz="6" w:space="0" w:color="000000"/>
              <w:bottom w:val="single" w:sz="6" w:space="0" w:color="000000"/>
              <w:right w:val="single" w:sz="6" w:space="0" w:color="000000"/>
            </w:tcBorders>
            <w:hideMark/>
          </w:tcPr>
          <w:p w14:paraId="4DF8665C" w14:textId="77777777" w:rsidR="00533140" w:rsidRPr="00533140" w:rsidRDefault="00533140" w:rsidP="003B496E">
            <w:pPr>
              <w:pStyle w:val="NormalWeb"/>
              <w:spacing w:before="480" w:after="480"/>
              <w:rPr>
                <w:color w:val="000000"/>
              </w:rPr>
            </w:pPr>
            <w:r w:rsidRPr="00533140">
              <w:rPr>
                <w:color w:val="000000"/>
              </w:rPr>
              <w:t>a necessary backup, but not something to rely on forever.</w:t>
            </w:r>
          </w:p>
        </w:tc>
        <w:tc>
          <w:tcPr>
            <w:tcW w:w="1333" w:type="dxa"/>
            <w:tcBorders>
              <w:top w:val="single" w:sz="6" w:space="0" w:color="000000"/>
              <w:left w:val="single" w:sz="6" w:space="0" w:color="000000"/>
              <w:bottom w:val="single" w:sz="6" w:space="0" w:color="000000"/>
              <w:right w:val="single" w:sz="6" w:space="0" w:color="000000"/>
            </w:tcBorders>
            <w:hideMark/>
          </w:tcPr>
          <w:p w14:paraId="4D7BB7C7" w14:textId="77777777" w:rsidR="00533140" w:rsidRPr="00533140" w:rsidRDefault="00533140" w:rsidP="003B496E">
            <w:pPr>
              <w:pStyle w:val="NormalWeb"/>
              <w:spacing w:before="480" w:after="480"/>
              <w:jc w:val="center"/>
              <w:rPr>
                <w:color w:val="000000"/>
              </w:rPr>
            </w:pPr>
            <w:r w:rsidRPr="00533140">
              <w:rPr>
                <w:color w:val="000000"/>
              </w:rPr>
              <w:t>0.75</w:t>
            </w:r>
          </w:p>
        </w:tc>
      </w:tr>
      <w:tr w:rsidR="00533140" w:rsidRPr="00533140" w14:paraId="3FA00915" w14:textId="77777777" w:rsidTr="003B496E">
        <w:trPr>
          <w:trHeight w:val="48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07BC2DF9"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593C4B8C"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792B2C7F" w14:textId="77777777" w:rsidR="00533140" w:rsidRPr="00533140" w:rsidRDefault="00533140" w:rsidP="003B496E">
            <w:pPr>
              <w:pStyle w:val="NormalWeb"/>
              <w:spacing w:before="480" w:after="480"/>
              <w:jc w:val="center"/>
              <w:rPr>
                <w:color w:val="000000"/>
              </w:rPr>
            </w:pPr>
            <w:r w:rsidRPr="00533140">
              <w:rPr>
                <w:color w:val="000000"/>
              </w:rPr>
              <w:t>35</w:t>
            </w:r>
          </w:p>
        </w:tc>
        <w:tc>
          <w:tcPr>
            <w:tcW w:w="2693" w:type="dxa"/>
            <w:tcBorders>
              <w:top w:val="single" w:sz="6" w:space="0" w:color="000000"/>
              <w:left w:val="single" w:sz="6" w:space="0" w:color="000000"/>
              <w:bottom w:val="single" w:sz="6" w:space="0" w:color="000000"/>
              <w:right w:val="single" w:sz="6" w:space="0" w:color="000000"/>
            </w:tcBorders>
            <w:hideMark/>
          </w:tcPr>
          <w:p w14:paraId="085700E5" w14:textId="77777777" w:rsidR="00533140" w:rsidRPr="00533140" w:rsidRDefault="00533140" w:rsidP="003B496E">
            <w:pPr>
              <w:pStyle w:val="NormalWeb"/>
              <w:spacing w:before="480" w:after="480"/>
              <w:rPr>
                <w:color w:val="000000"/>
              </w:rPr>
            </w:pPr>
            <w:r w:rsidRPr="00533140">
              <w:rPr>
                <w:color w:val="000000"/>
              </w:rPr>
              <w:t>important when jobs are scarce or income is delayed.</w:t>
            </w:r>
          </w:p>
        </w:tc>
        <w:tc>
          <w:tcPr>
            <w:tcW w:w="1333" w:type="dxa"/>
            <w:tcBorders>
              <w:top w:val="single" w:sz="6" w:space="0" w:color="000000"/>
              <w:left w:val="single" w:sz="6" w:space="0" w:color="000000"/>
              <w:bottom w:val="single" w:sz="6" w:space="0" w:color="000000"/>
              <w:right w:val="single" w:sz="6" w:space="0" w:color="000000"/>
            </w:tcBorders>
            <w:hideMark/>
          </w:tcPr>
          <w:p w14:paraId="0CCA154E" w14:textId="77777777" w:rsidR="00533140" w:rsidRPr="00533140" w:rsidRDefault="00533140" w:rsidP="003B496E">
            <w:pPr>
              <w:pStyle w:val="NormalWeb"/>
              <w:spacing w:before="480" w:after="480"/>
              <w:jc w:val="center"/>
              <w:rPr>
                <w:color w:val="000000"/>
              </w:rPr>
            </w:pPr>
            <w:r w:rsidRPr="00533140">
              <w:rPr>
                <w:color w:val="000000"/>
              </w:rPr>
              <w:t>0.748</w:t>
            </w:r>
          </w:p>
        </w:tc>
      </w:tr>
    </w:tbl>
    <w:p w14:paraId="798949DC" w14:textId="77777777" w:rsidR="00533140" w:rsidRPr="00533140" w:rsidRDefault="00533140" w:rsidP="003B496E">
      <w:pPr>
        <w:pStyle w:val="NormalWeb"/>
        <w:spacing w:before="480" w:after="480"/>
        <w:ind w:firstLine="720"/>
        <w:jc w:val="both"/>
        <w:rPr>
          <w:color w:val="000000"/>
        </w:rPr>
      </w:pPr>
      <w:r w:rsidRPr="00533140">
        <w:rPr>
          <w:color w:val="000000"/>
        </w:rPr>
        <w:t xml:space="preserve">Dimension 5. </w:t>
      </w:r>
      <w:r w:rsidRPr="00533140">
        <w:rPr>
          <w:i/>
          <w:iCs/>
          <w:color w:val="000000"/>
        </w:rPr>
        <w:t>Governance Legitimacy Affirmation.</w:t>
      </w:r>
      <w:r w:rsidRPr="00533140">
        <w:rPr>
          <w:color w:val="000000"/>
        </w:rPr>
        <w:t xml:space="preserve"> Dimension 5 identified three items with coefficients ranging from 0.836 to 0.821, as shown in Table 10. It suggests nuanced contributions from each element to the </w:t>
      </w:r>
      <w:r w:rsidRPr="00533140">
        <w:rPr>
          <w:color w:val="000000"/>
        </w:rPr>
        <w:lastRenderedPageBreak/>
        <w:t>overall construct, with values falling within a defined spectrum. Item 40 has the lowest coefficient value at 0.821, while Item 38 has the highest value at 0.836. Nonetheless, all items had coefficient values higher than ±0.40.</w:t>
      </w:r>
    </w:p>
    <w:p w14:paraId="22E377F5" w14:textId="3D7A5019" w:rsidR="00533140" w:rsidRPr="003B496E" w:rsidRDefault="00533140" w:rsidP="003B496E">
      <w:pPr>
        <w:pStyle w:val="NormalWeb"/>
        <w:spacing w:before="480" w:after="0" w:afterAutospacing="0"/>
        <w:rPr>
          <w:i/>
          <w:iCs/>
          <w:color w:val="000000"/>
        </w:rPr>
      </w:pPr>
      <w:r w:rsidRPr="003B496E">
        <w:rPr>
          <w:i/>
          <w:iCs/>
          <w:color w:val="000000"/>
        </w:rPr>
        <w:t>Table 10</w:t>
      </w:r>
      <w:r w:rsidR="003B496E">
        <w:rPr>
          <w:i/>
          <w:iCs/>
          <w:color w:val="000000"/>
        </w:rPr>
        <w:t xml:space="preserve">: </w:t>
      </w:r>
      <w:r w:rsidRPr="003B496E">
        <w:rPr>
          <w:i/>
          <w:iCs/>
          <w:color w:val="000000"/>
        </w:rPr>
        <w:t>Constructs and loadings under Dimension 5</w:t>
      </w:r>
    </w:p>
    <w:tbl>
      <w:tblPr>
        <w:tblW w:w="0" w:type="auto"/>
        <w:tblCellMar>
          <w:top w:w="15" w:type="dxa"/>
          <w:left w:w="15" w:type="dxa"/>
          <w:bottom w:w="15" w:type="dxa"/>
          <w:right w:w="15" w:type="dxa"/>
        </w:tblCellMar>
        <w:tblLook w:val="04A0" w:firstRow="1" w:lastRow="0" w:firstColumn="1" w:lastColumn="0" w:noHBand="0" w:noVBand="1"/>
      </w:tblPr>
      <w:tblGrid>
        <w:gridCol w:w="2119"/>
        <w:gridCol w:w="3685"/>
        <w:gridCol w:w="851"/>
        <w:gridCol w:w="2693"/>
        <w:gridCol w:w="1333"/>
      </w:tblGrid>
      <w:tr w:rsidR="00533140" w:rsidRPr="00533140" w14:paraId="3DCF656B" w14:textId="77777777" w:rsidTr="003B496E">
        <w:trPr>
          <w:trHeight w:val="435"/>
        </w:trPr>
        <w:tc>
          <w:tcPr>
            <w:tcW w:w="2119" w:type="dxa"/>
            <w:tcBorders>
              <w:top w:val="single" w:sz="6" w:space="0" w:color="000000"/>
              <w:left w:val="single" w:sz="6" w:space="0" w:color="000000"/>
              <w:bottom w:val="single" w:sz="6" w:space="0" w:color="000000"/>
              <w:right w:val="single" w:sz="6" w:space="0" w:color="000000"/>
            </w:tcBorders>
            <w:hideMark/>
          </w:tcPr>
          <w:p w14:paraId="0B7DAF60" w14:textId="77777777" w:rsidR="00533140" w:rsidRPr="00533140" w:rsidRDefault="00533140" w:rsidP="003B496E">
            <w:pPr>
              <w:pStyle w:val="NormalWeb"/>
              <w:spacing w:before="480" w:after="480"/>
              <w:jc w:val="center"/>
              <w:rPr>
                <w:color w:val="000000"/>
              </w:rPr>
            </w:pPr>
            <w:r w:rsidRPr="00533140">
              <w:rPr>
                <w:b/>
                <w:bCs/>
                <w:color w:val="000000"/>
              </w:rPr>
              <w:t>Dimension</w:t>
            </w:r>
          </w:p>
        </w:tc>
        <w:tc>
          <w:tcPr>
            <w:tcW w:w="3685" w:type="dxa"/>
            <w:tcBorders>
              <w:top w:val="single" w:sz="6" w:space="0" w:color="000000"/>
              <w:left w:val="single" w:sz="6" w:space="0" w:color="000000"/>
              <w:bottom w:val="single" w:sz="6" w:space="0" w:color="000000"/>
              <w:right w:val="single" w:sz="6" w:space="0" w:color="000000"/>
            </w:tcBorders>
            <w:hideMark/>
          </w:tcPr>
          <w:p w14:paraId="6FBDA048" w14:textId="7D80DF3D" w:rsidR="00533140" w:rsidRPr="00533140" w:rsidRDefault="00533140" w:rsidP="003B496E">
            <w:pPr>
              <w:pStyle w:val="NormalWeb"/>
              <w:spacing w:before="480" w:after="480"/>
              <w:jc w:val="center"/>
              <w:rPr>
                <w:color w:val="000000"/>
              </w:rPr>
            </w:pPr>
            <w:r w:rsidRPr="00533140">
              <w:rPr>
                <w:b/>
                <w:bCs/>
                <w:color w:val="000000"/>
              </w:rPr>
              <w:t>Description</w:t>
            </w:r>
          </w:p>
        </w:tc>
        <w:tc>
          <w:tcPr>
            <w:tcW w:w="851" w:type="dxa"/>
            <w:tcBorders>
              <w:top w:val="single" w:sz="6" w:space="0" w:color="000000"/>
              <w:left w:val="single" w:sz="6" w:space="0" w:color="000000"/>
              <w:bottom w:val="single" w:sz="6" w:space="0" w:color="000000"/>
              <w:right w:val="single" w:sz="6" w:space="0" w:color="000000"/>
            </w:tcBorders>
            <w:hideMark/>
          </w:tcPr>
          <w:p w14:paraId="58BAE304" w14:textId="77777777" w:rsidR="00533140" w:rsidRPr="00533140" w:rsidRDefault="00533140" w:rsidP="003B496E">
            <w:pPr>
              <w:pStyle w:val="NormalWeb"/>
              <w:spacing w:before="480" w:after="480"/>
              <w:jc w:val="center"/>
              <w:rPr>
                <w:color w:val="000000"/>
              </w:rPr>
            </w:pPr>
            <w:r w:rsidRPr="00533140">
              <w:rPr>
                <w:b/>
                <w:bCs/>
                <w:color w:val="000000"/>
              </w:rPr>
              <w:t>Item</w:t>
            </w:r>
          </w:p>
        </w:tc>
        <w:tc>
          <w:tcPr>
            <w:tcW w:w="2693" w:type="dxa"/>
            <w:tcBorders>
              <w:top w:val="single" w:sz="6" w:space="0" w:color="000000"/>
              <w:left w:val="single" w:sz="6" w:space="0" w:color="000000"/>
              <w:bottom w:val="single" w:sz="6" w:space="0" w:color="000000"/>
              <w:right w:val="single" w:sz="6" w:space="0" w:color="000000"/>
            </w:tcBorders>
            <w:hideMark/>
          </w:tcPr>
          <w:p w14:paraId="14A3E9D8" w14:textId="77777777" w:rsidR="00533140" w:rsidRPr="00533140" w:rsidRDefault="00533140" w:rsidP="003B496E">
            <w:pPr>
              <w:pStyle w:val="NormalWeb"/>
              <w:spacing w:before="480" w:after="480"/>
              <w:jc w:val="center"/>
              <w:rPr>
                <w:color w:val="000000"/>
              </w:rPr>
            </w:pPr>
            <w:r w:rsidRPr="00533140">
              <w:rPr>
                <w:b/>
                <w:bCs/>
                <w:color w:val="000000"/>
              </w:rPr>
              <w:t>Constructs</w:t>
            </w:r>
          </w:p>
        </w:tc>
        <w:tc>
          <w:tcPr>
            <w:tcW w:w="1333" w:type="dxa"/>
            <w:tcBorders>
              <w:top w:val="single" w:sz="6" w:space="0" w:color="000000"/>
              <w:left w:val="single" w:sz="6" w:space="0" w:color="000000"/>
              <w:bottom w:val="single" w:sz="6" w:space="0" w:color="000000"/>
              <w:right w:val="single" w:sz="6" w:space="0" w:color="000000"/>
            </w:tcBorders>
            <w:hideMark/>
          </w:tcPr>
          <w:p w14:paraId="6F4ED1B1" w14:textId="77777777" w:rsidR="00533140" w:rsidRPr="00533140" w:rsidRDefault="00533140" w:rsidP="003B496E">
            <w:pPr>
              <w:pStyle w:val="NormalWeb"/>
              <w:spacing w:before="480" w:after="480"/>
              <w:jc w:val="center"/>
              <w:rPr>
                <w:color w:val="000000"/>
              </w:rPr>
            </w:pPr>
            <w:r w:rsidRPr="00533140">
              <w:rPr>
                <w:b/>
                <w:bCs/>
                <w:color w:val="000000"/>
              </w:rPr>
              <w:t>Loadings</w:t>
            </w:r>
          </w:p>
        </w:tc>
      </w:tr>
      <w:tr w:rsidR="00533140" w:rsidRPr="00533140" w14:paraId="72ED9586" w14:textId="77777777" w:rsidTr="003B496E">
        <w:trPr>
          <w:trHeight w:val="780"/>
        </w:trPr>
        <w:tc>
          <w:tcPr>
            <w:tcW w:w="2119" w:type="dxa"/>
            <w:vMerge w:val="restart"/>
            <w:tcBorders>
              <w:top w:val="single" w:sz="6" w:space="0" w:color="000000"/>
              <w:left w:val="single" w:sz="6" w:space="0" w:color="000000"/>
              <w:bottom w:val="single" w:sz="6" w:space="0" w:color="000000"/>
              <w:right w:val="single" w:sz="6" w:space="0" w:color="000000"/>
            </w:tcBorders>
            <w:hideMark/>
          </w:tcPr>
          <w:p w14:paraId="5F05C8E4" w14:textId="3B55E516" w:rsidR="00533140" w:rsidRPr="00533140" w:rsidRDefault="00533140" w:rsidP="003B496E">
            <w:pPr>
              <w:pStyle w:val="NormalWeb"/>
              <w:spacing w:before="480" w:after="480"/>
              <w:jc w:val="center"/>
              <w:rPr>
                <w:color w:val="000000"/>
              </w:rPr>
            </w:pPr>
            <w:r w:rsidRPr="00533140">
              <w:rPr>
                <w:color w:val="000000"/>
              </w:rPr>
              <w:t>Governance</w:t>
            </w:r>
            <w:r w:rsidR="003B496E">
              <w:rPr>
                <w:color w:val="000000"/>
              </w:rPr>
              <w:t xml:space="preserve"> </w:t>
            </w:r>
            <w:r w:rsidRPr="00533140">
              <w:rPr>
                <w:color w:val="000000"/>
              </w:rPr>
              <w:t>Legitimacy</w:t>
            </w:r>
            <w:r w:rsidR="003B496E">
              <w:rPr>
                <w:color w:val="000000"/>
              </w:rPr>
              <w:t xml:space="preserve"> </w:t>
            </w:r>
            <w:r w:rsidRPr="00533140">
              <w:rPr>
                <w:color w:val="000000"/>
              </w:rPr>
              <w:t>Affirmation</w:t>
            </w:r>
          </w:p>
        </w:tc>
        <w:tc>
          <w:tcPr>
            <w:tcW w:w="3685" w:type="dxa"/>
            <w:vMerge w:val="restart"/>
            <w:tcBorders>
              <w:top w:val="single" w:sz="6" w:space="0" w:color="000000"/>
              <w:left w:val="single" w:sz="6" w:space="0" w:color="000000"/>
              <w:bottom w:val="single" w:sz="6" w:space="0" w:color="000000"/>
              <w:right w:val="single" w:sz="6" w:space="0" w:color="000000"/>
            </w:tcBorders>
            <w:hideMark/>
          </w:tcPr>
          <w:p w14:paraId="7BF8A8D8" w14:textId="77777777" w:rsidR="00533140" w:rsidRPr="00533140" w:rsidRDefault="00533140" w:rsidP="003B496E">
            <w:pPr>
              <w:pStyle w:val="NormalWeb"/>
              <w:spacing w:before="480" w:after="480"/>
              <w:jc w:val="both"/>
              <w:rPr>
                <w:color w:val="000000"/>
              </w:rPr>
            </w:pPr>
            <w:r w:rsidRPr="00533140">
              <w:rPr>
                <w:color w:val="000000"/>
              </w:rPr>
              <w:t>Expresses perceptions that “</w:t>
            </w:r>
            <w:proofErr w:type="spellStart"/>
            <w:r w:rsidRPr="00533140">
              <w:rPr>
                <w:i/>
                <w:iCs/>
                <w:color w:val="000000"/>
              </w:rPr>
              <w:t>ayuda</w:t>
            </w:r>
            <w:proofErr w:type="spellEnd"/>
            <w:r w:rsidRPr="00533140">
              <w:rPr>
                <w:color w:val="000000"/>
              </w:rPr>
              <w:t>” reflects the government’s ethical obligation to provide care and redistribute public resources—affirming the role of state as provider and steward.</w:t>
            </w:r>
          </w:p>
        </w:tc>
        <w:tc>
          <w:tcPr>
            <w:tcW w:w="851" w:type="dxa"/>
            <w:tcBorders>
              <w:top w:val="single" w:sz="6" w:space="0" w:color="000000"/>
              <w:left w:val="single" w:sz="6" w:space="0" w:color="000000"/>
              <w:bottom w:val="single" w:sz="6" w:space="0" w:color="000000"/>
              <w:right w:val="single" w:sz="6" w:space="0" w:color="000000"/>
            </w:tcBorders>
            <w:hideMark/>
          </w:tcPr>
          <w:p w14:paraId="0D725464" w14:textId="77777777" w:rsidR="00533140" w:rsidRPr="00533140" w:rsidRDefault="00533140" w:rsidP="003B496E">
            <w:pPr>
              <w:pStyle w:val="NormalWeb"/>
              <w:spacing w:before="480" w:after="480"/>
              <w:jc w:val="center"/>
              <w:rPr>
                <w:color w:val="000000"/>
              </w:rPr>
            </w:pPr>
            <w:r w:rsidRPr="00533140">
              <w:rPr>
                <w:color w:val="000000"/>
              </w:rPr>
              <w:t>38</w:t>
            </w:r>
          </w:p>
        </w:tc>
        <w:tc>
          <w:tcPr>
            <w:tcW w:w="2693" w:type="dxa"/>
            <w:tcBorders>
              <w:top w:val="single" w:sz="6" w:space="0" w:color="000000"/>
              <w:left w:val="single" w:sz="6" w:space="0" w:color="000000"/>
              <w:bottom w:val="single" w:sz="6" w:space="0" w:color="000000"/>
              <w:right w:val="single" w:sz="6" w:space="0" w:color="000000"/>
            </w:tcBorders>
            <w:hideMark/>
          </w:tcPr>
          <w:p w14:paraId="761C45C9" w14:textId="77777777" w:rsidR="00533140" w:rsidRPr="00533140" w:rsidRDefault="00533140" w:rsidP="003B496E">
            <w:pPr>
              <w:pStyle w:val="NormalWeb"/>
              <w:spacing w:before="480" w:after="480"/>
              <w:rPr>
                <w:color w:val="000000"/>
              </w:rPr>
            </w:pPr>
            <w:r w:rsidRPr="00533140">
              <w:rPr>
                <w:color w:val="000000"/>
              </w:rPr>
              <w:t>a proof that the government is fulfilling its duty.</w:t>
            </w:r>
          </w:p>
        </w:tc>
        <w:tc>
          <w:tcPr>
            <w:tcW w:w="1333" w:type="dxa"/>
            <w:tcBorders>
              <w:top w:val="single" w:sz="6" w:space="0" w:color="000000"/>
              <w:left w:val="single" w:sz="6" w:space="0" w:color="000000"/>
              <w:bottom w:val="single" w:sz="6" w:space="0" w:color="000000"/>
              <w:right w:val="single" w:sz="6" w:space="0" w:color="000000"/>
            </w:tcBorders>
            <w:hideMark/>
          </w:tcPr>
          <w:p w14:paraId="35AE1878" w14:textId="77777777" w:rsidR="00533140" w:rsidRPr="00533140" w:rsidRDefault="00533140" w:rsidP="003B496E">
            <w:pPr>
              <w:pStyle w:val="NormalWeb"/>
              <w:spacing w:before="480" w:after="480"/>
              <w:jc w:val="center"/>
              <w:rPr>
                <w:color w:val="000000"/>
              </w:rPr>
            </w:pPr>
            <w:r w:rsidRPr="00533140">
              <w:rPr>
                <w:color w:val="000000"/>
              </w:rPr>
              <w:t>0.836</w:t>
            </w:r>
          </w:p>
        </w:tc>
      </w:tr>
      <w:tr w:rsidR="00533140" w:rsidRPr="00533140" w14:paraId="509DC781" w14:textId="77777777" w:rsidTr="003B496E">
        <w:trPr>
          <w:trHeight w:val="525"/>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1F8E1F08"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2A49385F"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56044C68" w14:textId="77777777" w:rsidR="00533140" w:rsidRPr="00533140" w:rsidRDefault="00533140" w:rsidP="003B496E">
            <w:pPr>
              <w:pStyle w:val="NormalWeb"/>
              <w:spacing w:before="480" w:after="480"/>
              <w:jc w:val="center"/>
              <w:rPr>
                <w:color w:val="000000"/>
              </w:rPr>
            </w:pPr>
            <w:r w:rsidRPr="00533140">
              <w:rPr>
                <w:color w:val="000000"/>
              </w:rPr>
              <w:t>39</w:t>
            </w:r>
          </w:p>
        </w:tc>
        <w:tc>
          <w:tcPr>
            <w:tcW w:w="2693" w:type="dxa"/>
            <w:tcBorders>
              <w:top w:val="single" w:sz="6" w:space="0" w:color="000000"/>
              <w:left w:val="single" w:sz="6" w:space="0" w:color="000000"/>
              <w:bottom w:val="single" w:sz="6" w:space="0" w:color="000000"/>
              <w:right w:val="single" w:sz="6" w:space="0" w:color="000000"/>
            </w:tcBorders>
            <w:hideMark/>
          </w:tcPr>
          <w:p w14:paraId="7DF41EF3" w14:textId="77777777" w:rsidR="00533140" w:rsidRPr="00533140" w:rsidRDefault="00533140" w:rsidP="003B496E">
            <w:pPr>
              <w:pStyle w:val="NormalWeb"/>
              <w:spacing w:before="480" w:after="480"/>
              <w:rPr>
                <w:color w:val="000000"/>
              </w:rPr>
            </w:pPr>
            <w:r w:rsidRPr="00533140">
              <w:rPr>
                <w:color w:val="000000"/>
              </w:rPr>
              <w:t>not a form of corruption.</w:t>
            </w:r>
          </w:p>
        </w:tc>
        <w:tc>
          <w:tcPr>
            <w:tcW w:w="1333" w:type="dxa"/>
            <w:tcBorders>
              <w:top w:val="single" w:sz="6" w:space="0" w:color="000000"/>
              <w:left w:val="single" w:sz="6" w:space="0" w:color="000000"/>
              <w:bottom w:val="single" w:sz="6" w:space="0" w:color="000000"/>
              <w:right w:val="single" w:sz="6" w:space="0" w:color="000000"/>
            </w:tcBorders>
            <w:hideMark/>
          </w:tcPr>
          <w:p w14:paraId="19544312" w14:textId="77777777" w:rsidR="00533140" w:rsidRPr="00533140" w:rsidRDefault="00533140" w:rsidP="003B496E">
            <w:pPr>
              <w:pStyle w:val="NormalWeb"/>
              <w:spacing w:before="480" w:after="480"/>
              <w:jc w:val="center"/>
              <w:rPr>
                <w:color w:val="000000"/>
              </w:rPr>
            </w:pPr>
            <w:r w:rsidRPr="00533140">
              <w:rPr>
                <w:color w:val="000000"/>
              </w:rPr>
              <w:t>0.829</w:t>
            </w:r>
          </w:p>
        </w:tc>
      </w:tr>
      <w:tr w:rsidR="00533140" w:rsidRPr="00533140" w14:paraId="673DB321" w14:textId="77777777" w:rsidTr="003B496E">
        <w:trPr>
          <w:trHeight w:val="705"/>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4FFB8205"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7EB7D1B4"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6CF4E910" w14:textId="77777777" w:rsidR="00533140" w:rsidRPr="00533140" w:rsidRDefault="00533140" w:rsidP="003B496E">
            <w:pPr>
              <w:pStyle w:val="NormalWeb"/>
              <w:spacing w:before="480" w:after="480"/>
              <w:jc w:val="center"/>
              <w:rPr>
                <w:color w:val="000000"/>
              </w:rPr>
            </w:pPr>
            <w:r w:rsidRPr="00533140">
              <w:rPr>
                <w:color w:val="000000"/>
              </w:rPr>
              <w:t>40</w:t>
            </w:r>
          </w:p>
        </w:tc>
        <w:tc>
          <w:tcPr>
            <w:tcW w:w="2693" w:type="dxa"/>
            <w:tcBorders>
              <w:top w:val="single" w:sz="6" w:space="0" w:color="000000"/>
              <w:left w:val="single" w:sz="6" w:space="0" w:color="000000"/>
              <w:bottom w:val="single" w:sz="6" w:space="0" w:color="000000"/>
              <w:right w:val="single" w:sz="6" w:space="0" w:color="000000"/>
            </w:tcBorders>
            <w:hideMark/>
          </w:tcPr>
          <w:p w14:paraId="0A9E02A0" w14:textId="77777777" w:rsidR="00533140" w:rsidRPr="00533140" w:rsidRDefault="00533140" w:rsidP="003B496E">
            <w:pPr>
              <w:pStyle w:val="NormalWeb"/>
              <w:spacing w:before="480" w:after="480"/>
              <w:rPr>
                <w:color w:val="000000"/>
              </w:rPr>
            </w:pPr>
            <w:r w:rsidRPr="00533140">
              <w:rPr>
                <w:color w:val="000000"/>
              </w:rPr>
              <w:t>a practical way for the government to return the taxes paid by the people.</w:t>
            </w:r>
          </w:p>
        </w:tc>
        <w:tc>
          <w:tcPr>
            <w:tcW w:w="1333" w:type="dxa"/>
            <w:tcBorders>
              <w:top w:val="single" w:sz="6" w:space="0" w:color="000000"/>
              <w:left w:val="single" w:sz="6" w:space="0" w:color="000000"/>
              <w:bottom w:val="single" w:sz="6" w:space="0" w:color="000000"/>
              <w:right w:val="single" w:sz="6" w:space="0" w:color="000000"/>
            </w:tcBorders>
            <w:hideMark/>
          </w:tcPr>
          <w:p w14:paraId="6AD778AF" w14:textId="77777777" w:rsidR="00533140" w:rsidRPr="00533140" w:rsidRDefault="00533140" w:rsidP="003B496E">
            <w:pPr>
              <w:pStyle w:val="NormalWeb"/>
              <w:spacing w:before="480" w:after="480"/>
              <w:jc w:val="center"/>
              <w:rPr>
                <w:color w:val="000000"/>
              </w:rPr>
            </w:pPr>
            <w:r w:rsidRPr="00533140">
              <w:rPr>
                <w:color w:val="000000"/>
              </w:rPr>
              <w:t>0.821</w:t>
            </w:r>
          </w:p>
        </w:tc>
      </w:tr>
    </w:tbl>
    <w:p w14:paraId="450DE602" w14:textId="77777777" w:rsidR="00533140" w:rsidRPr="00533140" w:rsidRDefault="00533140" w:rsidP="003B496E">
      <w:pPr>
        <w:pStyle w:val="NormalWeb"/>
        <w:spacing w:before="480" w:after="480"/>
        <w:ind w:firstLine="720"/>
        <w:jc w:val="both"/>
        <w:rPr>
          <w:color w:val="000000"/>
        </w:rPr>
      </w:pPr>
      <w:r w:rsidRPr="00533140">
        <w:rPr>
          <w:color w:val="000000"/>
        </w:rPr>
        <w:t xml:space="preserve">Dimension 6. </w:t>
      </w:r>
      <w:r w:rsidRPr="00533140">
        <w:rPr>
          <w:i/>
          <w:iCs/>
          <w:color w:val="000000"/>
        </w:rPr>
        <w:t>Assistance Adequacy Critique.</w:t>
      </w:r>
      <w:r w:rsidRPr="00533140">
        <w:rPr>
          <w:color w:val="000000"/>
        </w:rPr>
        <w:t xml:space="preserve"> Dimension 6 yielded three items with coefficient patterns ranging from 0.822 to 0.794. This range of coefficients signifies </w:t>
      </w:r>
      <w:proofErr w:type="gramStart"/>
      <w:r w:rsidRPr="00533140">
        <w:rPr>
          <w:color w:val="000000"/>
        </w:rPr>
        <w:t>diverse</w:t>
      </w:r>
      <w:proofErr w:type="gramEnd"/>
      <w:r w:rsidRPr="00533140">
        <w:rPr>
          <w:color w:val="000000"/>
        </w:rPr>
        <w:t xml:space="preserve"> yet interconnected values associated with the corresponding components. Table 11 shows an overview of the constructs and loadings under Dimension 6. Item 2 had the lowest coefficient value of 0.794, while item 24 had the highest at 0.822. However, all items exceed the minimum threshold of ±0.40.</w:t>
      </w:r>
    </w:p>
    <w:p w14:paraId="413DBF95" w14:textId="342AB8DA" w:rsidR="00533140" w:rsidRPr="003B496E" w:rsidRDefault="00533140" w:rsidP="003B496E">
      <w:pPr>
        <w:pStyle w:val="NormalWeb"/>
        <w:spacing w:before="480" w:after="0" w:afterAutospacing="0"/>
        <w:rPr>
          <w:i/>
          <w:iCs/>
          <w:color w:val="000000"/>
        </w:rPr>
      </w:pPr>
      <w:r w:rsidRPr="003B496E">
        <w:rPr>
          <w:i/>
          <w:iCs/>
          <w:color w:val="000000"/>
        </w:rPr>
        <w:t>Table 1</w:t>
      </w:r>
      <w:r w:rsidR="003B496E">
        <w:rPr>
          <w:i/>
          <w:iCs/>
          <w:color w:val="000000"/>
        </w:rPr>
        <w:t>1:</w:t>
      </w:r>
      <w:r w:rsidRPr="003B496E">
        <w:rPr>
          <w:i/>
          <w:iCs/>
          <w:color w:val="000000"/>
        </w:rPr>
        <w:t xml:space="preserve"> Constructs and loadings under Dimension 6</w:t>
      </w:r>
    </w:p>
    <w:tbl>
      <w:tblPr>
        <w:tblW w:w="0" w:type="auto"/>
        <w:tblCellMar>
          <w:top w:w="15" w:type="dxa"/>
          <w:left w:w="15" w:type="dxa"/>
          <w:bottom w:w="15" w:type="dxa"/>
          <w:right w:w="15" w:type="dxa"/>
        </w:tblCellMar>
        <w:tblLook w:val="04A0" w:firstRow="1" w:lastRow="0" w:firstColumn="1" w:lastColumn="0" w:noHBand="0" w:noVBand="1"/>
      </w:tblPr>
      <w:tblGrid>
        <w:gridCol w:w="2119"/>
        <w:gridCol w:w="3685"/>
        <w:gridCol w:w="851"/>
        <w:gridCol w:w="2693"/>
        <w:gridCol w:w="1333"/>
      </w:tblGrid>
      <w:tr w:rsidR="00533140" w:rsidRPr="00533140" w14:paraId="24153B27" w14:textId="77777777" w:rsidTr="003B496E">
        <w:trPr>
          <w:trHeight w:val="435"/>
        </w:trPr>
        <w:tc>
          <w:tcPr>
            <w:tcW w:w="2119" w:type="dxa"/>
            <w:tcBorders>
              <w:top w:val="single" w:sz="6" w:space="0" w:color="000000"/>
              <w:left w:val="single" w:sz="6" w:space="0" w:color="000000"/>
              <w:bottom w:val="single" w:sz="6" w:space="0" w:color="000000"/>
              <w:right w:val="single" w:sz="6" w:space="0" w:color="000000"/>
            </w:tcBorders>
            <w:hideMark/>
          </w:tcPr>
          <w:p w14:paraId="78EB7D55" w14:textId="77777777" w:rsidR="00533140" w:rsidRPr="00533140" w:rsidRDefault="00533140" w:rsidP="003B496E">
            <w:pPr>
              <w:pStyle w:val="NormalWeb"/>
              <w:spacing w:before="480" w:after="480"/>
              <w:jc w:val="center"/>
              <w:rPr>
                <w:color w:val="000000"/>
              </w:rPr>
            </w:pPr>
            <w:r w:rsidRPr="00533140">
              <w:rPr>
                <w:b/>
                <w:bCs/>
                <w:color w:val="000000"/>
              </w:rPr>
              <w:t>Dimension</w:t>
            </w:r>
          </w:p>
        </w:tc>
        <w:tc>
          <w:tcPr>
            <w:tcW w:w="3685" w:type="dxa"/>
            <w:tcBorders>
              <w:top w:val="single" w:sz="6" w:space="0" w:color="000000"/>
              <w:left w:val="single" w:sz="6" w:space="0" w:color="000000"/>
              <w:bottom w:val="single" w:sz="6" w:space="0" w:color="000000"/>
              <w:right w:val="single" w:sz="6" w:space="0" w:color="000000"/>
            </w:tcBorders>
            <w:hideMark/>
          </w:tcPr>
          <w:p w14:paraId="7D342DA5" w14:textId="41F42780" w:rsidR="00533140" w:rsidRPr="00533140" w:rsidRDefault="00533140" w:rsidP="003B496E">
            <w:pPr>
              <w:pStyle w:val="NormalWeb"/>
              <w:spacing w:before="480" w:after="480"/>
              <w:jc w:val="center"/>
              <w:rPr>
                <w:color w:val="000000"/>
              </w:rPr>
            </w:pPr>
            <w:r w:rsidRPr="00533140">
              <w:rPr>
                <w:b/>
                <w:bCs/>
                <w:color w:val="000000"/>
              </w:rPr>
              <w:t>Description</w:t>
            </w:r>
          </w:p>
        </w:tc>
        <w:tc>
          <w:tcPr>
            <w:tcW w:w="851" w:type="dxa"/>
            <w:tcBorders>
              <w:top w:val="single" w:sz="6" w:space="0" w:color="000000"/>
              <w:left w:val="single" w:sz="6" w:space="0" w:color="000000"/>
              <w:bottom w:val="single" w:sz="6" w:space="0" w:color="000000"/>
              <w:right w:val="single" w:sz="6" w:space="0" w:color="000000"/>
            </w:tcBorders>
            <w:hideMark/>
          </w:tcPr>
          <w:p w14:paraId="55C8183D" w14:textId="77777777" w:rsidR="00533140" w:rsidRPr="00533140" w:rsidRDefault="00533140" w:rsidP="003B496E">
            <w:pPr>
              <w:pStyle w:val="NormalWeb"/>
              <w:spacing w:before="480" w:after="480"/>
              <w:jc w:val="center"/>
              <w:rPr>
                <w:color w:val="000000"/>
              </w:rPr>
            </w:pPr>
            <w:r w:rsidRPr="00533140">
              <w:rPr>
                <w:b/>
                <w:bCs/>
                <w:color w:val="000000"/>
              </w:rPr>
              <w:t>Item</w:t>
            </w:r>
          </w:p>
        </w:tc>
        <w:tc>
          <w:tcPr>
            <w:tcW w:w="2693" w:type="dxa"/>
            <w:tcBorders>
              <w:top w:val="single" w:sz="6" w:space="0" w:color="000000"/>
              <w:left w:val="single" w:sz="6" w:space="0" w:color="000000"/>
              <w:bottom w:val="single" w:sz="6" w:space="0" w:color="000000"/>
              <w:right w:val="single" w:sz="6" w:space="0" w:color="000000"/>
            </w:tcBorders>
            <w:hideMark/>
          </w:tcPr>
          <w:p w14:paraId="7856BB64" w14:textId="77777777" w:rsidR="00533140" w:rsidRPr="00533140" w:rsidRDefault="00533140" w:rsidP="003B496E">
            <w:pPr>
              <w:pStyle w:val="NormalWeb"/>
              <w:spacing w:before="480" w:after="480"/>
              <w:jc w:val="center"/>
              <w:rPr>
                <w:color w:val="000000"/>
              </w:rPr>
            </w:pPr>
            <w:r w:rsidRPr="00533140">
              <w:rPr>
                <w:b/>
                <w:bCs/>
                <w:color w:val="000000"/>
              </w:rPr>
              <w:t>Constructs</w:t>
            </w:r>
          </w:p>
        </w:tc>
        <w:tc>
          <w:tcPr>
            <w:tcW w:w="1333" w:type="dxa"/>
            <w:tcBorders>
              <w:top w:val="single" w:sz="6" w:space="0" w:color="000000"/>
              <w:left w:val="single" w:sz="6" w:space="0" w:color="000000"/>
              <w:bottom w:val="single" w:sz="6" w:space="0" w:color="000000"/>
              <w:right w:val="single" w:sz="6" w:space="0" w:color="000000"/>
            </w:tcBorders>
            <w:hideMark/>
          </w:tcPr>
          <w:p w14:paraId="325FE65D" w14:textId="77777777" w:rsidR="00533140" w:rsidRPr="00533140" w:rsidRDefault="00533140" w:rsidP="003B496E">
            <w:pPr>
              <w:pStyle w:val="NormalWeb"/>
              <w:spacing w:before="480" w:after="480"/>
              <w:jc w:val="center"/>
              <w:rPr>
                <w:color w:val="000000"/>
              </w:rPr>
            </w:pPr>
            <w:r w:rsidRPr="00533140">
              <w:rPr>
                <w:b/>
                <w:bCs/>
                <w:color w:val="000000"/>
              </w:rPr>
              <w:t>Loadings</w:t>
            </w:r>
          </w:p>
        </w:tc>
      </w:tr>
      <w:tr w:rsidR="00533140" w:rsidRPr="00533140" w14:paraId="5C6D5C2D" w14:textId="77777777" w:rsidTr="003B496E">
        <w:trPr>
          <w:trHeight w:val="705"/>
        </w:trPr>
        <w:tc>
          <w:tcPr>
            <w:tcW w:w="2119" w:type="dxa"/>
            <w:vMerge w:val="restart"/>
            <w:tcBorders>
              <w:top w:val="single" w:sz="6" w:space="0" w:color="000000"/>
              <w:left w:val="single" w:sz="6" w:space="0" w:color="000000"/>
              <w:bottom w:val="single" w:sz="6" w:space="0" w:color="000000"/>
              <w:right w:val="single" w:sz="6" w:space="0" w:color="000000"/>
            </w:tcBorders>
            <w:hideMark/>
          </w:tcPr>
          <w:p w14:paraId="5D8B17F0" w14:textId="77777777" w:rsidR="00533140" w:rsidRPr="00533140" w:rsidRDefault="00533140" w:rsidP="003B496E">
            <w:pPr>
              <w:pStyle w:val="NormalWeb"/>
              <w:spacing w:before="480" w:after="480"/>
              <w:jc w:val="center"/>
              <w:rPr>
                <w:color w:val="000000"/>
              </w:rPr>
            </w:pPr>
            <w:r w:rsidRPr="00533140">
              <w:rPr>
                <w:color w:val="000000"/>
              </w:rPr>
              <w:t>Assistance Adequacy Critique</w:t>
            </w:r>
          </w:p>
        </w:tc>
        <w:tc>
          <w:tcPr>
            <w:tcW w:w="3685" w:type="dxa"/>
            <w:vMerge w:val="restart"/>
            <w:tcBorders>
              <w:top w:val="single" w:sz="6" w:space="0" w:color="000000"/>
              <w:left w:val="single" w:sz="6" w:space="0" w:color="000000"/>
              <w:bottom w:val="single" w:sz="6" w:space="0" w:color="000000"/>
              <w:right w:val="single" w:sz="6" w:space="0" w:color="000000"/>
            </w:tcBorders>
            <w:hideMark/>
          </w:tcPr>
          <w:p w14:paraId="3C224B0C" w14:textId="5E5FBB56" w:rsidR="00533140" w:rsidRPr="00533140" w:rsidRDefault="00533140" w:rsidP="003B496E">
            <w:pPr>
              <w:pStyle w:val="NormalWeb"/>
              <w:spacing w:before="480" w:after="480"/>
              <w:jc w:val="both"/>
              <w:rPr>
                <w:color w:val="000000"/>
              </w:rPr>
            </w:pPr>
            <w:r w:rsidRPr="00533140">
              <w:rPr>
                <w:color w:val="000000"/>
              </w:rPr>
              <w:t>Represents dissatisfaction over the inadequacy of the aid provided, particularly in relation to inflation, cost of living, and long-term financial insecurity—emphasizing structural insufficiencies.</w:t>
            </w:r>
          </w:p>
        </w:tc>
        <w:tc>
          <w:tcPr>
            <w:tcW w:w="851" w:type="dxa"/>
            <w:tcBorders>
              <w:top w:val="single" w:sz="6" w:space="0" w:color="000000"/>
              <w:left w:val="single" w:sz="6" w:space="0" w:color="000000"/>
              <w:bottom w:val="single" w:sz="6" w:space="0" w:color="000000"/>
              <w:right w:val="single" w:sz="6" w:space="0" w:color="000000"/>
            </w:tcBorders>
            <w:hideMark/>
          </w:tcPr>
          <w:p w14:paraId="0AA5E4AD" w14:textId="77777777" w:rsidR="00533140" w:rsidRPr="00533140" w:rsidRDefault="00533140" w:rsidP="003B496E">
            <w:pPr>
              <w:pStyle w:val="NormalWeb"/>
              <w:spacing w:before="480" w:after="480"/>
              <w:jc w:val="center"/>
              <w:rPr>
                <w:color w:val="000000"/>
              </w:rPr>
            </w:pPr>
            <w:r w:rsidRPr="00533140">
              <w:rPr>
                <w:color w:val="000000"/>
              </w:rPr>
              <w:t>24</w:t>
            </w:r>
          </w:p>
        </w:tc>
        <w:tc>
          <w:tcPr>
            <w:tcW w:w="2693" w:type="dxa"/>
            <w:tcBorders>
              <w:top w:val="single" w:sz="6" w:space="0" w:color="000000"/>
              <w:left w:val="single" w:sz="6" w:space="0" w:color="000000"/>
              <w:bottom w:val="single" w:sz="6" w:space="0" w:color="000000"/>
              <w:right w:val="single" w:sz="6" w:space="0" w:color="000000"/>
            </w:tcBorders>
            <w:hideMark/>
          </w:tcPr>
          <w:p w14:paraId="1942881B" w14:textId="77777777" w:rsidR="00533140" w:rsidRPr="00533140" w:rsidRDefault="00533140" w:rsidP="003B496E">
            <w:pPr>
              <w:pStyle w:val="NormalWeb"/>
              <w:spacing w:before="480" w:after="480"/>
              <w:rPr>
                <w:color w:val="000000"/>
              </w:rPr>
            </w:pPr>
            <w:r w:rsidRPr="00533140">
              <w:rPr>
                <w:color w:val="000000"/>
              </w:rPr>
              <w:t>not enough to support my family for more than a few days.</w:t>
            </w:r>
          </w:p>
        </w:tc>
        <w:tc>
          <w:tcPr>
            <w:tcW w:w="1333" w:type="dxa"/>
            <w:tcBorders>
              <w:top w:val="single" w:sz="6" w:space="0" w:color="000000"/>
              <w:left w:val="single" w:sz="6" w:space="0" w:color="000000"/>
              <w:bottom w:val="single" w:sz="6" w:space="0" w:color="000000"/>
              <w:right w:val="single" w:sz="6" w:space="0" w:color="000000"/>
            </w:tcBorders>
            <w:hideMark/>
          </w:tcPr>
          <w:p w14:paraId="286C43AF" w14:textId="77777777" w:rsidR="00533140" w:rsidRPr="00533140" w:rsidRDefault="00533140" w:rsidP="003B496E">
            <w:pPr>
              <w:pStyle w:val="NormalWeb"/>
              <w:spacing w:before="480" w:after="480"/>
              <w:jc w:val="center"/>
              <w:rPr>
                <w:color w:val="000000"/>
              </w:rPr>
            </w:pPr>
            <w:r w:rsidRPr="00533140">
              <w:rPr>
                <w:color w:val="000000"/>
              </w:rPr>
              <w:t>0.822</w:t>
            </w:r>
          </w:p>
        </w:tc>
      </w:tr>
      <w:tr w:rsidR="00533140" w:rsidRPr="00533140" w14:paraId="00A3EF41" w14:textId="77777777" w:rsidTr="003B496E">
        <w:trPr>
          <w:trHeight w:val="525"/>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6A760EC0"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4E20C4E0"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5A2D9925" w14:textId="77777777" w:rsidR="00533140" w:rsidRPr="00533140" w:rsidRDefault="00533140" w:rsidP="003B496E">
            <w:pPr>
              <w:pStyle w:val="NormalWeb"/>
              <w:spacing w:before="480" w:after="480"/>
              <w:jc w:val="center"/>
              <w:rPr>
                <w:color w:val="000000"/>
              </w:rPr>
            </w:pPr>
            <w:r w:rsidRPr="00533140">
              <w:rPr>
                <w:color w:val="000000"/>
              </w:rPr>
              <w:t>23</w:t>
            </w:r>
          </w:p>
        </w:tc>
        <w:tc>
          <w:tcPr>
            <w:tcW w:w="2693" w:type="dxa"/>
            <w:tcBorders>
              <w:top w:val="single" w:sz="6" w:space="0" w:color="000000"/>
              <w:left w:val="single" w:sz="6" w:space="0" w:color="000000"/>
              <w:bottom w:val="single" w:sz="6" w:space="0" w:color="000000"/>
              <w:right w:val="single" w:sz="6" w:space="0" w:color="000000"/>
            </w:tcBorders>
            <w:hideMark/>
          </w:tcPr>
          <w:p w14:paraId="2258FD21" w14:textId="77777777" w:rsidR="00533140" w:rsidRPr="00533140" w:rsidRDefault="00533140" w:rsidP="003B496E">
            <w:pPr>
              <w:pStyle w:val="NormalWeb"/>
              <w:spacing w:before="480" w:after="480"/>
              <w:rPr>
                <w:color w:val="000000"/>
              </w:rPr>
            </w:pPr>
            <w:r w:rsidRPr="00533140">
              <w:rPr>
                <w:color w:val="000000"/>
              </w:rPr>
              <w:t>not sufficient due to inflation and rising costs.</w:t>
            </w:r>
          </w:p>
        </w:tc>
        <w:tc>
          <w:tcPr>
            <w:tcW w:w="1333" w:type="dxa"/>
            <w:tcBorders>
              <w:top w:val="single" w:sz="6" w:space="0" w:color="000000"/>
              <w:left w:val="single" w:sz="6" w:space="0" w:color="000000"/>
              <w:bottom w:val="single" w:sz="6" w:space="0" w:color="000000"/>
              <w:right w:val="single" w:sz="6" w:space="0" w:color="000000"/>
            </w:tcBorders>
            <w:hideMark/>
          </w:tcPr>
          <w:p w14:paraId="4AF3A8EA" w14:textId="77777777" w:rsidR="00533140" w:rsidRPr="00533140" w:rsidRDefault="00533140" w:rsidP="003B496E">
            <w:pPr>
              <w:pStyle w:val="NormalWeb"/>
              <w:spacing w:before="480" w:after="480"/>
              <w:jc w:val="center"/>
              <w:rPr>
                <w:color w:val="000000"/>
              </w:rPr>
            </w:pPr>
            <w:r w:rsidRPr="00533140">
              <w:rPr>
                <w:color w:val="000000"/>
              </w:rPr>
              <w:t>0.819</w:t>
            </w:r>
          </w:p>
        </w:tc>
      </w:tr>
      <w:tr w:rsidR="00533140" w:rsidRPr="00533140" w14:paraId="2E411F27" w14:textId="77777777" w:rsidTr="003B496E">
        <w:trPr>
          <w:trHeight w:val="750"/>
        </w:trPr>
        <w:tc>
          <w:tcPr>
            <w:tcW w:w="2119" w:type="dxa"/>
            <w:vMerge/>
            <w:tcBorders>
              <w:top w:val="single" w:sz="6" w:space="0" w:color="000000"/>
              <w:left w:val="single" w:sz="6" w:space="0" w:color="000000"/>
              <w:bottom w:val="single" w:sz="6" w:space="0" w:color="000000"/>
              <w:right w:val="single" w:sz="6" w:space="0" w:color="000000"/>
            </w:tcBorders>
            <w:vAlign w:val="center"/>
            <w:hideMark/>
          </w:tcPr>
          <w:p w14:paraId="2C1E46B7" w14:textId="77777777" w:rsidR="00533140" w:rsidRPr="00533140" w:rsidRDefault="00533140" w:rsidP="003B496E">
            <w:pPr>
              <w:pStyle w:val="NormalWeb"/>
              <w:spacing w:before="480" w:after="480"/>
              <w:jc w:val="center"/>
              <w:rPr>
                <w:color w:val="000000"/>
              </w:rPr>
            </w:pP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208B9381" w14:textId="77777777" w:rsidR="00533140" w:rsidRPr="00533140" w:rsidRDefault="00533140" w:rsidP="003B496E">
            <w:pPr>
              <w:pStyle w:val="NormalWeb"/>
              <w:spacing w:before="480" w:after="480"/>
              <w:jc w:val="center"/>
              <w:rPr>
                <w:color w:val="000000"/>
              </w:rPr>
            </w:pPr>
          </w:p>
        </w:tc>
        <w:tc>
          <w:tcPr>
            <w:tcW w:w="851" w:type="dxa"/>
            <w:tcBorders>
              <w:top w:val="single" w:sz="6" w:space="0" w:color="000000"/>
              <w:left w:val="single" w:sz="6" w:space="0" w:color="000000"/>
              <w:bottom w:val="single" w:sz="6" w:space="0" w:color="000000"/>
              <w:right w:val="single" w:sz="6" w:space="0" w:color="000000"/>
            </w:tcBorders>
            <w:hideMark/>
          </w:tcPr>
          <w:p w14:paraId="25A6839C" w14:textId="77777777" w:rsidR="00533140" w:rsidRPr="00533140" w:rsidRDefault="00533140" w:rsidP="003B496E">
            <w:pPr>
              <w:pStyle w:val="NormalWeb"/>
              <w:spacing w:before="480" w:after="480"/>
              <w:jc w:val="center"/>
              <w:rPr>
                <w:color w:val="000000"/>
              </w:rPr>
            </w:pPr>
            <w:r w:rsidRPr="00533140">
              <w:rPr>
                <w:color w:val="000000"/>
              </w:rPr>
              <w:t>2</w:t>
            </w:r>
          </w:p>
        </w:tc>
        <w:tc>
          <w:tcPr>
            <w:tcW w:w="2693" w:type="dxa"/>
            <w:tcBorders>
              <w:top w:val="single" w:sz="6" w:space="0" w:color="000000"/>
              <w:left w:val="single" w:sz="6" w:space="0" w:color="000000"/>
              <w:bottom w:val="single" w:sz="6" w:space="0" w:color="000000"/>
              <w:right w:val="single" w:sz="6" w:space="0" w:color="000000"/>
            </w:tcBorders>
            <w:hideMark/>
          </w:tcPr>
          <w:p w14:paraId="0013BB4D" w14:textId="77777777" w:rsidR="00533140" w:rsidRPr="00533140" w:rsidRDefault="00533140" w:rsidP="003B496E">
            <w:pPr>
              <w:pStyle w:val="NormalWeb"/>
              <w:spacing w:before="480" w:after="480"/>
              <w:rPr>
                <w:color w:val="000000"/>
              </w:rPr>
            </w:pPr>
            <w:r w:rsidRPr="00533140">
              <w:rPr>
                <w:color w:val="000000"/>
              </w:rPr>
              <w:t>a short-term solution to a long-term problem.</w:t>
            </w:r>
          </w:p>
        </w:tc>
        <w:tc>
          <w:tcPr>
            <w:tcW w:w="1333" w:type="dxa"/>
            <w:tcBorders>
              <w:top w:val="single" w:sz="6" w:space="0" w:color="000000"/>
              <w:left w:val="single" w:sz="6" w:space="0" w:color="000000"/>
              <w:bottom w:val="single" w:sz="6" w:space="0" w:color="000000"/>
              <w:right w:val="single" w:sz="6" w:space="0" w:color="000000"/>
            </w:tcBorders>
            <w:hideMark/>
          </w:tcPr>
          <w:p w14:paraId="1005169C" w14:textId="77777777" w:rsidR="00533140" w:rsidRPr="00533140" w:rsidRDefault="00533140" w:rsidP="003B496E">
            <w:pPr>
              <w:pStyle w:val="NormalWeb"/>
              <w:spacing w:before="480" w:after="480"/>
              <w:jc w:val="center"/>
              <w:rPr>
                <w:color w:val="000000"/>
              </w:rPr>
            </w:pPr>
            <w:r w:rsidRPr="00533140">
              <w:rPr>
                <w:color w:val="000000"/>
              </w:rPr>
              <w:t>0.794</w:t>
            </w:r>
          </w:p>
        </w:tc>
      </w:tr>
    </w:tbl>
    <w:p w14:paraId="539CAF12" w14:textId="4D205374" w:rsidR="003B496E" w:rsidRDefault="00533140" w:rsidP="003B496E">
      <w:pPr>
        <w:pStyle w:val="NormalWeb"/>
        <w:spacing w:before="480" w:after="480"/>
        <w:ind w:firstLine="720"/>
        <w:jc w:val="both"/>
        <w:rPr>
          <w:color w:val="000000"/>
        </w:rPr>
      </w:pPr>
      <w:r w:rsidRPr="00533140">
        <w:rPr>
          <w:color w:val="000000"/>
        </w:rPr>
        <w:t xml:space="preserve">The six-factor solution offers a comprehensive empirical representation of the multiple dimensions that shape public perceptions of government </w:t>
      </w:r>
      <w:r w:rsidRPr="00533140">
        <w:rPr>
          <w:i/>
          <w:iCs/>
          <w:color w:val="000000"/>
        </w:rPr>
        <w:t>“</w:t>
      </w:r>
      <w:proofErr w:type="spellStart"/>
      <w:r w:rsidRPr="00533140">
        <w:rPr>
          <w:i/>
          <w:iCs/>
          <w:color w:val="000000"/>
        </w:rPr>
        <w:t>ayuda</w:t>
      </w:r>
      <w:proofErr w:type="spellEnd"/>
      <w:r w:rsidRPr="00533140">
        <w:rPr>
          <w:i/>
          <w:iCs/>
          <w:color w:val="000000"/>
        </w:rPr>
        <w:t>”</w:t>
      </w:r>
      <w:r w:rsidRPr="00533140">
        <w:rPr>
          <w:color w:val="000000"/>
        </w:rPr>
        <w:t xml:space="preserve"> programs. The factor structure aligns well with both the conceptual framework and empirical evidence presented in prior studies. This multidimensional structure reflects the complex nature of </w:t>
      </w:r>
      <w:r w:rsidRPr="00533140">
        <w:rPr>
          <w:i/>
          <w:iCs/>
          <w:color w:val="000000"/>
        </w:rPr>
        <w:t>“</w:t>
      </w:r>
      <w:proofErr w:type="spellStart"/>
      <w:r w:rsidRPr="00533140">
        <w:rPr>
          <w:i/>
          <w:iCs/>
          <w:color w:val="000000"/>
        </w:rPr>
        <w:t>ayuda</w:t>
      </w:r>
      <w:proofErr w:type="spellEnd"/>
      <w:r w:rsidRPr="00533140">
        <w:rPr>
          <w:i/>
          <w:iCs/>
          <w:color w:val="000000"/>
        </w:rPr>
        <w:t>”</w:t>
      </w:r>
      <w:r w:rsidRPr="00533140">
        <w:rPr>
          <w:color w:val="000000"/>
        </w:rPr>
        <w:t xml:space="preserve"> programs, which are influenced not only by economic need but also by political dynamics, perceptions of fairness, public trust, and the adequacy and intent of government support.</w:t>
      </w:r>
    </w:p>
    <w:p w14:paraId="0783D1EB" w14:textId="6CC47D18" w:rsidR="003B496E" w:rsidRPr="003B496E" w:rsidRDefault="003B496E" w:rsidP="003B496E">
      <w:pPr>
        <w:pStyle w:val="NormalWeb"/>
        <w:spacing w:before="480" w:after="480"/>
        <w:jc w:val="both"/>
        <w:rPr>
          <w:b/>
          <w:bCs/>
          <w:color w:val="000000"/>
        </w:rPr>
      </w:pPr>
      <w:r w:rsidRPr="00533140">
        <w:rPr>
          <w:color w:val="000000"/>
        </w:rPr>
        <w:drawing>
          <wp:anchor distT="0" distB="0" distL="114300" distR="114300" simplePos="0" relativeHeight="251658240" behindDoc="0" locked="0" layoutInCell="1" allowOverlap="1" wp14:anchorId="13F203A1" wp14:editId="1C8066B4">
            <wp:simplePos x="0" y="0"/>
            <wp:positionH relativeFrom="column">
              <wp:posOffset>2077085</wp:posOffset>
            </wp:positionH>
            <wp:positionV relativeFrom="paragraph">
              <wp:posOffset>213360</wp:posOffset>
            </wp:positionV>
            <wp:extent cx="2437741" cy="2275338"/>
            <wp:effectExtent l="0" t="0" r="1270" b="0"/>
            <wp:wrapNone/>
            <wp:docPr id="6061660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7741" cy="22753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496E">
        <w:rPr>
          <w:b/>
          <w:bCs/>
          <w:color w:val="000000"/>
        </w:rPr>
        <w:t>Framework for the Dimensions of Perceptions on “Ayuda” Programs of the Government</w:t>
      </w:r>
    </w:p>
    <w:p w14:paraId="0C2913AC" w14:textId="1CCC82D9" w:rsidR="00533140" w:rsidRPr="00533140" w:rsidRDefault="00533140" w:rsidP="003B496E">
      <w:pPr>
        <w:pStyle w:val="NormalWeb"/>
        <w:spacing w:before="480" w:after="480"/>
        <w:ind w:firstLine="720"/>
        <w:jc w:val="both"/>
        <w:rPr>
          <w:color w:val="000000"/>
        </w:rPr>
      </w:pPr>
    </w:p>
    <w:p w14:paraId="3BB0404C" w14:textId="445F5778" w:rsidR="00533140" w:rsidRPr="00533140" w:rsidRDefault="00533140" w:rsidP="003B496E">
      <w:pPr>
        <w:pStyle w:val="NormalWeb"/>
        <w:spacing w:before="480" w:after="480"/>
        <w:jc w:val="center"/>
        <w:rPr>
          <w:color w:val="000000"/>
        </w:rPr>
      </w:pPr>
      <w:r w:rsidRPr="00533140">
        <w:rPr>
          <w:color w:val="000000"/>
        </w:rPr>
        <w:br/>
      </w:r>
      <w:r w:rsidRPr="00533140">
        <w:rPr>
          <w:color w:val="000000"/>
        </w:rPr>
        <w:br/>
      </w:r>
      <w:r w:rsidRPr="00533140">
        <w:rPr>
          <w:color w:val="000000"/>
        </w:rPr>
        <w:br/>
      </w:r>
      <w:r w:rsidRPr="00533140">
        <w:rPr>
          <w:color w:val="000000"/>
        </w:rPr>
        <w:br/>
      </w:r>
      <w:r w:rsidRPr="00533140">
        <w:rPr>
          <w:color w:val="000000"/>
        </w:rPr>
        <w:br/>
      </w:r>
      <w:r w:rsidRPr="00533140">
        <w:rPr>
          <w:color w:val="000000"/>
        </w:rPr>
        <w:br/>
      </w:r>
      <w:r w:rsidRPr="00533140">
        <w:rPr>
          <w:color w:val="000000"/>
        </w:rPr>
        <w:br/>
      </w:r>
      <w:r w:rsidRPr="00533140">
        <w:rPr>
          <w:color w:val="000000"/>
        </w:rPr>
        <w:br/>
      </w:r>
      <w:r w:rsidRPr="00533140">
        <w:rPr>
          <w:color w:val="000000"/>
        </w:rPr>
        <w:br/>
      </w:r>
      <w:r w:rsidRPr="00533140">
        <w:rPr>
          <w:color w:val="000000"/>
        </w:rPr>
        <w:br/>
      </w:r>
      <w:r w:rsidRPr="00533140">
        <w:rPr>
          <w:i/>
          <w:iCs/>
          <w:color w:val="000000"/>
        </w:rPr>
        <w:t>Figure 1: The framework of the Dimensions of Perceptions on “Ayuda” Programs of the Government</w:t>
      </w:r>
    </w:p>
    <w:p w14:paraId="739F738E" w14:textId="77777777" w:rsidR="00533140" w:rsidRPr="00533140" w:rsidRDefault="00533140" w:rsidP="003B496E">
      <w:pPr>
        <w:pStyle w:val="NormalWeb"/>
        <w:spacing w:before="480" w:after="480"/>
        <w:ind w:firstLine="720"/>
        <w:jc w:val="both"/>
        <w:rPr>
          <w:color w:val="000000"/>
        </w:rPr>
      </w:pPr>
      <w:r w:rsidRPr="00533140">
        <w:rPr>
          <w:color w:val="000000"/>
        </w:rPr>
        <w:lastRenderedPageBreak/>
        <w:t>Figure 1 presents the framework of this study. The exploratory factor analysis yielded six underlying dimensions of perceptions on “</w:t>
      </w:r>
      <w:proofErr w:type="spellStart"/>
      <w:r w:rsidRPr="00533140">
        <w:rPr>
          <w:color w:val="000000"/>
        </w:rPr>
        <w:t>ayuda</w:t>
      </w:r>
      <w:proofErr w:type="spellEnd"/>
      <w:r w:rsidRPr="00533140">
        <w:rPr>
          <w:color w:val="000000"/>
        </w:rPr>
        <w:t>” programs of the government. These are (1) survival-based utilization, (2) political instrumentalization, (3) equity and access discontent, (4) contingent dependency framing, (5) governance legitimacy affirmation, and (6) assistance adequacy critique. These dimensions reveal a depth to public perceptions that goes beyond mere surface opinions, revealing a complex interaction of public expectations, lived experiences, and socio-political considerations.</w:t>
      </w:r>
    </w:p>
    <w:p w14:paraId="47210785" w14:textId="77777777" w:rsidR="00533140" w:rsidRPr="00533140" w:rsidRDefault="00533140" w:rsidP="003B496E">
      <w:pPr>
        <w:pStyle w:val="NormalWeb"/>
        <w:spacing w:before="480" w:after="480"/>
        <w:ind w:firstLine="720"/>
        <w:jc w:val="both"/>
        <w:rPr>
          <w:color w:val="000000"/>
        </w:rPr>
      </w:pPr>
      <w:r w:rsidRPr="00533140">
        <w:rPr>
          <w:color w:val="000000"/>
        </w:rPr>
        <w:t>These findings show that there is a clear difference between what the “</w:t>
      </w:r>
      <w:proofErr w:type="spellStart"/>
      <w:r w:rsidRPr="00533140">
        <w:rPr>
          <w:color w:val="000000"/>
        </w:rPr>
        <w:t>ayuda</w:t>
      </w:r>
      <w:proofErr w:type="spellEnd"/>
      <w:r w:rsidRPr="00533140">
        <w:rPr>
          <w:color w:val="000000"/>
        </w:rPr>
        <w:t>” programs are intended to do and who they are designed for, versus how the public perceives and relies on them. While AICS is designed for economically disadvantaged and vulnerable individuals facing crisis, and AKAP targets individuals who belong to the low-income category, i.e., those who earns below the statutory minimum wage (Department of Social Welfare and Development, 2024), this study shows that “</w:t>
      </w:r>
      <w:proofErr w:type="spellStart"/>
      <w:r w:rsidRPr="00533140">
        <w:rPr>
          <w:color w:val="000000"/>
        </w:rPr>
        <w:t>ayuda</w:t>
      </w:r>
      <w:proofErr w:type="spellEnd"/>
      <w:r w:rsidRPr="00533140">
        <w:rPr>
          <w:color w:val="000000"/>
        </w:rPr>
        <w:t>” has, in practice, become a way for political interests to influence and shape what people expect from these programs. This reflects the ongoing political patronage in the Philippines, where access to aid depends on connections rather than need. Such practices are viewed as corruption, weakening public trust, and undermining the programs’ purpose of providing fair social protection (Palatino, 2025).</w:t>
      </w:r>
    </w:p>
    <w:p w14:paraId="592A59BF" w14:textId="77777777" w:rsidR="00533140" w:rsidRPr="00533140" w:rsidRDefault="00533140" w:rsidP="003B496E">
      <w:pPr>
        <w:pStyle w:val="NormalWeb"/>
        <w:spacing w:before="480" w:after="480"/>
        <w:ind w:firstLine="720"/>
        <w:jc w:val="both"/>
        <w:rPr>
          <w:color w:val="000000"/>
        </w:rPr>
      </w:pPr>
      <w:r w:rsidRPr="00533140">
        <w:rPr>
          <w:color w:val="000000"/>
        </w:rPr>
        <w:t>Despite concerns, the immediate impact of "</w:t>
      </w:r>
      <w:proofErr w:type="spellStart"/>
      <w:r w:rsidRPr="00533140">
        <w:rPr>
          <w:color w:val="000000"/>
        </w:rPr>
        <w:t>ayuda</w:t>
      </w:r>
      <w:proofErr w:type="spellEnd"/>
      <w:r w:rsidRPr="00533140">
        <w:rPr>
          <w:color w:val="000000"/>
        </w:rPr>
        <w:t>" cannot be denied, as it effectively addresses the day-to-day essentials of beneficiaries, such as food, healthcare, education, and utilities. This alignment between program design and user experience speaks to high levels of satisfaction and trust in “</w:t>
      </w:r>
      <w:proofErr w:type="spellStart"/>
      <w:r w:rsidRPr="00533140">
        <w:rPr>
          <w:color w:val="000000"/>
        </w:rPr>
        <w:t>ayuda</w:t>
      </w:r>
      <w:proofErr w:type="spellEnd"/>
      <w:r w:rsidRPr="00533140">
        <w:rPr>
          <w:color w:val="000000"/>
        </w:rPr>
        <w:t>”. This exemplifies how "</w:t>
      </w:r>
      <w:proofErr w:type="spellStart"/>
      <w:r w:rsidRPr="00533140">
        <w:rPr>
          <w:color w:val="000000"/>
        </w:rPr>
        <w:t>ayuda</w:t>
      </w:r>
      <w:proofErr w:type="spellEnd"/>
      <w:r w:rsidRPr="00533140">
        <w:rPr>
          <w:color w:val="000000"/>
        </w:rPr>
        <w:t>" reflects the government’s ethical obligation to provide care and redistribute public resources—affirming the role of the state as provider and steward, consistent with the Code of Conduct and Ethical Standards for Public Officials and Employees (Republic Act No. 6713, 1989), which mandates commitment to the public interest and responsiveness to the needs of the people. However, contrasting perceptions highlight the insufficiency of “</w:t>
      </w:r>
      <w:proofErr w:type="spellStart"/>
      <w:r w:rsidRPr="00533140">
        <w:rPr>
          <w:color w:val="000000"/>
        </w:rPr>
        <w:t>ayuda</w:t>
      </w:r>
      <w:proofErr w:type="spellEnd"/>
      <w:r w:rsidRPr="00533140">
        <w:rPr>
          <w:color w:val="000000"/>
        </w:rPr>
        <w:t xml:space="preserve">,” especially </w:t>
      </w:r>
      <w:proofErr w:type="gramStart"/>
      <w:r w:rsidRPr="00533140">
        <w:rPr>
          <w:color w:val="000000"/>
        </w:rPr>
        <w:t>in light of</w:t>
      </w:r>
      <w:proofErr w:type="gramEnd"/>
      <w:r w:rsidRPr="00533140">
        <w:rPr>
          <w:color w:val="000000"/>
        </w:rPr>
        <w:t xml:space="preserve"> rising inflation and living costs. The very success of “</w:t>
      </w:r>
      <w:proofErr w:type="spellStart"/>
      <w:r w:rsidRPr="00533140">
        <w:rPr>
          <w:color w:val="000000"/>
        </w:rPr>
        <w:t>ayuda</w:t>
      </w:r>
      <w:proofErr w:type="spellEnd"/>
      <w:r w:rsidRPr="00533140">
        <w:rPr>
          <w:color w:val="000000"/>
        </w:rPr>
        <w:t>” in delivering immediate relief simultaneously highlights its limitations: cash aid alone cannot resolve the deeper issues such as underemployment, limited social services, and chronic poverty that drive families back to “</w:t>
      </w:r>
      <w:proofErr w:type="spellStart"/>
      <w:r w:rsidRPr="00533140">
        <w:rPr>
          <w:color w:val="000000"/>
        </w:rPr>
        <w:t>ayuda</w:t>
      </w:r>
      <w:proofErr w:type="spellEnd"/>
      <w:r w:rsidRPr="00533140">
        <w:rPr>
          <w:color w:val="000000"/>
        </w:rPr>
        <w:t>”. Households often cycle back to “</w:t>
      </w:r>
      <w:proofErr w:type="spellStart"/>
      <w:r w:rsidRPr="00533140">
        <w:rPr>
          <w:color w:val="000000"/>
        </w:rPr>
        <w:t>ayuda</w:t>
      </w:r>
      <w:proofErr w:type="spellEnd"/>
      <w:r w:rsidRPr="00533140">
        <w:rPr>
          <w:color w:val="000000"/>
        </w:rPr>
        <w:t>” because they remain highly vulnerable to everyday struggles such as illness, job loss, or sudden price hikes, and lack the means to build a cushion against future risks.</w:t>
      </w:r>
    </w:p>
    <w:p w14:paraId="37A5C10E" w14:textId="6AAC1061" w:rsidR="009D74D7" w:rsidRPr="00F50AF3" w:rsidRDefault="00533140" w:rsidP="003B496E">
      <w:pPr>
        <w:pStyle w:val="NormalWeb"/>
        <w:spacing w:before="480" w:after="480"/>
        <w:ind w:firstLine="720"/>
        <w:jc w:val="both"/>
        <w:rPr>
          <w:color w:val="000000"/>
        </w:rPr>
      </w:pPr>
      <w:r w:rsidRPr="00533140">
        <w:rPr>
          <w:color w:val="000000"/>
        </w:rPr>
        <w:t>Moreover, there exists a dual perception of “</w:t>
      </w:r>
      <w:proofErr w:type="spellStart"/>
      <w:r w:rsidRPr="00533140">
        <w:rPr>
          <w:color w:val="000000"/>
        </w:rPr>
        <w:t>ayuda</w:t>
      </w:r>
      <w:proofErr w:type="spellEnd"/>
      <w:r w:rsidRPr="00533140">
        <w:rPr>
          <w:color w:val="000000"/>
        </w:rPr>
        <w:t xml:space="preserve">” as </w:t>
      </w:r>
      <w:proofErr w:type="gramStart"/>
      <w:r w:rsidRPr="00533140">
        <w:rPr>
          <w:color w:val="000000"/>
        </w:rPr>
        <w:t>both necessary</w:t>
      </w:r>
      <w:proofErr w:type="gramEnd"/>
      <w:r w:rsidRPr="00533140">
        <w:rPr>
          <w:color w:val="000000"/>
        </w:rPr>
        <w:t xml:space="preserve"> during crises yet worrisome due to potential long-term dependency. It is widely understood as a temporary or emergency measure, rather than a sustainable development pathway. Consequently, "</w:t>
      </w:r>
      <w:proofErr w:type="spellStart"/>
      <w:r w:rsidRPr="00533140">
        <w:rPr>
          <w:color w:val="000000"/>
        </w:rPr>
        <w:t>ayuda</w:t>
      </w:r>
      <w:proofErr w:type="spellEnd"/>
      <w:r w:rsidRPr="00533140">
        <w:rPr>
          <w:color w:val="000000"/>
        </w:rPr>
        <w:t>" fails to address the structural and long-term aspects of poverty. For “</w:t>
      </w:r>
      <w:proofErr w:type="spellStart"/>
      <w:r w:rsidRPr="00533140">
        <w:rPr>
          <w:color w:val="000000"/>
        </w:rPr>
        <w:t>ayuda</w:t>
      </w:r>
      <w:proofErr w:type="spellEnd"/>
      <w:r w:rsidRPr="00533140">
        <w:rPr>
          <w:color w:val="000000"/>
        </w:rPr>
        <w:t>” to become a transformative policy, “</w:t>
      </w:r>
      <w:proofErr w:type="spellStart"/>
      <w:r w:rsidRPr="00533140">
        <w:rPr>
          <w:color w:val="000000"/>
        </w:rPr>
        <w:t>ayuda</w:t>
      </w:r>
      <w:proofErr w:type="spellEnd"/>
      <w:r w:rsidRPr="00533140">
        <w:rPr>
          <w:color w:val="000000"/>
        </w:rPr>
        <w:t>” must be coupled with far-reaching economic reforms and long-term significant investment in education, health, skills training, job creation initiatives to lessen long-term dependency on “</w:t>
      </w:r>
      <w:proofErr w:type="spellStart"/>
      <w:r w:rsidRPr="00533140">
        <w:rPr>
          <w:color w:val="000000"/>
        </w:rPr>
        <w:t>ayuda</w:t>
      </w:r>
      <w:proofErr w:type="spellEnd"/>
      <w:r w:rsidRPr="00533140">
        <w:rPr>
          <w:color w:val="000000"/>
        </w:rPr>
        <w:t>” (Tackie, 2021; Punongbayan &amp; Suzara, 2025). Collectively, this study addresses a notable gap in the limited existing studies on governmental assistance programs, particularly by exploring the motivations behind citizens' attitudes toward "</w:t>
      </w:r>
      <w:proofErr w:type="spellStart"/>
      <w:r w:rsidRPr="00533140">
        <w:rPr>
          <w:color w:val="000000"/>
        </w:rPr>
        <w:t>ayuda</w:t>
      </w:r>
      <w:proofErr w:type="spellEnd"/>
      <w:r w:rsidRPr="00533140">
        <w:rPr>
          <w:color w:val="000000"/>
        </w:rPr>
        <w:t>." Given that this phenomenon remains an extensive and complex socio-political factor, a nuanced understanding of its effects extends beyond mere resource allocation to encompass its broader societal consequences.</w:t>
      </w:r>
    </w:p>
    <w:p w14:paraId="6CEC1145" w14:textId="2F36F340" w:rsidR="009D74D7" w:rsidRPr="00F50AF3" w:rsidRDefault="009D74D7" w:rsidP="00F50AF3">
      <w:pPr>
        <w:pStyle w:val="NormalWeb"/>
        <w:spacing w:before="480" w:after="480"/>
        <w:ind w:firstLine="720"/>
        <w:jc w:val="center"/>
        <w:rPr>
          <w:b/>
          <w:bCs/>
          <w:color w:val="000000"/>
          <w:sz w:val="28"/>
          <w:szCs w:val="28"/>
        </w:rPr>
      </w:pPr>
      <w:r w:rsidRPr="00F50AF3">
        <w:rPr>
          <w:b/>
          <w:bCs/>
          <w:color w:val="000000"/>
          <w:sz w:val="28"/>
          <w:szCs w:val="28"/>
        </w:rPr>
        <w:t>CONCLUSION</w:t>
      </w:r>
    </w:p>
    <w:p w14:paraId="04D7CE26" w14:textId="77777777" w:rsidR="003B496E" w:rsidRPr="003B496E" w:rsidRDefault="003B496E" w:rsidP="00427858">
      <w:pPr>
        <w:pStyle w:val="NormalWeb"/>
        <w:spacing w:before="0" w:beforeAutospacing="0" w:after="0" w:afterAutospacing="0"/>
        <w:ind w:firstLine="720"/>
        <w:jc w:val="both"/>
        <w:rPr>
          <w:color w:val="000000"/>
        </w:rPr>
      </w:pPr>
      <w:r w:rsidRPr="003B496E">
        <w:rPr>
          <w:color w:val="000000"/>
        </w:rPr>
        <w:t>This study investigated the underlying dimensions of public perceptions concerning government "</w:t>
      </w:r>
      <w:proofErr w:type="spellStart"/>
      <w:r w:rsidRPr="003B496E">
        <w:rPr>
          <w:color w:val="000000"/>
        </w:rPr>
        <w:t>ayuda</w:t>
      </w:r>
      <w:proofErr w:type="spellEnd"/>
      <w:r w:rsidRPr="003B496E">
        <w:rPr>
          <w:color w:val="000000"/>
        </w:rPr>
        <w:t>" programs within the three city governments of Davao del Norte using an exploratory sequential mixed-methods approach. The study identified six dimensions shaping these perceptions: (1) survival-based utilization, (2) political instrumentalization, (3) equity and access discontent, (4) contingent dependency framing, (5) governance legitimacy affirmation, and (6) assistance adequacy critique. These dimensions reveal a complex interaction of expectations, lived experiences, and socio-political considerations. The qualitative results provided insights that guided the quantitative phase in determining the main variables that shape public perceptions toward “</w:t>
      </w:r>
      <w:proofErr w:type="spellStart"/>
      <w:r w:rsidRPr="003B496E">
        <w:rPr>
          <w:color w:val="000000"/>
        </w:rPr>
        <w:t>ayuda</w:t>
      </w:r>
      <w:proofErr w:type="spellEnd"/>
      <w:r w:rsidRPr="003B496E">
        <w:rPr>
          <w:color w:val="000000"/>
        </w:rPr>
        <w:t>.”</w:t>
      </w:r>
    </w:p>
    <w:p w14:paraId="660C4DC9" w14:textId="77777777" w:rsidR="003B496E" w:rsidRPr="003B496E" w:rsidRDefault="003B496E" w:rsidP="00427858">
      <w:pPr>
        <w:pStyle w:val="NormalWeb"/>
        <w:spacing w:before="0" w:beforeAutospacing="0" w:after="0" w:afterAutospacing="0"/>
        <w:ind w:firstLine="720"/>
        <w:jc w:val="both"/>
        <w:rPr>
          <w:color w:val="000000"/>
        </w:rPr>
      </w:pPr>
      <w:r w:rsidRPr="003B496E">
        <w:rPr>
          <w:color w:val="000000"/>
        </w:rPr>
        <w:t xml:space="preserve">Participants were beneficiaries of two key initiatives, AICS and AKAP, both providing direct cash aid under the DSWD. Results showed a difference between the intended purpose of these programs and how the public perceives and relies on them. While AICS targets individuals in crisis and AKAP supports low-income </w:t>
      </w:r>
      <w:r w:rsidRPr="003B496E">
        <w:rPr>
          <w:color w:val="000000"/>
        </w:rPr>
        <w:lastRenderedPageBreak/>
        <w:t>earners (Department of Social Welfare and Development, 2024), the study suggests that “</w:t>
      </w:r>
      <w:proofErr w:type="spellStart"/>
      <w:r w:rsidRPr="003B496E">
        <w:rPr>
          <w:color w:val="000000"/>
        </w:rPr>
        <w:t>ayuda</w:t>
      </w:r>
      <w:proofErr w:type="spellEnd"/>
      <w:r w:rsidRPr="003B496E">
        <w:rPr>
          <w:color w:val="000000"/>
        </w:rPr>
        <w:t>” has become a tool through which political interests influence expectations. Public perception shows a shift from viewing “</w:t>
      </w:r>
      <w:proofErr w:type="spellStart"/>
      <w:r w:rsidRPr="003B496E">
        <w:rPr>
          <w:color w:val="000000"/>
        </w:rPr>
        <w:t>ayuda</w:t>
      </w:r>
      <w:proofErr w:type="spellEnd"/>
      <w:r w:rsidRPr="003B496E">
        <w:rPr>
          <w:color w:val="000000"/>
        </w:rPr>
        <w:t>” as temporary relief to seeing it as a semi-permanent solution, contributing to increased reliance.</w:t>
      </w:r>
    </w:p>
    <w:p w14:paraId="01110AE4" w14:textId="77777777" w:rsidR="003B496E" w:rsidRPr="003B496E" w:rsidRDefault="003B496E" w:rsidP="003B496E">
      <w:pPr>
        <w:pStyle w:val="NormalWeb"/>
        <w:spacing w:before="480" w:after="480"/>
        <w:ind w:firstLine="720"/>
        <w:jc w:val="both"/>
        <w:rPr>
          <w:color w:val="000000"/>
        </w:rPr>
      </w:pPr>
      <w:r w:rsidRPr="003B496E">
        <w:rPr>
          <w:color w:val="000000"/>
        </w:rPr>
        <w:t>These perceptions are shaped by economic pressures and local-level implementation practices. Claims of favoritism have affected trust in the system, highlighting tensions surrounding equity and transparency. Although "</w:t>
      </w:r>
      <w:proofErr w:type="spellStart"/>
      <w:r w:rsidRPr="003B496E">
        <w:rPr>
          <w:color w:val="000000"/>
        </w:rPr>
        <w:t>ayuda</w:t>
      </w:r>
      <w:proofErr w:type="spellEnd"/>
      <w:r w:rsidRPr="003B496E">
        <w:rPr>
          <w:color w:val="000000"/>
        </w:rPr>
        <w:t>" effectively addresses daily essentials, such as food, healthcare, education, and utilities—and aligns with the principle of serving vulnerable sectors (Republic Act No. 6713, 1989), its inherent limitations have become more evident. Support is increasingly seen as insufficient, especially amid rising costs of living. As a temporary measure, “</w:t>
      </w:r>
      <w:proofErr w:type="spellStart"/>
      <w:r w:rsidRPr="003B496E">
        <w:rPr>
          <w:color w:val="000000"/>
        </w:rPr>
        <w:t>ayuda</w:t>
      </w:r>
      <w:proofErr w:type="spellEnd"/>
      <w:r w:rsidRPr="003B496E">
        <w:rPr>
          <w:color w:val="000000"/>
        </w:rPr>
        <w:t>” does not address long-term poverty, underscoring the need for broader economic reforms and investment in education, health, and employment opportunities (Punongbayan &amp; Suzara, 2025).</w:t>
      </w:r>
    </w:p>
    <w:p w14:paraId="4DB40617" w14:textId="73529220" w:rsidR="003B496E" w:rsidRPr="003B496E" w:rsidRDefault="003B496E" w:rsidP="00427858">
      <w:pPr>
        <w:pStyle w:val="NormalWeb"/>
        <w:spacing w:before="480" w:after="480"/>
        <w:ind w:firstLine="720"/>
        <w:jc w:val="both"/>
        <w:rPr>
          <w:color w:val="000000"/>
        </w:rPr>
      </w:pPr>
      <w:r w:rsidRPr="003B496E">
        <w:rPr>
          <w:color w:val="000000"/>
        </w:rPr>
        <w:t>The study’s findings support the combined lens of Rawls' Theory of Justice and Homans' Social Exchange Theory. Beliefs that "</w:t>
      </w:r>
      <w:proofErr w:type="spellStart"/>
      <w:r w:rsidRPr="003B496E">
        <w:rPr>
          <w:color w:val="000000"/>
        </w:rPr>
        <w:t>ayuda</w:t>
      </w:r>
      <w:proofErr w:type="spellEnd"/>
      <w:r w:rsidRPr="003B496E">
        <w:rPr>
          <w:color w:val="000000"/>
        </w:rPr>
        <w:t>" is influenced by political affiliation challenge Rawls’ “justice as fairness.” Beneficiaries’ cost-benefit assessments reflect Homans' view that individuals weigh immediate gains against perceived costs, reinforcing the perception of “</w:t>
      </w:r>
      <w:proofErr w:type="spellStart"/>
      <w:r w:rsidRPr="003B496E">
        <w:rPr>
          <w:color w:val="000000"/>
        </w:rPr>
        <w:t>ayuda</w:t>
      </w:r>
      <w:proofErr w:type="spellEnd"/>
      <w:r w:rsidRPr="003B496E">
        <w:rPr>
          <w:color w:val="000000"/>
        </w:rPr>
        <w:t>” as necessary but temporary and insufficient for long-term socio-economic security. This gap between</w:t>
      </w:r>
      <w:r w:rsidR="00427858">
        <w:rPr>
          <w:color w:val="000000"/>
        </w:rPr>
        <w:t xml:space="preserve"> the</w:t>
      </w:r>
      <w:r w:rsidRPr="003B496E">
        <w:rPr>
          <w:color w:val="000000"/>
        </w:rPr>
        <w:t xml:space="preserve"> </w:t>
      </w:r>
      <w:proofErr w:type="gramStart"/>
      <w:r w:rsidRPr="003B496E">
        <w:rPr>
          <w:color w:val="000000"/>
        </w:rPr>
        <w:t>provided assistance</w:t>
      </w:r>
      <w:proofErr w:type="gramEnd"/>
      <w:r w:rsidRPr="003B496E">
        <w:rPr>
          <w:color w:val="000000"/>
        </w:rPr>
        <w:t xml:space="preserve"> and actual needs contributes to dissatisfaction and highlights the need for structural interventions.</w:t>
      </w:r>
      <w:r w:rsidR="00427858">
        <w:rPr>
          <w:color w:val="000000"/>
        </w:rPr>
        <w:t xml:space="preserve"> </w:t>
      </w:r>
      <w:r w:rsidRPr="003B496E">
        <w:rPr>
          <w:color w:val="000000"/>
        </w:rPr>
        <w:t>Collectively, this research addresses gaps in limited studies on governmental assistance programs by examining the motivations shaping public attitudes toward “</w:t>
      </w:r>
      <w:proofErr w:type="spellStart"/>
      <w:r w:rsidRPr="003B496E">
        <w:rPr>
          <w:color w:val="000000"/>
        </w:rPr>
        <w:t>ayuda</w:t>
      </w:r>
      <w:proofErr w:type="spellEnd"/>
      <w:r w:rsidRPr="003B496E">
        <w:rPr>
          <w:color w:val="000000"/>
        </w:rPr>
        <w:t>.” Understanding these perceptions extends beyond resource allocation and underscores their broader societal implications.</w:t>
      </w:r>
    </w:p>
    <w:p w14:paraId="0EDDE8D7" w14:textId="34CBCF85" w:rsidR="009D74D7" w:rsidRPr="00427858" w:rsidRDefault="00D961FF" w:rsidP="00F50AF3">
      <w:pPr>
        <w:pStyle w:val="NormalWeb"/>
        <w:spacing w:before="480" w:after="480"/>
        <w:jc w:val="center"/>
        <w:rPr>
          <w:b/>
          <w:bCs/>
          <w:color w:val="000000"/>
          <w:sz w:val="28"/>
          <w:szCs w:val="28"/>
        </w:rPr>
      </w:pPr>
      <w:r w:rsidRPr="00427858">
        <w:rPr>
          <w:b/>
          <w:bCs/>
          <w:color w:val="000000"/>
          <w:sz w:val="28"/>
          <w:szCs w:val="28"/>
        </w:rPr>
        <w:t>RECOMMENDATION</w:t>
      </w:r>
    </w:p>
    <w:p w14:paraId="0C3994AF" w14:textId="77777777" w:rsidR="00427858" w:rsidRPr="00427858" w:rsidRDefault="00427858" w:rsidP="00427858">
      <w:pPr>
        <w:pStyle w:val="NormalWeb"/>
        <w:spacing w:before="480" w:after="0"/>
        <w:ind w:firstLine="720"/>
        <w:jc w:val="both"/>
        <w:rPr>
          <w:color w:val="000000"/>
        </w:rPr>
      </w:pPr>
      <w:r w:rsidRPr="00427858">
        <w:rPr>
          <w:color w:val="000000"/>
        </w:rPr>
        <w:t>Local Government Units (LGUs) should actively involve themselves as major assistants to the Department of Social Welfare and Development (DSWD) in the implementation of AICS and AKAP through enhanced roles in beneficiary assessment, eligibility check-up, and case validation. They must ensure that all documentary requirements such as valid identification, residency documents, and income verification are presented and examined before assistance is given. LGUs should streamline and publish eligibility criteria and documentary requirements and ensure these are applied to all applicants to reduce favoritism and political bias. Making requirements accessible and transparent increases accountability and trust in local programs (</w:t>
      </w:r>
      <w:proofErr w:type="spellStart"/>
      <w:r w:rsidRPr="00427858">
        <w:rPr>
          <w:color w:val="000000"/>
        </w:rPr>
        <w:t>Kalidoss</w:t>
      </w:r>
      <w:proofErr w:type="spellEnd"/>
      <w:r w:rsidRPr="00427858">
        <w:rPr>
          <w:color w:val="000000"/>
        </w:rPr>
        <w:t xml:space="preserve"> and Ghate, 2025). LGUs should also establish open grievance and appeals channels and cooperate with third party monitors such as civil society organizations or local audit committees.</w:t>
      </w:r>
    </w:p>
    <w:p w14:paraId="1809C608" w14:textId="77777777" w:rsidR="00427858" w:rsidRPr="00427858" w:rsidRDefault="00427858" w:rsidP="00427858">
      <w:pPr>
        <w:pStyle w:val="NormalWeb"/>
        <w:spacing w:before="480" w:after="0"/>
        <w:ind w:firstLine="720"/>
        <w:jc w:val="both"/>
        <w:rPr>
          <w:color w:val="000000"/>
        </w:rPr>
      </w:pPr>
      <w:r w:rsidRPr="00427858">
        <w:rPr>
          <w:color w:val="000000"/>
        </w:rPr>
        <w:t>The Department of Social Welfare and Development (DSWD) needs to tighten adherence to updated guidelines through implementation protocols, capacity-building, and compliance checks for LGUs. Uniform norms of eligibility should be applied in all areas to avoid inconsistency and political interference. It is recommended that the DSWD develop a centralized database on beneficiaries, incorporate digital sources of application and tracking, and institutionalize feedback channels to enhance responsiveness and transparency. Legislative efforts, including the proposed DSWD Regional Warehouses Act (House of Representatives of the Philippines, 2025), recognize the need to strengthen support systems for efficient, transparent, and timely service delivery.</w:t>
      </w:r>
    </w:p>
    <w:p w14:paraId="49FEED2F" w14:textId="77777777" w:rsidR="00427858" w:rsidRPr="00427858" w:rsidRDefault="00427858" w:rsidP="00427858">
      <w:pPr>
        <w:pStyle w:val="NormalWeb"/>
        <w:spacing w:before="480" w:after="0"/>
        <w:ind w:firstLine="720"/>
        <w:jc w:val="both"/>
        <w:rPr>
          <w:color w:val="000000"/>
        </w:rPr>
      </w:pPr>
      <w:r w:rsidRPr="00427858">
        <w:rPr>
          <w:color w:val="000000"/>
        </w:rPr>
        <w:t>Policy Recommendation. Strengthening Eligibility Requirements and Standardizing Implementation. This policy alternative aims to address concerns about politicization, lack of equality, and declining trust by strengthening eligibility criteria and processes. It suggests clearer eligibility criteria, mandatory submission and verification of income documents, and public checklists of required documentation in the AICS and AKAP guidelines. It also recommends standard implementation procedures in all Local Government Units (LGUs) to ensure consistent and fair application nationwide. Independent assessments of performance, enhanced grievance systems, and transparent appeals channels are also advised. These improvements are consistent with the Local Government Code of 1991 (Republic Act No. 7160) which requires LGUs to deliver social welfare services efficiently, responsibly, and transparently.</w:t>
      </w:r>
    </w:p>
    <w:p w14:paraId="53DDFA77" w14:textId="77777777" w:rsidR="00427858" w:rsidRPr="00427858" w:rsidRDefault="00427858" w:rsidP="00427858">
      <w:pPr>
        <w:pStyle w:val="NormalWeb"/>
        <w:spacing w:before="480" w:after="0"/>
        <w:ind w:firstLine="720"/>
        <w:jc w:val="both"/>
        <w:rPr>
          <w:color w:val="000000"/>
        </w:rPr>
      </w:pPr>
      <w:r w:rsidRPr="00427858">
        <w:rPr>
          <w:color w:val="000000"/>
        </w:rPr>
        <w:lastRenderedPageBreak/>
        <w:t>Budget recalibration should ensure that appropriations match demand, inflation rates, and the changing needs of vulnerable populations in the annual General Appropriations Act (GAA). Digital government platforms such as centralized datasets of beneficiaries, online applications, and real-time tracking should also be integrated. These systems must comply with the Data Privacy Act of 2012 (RA 10173) to ensure safe and ethical handling of personal information. These measures promote transparency, efficiency in service, and increased trust in government distribution of aid.</w:t>
      </w:r>
    </w:p>
    <w:p w14:paraId="05DE91A2" w14:textId="77777777" w:rsidR="00427858" w:rsidRPr="00427858" w:rsidRDefault="00427858" w:rsidP="00427858">
      <w:pPr>
        <w:pStyle w:val="NormalWeb"/>
        <w:spacing w:before="480" w:after="0"/>
        <w:ind w:firstLine="720"/>
        <w:jc w:val="both"/>
        <w:rPr>
          <w:color w:val="000000"/>
        </w:rPr>
      </w:pPr>
      <w:r w:rsidRPr="00427858">
        <w:rPr>
          <w:color w:val="000000"/>
        </w:rPr>
        <w:t>Future research should examine how political beliefs, affiliations, or trust in local leadership shape individuals' experiences with government aid programs across regions, income brackets, and vulnerable sectors. Such studies may reveal disparities in access, satisfaction, and perceptions of fairness. Researchers are encouraged to apply confirmatory factor analysis (CFA) to strengthen validity and reliability of survey instruments and to conduct longitudinal studies to track changes in public attitudes. These approaches can inform evidence-based reforms and support the development of more equitable and politically neutral aid programs.</w:t>
      </w:r>
    </w:p>
    <w:p w14:paraId="709E5D45" w14:textId="0EE7848E" w:rsidR="0096212B" w:rsidRPr="00223297" w:rsidRDefault="0096212B" w:rsidP="00223297">
      <w:pPr>
        <w:pStyle w:val="NormalWeb"/>
        <w:spacing w:before="480" w:after="0"/>
        <w:jc w:val="center"/>
        <w:rPr>
          <w:b/>
          <w:bCs/>
          <w:color w:val="000000"/>
          <w:sz w:val="28"/>
          <w:szCs w:val="28"/>
        </w:rPr>
      </w:pPr>
      <w:r w:rsidRPr="00223297">
        <w:rPr>
          <w:b/>
          <w:bCs/>
          <w:color w:val="000000"/>
          <w:sz w:val="28"/>
          <w:szCs w:val="28"/>
        </w:rPr>
        <w:t>REFERENCES</w:t>
      </w:r>
    </w:p>
    <w:p w14:paraId="1F309B41" w14:textId="77777777" w:rsidR="00427858" w:rsidRPr="00427858" w:rsidRDefault="00427858" w:rsidP="00427858">
      <w:pPr>
        <w:pStyle w:val="NormalWeb"/>
        <w:numPr>
          <w:ilvl w:val="0"/>
          <w:numId w:val="13"/>
        </w:numPr>
        <w:spacing w:before="480" w:after="0"/>
      </w:pPr>
      <w:proofErr w:type="spellStart"/>
      <w:r w:rsidRPr="00427858">
        <w:t>Altındağ</w:t>
      </w:r>
      <w:proofErr w:type="spellEnd"/>
      <w:r w:rsidRPr="00427858">
        <w:t xml:space="preserve">, O., &amp; O’Connell, S. D. (2023). </w:t>
      </w:r>
      <w:r w:rsidRPr="00427858">
        <w:rPr>
          <w:i/>
          <w:iCs/>
        </w:rPr>
        <w:t>The Short</w:t>
      </w:r>
      <w:r w:rsidRPr="00427858">
        <w:rPr>
          <w:i/>
          <w:iCs/>
        </w:rPr>
        <w:noBreakHyphen/>
        <w:t>Lived Effects of Unconditional Cash Transfers to Refugees</w:t>
      </w:r>
      <w:r w:rsidRPr="00427858">
        <w:t xml:space="preserve">. </w:t>
      </w:r>
      <w:r w:rsidRPr="00427858">
        <w:rPr>
          <w:i/>
          <w:iCs/>
        </w:rPr>
        <w:t>Journal of Development Economics, 160</w:t>
      </w:r>
      <w:r w:rsidRPr="00427858">
        <w:t>, Article 102942.</w:t>
      </w:r>
      <w:hyperlink r:id="rId9" w:history="1">
        <w:r w:rsidRPr="00427858">
          <w:rPr>
            <w:rStyle w:val="Hyperlink"/>
            <w:color w:val="auto"/>
            <w:u w:val="none"/>
          </w:rPr>
          <w:t xml:space="preserve"> https://doi.org/10.1016/j.jdeveco.2022.102942</w:t>
        </w:r>
      </w:hyperlink>
    </w:p>
    <w:p w14:paraId="26C0C75C" w14:textId="77777777" w:rsidR="00427858" w:rsidRPr="00427858" w:rsidRDefault="00427858" w:rsidP="00427858">
      <w:pPr>
        <w:pStyle w:val="NormalWeb"/>
        <w:numPr>
          <w:ilvl w:val="0"/>
          <w:numId w:val="13"/>
        </w:numPr>
        <w:spacing w:before="480" w:after="0"/>
      </w:pPr>
      <w:r w:rsidRPr="00427858">
        <w:t xml:space="preserve">Berman, E. (2017). An exploratory sequential mixed methods approach to understanding researchers’ data management practices at UVM: Integrated Findings to develop Research Data Services. </w:t>
      </w:r>
      <w:r w:rsidRPr="00427858">
        <w:rPr>
          <w:i/>
          <w:iCs/>
        </w:rPr>
        <w:t>Journal of eScience Librarianship</w:t>
      </w:r>
      <w:r w:rsidRPr="00427858">
        <w:t xml:space="preserve">, </w:t>
      </w:r>
      <w:r w:rsidRPr="00427858">
        <w:rPr>
          <w:i/>
          <w:iCs/>
        </w:rPr>
        <w:t>6</w:t>
      </w:r>
      <w:r w:rsidRPr="00427858">
        <w:t>(1), e1104. https://doi.org/10.7191/jeslib.2017.1104</w:t>
      </w:r>
    </w:p>
    <w:p w14:paraId="4CACD77B" w14:textId="77777777" w:rsidR="00427858" w:rsidRPr="00427858" w:rsidRDefault="00427858" w:rsidP="00427858">
      <w:pPr>
        <w:pStyle w:val="NormalWeb"/>
        <w:numPr>
          <w:ilvl w:val="0"/>
          <w:numId w:val="13"/>
        </w:numPr>
        <w:spacing w:before="480" w:after="0"/>
      </w:pPr>
      <w:r w:rsidRPr="00427858">
        <w:t xml:space="preserve">Braga, L., &amp; Braga, L. (2024, December 16). </w:t>
      </w:r>
      <w:r w:rsidRPr="00427858">
        <w:rPr>
          <w:i/>
          <w:iCs/>
        </w:rPr>
        <w:t xml:space="preserve">AKAP, AICS are DSWD Programs with Agency-disbursed Funds – DSWD chief - DSWD. DSWD - </w:t>
      </w:r>
      <w:proofErr w:type="spellStart"/>
      <w:r w:rsidRPr="00427858">
        <w:t>Bawat</w:t>
      </w:r>
      <w:proofErr w:type="spellEnd"/>
      <w:r w:rsidRPr="00427858">
        <w:t xml:space="preserve"> Buhay </w:t>
      </w:r>
      <w:proofErr w:type="spellStart"/>
      <w:r w:rsidRPr="00427858">
        <w:t>Mahalaga</w:t>
      </w:r>
      <w:proofErr w:type="spellEnd"/>
      <w:r w:rsidRPr="00427858">
        <w:t xml:space="preserve"> </w:t>
      </w:r>
      <w:proofErr w:type="spellStart"/>
      <w:r w:rsidRPr="00427858">
        <w:t>sa</w:t>
      </w:r>
      <w:proofErr w:type="spellEnd"/>
      <w:r w:rsidRPr="00427858">
        <w:t xml:space="preserve"> DSWD. </w:t>
      </w:r>
      <w:hyperlink r:id="rId10" w:history="1">
        <w:r w:rsidRPr="00427858">
          <w:rPr>
            <w:rStyle w:val="Hyperlink"/>
            <w:color w:val="auto"/>
            <w:u w:val="none"/>
          </w:rPr>
          <w:t>https://www.dswd.gov.ph/akap-aics-are-dswd-programs-with-agency-disbursed-funds-dswd-chief/?utm_source=</w:t>
        </w:r>
      </w:hyperlink>
    </w:p>
    <w:p w14:paraId="1DD37954" w14:textId="77777777" w:rsidR="00427858" w:rsidRPr="00427858" w:rsidRDefault="00427858" w:rsidP="00427858">
      <w:pPr>
        <w:pStyle w:val="NormalWeb"/>
        <w:numPr>
          <w:ilvl w:val="0"/>
          <w:numId w:val="13"/>
        </w:numPr>
        <w:spacing w:before="480" w:after="0"/>
      </w:pPr>
      <w:r w:rsidRPr="00427858">
        <w:t xml:space="preserve">Cook, T. D., Campbell, D. T., &amp; </w:t>
      </w:r>
      <w:proofErr w:type="spellStart"/>
      <w:r w:rsidRPr="00427858">
        <w:t>Shadish</w:t>
      </w:r>
      <w:proofErr w:type="spellEnd"/>
      <w:r w:rsidRPr="00427858">
        <w:t xml:space="preserve">, W. (2002). </w:t>
      </w:r>
      <w:r w:rsidRPr="00427858">
        <w:rPr>
          <w:i/>
          <w:iCs/>
        </w:rPr>
        <w:t>Experimental and quasi-experimental designs for generalized causal inference</w:t>
      </w:r>
      <w:r w:rsidRPr="00427858">
        <w:t xml:space="preserve"> (Vol. 1195). Boston, MA: Houghton Mifflin. https://iaes.cgiar.org/sites/default/files/pdf/147.pdf</w:t>
      </w:r>
    </w:p>
    <w:p w14:paraId="54E257B7" w14:textId="77777777" w:rsidR="00427858" w:rsidRPr="00427858" w:rsidRDefault="00427858" w:rsidP="00427858">
      <w:pPr>
        <w:pStyle w:val="NormalWeb"/>
        <w:numPr>
          <w:ilvl w:val="0"/>
          <w:numId w:val="13"/>
        </w:numPr>
        <w:spacing w:before="480" w:after="0"/>
      </w:pPr>
      <w:r w:rsidRPr="00427858">
        <w:t xml:space="preserve">Costello, A. B., &amp; Osborne, J. W. (2005). </w:t>
      </w:r>
      <w:r w:rsidRPr="00427858">
        <w:rPr>
          <w:i/>
          <w:iCs/>
        </w:rPr>
        <w:t>Best Practices in Exploratory Factor Analysis: Four Recommendations for Getting the Most from your Analysis.</w:t>
      </w:r>
      <w:r w:rsidRPr="00427858">
        <w:t xml:space="preserve"> Practical Assessment, Research &amp; Evaluation, 10(7), 1–9.</w:t>
      </w:r>
      <w:hyperlink r:id="rId11" w:history="1">
        <w:r w:rsidRPr="00427858">
          <w:rPr>
            <w:rStyle w:val="Hyperlink"/>
            <w:color w:val="auto"/>
            <w:u w:val="none"/>
          </w:rPr>
          <w:t xml:space="preserve"> https://doi.org/10.7275/jyj1-4868</w:t>
        </w:r>
      </w:hyperlink>
    </w:p>
    <w:p w14:paraId="0A4BFD45" w14:textId="77777777" w:rsidR="00427858" w:rsidRPr="00427858" w:rsidRDefault="00427858" w:rsidP="00427858">
      <w:pPr>
        <w:pStyle w:val="NormalWeb"/>
        <w:numPr>
          <w:ilvl w:val="0"/>
          <w:numId w:val="13"/>
        </w:numPr>
        <w:spacing w:before="480" w:after="0"/>
      </w:pPr>
      <w:r w:rsidRPr="00427858">
        <w:t xml:space="preserve">Creswell, J. W. (2009). </w:t>
      </w:r>
      <w:r w:rsidRPr="00427858">
        <w:rPr>
          <w:i/>
          <w:iCs/>
        </w:rPr>
        <w:t xml:space="preserve">Research design: Qualitative, Quantitative, and </w:t>
      </w:r>
      <w:proofErr w:type="gramStart"/>
      <w:r w:rsidRPr="00427858">
        <w:rPr>
          <w:i/>
          <w:iCs/>
        </w:rPr>
        <w:t>Mixed -methods</w:t>
      </w:r>
      <w:proofErr w:type="gramEnd"/>
      <w:r w:rsidRPr="00427858">
        <w:rPr>
          <w:i/>
          <w:iCs/>
        </w:rPr>
        <w:t xml:space="preserve"> Approaches</w:t>
      </w:r>
      <w:r w:rsidRPr="00427858">
        <w:t xml:space="preserve">. SAGE Publications, Inc. </w:t>
      </w:r>
      <w:hyperlink r:id="rId12" w:history="1">
        <w:r w:rsidRPr="00427858">
          <w:rPr>
            <w:rStyle w:val="Hyperlink"/>
            <w:color w:val="auto"/>
            <w:u w:val="none"/>
          </w:rPr>
          <w:t>https://www.ucg.ac.me/skladiste/blog_609332/objava_105202/fajlovi/Creswell.pdf</w:t>
        </w:r>
      </w:hyperlink>
    </w:p>
    <w:p w14:paraId="2040083A" w14:textId="77777777" w:rsidR="00427858" w:rsidRPr="00427858" w:rsidRDefault="00427858" w:rsidP="00427858">
      <w:pPr>
        <w:pStyle w:val="NormalWeb"/>
        <w:numPr>
          <w:ilvl w:val="0"/>
          <w:numId w:val="13"/>
        </w:numPr>
        <w:spacing w:before="480" w:after="0"/>
      </w:pPr>
      <w:r w:rsidRPr="00427858">
        <w:t xml:space="preserve">Creswell, J. W., &amp; Clark, V. L. P. (2017). </w:t>
      </w:r>
      <w:r w:rsidRPr="00427858">
        <w:rPr>
          <w:i/>
          <w:iCs/>
        </w:rPr>
        <w:t>Designing and Conducting Mixed Methods Research</w:t>
      </w:r>
      <w:r w:rsidRPr="00427858">
        <w:t>. SAGE Publications, Incorporated.</w:t>
      </w:r>
      <w:r w:rsidRPr="00427858">
        <w:br/>
      </w:r>
      <w:hyperlink r:id="rId13" w:history="1">
        <w:r w:rsidRPr="00427858">
          <w:rPr>
            <w:rStyle w:val="Hyperlink"/>
            <w:color w:val="auto"/>
            <w:u w:val="none"/>
          </w:rPr>
          <w:t>https://bayanbox.ir/view/236051966444369258/9781483344379-Designing-and-Conducting-Mixed-Methods-Research-3e.pdf</w:t>
        </w:r>
      </w:hyperlink>
    </w:p>
    <w:p w14:paraId="53884979" w14:textId="77777777" w:rsidR="00427858" w:rsidRPr="00427858" w:rsidRDefault="00427858" w:rsidP="00427858">
      <w:pPr>
        <w:pStyle w:val="NormalWeb"/>
        <w:numPr>
          <w:ilvl w:val="0"/>
          <w:numId w:val="13"/>
        </w:numPr>
        <w:spacing w:before="480" w:after="0"/>
      </w:pPr>
      <w:r w:rsidRPr="00427858">
        <w:t xml:space="preserve">Cudis, C. (2021). </w:t>
      </w:r>
      <w:r w:rsidRPr="00427858">
        <w:rPr>
          <w:i/>
          <w:iCs/>
        </w:rPr>
        <w:t xml:space="preserve">DSWD, PSA ink deal to use </w:t>
      </w:r>
      <w:proofErr w:type="spellStart"/>
      <w:r w:rsidRPr="00427858">
        <w:rPr>
          <w:i/>
          <w:iCs/>
        </w:rPr>
        <w:t>PhilID</w:t>
      </w:r>
      <w:proofErr w:type="spellEnd"/>
      <w:r w:rsidRPr="00427858">
        <w:rPr>
          <w:i/>
          <w:iCs/>
        </w:rPr>
        <w:t xml:space="preserve"> in assistance programs</w:t>
      </w:r>
      <w:r w:rsidRPr="00427858">
        <w:t>. Philippine News Agency.</w:t>
      </w:r>
      <w:hyperlink r:id="rId14" w:history="1">
        <w:r w:rsidRPr="00427858">
          <w:rPr>
            <w:rStyle w:val="Hyperlink"/>
            <w:color w:val="auto"/>
            <w:u w:val="none"/>
          </w:rPr>
          <w:t xml:space="preserve"> https://www.pna.gov.ph/articles/1154757</w:t>
        </w:r>
      </w:hyperlink>
    </w:p>
    <w:p w14:paraId="2E778DD6" w14:textId="77777777" w:rsidR="00427858" w:rsidRPr="00427858" w:rsidRDefault="00427858" w:rsidP="00427858">
      <w:pPr>
        <w:pStyle w:val="NormalWeb"/>
        <w:numPr>
          <w:ilvl w:val="0"/>
          <w:numId w:val="13"/>
        </w:numPr>
        <w:spacing w:before="480" w:after="0"/>
      </w:pPr>
      <w:r w:rsidRPr="00427858">
        <w:t xml:space="preserve">Department of Social Welfare and Development. (2025, May 3). </w:t>
      </w:r>
      <w:r w:rsidRPr="00427858">
        <w:rPr>
          <w:i/>
          <w:iCs/>
        </w:rPr>
        <w:t>Cash grants from DSWD’s AICS, AKAP programs range from Php1 k to Php10 k based on social workers’ assessment – PSB director</w:t>
      </w:r>
      <w:r w:rsidRPr="00427858">
        <w:t>. Retrieved June 17, 2025, from</w:t>
      </w:r>
      <w:hyperlink r:id="rId15" w:history="1">
        <w:r w:rsidRPr="00427858">
          <w:rPr>
            <w:rStyle w:val="Hyperlink"/>
            <w:color w:val="auto"/>
            <w:u w:val="none"/>
          </w:rPr>
          <w:t xml:space="preserve"> https://www.dswd.gov.ph/cash-grants-from-dswds-aics-akap-programs-range-from-php1k-to-php10k-based-on-social-workers-assessment-psb-director/</w:t>
        </w:r>
      </w:hyperlink>
    </w:p>
    <w:p w14:paraId="3B890D47" w14:textId="77777777" w:rsidR="00427858" w:rsidRPr="00427858" w:rsidRDefault="00427858" w:rsidP="00427858">
      <w:pPr>
        <w:pStyle w:val="NormalWeb"/>
        <w:numPr>
          <w:ilvl w:val="0"/>
          <w:numId w:val="13"/>
        </w:numPr>
        <w:spacing w:before="480" w:after="0"/>
      </w:pPr>
      <w:r w:rsidRPr="00427858">
        <w:t xml:space="preserve">Department of Social Welfare and Development. (2024). </w:t>
      </w:r>
      <w:r w:rsidRPr="00427858">
        <w:rPr>
          <w:i/>
          <w:iCs/>
        </w:rPr>
        <w:t xml:space="preserve">DSWD to join </w:t>
      </w:r>
      <w:proofErr w:type="spellStart"/>
      <w:r w:rsidRPr="00427858">
        <w:rPr>
          <w:i/>
          <w:iCs/>
        </w:rPr>
        <w:t>Kapihan</w:t>
      </w:r>
      <w:proofErr w:type="spellEnd"/>
      <w:r w:rsidRPr="00427858">
        <w:rPr>
          <w:i/>
          <w:iCs/>
        </w:rPr>
        <w:t xml:space="preserve"> </w:t>
      </w:r>
      <w:proofErr w:type="spellStart"/>
      <w:r w:rsidRPr="00427858">
        <w:rPr>
          <w:i/>
          <w:iCs/>
        </w:rPr>
        <w:t>sa</w:t>
      </w:r>
      <w:proofErr w:type="spellEnd"/>
      <w:r w:rsidRPr="00427858">
        <w:rPr>
          <w:i/>
          <w:iCs/>
        </w:rPr>
        <w:t xml:space="preserve"> Bagong Pilipinas June 11 nationwide rollout [Press release].</w:t>
      </w:r>
      <w:r w:rsidRPr="00427858">
        <w:t xml:space="preserve"> DSWD. </w:t>
      </w:r>
      <w:hyperlink r:id="rId16" w:history="1">
        <w:r w:rsidRPr="00427858">
          <w:rPr>
            <w:rStyle w:val="Hyperlink"/>
            <w:color w:val="auto"/>
            <w:u w:val="none"/>
          </w:rPr>
          <w:t>https://old.dswd.gov.ph/dswd-to-join-kapihan-sa-bagong-pilipinas-june-11-nationwide-rollout/</w:t>
        </w:r>
      </w:hyperlink>
    </w:p>
    <w:p w14:paraId="13CF4206" w14:textId="77777777" w:rsidR="00427858" w:rsidRPr="00427858" w:rsidRDefault="00427858" w:rsidP="00427858">
      <w:pPr>
        <w:pStyle w:val="NormalWeb"/>
        <w:numPr>
          <w:ilvl w:val="0"/>
          <w:numId w:val="13"/>
        </w:numPr>
        <w:spacing w:before="480" w:after="0"/>
      </w:pPr>
      <w:r w:rsidRPr="00427858">
        <w:t xml:space="preserve">Department of Social Welfare and Development. (2024). </w:t>
      </w:r>
      <w:r w:rsidRPr="00427858">
        <w:rPr>
          <w:i/>
          <w:iCs/>
        </w:rPr>
        <w:t>DSWD Continues Giving ‘</w:t>
      </w:r>
      <w:proofErr w:type="spellStart"/>
      <w:r w:rsidRPr="00427858">
        <w:rPr>
          <w:i/>
          <w:iCs/>
        </w:rPr>
        <w:t>ayuda</w:t>
      </w:r>
      <w:proofErr w:type="spellEnd"/>
      <w:r w:rsidRPr="00427858">
        <w:rPr>
          <w:i/>
          <w:iCs/>
        </w:rPr>
        <w:t>’ Through Various Programs like AICS, AKAP.</w:t>
      </w:r>
      <w:r w:rsidRPr="00427858">
        <w:t xml:space="preserve"> https://www.dswd.gov.ph/dswd-continues-giving-ayuda-through-various-programs-like-aics-akap/</w:t>
      </w:r>
    </w:p>
    <w:p w14:paraId="1124A2DE" w14:textId="77777777" w:rsidR="00427858" w:rsidRPr="00427858" w:rsidRDefault="00427858" w:rsidP="00427858">
      <w:pPr>
        <w:pStyle w:val="NormalWeb"/>
        <w:numPr>
          <w:ilvl w:val="0"/>
          <w:numId w:val="13"/>
        </w:numPr>
        <w:spacing w:before="480" w:after="0"/>
      </w:pPr>
      <w:r w:rsidRPr="00427858">
        <w:t xml:space="preserve">Dreher, A., Lang, V., &amp; Reinsberg, B. (2024). </w:t>
      </w:r>
      <w:r w:rsidRPr="00427858">
        <w:rPr>
          <w:i/>
          <w:iCs/>
        </w:rPr>
        <w:t>Aid effectiveness and donor motives</w:t>
      </w:r>
      <w:r w:rsidRPr="00427858">
        <w:t xml:space="preserve">. </w:t>
      </w:r>
      <w:r w:rsidRPr="00427858">
        <w:rPr>
          <w:i/>
          <w:iCs/>
        </w:rPr>
        <w:t>World Development, 176</w:t>
      </w:r>
      <w:r w:rsidRPr="00427858">
        <w:t xml:space="preserve">, Article 106501. </w:t>
      </w:r>
      <w:hyperlink r:id="rId17" w:history="1">
        <w:r w:rsidRPr="00427858">
          <w:rPr>
            <w:rStyle w:val="Hyperlink"/>
            <w:color w:val="auto"/>
            <w:u w:val="none"/>
          </w:rPr>
          <w:t>https://doi.org/10.1016/j.worlddev.2023.106501</w:t>
        </w:r>
      </w:hyperlink>
    </w:p>
    <w:p w14:paraId="4588EB73" w14:textId="77777777" w:rsidR="00427858" w:rsidRPr="00427858" w:rsidRDefault="00427858" w:rsidP="00427858">
      <w:pPr>
        <w:pStyle w:val="NormalWeb"/>
        <w:numPr>
          <w:ilvl w:val="0"/>
          <w:numId w:val="13"/>
        </w:numPr>
        <w:spacing w:before="480" w:after="0"/>
      </w:pPr>
      <w:proofErr w:type="spellStart"/>
      <w:r w:rsidRPr="00427858">
        <w:lastRenderedPageBreak/>
        <w:t>Fabrigar</w:t>
      </w:r>
      <w:proofErr w:type="spellEnd"/>
      <w:r w:rsidRPr="00427858">
        <w:t xml:space="preserve">, L. R., Wegener, D. T., MacCallum, R. C., &amp; Strahan, E. J. (1999). </w:t>
      </w:r>
      <w:r w:rsidRPr="00427858">
        <w:rPr>
          <w:i/>
          <w:iCs/>
        </w:rPr>
        <w:t>Evaluating the Use of Exploratory Factor Analysis in Psychological Research. Psychological Methods,</w:t>
      </w:r>
      <w:r w:rsidRPr="00427858">
        <w:t xml:space="preserve"> 4(3), 272–299. </w:t>
      </w:r>
      <w:hyperlink r:id="rId18" w:history="1">
        <w:r w:rsidRPr="00427858">
          <w:rPr>
            <w:rStyle w:val="Hyperlink"/>
            <w:color w:val="auto"/>
            <w:u w:val="none"/>
          </w:rPr>
          <w:t>https://doi.org/10.1037/1082-989X.4.3.272</w:t>
        </w:r>
      </w:hyperlink>
    </w:p>
    <w:p w14:paraId="30BD7B96" w14:textId="77777777" w:rsidR="00427858" w:rsidRPr="00427858" w:rsidRDefault="00427858" w:rsidP="00427858">
      <w:pPr>
        <w:pStyle w:val="NormalWeb"/>
        <w:numPr>
          <w:ilvl w:val="0"/>
          <w:numId w:val="13"/>
        </w:numPr>
        <w:spacing w:before="480" w:after="0"/>
      </w:pPr>
      <w:r w:rsidRPr="00427858">
        <w:t xml:space="preserve">Field, A. (2013). </w:t>
      </w:r>
      <w:r w:rsidRPr="00427858">
        <w:rPr>
          <w:i/>
          <w:iCs/>
        </w:rPr>
        <w:t>Discovering Statistics Using IBM SPSS Statistics</w:t>
      </w:r>
      <w:r w:rsidRPr="00427858">
        <w:t xml:space="preserve"> (4th ed.). Sage Publications.</w:t>
      </w:r>
    </w:p>
    <w:p w14:paraId="703AF70A" w14:textId="77777777" w:rsidR="00427858" w:rsidRPr="00427858" w:rsidRDefault="00427858" w:rsidP="00427858">
      <w:pPr>
        <w:pStyle w:val="NormalWeb"/>
        <w:numPr>
          <w:ilvl w:val="0"/>
          <w:numId w:val="13"/>
        </w:numPr>
        <w:spacing w:before="480" w:after="0"/>
      </w:pPr>
      <w:r w:rsidRPr="00427858">
        <w:t>Flores, A. (2022). Ayuda – The Philippines’ Covid</w:t>
      </w:r>
      <w:r w:rsidRPr="00427858">
        <w:noBreakHyphen/>
        <w:t>19 social protection response. Institute of Development Studies Alumni Network. News &amp; Blog, Blogs: “Perspectives, Provocations &amp; Initiatives”.  </w:t>
      </w:r>
      <w:hyperlink r:id="rId19" w:history="1">
        <w:r w:rsidRPr="00427858">
          <w:rPr>
            <w:rStyle w:val="Hyperlink"/>
            <w:color w:val="auto"/>
            <w:u w:val="none"/>
          </w:rPr>
          <w:t>https://alumni.ids.ac.uk/news/blogs-perspectives-provocations-initiatives/642/642</w:t>
        </w:r>
      </w:hyperlink>
      <w:r w:rsidRPr="00427858">
        <w:noBreakHyphen/>
        <w:t>Ayuda</w:t>
      </w:r>
      <w:r w:rsidRPr="00427858">
        <w:noBreakHyphen/>
        <w:t>The</w:t>
      </w:r>
      <w:r w:rsidRPr="00427858">
        <w:noBreakHyphen/>
        <w:t>Philippines</w:t>
      </w:r>
      <w:r w:rsidRPr="00427858">
        <w:noBreakHyphen/>
        <w:t>Covid</w:t>
      </w:r>
      <w:r w:rsidRPr="00427858">
        <w:noBreakHyphen/>
        <w:t>19</w:t>
      </w:r>
      <w:r w:rsidRPr="00427858">
        <w:noBreakHyphen/>
        <w:t>social</w:t>
      </w:r>
      <w:r w:rsidRPr="00427858">
        <w:noBreakHyphen/>
        <w:t>protection</w:t>
      </w:r>
      <w:r w:rsidRPr="00427858">
        <w:noBreakHyphen/>
        <w:t>response</w:t>
      </w:r>
    </w:p>
    <w:p w14:paraId="21243AC3" w14:textId="77777777" w:rsidR="00427858" w:rsidRPr="00427858" w:rsidRDefault="00427858" w:rsidP="00427858">
      <w:pPr>
        <w:pStyle w:val="NormalWeb"/>
        <w:numPr>
          <w:ilvl w:val="0"/>
          <w:numId w:val="13"/>
        </w:numPr>
        <w:spacing w:before="480" w:after="0"/>
      </w:pPr>
      <w:r w:rsidRPr="00427858">
        <w:t xml:space="preserve">Hair, J. F., Black, W. C., Babin, B. J., &amp; Anderson, R. E. (2010). </w:t>
      </w:r>
      <w:r w:rsidRPr="00427858">
        <w:rPr>
          <w:i/>
          <w:iCs/>
        </w:rPr>
        <w:t>Multivariate Data Analysis</w:t>
      </w:r>
      <w:r w:rsidRPr="00427858">
        <w:t xml:space="preserve"> (7th ed.). Pearson.</w:t>
      </w:r>
    </w:p>
    <w:p w14:paraId="05EF15B2" w14:textId="77777777" w:rsidR="00427858" w:rsidRPr="00427858" w:rsidRDefault="00427858" w:rsidP="00427858">
      <w:pPr>
        <w:pStyle w:val="NormalWeb"/>
        <w:numPr>
          <w:ilvl w:val="0"/>
          <w:numId w:val="13"/>
        </w:numPr>
        <w:spacing w:before="480" w:after="0"/>
      </w:pPr>
      <w:proofErr w:type="spellStart"/>
      <w:r w:rsidRPr="00427858">
        <w:t>Hennink</w:t>
      </w:r>
      <w:proofErr w:type="spellEnd"/>
      <w:r w:rsidRPr="00427858">
        <w:t xml:space="preserve">, M., &amp; Kaiser, B. N. (2021). </w:t>
      </w:r>
      <w:r w:rsidRPr="00427858">
        <w:rPr>
          <w:i/>
          <w:iCs/>
        </w:rPr>
        <w:t xml:space="preserve">Sample Sizes for Saturation in Qualitative Research: A Systematic Review of Empirical Tests. </w:t>
      </w:r>
      <w:r w:rsidRPr="00427858">
        <w:t>Social Science &amp; Medicine.</w:t>
      </w:r>
      <w:r w:rsidRPr="00427858">
        <w:rPr>
          <w:i/>
          <w:iCs/>
        </w:rPr>
        <w:t xml:space="preserve"> </w:t>
      </w:r>
      <w:r w:rsidRPr="00427858">
        <w:t>https://doi.org/10.1016/j.socscimed.2021.114523</w:t>
      </w:r>
    </w:p>
    <w:p w14:paraId="402012C0" w14:textId="77777777" w:rsidR="00427858" w:rsidRPr="00427858" w:rsidRDefault="00427858" w:rsidP="00427858">
      <w:pPr>
        <w:pStyle w:val="NormalWeb"/>
        <w:numPr>
          <w:ilvl w:val="0"/>
          <w:numId w:val="13"/>
        </w:numPr>
        <w:spacing w:before="480" w:after="0"/>
      </w:pPr>
      <w:r w:rsidRPr="00427858">
        <w:t xml:space="preserve">Hilal, W., Gadsden, S. A., &amp; </w:t>
      </w:r>
      <w:proofErr w:type="spellStart"/>
      <w:r w:rsidRPr="00427858">
        <w:t>Yawney</w:t>
      </w:r>
      <w:proofErr w:type="spellEnd"/>
      <w:r w:rsidRPr="00427858">
        <w:t xml:space="preserve">, J. (2022, May). </w:t>
      </w:r>
      <w:r w:rsidRPr="00427858">
        <w:rPr>
          <w:i/>
          <w:iCs/>
        </w:rPr>
        <w:t>Financial Fraud: A Review of Anomaly Detection Techniques and Recent Advances.</w:t>
      </w:r>
      <w:r w:rsidRPr="00427858">
        <w:t xml:space="preserve"> Expert Systems with Applications,</w:t>
      </w:r>
      <w:r w:rsidRPr="00427858">
        <w:rPr>
          <w:i/>
          <w:iCs/>
        </w:rPr>
        <w:t xml:space="preserve"> 193</w:t>
      </w:r>
      <w:r w:rsidRPr="00427858">
        <w:t>, Article 116429.</w:t>
      </w:r>
      <w:hyperlink r:id="rId20" w:history="1">
        <w:r w:rsidRPr="00427858">
          <w:rPr>
            <w:rStyle w:val="Hyperlink"/>
            <w:color w:val="auto"/>
            <w:u w:val="none"/>
          </w:rPr>
          <w:t xml:space="preserve"> https://doi.org/10.1016/j.eswa.2021.116429</w:t>
        </w:r>
      </w:hyperlink>
    </w:p>
    <w:p w14:paraId="297C155C" w14:textId="77777777" w:rsidR="00427858" w:rsidRPr="00427858" w:rsidRDefault="00427858" w:rsidP="00427858">
      <w:pPr>
        <w:pStyle w:val="NormalWeb"/>
        <w:numPr>
          <w:ilvl w:val="0"/>
          <w:numId w:val="13"/>
        </w:numPr>
        <w:spacing w:before="480" w:after="0"/>
      </w:pPr>
      <w:r w:rsidRPr="00427858">
        <w:t xml:space="preserve">House of Representatives of the Philippines. (2025). House Bill No. 3414: An Act Establishing a Department of Social Welfare and Development Regional Warehouse in Every Region of the </w:t>
      </w:r>
      <w:proofErr w:type="gramStart"/>
      <w:r w:rsidRPr="00427858">
        <w:t>Country, and</w:t>
      </w:r>
      <w:proofErr w:type="gramEnd"/>
      <w:r w:rsidRPr="00427858">
        <w:t xml:space="preserve"> Appropriating Funds Therefor. https://docs.congress.hrep.online/legisdocs/basic_20/HB03414.pdf</w:t>
      </w:r>
    </w:p>
    <w:p w14:paraId="184C3A73" w14:textId="77777777" w:rsidR="00427858" w:rsidRPr="00427858" w:rsidRDefault="00427858" w:rsidP="00427858">
      <w:pPr>
        <w:pStyle w:val="NormalWeb"/>
        <w:numPr>
          <w:ilvl w:val="0"/>
          <w:numId w:val="13"/>
        </w:numPr>
        <w:spacing w:before="480" w:after="0"/>
      </w:pPr>
      <w:r w:rsidRPr="00427858">
        <w:t>Kaiser, H. F. (1974).</w:t>
      </w:r>
      <w:r w:rsidRPr="00427858">
        <w:rPr>
          <w:i/>
          <w:iCs/>
        </w:rPr>
        <w:t xml:space="preserve"> An Index of Factorial Simplicity.</w:t>
      </w:r>
      <w:r w:rsidRPr="00427858">
        <w:t xml:space="preserve"> Psychometrika, 39(1), 31–36. </w:t>
      </w:r>
      <w:hyperlink r:id="rId21" w:history="1">
        <w:r w:rsidRPr="00427858">
          <w:rPr>
            <w:rStyle w:val="Hyperlink"/>
            <w:color w:val="auto"/>
            <w:u w:val="none"/>
          </w:rPr>
          <w:t>https://doi.org/10.1007/BF02291575</w:t>
        </w:r>
      </w:hyperlink>
    </w:p>
    <w:p w14:paraId="3F6B00F4" w14:textId="77777777" w:rsidR="00427858" w:rsidRPr="00427858" w:rsidRDefault="00427858" w:rsidP="00427858">
      <w:pPr>
        <w:pStyle w:val="NormalWeb"/>
        <w:numPr>
          <w:ilvl w:val="0"/>
          <w:numId w:val="13"/>
        </w:numPr>
        <w:spacing w:before="480" w:after="0"/>
      </w:pPr>
      <w:r w:rsidRPr="00427858">
        <w:t xml:space="preserve">Kaiser, H. F. (1960). </w:t>
      </w:r>
      <w:r w:rsidRPr="00427858">
        <w:rPr>
          <w:i/>
          <w:iCs/>
        </w:rPr>
        <w:t xml:space="preserve">The Application of Electronic </w:t>
      </w:r>
      <w:proofErr w:type="spellStart"/>
      <w:r w:rsidRPr="00427858">
        <w:rPr>
          <w:i/>
          <w:iCs/>
        </w:rPr>
        <w:t>Computersto</w:t>
      </w:r>
      <w:proofErr w:type="spellEnd"/>
      <w:r w:rsidRPr="00427858">
        <w:rPr>
          <w:i/>
          <w:iCs/>
        </w:rPr>
        <w:t xml:space="preserve"> Factor Analysis. Educational and Psychological Measurement,</w:t>
      </w:r>
      <w:r w:rsidRPr="00427858">
        <w:t xml:space="preserve"> 20(1), 141-151. </w:t>
      </w:r>
      <w:hyperlink r:id="rId22" w:history="1">
        <w:r w:rsidRPr="00427858">
          <w:rPr>
            <w:rStyle w:val="Hyperlink"/>
            <w:color w:val="auto"/>
            <w:u w:val="none"/>
          </w:rPr>
          <w:t>https://doi.org/10.1177/001316446002000116</w:t>
        </w:r>
      </w:hyperlink>
    </w:p>
    <w:p w14:paraId="07106CCE" w14:textId="77777777" w:rsidR="00427858" w:rsidRPr="00427858" w:rsidRDefault="00427858" w:rsidP="00427858">
      <w:pPr>
        <w:pStyle w:val="NormalWeb"/>
        <w:numPr>
          <w:ilvl w:val="0"/>
          <w:numId w:val="13"/>
        </w:numPr>
        <w:spacing w:before="480" w:after="0"/>
      </w:pPr>
      <w:r w:rsidRPr="00427858">
        <w:t xml:space="preserve">Kaiser, H. (1958). </w:t>
      </w:r>
      <w:r w:rsidRPr="00427858">
        <w:rPr>
          <w:i/>
          <w:iCs/>
        </w:rPr>
        <w:t xml:space="preserve">The Varimax Criterion for Analytic Rotation in Factor Analysis. </w:t>
      </w:r>
      <w:proofErr w:type="spellStart"/>
      <w:r w:rsidRPr="00427858">
        <w:t>Psychometricka</w:t>
      </w:r>
      <w:proofErr w:type="spellEnd"/>
      <w:r w:rsidRPr="00427858">
        <w:t xml:space="preserve">. </w:t>
      </w:r>
      <w:hyperlink r:id="rId23" w:history="1">
        <w:r w:rsidRPr="00427858">
          <w:rPr>
            <w:rStyle w:val="Hyperlink"/>
            <w:color w:val="auto"/>
            <w:u w:val="none"/>
          </w:rPr>
          <w:t>https://doi.org/10.1007/BF02289233</w:t>
        </w:r>
      </w:hyperlink>
      <w:r w:rsidRPr="00427858">
        <w:t>.</w:t>
      </w:r>
    </w:p>
    <w:p w14:paraId="1C2ADE59" w14:textId="77777777" w:rsidR="00427858" w:rsidRPr="00427858" w:rsidRDefault="00427858" w:rsidP="00427858">
      <w:pPr>
        <w:pStyle w:val="NormalWeb"/>
        <w:numPr>
          <w:ilvl w:val="0"/>
          <w:numId w:val="13"/>
        </w:numPr>
        <w:spacing w:before="480" w:after="0"/>
      </w:pPr>
      <w:proofErr w:type="spellStart"/>
      <w:r w:rsidRPr="00427858">
        <w:t>Kalidoss</w:t>
      </w:r>
      <w:proofErr w:type="spellEnd"/>
      <w:r w:rsidRPr="00427858">
        <w:t>, D., &amp; Ghate, A.D., (2025). View of LOCAL GOVERNANCE AND TRANSPARENCY THROUGH E-GOVERNMENT INITIATIVES AND ENHANCING ACCOUNTABILITY AT THE LOCAL LEVEL. Institute for Local Self-Government and Public Procurement. https://lex-localis.org/index.php/LexLocalis/article/view/800243/1194</w:t>
      </w:r>
    </w:p>
    <w:p w14:paraId="33A0C90F" w14:textId="77777777" w:rsidR="00427858" w:rsidRPr="00427858" w:rsidRDefault="00427858" w:rsidP="00427858">
      <w:pPr>
        <w:pStyle w:val="NormalWeb"/>
        <w:numPr>
          <w:ilvl w:val="0"/>
          <w:numId w:val="13"/>
        </w:numPr>
        <w:spacing w:before="480" w:after="0"/>
      </w:pPr>
      <w:r w:rsidRPr="00427858">
        <w:t>Lo</w:t>
      </w:r>
      <w:r w:rsidRPr="00427858">
        <w:noBreakHyphen/>
        <w:t xml:space="preserve">oy, L. (2025). </w:t>
      </w:r>
      <w:r w:rsidRPr="00427858">
        <w:rPr>
          <w:i/>
          <w:iCs/>
        </w:rPr>
        <w:t>Know the Difference: “AKAP, AICS, 4Ps are Programs of DSWD, not DOLE,” Reminds DOLE Kalinga</w:t>
      </w:r>
      <w:r w:rsidRPr="00427858">
        <w:t xml:space="preserve">. </w:t>
      </w:r>
      <w:proofErr w:type="spellStart"/>
      <w:r w:rsidRPr="00427858">
        <w:t>GuruPress</w:t>
      </w:r>
      <w:proofErr w:type="spellEnd"/>
      <w:r w:rsidRPr="00427858">
        <w:t> Cordillera.</w:t>
      </w:r>
      <w:hyperlink r:id="rId24" w:history="1">
        <w:r w:rsidRPr="00427858">
          <w:rPr>
            <w:rStyle w:val="Hyperlink"/>
            <w:color w:val="auto"/>
            <w:u w:val="none"/>
          </w:rPr>
          <w:t xml:space="preserve"> https://www.gurupress-cordillera.com/post/know-the-difference-akap-aics-4ps-are-programs-of-dswd-not-dole-reminds-dole-kalinga</w:t>
        </w:r>
      </w:hyperlink>
    </w:p>
    <w:p w14:paraId="3A4E1E4A" w14:textId="77777777" w:rsidR="00427858" w:rsidRPr="00427858" w:rsidRDefault="00427858" w:rsidP="00427858">
      <w:pPr>
        <w:pStyle w:val="NormalWeb"/>
        <w:numPr>
          <w:ilvl w:val="0"/>
          <w:numId w:val="13"/>
        </w:numPr>
        <w:spacing w:before="480" w:after="0"/>
      </w:pPr>
      <w:r w:rsidRPr="00427858">
        <w:t xml:space="preserve">Memon, M. A., Ting, H., Cheah, J., </w:t>
      </w:r>
      <w:proofErr w:type="spellStart"/>
      <w:r w:rsidRPr="00427858">
        <w:t>Thurasamy</w:t>
      </w:r>
      <w:proofErr w:type="spellEnd"/>
      <w:r w:rsidRPr="00427858">
        <w:t xml:space="preserve">, R., Chuah, F., &amp; Cham, T. H. (2020). </w:t>
      </w:r>
      <w:r w:rsidRPr="00427858">
        <w:rPr>
          <w:i/>
          <w:iCs/>
        </w:rPr>
        <w:t>Sample Size for Survey Research: Review and Recommendations.</w:t>
      </w:r>
      <w:r w:rsidRPr="00427858">
        <w:t xml:space="preserve"> Journal of Applied Structural Equation Modeling, 4(2), </w:t>
      </w:r>
      <w:proofErr w:type="spellStart"/>
      <w:r w:rsidRPr="00427858">
        <w:t>i</w:t>
      </w:r>
      <w:proofErr w:type="spellEnd"/>
      <w:r w:rsidRPr="00427858">
        <w:t xml:space="preserve">–xx. </w:t>
      </w:r>
      <w:hyperlink r:id="rId25" w:history="1">
        <w:r w:rsidRPr="00427858">
          <w:rPr>
            <w:rStyle w:val="Hyperlink"/>
            <w:color w:val="auto"/>
            <w:u w:val="none"/>
          </w:rPr>
          <w:t>https://doi.org/10.47263/jasem.4(2)01</w:t>
        </w:r>
      </w:hyperlink>
    </w:p>
    <w:p w14:paraId="61ECCE8E" w14:textId="77777777" w:rsidR="00427858" w:rsidRPr="00427858" w:rsidRDefault="00427858" w:rsidP="00427858">
      <w:pPr>
        <w:pStyle w:val="NormalWeb"/>
        <w:numPr>
          <w:ilvl w:val="0"/>
          <w:numId w:val="13"/>
        </w:numPr>
        <w:spacing w:before="480" w:after="0"/>
      </w:pPr>
      <w:proofErr w:type="spellStart"/>
      <w:r w:rsidRPr="00427858">
        <w:t>Munyemana</w:t>
      </w:r>
      <w:proofErr w:type="spellEnd"/>
      <w:r w:rsidRPr="00427858">
        <w:t xml:space="preserve">, E., </w:t>
      </w:r>
      <w:proofErr w:type="spellStart"/>
      <w:r w:rsidRPr="00427858">
        <w:t>Ruranga</w:t>
      </w:r>
      <w:proofErr w:type="spellEnd"/>
      <w:r w:rsidRPr="00427858">
        <w:t xml:space="preserve">, C., &amp; </w:t>
      </w:r>
      <w:proofErr w:type="spellStart"/>
      <w:r w:rsidRPr="00427858">
        <w:t>Mung’atu</w:t>
      </w:r>
      <w:proofErr w:type="spellEnd"/>
      <w:r w:rsidRPr="00427858">
        <w:t xml:space="preserve">, J. K. (2024). Effect of the cash support from the Vision </w:t>
      </w:r>
      <w:proofErr w:type="spellStart"/>
      <w:r w:rsidRPr="00427858">
        <w:t>Umerenge</w:t>
      </w:r>
      <w:proofErr w:type="spellEnd"/>
      <w:r w:rsidRPr="00427858">
        <w:t xml:space="preserve"> </w:t>
      </w:r>
      <w:proofErr w:type="spellStart"/>
      <w:r w:rsidRPr="00427858">
        <w:t>Programme</w:t>
      </w:r>
      <w:proofErr w:type="spellEnd"/>
      <w:r w:rsidRPr="00427858">
        <w:t xml:space="preserve"> on household financial </w:t>
      </w:r>
      <w:proofErr w:type="spellStart"/>
      <w:r w:rsidRPr="00427858">
        <w:t>behaviour</w:t>
      </w:r>
      <w:proofErr w:type="spellEnd"/>
      <w:r w:rsidRPr="00427858">
        <w:t xml:space="preserve"> in Rwanda: The case of direct support (DS). </w:t>
      </w:r>
      <w:r w:rsidRPr="00427858">
        <w:rPr>
          <w:i/>
          <w:iCs/>
        </w:rPr>
        <w:t>Economies, 13</w:t>
      </w:r>
      <w:r w:rsidRPr="00427858">
        <w:t>(1), 2. https://doi.org/10.3390/economies13010002</w:t>
      </w:r>
    </w:p>
    <w:p w14:paraId="54BCF6F9" w14:textId="77777777" w:rsidR="00427858" w:rsidRPr="00427858" w:rsidRDefault="00427858" w:rsidP="00427858">
      <w:pPr>
        <w:pStyle w:val="NormalWeb"/>
        <w:numPr>
          <w:ilvl w:val="0"/>
          <w:numId w:val="13"/>
        </w:numPr>
        <w:spacing w:before="480" w:after="0"/>
      </w:pPr>
      <w:proofErr w:type="spellStart"/>
      <w:r w:rsidRPr="00427858">
        <w:t>Naderifar</w:t>
      </w:r>
      <w:proofErr w:type="spellEnd"/>
      <w:r w:rsidRPr="00427858">
        <w:t xml:space="preserve">, M., Goli, H., &amp; </w:t>
      </w:r>
      <w:proofErr w:type="spellStart"/>
      <w:r w:rsidRPr="00427858">
        <w:t>Ghaljaie</w:t>
      </w:r>
      <w:proofErr w:type="spellEnd"/>
      <w:r w:rsidRPr="00427858">
        <w:t xml:space="preserve">, F. (2017). Snowball Sampling: a purposeful method of sampling in qualitative research. </w:t>
      </w:r>
      <w:r w:rsidRPr="00427858">
        <w:rPr>
          <w:i/>
          <w:iCs/>
        </w:rPr>
        <w:t>Strides in Development of Medical Education</w:t>
      </w:r>
      <w:r w:rsidRPr="00427858">
        <w:t xml:space="preserve">, </w:t>
      </w:r>
      <w:r w:rsidRPr="00427858">
        <w:rPr>
          <w:i/>
          <w:iCs/>
        </w:rPr>
        <w:t>14</w:t>
      </w:r>
      <w:r w:rsidRPr="00427858">
        <w:t xml:space="preserve">(3). </w:t>
      </w:r>
      <w:hyperlink r:id="rId26" w:history="1">
        <w:r w:rsidRPr="00427858">
          <w:rPr>
            <w:rStyle w:val="Hyperlink"/>
            <w:color w:val="auto"/>
            <w:u w:val="none"/>
          </w:rPr>
          <w:t>https://doi.org/10.5812/sdme.67670</w:t>
        </w:r>
      </w:hyperlink>
    </w:p>
    <w:p w14:paraId="705BA30B" w14:textId="77777777" w:rsidR="00427858" w:rsidRPr="00427858" w:rsidRDefault="00427858" w:rsidP="00427858">
      <w:pPr>
        <w:pStyle w:val="NormalWeb"/>
        <w:numPr>
          <w:ilvl w:val="0"/>
          <w:numId w:val="13"/>
        </w:numPr>
        <w:spacing w:before="480" w:after="0"/>
      </w:pPr>
      <w:r w:rsidRPr="00427858">
        <w:t xml:space="preserve">Palatino, M. (2025). </w:t>
      </w:r>
      <w:r w:rsidRPr="00427858">
        <w:rPr>
          <w:i/>
          <w:iCs/>
        </w:rPr>
        <w:t>The Politics of ‘Ayuda’ in the Philippines</w:t>
      </w:r>
      <w:r w:rsidRPr="00427858">
        <w:t xml:space="preserve">. The Diplomat. </w:t>
      </w:r>
      <w:hyperlink r:id="rId27" w:history="1">
        <w:r w:rsidRPr="00427858">
          <w:rPr>
            <w:rStyle w:val="Hyperlink"/>
            <w:color w:val="auto"/>
            <w:u w:val="none"/>
          </w:rPr>
          <w:t>https://thediplomat.com/2025/01/the-politics-of-ayuda-in-the-philippines/</w:t>
        </w:r>
      </w:hyperlink>
    </w:p>
    <w:p w14:paraId="068ACF1E" w14:textId="77777777" w:rsidR="00427858" w:rsidRPr="00427858" w:rsidRDefault="00427858" w:rsidP="00427858">
      <w:pPr>
        <w:pStyle w:val="NormalWeb"/>
        <w:numPr>
          <w:ilvl w:val="0"/>
          <w:numId w:val="13"/>
        </w:numPr>
        <w:spacing w:before="480" w:after="0"/>
      </w:pPr>
      <w:proofErr w:type="spellStart"/>
      <w:r w:rsidRPr="00427858">
        <w:t>Patumbon</w:t>
      </w:r>
      <w:proofErr w:type="spellEnd"/>
      <w:r w:rsidRPr="00427858">
        <w:t xml:space="preserve">, R. (2024). </w:t>
      </w:r>
      <w:r w:rsidRPr="00427858">
        <w:rPr>
          <w:i/>
          <w:iCs/>
        </w:rPr>
        <w:t xml:space="preserve">DSWD wows </w:t>
      </w:r>
      <w:proofErr w:type="spellStart"/>
      <w:r w:rsidRPr="00427858">
        <w:rPr>
          <w:i/>
          <w:iCs/>
        </w:rPr>
        <w:t>Akap</w:t>
      </w:r>
      <w:proofErr w:type="spellEnd"/>
      <w:r w:rsidRPr="00427858">
        <w:rPr>
          <w:i/>
          <w:iCs/>
        </w:rPr>
        <w:t>, AICS programs stay politics-free in 2025</w:t>
      </w:r>
      <w:r w:rsidRPr="00427858">
        <w:t xml:space="preserve">. </w:t>
      </w:r>
      <w:proofErr w:type="spellStart"/>
      <w:r w:rsidRPr="00427858">
        <w:t>SunStar</w:t>
      </w:r>
      <w:proofErr w:type="spellEnd"/>
      <w:r w:rsidRPr="00427858">
        <w:t xml:space="preserve"> Publishing Inc. </w:t>
      </w:r>
      <w:hyperlink r:id="rId28" w:history="1">
        <w:r w:rsidRPr="00427858">
          <w:rPr>
            <w:rStyle w:val="Hyperlink"/>
            <w:color w:val="auto"/>
            <w:u w:val="none"/>
          </w:rPr>
          <w:t>https://www.sunstar.com.ph/davao/dswd-wows-akap-aics-programs-atay-politics-free-in-2025</w:t>
        </w:r>
      </w:hyperlink>
    </w:p>
    <w:p w14:paraId="16385797" w14:textId="77777777" w:rsidR="00427858" w:rsidRPr="00427858" w:rsidRDefault="00427858" w:rsidP="00427858">
      <w:pPr>
        <w:pStyle w:val="NormalWeb"/>
        <w:numPr>
          <w:ilvl w:val="0"/>
          <w:numId w:val="13"/>
        </w:numPr>
        <w:spacing w:before="480" w:after="0"/>
      </w:pPr>
      <w:r w:rsidRPr="00427858">
        <w:t>Philippine Information Agency. (2024.). </w:t>
      </w:r>
      <w:r w:rsidRPr="00427858">
        <w:rPr>
          <w:i/>
          <w:iCs/>
        </w:rPr>
        <w:t>Ayuda means govt response to reduce poverty</w:t>
      </w:r>
      <w:r w:rsidRPr="00427858">
        <w:t>. Retrieved July 13, 2025, from</w:t>
      </w:r>
      <w:hyperlink r:id="rId29" w:history="1">
        <w:r w:rsidRPr="00427858">
          <w:rPr>
            <w:rStyle w:val="Hyperlink"/>
            <w:color w:val="auto"/>
            <w:u w:val="none"/>
          </w:rPr>
          <w:t xml:space="preserve"> https://pia.gov.ph/ayuda-means-govt-response-to-reduce-poverty/</w:t>
        </w:r>
      </w:hyperlink>
    </w:p>
    <w:p w14:paraId="0A84FD59" w14:textId="77777777" w:rsidR="00427858" w:rsidRPr="00427858" w:rsidRDefault="00427858" w:rsidP="00427858">
      <w:pPr>
        <w:pStyle w:val="NormalWeb"/>
        <w:numPr>
          <w:ilvl w:val="0"/>
          <w:numId w:val="13"/>
        </w:numPr>
        <w:spacing w:before="480" w:after="0"/>
      </w:pPr>
      <w:r w:rsidRPr="00427858">
        <w:t xml:space="preserve">Punongbayan, J., &amp; Suzara, Z. N. (2025). </w:t>
      </w:r>
      <w:r w:rsidRPr="00427858">
        <w:rPr>
          <w:i/>
          <w:iCs/>
        </w:rPr>
        <w:t>Rethinking Ayuda for Sustainable Development.</w:t>
      </w:r>
      <w:r w:rsidRPr="00427858">
        <w:t xml:space="preserve"> International Center for Innovation, Transformation and Excellence in Governance.</w:t>
      </w:r>
    </w:p>
    <w:p w14:paraId="2AF7E95E" w14:textId="77777777" w:rsidR="00427858" w:rsidRPr="00427858" w:rsidRDefault="00427858" w:rsidP="00427858">
      <w:pPr>
        <w:pStyle w:val="NormalWeb"/>
        <w:numPr>
          <w:ilvl w:val="0"/>
          <w:numId w:val="13"/>
        </w:numPr>
        <w:spacing w:before="480" w:after="0"/>
      </w:pPr>
      <w:r w:rsidRPr="00427858">
        <w:t>Republic Act No. 10173 (2012). Data Privacy Act of 2012.</w:t>
      </w:r>
      <w:hyperlink r:id="rId30" w:history="1">
        <w:r w:rsidRPr="00427858">
          <w:rPr>
            <w:rStyle w:val="Hyperlink"/>
            <w:color w:val="auto"/>
            <w:u w:val="none"/>
          </w:rPr>
          <w:t xml:space="preserve"> National Privacy Commission. https://privacy.gov.ph/data-privacy-act/</w:t>
        </w:r>
      </w:hyperlink>
    </w:p>
    <w:p w14:paraId="03C0912C" w14:textId="77777777" w:rsidR="00427858" w:rsidRPr="00427858" w:rsidRDefault="00427858" w:rsidP="00427858">
      <w:pPr>
        <w:pStyle w:val="NormalWeb"/>
        <w:numPr>
          <w:ilvl w:val="0"/>
          <w:numId w:val="13"/>
        </w:numPr>
        <w:spacing w:before="480" w:after="0"/>
      </w:pPr>
      <w:r w:rsidRPr="00427858">
        <w:t xml:space="preserve">Republic Act No. 6713. (1989). </w:t>
      </w:r>
      <w:r w:rsidRPr="00427858">
        <w:rPr>
          <w:i/>
          <w:iCs/>
        </w:rPr>
        <w:t>Code of Conduct and Ethical Standards for Public Officials and Employees</w:t>
      </w:r>
      <w:r w:rsidRPr="00427858">
        <w:t>. Office of the Ombudsman.</w:t>
      </w:r>
      <w:hyperlink r:id="rId31" w:history="1">
        <w:r w:rsidRPr="00427858">
          <w:rPr>
            <w:rStyle w:val="Hyperlink"/>
            <w:color w:val="auto"/>
            <w:u w:val="none"/>
          </w:rPr>
          <w:t xml:space="preserve"> https://www.ombudsman.gov.ph/docs/republicacts/Republic_Act_No_6713.pdf</w:t>
        </w:r>
      </w:hyperlink>
    </w:p>
    <w:p w14:paraId="0D8DE62E" w14:textId="77777777" w:rsidR="00427858" w:rsidRPr="00427858" w:rsidRDefault="00427858" w:rsidP="00427858">
      <w:pPr>
        <w:pStyle w:val="NormalWeb"/>
        <w:numPr>
          <w:ilvl w:val="0"/>
          <w:numId w:val="13"/>
        </w:numPr>
        <w:spacing w:before="480" w:after="0"/>
      </w:pPr>
      <w:r w:rsidRPr="00427858">
        <w:lastRenderedPageBreak/>
        <w:t xml:space="preserve">Republic Act No. 7160. (1991). </w:t>
      </w:r>
      <w:r w:rsidRPr="00427858">
        <w:rPr>
          <w:i/>
          <w:iCs/>
        </w:rPr>
        <w:t>Local Government Code of 1991.</w:t>
      </w:r>
      <w:r w:rsidRPr="00427858">
        <w:t xml:space="preserve"> Official Gazette. https://www.officialgazette.gov.ph/1991/10/10/republic-act-no-7160/</w:t>
      </w:r>
    </w:p>
    <w:p w14:paraId="17C43819" w14:textId="77777777" w:rsidR="00427858" w:rsidRPr="00427858" w:rsidRDefault="00427858" w:rsidP="00427858">
      <w:pPr>
        <w:pStyle w:val="NormalWeb"/>
        <w:numPr>
          <w:ilvl w:val="0"/>
          <w:numId w:val="13"/>
        </w:numPr>
        <w:spacing w:before="480" w:after="0"/>
      </w:pPr>
      <w:r w:rsidRPr="00427858">
        <w:t xml:space="preserve">Ruona, W. E. (2005). Analyzing qualitative data. </w:t>
      </w:r>
      <w:r w:rsidRPr="00427858">
        <w:rPr>
          <w:i/>
          <w:iCs/>
        </w:rPr>
        <w:t>Research in organizations: Foundations and methods of inquiry</w:t>
      </w:r>
      <w:r w:rsidRPr="00427858">
        <w:t xml:space="preserve">. </w:t>
      </w:r>
      <w:hyperlink r:id="rId32" w:anchor="page=252" w:history="1">
        <w:r w:rsidRPr="00427858">
          <w:rPr>
            <w:rStyle w:val="Hyperlink"/>
            <w:color w:val="auto"/>
            <w:u w:val="none"/>
          </w:rPr>
          <w:t>http://kharazmi-statistics.ir/Uploads/Public/book/research%20in%20organization.pdf#page=252</w:t>
        </w:r>
      </w:hyperlink>
    </w:p>
    <w:p w14:paraId="5DA8D233" w14:textId="77777777" w:rsidR="00427858" w:rsidRPr="00427858" w:rsidRDefault="00427858" w:rsidP="00427858">
      <w:pPr>
        <w:pStyle w:val="NormalWeb"/>
        <w:numPr>
          <w:ilvl w:val="0"/>
          <w:numId w:val="13"/>
        </w:numPr>
        <w:spacing w:before="480" w:after="0"/>
      </w:pPr>
      <w:proofErr w:type="spellStart"/>
      <w:r w:rsidRPr="00427858">
        <w:t>SunStar</w:t>
      </w:r>
      <w:proofErr w:type="spellEnd"/>
      <w:r w:rsidRPr="00427858">
        <w:t xml:space="preserve"> Cebu. (2024, May 26). </w:t>
      </w:r>
      <w:r w:rsidRPr="00427858">
        <w:rPr>
          <w:i/>
          <w:iCs/>
        </w:rPr>
        <w:t xml:space="preserve">DSWD 7 launches </w:t>
      </w:r>
      <w:proofErr w:type="spellStart"/>
      <w:r w:rsidRPr="00427858">
        <w:rPr>
          <w:i/>
          <w:iCs/>
        </w:rPr>
        <w:t>Akap</w:t>
      </w:r>
      <w:proofErr w:type="spellEnd"/>
      <w:r w:rsidRPr="00427858">
        <w:rPr>
          <w:i/>
          <w:iCs/>
        </w:rPr>
        <w:t xml:space="preserve"> to aid low-income earners from inflation</w:t>
      </w:r>
      <w:r w:rsidRPr="00427858">
        <w:t xml:space="preserve">. </w:t>
      </w:r>
      <w:proofErr w:type="spellStart"/>
      <w:r w:rsidRPr="00427858">
        <w:t>SunStar</w:t>
      </w:r>
      <w:proofErr w:type="spellEnd"/>
      <w:r w:rsidRPr="00427858">
        <w:t xml:space="preserve"> Publishing Inc. </w:t>
      </w:r>
      <w:hyperlink r:id="rId33" w:history="1">
        <w:r w:rsidRPr="00427858">
          <w:rPr>
            <w:rStyle w:val="Hyperlink"/>
            <w:color w:val="auto"/>
            <w:u w:val="none"/>
          </w:rPr>
          <w:t>https://www.sunstar.com.ph/cebu/dswd-7-launches-akap-to-aid-low-income-earners-from-inflation?utm_source=</w:t>
        </w:r>
      </w:hyperlink>
    </w:p>
    <w:p w14:paraId="3094D46E" w14:textId="77777777" w:rsidR="00427858" w:rsidRPr="00427858" w:rsidRDefault="00427858" w:rsidP="00427858">
      <w:pPr>
        <w:pStyle w:val="NormalWeb"/>
        <w:numPr>
          <w:ilvl w:val="0"/>
          <w:numId w:val="13"/>
        </w:numPr>
        <w:spacing w:before="480" w:after="0"/>
      </w:pPr>
      <w:r w:rsidRPr="00427858">
        <w:t xml:space="preserve">Tabachnick, B. G., &amp; Fidell, L. S. (2019). </w:t>
      </w:r>
      <w:r w:rsidRPr="00427858">
        <w:rPr>
          <w:i/>
          <w:iCs/>
        </w:rPr>
        <w:t>Using Multivariate Statistics</w:t>
      </w:r>
      <w:r w:rsidRPr="00427858">
        <w:t xml:space="preserve"> (7th ed.). Pearson.</w:t>
      </w:r>
    </w:p>
    <w:p w14:paraId="58A65AFF" w14:textId="77777777" w:rsidR="00427858" w:rsidRPr="00427858" w:rsidRDefault="00427858" w:rsidP="00427858">
      <w:pPr>
        <w:pStyle w:val="NormalWeb"/>
        <w:numPr>
          <w:ilvl w:val="0"/>
          <w:numId w:val="13"/>
        </w:numPr>
        <w:spacing w:before="480" w:after="0"/>
      </w:pPr>
      <w:r w:rsidRPr="00427858">
        <w:t xml:space="preserve">Tackie, D. N. O. (2021). An examination of poverty: Dimensions, causes, and solutions. </w:t>
      </w:r>
      <w:r w:rsidRPr="00427858">
        <w:rPr>
          <w:i/>
          <w:iCs/>
        </w:rPr>
        <w:t>Journal of Rural Social Sciences</w:t>
      </w:r>
      <w:r w:rsidRPr="00427858">
        <w:t xml:space="preserve">, </w:t>
      </w:r>
      <w:r w:rsidRPr="00427858">
        <w:rPr>
          <w:i/>
          <w:iCs/>
        </w:rPr>
        <w:t>36</w:t>
      </w:r>
      <w:r w:rsidRPr="00427858">
        <w:t>(2), 2. https://egrove.olemiss.edu/jrss/vol36/iss2/2</w:t>
      </w:r>
    </w:p>
    <w:p w14:paraId="00FDDD14" w14:textId="77777777" w:rsidR="00427858" w:rsidRPr="00427858" w:rsidRDefault="00427858" w:rsidP="00427858">
      <w:pPr>
        <w:pStyle w:val="NormalWeb"/>
        <w:numPr>
          <w:ilvl w:val="0"/>
          <w:numId w:val="13"/>
        </w:numPr>
        <w:spacing w:before="480" w:after="0"/>
      </w:pPr>
      <w:proofErr w:type="spellStart"/>
      <w:r w:rsidRPr="00427858">
        <w:t>Tavakol</w:t>
      </w:r>
      <w:proofErr w:type="spellEnd"/>
      <w:r w:rsidRPr="00427858">
        <w:t xml:space="preserve">, M., &amp; Dennick, R. (2011). Making sense of Cronbach’s alpha. </w:t>
      </w:r>
      <w:r w:rsidRPr="00427858">
        <w:rPr>
          <w:i/>
          <w:iCs/>
        </w:rPr>
        <w:t>International Journal of Medical Education</w:t>
      </w:r>
      <w:r w:rsidRPr="00427858">
        <w:t xml:space="preserve">, </w:t>
      </w:r>
      <w:r w:rsidRPr="00427858">
        <w:rPr>
          <w:i/>
          <w:iCs/>
        </w:rPr>
        <w:t>2</w:t>
      </w:r>
      <w:r w:rsidRPr="00427858">
        <w:t xml:space="preserve">, 53–55. </w:t>
      </w:r>
      <w:hyperlink r:id="rId34" w:history="1">
        <w:r w:rsidRPr="00427858">
          <w:rPr>
            <w:rStyle w:val="Hyperlink"/>
            <w:color w:val="auto"/>
            <w:u w:val="none"/>
          </w:rPr>
          <w:t>https://doi.org/10.5116/ijme.4dfb.8dfd</w:t>
        </w:r>
      </w:hyperlink>
    </w:p>
    <w:p w14:paraId="26170615" w14:textId="77777777" w:rsidR="00427858" w:rsidRPr="00427858" w:rsidRDefault="00427858" w:rsidP="00427858">
      <w:pPr>
        <w:pStyle w:val="NormalWeb"/>
        <w:numPr>
          <w:ilvl w:val="0"/>
          <w:numId w:val="13"/>
        </w:numPr>
        <w:spacing w:before="480" w:after="0"/>
      </w:pPr>
      <w:r w:rsidRPr="00427858">
        <w:t xml:space="preserve">Trinh, T.-A., Feeny, S., &amp; Posso, A. (2022). </w:t>
      </w:r>
      <w:r w:rsidRPr="00427858">
        <w:rPr>
          <w:i/>
          <w:iCs/>
        </w:rPr>
        <w:t>Political Connections and Post</w:t>
      </w:r>
      <w:r w:rsidRPr="00427858">
        <w:rPr>
          <w:i/>
          <w:iCs/>
        </w:rPr>
        <w:noBreakHyphen/>
        <w:t>Disaster Assistance in Rural Vietnam</w:t>
      </w:r>
      <w:r w:rsidRPr="00427858">
        <w:t>. European Journal of Political Economy,</w:t>
      </w:r>
      <w:r w:rsidRPr="00427858">
        <w:rPr>
          <w:i/>
          <w:iCs/>
        </w:rPr>
        <w:t xml:space="preserve"> 72</w:t>
      </w:r>
      <w:r w:rsidRPr="00427858">
        <w:t>, Article 102097.</w:t>
      </w:r>
      <w:hyperlink r:id="rId35" w:history="1">
        <w:r w:rsidRPr="00427858">
          <w:rPr>
            <w:rStyle w:val="Hyperlink"/>
            <w:color w:val="auto"/>
            <w:u w:val="none"/>
          </w:rPr>
          <w:t xml:space="preserve"> https://doi.org/10.1016/j.ejpoleco.2021.102097</w:t>
        </w:r>
      </w:hyperlink>
    </w:p>
    <w:p w14:paraId="5C5127D9" w14:textId="77777777" w:rsidR="00427858" w:rsidRPr="00427858" w:rsidRDefault="00427858" w:rsidP="00427858">
      <w:pPr>
        <w:pStyle w:val="NormalWeb"/>
        <w:numPr>
          <w:ilvl w:val="0"/>
          <w:numId w:val="13"/>
        </w:numPr>
        <w:spacing w:before="480" w:after="0"/>
      </w:pPr>
      <w:r w:rsidRPr="00427858">
        <w:t>Yong, A. G., &amp; Pearce, S. (2013).</w:t>
      </w:r>
      <w:r w:rsidRPr="00427858">
        <w:rPr>
          <w:i/>
          <w:iCs/>
        </w:rPr>
        <w:t xml:space="preserve"> A Beginner’s Guide to Factor Analysis: Focusing on Exploratory Factor Analysis.</w:t>
      </w:r>
      <w:r w:rsidRPr="00427858">
        <w:t xml:space="preserve"> Tutorials in Quantitative Methods for Psychology, 9(2), 79–94. </w:t>
      </w:r>
      <w:hyperlink r:id="rId36" w:history="1">
        <w:r w:rsidRPr="00427858">
          <w:rPr>
            <w:rStyle w:val="Hyperlink"/>
            <w:color w:val="auto"/>
            <w:u w:val="none"/>
          </w:rPr>
          <w:t>https://doi.org/10.20982/tqmp.09.2.p07</w:t>
        </w:r>
      </w:hyperlink>
    </w:p>
    <w:p w14:paraId="30729B78" w14:textId="77777777" w:rsidR="00427858" w:rsidRPr="00427858" w:rsidRDefault="00427858" w:rsidP="00427858">
      <w:pPr>
        <w:pStyle w:val="NormalWeb"/>
        <w:numPr>
          <w:ilvl w:val="0"/>
          <w:numId w:val="13"/>
        </w:numPr>
        <w:spacing w:before="480" w:after="0"/>
      </w:pPr>
      <w:r w:rsidRPr="00427858">
        <w:t xml:space="preserve">Zapata, S. A., &amp; Manfredi, L. (2015). </w:t>
      </w:r>
      <w:r w:rsidRPr="00427858">
        <w:rPr>
          <w:i/>
          <w:iCs/>
        </w:rPr>
        <w:t>INSTITUTIONAL CHALLENGES AND OBSTACLES FOR THE ECONOMIC INTEGRATION: SOUTH KOREA LATIN AMERICA</w:t>
      </w:r>
      <w:r w:rsidRPr="00427858">
        <w:t xml:space="preserve">. </w:t>
      </w:r>
      <w:proofErr w:type="spellStart"/>
      <w:r w:rsidRPr="00427858">
        <w:t>Análisis</w:t>
      </w:r>
      <w:proofErr w:type="spellEnd"/>
      <w:r w:rsidRPr="00427858">
        <w:t xml:space="preserve"> </w:t>
      </w:r>
      <w:proofErr w:type="spellStart"/>
      <w:r w:rsidRPr="00427858">
        <w:t>Político</w:t>
      </w:r>
      <w:proofErr w:type="spellEnd"/>
      <w:r w:rsidRPr="00427858">
        <w:t>, 28(83), 5–18. https://doi.org/10.15446/anpol.v28n83.51640 </w:t>
      </w:r>
    </w:p>
    <w:p w14:paraId="56739331" w14:textId="4BDD6C87" w:rsidR="0096212B" w:rsidRPr="00427858" w:rsidRDefault="0096212B" w:rsidP="00427858">
      <w:pPr>
        <w:pStyle w:val="NormalWeb"/>
        <w:spacing w:before="480" w:after="0"/>
        <w:jc w:val="both"/>
      </w:pPr>
    </w:p>
    <w:p w14:paraId="4E257ACA" w14:textId="08994C04" w:rsidR="00D961FF" w:rsidRPr="00427858" w:rsidRDefault="00D961FF" w:rsidP="00F50AF3">
      <w:pPr>
        <w:pStyle w:val="NormalWeb"/>
        <w:spacing w:before="480" w:after="0" w:afterAutospacing="0"/>
        <w:ind w:firstLine="720"/>
        <w:jc w:val="both"/>
      </w:pPr>
    </w:p>
    <w:sectPr w:rsidR="00D961FF" w:rsidRPr="00427858" w:rsidSect="00F50AF3">
      <w:pgSz w:w="11907" w:h="16839"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C49C" w14:textId="77777777" w:rsidR="00E911C0" w:rsidRDefault="00E911C0" w:rsidP="00DB6836">
      <w:pPr>
        <w:spacing w:after="0" w:line="240" w:lineRule="auto"/>
      </w:pPr>
      <w:r>
        <w:separator/>
      </w:r>
    </w:p>
  </w:endnote>
  <w:endnote w:type="continuationSeparator" w:id="0">
    <w:p w14:paraId="1E4CAFBB" w14:textId="77777777" w:rsidR="00E911C0" w:rsidRDefault="00E911C0" w:rsidP="00DB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2D53" w14:textId="77777777" w:rsidR="00E911C0" w:rsidRDefault="00E911C0" w:rsidP="00DB6836">
      <w:pPr>
        <w:spacing w:after="0" w:line="240" w:lineRule="auto"/>
      </w:pPr>
      <w:r>
        <w:separator/>
      </w:r>
    </w:p>
  </w:footnote>
  <w:footnote w:type="continuationSeparator" w:id="0">
    <w:p w14:paraId="032B0891" w14:textId="77777777" w:rsidR="00E911C0" w:rsidRDefault="00E911C0" w:rsidP="00DB6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3FE"/>
    <w:multiLevelType w:val="hybridMultilevel"/>
    <w:tmpl w:val="6BC0181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05746794"/>
    <w:multiLevelType w:val="hybridMultilevel"/>
    <w:tmpl w:val="DD8C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A431F"/>
    <w:multiLevelType w:val="hybridMultilevel"/>
    <w:tmpl w:val="65B6891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B01350B"/>
    <w:multiLevelType w:val="multilevel"/>
    <w:tmpl w:val="47AA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01F2D"/>
    <w:multiLevelType w:val="multilevel"/>
    <w:tmpl w:val="953C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14A93"/>
    <w:multiLevelType w:val="hybridMultilevel"/>
    <w:tmpl w:val="3700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3B3F94"/>
    <w:multiLevelType w:val="multilevel"/>
    <w:tmpl w:val="A2D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42C81"/>
    <w:multiLevelType w:val="hybridMultilevel"/>
    <w:tmpl w:val="FE2C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87782"/>
    <w:multiLevelType w:val="multilevel"/>
    <w:tmpl w:val="1C9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C07A02"/>
    <w:multiLevelType w:val="multilevel"/>
    <w:tmpl w:val="DC36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B42BFD"/>
    <w:multiLevelType w:val="hybridMultilevel"/>
    <w:tmpl w:val="67383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BF65AE"/>
    <w:multiLevelType w:val="hybridMultilevel"/>
    <w:tmpl w:val="36B044D8"/>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2" w15:restartNumberingAfterBreak="0">
    <w:nsid w:val="74A40D05"/>
    <w:multiLevelType w:val="hybridMultilevel"/>
    <w:tmpl w:val="5D867B60"/>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336617526">
    <w:abstractNumId w:val="3"/>
  </w:num>
  <w:num w:numId="2" w16cid:durableId="1233347824">
    <w:abstractNumId w:val="6"/>
  </w:num>
  <w:num w:numId="3" w16cid:durableId="1198619934">
    <w:abstractNumId w:val="9"/>
  </w:num>
  <w:num w:numId="4" w16cid:durableId="701629718">
    <w:abstractNumId w:val="4"/>
  </w:num>
  <w:num w:numId="5" w16cid:durableId="1644652717">
    <w:abstractNumId w:val="8"/>
  </w:num>
  <w:num w:numId="6" w16cid:durableId="1076509921">
    <w:abstractNumId w:val="11"/>
  </w:num>
  <w:num w:numId="7" w16cid:durableId="960960826">
    <w:abstractNumId w:val="10"/>
  </w:num>
  <w:num w:numId="8" w16cid:durableId="281156037">
    <w:abstractNumId w:val="5"/>
  </w:num>
  <w:num w:numId="9" w16cid:durableId="78673441">
    <w:abstractNumId w:val="7"/>
  </w:num>
  <w:num w:numId="10" w16cid:durableId="1432165823">
    <w:abstractNumId w:val="1"/>
  </w:num>
  <w:num w:numId="11" w16cid:durableId="362288995">
    <w:abstractNumId w:val="2"/>
  </w:num>
  <w:num w:numId="12" w16cid:durableId="1888687994">
    <w:abstractNumId w:val="12"/>
  </w:num>
  <w:num w:numId="13" w16cid:durableId="201950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23"/>
    <w:rsid w:val="000A3434"/>
    <w:rsid w:val="000B2B0F"/>
    <w:rsid w:val="000D2B29"/>
    <w:rsid w:val="000F2A9F"/>
    <w:rsid w:val="000F4C2D"/>
    <w:rsid w:val="0011135C"/>
    <w:rsid w:val="00127576"/>
    <w:rsid w:val="00165170"/>
    <w:rsid w:val="00217D3F"/>
    <w:rsid w:val="00223297"/>
    <w:rsid w:val="0029559A"/>
    <w:rsid w:val="002D1375"/>
    <w:rsid w:val="0030699A"/>
    <w:rsid w:val="00335F0B"/>
    <w:rsid w:val="003A53B4"/>
    <w:rsid w:val="003B496E"/>
    <w:rsid w:val="00427858"/>
    <w:rsid w:val="004353F7"/>
    <w:rsid w:val="00456048"/>
    <w:rsid w:val="0050096D"/>
    <w:rsid w:val="00533140"/>
    <w:rsid w:val="005353AB"/>
    <w:rsid w:val="00582D0A"/>
    <w:rsid w:val="005A5BDE"/>
    <w:rsid w:val="005D2629"/>
    <w:rsid w:val="00623BDE"/>
    <w:rsid w:val="0062485C"/>
    <w:rsid w:val="00681E52"/>
    <w:rsid w:val="006E3BBD"/>
    <w:rsid w:val="006F142B"/>
    <w:rsid w:val="006F3FD5"/>
    <w:rsid w:val="00742ABB"/>
    <w:rsid w:val="00786980"/>
    <w:rsid w:val="0086521E"/>
    <w:rsid w:val="008C4172"/>
    <w:rsid w:val="009305AF"/>
    <w:rsid w:val="00934280"/>
    <w:rsid w:val="0096212B"/>
    <w:rsid w:val="009D74D7"/>
    <w:rsid w:val="00A569E8"/>
    <w:rsid w:val="00A60842"/>
    <w:rsid w:val="00A96678"/>
    <w:rsid w:val="00BD054C"/>
    <w:rsid w:val="00BF072B"/>
    <w:rsid w:val="00BF2F4B"/>
    <w:rsid w:val="00C5462F"/>
    <w:rsid w:val="00CB2F08"/>
    <w:rsid w:val="00D1168D"/>
    <w:rsid w:val="00D15C23"/>
    <w:rsid w:val="00D710F9"/>
    <w:rsid w:val="00D961FF"/>
    <w:rsid w:val="00DB6836"/>
    <w:rsid w:val="00E748E4"/>
    <w:rsid w:val="00E911C0"/>
    <w:rsid w:val="00EF2ACD"/>
    <w:rsid w:val="00F50AF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EC4E"/>
  <w15:chartTrackingRefBased/>
  <w15:docId w15:val="{50F625D9-7AD3-4A63-8AF8-31B7E0AC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5AF"/>
  </w:style>
  <w:style w:type="paragraph" w:styleId="Heading1">
    <w:name w:val="heading 1"/>
    <w:basedOn w:val="Normal"/>
    <w:next w:val="Normal"/>
    <w:link w:val="Heading1Char"/>
    <w:uiPriority w:val="9"/>
    <w:qFormat/>
    <w:rsid w:val="00D15C23"/>
    <w:pPr>
      <w:keepNext/>
      <w:spacing w:line="276" w:lineRule="auto"/>
      <w:jc w:val="center"/>
      <w:outlineLvl w:val="0"/>
    </w:pPr>
    <w:rPr>
      <w:rFonts w:ascii="Arial" w:eastAsia="Arial Narrow" w:hAnsi="Arial" w:cs="Arial"/>
      <w:b/>
    </w:rPr>
  </w:style>
  <w:style w:type="paragraph" w:styleId="Heading2">
    <w:name w:val="heading 2"/>
    <w:basedOn w:val="Normal"/>
    <w:next w:val="Normal"/>
    <w:link w:val="Heading2Char"/>
    <w:uiPriority w:val="9"/>
    <w:unhideWhenUsed/>
    <w:qFormat/>
    <w:rsid w:val="00E748E4"/>
    <w:pPr>
      <w:keepNext/>
      <w:outlineLvl w:val="1"/>
    </w:pPr>
    <w:rPr>
      <w:b/>
      <w:lang w:val="en-US"/>
    </w:rPr>
  </w:style>
  <w:style w:type="paragraph" w:styleId="Heading3">
    <w:name w:val="heading 3"/>
    <w:basedOn w:val="Normal"/>
    <w:next w:val="Normal"/>
    <w:link w:val="Heading3Char"/>
    <w:uiPriority w:val="9"/>
    <w:unhideWhenUsed/>
    <w:qFormat/>
    <w:rsid w:val="002D1375"/>
    <w:pPr>
      <w:keepNext/>
      <w:spacing w:line="276" w:lineRule="auto"/>
      <w:jc w:val="center"/>
      <w:outlineLvl w:val="2"/>
    </w:pPr>
    <w:rPr>
      <w:rFonts w:ascii="Arial" w:eastAsia="Arial Narrow" w:hAnsi="Arial" w:cs="Arial"/>
      <w:bCs/>
      <w:i/>
    </w:rPr>
  </w:style>
  <w:style w:type="paragraph" w:styleId="Heading4">
    <w:name w:val="heading 4"/>
    <w:basedOn w:val="Normal"/>
    <w:next w:val="Normal"/>
    <w:link w:val="Heading4Char"/>
    <w:uiPriority w:val="9"/>
    <w:unhideWhenUsed/>
    <w:qFormat/>
    <w:rsid w:val="006E3BBD"/>
    <w:pPr>
      <w:keepNext/>
      <w:jc w:val="both"/>
      <w:outlineLvl w:val="3"/>
    </w:pPr>
    <w:rPr>
      <w:rFonts w:ascii="Arial" w:hAnsi="Arial" w:cs="Arial"/>
      <w:b/>
    </w:rPr>
  </w:style>
  <w:style w:type="paragraph" w:styleId="Heading5">
    <w:name w:val="heading 5"/>
    <w:basedOn w:val="Normal"/>
    <w:next w:val="Normal"/>
    <w:link w:val="Heading5Char"/>
    <w:uiPriority w:val="9"/>
    <w:unhideWhenUsed/>
    <w:qFormat/>
    <w:rsid w:val="00F50AF3"/>
    <w:pPr>
      <w:keepNext/>
      <w:spacing w:line="240" w:lineRule="auto"/>
      <w:jc w:val="center"/>
      <w:outlineLvl w:val="4"/>
    </w:pPr>
    <w:rPr>
      <w:rFonts w:ascii="Times New Roman" w:eastAsia="Arial Narrow" w:hAnsi="Times New Roman" w:cs="Times New Roman"/>
      <w:b/>
      <w:bCs/>
      <w:sz w:val="28"/>
      <w:szCs w:val="28"/>
    </w:rPr>
  </w:style>
  <w:style w:type="paragraph" w:styleId="Heading6">
    <w:name w:val="heading 6"/>
    <w:basedOn w:val="Normal"/>
    <w:next w:val="Normal"/>
    <w:link w:val="Heading6Char"/>
    <w:uiPriority w:val="9"/>
    <w:unhideWhenUsed/>
    <w:qFormat/>
    <w:rsid w:val="00335F0B"/>
    <w:pPr>
      <w:keepNext/>
      <w:jc w:val="center"/>
      <w:outlineLvl w:val="5"/>
    </w:pPr>
    <w:rPr>
      <w:rFonts w:ascii="Times New Roman" w:hAnsi="Times New Roman" w:cs="Times New Roman"/>
      <w:b/>
      <w:bCs/>
      <w:color w:val="0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15C23"/>
    <w:pPr>
      <w:spacing w:line="276" w:lineRule="auto"/>
      <w:jc w:val="center"/>
    </w:pPr>
    <w:rPr>
      <w:rFonts w:ascii="Arial" w:hAnsi="Arial" w:cs="Arial"/>
      <w:b/>
    </w:rPr>
  </w:style>
  <w:style w:type="character" w:customStyle="1" w:styleId="BodyTextChar">
    <w:name w:val="Body Text Char"/>
    <w:basedOn w:val="DefaultParagraphFont"/>
    <w:link w:val="BodyText"/>
    <w:uiPriority w:val="99"/>
    <w:rsid w:val="00D15C23"/>
    <w:rPr>
      <w:rFonts w:ascii="Arial" w:hAnsi="Arial" w:cs="Arial"/>
      <w:b/>
    </w:rPr>
  </w:style>
  <w:style w:type="character" w:styleId="Hyperlink">
    <w:name w:val="Hyperlink"/>
    <w:basedOn w:val="DefaultParagraphFont"/>
    <w:uiPriority w:val="99"/>
    <w:unhideWhenUsed/>
    <w:rsid w:val="00D15C23"/>
    <w:rPr>
      <w:color w:val="0563C1" w:themeColor="hyperlink"/>
      <w:u w:val="single"/>
    </w:rPr>
  </w:style>
  <w:style w:type="paragraph" w:styleId="BodyText2">
    <w:name w:val="Body Text 2"/>
    <w:basedOn w:val="Normal"/>
    <w:link w:val="BodyText2Char"/>
    <w:uiPriority w:val="99"/>
    <w:unhideWhenUsed/>
    <w:rsid w:val="00D15C23"/>
    <w:pPr>
      <w:spacing w:line="276" w:lineRule="auto"/>
      <w:jc w:val="both"/>
    </w:pPr>
    <w:rPr>
      <w:rFonts w:ascii="Arial" w:eastAsia="Arial Narrow" w:hAnsi="Arial" w:cs="Arial"/>
    </w:rPr>
  </w:style>
  <w:style w:type="character" w:customStyle="1" w:styleId="BodyText2Char">
    <w:name w:val="Body Text 2 Char"/>
    <w:basedOn w:val="DefaultParagraphFont"/>
    <w:link w:val="BodyText2"/>
    <w:uiPriority w:val="99"/>
    <w:rsid w:val="00D15C23"/>
    <w:rPr>
      <w:rFonts w:ascii="Arial" w:eastAsia="Arial Narrow" w:hAnsi="Arial" w:cs="Arial"/>
    </w:rPr>
  </w:style>
  <w:style w:type="paragraph" w:styleId="BodyText3">
    <w:name w:val="Body Text 3"/>
    <w:basedOn w:val="Normal"/>
    <w:link w:val="BodyText3Char"/>
    <w:uiPriority w:val="99"/>
    <w:unhideWhenUsed/>
    <w:rsid w:val="00D15C23"/>
    <w:pPr>
      <w:spacing w:line="276" w:lineRule="auto"/>
      <w:jc w:val="center"/>
    </w:pPr>
    <w:rPr>
      <w:rFonts w:ascii="Arial" w:eastAsia="Arial Narrow" w:hAnsi="Arial" w:cs="Arial"/>
      <w:bCs/>
    </w:rPr>
  </w:style>
  <w:style w:type="character" w:customStyle="1" w:styleId="BodyText3Char">
    <w:name w:val="Body Text 3 Char"/>
    <w:basedOn w:val="DefaultParagraphFont"/>
    <w:link w:val="BodyText3"/>
    <w:uiPriority w:val="99"/>
    <w:rsid w:val="00D15C23"/>
    <w:rPr>
      <w:rFonts w:ascii="Arial" w:eastAsia="Arial Narrow" w:hAnsi="Arial" w:cs="Arial"/>
      <w:bCs/>
    </w:rPr>
  </w:style>
  <w:style w:type="character" w:customStyle="1" w:styleId="Heading1Char">
    <w:name w:val="Heading 1 Char"/>
    <w:basedOn w:val="DefaultParagraphFont"/>
    <w:link w:val="Heading1"/>
    <w:uiPriority w:val="9"/>
    <w:rsid w:val="00D15C23"/>
    <w:rPr>
      <w:rFonts w:ascii="Arial" w:eastAsia="Arial Narrow" w:hAnsi="Arial" w:cs="Arial"/>
      <w:b/>
    </w:rPr>
  </w:style>
  <w:style w:type="character" w:customStyle="1" w:styleId="Heading2Char">
    <w:name w:val="Heading 2 Char"/>
    <w:basedOn w:val="DefaultParagraphFont"/>
    <w:link w:val="Heading2"/>
    <w:uiPriority w:val="9"/>
    <w:rsid w:val="00E748E4"/>
    <w:rPr>
      <w:b/>
      <w:lang w:val="en-US"/>
    </w:rPr>
  </w:style>
  <w:style w:type="character" w:customStyle="1" w:styleId="Heading3Char">
    <w:name w:val="Heading 3 Char"/>
    <w:basedOn w:val="DefaultParagraphFont"/>
    <w:link w:val="Heading3"/>
    <w:uiPriority w:val="9"/>
    <w:rsid w:val="002D1375"/>
    <w:rPr>
      <w:rFonts w:ascii="Arial" w:eastAsia="Arial Narrow" w:hAnsi="Arial" w:cs="Arial"/>
      <w:bCs/>
      <w:i/>
    </w:rPr>
  </w:style>
  <w:style w:type="character" w:customStyle="1" w:styleId="Heading4Char">
    <w:name w:val="Heading 4 Char"/>
    <w:basedOn w:val="DefaultParagraphFont"/>
    <w:link w:val="Heading4"/>
    <w:uiPriority w:val="9"/>
    <w:rsid w:val="006E3BBD"/>
    <w:rPr>
      <w:rFonts w:ascii="Arial" w:hAnsi="Arial" w:cs="Arial"/>
      <w:b/>
    </w:rPr>
  </w:style>
  <w:style w:type="table" w:styleId="TableGrid">
    <w:name w:val="Table Grid"/>
    <w:basedOn w:val="TableNormal"/>
    <w:uiPriority w:val="39"/>
    <w:rsid w:val="006E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3BB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apple-tab-span">
    <w:name w:val="apple-tab-span"/>
    <w:basedOn w:val="DefaultParagraphFont"/>
    <w:rsid w:val="005353AB"/>
  </w:style>
  <w:style w:type="paragraph" w:styleId="BodyTextIndent">
    <w:name w:val="Body Text Indent"/>
    <w:basedOn w:val="Normal"/>
    <w:link w:val="BodyTextIndentChar"/>
    <w:uiPriority w:val="99"/>
    <w:unhideWhenUsed/>
    <w:rsid w:val="00217D3F"/>
    <w:pPr>
      <w:spacing w:after="0" w:line="240" w:lineRule="auto"/>
      <w:ind w:firstLine="720"/>
      <w:jc w:val="both"/>
    </w:pPr>
    <w:rPr>
      <w:rFonts w:ascii="Arial" w:eastAsia="Times New Roman" w:hAnsi="Arial" w:cs="Arial"/>
      <w:color w:val="000000"/>
      <w:lang w:eastAsia="en-PH"/>
    </w:rPr>
  </w:style>
  <w:style w:type="character" w:customStyle="1" w:styleId="BodyTextIndentChar">
    <w:name w:val="Body Text Indent Char"/>
    <w:basedOn w:val="DefaultParagraphFont"/>
    <w:link w:val="BodyTextIndent"/>
    <w:uiPriority w:val="99"/>
    <w:rsid w:val="00217D3F"/>
    <w:rPr>
      <w:rFonts w:ascii="Arial" w:eastAsia="Times New Roman" w:hAnsi="Arial" w:cs="Arial"/>
      <w:color w:val="000000"/>
      <w:lang w:eastAsia="en-PH"/>
    </w:rPr>
  </w:style>
  <w:style w:type="paragraph" w:styleId="NoSpacing">
    <w:name w:val="No Spacing"/>
    <w:uiPriority w:val="1"/>
    <w:qFormat/>
    <w:rsid w:val="00623BDE"/>
    <w:pPr>
      <w:spacing w:after="0" w:line="240" w:lineRule="auto"/>
    </w:pPr>
  </w:style>
  <w:style w:type="character" w:styleId="CommentReference">
    <w:name w:val="annotation reference"/>
    <w:basedOn w:val="DefaultParagraphFont"/>
    <w:uiPriority w:val="99"/>
    <w:semiHidden/>
    <w:unhideWhenUsed/>
    <w:rsid w:val="00623BDE"/>
    <w:rPr>
      <w:sz w:val="16"/>
      <w:szCs w:val="16"/>
    </w:rPr>
  </w:style>
  <w:style w:type="paragraph" w:styleId="CommentText">
    <w:name w:val="annotation text"/>
    <w:basedOn w:val="Normal"/>
    <w:link w:val="CommentTextChar"/>
    <w:uiPriority w:val="99"/>
    <w:semiHidden/>
    <w:unhideWhenUsed/>
    <w:rsid w:val="00623BDE"/>
    <w:pPr>
      <w:spacing w:line="240" w:lineRule="auto"/>
    </w:pPr>
    <w:rPr>
      <w:sz w:val="20"/>
      <w:szCs w:val="20"/>
    </w:rPr>
  </w:style>
  <w:style w:type="character" w:customStyle="1" w:styleId="CommentTextChar">
    <w:name w:val="Comment Text Char"/>
    <w:basedOn w:val="DefaultParagraphFont"/>
    <w:link w:val="CommentText"/>
    <w:uiPriority w:val="99"/>
    <w:semiHidden/>
    <w:rsid w:val="00623BDE"/>
    <w:rPr>
      <w:sz w:val="20"/>
      <w:szCs w:val="20"/>
    </w:rPr>
  </w:style>
  <w:style w:type="paragraph" w:styleId="CommentSubject">
    <w:name w:val="annotation subject"/>
    <w:basedOn w:val="CommentText"/>
    <w:next w:val="CommentText"/>
    <w:link w:val="CommentSubjectChar"/>
    <w:uiPriority w:val="99"/>
    <w:semiHidden/>
    <w:unhideWhenUsed/>
    <w:rsid w:val="00623BDE"/>
    <w:rPr>
      <w:b/>
      <w:bCs/>
    </w:rPr>
  </w:style>
  <w:style w:type="character" w:customStyle="1" w:styleId="CommentSubjectChar">
    <w:name w:val="Comment Subject Char"/>
    <w:basedOn w:val="CommentTextChar"/>
    <w:link w:val="CommentSubject"/>
    <w:uiPriority w:val="99"/>
    <w:semiHidden/>
    <w:rsid w:val="00623BDE"/>
    <w:rPr>
      <w:b/>
      <w:bCs/>
      <w:sz w:val="20"/>
      <w:szCs w:val="20"/>
    </w:rPr>
  </w:style>
  <w:style w:type="paragraph" w:styleId="BalloonText">
    <w:name w:val="Balloon Text"/>
    <w:basedOn w:val="Normal"/>
    <w:link w:val="BalloonTextChar"/>
    <w:uiPriority w:val="99"/>
    <w:semiHidden/>
    <w:unhideWhenUsed/>
    <w:rsid w:val="00DB6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836"/>
    <w:rPr>
      <w:rFonts w:ascii="Segoe UI" w:hAnsi="Segoe UI" w:cs="Segoe UI"/>
      <w:sz w:val="18"/>
      <w:szCs w:val="18"/>
    </w:rPr>
  </w:style>
  <w:style w:type="paragraph" w:styleId="Header">
    <w:name w:val="header"/>
    <w:basedOn w:val="Normal"/>
    <w:link w:val="HeaderChar"/>
    <w:uiPriority w:val="99"/>
    <w:unhideWhenUsed/>
    <w:rsid w:val="00DB6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836"/>
  </w:style>
  <w:style w:type="paragraph" w:styleId="Footer">
    <w:name w:val="footer"/>
    <w:basedOn w:val="Normal"/>
    <w:link w:val="FooterChar"/>
    <w:uiPriority w:val="99"/>
    <w:unhideWhenUsed/>
    <w:rsid w:val="00DB6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836"/>
  </w:style>
  <w:style w:type="character" w:customStyle="1" w:styleId="Heading5Char">
    <w:name w:val="Heading 5 Char"/>
    <w:basedOn w:val="DefaultParagraphFont"/>
    <w:link w:val="Heading5"/>
    <w:uiPriority w:val="9"/>
    <w:rsid w:val="00F50AF3"/>
    <w:rPr>
      <w:rFonts w:ascii="Times New Roman" w:eastAsia="Arial Narrow" w:hAnsi="Times New Roman" w:cs="Times New Roman"/>
      <w:b/>
      <w:bCs/>
      <w:sz w:val="28"/>
      <w:szCs w:val="28"/>
    </w:rPr>
  </w:style>
  <w:style w:type="character" w:customStyle="1" w:styleId="Heading6Char">
    <w:name w:val="Heading 6 Char"/>
    <w:basedOn w:val="DefaultParagraphFont"/>
    <w:link w:val="Heading6"/>
    <w:uiPriority w:val="9"/>
    <w:rsid w:val="00335F0B"/>
    <w:rPr>
      <w:rFonts w:ascii="Times New Roman" w:hAnsi="Times New Roman" w:cs="Times New Roman"/>
      <w:b/>
      <w:bCs/>
      <w:color w:val="000000"/>
      <w:sz w:val="28"/>
      <w:szCs w:val="28"/>
    </w:rPr>
  </w:style>
  <w:style w:type="paragraph" w:styleId="FootnoteText">
    <w:name w:val="footnote text"/>
    <w:basedOn w:val="Normal"/>
    <w:link w:val="FootnoteTextChar"/>
    <w:uiPriority w:val="99"/>
    <w:semiHidden/>
    <w:unhideWhenUsed/>
    <w:rsid w:val="00223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297"/>
    <w:rPr>
      <w:sz w:val="20"/>
      <w:szCs w:val="20"/>
    </w:rPr>
  </w:style>
  <w:style w:type="character" w:styleId="FootnoteReference">
    <w:name w:val="footnote reference"/>
    <w:basedOn w:val="DefaultParagraphFont"/>
    <w:uiPriority w:val="99"/>
    <w:semiHidden/>
    <w:unhideWhenUsed/>
    <w:rsid w:val="00223297"/>
    <w:rPr>
      <w:vertAlign w:val="superscript"/>
    </w:rPr>
  </w:style>
  <w:style w:type="character" w:styleId="UnresolvedMention">
    <w:name w:val="Unresolved Mention"/>
    <w:basedOn w:val="DefaultParagraphFont"/>
    <w:uiPriority w:val="99"/>
    <w:semiHidden/>
    <w:unhideWhenUsed/>
    <w:rsid w:val="00427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0072">
      <w:bodyDiv w:val="1"/>
      <w:marLeft w:val="0"/>
      <w:marRight w:val="0"/>
      <w:marTop w:val="0"/>
      <w:marBottom w:val="0"/>
      <w:divBdr>
        <w:top w:val="none" w:sz="0" w:space="0" w:color="auto"/>
        <w:left w:val="none" w:sz="0" w:space="0" w:color="auto"/>
        <w:bottom w:val="none" w:sz="0" w:space="0" w:color="auto"/>
        <w:right w:val="none" w:sz="0" w:space="0" w:color="auto"/>
      </w:divBdr>
    </w:div>
    <w:div w:id="158349352">
      <w:bodyDiv w:val="1"/>
      <w:marLeft w:val="0"/>
      <w:marRight w:val="0"/>
      <w:marTop w:val="0"/>
      <w:marBottom w:val="0"/>
      <w:divBdr>
        <w:top w:val="none" w:sz="0" w:space="0" w:color="auto"/>
        <w:left w:val="none" w:sz="0" w:space="0" w:color="auto"/>
        <w:bottom w:val="none" w:sz="0" w:space="0" w:color="auto"/>
        <w:right w:val="none" w:sz="0" w:space="0" w:color="auto"/>
      </w:divBdr>
    </w:div>
    <w:div w:id="233204315">
      <w:bodyDiv w:val="1"/>
      <w:marLeft w:val="0"/>
      <w:marRight w:val="0"/>
      <w:marTop w:val="0"/>
      <w:marBottom w:val="0"/>
      <w:divBdr>
        <w:top w:val="none" w:sz="0" w:space="0" w:color="auto"/>
        <w:left w:val="none" w:sz="0" w:space="0" w:color="auto"/>
        <w:bottom w:val="none" w:sz="0" w:space="0" w:color="auto"/>
        <w:right w:val="none" w:sz="0" w:space="0" w:color="auto"/>
      </w:divBdr>
    </w:div>
    <w:div w:id="244656740">
      <w:bodyDiv w:val="1"/>
      <w:marLeft w:val="0"/>
      <w:marRight w:val="0"/>
      <w:marTop w:val="0"/>
      <w:marBottom w:val="0"/>
      <w:divBdr>
        <w:top w:val="none" w:sz="0" w:space="0" w:color="auto"/>
        <w:left w:val="none" w:sz="0" w:space="0" w:color="auto"/>
        <w:bottom w:val="none" w:sz="0" w:space="0" w:color="auto"/>
        <w:right w:val="none" w:sz="0" w:space="0" w:color="auto"/>
      </w:divBdr>
    </w:div>
    <w:div w:id="271204723">
      <w:bodyDiv w:val="1"/>
      <w:marLeft w:val="0"/>
      <w:marRight w:val="0"/>
      <w:marTop w:val="0"/>
      <w:marBottom w:val="0"/>
      <w:divBdr>
        <w:top w:val="none" w:sz="0" w:space="0" w:color="auto"/>
        <w:left w:val="none" w:sz="0" w:space="0" w:color="auto"/>
        <w:bottom w:val="none" w:sz="0" w:space="0" w:color="auto"/>
        <w:right w:val="none" w:sz="0" w:space="0" w:color="auto"/>
      </w:divBdr>
    </w:div>
    <w:div w:id="308025223">
      <w:bodyDiv w:val="1"/>
      <w:marLeft w:val="0"/>
      <w:marRight w:val="0"/>
      <w:marTop w:val="0"/>
      <w:marBottom w:val="0"/>
      <w:divBdr>
        <w:top w:val="none" w:sz="0" w:space="0" w:color="auto"/>
        <w:left w:val="none" w:sz="0" w:space="0" w:color="auto"/>
        <w:bottom w:val="none" w:sz="0" w:space="0" w:color="auto"/>
        <w:right w:val="none" w:sz="0" w:space="0" w:color="auto"/>
      </w:divBdr>
      <w:divsChild>
        <w:div w:id="546263206">
          <w:marLeft w:val="1063"/>
          <w:marRight w:val="0"/>
          <w:marTop w:val="0"/>
          <w:marBottom w:val="0"/>
          <w:divBdr>
            <w:top w:val="none" w:sz="0" w:space="0" w:color="auto"/>
            <w:left w:val="none" w:sz="0" w:space="0" w:color="auto"/>
            <w:bottom w:val="none" w:sz="0" w:space="0" w:color="auto"/>
            <w:right w:val="none" w:sz="0" w:space="0" w:color="auto"/>
          </w:divBdr>
        </w:div>
      </w:divsChild>
    </w:div>
    <w:div w:id="312682164">
      <w:bodyDiv w:val="1"/>
      <w:marLeft w:val="0"/>
      <w:marRight w:val="0"/>
      <w:marTop w:val="0"/>
      <w:marBottom w:val="0"/>
      <w:divBdr>
        <w:top w:val="none" w:sz="0" w:space="0" w:color="auto"/>
        <w:left w:val="none" w:sz="0" w:space="0" w:color="auto"/>
        <w:bottom w:val="none" w:sz="0" w:space="0" w:color="auto"/>
        <w:right w:val="none" w:sz="0" w:space="0" w:color="auto"/>
      </w:divBdr>
    </w:div>
    <w:div w:id="333385086">
      <w:bodyDiv w:val="1"/>
      <w:marLeft w:val="0"/>
      <w:marRight w:val="0"/>
      <w:marTop w:val="0"/>
      <w:marBottom w:val="0"/>
      <w:divBdr>
        <w:top w:val="none" w:sz="0" w:space="0" w:color="auto"/>
        <w:left w:val="none" w:sz="0" w:space="0" w:color="auto"/>
        <w:bottom w:val="none" w:sz="0" w:space="0" w:color="auto"/>
        <w:right w:val="none" w:sz="0" w:space="0" w:color="auto"/>
      </w:divBdr>
    </w:div>
    <w:div w:id="453788492">
      <w:bodyDiv w:val="1"/>
      <w:marLeft w:val="0"/>
      <w:marRight w:val="0"/>
      <w:marTop w:val="0"/>
      <w:marBottom w:val="0"/>
      <w:divBdr>
        <w:top w:val="none" w:sz="0" w:space="0" w:color="auto"/>
        <w:left w:val="none" w:sz="0" w:space="0" w:color="auto"/>
        <w:bottom w:val="none" w:sz="0" w:space="0" w:color="auto"/>
        <w:right w:val="none" w:sz="0" w:space="0" w:color="auto"/>
      </w:divBdr>
    </w:div>
    <w:div w:id="504397144">
      <w:bodyDiv w:val="1"/>
      <w:marLeft w:val="0"/>
      <w:marRight w:val="0"/>
      <w:marTop w:val="0"/>
      <w:marBottom w:val="0"/>
      <w:divBdr>
        <w:top w:val="none" w:sz="0" w:space="0" w:color="auto"/>
        <w:left w:val="none" w:sz="0" w:space="0" w:color="auto"/>
        <w:bottom w:val="none" w:sz="0" w:space="0" w:color="auto"/>
        <w:right w:val="none" w:sz="0" w:space="0" w:color="auto"/>
      </w:divBdr>
    </w:div>
    <w:div w:id="540017297">
      <w:bodyDiv w:val="1"/>
      <w:marLeft w:val="0"/>
      <w:marRight w:val="0"/>
      <w:marTop w:val="0"/>
      <w:marBottom w:val="0"/>
      <w:divBdr>
        <w:top w:val="none" w:sz="0" w:space="0" w:color="auto"/>
        <w:left w:val="none" w:sz="0" w:space="0" w:color="auto"/>
        <w:bottom w:val="none" w:sz="0" w:space="0" w:color="auto"/>
        <w:right w:val="none" w:sz="0" w:space="0" w:color="auto"/>
      </w:divBdr>
    </w:div>
    <w:div w:id="576524513">
      <w:bodyDiv w:val="1"/>
      <w:marLeft w:val="0"/>
      <w:marRight w:val="0"/>
      <w:marTop w:val="0"/>
      <w:marBottom w:val="0"/>
      <w:divBdr>
        <w:top w:val="none" w:sz="0" w:space="0" w:color="auto"/>
        <w:left w:val="none" w:sz="0" w:space="0" w:color="auto"/>
        <w:bottom w:val="none" w:sz="0" w:space="0" w:color="auto"/>
        <w:right w:val="none" w:sz="0" w:space="0" w:color="auto"/>
      </w:divBdr>
    </w:div>
    <w:div w:id="590940666">
      <w:bodyDiv w:val="1"/>
      <w:marLeft w:val="0"/>
      <w:marRight w:val="0"/>
      <w:marTop w:val="0"/>
      <w:marBottom w:val="0"/>
      <w:divBdr>
        <w:top w:val="none" w:sz="0" w:space="0" w:color="auto"/>
        <w:left w:val="none" w:sz="0" w:space="0" w:color="auto"/>
        <w:bottom w:val="none" w:sz="0" w:space="0" w:color="auto"/>
        <w:right w:val="none" w:sz="0" w:space="0" w:color="auto"/>
      </w:divBdr>
    </w:div>
    <w:div w:id="653989476">
      <w:bodyDiv w:val="1"/>
      <w:marLeft w:val="0"/>
      <w:marRight w:val="0"/>
      <w:marTop w:val="0"/>
      <w:marBottom w:val="0"/>
      <w:divBdr>
        <w:top w:val="none" w:sz="0" w:space="0" w:color="auto"/>
        <w:left w:val="none" w:sz="0" w:space="0" w:color="auto"/>
        <w:bottom w:val="none" w:sz="0" w:space="0" w:color="auto"/>
        <w:right w:val="none" w:sz="0" w:space="0" w:color="auto"/>
      </w:divBdr>
    </w:div>
    <w:div w:id="748844276">
      <w:bodyDiv w:val="1"/>
      <w:marLeft w:val="0"/>
      <w:marRight w:val="0"/>
      <w:marTop w:val="0"/>
      <w:marBottom w:val="0"/>
      <w:divBdr>
        <w:top w:val="none" w:sz="0" w:space="0" w:color="auto"/>
        <w:left w:val="none" w:sz="0" w:space="0" w:color="auto"/>
        <w:bottom w:val="none" w:sz="0" w:space="0" w:color="auto"/>
        <w:right w:val="none" w:sz="0" w:space="0" w:color="auto"/>
      </w:divBdr>
    </w:div>
    <w:div w:id="867178145">
      <w:bodyDiv w:val="1"/>
      <w:marLeft w:val="0"/>
      <w:marRight w:val="0"/>
      <w:marTop w:val="0"/>
      <w:marBottom w:val="0"/>
      <w:divBdr>
        <w:top w:val="none" w:sz="0" w:space="0" w:color="auto"/>
        <w:left w:val="none" w:sz="0" w:space="0" w:color="auto"/>
        <w:bottom w:val="none" w:sz="0" w:space="0" w:color="auto"/>
        <w:right w:val="none" w:sz="0" w:space="0" w:color="auto"/>
      </w:divBdr>
    </w:div>
    <w:div w:id="916864991">
      <w:bodyDiv w:val="1"/>
      <w:marLeft w:val="0"/>
      <w:marRight w:val="0"/>
      <w:marTop w:val="0"/>
      <w:marBottom w:val="0"/>
      <w:divBdr>
        <w:top w:val="none" w:sz="0" w:space="0" w:color="auto"/>
        <w:left w:val="none" w:sz="0" w:space="0" w:color="auto"/>
        <w:bottom w:val="none" w:sz="0" w:space="0" w:color="auto"/>
        <w:right w:val="none" w:sz="0" w:space="0" w:color="auto"/>
      </w:divBdr>
    </w:div>
    <w:div w:id="1118839615">
      <w:bodyDiv w:val="1"/>
      <w:marLeft w:val="0"/>
      <w:marRight w:val="0"/>
      <w:marTop w:val="0"/>
      <w:marBottom w:val="0"/>
      <w:divBdr>
        <w:top w:val="none" w:sz="0" w:space="0" w:color="auto"/>
        <w:left w:val="none" w:sz="0" w:space="0" w:color="auto"/>
        <w:bottom w:val="none" w:sz="0" w:space="0" w:color="auto"/>
        <w:right w:val="none" w:sz="0" w:space="0" w:color="auto"/>
      </w:divBdr>
    </w:div>
    <w:div w:id="1136027410">
      <w:bodyDiv w:val="1"/>
      <w:marLeft w:val="0"/>
      <w:marRight w:val="0"/>
      <w:marTop w:val="0"/>
      <w:marBottom w:val="0"/>
      <w:divBdr>
        <w:top w:val="none" w:sz="0" w:space="0" w:color="auto"/>
        <w:left w:val="none" w:sz="0" w:space="0" w:color="auto"/>
        <w:bottom w:val="none" w:sz="0" w:space="0" w:color="auto"/>
        <w:right w:val="none" w:sz="0" w:space="0" w:color="auto"/>
      </w:divBdr>
      <w:divsChild>
        <w:div w:id="719790578">
          <w:marLeft w:val="1063"/>
          <w:marRight w:val="0"/>
          <w:marTop w:val="0"/>
          <w:marBottom w:val="0"/>
          <w:divBdr>
            <w:top w:val="none" w:sz="0" w:space="0" w:color="auto"/>
            <w:left w:val="none" w:sz="0" w:space="0" w:color="auto"/>
            <w:bottom w:val="none" w:sz="0" w:space="0" w:color="auto"/>
            <w:right w:val="none" w:sz="0" w:space="0" w:color="auto"/>
          </w:divBdr>
        </w:div>
      </w:divsChild>
    </w:div>
    <w:div w:id="1157039027">
      <w:bodyDiv w:val="1"/>
      <w:marLeft w:val="0"/>
      <w:marRight w:val="0"/>
      <w:marTop w:val="0"/>
      <w:marBottom w:val="0"/>
      <w:divBdr>
        <w:top w:val="none" w:sz="0" w:space="0" w:color="auto"/>
        <w:left w:val="none" w:sz="0" w:space="0" w:color="auto"/>
        <w:bottom w:val="none" w:sz="0" w:space="0" w:color="auto"/>
        <w:right w:val="none" w:sz="0" w:space="0" w:color="auto"/>
      </w:divBdr>
    </w:div>
    <w:div w:id="1168599565">
      <w:bodyDiv w:val="1"/>
      <w:marLeft w:val="0"/>
      <w:marRight w:val="0"/>
      <w:marTop w:val="0"/>
      <w:marBottom w:val="0"/>
      <w:divBdr>
        <w:top w:val="none" w:sz="0" w:space="0" w:color="auto"/>
        <w:left w:val="none" w:sz="0" w:space="0" w:color="auto"/>
        <w:bottom w:val="none" w:sz="0" w:space="0" w:color="auto"/>
        <w:right w:val="none" w:sz="0" w:space="0" w:color="auto"/>
      </w:divBdr>
    </w:div>
    <w:div w:id="1202204043">
      <w:bodyDiv w:val="1"/>
      <w:marLeft w:val="0"/>
      <w:marRight w:val="0"/>
      <w:marTop w:val="0"/>
      <w:marBottom w:val="0"/>
      <w:divBdr>
        <w:top w:val="none" w:sz="0" w:space="0" w:color="auto"/>
        <w:left w:val="none" w:sz="0" w:space="0" w:color="auto"/>
        <w:bottom w:val="none" w:sz="0" w:space="0" w:color="auto"/>
        <w:right w:val="none" w:sz="0" w:space="0" w:color="auto"/>
      </w:divBdr>
    </w:div>
    <w:div w:id="1209873121">
      <w:bodyDiv w:val="1"/>
      <w:marLeft w:val="0"/>
      <w:marRight w:val="0"/>
      <w:marTop w:val="0"/>
      <w:marBottom w:val="0"/>
      <w:divBdr>
        <w:top w:val="none" w:sz="0" w:space="0" w:color="auto"/>
        <w:left w:val="none" w:sz="0" w:space="0" w:color="auto"/>
        <w:bottom w:val="none" w:sz="0" w:space="0" w:color="auto"/>
        <w:right w:val="none" w:sz="0" w:space="0" w:color="auto"/>
      </w:divBdr>
    </w:div>
    <w:div w:id="1238251208">
      <w:bodyDiv w:val="1"/>
      <w:marLeft w:val="0"/>
      <w:marRight w:val="0"/>
      <w:marTop w:val="0"/>
      <w:marBottom w:val="0"/>
      <w:divBdr>
        <w:top w:val="none" w:sz="0" w:space="0" w:color="auto"/>
        <w:left w:val="none" w:sz="0" w:space="0" w:color="auto"/>
        <w:bottom w:val="none" w:sz="0" w:space="0" w:color="auto"/>
        <w:right w:val="none" w:sz="0" w:space="0" w:color="auto"/>
      </w:divBdr>
    </w:div>
    <w:div w:id="1239828540">
      <w:bodyDiv w:val="1"/>
      <w:marLeft w:val="0"/>
      <w:marRight w:val="0"/>
      <w:marTop w:val="0"/>
      <w:marBottom w:val="0"/>
      <w:divBdr>
        <w:top w:val="none" w:sz="0" w:space="0" w:color="auto"/>
        <w:left w:val="none" w:sz="0" w:space="0" w:color="auto"/>
        <w:bottom w:val="none" w:sz="0" w:space="0" w:color="auto"/>
        <w:right w:val="none" w:sz="0" w:space="0" w:color="auto"/>
      </w:divBdr>
    </w:div>
    <w:div w:id="1333332247">
      <w:bodyDiv w:val="1"/>
      <w:marLeft w:val="0"/>
      <w:marRight w:val="0"/>
      <w:marTop w:val="0"/>
      <w:marBottom w:val="0"/>
      <w:divBdr>
        <w:top w:val="none" w:sz="0" w:space="0" w:color="auto"/>
        <w:left w:val="none" w:sz="0" w:space="0" w:color="auto"/>
        <w:bottom w:val="none" w:sz="0" w:space="0" w:color="auto"/>
        <w:right w:val="none" w:sz="0" w:space="0" w:color="auto"/>
      </w:divBdr>
    </w:div>
    <w:div w:id="1412116309">
      <w:bodyDiv w:val="1"/>
      <w:marLeft w:val="0"/>
      <w:marRight w:val="0"/>
      <w:marTop w:val="0"/>
      <w:marBottom w:val="0"/>
      <w:divBdr>
        <w:top w:val="none" w:sz="0" w:space="0" w:color="auto"/>
        <w:left w:val="none" w:sz="0" w:space="0" w:color="auto"/>
        <w:bottom w:val="none" w:sz="0" w:space="0" w:color="auto"/>
        <w:right w:val="none" w:sz="0" w:space="0" w:color="auto"/>
      </w:divBdr>
    </w:div>
    <w:div w:id="1435322282">
      <w:bodyDiv w:val="1"/>
      <w:marLeft w:val="0"/>
      <w:marRight w:val="0"/>
      <w:marTop w:val="0"/>
      <w:marBottom w:val="0"/>
      <w:divBdr>
        <w:top w:val="none" w:sz="0" w:space="0" w:color="auto"/>
        <w:left w:val="none" w:sz="0" w:space="0" w:color="auto"/>
        <w:bottom w:val="none" w:sz="0" w:space="0" w:color="auto"/>
        <w:right w:val="none" w:sz="0" w:space="0" w:color="auto"/>
      </w:divBdr>
      <w:divsChild>
        <w:div w:id="629821408">
          <w:marLeft w:val="963"/>
          <w:marRight w:val="0"/>
          <w:marTop w:val="0"/>
          <w:marBottom w:val="0"/>
          <w:divBdr>
            <w:top w:val="none" w:sz="0" w:space="0" w:color="auto"/>
            <w:left w:val="none" w:sz="0" w:space="0" w:color="auto"/>
            <w:bottom w:val="none" w:sz="0" w:space="0" w:color="auto"/>
            <w:right w:val="none" w:sz="0" w:space="0" w:color="auto"/>
          </w:divBdr>
        </w:div>
      </w:divsChild>
    </w:div>
    <w:div w:id="1435713625">
      <w:bodyDiv w:val="1"/>
      <w:marLeft w:val="0"/>
      <w:marRight w:val="0"/>
      <w:marTop w:val="0"/>
      <w:marBottom w:val="0"/>
      <w:divBdr>
        <w:top w:val="none" w:sz="0" w:space="0" w:color="auto"/>
        <w:left w:val="none" w:sz="0" w:space="0" w:color="auto"/>
        <w:bottom w:val="none" w:sz="0" w:space="0" w:color="auto"/>
        <w:right w:val="none" w:sz="0" w:space="0" w:color="auto"/>
      </w:divBdr>
    </w:div>
    <w:div w:id="1498106069">
      <w:bodyDiv w:val="1"/>
      <w:marLeft w:val="0"/>
      <w:marRight w:val="0"/>
      <w:marTop w:val="0"/>
      <w:marBottom w:val="0"/>
      <w:divBdr>
        <w:top w:val="none" w:sz="0" w:space="0" w:color="auto"/>
        <w:left w:val="none" w:sz="0" w:space="0" w:color="auto"/>
        <w:bottom w:val="none" w:sz="0" w:space="0" w:color="auto"/>
        <w:right w:val="none" w:sz="0" w:space="0" w:color="auto"/>
      </w:divBdr>
    </w:div>
    <w:div w:id="1548446042">
      <w:bodyDiv w:val="1"/>
      <w:marLeft w:val="0"/>
      <w:marRight w:val="0"/>
      <w:marTop w:val="0"/>
      <w:marBottom w:val="0"/>
      <w:divBdr>
        <w:top w:val="none" w:sz="0" w:space="0" w:color="auto"/>
        <w:left w:val="none" w:sz="0" w:space="0" w:color="auto"/>
        <w:bottom w:val="none" w:sz="0" w:space="0" w:color="auto"/>
        <w:right w:val="none" w:sz="0" w:space="0" w:color="auto"/>
      </w:divBdr>
    </w:div>
    <w:div w:id="1549952891">
      <w:bodyDiv w:val="1"/>
      <w:marLeft w:val="0"/>
      <w:marRight w:val="0"/>
      <w:marTop w:val="0"/>
      <w:marBottom w:val="0"/>
      <w:divBdr>
        <w:top w:val="none" w:sz="0" w:space="0" w:color="auto"/>
        <w:left w:val="none" w:sz="0" w:space="0" w:color="auto"/>
        <w:bottom w:val="none" w:sz="0" w:space="0" w:color="auto"/>
        <w:right w:val="none" w:sz="0" w:space="0" w:color="auto"/>
      </w:divBdr>
    </w:div>
    <w:div w:id="1563446247">
      <w:bodyDiv w:val="1"/>
      <w:marLeft w:val="0"/>
      <w:marRight w:val="0"/>
      <w:marTop w:val="0"/>
      <w:marBottom w:val="0"/>
      <w:divBdr>
        <w:top w:val="none" w:sz="0" w:space="0" w:color="auto"/>
        <w:left w:val="none" w:sz="0" w:space="0" w:color="auto"/>
        <w:bottom w:val="none" w:sz="0" w:space="0" w:color="auto"/>
        <w:right w:val="none" w:sz="0" w:space="0" w:color="auto"/>
      </w:divBdr>
    </w:div>
    <w:div w:id="1590502887">
      <w:bodyDiv w:val="1"/>
      <w:marLeft w:val="0"/>
      <w:marRight w:val="0"/>
      <w:marTop w:val="0"/>
      <w:marBottom w:val="0"/>
      <w:divBdr>
        <w:top w:val="none" w:sz="0" w:space="0" w:color="auto"/>
        <w:left w:val="none" w:sz="0" w:space="0" w:color="auto"/>
        <w:bottom w:val="none" w:sz="0" w:space="0" w:color="auto"/>
        <w:right w:val="none" w:sz="0" w:space="0" w:color="auto"/>
      </w:divBdr>
    </w:div>
    <w:div w:id="1618291777">
      <w:bodyDiv w:val="1"/>
      <w:marLeft w:val="0"/>
      <w:marRight w:val="0"/>
      <w:marTop w:val="0"/>
      <w:marBottom w:val="0"/>
      <w:divBdr>
        <w:top w:val="none" w:sz="0" w:space="0" w:color="auto"/>
        <w:left w:val="none" w:sz="0" w:space="0" w:color="auto"/>
        <w:bottom w:val="none" w:sz="0" w:space="0" w:color="auto"/>
        <w:right w:val="none" w:sz="0" w:space="0" w:color="auto"/>
      </w:divBdr>
    </w:div>
    <w:div w:id="1625043109">
      <w:bodyDiv w:val="1"/>
      <w:marLeft w:val="0"/>
      <w:marRight w:val="0"/>
      <w:marTop w:val="0"/>
      <w:marBottom w:val="0"/>
      <w:divBdr>
        <w:top w:val="none" w:sz="0" w:space="0" w:color="auto"/>
        <w:left w:val="none" w:sz="0" w:space="0" w:color="auto"/>
        <w:bottom w:val="none" w:sz="0" w:space="0" w:color="auto"/>
        <w:right w:val="none" w:sz="0" w:space="0" w:color="auto"/>
      </w:divBdr>
    </w:div>
    <w:div w:id="1663267826">
      <w:bodyDiv w:val="1"/>
      <w:marLeft w:val="0"/>
      <w:marRight w:val="0"/>
      <w:marTop w:val="0"/>
      <w:marBottom w:val="0"/>
      <w:divBdr>
        <w:top w:val="none" w:sz="0" w:space="0" w:color="auto"/>
        <w:left w:val="none" w:sz="0" w:space="0" w:color="auto"/>
        <w:bottom w:val="none" w:sz="0" w:space="0" w:color="auto"/>
        <w:right w:val="none" w:sz="0" w:space="0" w:color="auto"/>
      </w:divBdr>
    </w:div>
    <w:div w:id="1700623254">
      <w:bodyDiv w:val="1"/>
      <w:marLeft w:val="0"/>
      <w:marRight w:val="0"/>
      <w:marTop w:val="0"/>
      <w:marBottom w:val="0"/>
      <w:divBdr>
        <w:top w:val="none" w:sz="0" w:space="0" w:color="auto"/>
        <w:left w:val="none" w:sz="0" w:space="0" w:color="auto"/>
        <w:bottom w:val="none" w:sz="0" w:space="0" w:color="auto"/>
        <w:right w:val="none" w:sz="0" w:space="0" w:color="auto"/>
      </w:divBdr>
    </w:div>
    <w:div w:id="1747334301">
      <w:bodyDiv w:val="1"/>
      <w:marLeft w:val="0"/>
      <w:marRight w:val="0"/>
      <w:marTop w:val="0"/>
      <w:marBottom w:val="0"/>
      <w:divBdr>
        <w:top w:val="none" w:sz="0" w:space="0" w:color="auto"/>
        <w:left w:val="none" w:sz="0" w:space="0" w:color="auto"/>
        <w:bottom w:val="none" w:sz="0" w:space="0" w:color="auto"/>
        <w:right w:val="none" w:sz="0" w:space="0" w:color="auto"/>
      </w:divBdr>
    </w:div>
    <w:div w:id="1781410343">
      <w:bodyDiv w:val="1"/>
      <w:marLeft w:val="0"/>
      <w:marRight w:val="0"/>
      <w:marTop w:val="0"/>
      <w:marBottom w:val="0"/>
      <w:divBdr>
        <w:top w:val="none" w:sz="0" w:space="0" w:color="auto"/>
        <w:left w:val="none" w:sz="0" w:space="0" w:color="auto"/>
        <w:bottom w:val="none" w:sz="0" w:space="0" w:color="auto"/>
        <w:right w:val="none" w:sz="0" w:space="0" w:color="auto"/>
      </w:divBdr>
    </w:div>
    <w:div w:id="1785422672">
      <w:bodyDiv w:val="1"/>
      <w:marLeft w:val="0"/>
      <w:marRight w:val="0"/>
      <w:marTop w:val="0"/>
      <w:marBottom w:val="0"/>
      <w:divBdr>
        <w:top w:val="none" w:sz="0" w:space="0" w:color="auto"/>
        <w:left w:val="none" w:sz="0" w:space="0" w:color="auto"/>
        <w:bottom w:val="none" w:sz="0" w:space="0" w:color="auto"/>
        <w:right w:val="none" w:sz="0" w:space="0" w:color="auto"/>
      </w:divBdr>
    </w:div>
    <w:div w:id="1814516492">
      <w:bodyDiv w:val="1"/>
      <w:marLeft w:val="0"/>
      <w:marRight w:val="0"/>
      <w:marTop w:val="0"/>
      <w:marBottom w:val="0"/>
      <w:divBdr>
        <w:top w:val="none" w:sz="0" w:space="0" w:color="auto"/>
        <w:left w:val="none" w:sz="0" w:space="0" w:color="auto"/>
        <w:bottom w:val="none" w:sz="0" w:space="0" w:color="auto"/>
        <w:right w:val="none" w:sz="0" w:space="0" w:color="auto"/>
      </w:divBdr>
    </w:div>
    <w:div w:id="1845703258">
      <w:bodyDiv w:val="1"/>
      <w:marLeft w:val="0"/>
      <w:marRight w:val="0"/>
      <w:marTop w:val="0"/>
      <w:marBottom w:val="0"/>
      <w:divBdr>
        <w:top w:val="none" w:sz="0" w:space="0" w:color="auto"/>
        <w:left w:val="none" w:sz="0" w:space="0" w:color="auto"/>
        <w:bottom w:val="none" w:sz="0" w:space="0" w:color="auto"/>
        <w:right w:val="none" w:sz="0" w:space="0" w:color="auto"/>
      </w:divBdr>
    </w:div>
    <w:div w:id="1863544835">
      <w:bodyDiv w:val="1"/>
      <w:marLeft w:val="0"/>
      <w:marRight w:val="0"/>
      <w:marTop w:val="0"/>
      <w:marBottom w:val="0"/>
      <w:divBdr>
        <w:top w:val="none" w:sz="0" w:space="0" w:color="auto"/>
        <w:left w:val="none" w:sz="0" w:space="0" w:color="auto"/>
        <w:bottom w:val="none" w:sz="0" w:space="0" w:color="auto"/>
        <w:right w:val="none" w:sz="0" w:space="0" w:color="auto"/>
      </w:divBdr>
    </w:div>
    <w:div w:id="1865705016">
      <w:bodyDiv w:val="1"/>
      <w:marLeft w:val="0"/>
      <w:marRight w:val="0"/>
      <w:marTop w:val="0"/>
      <w:marBottom w:val="0"/>
      <w:divBdr>
        <w:top w:val="none" w:sz="0" w:space="0" w:color="auto"/>
        <w:left w:val="none" w:sz="0" w:space="0" w:color="auto"/>
        <w:bottom w:val="none" w:sz="0" w:space="0" w:color="auto"/>
        <w:right w:val="none" w:sz="0" w:space="0" w:color="auto"/>
      </w:divBdr>
    </w:div>
    <w:div w:id="1883469589">
      <w:bodyDiv w:val="1"/>
      <w:marLeft w:val="0"/>
      <w:marRight w:val="0"/>
      <w:marTop w:val="0"/>
      <w:marBottom w:val="0"/>
      <w:divBdr>
        <w:top w:val="none" w:sz="0" w:space="0" w:color="auto"/>
        <w:left w:val="none" w:sz="0" w:space="0" w:color="auto"/>
        <w:bottom w:val="none" w:sz="0" w:space="0" w:color="auto"/>
        <w:right w:val="none" w:sz="0" w:space="0" w:color="auto"/>
      </w:divBdr>
    </w:div>
    <w:div w:id="1894854604">
      <w:bodyDiv w:val="1"/>
      <w:marLeft w:val="0"/>
      <w:marRight w:val="0"/>
      <w:marTop w:val="0"/>
      <w:marBottom w:val="0"/>
      <w:divBdr>
        <w:top w:val="none" w:sz="0" w:space="0" w:color="auto"/>
        <w:left w:val="none" w:sz="0" w:space="0" w:color="auto"/>
        <w:bottom w:val="none" w:sz="0" w:space="0" w:color="auto"/>
        <w:right w:val="none" w:sz="0" w:space="0" w:color="auto"/>
      </w:divBdr>
    </w:div>
    <w:div w:id="1916162261">
      <w:bodyDiv w:val="1"/>
      <w:marLeft w:val="0"/>
      <w:marRight w:val="0"/>
      <w:marTop w:val="0"/>
      <w:marBottom w:val="0"/>
      <w:divBdr>
        <w:top w:val="none" w:sz="0" w:space="0" w:color="auto"/>
        <w:left w:val="none" w:sz="0" w:space="0" w:color="auto"/>
        <w:bottom w:val="none" w:sz="0" w:space="0" w:color="auto"/>
        <w:right w:val="none" w:sz="0" w:space="0" w:color="auto"/>
      </w:divBdr>
    </w:div>
    <w:div w:id="2048479697">
      <w:bodyDiv w:val="1"/>
      <w:marLeft w:val="0"/>
      <w:marRight w:val="0"/>
      <w:marTop w:val="0"/>
      <w:marBottom w:val="0"/>
      <w:divBdr>
        <w:top w:val="none" w:sz="0" w:space="0" w:color="auto"/>
        <w:left w:val="none" w:sz="0" w:space="0" w:color="auto"/>
        <w:bottom w:val="none" w:sz="0" w:space="0" w:color="auto"/>
        <w:right w:val="none" w:sz="0" w:space="0" w:color="auto"/>
      </w:divBdr>
    </w:div>
    <w:div w:id="2080592665">
      <w:bodyDiv w:val="1"/>
      <w:marLeft w:val="0"/>
      <w:marRight w:val="0"/>
      <w:marTop w:val="0"/>
      <w:marBottom w:val="0"/>
      <w:divBdr>
        <w:top w:val="none" w:sz="0" w:space="0" w:color="auto"/>
        <w:left w:val="none" w:sz="0" w:space="0" w:color="auto"/>
        <w:bottom w:val="none" w:sz="0" w:space="0" w:color="auto"/>
        <w:right w:val="none" w:sz="0" w:space="0" w:color="auto"/>
      </w:divBdr>
      <w:divsChild>
        <w:div w:id="1385594398">
          <w:marLeft w:val="-1029"/>
          <w:marRight w:val="0"/>
          <w:marTop w:val="0"/>
          <w:marBottom w:val="0"/>
          <w:divBdr>
            <w:top w:val="none" w:sz="0" w:space="0" w:color="auto"/>
            <w:left w:val="none" w:sz="0" w:space="0" w:color="auto"/>
            <w:bottom w:val="none" w:sz="0" w:space="0" w:color="auto"/>
            <w:right w:val="none" w:sz="0" w:space="0" w:color="auto"/>
          </w:divBdr>
        </w:div>
      </w:divsChild>
    </w:div>
    <w:div w:id="211544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yanbox.ir/view/236051966444369258/9781483344379-Designing-and-Conducting-Mixed-Methods-Research-3e.pdf" TargetMode="External"/><Relationship Id="rId18" Type="http://schemas.openxmlformats.org/officeDocument/2006/relationships/hyperlink" Target="https://doi.org/10.1037/1082-989X.4.3.272" TargetMode="External"/><Relationship Id="rId26" Type="http://schemas.openxmlformats.org/officeDocument/2006/relationships/hyperlink" Target="https://doi.org/10.5812/sdme.67670" TargetMode="External"/><Relationship Id="rId21" Type="http://schemas.openxmlformats.org/officeDocument/2006/relationships/hyperlink" Target="https://doi.org/10.1007/BF02291575" TargetMode="External"/><Relationship Id="rId34" Type="http://schemas.openxmlformats.org/officeDocument/2006/relationships/hyperlink" Target="https://doi.org/10.5116/ijme.4dfb.8dfd" TargetMode="External"/><Relationship Id="rId7" Type="http://schemas.openxmlformats.org/officeDocument/2006/relationships/endnotes" Target="endnotes.xml"/><Relationship Id="rId12" Type="http://schemas.openxmlformats.org/officeDocument/2006/relationships/hyperlink" Target="https://www.ucg.ac.me/skladiste/blog_609332/objava_105202/fajlovi/Creswell.pdf" TargetMode="External"/><Relationship Id="rId17" Type="http://schemas.openxmlformats.org/officeDocument/2006/relationships/hyperlink" Target="https://doi.org/10.1016/j.worlddev.2023.106501" TargetMode="External"/><Relationship Id="rId25" Type="http://schemas.openxmlformats.org/officeDocument/2006/relationships/hyperlink" Target="https://doi.org/10.47263/jasem.4(2)01" TargetMode="External"/><Relationship Id="rId33" Type="http://schemas.openxmlformats.org/officeDocument/2006/relationships/hyperlink" Target="https://www.sunstar.com.ph/cebu/dswd-7-launches-akap-to-aid-low-income-earners-from-inflation?utm_sourc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ld.dswd.gov.ph/dswd-to-join-kapihan-sa-bagong-pilipinas-june-11-nationwide-rollout/" TargetMode="External"/><Relationship Id="rId20" Type="http://schemas.openxmlformats.org/officeDocument/2006/relationships/hyperlink" Target="https://doi.org/10.1016/j.eswa.2021.116429" TargetMode="External"/><Relationship Id="rId29" Type="http://schemas.openxmlformats.org/officeDocument/2006/relationships/hyperlink" Target="https://pia.gov.ph/ayuda-means-govt-response-to-reduce-pover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275/jyj1-4868" TargetMode="External"/><Relationship Id="rId24" Type="http://schemas.openxmlformats.org/officeDocument/2006/relationships/hyperlink" Target="https://www.gurupress-cordillera.com/post/know-the-difference-akap-aics-4ps-are-programs-of-dswd-not-dole-reminds-dole-kalinga" TargetMode="External"/><Relationship Id="rId32" Type="http://schemas.openxmlformats.org/officeDocument/2006/relationships/hyperlink" Target="http://kharazmi-statistics.ir/Uploads/Public/book/research%20in%20organization.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swd.gov.ph/cash-grants-from-dswds-aics-akap-programs-range-from-php1k-to-php10k-based-on-social-workers-assessment-psb-director/" TargetMode="External"/><Relationship Id="rId23" Type="http://schemas.openxmlformats.org/officeDocument/2006/relationships/hyperlink" Target="https://doi.org/10.1007/BF02289233" TargetMode="External"/><Relationship Id="rId28" Type="http://schemas.openxmlformats.org/officeDocument/2006/relationships/hyperlink" Target="https://www.sunstar.com.ph/davao/dswd-wows-akap-aics-programs-atay-politics-free-in-2025" TargetMode="External"/><Relationship Id="rId36" Type="http://schemas.openxmlformats.org/officeDocument/2006/relationships/hyperlink" Target="https://doi.org/10.20982/tqmp.09.2.p079" TargetMode="External"/><Relationship Id="rId10" Type="http://schemas.openxmlformats.org/officeDocument/2006/relationships/hyperlink" Target="https://www.dswd.gov.ph/akap-aics-are-dswd-programs-with-agency-disbursed-funds-dswd-chief/?utm_source=" TargetMode="External"/><Relationship Id="rId19" Type="http://schemas.openxmlformats.org/officeDocument/2006/relationships/hyperlink" Target="https://alumni.ids.ac.uk/news/blogs-perspectives-provocations-initiatives/642/642" TargetMode="External"/><Relationship Id="rId31" Type="http://schemas.openxmlformats.org/officeDocument/2006/relationships/hyperlink" Target="https://www.ombudsman.gov.ph/docs/republicacts/Republic_Act_No_6713.pdf" TargetMode="External"/><Relationship Id="rId4" Type="http://schemas.openxmlformats.org/officeDocument/2006/relationships/settings" Target="settings.xml"/><Relationship Id="rId9" Type="http://schemas.openxmlformats.org/officeDocument/2006/relationships/hyperlink" Target="https://doi.org/10.1016/j.jdeveco.2022.102942" TargetMode="External"/><Relationship Id="rId14" Type="http://schemas.openxmlformats.org/officeDocument/2006/relationships/hyperlink" Target="https://www.pna.gov.ph/articles/1154757" TargetMode="External"/><Relationship Id="rId22" Type="http://schemas.openxmlformats.org/officeDocument/2006/relationships/hyperlink" Target="https://doi.org/10.1177/001316446002000116" TargetMode="External"/><Relationship Id="rId27" Type="http://schemas.openxmlformats.org/officeDocument/2006/relationships/hyperlink" Target="https://thediplomat.com/2025/01/the-politics-of-ayuda-in-the-philippines/" TargetMode="External"/><Relationship Id="rId30" Type="http://schemas.openxmlformats.org/officeDocument/2006/relationships/hyperlink" Target="https://privacy.gov.ph/data-privacy-act/" TargetMode="External"/><Relationship Id="rId35" Type="http://schemas.openxmlformats.org/officeDocument/2006/relationships/hyperlink" Target="https://doi.org/10.1016/j.ejpoleco.2021.102097"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6080-07EC-4699-8068-D076D5CE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8306</Words>
  <Characters>47346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sofea</dc:creator>
  <cp:keywords/>
  <dc:description/>
  <cp:lastModifiedBy>Hitomi Ken Heima</cp:lastModifiedBy>
  <cp:revision>2</cp:revision>
  <dcterms:created xsi:type="dcterms:W3CDTF">2026-06-12T12:50:00Z</dcterms:created>
  <dcterms:modified xsi:type="dcterms:W3CDTF">2026-06-12T12:50:00Z</dcterms:modified>
</cp:coreProperties>
</file>