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body>
    <w:p w14:paraId="3A683595" w14:textId="77777777" w:rsidR="00004376" w:rsidRPr="00D54138" w:rsidRDefault="00004376" w:rsidP="008B44D2">
      <w:pPr>
        <w:spacing w:after="0" w:line="240" w:lineRule="auto"/>
        <w:jc w:val="both"/>
        <w:rPr>
          <w:rFonts w:ascii="Times New Roman" w:eastAsia="Times New Roman" w:hAnsi="Times New Roman"/>
          <w:b/>
          <w:sz w:val="32"/>
          <w:szCs w:val="32"/>
        </w:rPr>
      </w:pPr>
    </w:p>
    <w:p w14:paraId="6CC24C8D" w14:textId="4641F0A7" w:rsidR="00437A4E" w:rsidRPr="00D54138" w:rsidRDefault="00437A4E" w:rsidP="007425C8">
      <w:pPr>
        <w:spacing w:before="240" w:after="240" w:line="240" w:lineRule="auto"/>
        <w:jc w:val="center"/>
        <w:rPr>
          <w:rFonts w:ascii="Times New Roman" w:eastAsia="Times New Roman" w:hAnsi="Times New Roman"/>
          <w:b/>
          <w:sz w:val="36"/>
          <w:szCs w:val="36"/>
        </w:rPr>
      </w:pPr>
      <w:r w:rsidRPr="00D54138">
        <w:rPr>
          <w:rFonts w:ascii="Times New Roman" w:eastAsia="Times New Roman" w:hAnsi="Times New Roman"/>
          <w:b/>
          <w:sz w:val="36"/>
          <w:szCs w:val="36"/>
        </w:rPr>
        <w:t>Analysis of The Emerging Trends in</w:t>
      </w:r>
    </w:p>
    <w:p w14:paraId="4ADC5F3C" w14:textId="44F1010E" w:rsidR="00004376" w:rsidRPr="00D54138" w:rsidRDefault="00437A4E" w:rsidP="0029473C">
      <w:pPr>
        <w:spacing w:after="0" w:line="240" w:lineRule="auto"/>
        <w:jc w:val="center"/>
        <w:rPr>
          <w:rFonts w:ascii="Times New Roman" w:eastAsia="Times New Roman" w:hAnsi="Times New Roman"/>
          <w:b/>
          <w:sz w:val="36"/>
          <w:szCs w:val="36"/>
        </w:rPr>
      </w:pPr>
      <w:r w:rsidRPr="00D54138">
        <w:rPr>
          <w:rFonts w:ascii="Times New Roman" w:eastAsia="Times New Roman" w:hAnsi="Times New Roman"/>
          <w:b/>
          <w:sz w:val="36"/>
          <w:szCs w:val="36"/>
        </w:rPr>
        <w:t/>
      </w:r>
    </w:p>
    <w:p w14:paraId="033E4CEE" w14:textId="77777777" w:rsidR="00004376" w:rsidRPr="00D54138" w:rsidRDefault="00004376" w:rsidP="008B44D2">
      <w:pPr>
        <w:spacing w:after="0" w:line="240" w:lineRule="auto"/>
        <w:jc w:val="both"/>
        <w:rPr>
          <w:rFonts w:ascii="Times New Roman" w:eastAsia="Times New Roman" w:hAnsi="Times New Roman"/>
        </w:rPr>
      </w:pPr>
    </w:p>
    <w:p w14:paraId="50F6646B" w14:textId="6F98C24C" w:rsidR="00D75A79" w:rsidRPr="00D54138" w:rsidRDefault="007C4E3C" w:rsidP="00B962A4">
      <w:pPr>
        <w:spacing w:after="0" w:line="240" w:lineRule="auto"/>
        <w:jc w:val="center"/>
        <w:rPr>
          <w:rFonts w:ascii="Times New Roman" w:eastAsia="Times New Roman" w:hAnsi="Times New Roman"/>
          <w:b/>
          <w:sz w:val="24"/>
          <w:szCs w:val="24"/>
          <w:vertAlign w:val="superscript"/>
        </w:rPr>
      </w:pPr>
      <w:r w:rsidRPr="00D54138">
        <w:rPr>
          <w:rFonts w:ascii="Times New Roman" w:eastAsia="Times New Roman" w:hAnsi="Times New Roman"/>
          <w:b/>
          <w:sz w:val="24"/>
          <w:szCs w:val="24"/>
        </w:rPr>
        <w:t xml:space="preserve"/>
      </w:r>
      <w:proofErr w:type="spellStart"/>
      <w:r w:rsidRPr="00D54138">
        <w:rPr>
          <w:rFonts w:ascii="Times New Roman" w:eastAsia="Times New Roman" w:hAnsi="Times New Roman"/>
          <w:b/>
          <w:sz w:val="24"/>
          <w:szCs w:val="24"/>
        </w:rPr>
        <w:t/>
      </w:r>
      <w:proofErr w:type="spellEnd"/>
      <w:r w:rsidR="00245DE7" w:rsidRPr="00D54138">
        <w:rPr>
          <w:rFonts w:ascii="Times New Roman" w:eastAsia="Times New Roman" w:hAnsi="Times New Roman"/>
          <w:b/>
          <w:sz w:val="24"/>
          <w:szCs w:val="24"/>
        </w:rPr>
        <w:t xml:space="preserve"/>
      </w:r>
      <w:r w:rsidR="00245DE7" w:rsidRPr="00D54138">
        <w:rPr>
          <w:rFonts w:ascii="Times New Roman" w:eastAsia="Times New Roman" w:hAnsi="Times New Roman"/>
          <w:b/>
          <w:sz w:val="24"/>
          <w:szCs w:val="24"/>
          <w:vertAlign w:val="superscript"/>
        </w:rPr>
        <w:t/>
      </w:r>
    </w:p>
    <w:p w14:paraId="64FB5BDD" w14:textId="77777777" w:rsidR="00004376" w:rsidRPr="00D54138" w:rsidRDefault="00004376" w:rsidP="00B962A4">
      <w:pPr>
        <w:spacing w:after="0" w:line="240" w:lineRule="auto"/>
        <w:jc w:val="both"/>
        <w:rPr>
          <w:rFonts w:ascii="Times New Roman" w:eastAsia="Times New Roman" w:hAnsi="Times New Roman"/>
        </w:rPr>
      </w:pPr>
    </w:p>
    <w:p w14:paraId="5F24823A" w14:textId="34E36081" w:rsidR="00FB3E65" w:rsidRPr="00D54138" w:rsidRDefault="00245DE7" w:rsidP="00B962A4">
      <w:pPr>
        <w:spacing w:after="0" w:line="240" w:lineRule="auto"/>
        <w:jc w:val="center"/>
        <w:rPr>
          <w:rFonts w:ascii="Times New Roman" w:eastAsia="Times New Roman" w:hAnsi="Times New Roman"/>
        </w:rPr>
      </w:pPr>
      <w:r w:rsidRPr="00D54138">
        <w:rPr>
          <w:rFonts w:ascii="Times New Roman" w:eastAsia="Times New Roman" w:hAnsi="Times New Roman"/>
          <w:sz w:val="24"/>
          <w:szCs w:val="24"/>
          <w:vertAlign w:val="superscript"/>
        </w:rPr>
        <w:t/>
      </w:r>
      <w:r w:rsidR="006B7300" w:rsidRPr="00D54138">
        <w:rPr>
          <w:rFonts w:ascii="Times New Roman" w:eastAsia="Times New Roman" w:hAnsi="Times New Roman"/>
          <w:sz w:val="24"/>
          <w:szCs w:val="24"/>
        </w:rPr>
        <w:t/>
      </w:r>
      <w:r w:rsidR="0061424F" w:rsidRPr="00D54138">
        <w:rPr>
          <w:rFonts w:ascii="Times New Roman" w:eastAsia="Times New Roman" w:hAnsi="Times New Roman"/>
          <w:sz w:val="24"/>
          <w:szCs w:val="24"/>
        </w:rPr>
        <w:t/>
      </w:r>
      <w:r w:rsidR="00610F65">
        <w:rPr>
          <w:rFonts w:ascii="Times New Roman" w:eastAsia="Times New Roman" w:hAnsi="Times New Roman"/>
          <w:sz w:val="24"/>
          <w:szCs w:val="24"/>
        </w:rPr>
        <w:t xml:space="preserve"/>
      </w:r>
      <w:r w:rsidR="00610F65" w:rsidRPr="00D54138">
        <w:rPr>
          <w:rFonts w:ascii="Times New Roman" w:eastAsia="Times New Roman" w:hAnsi="Times New Roman"/>
          <w:sz w:val="24"/>
          <w:szCs w:val="24"/>
        </w:rPr>
        <w:t/>
      </w:r>
      <w:r w:rsidR="0061424F" w:rsidRPr="00D54138">
        <w:rPr>
          <w:rFonts w:ascii="Times New Roman" w:eastAsia="Times New Roman" w:hAnsi="Times New Roman"/>
          <w:sz w:val="24"/>
          <w:szCs w:val="24"/>
        </w:rPr>
        <w:t/>
      </w:r>
      <w:r w:rsidR="007C4E3C" w:rsidRPr="00D54138">
        <w:rPr>
          <w:rFonts w:ascii="Times New Roman" w:eastAsia="Times New Roman" w:hAnsi="Times New Roman"/>
          <w:sz w:val="24"/>
          <w:szCs w:val="24"/>
        </w:rPr>
        <w:t/>
      </w:r>
      <w:r w:rsidR="000659A1">
        <w:rPr>
          <w:rFonts w:ascii="Times New Roman" w:eastAsia="Times New Roman" w:hAnsi="Times New Roman"/>
          <w:sz w:val="24"/>
          <w:szCs w:val="24"/>
        </w:rPr>
        <w:t/>
      </w:r>
      <w:r w:rsidR="007C4E3C" w:rsidRPr="00D54138">
        <w:rPr>
          <w:rFonts w:ascii="Times New Roman" w:eastAsia="Times New Roman" w:hAnsi="Times New Roman"/>
          <w:sz w:val="24"/>
          <w:szCs w:val="24"/>
        </w:rPr>
        <w:t xml:space="preserve"/>
      </w:r>
      <w:proofErr w:type="spellStart"/>
      <w:r w:rsidR="007C4E3C" w:rsidRPr="00D54138">
        <w:rPr>
          <w:rFonts w:ascii="Times New Roman" w:eastAsia="Times New Roman" w:hAnsi="Times New Roman"/>
          <w:sz w:val="24"/>
          <w:szCs w:val="24"/>
        </w:rPr>
        <w:t/>
      </w:r>
      <w:proofErr w:type="spellEnd"/>
      <w:r w:rsidR="007C4E3C" w:rsidRPr="00D54138">
        <w:rPr>
          <w:rFonts w:ascii="Times New Roman" w:eastAsia="Times New Roman" w:hAnsi="Times New Roman"/>
          <w:sz w:val="24"/>
          <w:szCs w:val="24"/>
        </w:rPr>
        <w:t xml:space="preserve"/>
      </w:r>
      <w:proofErr w:type="spellStart"/>
      <w:r w:rsidR="007C4E3C" w:rsidRPr="00D54138">
        <w:rPr>
          <w:rFonts w:ascii="Times New Roman" w:eastAsia="Times New Roman" w:hAnsi="Times New Roman"/>
          <w:sz w:val="24"/>
          <w:szCs w:val="24"/>
        </w:rPr>
        <w:t/>
      </w:r>
      <w:proofErr w:type="spellEnd"/>
      <w:r w:rsidR="007C4E3C" w:rsidRPr="00D54138">
        <w:rPr>
          <w:rFonts w:ascii="Times New Roman" w:eastAsia="Times New Roman" w:hAnsi="Times New Roman"/>
          <w:sz w:val="24"/>
          <w:szCs w:val="24"/>
        </w:rPr>
        <w:t xml:space="preserve"/>
      </w:r>
      <w:r w:rsidR="00391D75" w:rsidRPr="00D54138">
        <w:rPr>
          <w:rFonts w:ascii="Times New Roman" w:eastAsia="Times New Roman" w:hAnsi="Times New Roman"/>
          <w:sz w:val="24"/>
          <w:szCs w:val="24"/>
        </w:rPr>
        <w:t/>
      </w:r>
      <w:r w:rsidR="00391D75" w:rsidRPr="00D54138">
        <w:rPr>
          <w:rFonts w:ascii="Times New Roman" w:eastAsia="Times New Roman" w:hAnsi="Times New Roman"/>
        </w:rPr>
        <w:t/>
      </w:r>
    </w:p>
    <w:p w14:paraId="2028326A" w14:textId="77777777" w:rsidR="00004376" w:rsidRPr="00D54138" w:rsidRDefault="00004376" w:rsidP="00B962A4">
      <w:pPr>
        <w:pBdr>
          <w:bottom w:val="single" w:sz="4" w:space="1" w:color="000000"/>
        </w:pBdr>
        <w:spacing w:after="0" w:line="240" w:lineRule="auto"/>
        <w:jc w:val="both"/>
        <w:rPr>
          <w:rFonts w:ascii="Times New Roman" w:eastAsia="Times New Roman" w:hAnsi="Times New Roman"/>
        </w:rPr>
      </w:pPr>
    </w:p>
    <w:p w14:paraId="4122DA22" w14:textId="77777777" w:rsidR="00004376" w:rsidRPr="00D54138" w:rsidRDefault="00004376" w:rsidP="008B44D2">
      <w:pPr>
        <w:spacing w:after="0" w:line="240" w:lineRule="auto"/>
        <w:jc w:val="both"/>
        <w:rPr>
          <w:rFonts w:ascii="Times New Roman" w:eastAsia="Times New Roman" w:hAnsi="Times New Roman"/>
        </w:rPr>
      </w:pPr>
    </w:p>
    <w:p w14:paraId="71172B15" w14:textId="6FDD0638" w:rsidR="00004376" w:rsidRPr="00D54138" w:rsidRDefault="00245DE7" w:rsidP="008B44D2">
      <w:pPr>
        <w:spacing w:after="0" w:line="240" w:lineRule="auto"/>
        <w:jc w:val="both"/>
        <w:rPr>
          <w:rFonts w:ascii="Times New Roman" w:eastAsia="Times New Roman" w:hAnsi="Times New Roman"/>
          <w:b/>
          <w:sz w:val="24"/>
          <w:szCs w:val="24"/>
        </w:rPr>
      </w:pPr>
      <w:r w:rsidRPr="00D54138">
        <w:rPr>
          <w:rFonts w:ascii="Times New Roman" w:eastAsia="Times New Roman" w:hAnsi="Times New Roman"/>
          <w:b/>
          <w:sz w:val="28"/>
          <w:szCs w:val="28"/>
        </w:rPr>
        <w:t>ABSTRACT</w:t>
      </w:r>
    </w:p>
    <w:p w14:paraId="0D449852" w14:textId="2F732BA3" w:rsidR="00521AC5" w:rsidRPr="00D54138" w:rsidRDefault="00521AC5" w:rsidP="008B44D2">
      <w:pPr>
        <w:spacing w:after="0" w:line="240" w:lineRule="auto"/>
        <w:jc w:val="both"/>
        <w:rPr>
          <w:rFonts w:ascii="Times New Roman" w:eastAsia="Times New Roman" w:hAnsi="Times New Roman"/>
          <w:b/>
          <w:sz w:val="24"/>
          <w:szCs w:val="24"/>
        </w:rPr>
      </w:pPr>
    </w:p>
    <w:p w14:paraId="03514E95" w14:textId="77777777" w:rsidR="00DF0BCD" w:rsidRDefault="00DF0BCD" w:rsidP="00DF0BCD">
      <w:pPr>
        <w:pStyle w:val="NormalWeb"/>
        <w:jc w:val="both"/>
        <w:rPr>
          <w:color w:val="000000"/>
        </w:rPr>
      </w:pPr>
      <w:r>
        <w:rPr>
          <w:color w:val="000000"/>
        </w:rPr>
        <w:t>Notwithstanding the growing interest in environmental management accounting over the last decade, a thorough overview of this field remains sparse in the literature. The demand for sustainable environmental management has increased dramatically, and green management has emerged as an essential instrument for businesses. These environmentally responsible activities cannot overlook the manufacturing sector. This study aims to investigate the trends in current research on environmental management accounting. Environmental management accounting is a novel approach to management accounting that employs tools to support a range of environmental decision-making factors in organisations. Management accounting must develop a system for energy management focused on decreasing energy expenses and controlling energy consumption, consequently reducing the company's environmental impact and improving its reputation. This study provides an in-depth analysis of EMA literature from 2017 to 2022. The data collection method is Publish or Perish (</w:t>
      </w:r>
      <w:proofErr w:type="spellStart"/>
      <w:r>
        <w:rPr>
          <w:color w:val="000000"/>
        </w:rPr>
        <w:t>PoP</w:t>
      </w:r>
      <w:proofErr w:type="spellEnd"/>
      <w:r>
        <w:rPr>
          <w:color w:val="000000"/>
        </w:rPr>
        <w:t>), and VOS Viewer software is used to filter articles accordingly. Data were obtained from the Scopus journal. This study employs systematic analysis to identify the theories, variables, and methodologies in environmental management accounting. A total of 76 articles can be evaluated as a result. The findings suggest that sustainability and cost are extensively discussed subjects. Moreover, future research may concentrate on the following topics: executive commitment, institutional pressures, environmental strategies, and environmental uncertainty. The analysis of environmental management accounting literature demonstrates an extensive variety of theories adopted by renowned academics. These encompass institutional theory, contingency theory, the new resource-based view, stakeholder theory, resource slack theory, dynamic capacity theory, planned behaviour theory, and the traditional life cycle.</w:t>
      </w:r>
    </w:p>
    <w:p w14:paraId="38C2CB6E" w14:textId="2BC9ECEE" w:rsidR="00004376" w:rsidRPr="00D54138" w:rsidRDefault="00245DE7" w:rsidP="008B44D2">
      <w:pPr>
        <w:spacing w:after="0" w:line="240" w:lineRule="auto"/>
        <w:jc w:val="both"/>
        <w:rPr>
          <w:rFonts w:ascii="Times New Roman" w:eastAsia="Times New Roman" w:hAnsi="Times New Roman"/>
        </w:rPr>
      </w:pPr>
      <w:r w:rsidRPr="00D54138">
        <w:rPr>
          <w:rFonts w:ascii="Times New Roman" w:eastAsia="Times New Roman" w:hAnsi="Times New Roman"/>
          <w:b/>
        </w:rPr>
        <w:t>Keywords:</w:t>
      </w:r>
      <w:r w:rsidRPr="00D54138">
        <w:rPr>
          <w:rFonts w:ascii="Times New Roman" w:eastAsia="Times New Roman" w:hAnsi="Times New Roman"/>
        </w:rPr>
        <w:t xml:space="preserve"> </w:t>
      </w:r>
      <w:r w:rsidR="00391D75" w:rsidRPr="00D54138">
        <w:rPr>
          <w:rFonts w:ascii="Times New Roman" w:eastAsia="Times New Roman" w:hAnsi="Times New Roman"/>
          <w:b/>
          <w:bCs/>
        </w:rPr>
        <w:t>Environmental Management Accounting, Literature Review, Publish or Perish</w:t>
      </w:r>
      <w:r w:rsidR="00391D75" w:rsidRPr="00D54138">
        <w:rPr>
          <w:rFonts w:ascii="Times New Roman" w:eastAsia="Times New Roman" w:hAnsi="Times New Roman"/>
        </w:rPr>
        <w:t xml:space="preserve"> </w:t>
      </w:r>
    </w:p>
    <w:p w14:paraId="24031E3E" w14:textId="77777777" w:rsidR="00004376" w:rsidRPr="00D54138" w:rsidRDefault="00004376" w:rsidP="008B44D2">
      <w:pPr>
        <w:pBdr>
          <w:bottom w:val="single" w:sz="4" w:space="1" w:color="000000"/>
        </w:pBdr>
        <w:spacing w:after="0" w:line="240" w:lineRule="auto"/>
        <w:jc w:val="both"/>
        <w:rPr>
          <w:rFonts w:ascii="Times New Roman" w:eastAsia="Times New Roman" w:hAnsi="Times New Roman"/>
          <w:sz w:val="24"/>
          <w:szCs w:val="24"/>
        </w:rPr>
      </w:pPr>
    </w:p>
    <w:p w14:paraId="26ABFDDA" w14:textId="77777777" w:rsidR="00004376" w:rsidRPr="00D54138" w:rsidRDefault="00004376" w:rsidP="008B44D2">
      <w:pPr>
        <w:spacing w:after="0" w:line="240" w:lineRule="auto"/>
        <w:jc w:val="both"/>
        <w:rPr>
          <w:rFonts w:ascii="Times New Roman" w:eastAsia="Times New Roman" w:hAnsi="Times New Roman"/>
          <w:sz w:val="24"/>
          <w:szCs w:val="24"/>
        </w:rPr>
      </w:pPr>
    </w:p>
    <w:p w14:paraId="2F36590E" w14:textId="36287F82" w:rsidR="00004376" w:rsidRPr="00D54138" w:rsidRDefault="00245DE7" w:rsidP="008B44D2">
      <w:pPr>
        <w:spacing w:after="0" w:line="240" w:lineRule="auto"/>
        <w:jc w:val="both"/>
        <w:rPr>
          <w:rFonts w:ascii="Times New Roman" w:eastAsia="Times New Roman" w:hAnsi="Times New Roman"/>
          <w:b/>
          <w:sz w:val="24"/>
          <w:szCs w:val="24"/>
        </w:rPr>
      </w:pPr>
      <w:r w:rsidRPr="00D54138">
        <w:rPr>
          <w:rFonts w:ascii="Times New Roman" w:eastAsia="Times New Roman" w:hAnsi="Times New Roman"/>
          <w:b/>
          <w:sz w:val="24"/>
          <w:szCs w:val="24"/>
        </w:rPr>
        <w:t>1. I</w:t>
      </w:r>
      <w:r w:rsidR="008B44D2" w:rsidRPr="00D54138">
        <w:rPr>
          <w:rFonts w:ascii="Times New Roman" w:eastAsia="Times New Roman" w:hAnsi="Times New Roman"/>
          <w:b/>
          <w:sz w:val="24"/>
          <w:szCs w:val="24"/>
        </w:rPr>
        <w:t>NTRODUCTION</w:t>
      </w:r>
    </w:p>
    <w:p w14:paraId="53034527" w14:textId="77777777" w:rsidR="00004376" w:rsidRPr="00D54138" w:rsidRDefault="00004376" w:rsidP="008B44D2">
      <w:pPr>
        <w:spacing w:after="0" w:line="240" w:lineRule="auto"/>
        <w:jc w:val="both"/>
        <w:rPr>
          <w:rFonts w:ascii="Times New Roman" w:eastAsia="Times New Roman" w:hAnsi="Times New Roman"/>
          <w:sz w:val="24"/>
          <w:szCs w:val="24"/>
        </w:rPr>
      </w:pPr>
    </w:p>
    <w:p w14:paraId="022B28BB" w14:textId="1A41B53C" w:rsidR="000764D4" w:rsidRPr="00D54138" w:rsidRDefault="00C33307" w:rsidP="008B44D2">
      <w:pPr>
        <w:pStyle w:val="NormalWeb"/>
        <w:spacing w:before="0" w:beforeAutospacing="0" w:after="0" w:afterAutospacing="0"/>
        <w:jc w:val="both"/>
        <w:textAlignment w:val="top"/>
      </w:pPr>
      <w:r w:rsidRPr="00D54138">
        <w:t xml:space="preserve">The number of global concerns, such as climate catastrophe and environmental deterioration, is increasing. Climate change poses a significant risk to global peace and security. The effects of climate change </w:t>
      </w:r>
      <w:r w:rsidR="00E01CD8" w:rsidRPr="00D54138">
        <w:t>intensify</w:t>
      </w:r>
      <w:r w:rsidRPr="00D54138">
        <w:t xml:space="preserve"> competition for resources such as land, food, and water, thereby exacerbating socioeconomic conflicts and increasingly causing mass migration (UN, 2021).</w:t>
      </w:r>
      <w:r w:rsidR="000001F4" w:rsidRPr="00D54138">
        <w:t xml:space="preserve"> </w:t>
      </w:r>
      <w:r w:rsidRPr="00D54138">
        <w:t xml:space="preserve">Carbon and other greenhouse gas emissions are </w:t>
      </w:r>
      <w:r w:rsidR="00E01CD8" w:rsidRPr="00D54138">
        <w:t>among</w:t>
      </w:r>
      <w:r w:rsidRPr="00D54138">
        <w:t xml:space="preserve"> the leading contributors to this overshoot, and the largest emitters are large corporations. Environmental management accounting (EMA) has gained prominence in recent decades as a method for assessing environmental impacts, such as carbon emissions </w:t>
      </w:r>
      <w:r w:rsidR="00FD5788" w:rsidRPr="00D54138">
        <w:rPr>
          <w:color w:val="000000" w:themeColor="text1"/>
        </w:rPr>
        <w:fldChar w:fldCharType="begin" w:fldLock="1"/>
      </w:r>
      <w:r w:rsidR="003045AB" w:rsidRPr="00D54138">
        <w:rPr>
          <w:color w:val="000000" w:themeColor="text1"/>
        </w:rPr>
        <w:instrText>ADDIN CSL_CITATION {"citationItems":[{"id":"ITEM-1","itemData":{"DOI":"10.1016/j.jclepro.2012.10.007","ISSN":"09596526","abstract":"Environmental management accounting (EMA) has received increasing interest in recent years and has been promoted as a means by which the business community can more easily manage its environmental and associated economic performance. Yet despite increasing interest, theoretically informed projects concerning the current state of EMA development remain scarce. The research presented here aimed to extend current knowledge by investigating whether organisational context could be used to develop a greater understanding of EMA use by Australian organisations. Drawing on contingency theory, a research framework was developed that sought to identify the circumstances under which organisations were more likely to engage with EMA activities, both now and in the future. In order to test this framework a web-based survey of Australian accountants in business was conducted. The data suggested present and future EMA use was associated with environmental strategy, organisational size and environmentally-sensitive industries. Contrary to expectation organisational structure was not found to be associated with accountants' perceptions of EMA use in their organisations. These findings support the potential of contingency-based research to further current knowledge and understanding of the reasons behind EMA development. © 2012 Elsevier Ltd. All rights reserved.","author":[{"dropping-particle":"","family":"Christ","given":"Katherine L.","non-dropping-particle":"","parse-names":false,"suffix":""},{"dropping-particle":"","family":"Burritt","given":"Roger L.","non-dropping-particle":"","parse-names":false,"suffix":""}],"container-title":"Journal of Cleaner Production","id":"ITEM-1","issued":{"date-parts":[["2013"]]},"note":"Cited By (since 2013): 106","page":"163-173","title":"Environmental management accounting: The significance of contingent variables for adoption","type":"article-journal","volume":"41"},"uris":["http://www.mendeley.com/documents/?uuid=1333c523-c041-4f46-83f3-b0943d993210"]}],"mendeley":{"formattedCitation":"(Christ &amp; Burritt, 2013)","plainTextFormattedCitation":"(Christ &amp; Burritt, 2013)","previouslyFormattedCitation":"(Christ &amp; Burritt, 2013)"},"properties":{"noteIndex":0},"schema":"https://github.com/citation-style-language/schema/raw/master/csl-citation.json"}</w:instrText>
      </w:r>
      <w:r w:rsidR="00FD5788" w:rsidRPr="00D54138">
        <w:rPr>
          <w:color w:val="000000" w:themeColor="text1"/>
        </w:rPr>
        <w:fldChar w:fldCharType="separate"/>
      </w:r>
      <w:r w:rsidR="00FD5788" w:rsidRPr="00D54138">
        <w:rPr>
          <w:noProof/>
          <w:color w:val="000000" w:themeColor="text1"/>
        </w:rPr>
        <w:t>(Christ &amp; Burritt, 2013)</w:t>
      </w:r>
      <w:r w:rsidR="00FD5788" w:rsidRPr="00D54138">
        <w:rPr>
          <w:color w:val="000000" w:themeColor="text1"/>
        </w:rPr>
        <w:fldChar w:fldCharType="end"/>
      </w:r>
      <w:r w:rsidR="00067F63" w:rsidRPr="00D54138">
        <w:rPr>
          <w:color w:val="000000" w:themeColor="text1"/>
        </w:rPr>
        <w:t xml:space="preserve">. </w:t>
      </w:r>
      <w:r w:rsidR="00BB4430" w:rsidRPr="00D54138">
        <w:rPr>
          <w:lang w:val="en-US"/>
        </w:rPr>
        <w:t xml:space="preserve">The demand for sustainable environmental management has escalated rapidly, and green management has emerged as an essential tool for companies. These environmentally responsible initiatives cannot neglect the manufacturing sector </w:t>
      </w:r>
      <w:r w:rsidR="00EE233D" w:rsidRPr="00D54138">
        <w:fldChar w:fldCharType="begin" w:fldLock="1"/>
      </w:r>
      <w:r w:rsidR="001861E1" w:rsidRPr="00D54138">
        <w:instrText>ADDIN CSL_CITATION {"citationItems":[{"id":"ITEM-1","itemData":{"DOI":"10.1108/BPMJ-09-2023-0703","ISSN":"14637154","abstract":"Purpose: In view of the significance of intangible organizational resources and firm sustainability, this study investigates the mediating role of ambidextrous green innovation and the moderating effects of resource orchestration capability in the relationship between green entrepreneurial orientation and green performance. Design/methodology/approach: The research employed a quantitative analysis technique using hierarchical linear regression and a moderated mediation approach on a sample of 409 managers from UAE manufacturing firms to investigate the proposed relationships among the variables. Findings: The research results show that a firm’s green performance is influenced by its green entrepreneurial orientation. Green innovation, both exploratory and exploitative, mediates the link between green entrepreneurial orientation and green performance. Moreover, the association between green entrepreneurial orientation and exploitative green innovation, as well as between exploitative green innovation and a firm's green performance, is strengthened by resource orchestration capability. The findings of the moderated mediation show that when resource orchestration capacity is high, exploitative green innovation has a greater mediating effect on green entrepreneurial orientation and green performance. Practical implications: This study provides valuable insights for manufacturing firms to achieve sustainable performance and reduce their environmental impact. Firms should adopt proactive environmental strategies and innovative approaches to achieve sustainable green performance by adopting green entrepreneurship and establishing ambidextrous green innovation. Originality/value: This study contributes to the literature on GEO, ambidextrous green innovation, resource orchestration capability, and green performance. These results provide insight into fostering green innovation in the manufacturing industry, deepen the theoretical foundation for green entrepreneurship, and advance the field of green entrepreneurship study.","author":[{"dropping-particle":"","family":"Baquero","given":"Asier","non-dropping-particle":"","parse-names":false,"suffix":""}],"container-title":"Business Process Management Journal","id":"ITEM-1","issue":"8","issued":{"date-parts":[["2024"]]},"page":"71-98","title":"Linking green entrepreneurial orientation and ambidextrous green innovation to stimulate green performance: a moderated mediation approach","type":"article-journal","volume":"30"},"uris":["http://www.mendeley.com/documents/?uuid=2752a1b9-fc8f-42e1-9c63-9e48e1f9fcf0"]}],"mendeley":{"formattedCitation":"(Baquero, 2024)","plainTextFormattedCitation":"(Baquero, 2024)","previouslyFormattedCitation":"(Baquero, 2024)"},"properties":{"noteIndex":0},"schema":"https://github.com/citation-style-language/schema/raw/master/csl-citation.json"}</w:instrText>
      </w:r>
      <w:r w:rsidR="00EE233D" w:rsidRPr="00D54138">
        <w:fldChar w:fldCharType="separate"/>
      </w:r>
      <w:r w:rsidR="00EE233D" w:rsidRPr="00D54138">
        <w:rPr>
          <w:noProof/>
        </w:rPr>
        <w:t>(Baquero, 2024)</w:t>
      </w:r>
      <w:r w:rsidR="00EE233D" w:rsidRPr="00D54138">
        <w:fldChar w:fldCharType="end"/>
      </w:r>
      <w:r w:rsidR="00EE233D" w:rsidRPr="00D54138">
        <w:t xml:space="preserve">. </w:t>
      </w:r>
      <w:r w:rsidR="00067F63" w:rsidRPr="00D54138">
        <w:t>Managers are more conscious of environmental concerns</w:t>
      </w:r>
      <w:r w:rsidR="00E01CD8" w:rsidRPr="00D54138">
        <w:t>,</w:t>
      </w:r>
      <w:r w:rsidR="00067F63" w:rsidRPr="00D54138">
        <w:t xml:space="preserve"> including climate change, carbon emissions, waste disposal, landfill usage, land and water contamination, resource consumption, and recycling </w:t>
      </w:r>
      <w:r w:rsidR="00067F63" w:rsidRPr="00D54138">
        <w:fldChar w:fldCharType="begin" w:fldLock="1"/>
      </w:r>
      <w:r w:rsidR="00067F63" w:rsidRPr="00D54138">
        <w:instrText>ADDIN CSL_CITATION {"citationItems":[{"id":"ITEM-1","itemData":{"DOI":"10.1504/IJBPM.2018.092759","ISSN":"17415039","abstract":"The purpose of this paper is to investigate the relationships among innovation, environmental management accounting (EMA), and firm's financial performance. Specifically, this study explores the relationships of both product and process innovations with financial performance. Furthermore, this study examines the moderating role of EMA on the above relationships. Data were collected in a survey of top managers of the SMEs in manufacturing and consumer product industries in Iran, using a questionnaire. Hierarchical regression analysis was used to test all hypotheses. The findings revealed that both product and process innovations have positive relationships with firms' financial performance, while this effect is significant about product innovation and not significant about process innovation. Moreover, contrary to expectations, this study found a negative moderating effect of EMA on the relationship between process innovation and financial performance. However, no moderating effect of EMA was found on product innovation and financial performance relationship.","author":[{"dropping-particle":"","family":"Saeidi","given":"Sayedeh Parastoo","non-dropping-particle":"","parse-names":false,"suffix":""},{"dropping-particle":"","family":"Othman","given":"Mohd Shahwahid Haji","non-dropping-particle":"","parse-names":false,"suffix":""},{"dropping-particle":"","family":"Saeidi","given":"Parvaneh","non-dropping-particle":"","parse-names":false,"suffix":""},{"dropping-particle":"","family":"Saeidi","given":"Sayyedeh Parisa","non-dropping-particle":"","parse-names":false,"suffix":""}],"container-title":"International Journal of Business Performance Management","id":"ITEM-1","issue":"3","issued":{"date-parts":[["2018"]]},"page":"326-348","title":"The moderating role of environmental management accounting between environmental innovation and firm financial performance","type":"article-journal","volume":"19"},"uris":["http://www.mendeley.com/documents/?uuid=b8932cfb-f98c-4c6b-8979-859b362b3fea"]}],"mendeley":{"formattedCitation":"(Saeidi et al., 2018)","plainTextFormattedCitation":"(Saeidi et al., 2018)","previouslyFormattedCitation":"(Saeidi et al., 2018)"},"properties":{"noteIndex":0},"schema":"https://github.com/citation-style-language/schema/raw/master/csl-citation.json"}</w:instrText>
      </w:r>
      <w:r w:rsidR="00067F63" w:rsidRPr="00D54138">
        <w:fldChar w:fldCharType="separate"/>
      </w:r>
      <w:r w:rsidR="00067F63" w:rsidRPr="00D54138">
        <w:rPr>
          <w:noProof/>
        </w:rPr>
        <w:t>(Saeidi et al., 2018)</w:t>
      </w:r>
      <w:r w:rsidR="00067F63" w:rsidRPr="00D54138">
        <w:fldChar w:fldCharType="end"/>
      </w:r>
      <w:r w:rsidR="00067F63" w:rsidRPr="00D54138">
        <w:t>.</w:t>
      </w:r>
      <w:r w:rsidR="00CC3B88" w:rsidRPr="00D54138">
        <w:t xml:space="preserve"> As a consequence, the senior management teams have to set aside the resources that are required for EMA implementation </w:t>
      </w:r>
      <w:r w:rsidR="00CC3B88" w:rsidRPr="00D54138">
        <w:fldChar w:fldCharType="begin" w:fldLock="1"/>
      </w:r>
      <w:r w:rsidR="005406D6" w:rsidRPr="00D54138">
        <w:instrText>ADDIN CSL_CITATION {"citationItems":[{"id":"ITEM-1","itemData":{"DOI":"10.1080/23311975.2023.2296700","ISSN":"23311975","abstract":"Using two theoretical lenses—knowledge-based view (KBV) and the institutional theory—the current study aims to examine the relationship of environmental management accounting (EMA) to environmental performance (FP), in addition to explore the mediating effect of top management support (TMS) and the moderating effect of institutional pressures (IP). A cross-sectional study using a structured questionnaire was conducted on 299 Yemeni manufacturing SMEs. Partial least square structural equation modeling (PLS-SEM) technique via Smart PLS version 4 software was used for the analysis of quantitative data collected from the respondents. The results indicated that EMA positively and directly affects EP, and indirectly through TMS. Additionally, TMS partially mediates the EMA-EP link. More importantly, IP positively moderates the impact of EMA on EP. Furthermore, EP positively affects FP. The theoretical and practical implications of these results are also discussed.","author":[{"dropping-particle":"","family":"Hasan","given":"Saqr Ali Saleh","non-dropping-particle":"","parse-names":false,"suffix":""},{"dropping-particle":"","family":"Waghule","given":"S. N.","non-dropping-particle":"","parse-names":false,"suffix":""},{"dropping-particle":"","family":"Hasan","given":"Murad Baqis","non-dropping-particle":"","parse-names":false,"suffix":""}],"container-title":"Cogent Business and Management","id":"ITEM-1","issue":"1","issued":{"date-parts":[["2024"]]},"page":"-","publisher":"Cogent","title":"Linking environmental management accounting to environmental performance: the role of top management support and institutional pressures","type":"article-journal","volume":"11"},"uris":["http://www.mendeley.com/documents/?uuid=d741deac-4ce1-45e2-ab0f-42f6b308aa79"]}],"mendeley":{"formattedCitation":"(Hasan et al., 2024)","plainTextFormattedCitation":"(Hasan et al., 2024)","previouslyFormattedCitation":"(Hasan et al., 2024)"},"properties":{"noteIndex":0},"schema":"https://github.com/citation-style-language/schema/raw/master/csl-citation.json"}</w:instrText>
      </w:r>
      <w:r w:rsidR="00CC3B88" w:rsidRPr="00D54138">
        <w:fldChar w:fldCharType="separate"/>
      </w:r>
      <w:r w:rsidR="00CC3B88" w:rsidRPr="00D54138">
        <w:rPr>
          <w:noProof/>
        </w:rPr>
        <w:t>(Hasan et al., 2024)</w:t>
      </w:r>
      <w:r w:rsidR="00CC3B88" w:rsidRPr="00D54138">
        <w:fldChar w:fldCharType="end"/>
      </w:r>
      <w:r w:rsidR="00CC3B88" w:rsidRPr="00D54138">
        <w:t xml:space="preserve">. </w:t>
      </w:r>
    </w:p>
    <w:p w14:paraId="56C8277B" w14:textId="77777777" w:rsidR="00BB4430" w:rsidRPr="00D54138" w:rsidRDefault="00C33307" w:rsidP="008B44D2">
      <w:pPr>
        <w:spacing w:after="0" w:line="240" w:lineRule="auto"/>
        <w:ind w:firstLine="720"/>
        <w:jc w:val="both"/>
        <w:rPr>
          <w:rFonts w:ascii="Times New Roman" w:hAnsi="Times New Roman"/>
          <w:sz w:val="24"/>
          <w:szCs w:val="24"/>
        </w:rPr>
      </w:pPr>
      <w:r w:rsidRPr="00D54138">
        <w:rPr>
          <w:rFonts w:ascii="Times New Roman" w:hAnsi="Times New Roman"/>
          <w:sz w:val="24"/>
          <w:szCs w:val="24"/>
        </w:rPr>
        <w:lastRenderedPageBreak/>
        <w:t xml:space="preserve">Moreover, environmental management accounting (EMA) is gaining importance as a field of study because it can assist businesses in locating and utilizing the data required to make better decisions regarding their environmental performance </w:t>
      </w:r>
      <w:r w:rsidR="003045AB" w:rsidRPr="00D54138">
        <w:rPr>
          <w:rFonts w:ascii="Times New Roman" w:hAnsi="Times New Roman"/>
          <w:sz w:val="24"/>
          <w:szCs w:val="24"/>
        </w:rPr>
        <w:fldChar w:fldCharType="begin" w:fldLock="1"/>
      </w:r>
      <w:r w:rsidR="00673EAF" w:rsidRPr="00D54138">
        <w:rPr>
          <w:rFonts w:ascii="Times New Roman" w:hAnsi="Times New Roman"/>
          <w:sz w:val="24"/>
          <w:szCs w:val="24"/>
        </w:rPr>
        <w:instrText>ADDIN CSL_CITATION {"citationItems":[{"id":"ITEM-1","itemData":{"DOI":"10.1108/AAAJ-04-2018-3465","ISSN":"09513574","abstract":"Purpose: The purpose of this paper is to examine the association between the belief-based factors (attitude, subjective norm (SN) and perceived behavioural control (PBC)) and environmental management accounting (EMA) practices. Design/methodology/approach: Drawing on the theory of planned behaviour (TPB), the study develops a structural model and uses partial least squares (PLS) technique to analyse data collected based on a survey of the Australian cotton farmers. Findings: The findings indicate that while attitude and PBC significantly influence farmers’ intention to adopt EMA practices, SN has a significant indirect influence on EMA practices through farmers’ attitude and PBC. Further, the study reveals that while the intention of more environmentally friendly farmers is largely influenced by attitude and SN, the intention of less environmentally friendly farmers is primarily driven by PBC. Practical implications: The study provides important insights into the role of attitude, SN and PBC in motivating farmers towards adopting EMA practices. Such insights could also help farmers in designing effective EMA practices. Originality/value: This study contributes to very limited EMA literature on TPB by integrating three belief-based factors namely attitude, SN and PBC.","author":[{"dropping-particle":"","family":"Tashakor","given":"Shamim","non-dropping-particle":"","parse-names":false,"suffix":""},{"dropping-particle":"","family":"Appuhami","given":"Ranjith","non-dropping-particle":"","parse-names":false,"suffix":""},{"dropping-particle":"","family":"Munir","given":"Rahat","non-dropping-particle":"","parse-names":false,"suffix":""}],"container-title":"Accounting, Auditing and Accountability Journal","id":"ITEM-1","issue":"4","issued":{"date-parts":[["2019"]]},"note":"Cited By (since 2019): 14","page":"1175-1202","publisher":"emerald.com","title":"Environmental management accounting practices in Australian cotton farming: The use of the theory of planned behaviour","type":"article-journal","volume":"32"},"uris":["http://www.mendeley.com/documents/?uuid=7a6adcf7-28f9-4452-a594-8e5f9ce84c1a"]},{"id":"ITEM-2","itemData":{"abstract":"Globalization and growth of sustainability development have forced organisations to act comprehensively and sensitively towards environmental issues. In recent years, studies on Green Supply Chain Practices (GSCPs) and Environmental Management Accouting (EMA) have shown significant impact on Environmental Performance (ENP) and Economic Performance (ECP). Nevertheless, to date, no single framework is established to examine the implementation of GSCPs and EMA on ISO certified organisations. Specifically, how GSCPs are influencing the improvement in ENP and ECP and how the EMA information is used by ISO 14001 certified manufacturing organisations to induce cost saving benefits from the effect of positive environmental actions are yet to be determined. Thus, this study is inspired with the aims to bridge these gaps, by proposing a quantitative method to empirically test the hypotheses. A survey questionnaire is employed for the main data collection, targeted to examine the relationships within the constructs. A sample population is drawn from Ma-laysian ISO 14001 certified manufacturing organisations. The targeted respondents are the Environmental Management Representatives (EMR) who are responsible for maintaining and updating organisational environmental initiatives. This study uses the Structural Equation Modelling (SEM) to analyse the relationship encapsulated among GSCPs, EMA, ENP and ECP. This study is expected to provide a set of useful references generated for operational managers, supply chain managers, accountants, EMRs and practitioners to pursuit for an integration of EMA into existing EMS and GSCPs adoption. This is to enable the facilitation for organisations to achieve environmental sustainable development.","author":[{"dropping-particle":"","family":"Mohd Jama","given":"Noriza","non-dropping-particle":"","parse-names":false,"suffix":""},{"dropping-particle":"","family":"Wui Kiet","given":"Wong","non-dropping-particle":"","parse-names":false,"suffix":""},{"dropping-particle":"","family":"Mohamed Saat","given":"Maisarah","non-dropping-particle":"","parse-names":false,"suffix":""},{"dropping-particle":"","family":"Othman","given":"Aniza","non-dropping-particle":"","parse-names":false,"suffix":""},{"dropping-particle":"","family":"Ramakrishnan","given":"Suresh","non-dropping-particle":"","parse-names":false,"suffix":""}],"container-title":"International Journal of Engineering &amp; Technology","id":"ITEM-2","issued":{"date-parts":[["2018"]]},"page":"169-172","publisher":"eprints.utm.my","title":"Green supply chain practices, environmental management accounting and performance of ISO 14001 certified organizations","type":"article","volume":"7"},"uris":["http://www.mendeley.com/documents/?uuid=d1e96c78-36fd-416a-a429-86ffda41c8b6"]}],"mendeley":{"formattedCitation":"(Mohd Jama et al., 2018; Tashakor et al., 2019)","plainTextFormattedCitation":"(Mohd Jama et al., 2018; Tashakor et al., 2019)","previouslyFormattedCitation":"(Mohd Jama et al., 2018; Tashakor et al., 2019)"},"properties":{"noteIndex":0},"schema":"https://github.com/citation-style-language/schema/raw/master/csl-citation.json"}</w:instrText>
      </w:r>
      <w:r w:rsidR="003045AB" w:rsidRPr="00D54138">
        <w:rPr>
          <w:rFonts w:ascii="Times New Roman" w:hAnsi="Times New Roman"/>
          <w:sz w:val="24"/>
          <w:szCs w:val="24"/>
        </w:rPr>
        <w:fldChar w:fldCharType="separate"/>
      </w:r>
      <w:r w:rsidR="00B06491" w:rsidRPr="00D54138">
        <w:rPr>
          <w:rFonts w:ascii="Times New Roman" w:hAnsi="Times New Roman"/>
          <w:noProof/>
          <w:sz w:val="24"/>
          <w:szCs w:val="24"/>
        </w:rPr>
        <w:t>(Mohd Jama et al., 2018; Tashakor et al., 2019)</w:t>
      </w:r>
      <w:r w:rsidR="003045AB" w:rsidRPr="00D54138">
        <w:rPr>
          <w:rFonts w:ascii="Times New Roman" w:hAnsi="Times New Roman"/>
          <w:sz w:val="24"/>
          <w:szCs w:val="24"/>
        </w:rPr>
        <w:fldChar w:fldCharType="end"/>
      </w:r>
      <w:r w:rsidR="00B06491" w:rsidRPr="00D54138">
        <w:rPr>
          <w:rFonts w:ascii="Times New Roman" w:hAnsi="Times New Roman"/>
          <w:sz w:val="24"/>
          <w:szCs w:val="24"/>
        </w:rPr>
        <w:t>.</w:t>
      </w:r>
      <w:r w:rsidR="000001F4" w:rsidRPr="00D54138">
        <w:rPr>
          <w:rFonts w:ascii="Times New Roman" w:hAnsi="Times New Roman"/>
          <w:sz w:val="24"/>
          <w:szCs w:val="24"/>
        </w:rPr>
        <w:t xml:space="preserve"> </w:t>
      </w:r>
      <w:r w:rsidR="005406D6" w:rsidRPr="00D54138">
        <w:rPr>
          <w:rFonts w:ascii="Times New Roman" w:hAnsi="Times New Roman"/>
          <w:sz w:val="24"/>
          <w:szCs w:val="24"/>
        </w:rPr>
        <w:t>EMA</w:t>
      </w:r>
      <w:r w:rsidR="00EE233D" w:rsidRPr="00D54138">
        <w:rPr>
          <w:rFonts w:ascii="Times New Roman" w:hAnsi="Times New Roman"/>
          <w:sz w:val="24"/>
          <w:szCs w:val="24"/>
        </w:rPr>
        <w:t xml:space="preserve"> </w:t>
      </w:r>
      <w:r w:rsidR="005406D6" w:rsidRPr="00D54138">
        <w:rPr>
          <w:rFonts w:ascii="Times New Roman" w:hAnsi="Times New Roman"/>
          <w:sz w:val="24"/>
          <w:szCs w:val="24"/>
        </w:rPr>
        <w:t xml:space="preserve">is essential for companies involved in environmental initiatives </w:t>
      </w:r>
      <w:r w:rsidR="005406D6" w:rsidRPr="00D54138">
        <w:rPr>
          <w:rFonts w:ascii="Times New Roman" w:hAnsi="Times New Roman"/>
          <w:sz w:val="24"/>
          <w:szCs w:val="24"/>
        </w:rPr>
        <w:fldChar w:fldCharType="begin" w:fldLock="1"/>
      </w:r>
      <w:r w:rsidR="00EE233D" w:rsidRPr="00D54138">
        <w:rPr>
          <w:rFonts w:ascii="Times New Roman" w:hAnsi="Times New Roman"/>
          <w:sz w:val="24"/>
          <w:szCs w:val="24"/>
        </w:rPr>
        <w:instrText>ADDIN CSL_CITATION {"citationItems":[{"id":"ITEM-1","itemData":{"DOI":"10.1007/s11356-019-07268-3","ISSN":"16147499","PMID":"31900776","abstract":"Achievement of Sustainable Development Goals (SDGs) has become one of the most important goals across the globe due to their significant role in the economic prosperity and human well-being. Recently, the business industry has become a dominant concentration for SDGs. However, the importance of small- and medium-sized industries has been rarely debated in this perspective. In particular, no attempt has yet been made to estimate the commitment of small and medium Enterprises (SMEs) towards SDGs in the emerging market in Pakistan. This study fills the gap by examining the influence of top management support on SDGs (e.g., environment and community practices) with a mediating role of green supply chain management and government support as a moderator. The model of this study is tested through structural equation modeling on the cross-sectional data collected through a structured questionnaire from 313 Pakistani SMEs. The results show that top management support significantly influences green supply chain management, environment, and community-based SDGs. Green supply chain management plays a partial mediating role between top management support and environment practices as well as between top management support and community practices. Government support significantly strengthens the relationship between top management support and green supply chain management. This research recommends SMEs to encourage participation in green supply chain practices and SDGs. Additionally, this research strongly suggests the government to facilitate SMEs in the adoption of green practices that can resultantly contribute to SDGs. Further implications have stated.","author":[{"dropping-particle":"","family":"Ilyas","given":"Sana","non-dropping-particle":"","parse-names":false,"suffix":""},{"dropping-particle":"","family":"Hu","given":"Zhineng","non-dropping-particle":"","parse-names":false,"suffix":""},{"dropping-particle":"","family":"Wiwattanakornwong","given":"Kunakorn","non-dropping-particle":"","parse-names":false,"suffix":""}],"container-title":"Environmental Science and Pollution Research","id":"ITEM-1","issue":"8","issued":{"date-parts":[["2020"]]},"page":"8210-8223","publisher":"Environmental Science and Pollution Research","title":"Unleashing the role of top management and government support in green supply chain management and sustainable development goals","type":"article-journal","volume":"27"},"uris":["http://www.mendeley.com/documents/?uuid=f8f3af71-8c44-4fe4-828d-7e8e85483ad6"]}],"mendeley":{"formattedCitation":"(Ilyas et al., 2020)","plainTextFormattedCitation":"(Ilyas et al., 2020)","previouslyFormattedCitation":"(Ilyas et al., 2020)"},"properties":{"noteIndex":0},"schema":"https://github.com/citation-style-language/schema/raw/master/csl-citation.json"}</w:instrText>
      </w:r>
      <w:r w:rsidR="005406D6" w:rsidRPr="00D54138">
        <w:rPr>
          <w:rFonts w:ascii="Times New Roman" w:hAnsi="Times New Roman"/>
          <w:sz w:val="24"/>
          <w:szCs w:val="24"/>
        </w:rPr>
        <w:fldChar w:fldCharType="separate"/>
      </w:r>
      <w:r w:rsidR="005406D6" w:rsidRPr="00D54138">
        <w:rPr>
          <w:rFonts w:ascii="Times New Roman" w:hAnsi="Times New Roman"/>
          <w:noProof/>
          <w:sz w:val="24"/>
          <w:szCs w:val="24"/>
        </w:rPr>
        <w:t>(Ilyas et al., 2020)</w:t>
      </w:r>
      <w:r w:rsidR="005406D6" w:rsidRPr="00D54138">
        <w:rPr>
          <w:rFonts w:ascii="Times New Roman" w:hAnsi="Times New Roman"/>
          <w:sz w:val="24"/>
          <w:szCs w:val="24"/>
        </w:rPr>
        <w:fldChar w:fldCharType="end"/>
      </w:r>
      <w:r w:rsidR="005406D6" w:rsidRPr="00D54138">
        <w:rPr>
          <w:rFonts w:ascii="Times New Roman" w:hAnsi="Times New Roman"/>
          <w:sz w:val="24"/>
          <w:szCs w:val="24"/>
        </w:rPr>
        <w:t xml:space="preserve">. </w:t>
      </w:r>
      <w:r w:rsidR="000001F4" w:rsidRPr="00D54138">
        <w:rPr>
          <w:rFonts w:ascii="Times New Roman" w:hAnsi="Times New Roman"/>
          <w:sz w:val="24"/>
          <w:szCs w:val="24"/>
        </w:rPr>
        <w:t>Successful businesses in the 21st century consider the effective implementation of EMA as a crucial component, as it allows them to identify, assemble, and evaluate various types of information for final decision-making</w:t>
      </w:r>
      <w:r w:rsidRPr="00D54138">
        <w:rPr>
          <w:rFonts w:ascii="Times New Roman" w:hAnsi="Times New Roman"/>
          <w:sz w:val="24"/>
          <w:szCs w:val="24"/>
        </w:rPr>
        <w:t xml:space="preserve">. EMA assists managers in making better decisions by informing them of the environmental implications of an organization beyond its borders. This encompasses both environmental and economic factors. EMA </w:t>
      </w:r>
      <w:r w:rsidR="0081681D" w:rsidRPr="00D54138">
        <w:rPr>
          <w:rFonts w:ascii="Times New Roman" w:hAnsi="Times New Roman"/>
          <w:sz w:val="24"/>
          <w:szCs w:val="24"/>
        </w:rPr>
        <w:t>can</w:t>
      </w:r>
      <w:r w:rsidRPr="00D54138">
        <w:rPr>
          <w:rFonts w:ascii="Times New Roman" w:hAnsi="Times New Roman"/>
          <w:sz w:val="24"/>
          <w:szCs w:val="24"/>
        </w:rPr>
        <w:t xml:space="preserve"> identify environmental issues, improvements, and the effect they have on economic performance. </w:t>
      </w:r>
      <w:r w:rsidR="000001F4" w:rsidRPr="00D54138">
        <w:rPr>
          <w:rFonts w:ascii="Times New Roman" w:hAnsi="Times New Roman"/>
          <w:sz w:val="24"/>
          <w:szCs w:val="24"/>
        </w:rPr>
        <w:t xml:space="preserve">The accounting literature has evolved to tackle climate change, emerging in new fields such as Environmental Management Accounting (EMA) and carbon accounting </w:t>
      </w:r>
      <w:r w:rsidR="000001F4" w:rsidRPr="00D54138">
        <w:rPr>
          <w:rFonts w:ascii="Times New Roman" w:hAnsi="Times New Roman"/>
          <w:sz w:val="24"/>
          <w:szCs w:val="24"/>
        </w:rPr>
        <w:fldChar w:fldCharType="begin" w:fldLock="1"/>
      </w:r>
      <w:r w:rsidR="003E5288" w:rsidRPr="00D54138">
        <w:rPr>
          <w:rFonts w:ascii="Times New Roman" w:hAnsi="Times New Roman"/>
          <w:sz w:val="24"/>
          <w:szCs w:val="24"/>
        </w:rPr>
        <w:instrText>ADDIN CSL_CITATION {"citationItems":[{"id":"ITEM-1","itemData":{"DOI":"10.1080/23311975.2023.2267233","ISSN":"23311975","abstract":"Although studies on climate change and accounting have garnered paramount interest in last decade, there is a void in the literature in terms of a summary overview of climate change and accounting. This study aims to provide a state-of-the-art summary of the literature on climate change and accounting. For this, it uses the PRISMA protocol, VOSViewer, and R. The analysis is based on big data from Scopus for the period between 2013 and 2023. Similarly, co-occurrence and co-authorship analyses are also performed. The results show a significant increase in related research during the last decade, which reached its peak in 2022. This increase is attributed to increased publishing opportunities and intensive efforts, particularly in countries such as China and United States. Additionally, robust organizational support, such as universities, funding sponsors, and author productivity, are found to significantly contribute to this growth. Key events, such as the Paris Agreement, Sustainable Development Goals (SDGs), and accounting standards also play a pivotal role in driving this growth. This study shows the transformation of the accounting literature in addressing climate change, leading to the emergence of new disciplines, including Environmental Management Accounting (EMA) and carbon accounting. In conclusion, this study provides a comprehensive synthesis of the fragmented literature and suggests potential avenues for future review.","author":[{"dropping-particle":"","family":"Setiawan","given":"Doddy","non-dropping-particle":"","parse-names":false,"suffix":""},{"dropping-particle":"","family":"Rahmawati","given":"Isna Putri","non-dropping-particle":"","parse-names":false,"suffix":""},{"dropping-particle":"","family":"Santoso","given":"Arif","non-dropping-particle":"","parse-names":false,"suffix":""}],"container-title":"Cogent Business and Management","id":"ITEM-1","issue":"3","issued":{"date-parts":[["2023"]]},"publisher":"Cogent","title":"A bibliometric analysis of evolving trends in climate change and accounting research","type":"article-journal","volume":"10"},"uris":["http://www.mendeley.com/documents/?uuid=d763af82-63ee-4d30-a42a-0f9e96aecf06"]}],"mendeley":{"formattedCitation":"(Setiawan et al., 2023)","plainTextFormattedCitation":"(Setiawan et al., 2023)","previouslyFormattedCitation":"(Setiawan et al., 2023)"},"properties":{"noteIndex":0},"schema":"https://github.com/citation-style-language/schema/raw/master/csl-citation.json"}</w:instrText>
      </w:r>
      <w:r w:rsidR="000001F4" w:rsidRPr="00D54138">
        <w:rPr>
          <w:rFonts w:ascii="Times New Roman" w:hAnsi="Times New Roman"/>
          <w:sz w:val="24"/>
          <w:szCs w:val="24"/>
        </w:rPr>
        <w:fldChar w:fldCharType="separate"/>
      </w:r>
      <w:r w:rsidR="000001F4" w:rsidRPr="00D54138">
        <w:rPr>
          <w:rFonts w:ascii="Times New Roman" w:hAnsi="Times New Roman"/>
          <w:noProof/>
          <w:sz w:val="24"/>
          <w:szCs w:val="24"/>
        </w:rPr>
        <w:t>(Setiawan et al., 2023)</w:t>
      </w:r>
      <w:r w:rsidR="000001F4" w:rsidRPr="00D54138">
        <w:rPr>
          <w:rFonts w:ascii="Times New Roman" w:hAnsi="Times New Roman"/>
          <w:sz w:val="24"/>
          <w:szCs w:val="24"/>
        </w:rPr>
        <w:fldChar w:fldCharType="end"/>
      </w:r>
      <w:r w:rsidR="000001F4" w:rsidRPr="00D54138">
        <w:rPr>
          <w:rFonts w:ascii="Times New Roman" w:hAnsi="Times New Roman"/>
          <w:sz w:val="24"/>
          <w:szCs w:val="24"/>
        </w:rPr>
        <w:t xml:space="preserve">. </w:t>
      </w:r>
    </w:p>
    <w:p w14:paraId="44863983" w14:textId="64BBC867" w:rsidR="00BB4430" w:rsidRPr="00D54138" w:rsidRDefault="00BB4430" w:rsidP="008B44D2">
      <w:pPr>
        <w:spacing w:after="0" w:line="240" w:lineRule="auto"/>
        <w:ind w:firstLine="720"/>
        <w:jc w:val="both"/>
        <w:rPr>
          <w:rFonts w:ascii="Times New Roman" w:hAnsi="Times New Roman"/>
          <w:sz w:val="24"/>
          <w:szCs w:val="24"/>
          <w:lang w:val="en-ID"/>
        </w:rPr>
      </w:pPr>
      <w:r w:rsidRPr="00D54138">
        <w:rPr>
          <w:rFonts w:ascii="Times New Roman" w:hAnsi="Times New Roman"/>
          <w:sz w:val="24"/>
          <w:szCs w:val="24"/>
          <w:lang w:val="en-ID"/>
        </w:rPr>
        <w:t xml:space="preserve">The focus on addressing climate change is growing among all parties. Nonetheless, prior studies have not thoroughly examined EMA research as a crucial tool for addressing climate change challenges. </w:t>
      </w:r>
      <w:r w:rsidR="005E5542" w:rsidRPr="00D54138">
        <w:rPr>
          <w:rFonts w:ascii="Times New Roman" w:hAnsi="Times New Roman"/>
          <w:sz w:val="24"/>
          <w:szCs w:val="24"/>
          <w:lang w:val="en-ID"/>
        </w:rPr>
        <w:t xml:space="preserve">Existing EMA research is still limited because it focuses on control  </w:t>
      </w:r>
      <w:r w:rsidR="005E5542" w:rsidRPr="00D54138">
        <w:rPr>
          <w:rFonts w:ascii="Times New Roman" w:hAnsi="Times New Roman"/>
          <w:sz w:val="24"/>
          <w:szCs w:val="24"/>
          <w:lang w:val="en-ID"/>
        </w:rPr>
        <w:fldChar w:fldCharType="begin" w:fldLock="1"/>
      </w:r>
      <w:r w:rsidR="005E5542" w:rsidRPr="00D54138">
        <w:rPr>
          <w:rFonts w:ascii="Times New Roman" w:hAnsi="Times New Roman"/>
          <w:sz w:val="24"/>
          <w:szCs w:val="24"/>
          <w:lang w:val="en-ID"/>
        </w:rPr>
        <w:instrText>ADDIN CSL_CITATION {"citationItems":[{"id":"ITEM-1","itemData":{"DOI":"10.1002/csr.1632","ISSN":"15353966","abstract":"This commentary presents conceptualizations of corporate social responsibility (CSR) in the realm of environmental accounting. By asking what the main theoretical perspectives are within CSR-based environmental accounting research, and how these have been used, it finds that there have been three clear theoretical waves. These are based on legitimacy, stakeholder and institutional theories, which evidently build upon one another as CSR1 (responsibility), CSR2 (responsiveness) and CSR3 (proactiveness) respectively. Nevertheless, such perspectives are weak, as they remain at the strategic level and do not confront the operational levels of management accounting and control. Thus, structuration theory is proposed as the fourth wave of CSR-based research by emphasizing that CSR does not rest with either the organizations as agents or the institutions as social structures, but is the product of the two. This informs managers by illustrating that environmental accounting decisions are shaped not only by the external environment, but also from within.","author":[{"dropping-particle":"","family":"Johnstone","given":"Leanne","non-dropping-particle":"","parse-names":false,"suffix":""}],"container-title":"Corporate Social Responsibility and Environmental Management","id":"ITEM-1","issue":"6","issued":{"date-parts":[["2018"]]},"note":"Cited By (since 2018): 8","page":"1212-1222","publisher":"Wiley Online Library","title":"Environmental management decisions in CSR-based accounting research","type":"article-journal","volume":"25"},"uris":["http://www.mendeley.com/documents/?uuid=2871ff3e-1371-4f1e-8015-ed636eb935b5"]}],"mendeley":{"formattedCitation":"(Johnstone, 2018)","plainTextFormattedCitation":"(Johnstone, 2018)"},"properties":{"noteIndex":0},"schema":"https://github.com/citation-style-language/schema/raw/master/csl-citation.json"}</w:instrText>
      </w:r>
      <w:r w:rsidR="005E5542" w:rsidRPr="00D54138">
        <w:rPr>
          <w:rFonts w:ascii="Times New Roman" w:hAnsi="Times New Roman"/>
          <w:sz w:val="24"/>
          <w:szCs w:val="24"/>
          <w:lang w:val="en-ID"/>
        </w:rPr>
        <w:fldChar w:fldCharType="separate"/>
      </w:r>
      <w:r w:rsidR="005E5542" w:rsidRPr="00D54138">
        <w:rPr>
          <w:rFonts w:ascii="Times New Roman" w:hAnsi="Times New Roman"/>
          <w:noProof/>
          <w:sz w:val="24"/>
          <w:szCs w:val="24"/>
          <w:lang w:val="en-ID"/>
        </w:rPr>
        <w:t>(Johnstone, 2018)</w:t>
      </w:r>
      <w:r w:rsidR="005E5542" w:rsidRPr="00D54138">
        <w:rPr>
          <w:rFonts w:ascii="Times New Roman" w:hAnsi="Times New Roman"/>
          <w:sz w:val="24"/>
          <w:szCs w:val="24"/>
          <w:lang w:val="en-ID"/>
        </w:rPr>
        <w:fldChar w:fldCharType="end"/>
      </w:r>
      <w:r w:rsidR="005E5542" w:rsidRPr="00D54138">
        <w:rPr>
          <w:rFonts w:ascii="Times New Roman" w:hAnsi="Times New Roman"/>
          <w:sz w:val="24"/>
          <w:szCs w:val="24"/>
          <w:lang w:val="en-ID"/>
        </w:rPr>
        <w:t xml:space="preserve">, </w:t>
      </w:r>
      <w:r w:rsidR="00646BF3" w:rsidRPr="00D54138">
        <w:rPr>
          <w:rFonts w:ascii="Times New Roman" w:hAnsi="Times New Roman"/>
          <w:sz w:val="24"/>
          <w:szCs w:val="24"/>
          <w:lang w:val="en-ID"/>
        </w:rPr>
        <w:t xml:space="preserve">and </w:t>
      </w:r>
      <w:r w:rsidR="005E5542" w:rsidRPr="00D54138">
        <w:rPr>
          <w:rFonts w:ascii="Times New Roman" w:hAnsi="Times New Roman"/>
          <w:sz w:val="24"/>
          <w:szCs w:val="24"/>
          <w:lang w:val="en-ID"/>
        </w:rPr>
        <w:t>linkages between SMA at the</w:t>
      </w:r>
      <w:r w:rsidR="00646BF3" w:rsidRPr="00D54138">
        <w:rPr>
          <w:rFonts w:ascii="Times New Roman" w:hAnsi="Times New Roman"/>
          <w:sz w:val="24"/>
          <w:szCs w:val="24"/>
          <w:lang w:val="en-ID"/>
        </w:rPr>
        <w:t xml:space="preserve"> </w:t>
      </w:r>
      <w:r w:rsidR="005E5542" w:rsidRPr="00D54138">
        <w:rPr>
          <w:rFonts w:ascii="Times New Roman" w:hAnsi="Times New Roman"/>
          <w:sz w:val="24"/>
          <w:szCs w:val="24"/>
          <w:lang w:val="en-ID"/>
        </w:rPr>
        <w:t xml:space="preserve">organizational micro-level with meso- and macro-levels </w:t>
      </w:r>
      <w:r w:rsidR="005E5542" w:rsidRPr="00D54138">
        <w:rPr>
          <w:rFonts w:ascii="Times New Roman" w:hAnsi="Times New Roman"/>
          <w:sz w:val="24"/>
          <w:szCs w:val="24"/>
        </w:rPr>
        <w:fldChar w:fldCharType="begin" w:fldLock="1"/>
      </w:r>
      <w:r w:rsidR="005E5542" w:rsidRPr="00D54138">
        <w:rPr>
          <w:rFonts w:ascii="Times New Roman" w:hAnsi="Times New Roman"/>
          <w:sz w:val="24"/>
          <w:szCs w:val="24"/>
        </w:rPr>
        <w:instrText>ADDIN CSL_CITATION {"citationItems":[{"id":"ITEM-1","itemData":{"DOI":"10.1080/0969160X.2017.1395351","ISSN":"21562245","abstract":"Environmental management accounting (EMA) is an innovative management accounting approach that covers a large range of tools with the purpose to support different actors in environmentally beneficial decision-making in companies. While the existing literature has been systematised and many EMA tools and case study applications have been discussed in depth, the links to sustainability are mostly rather assumed than explicitly discussed. This article addresses links and missing links between EMA and ecological aspects of sustainability. As its name reveals, EMA focuses on issues of the natural environment. It would thus be inappropriate to harshly criticise missing explicit links to social issues and other non-environmental aspects of sustainability (e.g. as proposed by the UN sustainable development goals). The question, however, remains whether and how exactly EMA links or could be linked to global ecological issues of sustainability. This paper therefore examines EMA links to global environmental issues based on the concept of planetary boundaries as it covers key ecological issues of global sustainability.","author":[{"dropping-particle":"","family":"Schaltegger","given":"Stefan","non-dropping-particle":"","parse-names":false,"suffix":""}],"container-title":"Social and Environmental Accountability Journal","id":"ITEM-1","issue":"1","issued":{"date-parts":[["2018"]]},"page":"19-29","publisher":"Taylor &amp; Francis","title":"Linking Environmental Management Accounting: A Reflection on (Missing) Links to Sustainability and Planetary Boundaries","type":"article-journal","volume":"38"},"uris":["http://www.mendeley.com/documents/?uuid=1b5e22d5-a93f-4e38-9c2b-9289e1ec8f42"]}],"mendeley":{"formattedCitation":"(Schaltegger, 2018)","plainTextFormattedCitation":"(Schaltegger, 2018)","previouslyFormattedCitation":"(Schaltegger, 2018)"},"properties":{"noteIndex":0},"schema":"https://github.com/citation-style-language/schema/raw/master/csl-citation.json"}</w:instrText>
      </w:r>
      <w:r w:rsidR="005E5542" w:rsidRPr="00D54138">
        <w:rPr>
          <w:rFonts w:ascii="Times New Roman" w:hAnsi="Times New Roman"/>
          <w:sz w:val="24"/>
          <w:szCs w:val="24"/>
        </w:rPr>
        <w:fldChar w:fldCharType="separate"/>
      </w:r>
      <w:r w:rsidR="005E5542" w:rsidRPr="00D54138">
        <w:rPr>
          <w:rFonts w:ascii="Times New Roman" w:hAnsi="Times New Roman"/>
          <w:noProof/>
          <w:sz w:val="24"/>
          <w:szCs w:val="24"/>
        </w:rPr>
        <w:t>(Schaltegger, 2018)</w:t>
      </w:r>
      <w:r w:rsidR="005E5542" w:rsidRPr="00D54138">
        <w:rPr>
          <w:rFonts w:ascii="Times New Roman" w:hAnsi="Times New Roman"/>
          <w:sz w:val="24"/>
          <w:szCs w:val="24"/>
        </w:rPr>
        <w:fldChar w:fldCharType="end"/>
      </w:r>
      <w:r w:rsidR="005E5542" w:rsidRPr="00D54138">
        <w:rPr>
          <w:rFonts w:ascii="Times New Roman" w:hAnsi="Times New Roman"/>
          <w:sz w:val="24"/>
          <w:szCs w:val="24"/>
        </w:rPr>
        <w:t xml:space="preserve">. </w:t>
      </w:r>
      <w:r w:rsidRPr="00D54138">
        <w:rPr>
          <w:rFonts w:ascii="Times New Roman" w:hAnsi="Times New Roman"/>
          <w:sz w:val="24"/>
          <w:szCs w:val="24"/>
          <w:lang w:val="en-ID"/>
        </w:rPr>
        <w:t>The necessity for a comprehensive analysis of the current state of EMA research indicates the importance of undertaking this investigation. This study incorporates research data from Scopus sources, which offer results from studies with a considerable degree of analysis. This study enhances the existing discourse by advancing the current state of EMA research. This research aimed to conduct a thorough review, utilizing bibliometric methodologies to consolidate the current state of knowledge. This study contributes to the literature in the following ways: The research extensively explores independent, dependent, mediating, and moderating variables. The study comprises an analysis of the theories and methodologies applied to EMA research trends.</w:t>
      </w:r>
    </w:p>
    <w:p w14:paraId="24EE54AE" w14:textId="1D223634" w:rsidR="00BB4430" w:rsidRPr="00D54138" w:rsidRDefault="00BB4430" w:rsidP="008B44D2">
      <w:pPr>
        <w:spacing w:after="0" w:line="240" w:lineRule="auto"/>
        <w:ind w:firstLine="720"/>
        <w:jc w:val="both"/>
        <w:rPr>
          <w:rFonts w:ascii="Times New Roman" w:hAnsi="Times New Roman"/>
          <w:sz w:val="24"/>
          <w:szCs w:val="24"/>
        </w:rPr>
      </w:pPr>
      <w:r w:rsidRPr="00D54138">
        <w:rPr>
          <w:rFonts w:ascii="Times New Roman" w:hAnsi="Times New Roman"/>
          <w:sz w:val="24"/>
          <w:szCs w:val="24"/>
          <w:lang w:val="en-ID"/>
        </w:rPr>
        <w:t xml:space="preserve">This study's objective is to </w:t>
      </w:r>
      <w:proofErr w:type="spellStart"/>
      <w:r w:rsidRPr="00D54138">
        <w:rPr>
          <w:rFonts w:ascii="Times New Roman" w:hAnsi="Times New Roman"/>
          <w:sz w:val="24"/>
          <w:szCs w:val="24"/>
          <w:lang w:val="en-ID"/>
        </w:rPr>
        <w:t>analyze</w:t>
      </w:r>
      <w:proofErr w:type="spellEnd"/>
      <w:r w:rsidRPr="00D54138">
        <w:rPr>
          <w:rFonts w:ascii="Times New Roman" w:hAnsi="Times New Roman"/>
          <w:sz w:val="24"/>
          <w:szCs w:val="24"/>
          <w:lang w:val="en-ID"/>
        </w:rPr>
        <w:t xml:space="preserve"> the published literature on environmental management accounting, focusing on the theory employed, research variables, and research methods. The article comprises four sections: the introduction, outlining the topic's significance and the research's purpose; the methodology; the analysis results; and the conclusion.</w:t>
      </w:r>
    </w:p>
    <w:p w14:paraId="00045FC7" w14:textId="77777777" w:rsidR="00004376" w:rsidRPr="00D54138" w:rsidRDefault="00004376" w:rsidP="008B44D2">
      <w:pPr>
        <w:spacing w:after="0" w:line="240" w:lineRule="auto"/>
        <w:jc w:val="both"/>
        <w:rPr>
          <w:rFonts w:ascii="Times New Roman" w:eastAsia="Times New Roman" w:hAnsi="Times New Roman"/>
          <w:sz w:val="24"/>
          <w:szCs w:val="24"/>
        </w:rPr>
      </w:pPr>
    </w:p>
    <w:p w14:paraId="42DB0639" w14:textId="617BC8DD" w:rsidR="00004376" w:rsidRPr="00D54138" w:rsidRDefault="008B44D2" w:rsidP="008B44D2">
      <w:pPr>
        <w:spacing w:after="0" w:line="240" w:lineRule="auto"/>
        <w:jc w:val="both"/>
        <w:rPr>
          <w:rFonts w:ascii="Times New Roman" w:eastAsia="Times New Roman" w:hAnsi="Times New Roman"/>
          <w:b/>
          <w:sz w:val="24"/>
          <w:szCs w:val="24"/>
        </w:rPr>
      </w:pPr>
      <w:r w:rsidRPr="00D54138">
        <w:rPr>
          <w:rFonts w:ascii="Times New Roman" w:eastAsia="Times New Roman" w:hAnsi="Times New Roman"/>
          <w:b/>
          <w:sz w:val="24"/>
          <w:szCs w:val="24"/>
        </w:rPr>
        <w:t xml:space="preserve">LITERATURE REVIEW </w:t>
      </w:r>
    </w:p>
    <w:p w14:paraId="678A83A2" w14:textId="77777777" w:rsidR="00004376" w:rsidRPr="00D54138" w:rsidRDefault="00004376" w:rsidP="008B44D2">
      <w:pPr>
        <w:spacing w:after="0" w:line="240" w:lineRule="auto"/>
        <w:jc w:val="both"/>
        <w:rPr>
          <w:rFonts w:ascii="Times New Roman" w:eastAsia="Times New Roman" w:hAnsi="Times New Roman"/>
          <w:sz w:val="24"/>
          <w:szCs w:val="24"/>
        </w:rPr>
      </w:pPr>
    </w:p>
    <w:p w14:paraId="4144158C" w14:textId="4E762292" w:rsidR="00174C1B" w:rsidRPr="00D54138" w:rsidRDefault="006522BF" w:rsidP="008B44D2">
      <w:pPr>
        <w:spacing w:after="0" w:line="240" w:lineRule="auto"/>
        <w:ind w:firstLine="720"/>
        <w:jc w:val="both"/>
        <w:rPr>
          <w:rFonts w:ascii="Times New Roman" w:hAnsi="Times New Roman"/>
          <w:sz w:val="24"/>
          <w:szCs w:val="24"/>
        </w:rPr>
      </w:pPr>
      <w:r w:rsidRPr="00D54138">
        <w:rPr>
          <w:rFonts w:ascii="Times New Roman" w:hAnsi="Times New Roman"/>
          <w:color w:val="000000" w:themeColor="text1"/>
          <w:sz w:val="24"/>
          <w:szCs w:val="24"/>
          <w:shd w:val="clear" w:color="auto" w:fill="FFFFFF"/>
        </w:rPr>
        <w:t xml:space="preserve">The </w:t>
      </w:r>
      <w:r w:rsidR="000764D4" w:rsidRPr="00D54138">
        <w:rPr>
          <w:rFonts w:ascii="Times New Roman" w:hAnsi="Times New Roman"/>
          <w:color w:val="000000" w:themeColor="text1"/>
          <w:sz w:val="24"/>
          <w:szCs w:val="24"/>
          <w:shd w:val="clear" w:color="auto" w:fill="FFFFFF"/>
        </w:rPr>
        <w:t xml:space="preserve">International Federation of Accountants </w:t>
      </w:r>
      <w:r w:rsidR="00673EAF" w:rsidRPr="00D54138">
        <w:rPr>
          <w:rFonts w:ascii="Times New Roman" w:hAnsi="Times New Roman"/>
          <w:color w:val="000000" w:themeColor="text1"/>
          <w:sz w:val="24"/>
          <w:szCs w:val="24"/>
          <w:shd w:val="clear" w:color="auto" w:fill="FFFFFF"/>
        </w:rPr>
        <w:fldChar w:fldCharType="begin" w:fldLock="1"/>
      </w:r>
      <w:r w:rsidR="00CB08E2" w:rsidRPr="00D54138">
        <w:rPr>
          <w:rFonts w:ascii="Times New Roman" w:hAnsi="Times New Roman"/>
          <w:color w:val="000000" w:themeColor="text1"/>
          <w:sz w:val="24"/>
          <w:szCs w:val="24"/>
          <w:shd w:val="clear" w:color="auto" w:fill="FFFFFF"/>
        </w:rPr>
        <w:instrText>ADDIN CSL_CITATION {"citationItems":[{"id":"ITEM-1","itemData":{"author":[{"dropping-particle":"","family":"(IFAC)","given":"International Federation of Accountants","non-dropping-particle":"","parse-names":false,"suffix":""}],"id":"ITEM-1","issued":{"date-parts":[["2005"]]},"publisher":"IFAC New York","title":"International guidance document: Environmental management accounting","type":"paper-conference"},"uris":["http://www.mendeley.com/documents/?uuid=47f989e2-3287-4753-8f72-0f6cd44adc6a"]}],"mendeley":{"formattedCitation":"((IFAC), 2005)","manualFormatting":"(IFAC) (2005)","plainTextFormattedCitation":"((IFAC), 2005)","previouslyFormattedCitation":"((IFAC), 2005)"},"properties":{"noteIndex":0},"schema":"https://github.com/citation-style-language/schema/raw/master/csl-citation.json"}</w:instrText>
      </w:r>
      <w:r w:rsidR="00673EAF" w:rsidRPr="00D54138">
        <w:rPr>
          <w:rFonts w:ascii="Times New Roman" w:hAnsi="Times New Roman"/>
          <w:color w:val="000000" w:themeColor="text1"/>
          <w:sz w:val="24"/>
          <w:szCs w:val="24"/>
          <w:shd w:val="clear" w:color="auto" w:fill="FFFFFF"/>
        </w:rPr>
        <w:fldChar w:fldCharType="separate"/>
      </w:r>
      <w:r w:rsidR="00673EAF" w:rsidRPr="00D54138">
        <w:rPr>
          <w:rFonts w:ascii="Times New Roman" w:hAnsi="Times New Roman"/>
          <w:noProof/>
          <w:color w:val="000000" w:themeColor="text1"/>
          <w:sz w:val="24"/>
          <w:szCs w:val="24"/>
          <w:shd w:val="clear" w:color="auto" w:fill="FFFFFF"/>
        </w:rPr>
        <w:t>(IFAC) (2005)</w:t>
      </w:r>
      <w:r w:rsidR="00673EAF" w:rsidRPr="00D54138">
        <w:rPr>
          <w:rFonts w:ascii="Times New Roman" w:hAnsi="Times New Roman"/>
          <w:color w:val="000000" w:themeColor="text1"/>
          <w:sz w:val="24"/>
          <w:szCs w:val="24"/>
          <w:shd w:val="clear" w:color="auto" w:fill="FFFFFF"/>
        </w:rPr>
        <w:fldChar w:fldCharType="end"/>
      </w:r>
      <w:r w:rsidR="000764D4" w:rsidRPr="00D54138">
        <w:rPr>
          <w:rFonts w:ascii="Times New Roman" w:hAnsi="Times New Roman"/>
          <w:color w:val="000000" w:themeColor="text1"/>
          <w:sz w:val="24"/>
          <w:szCs w:val="24"/>
          <w:shd w:val="clear" w:color="auto" w:fill="FFFFFF"/>
        </w:rPr>
        <w:t xml:space="preserve"> </w:t>
      </w:r>
      <w:r w:rsidR="00C33307" w:rsidRPr="00D54138">
        <w:rPr>
          <w:rFonts w:ascii="Times New Roman" w:hAnsi="Times New Roman"/>
          <w:sz w:val="24"/>
          <w:szCs w:val="24"/>
        </w:rPr>
        <w:t xml:space="preserve">defines EMA as the expansion of environmental management and overall economic performance through the development and implementation of environmental accounting systems and pertinent practices. EMA is one of the accounting disciplines whose operations seek to provide management with information about environmental management and its impact on production costs. Environmental management accounting is an innovative approach to management accounting that employs </w:t>
      </w:r>
      <w:r w:rsidRPr="00D54138">
        <w:rPr>
          <w:rFonts w:ascii="Times New Roman" w:hAnsi="Times New Roman"/>
          <w:sz w:val="24"/>
          <w:szCs w:val="24"/>
        </w:rPr>
        <w:t>some</w:t>
      </w:r>
      <w:r w:rsidR="00C33307" w:rsidRPr="00D54138">
        <w:rPr>
          <w:rFonts w:ascii="Times New Roman" w:hAnsi="Times New Roman"/>
          <w:sz w:val="24"/>
          <w:szCs w:val="24"/>
        </w:rPr>
        <w:t xml:space="preserve"> tools to support a variety of environmental decision-making elements in businesses </w:t>
      </w:r>
      <w:r w:rsidR="00D21AF5" w:rsidRPr="00D54138">
        <w:rPr>
          <w:rFonts w:ascii="Times New Roman" w:hAnsi="Times New Roman"/>
          <w:sz w:val="24"/>
          <w:szCs w:val="24"/>
        </w:rPr>
        <w:fldChar w:fldCharType="begin" w:fldLock="1"/>
      </w:r>
      <w:r w:rsidR="00D21AF5" w:rsidRPr="00D54138">
        <w:rPr>
          <w:rFonts w:ascii="Times New Roman" w:hAnsi="Times New Roman"/>
          <w:sz w:val="24"/>
          <w:szCs w:val="24"/>
        </w:rPr>
        <w:instrText>ADDIN CSL_CITATION {"citationItems":[{"id":"ITEM-1","itemData":{"DOI":"10.1080/0969160X.2017.1395351","ISSN":"21562245","abstract":"Environmental management accounting (EMA) is an innovative management accounting approach that covers a large range of tools with the purpose to support different actors in environmentally beneficial decision-making in companies. While the existing literature has been systematised and many EMA tools and case study applications have been discussed in depth, the links to sustainability are mostly rather assumed than explicitly discussed. This article addresses links and missing links between EMA and ecological aspects of sustainability. As its name reveals, EMA focuses on issues of the natural environment. It would thus be inappropriate to harshly criticise missing explicit links to social issues and other non-environmental aspects of sustainability (e.g. as proposed by the UN sustainable development goals). The question, however, remains whether and how exactly EMA links or could be linked to global ecological issues of sustainability. This paper therefore examines EMA links to global environmental issues based on the concept of planetary boundaries as it covers key ecological issues of global sustainability.","author":[{"dropping-particle":"","family":"Schaltegger","given":"Stefan","non-dropping-particle":"","parse-names":false,"suffix":""}],"container-title":"Social and Environmental Accountability Journal","id":"ITEM-1","issue":"1","issued":{"date-parts":[["2018"]]},"page":"19-29","publisher":"Taylor &amp; Francis","title":"Linking Environmental Management Accounting: A Reflection on (Missing) Links to Sustainability and Planetary Boundaries","type":"article-journal","volume":"38"},"uris":["http://www.mendeley.com/documents/?uuid=1b5e22d5-a93f-4e38-9c2b-9289e1ec8f42"]}],"mendeley":{"formattedCitation":"(Schaltegger, 2018)","plainTextFormattedCitation":"(Schaltegger, 2018)","previouslyFormattedCitation":"(Schaltegger, 2018)"},"properties":{"noteIndex":0},"schema":"https://github.com/citation-style-language/schema/raw/master/csl-citation.json"}</w:instrText>
      </w:r>
      <w:r w:rsidR="00D21AF5" w:rsidRPr="00D54138">
        <w:rPr>
          <w:rFonts w:ascii="Times New Roman" w:hAnsi="Times New Roman"/>
          <w:sz w:val="24"/>
          <w:szCs w:val="24"/>
        </w:rPr>
        <w:fldChar w:fldCharType="separate"/>
      </w:r>
      <w:r w:rsidR="00D21AF5" w:rsidRPr="00D54138">
        <w:rPr>
          <w:rFonts w:ascii="Times New Roman" w:hAnsi="Times New Roman"/>
          <w:noProof/>
          <w:sz w:val="24"/>
          <w:szCs w:val="24"/>
        </w:rPr>
        <w:t>(Schaltegger, 2018)</w:t>
      </w:r>
      <w:r w:rsidR="00D21AF5" w:rsidRPr="00D54138">
        <w:rPr>
          <w:rFonts w:ascii="Times New Roman" w:hAnsi="Times New Roman"/>
          <w:sz w:val="24"/>
          <w:szCs w:val="24"/>
        </w:rPr>
        <w:fldChar w:fldCharType="end"/>
      </w:r>
      <w:r w:rsidR="000764D4" w:rsidRPr="00D54138">
        <w:rPr>
          <w:rFonts w:ascii="Times New Roman" w:hAnsi="Times New Roman"/>
          <w:sz w:val="24"/>
          <w:szCs w:val="24"/>
        </w:rPr>
        <w:t xml:space="preserve">. </w:t>
      </w:r>
      <w:r w:rsidR="00C33307" w:rsidRPr="00D54138">
        <w:rPr>
          <w:rFonts w:ascii="Times New Roman" w:hAnsi="Times New Roman"/>
          <w:sz w:val="24"/>
          <w:szCs w:val="24"/>
        </w:rPr>
        <w:t xml:space="preserve">Management accounting must establish an energy management system that aims to reduce energy costs and control energy consumption, thereby lowering the company's environmental impact and enhancing its reputation </w:t>
      </w:r>
      <w:r w:rsidR="00D21AF5" w:rsidRPr="00D54138">
        <w:rPr>
          <w:rFonts w:ascii="Times New Roman" w:hAnsi="Times New Roman"/>
          <w:sz w:val="24"/>
          <w:szCs w:val="24"/>
        </w:rPr>
        <w:fldChar w:fldCharType="begin" w:fldLock="1"/>
      </w:r>
      <w:r w:rsidR="00743D10" w:rsidRPr="00D54138">
        <w:rPr>
          <w:rFonts w:ascii="Times New Roman" w:hAnsi="Times New Roman"/>
          <w:sz w:val="24"/>
          <w:szCs w:val="24"/>
        </w:rPr>
        <w:instrText>ADDIN CSL_CITATION {"citationItems":[{"id":"ITEM-1","itemData":{"DOI":"10.1007/s00187-016-0239-0","ISSN":"2191477X","abstract":"The accounting literature voices increased concerns about sustainability issues. Environmental performance as one dimension of sustainability includes among others the management and control of energy. Energy is a key production factor to which the stakeholders of a firm pay increased attention. Since energy has a significant influence on the economic costs and the environmental footprint of firms, management accounting is under growing pressure to better monitor and control energy costs. As a consequence, management accounting needs to develop energy management systems which control energy consumption and aim to reduce energy costs which in turn diminish a firm’s environmental impact and thus improve corporate reputation. One of the most important elements for energy management systems is an effective and cost-efficient measure of the energy consumption. However, firms and their management accounting departments, respectively, are still struggling to develop any cost-efficient approach for measuring energy consumption. That is why we suggest a statistical approach to easily and cost-efficiently measure energy utilization which in turn provides information input to improve environmental management accounting (e.g., cost allocations). We demonstrate our approach for a firm from an energy-intensive industry. The approach allows to distinguish more efficient from less efficient production units. We derive implications from this measurement approach for environmental management accounting and environmental management control systems.","author":[{"dropping-particle":"","family":"Christensen","given":"Björn","non-dropping-particle":"","parse-names":false,"suffix":""},{"dropping-particle":"","family":"Himme","given":"Alexander","non-dropping-particle":"","parse-names":false,"suffix":""}],"container-title":"Journal of Management Control","id":"ITEM-1","issue":"2","issued":{"date-parts":[["2017"]]},"page":"227-243","publisher":"Springer Berlin Heidelberg","title":"Improving environmental management accounting: how to use statistics to better determine energy consumption","type":"article-journal","volume":"28"},"uris":["http://www.mendeley.com/documents/?uuid=b232554f-59e0-4c8f-abca-351c6179dad4"]}],"mendeley":{"formattedCitation":"(Christensen &amp; Himme, 2017)","plainTextFormattedCitation":"(Christensen &amp; Himme, 2017)","previouslyFormattedCitation":"(Christensen &amp; Himme, 2017)"},"properties":{"noteIndex":0},"schema":"https://github.com/citation-style-language/schema/raw/master/csl-citation.json"}</w:instrText>
      </w:r>
      <w:r w:rsidR="00D21AF5" w:rsidRPr="00D54138">
        <w:rPr>
          <w:rFonts w:ascii="Times New Roman" w:hAnsi="Times New Roman"/>
          <w:sz w:val="24"/>
          <w:szCs w:val="24"/>
        </w:rPr>
        <w:fldChar w:fldCharType="separate"/>
      </w:r>
      <w:r w:rsidR="00D21AF5" w:rsidRPr="00D54138">
        <w:rPr>
          <w:rFonts w:ascii="Times New Roman" w:hAnsi="Times New Roman"/>
          <w:noProof/>
          <w:sz w:val="24"/>
          <w:szCs w:val="24"/>
        </w:rPr>
        <w:t>(Christensen &amp; Himme, 2017)</w:t>
      </w:r>
      <w:r w:rsidR="00D21AF5" w:rsidRPr="00D54138">
        <w:rPr>
          <w:rFonts w:ascii="Times New Roman" w:hAnsi="Times New Roman"/>
          <w:sz w:val="24"/>
          <w:szCs w:val="24"/>
        </w:rPr>
        <w:fldChar w:fldCharType="end"/>
      </w:r>
      <w:r w:rsidR="00D21AF5" w:rsidRPr="00D54138">
        <w:rPr>
          <w:rFonts w:ascii="Times New Roman" w:hAnsi="Times New Roman"/>
          <w:sz w:val="24"/>
          <w:szCs w:val="24"/>
        </w:rPr>
        <w:t>.</w:t>
      </w:r>
      <w:r w:rsidR="00174C1B" w:rsidRPr="00D54138">
        <w:rPr>
          <w:rFonts w:ascii="Times New Roman" w:hAnsi="Times New Roman"/>
          <w:sz w:val="24"/>
          <w:szCs w:val="24"/>
        </w:rPr>
        <w:t xml:space="preserve"> </w:t>
      </w:r>
    </w:p>
    <w:p w14:paraId="5072ECE4" w14:textId="055B3736" w:rsidR="00174C1B" w:rsidRPr="00D54138" w:rsidRDefault="00C33307" w:rsidP="008B44D2">
      <w:pPr>
        <w:spacing w:after="0" w:line="240" w:lineRule="auto"/>
        <w:ind w:firstLine="720"/>
        <w:jc w:val="both"/>
        <w:rPr>
          <w:rFonts w:ascii="Times New Roman" w:hAnsi="Times New Roman"/>
          <w:sz w:val="24"/>
          <w:szCs w:val="24"/>
        </w:rPr>
      </w:pPr>
      <w:r w:rsidRPr="00D54138">
        <w:rPr>
          <w:rFonts w:ascii="Times New Roman" w:hAnsi="Times New Roman"/>
          <w:sz w:val="24"/>
          <w:szCs w:val="24"/>
        </w:rPr>
        <w:t xml:space="preserve">Environmental Management </w:t>
      </w:r>
      <w:r w:rsidR="00EC2A37" w:rsidRPr="00D54138">
        <w:rPr>
          <w:rFonts w:ascii="Times New Roman" w:hAnsi="Times New Roman"/>
          <w:sz w:val="24"/>
          <w:szCs w:val="24"/>
        </w:rPr>
        <w:t xml:space="preserve">Accounting </w:t>
      </w:r>
      <w:r w:rsidRPr="00D54138">
        <w:rPr>
          <w:rFonts w:ascii="Times New Roman" w:hAnsi="Times New Roman"/>
          <w:sz w:val="24"/>
          <w:szCs w:val="24"/>
        </w:rPr>
        <w:t xml:space="preserve">processes and utilizes two types of information: physical information about resources and financial information about expenses, revenues, savings, etc. Both types of information are equally useful for effective decision-making and improved </w:t>
      </w:r>
      <w:r w:rsidR="009E30BD" w:rsidRPr="00D54138">
        <w:rPr>
          <w:rFonts w:ascii="Times New Roman" w:hAnsi="Times New Roman"/>
          <w:sz w:val="24"/>
          <w:szCs w:val="24"/>
        </w:rPr>
        <w:t>e</w:t>
      </w:r>
      <w:r w:rsidRPr="00D54138">
        <w:rPr>
          <w:rFonts w:ascii="Times New Roman" w:hAnsi="Times New Roman"/>
          <w:sz w:val="24"/>
          <w:szCs w:val="24"/>
        </w:rPr>
        <w:t xml:space="preserve">nvironmental </w:t>
      </w:r>
      <w:r w:rsidR="009E30BD" w:rsidRPr="00D54138">
        <w:rPr>
          <w:rFonts w:ascii="Times New Roman" w:hAnsi="Times New Roman"/>
          <w:sz w:val="24"/>
          <w:szCs w:val="24"/>
        </w:rPr>
        <w:t>p</w:t>
      </w:r>
      <w:r w:rsidRPr="00D54138">
        <w:rPr>
          <w:rFonts w:ascii="Times New Roman" w:hAnsi="Times New Roman"/>
          <w:sz w:val="24"/>
          <w:szCs w:val="24"/>
        </w:rPr>
        <w:t xml:space="preserve">erformance because they enable the organization to regulate environmental costs, obtain benefits, and improve </w:t>
      </w:r>
      <w:r w:rsidR="009E30BD" w:rsidRPr="00D54138">
        <w:rPr>
          <w:rFonts w:ascii="Times New Roman" w:hAnsi="Times New Roman"/>
          <w:sz w:val="24"/>
          <w:szCs w:val="24"/>
        </w:rPr>
        <w:t>environmental performance</w:t>
      </w:r>
      <w:r w:rsidR="00174C1B" w:rsidRPr="00D54138">
        <w:rPr>
          <w:rFonts w:ascii="Times New Roman" w:hAnsi="Times New Roman"/>
          <w:sz w:val="24"/>
          <w:szCs w:val="24"/>
        </w:rPr>
        <w:t xml:space="preserve"> </w:t>
      </w:r>
      <w:r w:rsidR="00174C1B" w:rsidRPr="00D54138">
        <w:rPr>
          <w:rFonts w:ascii="Times New Roman" w:hAnsi="Times New Roman"/>
          <w:sz w:val="24"/>
          <w:szCs w:val="24"/>
        </w:rPr>
        <w:fldChar w:fldCharType="begin" w:fldLock="1"/>
      </w:r>
      <w:r w:rsidR="00174C1B" w:rsidRPr="00D54138">
        <w:rPr>
          <w:rFonts w:ascii="Times New Roman" w:hAnsi="Times New Roman"/>
          <w:sz w:val="24"/>
          <w:szCs w:val="24"/>
        </w:rPr>
        <w:instrText>ADDIN CSL_CITATION {"citationItems":[{"id":"ITEM-1","itemData":{"DOI":"10.1016/j.jclepro.2018.01.106","ISSN":"09596526","abstract":"This study aims to examine the effect of the combination of corporate environmental strategy, top management commitment, and environmental uncertainty, with a focus on the role of environmental management accounting (EMA), on corporate environmental performance. Using an online survey, we collect the sample data of 107 responses in ISO 14001 certified companies listed on the Indonesia Stock Exchange. The empirical evidence shows that there is a positive and significant influence between those organizational resources (corporate environmental strategy, top management commitment, and environmental uncertainty) on the use of EMA, which in turn can improve the environmental performance of companies. These findings indicate that EMA is a useful and important tool for providing information to achieve superior corporate environmental performance in Indonesian firms and the findings also suit for companies operating in other countries in terms of developing capabilities with regards to perceived environmental uncertainty to be able to manage EMA tools and, as a consequence, to improve organizational environmental performance.","author":[{"dropping-particle":"","family":"Latan","given":"Hengky","non-dropping-particle":"","parse-names":false,"suffix":""},{"dropping-particle":"","family":"Chiappetta Jabbour","given":"Charbel Jose","non-dropping-particle":"","parse-names":false,"suffix":""},{"dropping-particle":"","family":"Lopes de Sousa Jabbour","given":"Ana Beatriz","non-dropping-particle":"","parse-names":false,"suffix":""},{"dropping-particle":"","family":"Wamba","given":"Samuel Fosso","non-dropping-particle":"","parse-names":false,"suffix":""},{"dropping-particle":"","family":"Shahbaz","given":"Muhammad","non-dropping-particle":"","parse-names":false,"suffix":""}],"container-title":"Journal of Cleaner Production","id":"ITEM-1","issued":{"date-parts":[["2018"]]},"note":"Cited By (since 2018): 2","page":"297-306","title":"Effects of environmental strategy, environmental uncertainty and top management's commitment on corporate environmental performance: The role of environmental management accounting","type":"article","volume":"180"},"uris":["http://www.mendeley.com/documents/?uuid=7aaa3901-076e-469b-8303-3c9e02f84c69"]},{"id":"ITEM-2","itemData":{"DOI":"10.3390/su11195152","ISSN":"20711050","abstract":"This study was conducted to investigate factors impacting the application of environmental management accounting (EMA) and the relationship between EMA application and performance efficiency including financial and environmental sectors. The scope of research was to investigate construction material manufacturing enterprises in Vietnam with medium and large scales, which is considered one of the industries causing significant negative impacts on the environment. The questionnaires were sent to chief management accountants of 600 construction material enterprises in Vietnam from 2018 to 2019. This process obtained 418 valid votes. Using SPSS 22.0 software to process data, the research results indicate that there are six factors that positively influence the application of EMA practices, including government enforcement, stakeholder interest, positive environmental strategies, community expectations, professional education network, and financial condition, of which, government enforcement has the most significant and positive relationship with the adoption of EMA. On the other hand, it appears that the application of EMA positively impacts financial efficiency and environmental efficiency. As found by many previous studies, environmental efficiency also strongly positively impacts financial efficiency. Thus, innovative solutions to reduce environmental pollution can promote enterprises' profitability.","author":[{"dropping-particle":"","family":"Le","given":"Thi Tam","non-dropping-particle":"","parse-names":false,"suffix":""},{"dropping-particle":"","family":"Nguyen","given":"Thi Mai Anh","non-dropping-particle":"","parse-names":false,"suffix":""},{"dropping-particle":"","family":"Phan","given":"Thi Thu Hien","non-dropping-particle":"","parse-names":false,"suffix":""}],"container-title":"Sustainability (Switzerland)","id":"ITEM-2","issue":"19","issued":{"date-parts":[["2019"]]},"note":"Cited By (since 2019): 29","publisher":"mdpi.com","title":"Environmental management accounting and performance efficiency in the Vietnamese construction material industry-a managerial implication for sustainable development","type":"article-journal","volume":"11"},"uris":["http://www.mendeley.com/documents/?uuid=73bf0aaa-8d16-4949-b6bc-27b9c081c5e3"]}],"mendeley":{"formattedCitation":"(Latan et al., 2018; Le et al., 2019)","plainTextFormattedCitation":"(Latan et al., 2018; Le et al., 2019)","previouslyFormattedCitation":"(Latan et al., 2018; Le et al., 2019)"},"properties":{"noteIndex":0},"schema":"https://github.com/citation-style-language/schema/raw/master/csl-citation.json"}</w:instrText>
      </w:r>
      <w:r w:rsidR="00174C1B" w:rsidRPr="00D54138">
        <w:rPr>
          <w:rFonts w:ascii="Times New Roman" w:hAnsi="Times New Roman"/>
          <w:sz w:val="24"/>
          <w:szCs w:val="24"/>
        </w:rPr>
        <w:fldChar w:fldCharType="separate"/>
      </w:r>
      <w:r w:rsidR="00174C1B" w:rsidRPr="00D54138">
        <w:rPr>
          <w:rFonts w:ascii="Times New Roman" w:hAnsi="Times New Roman"/>
          <w:noProof/>
          <w:sz w:val="24"/>
          <w:szCs w:val="24"/>
        </w:rPr>
        <w:t>(Latan et al., 2018; Le et al., 2019)</w:t>
      </w:r>
      <w:r w:rsidR="00174C1B" w:rsidRPr="00D54138">
        <w:rPr>
          <w:rFonts w:ascii="Times New Roman" w:hAnsi="Times New Roman"/>
          <w:sz w:val="24"/>
          <w:szCs w:val="24"/>
        </w:rPr>
        <w:fldChar w:fldCharType="end"/>
      </w:r>
      <w:r w:rsidR="00174C1B" w:rsidRPr="00D54138">
        <w:rPr>
          <w:rFonts w:ascii="Times New Roman" w:hAnsi="Times New Roman"/>
          <w:sz w:val="24"/>
          <w:szCs w:val="24"/>
        </w:rPr>
        <w:t xml:space="preserve">. </w:t>
      </w:r>
      <w:r w:rsidRPr="00D54138">
        <w:rPr>
          <w:rFonts w:ascii="Times New Roman" w:hAnsi="Times New Roman"/>
          <w:sz w:val="24"/>
          <w:szCs w:val="24"/>
        </w:rPr>
        <w:t xml:space="preserve">It indicates that the adoption of EMA has a significant impact on the environmental performance of an organization. However, the adoption of EMA within the organization is highly dependent on a variety of factors </w:t>
      </w:r>
      <w:r w:rsidR="00174C1B" w:rsidRPr="00D54138">
        <w:rPr>
          <w:rFonts w:ascii="Times New Roman" w:hAnsi="Times New Roman"/>
          <w:sz w:val="24"/>
          <w:szCs w:val="24"/>
        </w:rPr>
        <w:fldChar w:fldCharType="begin" w:fldLock="1"/>
      </w:r>
      <w:r w:rsidR="00174C1B" w:rsidRPr="00D54138">
        <w:rPr>
          <w:rFonts w:ascii="Times New Roman" w:hAnsi="Times New Roman"/>
          <w:sz w:val="24"/>
          <w:szCs w:val="24"/>
        </w:rPr>
        <w:instrText>ADDIN CSL_CITATION {"citationItems":[{"id":"ITEM-1","itemData":{"ISSN":"23098619","abstract":"The purpose of this study is to empirically investigate the impact of environmental innovation constituting product innovation (PDI) and process innovation (PCI) on firms' financial performance (FFP). It also inquires the mediating roles of environmental management accounting (EMA) and the firm's environmental strategy (FES) between innovation and FFP. We have analyzed primary data collected from 363 respondents, working at the managing positions in the manufacturing sector of Pakistan. The proposed model was estimated by applying structural equation modeling. Results show that PDI and PCI have positive and significant impacts on FFP. Furthermore, the findings indicate that EMA and FES mediate the relationship between innovation and FFP in the manufacturing sector of Pakistan. This is the first study in the available literature on EMA, which promulgates a comprehensive theoretical model in the context of the manufacturing sector of Pakistan by introducing two mediators between the association of environmental innovation and firms' financial performance. This study suggests the managers of the manufacturing companies or similar sectors to introduce innovations in their products and processes for developing a better EMA system; they must propose appropriate environmental strategies to enhance their firms' performance. The current study also tends to assist policymakers in developing appropriate policies for the manufacturing sector of Pakistan by realizing the importance of environmental innovation, EMA, and FES so that their environmental and economic impacts can be managed and regulated.","author":[{"dropping-particle":"","family":"Chaudhry","given":"Naveed Iqbal","non-dropping-particle":"","parse-names":false,"suffix":""},{"dropping-particle":"","family":"Asad","given":"Humaira","non-dropping-particle":"","parse-names":false,"suffix":""},{"dropping-particle":"","family":"Ch","given":"Muhammad Amir","non-dropping-particle":"","parse-names":false,"suffix":""},{"dropping-particle":"","family":"Hussian","given":"Rai Imitiaz","non-dropping-particle":"","parse-names":false,"suffix":""}],"container-title":"Pakistan Journal of Commerce and Social Science","id":"ITEM-1","issue":"3","issued":{"date-parts":[["2020"]]},"page":"715-737","title":"Environmental innovation and financial performance: Mediating role of environmental management accounting and firm's environmental strategy","type":"article-journal","volume":"14"},"uris":["http://www.mendeley.com/documents/?uuid=d0b635e3-6efc-4ee2-a002-1c3592805290"]}],"mendeley":{"formattedCitation":"(Chaudhry et al., 2020)","plainTextFormattedCitation":"(Chaudhry et al., 2020)","previouslyFormattedCitation":"(Chaudhry et al., 2020)"},"properties":{"noteIndex":0},"schema":"https://github.com/citation-style-language/schema/raw/master/csl-citation.json"}</w:instrText>
      </w:r>
      <w:r w:rsidR="00174C1B" w:rsidRPr="00D54138">
        <w:rPr>
          <w:rFonts w:ascii="Times New Roman" w:hAnsi="Times New Roman"/>
          <w:sz w:val="24"/>
          <w:szCs w:val="24"/>
        </w:rPr>
        <w:fldChar w:fldCharType="separate"/>
      </w:r>
      <w:r w:rsidR="00174C1B" w:rsidRPr="00D54138">
        <w:rPr>
          <w:rFonts w:ascii="Times New Roman" w:hAnsi="Times New Roman"/>
          <w:noProof/>
          <w:sz w:val="24"/>
          <w:szCs w:val="24"/>
        </w:rPr>
        <w:t>(Chaudhry et al., 2020)</w:t>
      </w:r>
      <w:r w:rsidR="00174C1B" w:rsidRPr="00D54138">
        <w:rPr>
          <w:rFonts w:ascii="Times New Roman" w:hAnsi="Times New Roman"/>
          <w:sz w:val="24"/>
          <w:szCs w:val="24"/>
        </w:rPr>
        <w:fldChar w:fldCharType="end"/>
      </w:r>
      <w:r w:rsidR="00174C1B" w:rsidRPr="00D54138">
        <w:rPr>
          <w:rFonts w:ascii="Times New Roman" w:hAnsi="Times New Roman"/>
          <w:sz w:val="24"/>
          <w:szCs w:val="24"/>
        </w:rPr>
        <w:t xml:space="preserve">. </w:t>
      </w:r>
      <w:r w:rsidR="00174C1B" w:rsidRPr="00D54138">
        <w:rPr>
          <w:rFonts w:cs="Calibri"/>
          <w:sz w:val="24"/>
          <w:szCs w:val="24"/>
        </w:rPr>
        <w:t>﻿</w:t>
      </w:r>
      <w:r w:rsidR="00174C1B" w:rsidRPr="00D54138">
        <w:rPr>
          <w:rFonts w:ascii="Times New Roman" w:hAnsi="Times New Roman"/>
          <w:sz w:val="24"/>
          <w:szCs w:val="24"/>
        </w:rPr>
        <w:t xml:space="preserve"> Environmental awareness and concerns have made it vital to improve decision-making while considering the environment </w:t>
      </w:r>
      <w:r w:rsidR="00174C1B" w:rsidRPr="00D54138">
        <w:rPr>
          <w:rFonts w:ascii="Times New Roman" w:hAnsi="Times New Roman"/>
          <w:sz w:val="24"/>
          <w:szCs w:val="24"/>
        </w:rPr>
        <w:fldChar w:fldCharType="begin" w:fldLock="1"/>
      </w:r>
      <w:r w:rsidR="00174C1B" w:rsidRPr="00D54138">
        <w:rPr>
          <w:rFonts w:ascii="Times New Roman" w:hAnsi="Times New Roman"/>
          <w:sz w:val="24"/>
          <w:szCs w:val="24"/>
        </w:rPr>
        <w:instrText>ADDIN CSL_CITATION {"citationItems":[{"id":"ITEM-1","itemData":{"ISSN":"23098619","abstract":"The purpose of this study is to empirically investigate the impact of environmental innovation constituting product innovation (PDI) and process innovation (PCI) on firms' financial performance (FFP). It also inquires the mediating roles of environmental management accounting (EMA) and the firm's environmental strategy (FES) between innovation and FFP. We have analyzed primary data collected from 363 respondents, working at the managing positions in the manufacturing sector of Pakistan. The proposed model was estimated by applying structural equation modeling. Results show that PDI and PCI have positive and significant impacts on FFP. Furthermore, the findings indicate that EMA and FES mediate the relationship between innovation and FFP in the manufacturing sector of Pakistan. This is the first study in the available literature on EMA, which promulgates a comprehensive theoretical model in the context of the manufacturing sector of Pakistan by introducing two mediators between the association of environmental innovation and firms' financial performance. This study suggests the managers of the manufacturing companies or similar sectors to introduce innovations in their products and processes for developing a better EMA system; they must propose appropriate environmental strategies to enhance their firms' performance. The current study also tends to assist policymakers in developing appropriate policies for the manufacturing sector of Pakistan by realizing the importance of environmental innovation, EMA, and FES so that their environmental and economic impacts can be managed and regulated.","author":[{"dropping-particle":"","family":"Chaudhry","given":"Naveed Iqbal","non-dropping-particle":"","parse-names":false,"suffix":""},{"dropping-particle":"","family":"Asad","given":"Humaira","non-dropping-particle":"","parse-names":false,"suffix":""},{"dropping-particle":"","family":"Ch","given":"Muhammad Amir","non-dropping-particle":"","parse-names":false,"suffix":""},{"dropping-particle":"","family":"Hussian","given":"Rai Imitiaz","non-dropping-particle":"","parse-names":false,"suffix":""}],"container-title":"Pakistan Journal of Commerce and Social Science","id":"ITEM-1","issue":"3","issued":{"date-parts":[["2020"]]},"page":"715-737","title":"Environmental innovation and financial performance: Mediating role of environmental management accounting and firm's environmental strategy","type":"article-journal","volume":"14"},"uris":["http://www.mendeley.com/documents/?uuid=d0b635e3-6efc-4ee2-a002-1c3592805290"]}],"mendeley":{"formattedCitation":"(Chaudhry et al., 2020)","plainTextFormattedCitation":"(Chaudhry et al., 2020)","previouslyFormattedCitation":"(Chaudhry et al., 2020)"},"properties":{"noteIndex":0},"schema":"https://github.com/citation-style-language/schema/raw/master/csl-citation.json"}</w:instrText>
      </w:r>
      <w:r w:rsidR="00174C1B" w:rsidRPr="00D54138">
        <w:rPr>
          <w:rFonts w:ascii="Times New Roman" w:hAnsi="Times New Roman"/>
          <w:sz w:val="24"/>
          <w:szCs w:val="24"/>
        </w:rPr>
        <w:fldChar w:fldCharType="separate"/>
      </w:r>
      <w:r w:rsidR="00174C1B" w:rsidRPr="00D54138">
        <w:rPr>
          <w:rFonts w:ascii="Times New Roman" w:hAnsi="Times New Roman"/>
          <w:noProof/>
          <w:sz w:val="24"/>
          <w:szCs w:val="24"/>
        </w:rPr>
        <w:t>(Chaudhry et al., 2020)</w:t>
      </w:r>
      <w:r w:rsidR="00174C1B" w:rsidRPr="00D54138">
        <w:rPr>
          <w:rFonts w:ascii="Times New Roman" w:hAnsi="Times New Roman"/>
          <w:sz w:val="24"/>
          <w:szCs w:val="24"/>
        </w:rPr>
        <w:fldChar w:fldCharType="end"/>
      </w:r>
      <w:r w:rsidR="00174C1B" w:rsidRPr="00D54138">
        <w:rPr>
          <w:rFonts w:ascii="Times New Roman" w:hAnsi="Times New Roman"/>
          <w:sz w:val="24"/>
          <w:szCs w:val="24"/>
        </w:rPr>
        <w:t>.</w:t>
      </w:r>
    </w:p>
    <w:p w14:paraId="4B9E70A1" w14:textId="63F6B760" w:rsidR="00004376" w:rsidRPr="00D54138" w:rsidRDefault="00004376" w:rsidP="008B44D2">
      <w:pPr>
        <w:spacing w:after="0" w:line="240" w:lineRule="auto"/>
        <w:ind w:firstLine="720"/>
        <w:jc w:val="both"/>
        <w:rPr>
          <w:rFonts w:ascii="Times New Roman" w:hAnsi="Times New Roman"/>
          <w:sz w:val="24"/>
          <w:szCs w:val="24"/>
        </w:rPr>
      </w:pPr>
    </w:p>
    <w:p w14:paraId="2905D39D" w14:textId="77777777" w:rsidR="00004376" w:rsidRPr="00D54138" w:rsidRDefault="00004376" w:rsidP="008B44D2">
      <w:pPr>
        <w:spacing w:after="0" w:line="240" w:lineRule="auto"/>
        <w:jc w:val="both"/>
        <w:rPr>
          <w:rFonts w:ascii="Times New Roman" w:eastAsia="Times New Roman" w:hAnsi="Times New Roman"/>
          <w:sz w:val="24"/>
          <w:szCs w:val="24"/>
        </w:rPr>
      </w:pPr>
    </w:p>
    <w:p w14:paraId="5F94094C" w14:textId="72306003" w:rsidR="00004376" w:rsidRPr="00D54138" w:rsidRDefault="008B44D2" w:rsidP="008B44D2">
      <w:pPr>
        <w:spacing w:after="0" w:line="240" w:lineRule="auto"/>
        <w:jc w:val="both"/>
        <w:rPr>
          <w:rFonts w:ascii="Times New Roman" w:eastAsia="Times New Roman" w:hAnsi="Times New Roman"/>
          <w:b/>
          <w:sz w:val="24"/>
          <w:szCs w:val="24"/>
        </w:rPr>
      </w:pPr>
      <w:r w:rsidRPr="00D54138">
        <w:rPr>
          <w:rFonts w:ascii="Times New Roman" w:eastAsia="Times New Roman" w:hAnsi="Times New Roman"/>
          <w:b/>
          <w:sz w:val="24"/>
          <w:szCs w:val="24"/>
        </w:rPr>
        <w:t>METHODOLOGY</w:t>
      </w:r>
    </w:p>
    <w:p w14:paraId="4D358B97" w14:textId="77777777" w:rsidR="00004376" w:rsidRPr="00D54138" w:rsidRDefault="00004376" w:rsidP="008B44D2">
      <w:pPr>
        <w:spacing w:after="0" w:line="240" w:lineRule="auto"/>
        <w:jc w:val="both"/>
        <w:rPr>
          <w:rFonts w:ascii="Times New Roman" w:eastAsia="Times New Roman" w:hAnsi="Times New Roman"/>
          <w:b/>
          <w:sz w:val="24"/>
          <w:szCs w:val="24"/>
        </w:rPr>
      </w:pPr>
    </w:p>
    <w:p w14:paraId="4F9E9DC3" w14:textId="296CF506" w:rsidR="006522BF" w:rsidRPr="00D54138" w:rsidRDefault="00C33307" w:rsidP="008B44D2">
      <w:pPr>
        <w:spacing w:line="240" w:lineRule="auto"/>
        <w:jc w:val="both"/>
        <w:rPr>
          <w:rFonts w:ascii="Times New Roman" w:hAnsi="Times New Roman"/>
          <w:sz w:val="24"/>
          <w:szCs w:val="24"/>
        </w:rPr>
      </w:pPr>
      <w:r w:rsidRPr="00D54138">
        <w:rPr>
          <w:rFonts w:ascii="Times New Roman" w:hAnsi="Times New Roman"/>
          <w:sz w:val="24"/>
          <w:szCs w:val="24"/>
        </w:rPr>
        <w:t>This literature review provides a systematic technique to map environmental management accounting themes from 2017 through 2022. This study employs the Publish or Perish (</w:t>
      </w:r>
      <w:proofErr w:type="spellStart"/>
      <w:r w:rsidRPr="00D54138">
        <w:rPr>
          <w:rFonts w:ascii="Times New Roman" w:hAnsi="Times New Roman"/>
          <w:sz w:val="24"/>
          <w:szCs w:val="24"/>
        </w:rPr>
        <w:t>PoP</w:t>
      </w:r>
      <w:proofErr w:type="spellEnd"/>
      <w:r w:rsidRPr="00D54138">
        <w:rPr>
          <w:rFonts w:ascii="Times New Roman" w:hAnsi="Times New Roman"/>
          <w:sz w:val="24"/>
          <w:szCs w:val="24"/>
        </w:rPr>
        <w:t xml:space="preserve">) method to identify papers to be mapped. In addition, the literature review was undertaken using </w:t>
      </w:r>
      <w:r w:rsidR="005E61C3" w:rsidRPr="00D54138">
        <w:rPr>
          <w:rFonts w:ascii="Times New Roman" w:hAnsi="Times New Roman"/>
          <w:sz w:val="24"/>
          <w:szCs w:val="24"/>
        </w:rPr>
        <w:t xml:space="preserve">the </w:t>
      </w:r>
      <w:r w:rsidRPr="00D54138">
        <w:rPr>
          <w:rFonts w:ascii="Times New Roman" w:hAnsi="Times New Roman"/>
          <w:sz w:val="24"/>
          <w:szCs w:val="24"/>
        </w:rPr>
        <w:t>criteria</w:t>
      </w:r>
      <w:r w:rsidR="005E61C3" w:rsidRPr="00D54138">
        <w:rPr>
          <w:rFonts w:ascii="Times New Roman" w:hAnsi="Times New Roman"/>
          <w:sz w:val="24"/>
          <w:szCs w:val="24"/>
        </w:rPr>
        <w:t xml:space="preserve"> </w:t>
      </w:r>
      <w:r w:rsidRPr="00D54138">
        <w:rPr>
          <w:rFonts w:ascii="Times New Roman" w:hAnsi="Times New Roman"/>
          <w:sz w:val="24"/>
          <w:szCs w:val="24"/>
        </w:rPr>
        <w:t xml:space="preserve">"environmental management accounting". These keywords are used to verify that the information that </w:t>
      </w:r>
      <w:r w:rsidR="00C724BE" w:rsidRPr="00D54138">
        <w:rPr>
          <w:rFonts w:ascii="Times New Roman" w:hAnsi="Times New Roman"/>
          <w:sz w:val="24"/>
          <w:szCs w:val="24"/>
        </w:rPr>
        <w:t>is sought</w:t>
      </w:r>
      <w:r w:rsidRPr="00D54138">
        <w:rPr>
          <w:rFonts w:ascii="Times New Roman" w:hAnsi="Times New Roman"/>
          <w:sz w:val="24"/>
          <w:szCs w:val="24"/>
        </w:rPr>
        <w:t xml:space="preserve"> is pertinent to the current topic. The </w:t>
      </w:r>
      <w:r w:rsidRPr="00D54138">
        <w:rPr>
          <w:rFonts w:ascii="Times New Roman" w:hAnsi="Times New Roman"/>
          <w:sz w:val="24"/>
          <w:szCs w:val="24"/>
        </w:rPr>
        <w:lastRenderedPageBreak/>
        <w:t xml:space="preserve">observation period was from 2017 through 2022, as determined by the researchers. </w:t>
      </w:r>
      <w:r w:rsidR="00D504B1" w:rsidRPr="00D54138">
        <w:rPr>
          <w:rFonts w:ascii="Times New Roman" w:hAnsi="Times New Roman"/>
          <w:sz w:val="24"/>
          <w:szCs w:val="24"/>
        </w:rPr>
        <w:t>Furthermore,</w:t>
      </w:r>
      <w:r w:rsidRPr="00D54138">
        <w:rPr>
          <w:rFonts w:ascii="Times New Roman" w:hAnsi="Times New Roman"/>
          <w:sz w:val="24"/>
          <w:szCs w:val="24"/>
        </w:rPr>
        <w:t xml:space="preserve"> the investigation identifies the Scopus source of the article. The selected articles are written in English. The keyword "environmental management accounting" returns up to 146 articles in the preliminary search results. The 146 articles acquired 1,331 citations, equivalent to 266</w:t>
      </w:r>
      <w:r w:rsidR="006270D5" w:rsidRPr="00D54138">
        <w:rPr>
          <w:rFonts w:ascii="Times New Roman" w:hAnsi="Times New Roman"/>
          <w:sz w:val="24"/>
          <w:szCs w:val="24"/>
        </w:rPr>
        <w:t>.</w:t>
      </w:r>
      <w:r w:rsidRPr="00D54138">
        <w:rPr>
          <w:rFonts w:ascii="Times New Roman" w:hAnsi="Times New Roman"/>
          <w:sz w:val="24"/>
          <w:szCs w:val="24"/>
        </w:rPr>
        <w:t xml:space="preserve">20 citations each year. </w:t>
      </w:r>
      <w:r w:rsidR="009A1864" w:rsidRPr="00D54138">
        <w:rPr>
          <w:rFonts w:ascii="Times New Roman" w:hAnsi="Times New Roman"/>
          <w:sz w:val="24"/>
          <w:szCs w:val="24"/>
        </w:rPr>
        <w:t xml:space="preserve">The study evaluation used criteria that required twice as many citations, therefore the final number of articles considered was 76, with a total of 1307 citations, or 261.4 per year. Table 1 shows </w:t>
      </w:r>
      <w:r w:rsidR="005E61C3" w:rsidRPr="00D54138">
        <w:rPr>
          <w:rFonts w:ascii="Times New Roman" w:hAnsi="Times New Roman"/>
          <w:sz w:val="24"/>
          <w:szCs w:val="24"/>
        </w:rPr>
        <w:t>the article's</w:t>
      </w:r>
      <w:r w:rsidR="009A1864" w:rsidRPr="00D54138">
        <w:rPr>
          <w:rFonts w:ascii="Times New Roman" w:hAnsi="Times New Roman"/>
          <w:sz w:val="24"/>
          <w:szCs w:val="24"/>
        </w:rPr>
        <w:t xml:space="preserve"> details.</w:t>
      </w:r>
    </w:p>
    <w:p w14:paraId="6073E49F" w14:textId="77777777" w:rsidR="007425C8" w:rsidRPr="00D54138" w:rsidRDefault="007425C8" w:rsidP="008B44D2">
      <w:pPr>
        <w:spacing w:line="240" w:lineRule="auto"/>
        <w:jc w:val="both"/>
        <w:rPr>
          <w:rFonts w:ascii="Times New Roman" w:hAnsi="Times New Roman"/>
          <w:sz w:val="24"/>
          <w:szCs w:val="24"/>
        </w:rPr>
      </w:pPr>
    </w:p>
    <w:p w14:paraId="51794B78" w14:textId="77777777" w:rsidR="007425C8" w:rsidRPr="00D54138" w:rsidRDefault="007425C8" w:rsidP="008B44D2">
      <w:pPr>
        <w:spacing w:line="240" w:lineRule="auto"/>
        <w:jc w:val="both"/>
        <w:rPr>
          <w:rFonts w:ascii="Times New Roman" w:hAnsi="Times New Roman"/>
          <w:sz w:val="24"/>
          <w:szCs w:val="24"/>
        </w:rPr>
      </w:pPr>
    </w:p>
    <w:p w14:paraId="012827E8" w14:textId="77777777" w:rsidR="007425C8" w:rsidRPr="00D54138" w:rsidRDefault="007425C8" w:rsidP="008B44D2">
      <w:pPr>
        <w:spacing w:line="240" w:lineRule="auto"/>
        <w:jc w:val="both"/>
        <w:rPr>
          <w:rFonts w:ascii="Times New Roman" w:hAnsi="Times New Roman"/>
          <w:sz w:val="24"/>
          <w:szCs w:val="24"/>
        </w:rPr>
      </w:pPr>
    </w:p>
    <w:p w14:paraId="2E8BD0D5" w14:textId="77777777" w:rsidR="007425C8" w:rsidRPr="00D54138" w:rsidRDefault="007425C8" w:rsidP="008B44D2">
      <w:pPr>
        <w:spacing w:line="240" w:lineRule="auto"/>
        <w:jc w:val="both"/>
        <w:rPr>
          <w:rFonts w:ascii="Times New Roman" w:hAnsi="Times New Roman"/>
          <w:sz w:val="24"/>
          <w:szCs w:val="24"/>
        </w:rPr>
      </w:pPr>
    </w:p>
    <w:p w14:paraId="5BCCCA7D" w14:textId="25191DF2" w:rsidR="000764D4" w:rsidRPr="00D54138" w:rsidRDefault="000764D4" w:rsidP="008B44D2">
      <w:pPr>
        <w:spacing w:line="240" w:lineRule="auto"/>
        <w:ind w:left="1134"/>
        <w:jc w:val="both"/>
        <w:rPr>
          <w:rFonts w:ascii="Times New Roman" w:hAnsi="Times New Roman"/>
        </w:rPr>
      </w:pPr>
      <w:r w:rsidRPr="00D54138">
        <w:rPr>
          <w:rFonts w:ascii="Times New Roman" w:hAnsi="Times New Roman"/>
        </w:rPr>
        <w:t xml:space="preserve">Table 1. </w:t>
      </w:r>
      <w:r w:rsidR="004C682F" w:rsidRPr="00D54138">
        <w:rPr>
          <w:rFonts w:ascii="Times New Roman" w:hAnsi="Times New Roman"/>
        </w:rPr>
        <w:t>The difference</w:t>
      </w:r>
      <w:r w:rsidRPr="00D54138">
        <w:rPr>
          <w:rFonts w:ascii="Times New Roman" w:hAnsi="Times New Roman"/>
        </w:rPr>
        <w:t xml:space="preserve"> in Metric Searching</w:t>
      </w:r>
    </w:p>
    <w:tbl>
      <w:tblPr>
        <w:tblStyle w:val="TableGrid"/>
        <w:tblW w:w="0" w:type="auto"/>
        <w:jc w:val="center"/>
        <w:tblBorders>
          <w:left w:val="none" w:sz="0" w:space="0" w:color="auto"/>
          <w:right w:val="none" w:sz="0" w:space="0" w:color="auto"/>
        </w:tblBorders>
        <w:tblLook w:val="04A0" w:firstRow="1" w:lastRow="0" w:firstColumn="1" w:lastColumn="0" w:noHBand="0" w:noVBand="1"/>
      </w:tblPr>
      <w:tblGrid>
        <w:gridCol w:w="2540"/>
        <w:gridCol w:w="2540"/>
        <w:gridCol w:w="2541"/>
      </w:tblGrid>
      <w:tr w:rsidR="000764D4" w:rsidRPr="00D54138" w14:paraId="19800632" w14:textId="77777777" w:rsidTr="00326024">
        <w:trPr>
          <w:trHeight w:val="310"/>
          <w:jc w:val="center"/>
        </w:trPr>
        <w:tc>
          <w:tcPr>
            <w:tcW w:w="2540" w:type="dxa"/>
          </w:tcPr>
          <w:p w14:paraId="5A810B54" w14:textId="77777777" w:rsidR="000764D4" w:rsidRPr="00D54138" w:rsidRDefault="000764D4" w:rsidP="008B44D2">
            <w:pPr>
              <w:jc w:val="both"/>
              <w:rPr>
                <w:rFonts w:ascii="Times New Roman" w:hAnsi="Times New Roman"/>
                <w:b/>
                <w:bCs/>
                <w:sz w:val="20"/>
                <w:szCs w:val="20"/>
                <w:lang w:val="en-US"/>
              </w:rPr>
            </w:pPr>
          </w:p>
        </w:tc>
        <w:tc>
          <w:tcPr>
            <w:tcW w:w="2540" w:type="dxa"/>
          </w:tcPr>
          <w:p w14:paraId="239C8144" w14:textId="77777777" w:rsidR="000764D4" w:rsidRPr="00D54138" w:rsidRDefault="000764D4" w:rsidP="008B44D2">
            <w:pPr>
              <w:jc w:val="both"/>
              <w:rPr>
                <w:rFonts w:ascii="Times New Roman" w:hAnsi="Times New Roman"/>
                <w:b/>
                <w:bCs/>
                <w:sz w:val="20"/>
                <w:szCs w:val="20"/>
                <w:lang w:val="en-US"/>
              </w:rPr>
            </w:pPr>
            <w:r w:rsidRPr="00D54138">
              <w:rPr>
                <w:rFonts w:ascii="Times New Roman" w:hAnsi="Times New Roman"/>
                <w:b/>
                <w:bCs/>
                <w:sz w:val="20"/>
                <w:szCs w:val="20"/>
                <w:lang w:val="en-US"/>
              </w:rPr>
              <w:t>Initial</w:t>
            </w:r>
          </w:p>
        </w:tc>
        <w:tc>
          <w:tcPr>
            <w:tcW w:w="2541" w:type="dxa"/>
          </w:tcPr>
          <w:p w14:paraId="4617C8D2" w14:textId="77777777" w:rsidR="000764D4" w:rsidRPr="00D54138" w:rsidRDefault="000764D4" w:rsidP="008B44D2">
            <w:pPr>
              <w:jc w:val="both"/>
              <w:rPr>
                <w:rFonts w:ascii="Times New Roman" w:hAnsi="Times New Roman"/>
                <w:b/>
                <w:bCs/>
                <w:sz w:val="20"/>
                <w:szCs w:val="20"/>
                <w:lang w:val="en-US"/>
              </w:rPr>
            </w:pPr>
            <w:r w:rsidRPr="00D54138">
              <w:rPr>
                <w:rFonts w:ascii="Times New Roman" w:hAnsi="Times New Roman"/>
                <w:b/>
                <w:bCs/>
                <w:sz w:val="20"/>
                <w:szCs w:val="20"/>
                <w:lang w:val="en-US"/>
              </w:rPr>
              <w:t>Refinement</w:t>
            </w:r>
          </w:p>
        </w:tc>
      </w:tr>
      <w:tr w:rsidR="000764D4" w:rsidRPr="00D54138" w14:paraId="073A3D20" w14:textId="77777777" w:rsidTr="00326024">
        <w:trPr>
          <w:trHeight w:val="310"/>
          <w:jc w:val="center"/>
        </w:trPr>
        <w:tc>
          <w:tcPr>
            <w:tcW w:w="2540" w:type="dxa"/>
          </w:tcPr>
          <w:p w14:paraId="5F7A60D6" w14:textId="77777777" w:rsidR="000764D4" w:rsidRPr="00D54138" w:rsidRDefault="000764D4" w:rsidP="008B44D2">
            <w:pPr>
              <w:jc w:val="both"/>
              <w:rPr>
                <w:rFonts w:ascii="Times New Roman" w:hAnsi="Times New Roman"/>
                <w:sz w:val="20"/>
                <w:szCs w:val="20"/>
                <w:lang w:val="en-US"/>
              </w:rPr>
            </w:pPr>
            <w:r w:rsidRPr="00D54138">
              <w:rPr>
                <w:rFonts w:ascii="Times New Roman" w:hAnsi="Times New Roman"/>
                <w:sz w:val="20"/>
                <w:szCs w:val="20"/>
                <w:lang w:val="en-US"/>
              </w:rPr>
              <w:t>Years</w:t>
            </w:r>
          </w:p>
        </w:tc>
        <w:tc>
          <w:tcPr>
            <w:tcW w:w="2540" w:type="dxa"/>
          </w:tcPr>
          <w:p w14:paraId="74E1E62E" w14:textId="77777777" w:rsidR="000764D4" w:rsidRPr="00D54138" w:rsidRDefault="000764D4" w:rsidP="008B44D2">
            <w:pPr>
              <w:jc w:val="both"/>
              <w:rPr>
                <w:rFonts w:ascii="Times New Roman" w:hAnsi="Times New Roman"/>
                <w:sz w:val="20"/>
                <w:szCs w:val="20"/>
                <w:lang w:val="en-US"/>
              </w:rPr>
            </w:pPr>
            <w:r w:rsidRPr="00D54138">
              <w:rPr>
                <w:rFonts w:ascii="Times New Roman" w:hAnsi="Times New Roman"/>
                <w:sz w:val="20"/>
                <w:szCs w:val="20"/>
                <w:lang w:val="en-US"/>
              </w:rPr>
              <w:t>2017-2022</w:t>
            </w:r>
          </w:p>
        </w:tc>
        <w:tc>
          <w:tcPr>
            <w:tcW w:w="2541" w:type="dxa"/>
          </w:tcPr>
          <w:p w14:paraId="194856E5" w14:textId="77777777" w:rsidR="000764D4" w:rsidRPr="00D54138" w:rsidRDefault="000764D4" w:rsidP="008B44D2">
            <w:pPr>
              <w:jc w:val="both"/>
              <w:rPr>
                <w:rFonts w:ascii="Times New Roman" w:hAnsi="Times New Roman"/>
                <w:sz w:val="20"/>
                <w:szCs w:val="20"/>
                <w:lang w:val="en-US"/>
              </w:rPr>
            </w:pPr>
            <w:r w:rsidRPr="00D54138">
              <w:rPr>
                <w:rFonts w:ascii="Times New Roman" w:hAnsi="Times New Roman"/>
                <w:sz w:val="20"/>
                <w:szCs w:val="20"/>
                <w:lang w:val="en-US"/>
              </w:rPr>
              <w:t>2017-2022</w:t>
            </w:r>
          </w:p>
        </w:tc>
      </w:tr>
      <w:tr w:rsidR="000764D4" w:rsidRPr="00D54138" w14:paraId="401947FF" w14:textId="77777777" w:rsidTr="00326024">
        <w:trPr>
          <w:trHeight w:val="310"/>
          <w:jc w:val="center"/>
        </w:trPr>
        <w:tc>
          <w:tcPr>
            <w:tcW w:w="2540" w:type="dxa"/>
          </w:tcPr>
          <w:p w14:paraId="6047B55D" w14:textId="77777777" w:rsidR="000764D4" w:rsidRPr="00D54138" w:rsidRDefault="000764D4" w:rsidP="008B44D2">
            <w:pPr>
              <w:jc w:val="both"/>
              <w:rPr>
                <w:rFonts w:ascii="Times New Roman" w:hAnsi="Times New Roman"/>
                <w:sz w:val="20"/>
                <w:szCs w:val="20"/>
                <w:lang w:val="en-US"/>
              </w:rPr>
            </w:pPr>
            <w:r w:rsidRPr="00D54138">
              <w:rPr>
                <w:rFonts w:ascii="Times New Roman" w:hAnsi="Times New Roman"/>
                <w:sz w:val="20"/>
                <w:szCs w:val="20"/>
                <w:lang w:val="en-US"/>
              </w:rPr>
              <w:t>Papers</w:t>
            </w:r>
          </w:p>
        </w:tc>
        <w:tc>
          <w:tcPr>
            <w:tcW w:w="2540" w:type="dxa"/>
          </w:tcPr>
          <w:p w14:paraId="3A05883A" w14:textId="77777777" w:rsidR="000764D4" w:rsidRPr="00D54138" w:rsidRDefault="000764D4" w:rsidP="008B44D2">
            <w:pPr>
              <w:jc w:val="both"/>
              <w:rPr>
                <w:rFonts w:ascii="Times New Roman" w:hAnsi="Times New Roman"/>
                <w:sz w:val="20"/>
                <w:szCs w:val="20"/>
                <w:lang w:val="en-US"/>
              </w:rPr>
            </w:pPr>
            <w:r w:rsidRPr="00D54138">
              <w:rPr>
                <w:rFonts w:ascii="Times New Roman" w:hAnsi="Times New Roman"/>
                <w:sz w:val="20"/>
                <w:szCs w:val="20"/>
                <w:lang w:val="en-US"/>
              </w:rPr>
              <w:t>146</w:t>
            </w:r>
          </w:p>
        </w:tc>
        <w:tc>
          <w:tcPr>
            <w:tcW w:w="2541" w:type="dxa"/>
          </w:tcPr>
          <w:p w14:paraId="0147F1F0" w14:textId="77777777" w:rsidR="000764D4" w:rsidRPr="00D54138" w:rsidRDefault="000764D4" w:rsidP="008B44D2">
            <w:pPr>
              <w:jc w:val="both"/>
              <w:rPr>
                <w:rFonts w:ascii="Times New Roman" w:hAnsi="Times New Roman"/>
                <w:sz w:val="20"/>
                <w:szCs w:val="20"/>
                <w:lang w:val="en-US"/>
              </w:rPr>
            </w:pPr>
            <w:r w:rsidRPr="00D54138">
              <w:rPr>
                <w:rFonts w:ascii="Times New Roman" w:hAnsi="Times New Roman"/>
                <w:sz w:val="20"/>
                <w:szCs w:val="20"/>
                <w:lang w:val="en-US"/>
              </w:rPr>
              <w:t>76</w:t>
            </w:r>
          </w:p>
        </w:tc>
      </w:tr>
      <w:tr w:rsidR="000764D4" w:rsidRPr="00D54138" w14:paraId="619CD633" w14:textId="77777777" w:rsidTr="00326024">
        <w:trPr>
          <w:trHeight w:val="325"/>
          <w:jc w:val="center"/>
        </w:trPr>
        <w:tc>
          <w:tcPr>
            <w:tcW w:w="2540" w:type="dxa"/>
          </w:tcPr>
          <w:p w14:paraId="24EBEA3D" w14:textId="77777777" w:rsidR="000764D4" w:rsidRPr="00D54138" w:rsidRDefault="000764D4" w:rsidP="008B44D2">
            <w:pPr>
              <w:jc w:val="both"/>
              <w:rPr>
                <w:rFonts w:ascii="Times New Roman" w:hAnsi="Times New Roman"/>
                <w:sz w:val="20"/>
                <w:szCs w:val="20"/>
                <w:lang w:val="en-US"/>
              </w:rPr>
            </w:pPr>
            <w:r w:rsidRPr="00D54138">
              <w:rPr>
                <w:rFonts w:ascii="Times New Roman" w:hAnsi="Times New Roman"/>
                <w:sz w:val="20"/>
                <w:szCs w:val="20"/>
                <w:lang w:val="en-US"/>
              </w:rPr>
              <w:t>Citations</w:t>
            </w:r>
          </w:p>
        </w:tc>
        <w:tc>
          <w:tcPr>
            <w:tcW w:w="2540" w:type="dxa"/>
          </w:tcPr>
          <w:p w14:paraId="0985FAFC" w14:textId="77777777" w:rsidR="000764D4" w:rsidRPr="00D54138" w:rsidRDefault="000764D4" w:rsidP="008B44D2">
            <w:pPr>
              <w:jc w:val="both"/>
              <w:rPr>
                <w:rFonts w:ascii="Times New Roman" w:hAnsi="Times New Roman"/>
                <w:sz w:val="20"/>
                <w:szCs w:val="20"/>
                <w:lang w:val="en-US"/>
              </w:rPr>
            </w:pPr>
            <w:r w:rsidRPr="00D54138">
              <w:rPr>
                <w:rFonts w:ascii="Times New Roman" w:hAnsi="Times New Roman"/>
                <w:sz w:val="20"/>
                <w:szCs w:val="20"/>
                <w:lang w:val="en-US"/>
              </w:rPr>
              <w:t>1331</w:t>
            </w:r>
          </w:p>
        </w:tc>
        <w:tc>
          <w:tcPr>
            <w:tcW w:w="2541" w:type="dxa"/>
          </w:tcPr>
          <w:p w14:paraId="73FA3A55" w14:textId="77777777" w:rsidR="000764D4" w:rsidRPr="00D54138" w:rsidRDefault="000764D4" w:rsidP="008B44D2">
            <w:pPr>
              <w:jc w:val="both"/>
              <w:rPr>
                <w:rFonts w:ascii="Times New Roman" w:hAnsi="Times New Roman"/>
                <w:sz w:val="20"/>
                <w:szCs w:val="20"/>
                <w:lang w:val="en-US"/>
              </w:rPr>
            </w:pPr>
            <w:r w:rsidRPr="00D54138">
              <w:rPr>
                <w:rFonts w:ascii="Times New Roman" w:hAnsi="Times New Roman"/>
                <w:sz w:val="20"/>
                <w:szCs w:val="20"/>
                <w:lang w:val="en-US"/>
              </w:rPr>
              <w:t>1307</w:t>
            </w:r>
          </w:p>
        </w:tc>
      </w:tr>
      <w:tr w:rsidR="000764D4" w:rsidRPr="00D54138" w14:paraId="4A135E4D" w14:textId="77777777" w:rsidTr="00326024">
        <w:trPr>
          <w:trHeight w:val="310"/>
          <w:jc w:val="center"/>
        </w:trPr>
        <w:tc>
          <w:tcPr>
            <w:tcW w:w="2540" w:type="dxa"/>
          </w:tcPr>
          <w:p w14:paraId="58D23E2A" w14:textId="77777777" w:rsidR="000764D4" w:rsidRPr="00D54138" w:rsidRDefault="000764D4" w:rsidP="008B44D2">
            <w:pPr>
              <w:jc w:val="both"/>
              <w:rPr>
                <w:rFonts w:ascii="Times New Roman" w:hAnsi="Times New Roman"/>
                <w:sz w:val="20"/>
                <w:szCs w:val="20"/>
                <w:lang w:val="en-US"/>
              </w:rPr>
            </w:pPr>
            <w:r w:rsidRPr="00D54138">
              <w:rPr>
                <w:rFonts w:ascii="Times New Roman" w:hAnsi="Times New Roman"/>
                <w:sz w:val="20"/>
                <w:szCs w:val="20"/>
                <w:lang w:val="en-US"/>
              </w:rPr>
              <w:t>Cites/year</w:t>
            </w:r>
          </w:p>
        </w:tc>
        <w:tc>
          <w:tcPr>
            <w:tcW w:w="2540" w:type="dxa"/>
          </w:tcPr>
          <w:p w14:paraId="14A7B0B8" w14:textId="3D2C3F89" w:rsidR="000764D4" w:rsidRPr="00D54138" w:rsidRDefault="000764D4" w:rsidP="008B44D2">
            <w:pPr>
              <w:jc w:val="both"/>
              <w:rPr>
                <w:rFonts w:ascii="Times New Roman" w:hAnsi="Times New Roman"/>
                <w:sz w:val="20"/>
                <w:szCs w:val="20"/>
                <w:lang w:val="en-US"/>
              </w:rPr>
            </w:pPr>
            <w:r w:rsidRPr="00D54138">
              <w:rPr>
                <w:rFonts w:ascii="Times New Roman" w:hAnsi="Times New Roman"/>
                <w:sz w:val="20"/>
                <w:szCs w:val="20"/>
                <w:lang w:val="en-US"/>
              </w:rPr>
              <w:t>266</w:t>
            </w:r>
            <w:r w:rsidR="003F796C" w:rsidRPr="00D54138">
              <w:rPr>
                <w:rFonts w:ascii="Times New Roman" w:hAnsi="Times New Roman"/>
                <w:sz w:val="20"/>
                <w:szCs w:val="20"/>
                <w:lang w:val="en-US"/>
              </w:rPr>
              <w:t>.</w:t>
            </w:r>
            <w:r w:rsidRPr="00D54138">
              <w:rPr>
                <w:rFonts w:ascii="Times New Roman" w:hAnsi="Times New Roman"/>
                <w:sz w:val="20"/>
                <w:szCs w:val="20"/>
                <w:lang w:val="en-US"/>
              </w:rPr>
              <w:t>2</w:t>
            </w:r>
          </w:p>
        </w:tc>
        <w:tc>
          <w:tcPr>
            <w:tcW w:w="2541" w:type="dxa"/>
          </w:tcPr>
          <w:p w14:paraId="0033460F" w14:textId="727ECF4C" w:rsidR="000764D4" w:rsidRPr="00D54138" w:rsidRDefault="000764D4" w:rsidP="008B44D2">
            <w:pPr>
              <w:jc w:val="both"/>
              <w:rPr>
                <w:rFonts w:ascii="Times New Roman" w:hAnsi="Times New Roman"/>
                <w:sz w:val="20"/>
                <w:szCs w:val="20"/>
                <w:lang w:val="en-US"/>
              </w:rPr>
            </w:pPr>
            <w:r w:rsidRPr="00D54138">
              <w:rPr>
                <w:rFonts w:ascii="Times New Roman" w:hAnsi="Times New Roman"/>
                <w:sz w:val="20"/>
                <w:szCs w:val="20"/>
                <w:lang w:val="en-US"/>
              </w:rPr>
              <w:t>26</w:t>
            </w:r>
            <w:r w:rsidR="003F796C" w:rsidRPr="00D54138">
              <w:rPr>
                <w:rFonts w:ascii="Times New Roman" w:hAnsi="Times New Roman"/>
                <w:sz w:val="20"/>
                <w:szCs w:val="20"/>
                <w:lang w:val="en-US"/>
              </w:rPr>
              <w:t>1.</w:t>
            </w:r>
            <w:r w:rsidRPr="00D54138">
              <w:rPr>
                <w:rFonts w:ascii="Times New Roman" w:hAnsi="Times New Roman"/>
                <w:sz w:val="20"/>
                <w:szCs w:val="20"/>
                <w:lang w:val="en-US"/>
              </w:rPr>
              <w:t>40</w:t>
            </w:r>
          </w:p>
        </w:tc>
      </w:tr>
      <w:tr w:rsidR="000764D4" w:rsidRPr="00D54138" w14:paraId="7F17C446" w14:textId="77777777" w:rsidTr="00326024">
        <w:trPr>
          <w:trHeight w:val="310"/>
          <w:jc w:val="center"/>
        </w:trPr>
        <w:tc>
          <w:tcPr>
            <w:tcW w:w="2540" w:type="dxa"/>
          </w:tcPr>
          <w:p w14:paraId="64159A4C" w14:textId="77777777" w:rsidR="000764D4" w:rsidRPr="00D54138" w:rsidRDefault="000764D4" w:rsidP="008B44D2">
            <w:pPr>
              <w:jc w:val="both"/>
              <w:rPr>
                <w:rFonts w:ascii="Times New Roman" w:hAnsi="Times New Roman"/>
                <w:sz w:val="20"/>
                <w:szCs w:val="20"/>
                <w:lang w:val="en-US"/>
              </w:rPr>
            </w:pPr>
            <w:r w:rsidRPr="00D54138">
              <w:rPr>
                <w:rFonts w:ascii="Times New Roman" w:hAnsi="Times New Roman"/>
                <w:sz w:val="20"/>
                <w:szCs w:val="20"/>
                <w:lang w:val="en-US"/>
              </w:rPr>
              <w:t>Cites/paper</w:t>
            </w:r>
          </w:p>
        </w:tc>
        <w:tc>
          <w:tcPr>
            <w:tcW w:w="2540" w:type="dxa"/>
          </w:tcPr>
          <w:p w14:paraId="2BCD342C" w14:textId="1DB168EF" w:rsidR="000764D4" w:rsidRPr="00D54138" w:rsidRDefault="000764D4" w:rsidP="008B44D2">
            <w:pPr>
              <w:jc w:val="both"/>
              <w:rPr>
                <w:rFonts w:ascii="Times New Roman" w:hAnsi="Times New Roman"/>
                <w:sz w:val="20"/>
                <w:szCs w:val="20"/>
                <w:lang w:val="en-US"/>
              </w:rPr>
            </w:pPr>
            <w:r w:rsidRPr="00D54138">
              <w:rPr>
                <w:rFonts w:ascii="Times New Roman" w:hAnsi="Times New Roman"/>
                <w:sz w:val="20"/>
                <w:szCs w:val="20"/>
                <w:lang w:val="en-US"/>
              </w:rPr>
              <w:t>9</w:t>
            </w:r>
            <w:r w:rsidR="003F796C" w:rsidRPr="00D54138">
              <w:rPr>
                <w:rFonts w:ascii="Times New Roman" w:hAnsi="Times New Roman"/>
                <w:sz w:val="20"/>
                <w:szCs w:val="20"/>
                <w:lang w:val="en-US"/>
              </w:rPr>
              <w:t>.</w:t>
            </w:r>
            <w:r w:rsidRPr="00D54138">
              <w:rPr>
                <w:rFonts w:ascii="Times New Roman" w:hAnsi="Times New Roman"/>
                <w:sz w:val="20"/>
                <w:szCs w:val="20"/>
                <w:lang w:val="en-US"/>
              </w:rPr>
              <w:t>12</w:t>
            </w:r>
          </w:p>
        </w:tc>
        <w:tc>
          <w:tcPr>
            <w:tcW w:w="2541" w:type="dxa"/>
          </w:tcPr>
          <w:p w14:paraId="7A57384C" w14:textId="028E6FD2" w:rsidR="000764D4" w:rsidRPr="00D54138" w:rsidRDefault="000764D4" w:rsidP="008B44D2">
            <w:pPr>
              <w:jc w:val="both"/>
              <w:rPr>
                <w:rFonts w:ascii="Times New Roman" w:hAnsi="Times New Roman"/>
                <w:sz w:val="20"/>
                <w:szCs w:val="20"/>
                <w:lang w:val="en-US"/>
              </w:rPr>
            </w:pPr>
            <w:r w:rsidRPr="00D54138">
              <w:rPr>
                <w:rFonts w:ascii="Times New Roman" w:hAnsi="Times New Roman"/>
                <w:sz w:val="20"/>
                <w:szCs w:val="20"/>
                <w:lang w:val="en-US"/>
              </w:rPr>
              <w:t>17</w:t>
            </w:r>
            <w:r w:rsidR="003F796C" w:rsidRPr="00D54138">
              <w:rPr>
                <w:rFonts w:ascii="Times New Roman" w:hAnsi="Times New Roman"/>
                <w:sz w:val="20"/>
                <w:szCs w:val="20"/>
                <w:lang w:val="en-US"/>
              </w:rPr>
              <w:t>1</w:t>
            </w:r>
            <w:r w:rsidRPr="00D54138">
              <w:rPr>
                <w:rFonts w:ascii="Times New Roman" w:hAnsi="Times New Roman"/>
                <w:sz w:val="20"/>
                <w:szCs w:val="20"/>
                <w:lang w:val="en-US"/>
              </w:rPr>
              <w:t>2</w:t>
            </w:r>
          </w:p>
        </w:tc>
      </w:tr>
      <w:tr w:rsidR="000764D4" w:rsidRPr="00D54138" w14:paraId="2C8ACE1A" w14:textId="77777777" w:rsidTr="00326024">
        <w:trPr>
          <w:trHeight w:val="310"/>
          <w:jc w:val="center"/>
        </w:trPr>
        <w:tc>
          <w:tcPr>
            <w:tcW w:w="2540" w:type="dxa"/>
          </w:tcPr>
          <w:p w14:paraId="4DD1BD9F" w14:textId="77777777" w:rsidR="000764D4" w:rsidRPr="00D54138" w:rsidRDefault="000764D4" w:rsidP="008B44D2">
            <w:pPr>
              <w:jc w:val="both"/>
              <w:rPr>
                <w:rFonts w:ascii="Times New Roman" w:hAnsi="Times New Roman"/>
                <w:sz w:val="20"/>
                <w:szCs w:val="20"/>
                <w:lang w:val="en-US"/>
              </w:rPr>
            </w:pPr>
            <w:r w:rsidRPr="00D54138">
              <w:rPr>
                <w:rFonts w:ascii="Times New Roman" w:hAnsi="Times New Roman"/>
                <w:sz w:val="20"/>
                <w:szCs w:val="20"/>
                <w:lang w:val="en-US"/>
              </w:rPr>
              <w:t>Authors/paper</w:t>
            </w:r>
          </w:p>
        </w:tc>
        <w:tc>
          <w:tcPr>
            <w:tcW w:w="2540" w:type="dxa"/>
          </w:tcPr>
          <w:p w14:paraId="026450E9" w14:textId="77777777" w:rsidR="000764D4" w:rsidRPr="00D54138" w:rsidRDefault="000764D4" w:rsidP="008B44D2">
            <w:pPr>
              <w:jc w:val="both"/>
              <w:rPr>
                <w:rFonts w:ascii="Times New Roman" w:hAnsi="Times New Roman"/>
                <w:sz w:val="20"/>
                <w:szCs w:val="20"/>
                <w:lang w:val="en-US"/>
              </w:rPr>
            </w:pPr>
            <w:r w:rsidRPr="00D54138">
              <w:rPr>
                <w:rFonts w:ascii="Times New Roman" w:hAnsi="Times New Roman"/>
                <w:sz w:val="20"/>
                <w:szCs w:val="20"/>
                <w:lang w:val="en-US"/>
              </w:rPr>
              <w:t>1</w:t>
            </w:r>
          </w:p>
        </w:tc>
        <w:tc>
          <w:tcPr>
            <w:tcW w:w="2541" w:type="dxa"/>
          </w:tcPr>
          <w:p w14:paraId="5D80AD72" w14:textId="77777777" w:rsidR="000764D4" w:rsidRPr="00D54138" w:rsidRDefault="000764D4" w:rsidP="008B44D2">
            <w:pPr>
              <w:jc w:val="both"/>
              <w:rPr>
                <w:rFonts w:ascii="Times New Roman" w:hAnsi="Times New Roman"/>
                <w:sz w:val="20"/>
                <w:szCs w:val="20"/>
                <w:lang w:val="en-US"/>
              </w:rPr>
            </w:pPr>
            <w:r w:rsidRPr="00D54138">
              <w:rPr>
                <w:rFonts w:ascii="Times New Roman" w:hAnsi="Times New Roman"/>
                <w:sz w:val="20"/>
                <w:szCs w:val="20"/>
                <w:lang w:val="en-US"/>
              </w:rPr>
              <w:t>1</w:t>
            </w:r>
          </w:p>
        </w:tc>
      </w:tr>
      <w:tr w:rsidR="000764D4" w:rsidRPr="00D54138" w14:paraId="0E59BFCC" w14:textId="77777777" w:rsidTr="00326024">
        <w:trPr>
          <w:trHeight w:val="310"/>
          <w:jc w:val="center"/>
        </w:trPr>
        <w:tc>
          <w:tcPr>
            <w:tcW w:w="2540" w:type="dxa"/>
          </w:tcPr>
          <w:p w14:paraId="64118433" w14:textId="77777777" w:rsidR="000764D4" w:rsidRPr="00D54138" w:rsidRDefault="000764D4" w:rsidP="008B44D2">
            <w:pPr>
              <w:jc w:val="both"/>
              <w:rPr>
                <w:rFonts w:ascii="Times New Roman" w:hAnsi="Times New Roman"/>
                <w:sz w:val="20"/>
                <w:szCs w:val="20"/>
                <w:lang w:val="en-US"/>
              </w:rPr>
            </w:pPr>
            <w:r w:rsidRPr="00D54138">
              <w:rPr>
                <w:rFonts w:ascii="Times New Roman" w:hAnsi="Times New Roman"/>
                <w:sz w:val="20"/>
                <w:szCs w:val="20"/>
                <w:lang w:val="en-US"/>
              </w:rPr>
              <w:t>h-index</w:t>
            </w:r>
          </w:p>
        </w:tc>
        <w:tc>
          <w:tcPr>
            <w:tcW w:w="2540" w:type="dxa"/>
          </w:tcPr>
          <w:p w14:paraId="0F0980AE" w14:textId="77777777" w:rsidR="000764D4" w:rsidRPr="00D54138" w:rsidRDefault="000764D4" w:rsidP="008B44D2">
            <w:pPr>
              <w:jc w:val="both"/>
              <w:rPr>
                <w:rFonts w:ascii="Times New Roman" w:hAnsi="Times New Roman"/>
                <w:sz w:val="20"/>
                <w:szCs w:val="20"/>
                <w:lang w:val="en-US"/>
              </w:rPr>
            </w:pPr>
            <w:r w:rsidRPr="00D54138">
              <w:rPr>
                <w:rFonts w:ascii="Times New Roman" w:hAnsi="Times New Roman"/>
                <w:sz w:val="20"/>
                <w:szCs w:val="20"/>
                <w:lang w:val="en-US"/>
              </w:rPr>
              <w:t>22</w:t>
            </w:r>
          </w:p>
        </w:tc>
        <w:tc>
          <w:tcPr>
            <w:tcW w:w="2541" w:type="dxa"/>
          </w:tcPr>
          <w:p w14:paraId="7A9A591E" w14:textId="77777777" w:rsidR="000764D4" w:rsidRPr="00D54138" w:rsidRDefault="000764D4" w:rsidP="008B44D2">
            <w:pPr>
              <w:jc w:val="both"/>
              <w:rPr>
                <w:rFonts w:ascii="Times New Roman" w:hAnsi="Times New Roman"/>
                <w:sz w:val="20"/>
                <w:szCs w:val="20"/>
                <w:lang w:val="en-US"/>
              </w:rPr>
            </w:pPr>
            <w:r w:rsidRPr="00D54138">
              <w:rPr>
                <w:rFonts w:ascii="Times New Roman" w:hAnsi="Times New Roman"/>
                <w:sz w:val="20"/>
                <w:szCs w:val="20"/>
                <w:lang w:val="en-US"/>
              </w:rPr>
              <w:t>22</w:t>
            </w:r>
          </w:p>
        </w:tc>
      </w:tr>
      <w:tr w:rsidR="000764D4" w:rsidRPr="00D54138" w14:paraId="77FCF100" w14:textId="77777777" w:rsidTr="00326024">
        <w:trPr>
          <w:trHeight w:val="310"/>
          <w:jc w:val="center"/>
        </w:trPr>
        <w:tc>
          <w:tcPr>
            <w:tcW w:w="2540" w:type="dxa"/>
          </w:tcPr>
          <w:p w14:paraId="241FBE2B" w14:textId="77777777" w:rsidR="000764D4" w:rsidRPr="00D54138" w:rsidRDefault="000764D4" w:rsidP="008B44D2">
            <w:pPr>
              <w:jc w:val="both"/>
              <w:rPr>
                <w:rFonts w:ascii="Times New Roman" w:hAnsi="Times New Roman"/>
                <w:sz w:val="20"/>
                <w:szCs w:val="20"/>
                <w:lang w:val="en-US"/>
              </w:rPr>
            </w:pPr>
            <w:r w:rsidRPr="00D54138">
              <w:rPr>
                <w:rFonts w:ascii="Times New Roman" w:hAnsi="Times New Roman"/>
                <w:sz w:val="20"/>
                <w:szCs w:val="20"/>
                <w:lang w:val="en-US"/>
              </w:rPr>
              <w:t>g-index</w:t>
            </w:r>
          </w:p>
        </w:tc>
        <w:tc>
          <w:tcPr>
            <w:tcW w:w="2540" w:type="dxa"/>
          </w:tcPr>
          <w:p w14:paraId="70CF2EEA" w14:textId="77777777" w:rsidR="000764D4" w:rsidRPr="00D54138" w:rsidRDefault="000764D4" w:rsidP="008B44D2">
            <w:pPr>
              <w:jc w:val="both"/>
              <w:rPr>
                <w:rFonts w:ascii="Times New Roman" w:hAnsi="Times New Roman"/>
                <w:sz w:val="20"/>
                <w:szCs w:val="20"/>
                <w:lang w:val="en-US"/>
              </w:rPr>
            </w:pPr>
            <w:r w:rsidRPr="00D54138">
              <w:rPr>
                <w:rFonts w:ascii="Times New Roman" w:hAnsi="Times New Roman"/>
                <w:sz w:val="20"/>
                <w:szCs w:val="20"/>
                <w:lang w:val="en-US"/>
              </w:rPr>
              <w:t>32</w:t>
            </w:r>
          </w:p>
        </w:tc>
        <w:tc>
          <w:tcPr>
            <w:tcW w:w="2541" w:type="dxa"/>
          </w:tcPr>
          <w:p w14:paraId="5747C928" w14:textId="77777777" w:rsidR="000764D4" w:rsidRPr="00D54138" w:rsidRDefault="000764D4" w:rsidP="008B44D2">
            <w:pPr>
              <w:jc w:val="both"/>
              <w:rPr>
                <w:rFonts w:ascii="Times New Roman" w:hAnsi="Times New Roman"/>
                <w:sz w:val="20"/>
                <w:szCs w:val="20"/>
                <w:lang w:val="en-US"/>
              </w:rPr>
            </w:pPr>
            <w:r w:rsidRPr="00D54138">
              <w:rPr>
                <w:rFonts w:ascii="Times New Roman" w:hAnsi="Times New Roman"/>
                <w:sz w:val="20"/>
                <w:szCs w:val="20"/>
                <w:lang w:val="en-US"/>
              </w:rPr>
              <w:t>32</w:t>
            </w:r>
          </w:p>
        </w:tc>
      </w:tr>
    </w:tbl>
    <w:p w14:paraId="41ACC852" w14:textId="500A0A71" w:rsidR="00004376" w:rsidRPr="00D54138" w:rsidRDefault="00004376" w:rsidP="008B44D2">
      <w:pPr>
        <w:spacing w:after="0" w:line="240" w:lineRule="auto"/>
        <w:jc w:val="both"/>
        <w:rPr>
          <w:rFonts w:ascii="Times New Roman" w:eastAsia="Times New Roman" w:hAnsi="Times New Roman"/>
          <w:sz w:val="24"/>
          <w:szCs w:val="24"/>
        </w:rPr>
      </w:pPr>
    </w:p>
    <w:p w14:paraId="2C98439D" w14:textId="585858C1" w:rsidR="008B6ADC" w:rsidRPr="00D54138" w:rsidRDefault="00620D43" w:rsidP="008B44D2">
      <w:pPr>
        <w:spacing w:line="240" w:lineRule="auto"/>
        <w:jc w:val="both"/>
        <w:rPr>
          <w:rFonts w:ascii="Times New Roman" w:hAnsi="Times New Roman"/>
          <w:sz w:val="24"/>
          <w:szCs w:val="24"/>
        </w:rPr>
      </w:pPr>
      <w:r w:rsidRPr="00D54138">
        <w:rPr>
          <w:rFonts w:eastAsia="Times New Roman" w:cs="Calibri"/>
          <w:sz w:val="24"/>
          <w:szCs w:val="24"/>
        </w:rPr>
        <w:t>﻿</w:t>
      </w:r>
      <w:r w:rsidR="00C33307" w:rsidRPr="00D54138">
        <w:rPr>
          <w:rFonts w:ascii="Times New Roman" w:hAnsi="Times New Roman"/>
          <w:sz w:val="24"/>
          <w:szCs w:val="24"/>
        </w:rPr>
        <w:t>The software V</w:t>
      </w:r>
      <w:r w:rsidR="0081681D" w:rsidRPr="00D54138">
        <w:rPr>
          <w:rFonts w:ascii="Times New Roman" w:hAnsi="Times New Roman"/>
          <w:sz w:val="24"/>
          <w:szCs w:val="24"/>
        </w:rPr>
        <w:t>OS</w:t>
      </w:r>
      <w:r w:rsidR="00C33307" w:rsidRPr="00D54138">
        <w:rPr>
          <w:rFonts w:ascii="Times New Roman" w:hAnsi="Times New Roman"/>
          <w:sz w:val="24"/>
          <w:szCs w:val="24"/>
        </w:rPr>
        <w:t xml:space="preserve"> viewer was applied to analyze the final data </w:t>
      </w:r>
      <w:r w:rsidR="00D46D10" w:rsidRPr="00D54138">
        <w:rPr>
          <w:rFonts w:ascii="Times New Roman" w:hAnsi="Times New Roman"/>
          <w:sz w:val="24"/>
          <w:szCs w:val="24"/>
        </w:rPr>
        <w:t>to</w:t>
      </w:r>
      <w:r w:rsidR="00C33307" w:rsidRPr="00D54138">
        <w:rPr>
          <w:rFonts w:ascii="Times New Roman" w:hAnsi="Times New Roman"/>
          <w:sz w:val="24"/>
          <w:szCs w:val="24"/>
        </w:rPr>
        <w:t xml:space="preserve"> identify the distribution of data patterns. V</w:t>
      </w:r>
      <w:r w:rsidR="0081681D" w:rsidRPr="00D54138">
        <w:rPr>
          <w:rFonts w:ascii="Times New Roman" w:hAnsi="Times New Roman"/>
          <w:sz w:val="24"/>
          <w:szCs w:val="24"/>
        </w:rPr>
        <w:t>OS</w:t>
      </w:r>
      <w:r w:rsidR="00C33307" w:rsidRPr="00D54138">
        <w:rPr>
          <w:rFonts w:ascii="Times New Roman" w:hAnsi="Times New Roman"/>
          <w:sz w:val="24"/>
          <w:szCs w:val="24"/>
        </w:rPr>
        <w:t xml:space="preserve"> viewer indicates that 1631 terms appear repetitively in the title and abstract. Then, the VOS viewer analyses the phrases that appear more frequently than five times in the titles and abstracts of the 76 papers and identifies 72 thresholds. Figure 1 shows network visualization, while Figure 2 depicts density visualization mapping, both compliments VOS Viewer. The yellow color symbolizes the largest quantity and highest element weights (</w:t>
      </w:r>
      <w:r w:rsidR="00D46D10" w:rsidRPr="00D54138">
        <w:rPr>
          <w:rFonts w:ascii="Times New Roman" w:hAnsi="Times New Roman"/>
          <w:sz w:val="24"/>
          <w:szCs w:val="24"/>
        </w:rPr>
        <w:t>e.g.,</w:t>
      </w:r>
      <w:r w:rsidR="00C33307" w:rsidRPr="00D54138">
        <w:rPr>
          <w:rFonts w:ascii="Times New Roman" w:hAnsi="Times New Roman"/>
          <w:sz w:val="24"/>
          <w:szCs w:val="24"/>
        </w:rPr>
        <w:t xml:space="preserve"> sustainability and cost). The green color provides researchers the opportunity to conduct extensive research (e.g., top management commitment, institutional pressure, environmental strategy, and environmental uncertainty). </w:t>
      </w:r>
      <w:r w:rsidR="00D46D10" w:rsidRPr="00D54138">
        <w:rPr>
          <w:rFonts w:ascii="Times New Roman" w:hAnsi="Times New Roman"/>
          <w:color w:val="252525"/>
          <w:sz w:val="24"/>
          <w:szCs w:val="24"/>
        </w:rPr>
        <w:t>Future research on topics based on these terms can be done in the green area of the density visualization mapping.</w:t>
      </w:r>
      <w:r w:rsidR="00D46D10" w:rsidRPr="00D54138">
        <w:rPr>
          <w:rFonts w:ascii="Times New Roman" w:hAnsi="Times New Roman"/>
          <w:color w:val="252525"/>
        </w:rPr>
        <w:t> </w:t>
      </w:r>
    </w:p>
    <w:p w14:paraId="6866B493" w14:textId="77777777" w:rsidR="008B6ADC" w:rsidRPr="00D54138" w:rsidRDefault="008B6ADC" w:rsidP="008B44D2">
      <w:pPr>
        <w:spacing w:line="240" w:lineRule="auto"/>
        <w:jc w:val="both"/>
        <w:rPr>
          <w:rFonts w:ascii="Times New Roman" w:hAnsi="Times New Roman"/>
          <w:sz w:val="24"/>
          <w:szCs w:val="24"/>
        </w:rPr>
      </w:pPr>
      <w:r w:rsidRPr="00D54138">
        <w:rPr>
          <w:rFonts w:ascii="Times New Roman" w:hAnsi="Times New Roman"/>
          <w:noProof/>
          <w:sz w:val="24"/>
          <w:szCs w:val="24"/>
        </w:rPr>
        <w:lastRenderedPageBreak/>
        <w:drawing>
          <wp:inline distT="0" distB="0" distL="0" distR="0" wp14:anchorId="330FF67A" wp14:editId="32F3B6C1">
            <wp:extent cx="5940989" cy="4250725"/>
            <wp:effectExtent l="0" t="0" r="3175" b="3810"/>
            <wp:docPr id="3" name="Picture 3" descr="Chart,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 diagram&#10;&#10;Description automatically generated"/>
                    <pic:cNvPicPr/>
                  </pic:nvPicPr>
                  <pic:blipFill>
                    <a:blip r:embed="rId9"/>
                    <a:stretch>
                      <a:fillRect/>
                    </a:stretch>
                  </pic:blipFill>
                  <pic:spPr>
                    <a:xfrm>
                      <a:off x="0" y="0"/>
                      <a:ext cx="5966433" cy="4268930"/>
                    </a:xfrm>
                    <a:prstGeom prst="rect">
                      <a:avLst/>
                    </a:prstGeom>
                  </pic:spPr>
                </pic:pic>
              </a:graphicData>
            </a:graphic>
          </wp:inline>
        </w:drawing>
      </w:r>
    </w:p>
    <w:p w14:paraId="472A63BD" w14:textId="77777777" w:rsidR="008B6ADC" w:rsidRPr="00D54138" w:rsidRDefault="008B6ADC" w:rsidP="008B44D2">
      <w:pPr>
        <w:spacing w:line="240" w:lineRule="auto"/>
        <w:jc w:val="both"/>
        <w:rPr>
          <w:rFonts w:ascii="Times New Roman" w:hAnsi="Times New Roman"/>
          <w:sz w:val="24"/>
          <w:szCs w:val="24"/>
        </w:rPr>
      </w:pPr>
      <w:r w:rsidRPr="00D54138">
        <w:rPr>
          <w:rFonts w:ascii="Times New Roman" w:hAnsi="Times New Roman"/>
          <w:sz w:val="24"/>
          <w:szCs w:val="24"/>
        </w:rPr>
        <w:t>Figure 1. Network visualization</w:t>
      </w:r>
    </w:p>
    <w:p w14:paraId="78868855" w14:textId="77777777" w:rsidR="008B6ADC" w:rsidRPr="00D54138" w:rsidRDefault="008B6ADC" w:rsidP="008B44D2">
      <w:pPr>
        <w:spacing w:line="240" w:lineRule="auto"/>
        <w:jc w:val="both"/>
        <w:rPr>
          <w:rFonts w:ascii="Times New Roman" w:hAnsi="Times New Roman"/>
          <w:sz w:val="24"/>
          <w:szCs w:val="24"/>
        </w:rPr>
      </w:pPr>
      <w:r w:rsidRPr="00D54138">
        <w:rPr>
          <w:rFonts w:ascii="Times New Roman" w:hAnsi="Times New Roman"/>
          <w:noProof/>
          <w:sz w:val="24"/>
          <w:szCs w:val="24"/>
        </w:rPr>
        <w:drawing>
          <wp:inline distT="0" distB="0" distL="0" distR="0" wp14:anchorId="7B3EBCF9" wp14:editId="37FF864F">
            <wp:extent cx="5914768" cy="4173198"/>
            <wp:effectExtent l="0" t="0" r="381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72104" cy="4213652"/>
                    </a:xfrm>
                    <a:prstGeom prst="rect">
                      <a:avLst/>
                    </a:prstGeom>
                  </pic:spPr>
                </pic:pic>
              </a:graphicData>
            </a:graphic>
          </wp:inline>
        </w:drawing>
      </w:r>
    </w:p>
    <w:p w14:paraId="5C292F7F" w14:textId="77777777" w:rsidR="008B6ADC" w:rsidRPr="00D54138" w:rsidRDefault="008B6ADC" w:rsidP="008B44D2">
      <w:pPr>
        <w:spacing w:line="240" w:lineRule="auto"/>
        <w:jc w:val="both"/>
        <w:rPr>
          <w:rFonts w:ascii="Times New Roman" w:hAnsi="Times New Roman"/>
          <w:sz w:val="24"/>
          <w:szCs w:val="24"/>
        </w:rPr>
      </w:pPr>
      <w:r w:rsidRPr="00D54138">
        <w:rPr>
          <w:rFonts w:ascii="Times New Roman" w:hAnsi="Times New Roman"/>
          <w:sz w:val="24"/>
          <w:szCs w:val="24"/>
        </w:rPr>
        <w:t>Figure 2. Density Visualization</w:t>
      </w:r>
    </w:p>
    <w:p w14:paraId="7514734D" w14:textId="77777777" w:rsidR="008B6ADC" w:rsidRPr="00D54138" w:rsidRDefault="008B6ADC" w:rsidP="008B44D2">
      <w:pPr>
        <w:spacing w:line="240" w:lineRule="auto"/>
        <w:jc w:val="both"/>
        <w:rPr>
          <w:rFonts w:ascii="Times New Roman" w:hAnsi="Times New Roman"/>
          <w:sz w:val="24"/>
          <w:szCs w:val="24"/>
        </w:rPr>
      </w:pPr>
    </w:p>
    <w:p w14:paraId="24D3B615" w14:textId="6EF73E12" w:rsidR="00004376" w:rsidRPr="00D54138" w:rsidRDefault="008B44D2" w:rsidP="008B44D2">
      <w:pPr>
        <w:spacing w:after="0" w:line="240" w:lineRule="auto"/>
        <w:jc w:val="both"/>
        <w:rPr>
          <w:rFonts w:ascii="Times New Roman" w:eastAsia="Times New Roman" w:hAnsi="Times New Roman"/>
          <w:b/>
          <w:sz w:val="24"/>
          <w:szCs w:val="24"/>
        </w:rPr>
      </w:pPr>
      <w:r w:rsidRPr="00D54138">
        <w:rPr>
          <w:rFonts w:ascii="Times New Roman" w:eastAsia="Times New Roman" w:hAnsi="Times New Roman"/>
          <w:b/>
          <w:sz w:val="24"/>
          <w:szCs w:val="24"/>
        </w:rPr>
        <w:lastRenderedPageBreak/>
        <w:t>RESULTS</w:t>
      </w:r>
    </w:p>
    <w:p w14:paraId="68FCFB99" w14:textId="77777777" w:rsidR="00004376" w:rsidRPr="00D54138" w:rsidRDefault="00004376" w:rsidP="008B44D2">
      <w:pPr>
        <w:spacing w:after="0" w:line="240" w:lineRule="auto"/>
        <w:jc w:val="both"/>
        <w:rPr>
          <w:rFonts w:ascii="Times New Roman" w:eastAsia="Times New Roman" w:hAnsi="Times New Roman"/>
          <w:sz w:val="24"/>
          <w:szCs w:val="24"/>
        </w:rPr>
      </w:pPr>
    </w:p>
    <w:p w14:paraId="682255B4" w14:textId="735A0607" w:rsidR="000764D4" w:rsidRPr="00D54138" w:rsidRDefault="000764D4" w:rsidP="008B44D2">
      <w:pPr>
        <w:spacing w:line="240" w:lineRule="auto"/>
        <w:jc w:val="both"/>
        <w:rPr>
          <w:rFonts w:ascii="Times New Roman" w:hAnsi="Times New Roman"/>
          <w:sz w:val="24"/>
          <w:szCs w:val="24"/>
        </w:rPr>
      </w:pPr>
      <w:r w:rsidRPr="00D54138">
        <w:rPr>
          <w:rFonts w:ascii="Times New Roman" w:hAnsi="Times New Roman"/>
          <w:sz w:val="24"/>
          <w:szCs w:val="24"/>
        </w:rPr>
        <w:t xml:space="preserve">This study's article search results were organized by publisher. Analysis shows that the Journal of Cleaner Production and the International Journal of Energy Economics and Policy publishes the greatest number of articles on environmental management accounting. The results of future investigations indicate that both Q1 and Q2 are reputable journals. The journal articles are shown in </w:t>
      </w:r>
      <w:r w:rsidR="000A6AC8" w:rsidRPr="00D54138">
        <w:rPr>
          <w:rFonts w:ascii="Times New Roman" w:hAnsi="Times New Roman"/>
          <w:sz w:val="24"/>
          <w:szCs w:val="24"/>
        </w:rPr>
        <w:t>figure 3.</w:t>
      </w:r>
    </w:p>
    <w:p w14:paraId="4B2EA3F0" w14:textId="2D647673" w:rsidR="000A6AC8" w:rsidRPr="00D54138" w:rsidRDefault="000A6AC8" w:rsidP="008B44D2">
      <w:pPr>
        <w:spacing w:line="240" w:lineRule="auto"/>
        <w:jc w:val="both"/>
        <w:rPr>
          <w:rFonts w:ascii="Times New Roman" w:hAnsi="Times New Roman"/>
          <w:noProof/>
        </w:rPr>
      </w:pPr>
    </w:p>
    <w:p w14:paraId="145EC498" w14:textId="61A1EB82" w:rsidR="00AC4D0A" w:rsidRPr="00D54138" w:rsidRDefault="00AC4D0A" w:rsidP="008B44D2">
      <w:pPr>
        <w:spacing w:line="240" w:lineRule="auto"/>
        <w:jc w:val="both"/>
        <w:rPr>
          <w:rFonts w:ascii="Times New Roman" w:hAnsi="Times New Roman"/>
        </w:rPr>
      </w:pPr>
      <w:r w:rsidRPr="00D54138">
        <w:rPr>
          <w:rFonts w:ascii="Times New Roman" w:hAnsi="Times New Roman"/>
          <w:noProof/>
        </w:rPr>
        <w:drawing>
          <wp:inline distT="0" distB="0" distL="0" distR="0" wp14:anchorId="0D11725A" wp14:editId="401E71E9">
            <wp:extent cx="6672408" cy="6256020"/>
            <wp:effectExtent l="0" t="0" r="8255" b="17780"/>
            <wp:docPr id="694935013" name="Chart 1">
              <a:extLst xmlns:a="http://schemas.openxmlformats.org/drawingml/2006/main">
                <a:ext uri="{FF2B5EF4-FFF2-40B4-BE49-F238E27FC236}">
                  <a16:creationId xmlns:a16="http://schemas.microsoft.com/office/drawing/2014/main" id="{46A892BF-3826-29DF-3507-38D1D6B32C9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1BD4BD22" w14:textId="345576A8" w:rsidR="00AC4D0A" w:rsidRPr="00D54138" w:rsidRDefault="000A6AC8" w:rsidP="008B44D2">
      <w:pPr>
        <w:spacing w:line="240" w:lineRule="auto"/>
        <w:jc w:val="both"/>
        <w:rPr>
          <w:rFonts w:ascii="Times New Roman" w:hAnsi="Times New Roman"/>
        </w:rPr>
      </w:pPr>
      <w:r w:rsidRPr="00D54138">
        <w:rPr>
          <w:rFonts w:ascii="Times New Roman" w:hAnsi="Times New Roman"/>
        </w:rPr>
        <w:t>Figure 3. Journal Publications</w:t>
      </w:r>
    </w:p>
    <w:p w14:paraId="166D903D" w14:textId="77777777" w:rsidR="003F796C" w:rsidRPr="00D54138" w:rsidRDefault="003F796C" w:rsidP="008B44D2">
      <w:pPr>
        <w:spacing w:line="240" w:lineRule="auto"/>
        <w:jc w:val="both"/>
        <w:rPr>
          <w:rFonts w:ascii="Times New Roman" w:hAnsi="Times New Roman"/>
        </w:rPr>
      </w:pPr>
    </w:p>
    <w:p w14:paraId="6F12906E" w14:textId="77777777" w:rsidR="00004376" w:rsidRPr="00D54138" w:rsidRDefault="00004376" w:rsidP="008B44D2">
      <w:pPr>
        <w:spacing w:after="0" w:line="240" w:lineRule="auto"/>
        <w:jc w:val="both"/>
        <w:rPr>
          <w:rFonts w:ascii="Times New Roman" w:eastAsia="Times New Roman" w:hAnsi="Times New Roman"/>
          <w:sz w:val="24"/>
          <w:szCs w:val="24"/>
        </w:rPr>
      </w:pPr>
    </w:p>
    <w:p w14:paraId="363BB204" w14:textId="6D250E84" w:rsidR="00004376" w:rsidRPr="00D54138" w:rsidRDefault="008B44D2" w:rsidP="008B44D2">
      <w:pPr>
        <w:spacing w:after="0" w:line="240" w:lineRule="auto"/>
        <w:jc w:val="both"/>
        <w:rPr>
          <w:rFonts w:ascii="Times New Roman" w:eastAsia="Times New Roman" w:hAnsi="Times New Roman"/>
          <w:b/>
          <w:sz w:val="24"/>
          <w:szCs w:val="24"/>
        </w:rPr>
      </w:pPr>
      <w:r w:rsidRPr="00D54138">
        <w:rPr>
          <w:rFonts w:ascii="Times New Roman" w:eastAsia="Times New Roman" w:hAnsi="Times New Roman"/>
          <w:b/>
          <w:sz w:val="24"/>
          <w:szCs w:val="24"/>
        </w:rPr>
        <w:t>DISCUSSION</w:t>
      </w:r>
    </w:p>
    <w:p w14:paraId="2B290637" w14:textId="77777777" w:rsidR="00004376" w:rsidRPr="00D54138" w:rsidRDefault="00004376" w:rsidP="008B44D2">
      <w:pPr>
        <w:spacing w:after="0" w:line="240" w:lineRule="auto"/>
        <w:jc w:val="both"/>
        <w:rPr>
          <w:rFonts w:ascii="Times New Roman" w:eastAsia="Times New Roman" w:hAnsi="Times New Roman"/>
          <w:sz w:val="24"/>
          <w:szCs w:val="24"/>
        </w:rPr>
      </w:pPr>
    </w:p>
    <w:p w14:paraId="7995C5E7" w14:textId="6464C44B" w:rsidR="00BD58FF" w:rsidRPr="00D54138" w:rsidRDefault="00C33307" w:rsidP="008B44D2">
      <w:pPr>
        <w:spacing w:line="240" w:lineRule="auto"/>
        <w:jc w:val="both"/>
        <w:rPr>
          <w:rFonts w:ascii="Times New Roman" w:hAnsi="Times New Roman"/>
          <w:sz w:val="24"/>
          <w:szCs w:val="24"/>
        </w:rPr>
      </w:pPr>
      <w:r w:rsidRPr="00D54138">
        <w:rPr>
          <w:rFonts w:ascii="Times New Roman" w:hAnsi="Times New Roman"/>
          <w:sz w:val="24"/>
          <w:szCs w:val="24"/>
        </w:rPr>
        <w:t xml:space="preserve">The findings of research mapping in the field of environmental management accounting are </w:t>
      </w:r>
      <w:r w:rsidR="00D504B1" w:rsidRPr="00D54138">
        <w:rPr>
          <w:rFonts w:ascii="Times New Roman" w:hAnsi="Times New Roman"/>
          <w:sz w:val="24"/>
          <w:szCs w:val="24"/>
        </w:rPr>
        <w:t>analyzed</w:t>
      </w:r>
      <w:r w:rsidRPr="00D54138">
        <w:rPr>
          <w:rFonts w:ascii="Times New Roman" w:hAnsi="Times New Roman"/>
          <w:sz w:val="24"/>
          <w:szCs w:val="24"/>
        </w:rPr>
        <w:t xml:space="preserve"> in three separate sections. The first section explains the theories employed by the selected articles. The second section maps the variables that appear in the selected articles. The researcher performed a meta-analysis on the </w:t>
      </w:r>
      <w:r w:rsidRPr="00D54138">
        <w:rPr>
          <w:rFonts w:ascii="Times New Roman" w:hAnsi="Times New Roman"/>
          <w:sz w:val="24"/>
          <w:szCs w:val="24"/>
        </w:rPr>
        <w:lastRenderedPageBreak/>
        <w:t xml:space="preserve">dependent, independent, mediating, and moderating factors identified in this section's selected studies. In the third section, the researcher identified the research methodologies employed in the selected papers. In addition, the researchers mapped both the research subject and the research setting. </w:t>
      </w:r>
    </w:p>
    <w:p w14:paraId="2B0F4C11" w14:textId="647FEAD1" w:rsidR="00BD58FF" w:rsidRPr="00D54138" w:rsidRDefault="00BD58FF" w:rsidP="008B44D2">
      <w:pPr>
        <w:spacing w:line="240" w:lineRule="auto"/>
        <w:jc w:val="both"/>
        <w:rPr>
          <w:rFonts w:ascii="Times New Roman" w:hAnsi="Times New Roman"/>
          <w:i/>
          <w:iCs/>
          <w:sz w:val="24"/>
          <w:szCs w:val="24"/>
        </w:rPr>
      </w:pPr>
      <w:r w:rsidRPr="00D54138">
        <w:rPr>
          <w:rFonts w:ascii="Times New Roman" w:hAnsi="Times New Roman"/>
          <w:i/>
          <w:iCs/>
          <w:sz w:val="24"/>
          <w:szCs w:val="24"/>
        </w:rPr>
        <w:t>Analysis 1: T</w:t>
      </w:r>
      <w:r w:rsidR="000E1AEF" w:rsidRPr="00D54138">
        <w:rPr>
          <w:rFonts w:ascii="Times New Roman" w:hAnsi="Times New Roman"/>
          <w:i/>
          <w:iCs/>
          <w:sz w:val="24"/>
          <w:szCs w:val="24"/>
        </w:rPr>
        <w:t>heory</w:t>
      </w:r>
      <w:r w:rsidRPr="00D54138">
        <w:rPr>
          <w:rFonts w:ascii="Times New Roman" w:hAnsi="Times New Roman"/>
          <w:i/>
          <w:iCs/>
          <w:sz w:val="24"/>
          <w:szCs w:val="24"/>
        </w:rPr>
        <w:t xml:space="preserve"> of Environmental Management Accounting Study. </w:t>
      </w:r>
    </w:p>
    <w:p w14:paraId="0CE38261" w14:textId="5933EE09" w:rsidR="00C33307" w:rsidRPr="00D54138" w:rsidRDefault="00C33307" w:rsidP="008B44D2">
      <w:pPr>
        <w:spacing w:line="240" w:lineRule="auto"/>
        <w:jc w:val="both"/>
        <w:rPr>
          <w:rFonts w:ascii="Times New Roman" w:hAnsi="Times New Roman"/>
          <w:sz w:val="24"/>
          <w:szCs w:val="24"/>
        </w:rPr>
      </w:pPr>
      <w:r w:rsidRPr="00D54138">
        <w:rPr>
          <w:rFonts w:ascii="Times New Roman" w:hAnsi="Times New Roman"/>
          <w:sz w:val="24"/>
          <w:szCs w:val="24"/>
        </w:rPr>
        <w:t xml:space="preserve">The analysis of environmental management accounting literature revealed a diversity of theories utilized by prominent scholars. These include institutional theory, </w:t>
      </w:r>
      <w:r w:rsidR="00103990" w:rsidRPr="00D54138">
        <w:rPr>
          <w:rFonts w:ascii="Times New Roman" w:hAnsi="Times New Roman"/>
          <w:sz w:val="24"/>
          <w:szCs w:val="24"/>
        </w:rPr>
        <w:t xml:space="preserve">contingency theory, </w:t>
      </w:r>
      <w:r w:rsidRPr="00D54138">
        <w:rPr>
          <w:rFonts w:ascii="Times New Roman" w:hAnsi="Times New Roman"/>
          <w:sz w:val="24"/>
          <w:szCs w:val="24"/>
        </w:rPr>
        <w:t>new resource</w:t>
      </w:r>
      <w:r w:rsidR="00E01CD8" w:rsidRPr="00D54138">
        <w:rPr>
          <w:rFonts w:ascii="Times New Roman" w:hAnsi="Times New Roman"/>
          <w:sz w:val="24"/>
          <w:szCs w:val="24"/>
        </w:rPr>
        <w:t>-based</w:t>
      </w:r>
      <w:r w:rsidRPr="00D54138">
        <w:rPr>
          <w:rFonts w:ascii="Times New Roman" w:hAnsi="Times New Roman"/>
          <w:sz w:val="24"/>
          <w:szCs w:val="24"/>
        </w:rPr>
        <w:t xml:space="preserve"> view, </w:t>
      </w:r>
      <w:r w:rsidR="003B46F4" w:rsidRPr="00D54138">
        <w:rPr>
          <w:rFonts w:ascii="Times New Roman" w:hAnsi="Times New Roman"/>
          <w:sz w:val="24"/>
          <w:szCs w:val="24"/>
        </w:rPr>
        <w:t>stakeholders’</w:t>
      </w:r>
      <w:r w:rsidR="00103990" w:rsidRPr="00D54138">
        <w:rPr>
          <w:rFonts w:ascii="Times New Roman" w:hAnsi="Times New Roman"/>
          <w:sz w:val="24"/>
          <w:szCs w:val="24"/>
        </w:rPr>
        <w:t xml:space="preserve"> theory,</w:t>
      </w:r>
      <w:r w:rsidRPr="00D54138">
        <w:rPr>
          <w:rFonts w:ascii="Times New Roman" w:hAnsi="Times New Roman"/>
          <w:sz w:val="24"/>
          <w:szCs w:val="24"/>
        </w:rPr>
        <w:t xml:space="preserve"> resource slack theory, dynamic capability theory, planned behavior theor</w:t>
      </w:r>
      <w:r w:rsidR="00D2442B" w:rsidRPr="00D54138">
        <w:rPr>
          <w:rFonts w:ascii="Times New Roman" w:hAnsi="Times New Roman"/>
          <w:sz w:val="24"/>
          <w:szCs w:val="24"/>
        </w:rPr>
        <w:t>y</w:t>
      </w:r>
      <w:r w:rsidRPr="00D54138">
        <w:rPr>
          <w:rFonts w:ascii="Times New Roman" w:hAnsi="Times New Roman"/>
          <w:sz w:val="24"/>
          <w:szCs w:val="24"/>
        </w:rPr>
        <w:t xml:space="preserve">, and traditional life cycle. </w:t>
      </w:r>
    </w:p>
    <w:p w14:paraId="0F0D87CD" w14:textId="77777777" w:rsidR="00C33307" w:rsidRPr="00D54138" w:rsidRDefault="00C33307" w:rsidP="008B44D2">
      <w:pPr>
        <w:spacing w:line="240" w:lineRule="auto"/>
        <w:jc w:val="both"/>
        <w:rPr>
          <w:rFonts w:ascii="Times New Roman" w:hAnsi="Times New Roman"/>
          <w:b/>
          <w:bCs/>
          <w:sz w:val="24"/>
          <w:szCs w:val="24"/>
        </w:rPr>
      </w:pPr>
      <w:r w:rsidRPr="00D54138">
        <w:rPr>
          <w:rFonts w:ascii="Times New Roman" w:hAnsi="Times New Roman"/>
          <w:b/>
          <w:bCs/>
          <w:sz w:val="24"/>
          <w:szCs w:val="24"/>
        </w:rPr>
        <w:t xml:space="preserve">The Institutional Theory </w:t>
      </w:r>
    </w:p>
    <w:p w14:paraId="5D095702" w14:textId="40338B95" w:rsidR="00E7114B" w:rsidRPr="00D54138" w:rsidRDefault="00BD58FF" w:rsidP="008B44D2">
      <w:pPr>
        <w:spacing w:after="0" w:line="240" w:lineRule="auto"/>
        <w:jc w:val="both"/>
        <w:rPr>
          <w:rFonts w:ascii="Times New Roman" w:hAnsi="Times New Roman"/>
          <w:sz w:val="24"/>
          <w:szCs w:val="24"/>
        </w:rPr>
      </w:pPr>
      <w:r w:rsidRPr="00D54138">
        <w:rPr>
          <w:rFonts w:ascii="Times New Roman" w:hAnsi="Times New Roman"/>
          <w:color w:val="000000"/>
          <w:sz w:val="24"/>
          <w:szCs w:val="24"/>
        </w:rPr>
        <w:t xml:space="preserve">According to </w:t>
      </w:r>
      <w:r w:rsidR="00743D10" w:rsidRPr="00D54138">
        <w:rPr>
          <w:rFonts w:ascii="Times New Roman" w:hAnsi="Times New Roman"/>
          <w:color w:val="000000"/>
          <w:sz w:val="24"/>
          <w:szCs w:val="24"/>
        </w:rPr>
        <w:t xml:space="preserve"> </w:t>
      </w:r>
      <w:r w:rsidR="00743D10" w:rsidRPr="00D54138">
        <w:rPr>
          <w:rFonts w:ascii="Times New Roman" w:hAnsi="Times New Roman"/>
          <w:noProof/>
          <w:color w:val="000000"/>
          <w:sz w:val="24"/>
          <w:szCs w:val="24"/>
        </w:rPr>
        <w:t xml:space="preserve">DiMaggio &amp; Powell </w:t>
      </w:r>
      <w:r w:rsidR="00743D10" w:rsidRPr="00D54138">
        <w:rPr>
          <w:rFonts w:ascii="Times New Roman" w:hAnsi="Times New Roman"/>
          <w:color w:val="000000"/>
          <w:sz w:val="24"/>
          <w:szCs w:val="24"/>
        </w:rPr>
        <w:fldChar w:fldCharType="begin" w:fldLock="1"/>
      </w:r>
      <w:r w:rsidR="00743D10" w:rsidRPr="00D54138">
        <w:rPr>
          <w:rFonts w:ascii="Times New Roman" w:hAnsi="Times New Roman"/>
          <w:color w:val="000000"/>
          <w:sz w:val="24"/>
          <w:szCs w:val="24"/>
        </w:rPr>
        <w:instrText>ADDIN CSL_CITATION {"citationItems":[{"id":"ITEM-1","itemData":{"DOI":"10.1016/S0742-3322(00)17011-1","ISBN":"0762306610","ISSN":"07423322","abstract":"What makes organizations so similar? We contend that the engine of rationalization and bureaucratization has moved from the competitive marketplace to the state and the professions. Once a set of organizations emerges as a field, a paradox arises: rational actors make their organizations increasingly similar as they try to change them. We describe three isomorphic processes-coercive, mimetic, and normative-leading to this outcome. We then specify hypotheses about the impact of resource centralization and dependency, goal ambiguity and technical uncertainty, and professionalization and structuration on isomorphic change. Finally, we suggest implications for theories of organizations and social change. © 2000.","author":[{"dropping-particle":"","family":"DiMaggio","given":"Paul J.","non-dropping-particle":"","parse-names":false,"suffix":""},{"dropping-particle":"","family":"Powell","given":"Walter W.","non-dropping-particle":"","parse-names":false,"suffix":""}],"container-title":"Advances in Strategic Management","id":"ITEM-1","issue":"2","issued":{"date-parts":[["2000"]]},"page":"143-166","title":"The iron cage revisited institutional isomorphism and collective rationality in organizational fields","type":"article-journal","volume":"17"},"uris":["http://www.mendeley.com/documents/?uuid=4f442d5b-bab6-4772-abe1-a26396829625"]}],"mendeley":{"formattedCitation":"(DiMaggio &amp; Powell, 2000)","manualFormatting":"(2000)","plainTextFormattedCitation":"(DiMaggio &amp; Powell, 2000)","previouslyFormattedCitation":"(DiMaggio &amp; Powell, 2000)"},"properties":{"noteIndex":0},"schema":"https://github.com/citation-style-language/schema/raw/master/csl-citation.json"}</w:instrText>
      </w:r>
      <w:r w:rsidR="00743D10" w:rsidRPr="00D54138">
        <w:rPr>
          <w:rFonts w:ascii="Times New Roman" w:hAnsi="Times New Roman"/>
          <w:color w:val="000000"/>
          <w:sz w:val="24"/>
          <w:szCs w:val="24"/>
        </w:rPr>
        <w:fldChar w:fldCharType="separate"/>
      </w:r>
      <w:r w:rsidR="00743D10" w:rsidRPr="00D54138">
        <w:rPr>
          <w:rFonts w:ascii="Times New Roman" w:hAnsi="Times New Roman"/>
          <w:noProof/>
          <w:color w:val="000000"/>
          <w:sz w:val="24"/>
          <w:szCs w:val="24"/>
        </w:rPr>
        <w:t>(2000)</w:t>
      </w:r>
      <w:r w:rsidR="00743D10" w:rsidRPr="00D54138">
        <w:rPr>
          <w:rFonts w:ascii="Times New Roman" w:hAnsi="Times New Roman"/>
          <w:color w:val="000000"/>
          <w:sz w:val="24"/>
          <w:szCs w:val="24"/>
        </w:rPr>
        <w:fldChar w:fldCharType="end"/>
      </w:r>
      <w:r w:rsidRPr="00D54138">
        <w:rPr>
          <w:rFonts w:ascii="Times New Roman" w:hAnsi="Times New Roman"/>
          <w:color w:val="000000"/>
          <w:sz w:val="24"/>
          <w:szCs w:val="24"/>
        </w:rPr>
        <w:t xml:space="preserve">, </w:t>
      </w:r>
      <w:r w:rsidR="00C33307" w:rsidRPr="00D54138">
        <w:rPr>
          <w:rFonts w:ascii="Times New Roman" w:hAnsi="Times New Roman"/>
          <w:sz w:val="24"/>
          <w:szCs w:val="24"/>
        </w:rPr>
        <w:t xml:space="preserve">organizations subjected to similar environmental conditions (such as organizations within the same industry) tend to systemically resemble one another or become 'isomorphic' </w:t>
      </w:r>
      <w:r w:rsidR="00F24FB1" w:rsidRPr="00D54138">
        <w:rPr>
          <w:rFonts w:ascii="Times New Roman" w:hAnsi="Times New Roman"/>
          <w:sz w:val="24"/>
          <w:szCs w:val="24"/>
        </w:rPr>
        <w:t>due to</w:t>
      </w:r>
      <w:r w:rsidR="00C33307" w:rsidRPr="00D54138">
        <w:rPr>
          <w:rFonts w:ascii="Times New Roman" w:hAnsi="Times New Roman"/>
          <w:sz w:val="24"/>
          <w:szCs w:val="24"/>
        </w:rPr>
        <w:t xml:space="preserve"> similar social and environmental pressures exerted by influential stakeholder groups. In addition to technical efficiency, institutional pressures in corporate environmental management are the pressures governments, professions, or society </w:t>
      </w:r>
      <w:r w:rsidR="00F24FB1" w:rsidRPr="00D54138">
        <w:rPr>
          <w:rFonts w:ascii="Times New Roman" w:hAnsi="Times New Roman"/>
          <w:sz w:val="24"/>
          <w:szCs w:val="24"/>
        </w:rPr>
        <w:t xml:space="preserve">apply </w:t>
      </w:r>
      <w:r w:rsidR="00C33307" w:rsidRPr="00D54138">
        <w:rPr>
          <w:rFonts w:ascii="Times New Roman" w:hAnsi="Times New Roman"/>
          <w:sz w:val="24"/>
          <w:szCs w:val="24"/>
        </w:rPr>
        <w:t>to adopt environmental management approaches</w:t>
      </w:r>
      <w:r w:rsidRPr="00D54138">
        <w:rPr>
          <w:rFonts w:ascii="Times New Roman" w:hAnsi="Times New Roman"/>
          <w:color w:val="000000"/>
          <w:sz w:val="24"/>
          <w:szCs w:val="24"/>
        </w:rPr>
        <w:t xml:space="preserve"> </w:t>
      </w:r>
      <w:r w:rsidR="00743D10" w:rsidRPr="00D54138">
        <w:rPr>
          <w:rFonts w:ascii="Times New Roman" w:hAnsi="Times New Roman"/>
          <w:color w:val="000000"/>
          <w:sz w:val="24"/>
          <w:szCs w:val="24"/>
        </w:rPr>
        <w:fldChar w:fldCharType="begin" w:fldLock="1"/>
      </w:r>
      <w:r w:rsidR="00D74AE6" w:rsidRPr="00D54138">
        <w:rPr>
          <w:rFonts w:ascii="Times New Roman" w:hAnsi="Times New Roman"/>
          <w:color w:val="000000"/>
          <w:sz w:val="24"/>
          <w:szCs w:val="24"/>
        </w:rPr>
        <w:instrText>ADDIN CSL_CITATION {"citationItems":[{"id":"ITEM-1","itemData":{"author":[{"dropping-particle":"","family":"Delmas","given":"Magali","non-dropping-particle":"","parse-names":false,"suffix":""},{"dropping-particle":"","family":"Toffel","given":"Michael W","non-dropping-particle":"","parse-names":false,"suffix":""}],"id":"ITEM-1","issued":{"date-parts":[["2004"]]},"page":"209-222","title":"ENVIRONMENTAL MANAGEMENT PRACTICES :","type":"article-journal","volume":"222"},"uris":["http://www.mendeley.com/documents/?uuid=7bc8d8ec-af83-439c-81a1-fdb116d23d62"]}],"mendeley":{"formattedCitation":"(Delmas &amp; Toffel, 2004)","plainTextFormattedCitation":"(Delmas &amp; Toffel, 2004)","previouslyFormattedCitation":"(Delmas &amp; Toffel, 2004)"},"properties":{"noteIndex":0},"schema":"https://github.com/citation-style-language/schema/raw/master/csl-citation.json"}</w:instrText>
      </w:r>
      <w:r w:rsidR="00743D10" w:rsidRPr="00D54138">
        <w:rPr>
          <w:rFonts w:ascii="Times New Roman" w:hAnsi="Times New Roman"/>
          <w:color w:val="000000"/>
          <w:sz w:val="24"/>
          <w:szCs w:val="24"/>
        </w:rPr>
        <w:fldChar w:fldCharType="separate"/>
      </w:r>
      <w:r w:rsidR="00743D10" w:rsidRPr="00D54138">
        <w:rPr>
          <w:rFonts w:ascii="Times New Roman" w:hAnsi="Times New Roman"/>
          <w:noProof/>
          <w:color w:val="000000"/>
          <w:sz w:val="24"/>
          <w:szCs w:val="24"/>
        </w:rPr>
        <w:t>(Delmas &amp; Toffel, 2004)</w:t>
      </w:r>
      <w:r w:rsidR="00743D10" w:rsidRPr="00D54138">
        <w:rPr>
          <w:rFonts w:ascii="Times New Roman" w:hAnsi="Times New Roman"/>
          <w:color w:val="000000"/>
          <w:sz w:val="24"/>
          <w:szCs w:val="24"/>
        </w:rPr>
        <w:fldChar w:fldCharType="end"/>
      </w:r>
      <w:r w:rsidR="00743D10" w:rsidRPr="00D54138">
        <w:rPr>
          <w:rFonts w:ascii="Times New Roman" w:hAnsi="Times New Roman"/>
          <w:color w:val="000000"/>
          <w:sz w:val="24"/>
          <w:szCs w:val="24"/>
        </w:rPr>
        <w:t>.</w:t>
      </w:r>
      <w:r w:rsidRPr="00D54138">
        <w:rPr>
          <w:rFonts w:ascii="Times New Roman" w:hAnsi="Times New Roman"/>
          <w:color w:val="000000"/>
          <w:sz w:val="24"/>
          <w:szCs w:val="24"/>
        </w:rPr>
        <w:t xml:space="preserve"> </w:t>
      </w:r>
      <w:r w:rsidR="00C33307" w:rsidRPr="00D54138">
        <w:rPr>
          <w:rFonts w:ascii="Times New Roman" w:hAnsi="Times New Roman"/>
          <w:sz w:val="24"/>
          <w:szCs w:val="24"/>
        </w:rPr>
        <w:t xml:space="preserve">In general, these pressures can be classified into three categories of mechanisms. They are coercive, imitative, and standard </w:t>
      </w:r>
      <w:r w:rsidR="003B46F4" w:rsidRPr="00D54138">
        <w:rPr>
          <w:rFonts w:ascii="Times New Roman" w:hAnsi="Times New Roman"/>
          <w:sz w:val="24"/>
          <w:szCs w:val="24"/>
        </w:rPr>
        <w:t>(</w:t>
      </w:r>
      <w:r w:rsidR="00C33307" w:rsidRPr="00D54138">
        <w:rPr>
          <w:rFonts w:ascii="Times New Roman" w:hAnsi="Times New Roman"/>
          <w:sz w:val="24"/>
          <w:szCs w:val="24"/>
        </w:rPr>
        <w:t>DiMaggio &amp; Powell</w:t>
      </w:r>
      <w:r w:rsidR="003B46F4" w:rsidRPr="00D54138">
        <w:rPr>
          <w:rFonts w:ascii="Times New Roman" w:hAnsi="Times New Roman"/>
          <w:sz w:val="24"/>
          <w:szCs w:val="24"/>
        </w:rPr>
        <w:t>,</w:t>
      </w:r>
      <w:r w:rsidR="00C33307" w:rsidRPr="00D54138">
        <w:rPr>
          <w:rFonts w:ascii="Times New Roman" w:hAnsi="Times New Roman"/>
          <w:color w:val="000000"/>
          <w:sz w:val="24"/>
          <w:szCs w:val="24"/>
        </w:rPr>
        <w:t xml:space="preserve"> </w:t>
      </w:r>
      <w:r w:rsidR="00315FA5" w:rsidRPr="00D54138">
        <w:rPr>
          <w:rFonts w:ascii="Times New Roman" w:hAnsi="Times New Roman"/>
          <w:color w:val="000000"/>
          <w:sz w:val="24"/>
          <w:szCs w:val="24"/>
        </w:rPr>
        <w:fldChar w:fldCharType="begin" w:fldLock="1"/>
      </w:r>
      <w:r w:rsidR="00D9251E" w:rsidRPr="00D54138">
        <w:rPr>
          <w:rFonts w:ascii="Times New Roman" w:hAnsi="Times New Roman"/>
          <w:color w:val="000000"/>
          <w:sz w:val="24"/>
          <w:szCs w:val="24"/>
        </w:rPr>
        <w:instrText>ADDIN CSL_CITATION {"citationItems":[{"id":"ITEM-1","itemData":{"DOI":"10.1016/S0742-3322(00)17011-1","ISBN":"0762306610","ISSN":"07423322","abstract":"What makes organizations so similar? We contend that the engine of rationalization and bureaucratization has moved from the competitive marketplace to the state and the professions. Once a set of organizations emerges as a field, a paradox arises: rational actors make their organizations increasingly similar as they try to change them. We describe three isomorphic processes-coercive, mimetic, and normative-leading to this outcome. We then specify hypotheses about the impact of resource centralization and dependency, goal ambiguity and technical uncertainty, and professionalization and structuration on isomorphic change. Finally, we suggest implications for theories of organizations and social change. © 2000.","author":[{"dropping-particle":"","family":"DiMaggio","given":"Paul J.","non-dropping-particle":"","parse-names":false,"suffix":""},{"dropping-particle":"","family":"Powell","given":"Walter W.","non-dropping-particle":"","parse-names":false,"suffix":""}],"container-title":"Advances in Strategic Management","id":"ITEM-1","issue":"2","issued":{"date-parts":[["2000"]]},"page":"143-166","title":"The iron cage revisited institutional isomorphism and collective rationality in organizational fields","type":"article-journal","volume":"17"},"uris":["http://www.mendeley.com/documents/?uuid=4f442d5b-bab6-4772-abe1-a26396829625"]}],"mendeley":{"formattedCitation":"(DiMaggio &amp; Powell, 2000)","manualFormatting":"2000)","plainTextFormattedCitation":"(DiMaggio &amp; Powell, 2000)","previouslyFormattedCitation":"(DiMaggio &amp; Powell, 2000)"},"properties":{"noteIndex":0},"schema":"https://github.com/citation-style-language/schema/raw/master/csl-citation.json"}</w:instrText>
      </w:r>
      <w:r w:rsidR="00315FA5" w:rsidRPr="00D54138">
        <w:rPr>
          <w:rFonts w:ascii="Times New Roman" w:hAnsi="Times New Roman"/>
          <w:color w:val="000000"/>
          <w:sz w:val="24"/>
          <w:szCs w:val="24"/>
        </w:rPr>
        <w:fldChar w:fldCharType="separate"/>
      </w:r>
      <w:r w:rsidR="00315FA5" w:rsidRPr="00D54138">
        <w:rPr>
          <w:rFonts w:ascii="Times New Roman" w:hAnsi="Times New Roman"/>
          <w:noProof/>
          <w:color w:val="000000"/>
          <w:sz w:val="24"/>
          <w:szCs w:val="24"/>
        </w:rPr>
        <w:t>2000)</w:t>
      </w:r>
      <w:r w:rsidR="00315FA5" w:rsidRPr="00D54138">
        <w:rPr>
          <w:rFonts w:ascii="Times New Roman" w:hAnsi="Times New Roman"/>
          <w:color w:val="000000"/>
          <w:sz w:val="24"/>
          <w:szCs w:val="24"/>
        </w:rPr>
        <w:fldChar w:fldCharType="end"/>
      </w:r>
      <w:r w:rsidRPr="00D54138">
        <w:rPr>
          <w:rFonts w:ascii="Times New Roman" w:hAnsi="Times New Roman"/>
          <w:color w:val="000000"/>
          <w:sz w:val="24"/>
          <w:szCs w:val="24"/>
        </w:rPr>
        <w:t xml:space="preserve">. </w:t>
      </w:r>
      <w:r w:rsidR="00C33307" w:rsidRPr="00D54138">
        <w:rPr>
          <w:rFonts w:ascii="Times New Roman" w:hAnsi="Times New Roman"/>
          <w:sz w:val="24"/>
          <w:szCs w:val="24"/>
        </w:rPr>
        <w:t xml:space="preserve">The adoption of sustainability management strategies, such as corporate environmental efforts, has been consistently postulated and empirically demonstrated to be influenced by a range of institutional elements </w:t>
      </w:r>
      <w:r w:rsidR="00C33307" w:rsidRPr="00D54138">
        <w:rPr>
          <w:rFonts w:ascii="Times New Roman" w:hAnsi="Times New Roman"/>
          <w:color w:val="000000"/>
          <w:sz w:val="24"/>
          <w:szCs w:val="24"/>
        </w:rPr>
        <w:t>(</w:t>
      </w:r>
      <w:r w:rsidR="00D74AE6" w:rsidRPr="00D54138">
        <w:rPr>
          <w:rFonts w:ascii="Times New Roman" w:hAnsi="Times New Roman"/>
          <w:color w:val="000000"/>
          <w:sz w:val="24"/>
          <w:szCs w:val="24"/>
        </w:rPr>
        <w:fldChar w:fldCharType="begin" w:fldLock="1"/>
      </w:r>
      <w:r w:rsidR="00D9251E" w:rsidRPr="00D54138">
        <w:rPr>
          <w:rFonts w:ascii="Times New Roman" w:hAnsi="Times New Roman"/>
          <w:color w:val="000000"/>
          <w:sz w:val="24"/>
          <w:szCs w:val="24"/>
        </w:rPr>
        <w:instrText>ADDIN CSL_CITATION {"citationItems":[{"id":"ITEM-1","itemData":{"DOI":"10.1002/bse.2656","ISSN":"10990836","abstract":"This study investigates the implementation of environmental management accounting in translating environmental management strategy into organizational performance. Further, the study identifies the influence of institutional pressures on environmental management strategy and environmental management accounting to provide a better description of the impact of the institutional environment on corporate environmental practices. The data were collected from 144 business entities in Sri Lanka using a web-based survey and analyzed using partial least squares structural equation modeling. We found statistically significant evidence to state that the environmental management strategy is positively associated with the environmental and economic performance of organizations, whereas environmental management accounting mediates this relationship. Further, a firm's institutional environment positively affects both environmental management strategies and environmental management accounting. This study emphasizes that the organizational information systems such as environmental management accounting are useful in providing information on environmental costs and monitoring environmental and financial performance when implementing environmental management strategies in the pursuit of corporate sustainable development.","author":[{"dropping-particle":"","family":"Gunarathne","given":"A. D.Nuwan","non-dropping-particle":"","parse-names":false,"suffix":""},{"dropping-particle":"","family":"Lee","given":"Ki Hoon","non-dropping-particle":"","parse-names":false,"suffix":""},{"dropping-particle":"","family":"Hitigala Kaluarachchilage","given":"Pubudu K.","non-dropping-particle":"","parse-names":false,"suffix":""}],"container-title":"Business Strategy and the Environment","id":"ITEM-1","issue":"2","issued":{"date-parts":[["2021"]]},"page":"825-839","title":"Institutional pressures, environmental management strategy, and organizational performance: The role of environmental management accounting","type":"article-journal","volume":"30"},"uris":["http://www.mendeley.com/documents/?uuid=ffb343d5-e0fe-4b47-a6ef-c01b3a41d611"]}],"mendeley":{"formattedCitation":"(A. D. N. Gunarathne et al., 2021)","manualFormatting":"Gunarathne et al., 2021)","plainTextFormattedCitation":"(A. D. N. Gunarathne et al., 2021)","previouslyFormattedCitation":"(A. D. N. Gunarathne et al., 2021)"},"properties":{"noteIndex":0},"schema":"https://github.com/citation-style-language/schema/raw/master/csl-citation.json"}</w:instrText>
      </w:r>
      <w:r w:rsidR="00D74AE6" w:rsidRPr="00D54138">
        <w:rPr>
          <w:rFonts w:ascii="Times New Roman" w:hAnsi="Times New Roman"/>
          <w:color w:val="000000"/>
          <w:sz w:val="24"/>
          <w:szCs w:val="24"/>
        </w:rPr>
        <w:fldChar w:fldCharType="separate"/>
      </w:r>
      <w:r w:rsidR="009318C9" w:rsidRPr="00D54138">
        <w:rPr>
          <w:rFonts w:ascii="Times New Roman" w:hAnsi="Times New Roman"/>
          <w:noProof/>
          <w:color w:val="000000"/>
          <w:sz w:val="24"/>
          <w:szCs w:val="24"/>
        </w:rPr>
        <w:t>Gunarathne et al., 2021)</w:t>
      </w:r>
      <w:r w:rsidR="00D74AE6" w:rsidRPr="00D54138">
        <w:rPr>
          <w:rFonts w:ascii="Times New Roman" w:hAnsi="Times New Roman"/>
          <w:color w:val="000000"/>
          <w:sz w:val="24"/>
          <w:szCs w:val="24"/>
        </w:rPr>
        <w:fldChar w:fldCharType="end"/>
      </w:r>
      <w:r w:rsidR="00D74AE6" w:rsidRPr="00D54138">
        <w:rPr>
          <w:rFonts w:ascii="Times New Roman" w:hAnsi="Times New Roman"/>
          <w:color w:val="000000"/>
          <w:sz w:val="24"/>
          <w:szCs w:val="24"/>
        </w:rPr>
        <w:t xml:space="preserve">. </w:t>
      </w:r>
      <w:r w:rsidR="00C33307" w:rsidRPr="00D54138">
        <w:rPr>
          <w:rFonts w:ascii="Times New Roman" w:hAnsi="Times New Roman"/>
          <w:sz w:val="24"/>
          <w:szCs w:val="24"/>
        </w:rPr>
        <w:t>Institutional pressure is an important part of the research since coercive, mimetic, and normative pressures can promote the implementation of EMA in an organization</w:t>
      </w:r>
      <w:r w:rsidRPr="00D54138">
        <w:rPr>
          <w:rFonts w:ascii="Times New Roman" w:hAnsi="Times New Roman"/>
          <w:color w:val="000000"/>
          <w:sz w:val="24"/>
          <w:szCs w:val="24"/>
        </w:rPr>
        <w:t xml:space="preserve"> </w:t>
      </w:r>
      <w:r w:rsidR="00D74AE6" w:rsidRPr="00D54138">
        <w:rPr>
          <w:rFonts w:ascii="Times New Roman" w:hAnsi="Times New Roman"/>
          <w:color w:val="000000"/>
          <w:sz w:val="24"/>
          <w:szCs w:val="24"/>
        </w:rPr>
        <w:fldChar w:fldCharType="begin" w:fldLock="1"/>
      </w:r>
      <w:r w:rsidR="001945C9" w:rsidRPr="00D54138">
        <w:rPr>
          <w:rFonts w:ascii="Times New Roman" w:hAnsi="Times New Roman"/>
          <w:color w:val="000000"/>
          <w:sz w:val="24"/>
          <w:szCs w:val="24"/>
        </w:rPr>
        <w:instrText>ADDIN CSL_CITATION {"citationItems":[{"id":"ITEM-1","itemData":{"DOI":"10.1002/bse.2595","ISSN":"10990836","abstract":"The current study purposes to assess the impact of institutional pressures (coercive, mimetic, and normative) on environmental performance of the firm along with the mediation of implementation of environmental management accounting and moderation of environmental proactivity between them. Quantitative data are collected through structured questionnaire from 500 middle-level and top-level managers and owners of manufacturing firms of Pakistan. Data are analyzed through SPSS and AMOS in which structural equation modeling in performed to assess hypotheses. Findings show that coercive, mimetic, and normative pressures are significant derivers of environmental performance. It is further found that coercive, mimetic, and normative pressures significantly enhance the implementation of environmental management accounting, which in turn enhances the environmental performance of the firm. Furthermore, environmental proactivity is found to be a significant moderator between mimetic pressure and environmental performance while no moderation by environmental proactivity is confirmed in relationships of coercive pressure and normative pressure with environmental performance. The current findings are anticipated to assist practitioners in strategy development and execution to improve environmental performance of the firm and policymaking to control environmental impacts of businesses and improve environmental conditions in the country. The current study is the first one to empirically examine the moderating role of environmental proactivity and mediating role of execution of environmental management accounting between institutional pressures and environmental performance in context of Pakistan; so, it will open new areas of discussion and analysis for researchers in the domain of institutional theory.","author":[{"dropping-particle":"","family":"Chaudhry","given":"Naveed Iqbal","non-dropping-particle":"","parse-names":false,"suffix":""},{"dropping-particle":"","family":"Amir","given":"Muhammad","non-dropping-particle":"","parse-names":false,"suffix":""}],"container-title":"Business Strategy and the Environment","id":"ITEM-1","issue":"8","issued":{"date-parts":[["2020"]]},"note":"Cited By (since 2020): 11","page":"3542-3554","title":"From institutional pressure to the sustainable development of firm: Role of environmental management accounting implementation and environmental proactivity","type":"article-journal","volume":"29"},"uris":["http://www.mendeley.com/documents/?uuid=423e88b0-55b0-472e-9425-d09ac84a8167"]}],"mendeley":{"formattedCitation":"(Chaudhry &amp; Amir, 2020)","plainTextFormattedCitation":"(Chaudhry &amp; Amir, 2020)","previouslyFormattedCitation":"(Chaudhry &amp; Amir, 2020)"},"properties":{"noteIndex":0},"schema":"https://github.com/citation-style-language/schema/raw/master/csl-citation.json"}</w:instrText>
      </w:r>
      <w:r w:rsidR="00D74AE6" w:rsidRPr="00D54138">
        <w:rPr>
          <w:rFonts w:ascii="Times New Roman" w:hAnsi="Times New Roman"/>
          <w:color w:val="000000"/>
          <w:sz w:val="24"/>
          <w:szCs w:val="24"/>
        </w:rPr>
        <w:fldChar w:fldCharType="separate"/>
      </w:r>
      <w:r w:rsidR="00D74AE6" w:rsidRPr="00D54138">
        <w:rPr>
          <w:rFonts w:ascii="Times New Roman" w:hAnsi="Times New Roman"/>
          <w:noProof/>
          <w:color w:val="000000"/>
          <w:sz w:val="24"/>
          <w:szCs w:val="24"/>
        </w:rPr>
        <w:t>(Chaudhry &amp; Amir, 2020)</w:t>
      </w:r>
      <w:r w:rsidR="00D74AE6" w:rsidRPr="00D54138">
        <w:rPr>
          <w:rFonts w:ascii="Times New Roman" w:hAnsi="Times New Roman"/>
          <w:color w:val="000000"/>
          <w:sz w:val="24"/>
          <w:szCs w:val="24"/>
        </w:rPr>
        <w:fldChar w:fldCharType="end"/>
      </w:r>
      <w:r w:rsidRPr="00D54138">
        <w:rPr>
          <w:rFonts w:ascii="Times New Roman" w:hAnsi="Times New Roman"/>
          <w:color w:val="000000"/>
          <w:sz w:val="24"/>
          <w:szCs w:val="24"/>
        </w:rPr>
        <w:t xml:space="preserve">. </w:t>
      </w:r>
      <w:r w:rsidR="00DB2094" w:rsidRPr="00D54138">
        <w:rPr>
          <w:rFonts w:ascii="Times New Roman" w:hAnsi="Times New Roman"/>
          <w:color w:val="000000"/>
          <w:sz w:val="24"/>
          <w:szCs w:val="24"/>
        </w:rPr>
        <w:t xml:space="preserve"> </w:t>
      </w:r>
      <w:r w:rsidRPr="00D54138">
        <w:rPr>
          <w:rFonts w:ascii="Times New Roman" w:hAnsi="Times New Roman"/>
          <w:color w:val="000000"/>
          <w:sz w:val="24"/>
          <w:szCs w:val="24"/>
        </w:rPr>
        <w:t>According to the mapping results, the institutional theory is the most prevalently used</w:t>
      </w:r>
      <w:r w:rsidR="001945C9" w:rsidRPr="00D54138">
        <w:rPr>
          <w:rFonts w:ascii="Times New Roman" w:hAnsi="Times New Roman"/>
          <w:color w:val="000000"/>
          <w:sz w:val="24"/>
          <w:szCs w:val="24"/>
        </w:rPr>
        <w:t xml:space="preserve">  </w:t>
      </w:r>
      <w:r w:rsidR="001945C9" w:rsidRPr="00D54138">
        <w:rPr>
          <w:rFonts w:ascii="Times New Roman" w:hAnsi="Times New Roman"/>
          <w:color w:val="000000"/>
          <w:sz w:val="24"/>
          <w:szCs w:val="24"/>
        </w:rPr>
        <w:fldChar w:fldCharType="begin" w:fldLock="1"/>
      </w:r>
      <w:r w:rsidR="00FB4067" w:rsidRPr="00D54138">
        <w:rPr>
          <w:rFonts w:ascii="Times New Roman" w:hAnsi="Times New Roman"/>
          <w:color w:val="000000"/>
          <w:sz w:val="24"/>
          <w:szCs w:val="24"/>
        </w:rPr>
        <w:instrText>ADDIN CSL_CITATION {"citationItems":[{"id":"ITEM-1","itemData":{"DOI":"10.1002/bse.2595","ISSN":"10990836","abstract":"The current study purposes to assess the impact of institutional pressures (coercive, mimetic, and normative) on environmental performance of the firm along with the mediation of implementation of environmental management accounting and moderation of environmental proactivity between them. Quantitative data are collected through structured questionnaire from 500 middle-level and top-level managers and owners of manufacturing firms of Pakistan. Data are analyzed through SPSS and AMOS in which structural equation modeling in performed to assess hypotheses. Findings show that coercive, mimetic, and normative pressures are significant derivers of environmental performance. It is further found that coercive, mimetic, and normative pressures significantly enhance the implementation of environmental management accounting, which in turn enhances the environmental performance of the firm. Furthermore, environmental proactivity is found to be a significant moderator between mimetic pressure and environmental performance while no moderation by environmental proactivity is confirmed in relationships of coercive pressure and normative pressure with environmental performance. The current findings are anticipated to assist practitioners in strategy development and execution to improve environmental performance of the firm and policymaking to control environmental impacts of businesses and improve environmental conditions in the country. The current study is the first one to empirically examine the moderating role of environmental proactivity and mediating role of execution of environmental management accounting between institutional pressures and environmental performance in context of Pakistan; so, it will open new areas of discussion and analysis for researchers in the domain of institutional theory.","author":[{"dropping-particle":"","family":"Chaudhry","given":"Naveed Iqbal","non-dropping-particle":"","parse-names":false,"suffix":""},{"dropping-particle":"","family":"Amir","given":"Muhammad","non-dropping-particle":"","parse-names":false,"suffix":""}],"container-title":"Business Strategy and the Environment","id":"ITEM-1","issue":"8","issued":{"date-parts":[["2020"]]},"note":"Cited By (since 2020): 11","page":"3542-3554","title":"From institutional pressure to the sustainable development of firm: Role of environmental management accounting implementation and environmental proactivity","type":"article-journal","volume":"29"},"uris":["http://www.mendeley.com/documents/?uuid=423e88b0-55b0-472e-9425-d09ac84a8167"]},{"id":"ITEM-2","itemData":{"DOI":"10.1002/bse.2252","ISSN":"10990836","abstract":"Environmental management accounting (EMA) has been regarded as an effective way to deal with environmental issues and economic performance. On the basis of institutional theory, this research aims to examine the effects of institutional pressures on the implementation of EMA and how such effects are affected by top management support and perceived benefit. Data were collected from the manufacturing firms in the Yangtze River Delta using questionnaire survey method. The results indicated that coercive pressure and normative pressure positively and significantly affect the implementation of EMA whereas mimetic pressure has no significant effect. Furthermore, top management support and perceived benefit play different moderating roles in the relationships between institutional pressures and the implementation of EMA. Top management support and perceived benefit positively moderate the relationships between coercive pressure, normative pressure, and the implementation of EMA although negatively moderate the relationship between mimetic pressure and the implementation of EMA. On the basis of the findings, policy implications and suggestions for future research are discussed.","author":[{"dropping-particle":"","family":"Wang","given":"Shanyong","non-dropping-particle":"","parse-names":false,"suffix":""},{"dropping-particle":"","family":"Wang","given":"Hualong","non-dropping-particle":"","parse-names":false,"suffix":""},{"dropping-particle":"","family":"Wang","given":"Jing","non-dropping-particle":"","parse-names":false,"suffix":""}],"container-title":"Business Strategy and the Environment","id":"ITEM-2","issue":"1","issued":{"date-parts":[["2019"]]},"page":"233-243","title":"Exploring the effects of institutional pressures on the implementation of environmental management accounting: Do top management support and perceived benefit work?","type":"article-journal","volume":"28"},"uris":["http://www.mendeley.com/documents/?uuid=7f1545be-e944-46d4-a098-33df81f3c5ac"]},{"id":"ITEM-3","itemData":{"DOI":"10.3390/su12114506","ISSN":"20711050","abstract":"This paper explores the impact of institutional pressures on the adoption of environmental management accounting (EMA). EMA has been recognized as a valuable mechanism to deal with environmental issues. This paper uses institutional theory to explain the drivers of EMA adoption in Pakistan. Data were collected from the manufacturing sector in Pakistan through a questionnairebased survey. The study concludes that coercive, normative and mimetic pressures have a significant and positive impact on the adoption of EMA.","author":[{"dropping-particle":"","family":"Latif","given":"Badar","non-dropping-particle":"","parse-names":false,"suffix":""},{"dropping-particle":"","family":"Mahmood","given":"Zeeshan","non-dropping-particle":"","parse-names":false,"suffix":""},{"dropping-particle":"","family":"San","given":"Ong Tze","non-dropping-particle":"","parse-names":false,"suffix":""},{"dropping-particle":"","family":"Said","given":"Ridzwana Mohd","non-dropping-particle":"","parse-names":false,"suffix":""},{"dropping-particle":"","family":"Bakhsh","given":"Allah","non-dropping-particle":"","parse-names":false,"suffix":""}],"container-title":"Sustainability (Switzerland)","id":"ITEM-3","issue":"11","issued":{"date-parts":[["2020","6","1"]]},"publisher":"MDPI","title":"Coercive, normative and mimetic pressures as drivers of environmental management accounting adoption","type":"article-journal","volume":"12"},"uris":["http://www.mendeley.com/documents/?uuid=0cbed441-45d6-37a9-a2e9-fa0060d116b9"]},{"id":"ITEM-4","itemData":{"DOI":"10.32479/ijeep.8285","ISSN":"21464553","abstract":"The present study is motivated to investigate the importance of ecological innovations and knowledge management in influencing environmental performance (EPR). The focus of the present study lies in identifying the contribution of environmental management accounting (EMA) in driving the firm’s knowledge transfer (KTR), green innovation (GIN), and EPR in Indonesian small and medium enterprises sector. The current collected the data from 223 respondents from different SMEs of Indonesia. The results of PLS-SEM confirm that all variables have a positive and significant impact on the EPR of Indonesia SMEs. Moreover, the outcomes of the PLS-SEM confirm that KTR, GIN, and EPR have significantly and positively impacted by EMA system. The outcomes of partial least square structural equation modelling also indicate that KTR and GIN have also positively and significantly impact on the EPR. The results further recommended that the firms can improve their EPR by implementing good EMA system.","author":[{"dropping-particle":"","family":"Zandi","given":"Gholam Reza","non-dropping-particle":"","parse-names":false,"suffix":""},{"dropping-particle":"","family":"Khalid","given":"Nadeem","non-dropping-particle":"","parse-names":false,"suffix":""},{"dropping-particle":"","family":"Islam","given":"Dewan Md Zahurul","non-dropping-particle":"","parse-names":false,"suffix":""}],"container-title":"International Journal of Energy Economics and Policy","id":"ITEM-4","issue":"5","issued":{"date-parts":[["2019"]]},"note":"Cited By (since 2019): 4","page":"387-393","title":"Nexus of knowledge transfer, green innovation and environmental performance: impact of environmental management accounting","type":"article-journal","volume":"9"},"uris":["http://www.mendeley.com/documents/?uuid=4eb25d22-cf83-47a5-b720-d69cb8d149e5"]},{"id":"ITEM-5","itemData":{"DOI":"10.1080/10291954.2019.1675254","ISSN":"23763981","abstract":"The rising profile of environmental issues, most of which relates to continuous consumption of materials, energy and water by companies, and the continuous accumulation of environmental-related costs, necessitates the need for environmental management accounting (EMA). EMA is regarded as an extension of the conventional management accounting, which is adopted for the purpose of tracking and treatment of costs, earnings and savings incurred in relation to companies’ environmental-related activities. This paper determines the level of EMA practices among selected Nigerian and South African firms, and the influence of institutional and organisational factors on the level of practice in each country. Utilising a quantitative research approach, the study used a structured questionnaire to obtain data from 22 listed firms from each country. The data were analysed using an independent sample t-test and a multiple regression estimation technique. Results demonstrate that the level of EMA practices in South African firms is higher than those in Nigerian firms. Institutional isomorphism, through coercive pressure, was found to be the main determinant of EMA practice among South African firms, while EMA practice among Nigerian firms is on account of individual organisational factors. The evidence from the study supports both the institutional and contingency theories as they apply to EMA practices. Therefore, the results indicate that coercive pressure may be necessary to stimulate EMA practice in Nigerian firms given that similar conditions exist in sampled firms in South Africa. Efforts to strengthen normative and mimetic forces can also improve the level of EMA practice in both countries.","author":[{"dropping-particle":"","family":"Iredele","given":"Oluwamayowa O.","non-dropping-particle":"","parse-names":false,"suffix":""},{"dropping-particle":"","family":"Tankiso","given":"Moloi","non-dropping-particle":"","parse-names":false,"suffix":""},{"dropping-particle":"","family":"Adelowotan","given":"Michael O.","non-dropping-particle":"","parse-names":false,"suffix":""}],"container-title":"South African Journal of Accounting Research","id":"ITEM-5","issue":"3","issued":{"date-parts":[["2020"]]},"page":"183-204","publisher":"Taylor &amp; Francis","title":"The influence of institutional isomorphism and organisational factors on environmental management accounting practices of listed Nigerian and South African firms","type":"article","volume":"34"},"uris":["http://www.mendeley.com/documents/?uuid=d1ceac21-7af1-4d8f-b5bc-a2c7a1a10395"]},{"id":"ITEM-6","itemData":{"DOI":"10.3390/su10061690","ISSN":"20711050","abstract":"Coal-mining contributes much to the economic welfare of a country. Yet it brings along a number of challenges, notably environmental impacts which include water pollution in a water scarce country such as South Africa. This research is conducted in two phases. The first phase intends to establish environmental and other challenges brought about by the coal-mining industry through a comprehensive analysis of available literature. Combatting these challenges is costly; consequently, our work investigates how established management accounting tools and techniques such as Environmental Management Accounting (EMA), Material Flow Cost Accounting (MFCA) and Life Cycle Costing (LCC) may facilitate cost savings for the companies involved. These techniques promote increased transparency of material usage by tracing and quantifying the flows and inventories of materials within the coal-mining industry in physical and monetary terms, hence hidden costs are elicited. The researchers postulate that an Information Framework integrating these aspects may be the way forward. To this end existing frameworks in the literature are identified. A number of research questions embodying the above aspects are defined and the objective is to define a conceptual framework to facilitate cost savings for coal-mining companies. The main contribution of this work is an information framework presented towards the end of this article. The second phase of the research will involve fieldwork in the form of a survey among stakeholders in industry to validate the conceptual framework.","author":[{"dropping-particle":"","family":"Mbedzi","given":"Mashudu D.","non-dropping-particle":"","parse-names":false,"suffix":""},{"dropping-particle":"","family":"Poll","given":"Huibrecht M.","non-dropping-particle":"van der","parse-names":false,"suffix":""},{"dropping-particle":"","family":"Poll","given":"John A.","non-dropping-particle":"van der","parse-names":false,"suffix":""}],"container-title":"Sustainability (Switzerland)","id":"ITEM-6","issue":"6","issued":{"date-parts":[["2018"]]},"note":"Cited By (since 2018): 7","title":"An Information Framework for facilitating cost saving of environmental impacts in the coal mining industry in South Africa","type":"article-journal","volume":"10"},"uris":["http://www.mendeley.com/documents/?uuid=68877ecd-d630-4c6c-8e2f-01b5a0e208c9"]},{"id":"ITEM-7","itemData":{"DOI":"10.32479/ijeep.8366","ISSN":"21464553","abstract":"Small and medium enterprises (SMEs) play a significant role in Indonesian business growth. Therefore, the objective of the present study is to investigate the association of antecedents of environmental management accounting and environmental performance in Indonesian SMEs. In doing so, the current study seeks to identify the internal and external influencing factors for firms in adopting EMA and its subsequent impact on SMEs environmental performance. The outcomes of the PLS-SEM confirm that benefit expectation has significantly and positively impacted on Environmental Management Accounting. The results of PLS-SEM also confirm that Regulatory Pressure has a positive and significant impact on environmental management accounting. Finally, the results of partial least square modelling confirm that environmental management accounting also has a positive and significant impact on environmental performance.","author":[{"dropping-particle":"","family":"Susanto","given":"Azhar","non-dropping-particle":"","parse-names":false,"suffix":""},{"dropping-particle":"","family":"Meiryani","given":"Meiryani","non-dropping-particle":"","parse-names":false,"suffix":""}],"container-title":"International Journal of Energy Economics and Policy","id":"ITEM-7","issue":"6","issued":{"date-parts":[["2019"]]},"page":"401-407","publisher":"Econjournals","title":"Antecedents of environmental management accounting and environmental performance: Evidence from Indonesian small and medium enterprises","type":"article-journal","volume":"9"},"uris":["http://www.mendeley.com/documents/?uuid=28e4bea7-d56e-32a2-bfc2-46a0e7e28cbd"]}],"mendeley":{"formattedCitation":"(Chaudhry &amp; Amir, 2020; Iredele et al., 2020; Latif et al., 2020; Mashudu D. Mbedzi et al., 2018; Susanto &amp; Meiryani, 2019; Wang et al., 2019; Zandi et al., 2019)","plainTextFormattedCitation":"(Chaudhry &amp; Amir, 2020; Iredele et al., 2020; Latif et al., 2020; Mashudu D. Mbedzi et al., 2018; Susanto &amp; Meiryani, 2019; Wang et al., 2019; Zandi et al., 2019)","previouslyFormattedCitation":"(Chaudhry &amp; Amir, 2020; Iredele et al., 2020; Latif et al., 2020; Mashudu D. Mbedzi et al., 2018; Susanto &amp; Meiryani, 2019; Wang et al., 2019; Zandi et al., 2019)"},"properties":{"noteIndex":0},"schema":"https://github.com/citation-style-language/schema/raw/master/csl-citation.json"}</w:instrText>
      </w:r>
      <w:r w:rsidR="001945C9" w:rsidRPr="00D54138">
        <w:rPr>
          <w:rFonts w:ascii="Times New Roman" w:hAnsi="Times New Roman"/>
          <w:color w:val="000000"/>
          <w:sz w:val="24"/>
          <w:szCs w:val="24"/>
        </w:rPr>
        <w:fldChar w:fldCharType="separate"/>
      </w:r>
      <w:r w:rsidR="00642656" w:rsidRPr="00D54138">
        <w:rPr>
          <w:rFonts w:ascii="Times New Roman" w:hAnsi="Times New Roman"/>
          <w:noProof/>
          <w:color w:val="000000"/>
          <w:sz w:val="24"/>
          <w:szCs w:val="24"/>
        </w:rPr>
        <w:t>(Chaudhry &amp; Amir, 2020; Iredele et al., 2020; Latif et al., 2020; Mashudu D. Mbedzi et al., 2018; Susanto &amp; Meiryani, 2019; Wang et al., 2019; Zandi et al., 2019)</w:t>
      </w:r>
      <w:r w:rsidR="001945C9" w:rsidRPr="00D54138">
        <w:rPr>
          <w:rFonts w:ascii="Times New Roman" w:hAnsi="Times New Roman"/>
          <w:color w:val="000000"/>
          <w:sz w:val="24"/>
          <w:szCs w:val="24"/>
        </w:rPr>
        <w:fldChar w:fldCharType="end"/>
      </w:r>
      <w:r w:rsidRPr="00D54138">
        <w:rPr>
          <w:rFonts w:ascii="Times New Roman" w:hAnsi="Times New Roman"/>
          <w:color w:val="000000"/>
          <w:sz w:val="24"/>
          <w:szCs w:val="24"/>
        </w:rPr>
        <w:t xml:space="preserve">. </w:t>
      </w:r>
      <w:r w:rsidR="00C33307" w:rsidRPr="00D54138">
        <w:rPr>
          <w:rFonts w:ascii="Times New Roman" w:hAnsi="Times New Roman"/>
          <w:sz w:val="24"/>
          <w:szCs w:val="24"/>
        </w:rPr>
        <w:t>Institutional isomorphism aims to explain why organizations with similar environmental conditions reflect one another.</w:t>
      </w:r>
    </w:p>
    <w:p w14:paraId="10DDB497" w14:textId="77777777" w:rsidR="00C33307" w:rsidRPr="00D54138" w:rsidRDefault="00C33307" w:rsidP="008B44D2">
      <w:pPr>
        <w:spacing w:after="0" w:line="240" w:lineRule="auto"/>
        <w:jc w:val="both"/>
        <w:rPr>
          <w:rFonts w:ascii="Times New Roman" w:hAnsi="Times New Roman"/>
          <w:color w:val="000000"/>
          <w:sz w:val="24"/>
          <w:szCs w:val="24"/>
        </w:rPr>
      </w:pPr>
    </w:p>
    <w:p w14:paraId="0BC9C98E" w14:textId="77777777" w:rsidR="000B0E45" w:rsidRPr="00D54138" w:rsidRDefault="000B0E45" w:rsidP="008B44D2">
      <w:pPr>
        <w:spacing w:after="0" w:line="240" w:lineRule="auto"/>
        <w:jc w:val="both"/>
        <w:rPr>
          <w:rFonts w:ascii="Times New Roman" w:hAnsi="Times New Roman"/>
          <w:b/>
          <w:bCs/>
          <w:color w:val="000000"/>
          <w:sz w:val="24"/>
          <w:szCs w:val="24"/>
        </w:rPr>
      </w:pPr>
      <w:r w:rsidRPr="00D54138">
        <w:rPr>
          <w:rFonts w:ascii="Times New Roman" w:hAnsi="Times New Roman"/>
          <w:b/>
          <w:bCs/>
          <w:color w:val="000000"/>
          <w:sz w:val="24"/>
          <w:szCs w:val="24"/>
        </w:rPr>
        <w:t xml:space="preserve">Contingency Theory </w:t>
      </w:r>
    </w:p>
    <w:p w14:paraId="671C4A5D" w14:textId="2AF1EE57" w:rsidR="00BD58FF" w:rsidRPr="00D54138" w:rsidRDefault="00B81EAD" w:rsidP="008B44D2">
      <w:pPr>
        <w:spacing w:after="0" w:line="240" w:lineRule="auto"/>
        <w:jc w:val="both"/>
        <w:rPr>
          <w:rFonts w:ascii="Times New Roman" w:hAnsi="Times New Roman"/>
          <w:color w:val="000000"/>
          <w:sz w:val="24"/>
          <w:szCs w:val="24"/>
        </w:rPr>
      </w:pPr>
      <w:r w:rsidRPr="00D54138">
        <w:rPr>
          <w:rFonts w:ascii="Times New Roman" w:hAnsi="Times New Roman"/>
          <w:color w:val="000000"/>
          <w:sz w:val="24"/>
          <w:szCs w:val="24"/>
        </w:rPr>
        <w:t>R</w:t>
      </w:r>
      <w:r w:rsidR="00524F21" w:rsidRPr="00D54138">
        <w:rPr>
          <w:rFonts w:ascii="Times New Roman" w:hAnsi="Times New Roman"/>
          <w:color w:val="000000"/>
          <w:sz w:val="24"/>
          <w:szCs w:val="24"/>
        </w:rPr>
        <w:t xml:space="preserve">esearchers have utilized contingency theory </w:t>
      </w:r>
      <w:r w:rsidR="00E7114B" w:rsidRPr="00D54138">
        <w:rPr>
          <w:rFonts w:ascii="Times New Roman" w:hAnsi="Times New Roman"/>
          <w:color w:val="000000"/>
          <w:sz w:val="24"/>
          <w:szCs w:val="24"/>
        </w:rPr>
        <w:fldChar w:fldCharType="begin" w:fldLock="1"/>
      </w:r>
      <w:r w:rsidR="00D370AC" w:rsidRPr="00D54138">
        <w:rPr>
          <w:rFonts w:ascii="Times New Roman" w:hAnsi="Times New Roman"/>
          <w:color w:val="000000"/>
          <w:sz w:val="24"/>
          <w:szCs w:val="24"/>
        </w:rPr>
        <w:instrText>ADDIN CSL_CITATION {"citationItems":[{"id":"ITEM-1","itemData":{"ISSN":"0361-3682","author":[{"dropping-particle":"","family":"Chapman","given":"Christopher S","non-dropping-particle":"","parse-names":false,"suffix":""}],"container-title":"Accounting, organizations and society","id":"ITEM-1","issue":"2","issued":{"date-parts":[["1997"]]},"page":"189-205","publisher":"Elsevier","title":"Reflections on a contingent view of accounting","type":"article-journal","volume":"22"},"uris":["http://www.mendeley.com/documents/?uuid=bf390107-89b3-4738-ab56-5d291c2c3eae"]}],"mendeley":{"formattedCitation":"(Chapman, 1997)","plainTextFormattedCitation":"(Chapman, 1997)","previouslyFormattedCitation":"(Chapman, 1997)"},"properties":{"noteIndex":0},"schema":"https://github.com/citation-style-language/schema/raw/master/csl-citation.json"}</w:instrText>
      </w:r>
      <w:r w:rsidR="00E7114B" w:rsidRPr="00D54138">
        <w:rPr>
          <w:rFonts w:ascii="Times New Roman" w:hAnsi="Times New Roman"/>
          <w:color w:val="000000"/>
          <w:sz w:val="24"/>
          <w:szCs w:val="24"/>
        </w:rPr>
        <w:fldChar w:fldCharType="separate"/>
      </w:r>
      <w:r w:rsidR="00E7114B" w:rsidRPr="00D54138">
        <w:rPr>
          <w:rFonts w:ascii="Times New Roman" w:hAnsi="Times New Roman"/>
          <w:noProof/>
          <w:color w:val="000000"/>
          <w:sz w:val="24"/>
          <w:szCs w:val="24"/>
        </w:rPr>
        <w:t>(Chapman, 1997)</w:t>
      </w:r>
      <w:r w:rsidR="00E7114B" w:rsidRPr="00D54138">
        <w:rPr>
          <w:rFonts w:ascii="Times New Roman" w:hAnsi="Times New Roman"/>
          <w:color w:val="000000"/>
          <w:sz w:val="24"/>
          <w:szCs w:val="24"/>
        </w:rPr>
        <w:fldChar w:fldCharType="end"/>
      </w:r>
      <w:r w:rsidR="00E7114B" w:rsidRPr="00D54138">
        <w:rPr>
          <w:rFonts w:ascii="Times New Roman" w:hAnsi="Times New Roman"/>
          <w:color w:val="000000"/>
          <w:sz w:val="24"/>
          <w:szCs w:val="24"/>
        </w:rPr>
        <w:t>.</w:t>
      </w:r>
      <w:r w:rsidR="00BD58FF" w:rsidRPr="00D54138">
        <w:rPr>
          <w:rFonts w:ascii="Times New Roman" w:hAnsi="Times New Roman"/>
          <w:color w:val="000000"/>
          <w:sz w:val="24"/>
          <w:szCs w:val="24"/>
        </w:rPr>
        <w:t xml:space="preserve"> </w:t>
      </w:r>
      <w:r w:rsidR="00524F21" w:rsidRPr="00D54138">
        <w:rPr>
          <w:rFonts w:ascii="Times New Roman" w:hAnsi="Times New Roman"/>
          <w:sz w:val="24"/>
          <w:szCs w:val="24"/>
        </w:rPr>
        <w:t>Management accounting systems are implemented to assist managers in achieving anticipated organizational goals or outcomes.</w:t>
      </w:r>
      <w:r w:rsidR="00BD58FF" w:rsidRPr="00D54138">
        <w:rPr>
          <w:rFonts w:ascii="Times New Roman" w:hAnsi="Times New Roman"/>
          <w:color w:val="000000"/>
          <w:sz w:val="24"/>
          <w:szCs w:val="24"/>
        </w:rPr>
        <w:t xml:space="preserve"> </w:t>
      </w:r>
      <w:r w:rsidR="00D370AC" w:rsidRPr="00D54138">
        <w:rPr>
          <w:rFonts w:ascii="Times New Roman" w:hAnsi="Times New Roman"/>
          <w:color w:val="000000"/>
          <w:sz w:val="24"/>
          <w:szCs w:val="24"/>
        </w:rPr>
        <w:fldChar w:fldCharType="begin" w:fldLock="1"/>
      </w:r>
      <w:r w:rsidR="00D370AC" w:rsidRPr="00D54138">
        <w:rPr>
          <w:rFonts w:ascii="Times New Roman" w:hAnsi="Times New Roman"/>
          <w:color w:val="000000"/>
          <w:sz w:val="24"/>
          <w:szCs w:val="24"/>
        </w:rPr>
        <w:instrText>ADDIN CSL_CITATION {"citationItems":[{"id":"ITEM-1","itemData":{"author":[{"dropping-particle":"","family":"Haldma","given":"Toomas","non-dropping-particle":"","parse-names":false,"suffix":""},{"dropping-particle":"","family":"Meiesaar","given":"Kersti","non-dropping-particle":"","parse-names":false,"suffix":""}],"container-title":"Effect of Accession to the European Union on the Economic Policy of Estonia","id":"ITEM-1","issued":{"date-parts":[["2002"]]},"page":"483-C496","title":"Environmental Contingencies Of The Management Reform In The Estonian Health Care Institutions","type":"article-journal"},"uris":["http://www.mendeley.com/documents/?uuid=21113b93-5931-4dae-b335-ed88631c2d64"]}],"mendeley":{"formattedCitation":"(Haldma &amp; Meiesaar, 2002)","plainTextFormattedCitation":"(Haldma &amp; Meiesaar, 2002)","previouslyFormattedCitation":"(Haldma &amp; Meiesaar, 2002)"},"properties":{"noteIndex":0},"schema":"https://github.com/citation-style-language/schema/raw/master/csl-citation.json"}</w:instrText>
      </w:r>
      <w:r w:rsidR="00D370AC" w:rsidRPr="00D54138">
        <w:rPr>
          <w:rFonts w:ascii="Times New Roman" w:hAnsi="Times New Roman"/>
          <w:color w:val="000000"/>
          <w:sz w:val="24"/>
          <w:szCs w:val="24"/>
        </w:rPr>
        <w:fldChar w:fldCharType="separate"/>
      </w:r>
      <w:r w:rsidR="00D370AC" w:rsidRPr="00D54138">
        <w:rPr>
          <w:rFonts w:ascii="Times New Roman" w:hAnsi="Times New Roman"/>
          <w:noProof/>
          <w:color w:val="000000"/>
          <w:sz w:val="24"/>
          <w:szCs w:val="24"/>
        </w:rPr>
        <w:t>(Haldma &amp; Meiesaar, 2002)</w:t>
      </w:r>
      <w:r w:rsidR="00D370AC" w:rsidRPr="00D54138">
        <w:rPr>
          <w:rFonts w:ascii="Times New Roman" w:hAnsi="Times New Roman"/>
          <w:color w:val="000000"/>
          <w:sz w:val="24"/>
          <w:szCs w:val="24"/>
        </w:rPr>
        <w:fldChar w:fldCharType="end"/>
      </w:r>
      <w:r w:rsidR="00BD58FF" w:rsidRPr="00D54138">
        <w:rPr>
          <w:rFonts w:ascii="Times New Roman" w:hAnsi="Times New Roman"/>
          <w:color w:val="000000"/>
          <w:sz w:val="24"/>
          <w:szCs w:val="24"/>
        </w:rPr>
        <w:t xml:space="preserve">. </w:t>
      </w:r>
      <w:r w:rsidR="00C33307" w:rsidRPr="00D54138">
        <w:rPr>
          <w:rFonts w:ascii="Times New Roman" w:hAnsi="Times New Roman"/>
          <w:sz w:val="24"/>
          <w:szCs w:val="24"/>
        </w:rPr>
        <w:t xml:space="preserve">The implementation of contingency theory depends on the configuration of </w:t>
      </w:r>
      <w:r w:rsidR="005409B2" w:rsidRPr="00D54138">
        <w:rPr>
          <w:rFonts w:ascii="Times New Roman" w:hAnsi="Times New Roman"/>
          <w:sz w:val="24"/>
          <w:szCs w:val="24"/>
        </w:rPr>
        <w:t xml:space="preserve">the </w:t>
      </w:r>
      <w:r w:rsidR="00C33307" w:rsidRPr="00D54138">
        <w:rPr>
          <w:rFonts w:ascii="Times New Roman" w:hAnsi="Times New Roman"/>
          <w:sz w:val="24"/>
          <w:szCs w:val="24"/>
        </w:rPr>
        <w:t xml:space="preserve">management accounting systems </w:t>
      </w:r>
      <w:r w:rsidR="00D370AC" w:rsidRPr="00D54138">
        <w:rPr>
          <w:rFonts w:ascii="Times New Roman" w:hAnsi="Times New Roman"/>
          <w:color w:val="000000"/>
          <w:sz w:val="24"/>
          <w:szCs w:val="24"/>
        </w:rPr>
        <w:fldChar w:fldCharType="begin" w:fldLock="1"/>
      </w:r>
      <w:r w:rsidR="00DB64BD" w:rsidRPr="00D54138">
        <w:rPr>
          <w:rFonts w:ascii="Times New Roman" w:hAnsi="Times New Roman"/>
          <w:color w:val="000000"/>
          <w:sz w:val="24"/>
          <w:szCs w:val="24"/>
        </w:rPr>
        <w:instrText>ADDIN CSL_CITATION {"citationItems":[{"id":"ITEM-1","itemData":{"author":[{"dropping-particle":"","family":"Otley","given":"David T","non-dropping-particle":"","parse-names":false,"suffix":""}],"container-title":"Readings in accounting for management control","id":"ITEM-1","issued":{"date-parts":[["1980"]]},"page":"83-106","publisher":"Springer","title":"The contingency theory of management accounting: achievement and prognosis","type":"chapter"},"uris":["http://www.mendeley.com/documents/?uuid=02184763-e87c-44a1-a8e9-6d3319a1018e"]},{"id":"ITEM-2","itemData":{"DOI":"10.1093/acprof:oso/9780199283361.003.0005","ISBN":"9780191712623","abstract":"This chapter examines recent innovations in performance measurement systems and identifies evidence about their effectiveness in assisting managers improve performance. The innovations studied were: economic value measures, non-financial measures, and integrated performance measures. Drawing on contingency thinking, the proposition is that it is unlikely that these innovations will be appropriate for all organizations. It was concluded that positive benefits are not universalistic. Different innovative performance measures may best suit particular contexts. While existing research into the effects of contingencies on performance measure is limited, there are sufficient clues to suggest that the external environment and strategy, technology, structure, and size are likely to be important when considering the suitability of different performance measures.","author":[{"dropping-particle":"","family":"Chenhall","given":"Robert H.","non-dropping-particle":"","parse-names":false,"suffix":""}],"container-title":"Contemporary Issues in Management Accounting","id":"ITEM-2","issued":{"date-parts":[["2007"]]},"page":"127-168","title":"The contingent design of performance measures","type":"article-journal","volume":"28"},"uris":["http://www.mendeley.com/documents/?uuid=89bb0171-33ff-49a5-a35a-43b2d43802d6"]}],"mendeley":{"formattedCitation":"(Chenhall, 2007; Otley, 1980)","plainTextFormattedCitation":"(Chenhall, 2007; Otley, 1980)","previouslyFormattedCitation":"(Chenhall, 2007; Otley, 1980)"},"properties":{"noteIndex":0},"schema":"https://github.com/citation-style-language/schema/raw/master/csl-citation.json"}</w:instrText>
      </w:r>
      <w:r w:rsidR="00D370AC" w:rsidRPr="00D54138">
        <w:rPr>
          <w:rFonts w:ascii="Times New Roman" w:hAnsi="Times New Roman"/>
          <w:color w:val="000000"/>
          <w:sz w:val="24"/>
          <w:szCs w:val="24"/>
        </w:rPr>
        <w:fldChar w:fldCharType="separate"/>
      </w:r>
      <w:r w:rsidR="00DB64BD" w:rsidRPr="00D54138">
        <w:rPr>
          <w:rFonts w:ascii="Times New Roman" w:hAnsi="Times New Roman"/>
          <w:noProof/>
          <w:color w:val="000000"/>
          <w:sz w:val="24"/>
          <w:szCs w:val="24"/>
        </w:rPr>
        <w:t>(Chenhall, 2007; Otley, 1980)</w:t>
      </w:r>
      <w:r w:rsidR="00D370AC" w:rsidRPr="00D54138">
        <w:rPr>
          <w:rFonts w:ascii="Times New Roman" w:hAnsi="Times New Roman"/>
          <w:color w:val="000000"/>
          <w:sz w:val="24"/>
          <w:szCs w:val="24"/>
        </w:rPr>
        <w:fldChar w:fldCharType="end"/>
      </w:r>
      <w:r w:rsidR="00BD58FF" w:rsidRPr="00D54138">
        <w:rPr>
          <w:rFonts w:ascii="Times New Roman" w:hAnsi="Times New Roman"/>
          <w:color w:val="000000"/>
          <w:sz w:val="24"/>
          <w:szCs w:val="24"/>
        </w:rPr>
        <w:t xml:space="preserve">. The idea of "fit" is the theory's core concept. </w:t>
      </w:r>
      <w:r w:rsidR="00C33307" w:rsidRPr="00D54138">
        <w:rPr>
          <w:rFonts w:ascii="Times New Roman" w:hAnsi="Times New Roman"/>
          <w:sz w:val="24"/>
          <w:szCs w:val="24"/>
        </w:rPr>
        <w:t>Fit is the theory's fundamental concept. It argues that an organization's performance is enhanced when management accounting system information and organizational characteristics "fit" well</w:t>
      </w:r>
      <w:r w:rsidR="000B0E45" w:rsidRPr="00D54138">
        <w:rPr>
          <w:rFonts w:ascii="Times New Roman" w:hAnsi="Times New Roman"/>
          <w:color w:val="000000"/>
          <w:sz w:val="24"/>
          <w:szCs w:val="24"/>
        </w:rPr>
        <w:t xml:space="preserve">. </w:t>
      </w:r>
      <w:r w:rsidR="003F796C" w:rsidRPr="00D54138">
        <w:rPr>
          <w:rFonts w:ascii="Times New Roman" w:hAnsi="Times New Roman"/>
          <w:color w:val="000000"/>
          <w:sz w:val="24"/>
          <w:szCs w:val="24"/>
        </w:rPr>
        <w:t>Since</w:t>
      </w:r>
      <w:r w:rsidR="00C33307" w:rsidRPr="00D54138">
        <w:rPr>
          <w:rFonts w:ascii="Times New Roman" w:hAnsi="Times New Roman"/>
          <w:sz w:val="24"/>
          <w:szCs w:val="24"/>
        </w:rPr>
        <w:t xml:space="preserve"> there is no universally applicable accounting system, the selection of an accounting system will depend on the organization's particular needs</w:t>
      </w:r>
      <w:r w:rsidR="00BD58FF" w:rsidRPr="00D54138">
        <w:rPr>
          <w:rFonts w:ascii="Times New Roman" w:hAnsi="Times New Roman"/>
          <w:color w:val="000000"/>
          <w:sz w:val="24"/>
          <w:szCs w:val="24"/>
        </w:rPr>
        <w:t xml:space="preserve"> </w:t>
      </w:r>
      <w:r w:rsidR="001C2BE0" w:rsidRPr="00D54138">
        <w:rPr>
          <w:rFonts w:ascii="Times New Roman" w:hAnsi="Times New Roman"/>
          <w:color w:val="000000"/>
          <w:sz w:val="24"/>
          <w:szCs w:val="24"/>
        </w:rPr>
        <w:fldChar w:fldCharType="begin" w:fldLock="1"/>
      </w:r>
      <w:r w:rsidR="001C2BE0" w:rsidRPr="00D54138">
        <w:rPr>
          <w:rFonts w:ascii="Times New Roman" w:hAnsi="Times New Roman"/>
          <w:color w:val="000000"/>
          <w:sz w:val="24"/>
          <w:szCs w:val="24"/>
        </w:rPr>
        <w:instrText>ADDIN CSL_CITATION {"citationItems":[{"id":"ITEM-1","itemData":{"author":[{"dropping-particle":"","family":"Chang","given":"Huei-Chun","non-dropping-particle":"","parse-names":false,"suffix":""}],"id":"ITEM-1","issued":{"date-parts":[["2007"]]},"publisher":"RMIT University","title":"Environmental management accounting within universities: current state and future potential","type":"article"},"uris":["http://www.mendeley.com/documents/?uuid=b4518a93-71c9-489e-8951-559de52ea5b8"]}],"mendeley":{"formattedCitation":"(Chang, 2007)","plainTextFormattedCitation":"(Chang, 2007)","previouslyFormattedCitation":"(Chang, 2007)"},"properties":{"noteIndex":0},"schema":"https://github.com/citation-style-language/schema/raw/master/csl-citation.json"}</w:instrText>
      </w:r>
      <w:r w:rsidR="001C2BE0" w:rsidRPr="00D54138">
        <w:rPr>
          <w:rFonts w:ascii="Times New Roman" w:hAnsi="Times New Roman"/>
          <w:color w:val="000000"/>
          <w:sz w:val="24"/>
          <w:szCs w:val="24"/>
        </w:rPr>
        <w:fldChar w:fldCharType="separate"/>
      </w:r>
      <w:r w:rsidR="001C2BE0" w:rsidRPr="00D54138">
        <w:rPr>
          <w:rFonts w:ascii="Times New Roman" w:hAnsi="Times New Roman"/>
          <w:noProof/>
          <w:color w:val="000000"/>
          <w:sz w:val="24"/>
          <w:szCs w:val="24"/>
        </w:rPr>
        <w:t>(Chang, 2007)</w:t>
      </w:r>
      <w:r w:rsidR="001C2BE0" w:rsidRPr="00D54138">
        <w:rPr>
          <w:rFonts w:ascii="Times New Roman" w:hAnsi="Times New Roman"/>
          <w:color w:val="000000"/>
          <w:sz w:val="24"/>
          <w:szCs w:val="24"/>
        </w:rPr>
        <w:fldChar w:fldCharType="end"/>
      </w:r>
      <w:r w:rsidR="001C2BE0" w:rsidRPr="00D54138">
        <w:rPr>
          <w:rFonts w:ascii="Times New Roman" w:hAnsi="Times New Roman"/>
          <w:color w:val="000000"/>
          <w:sz w:val="24"/>
          <w:szCs w:val="24"/>
        </w:rPr>
        <w:t xml:space="preserve">. </w:t>
      </w:r>
      <w:r w:rsidR="00BD58FF" w:rsidRPr="00D54138">
        <w:rPr>
          <w:rFonts w:ascii="Times New Roman" w:hAnsi="Times New Roman"/>
          <w:color w:val="000000"/>
          <w:sz w:val="24"/>
          <w:szCs w:val="24"/>
        </w:rPr>
        <w:t xml:space="preserve"> </w:t>
      </w:r>
    </w:p>
    <w:p w14:paraId="001CF64B" w14:textId="4CF8F318" w:rsidR="00BD58FF" w:rsidRPr="00D54138" w:rsidRDefault="00C33307" w:rsidP="008B44D2">
      <w:pPr>
        <w:spacing w:after="0" w:line="240" w:lineRule="auto"/>
        <w:ind w:firstLine="720"/>
        <w:jc w:val="both"/>
        <w:rPr>
          <w:rFonts w:ascii="Times New Roman" w:hAnsi="Times New Roman"/>
          <w:color w:val="000000"/>
          <w:sz w:val="24"/>
          <w:szCs w:val="24"/>
        </w:rPr>
      </w:pPr>
      <w:r w:rsidRPr="00D54138">
        <w:rPr>
          <w:rFonts w:ascii="Times New Roman" w:hAnsi="Times New Roman"/>
          <w:sz w:val="24"/>
          <w:szCs w:val="24"/>
        </w:rPr>
        <w:t>Researchers found that the reason an organization is structured and how it operates is contingent on the existence and impact of a few important internal and external environmental variables. Researchers sought to identify the optimal organizational structures and management techniques for various types of organizations</w:t>
      </w:r>
      <w:r w:rsidR="00BD58FF" w:rsidRPr="00D54138">
        <w:rPr>
          <w:rFonts w:ascii="Times New Roman" w:hAnsi="Times New Roman"/>
          <w:color w:val="000000"/>
          <w:sz w:val="24"/>
          <w:szCs w:val="24"/>
        </w:rPr>
        <w:t xml:space="preserve"> </w:t>
      </w:r>
      <w:r w:rsidR="00287776" w:rsidRPr="00D54138">
        <w:rPr>
          <w:rFonts w:ascii="Times New Roman" w:hAnsi="Times New Roman"/>
          <w:color w:val="000000"/>
          <w:sz w:val="24"/>
          <w:szCs w:val="24"/>
        </w:rPr>
        <w:fldChar w:fldCharType="begin" w:fldLock="1"/>
      </w:r>
      <w:r w:rsidR="00287776" w:rsidRPr="00D54138">
        <w:rPr>
          <w:rFonts w:ascii="Times New Roman" w:hAnsi="Times New Roman"/>
          <w:color w:val="000000"/>
          <w:sz w:val="24"/>
          <w:szCs w:val="24"/>
        </w:rPr>
        <w:instrText>ADDIN CSL_CITATION {"citationItems":[{"id":"ITEM-1","itemData":{"ISSN":"1029-3574","author":[{"dropping-particle":"","family":"Parker","given":"Lee D","non-dropping-particle":"","parse-names":false,"suffix":""}],"container-title":"Asia-Pacific Journal of Accounting","id":"ITEM-1","issue":"2","issued":{"date-parts":[["1997"]]},"page":"145-173","publisher":"Taylor &amp; Francis","title":"Accounting for environmental strategy: cost management, control and performance evaluation","type":"article-journal","volume":"4"},"uris":["http://www.mendeley.com/documents/?uuid=8e6c4c8c-de6a-49f4-b9fc-53b6f89dcfbe"]}],"mendeley":{"formattedCitation":"(Parker, 1997)","plainTextFormattedCitation":"(Parker, 1997)","previouslyFormattedCitation":"(Parker, 1997)"},"properties":{"noteIndex":0},"schema":"https://github.com/citation-style-language/schema/raw/master/csl-citation.json"}</w:instrText>
      </w:r>
      <w:r w:rsidR="00287776" w:rsidRPr="00D54138">
        <w:rPr>
          <w:rFonts w:ascii="Times New Roman" w:hAnsi="Times New Roman"/>
          <w:color w:val="000000"/>
          <w:sz w:val="24"/>
          <w:szCs w:val="24"/>
        </w:rPr>
        <w:fldChar w:fldCharType="separate"/>
      </w:r>
      <w:r w:rsidR="00287776" w:rsidRPr="00D54138">
        <w:rPr>
          <w:rFonts w:ascii="Times New Roman" w:hAnsi="Times New Roman"/>
          <w:noProof/>
          <w:color w:val="000000"/>
          <w:sz w:val="24"/>
          <w:szCs w:val="24"/>
        </w:rPr>
        <w:t>(Parker, 1997)</w:t>
      </w:r>
      <w:r w:rsidR="00287776" w:rsidRPr="00D54138">
        <w:rPr>
          <w:rFonts w:ascii="Times New Roman" w:hAnsi="Times New Roman"/>
          <w:color w:val="000000"/>
          <w:sz w:val="24"/>
          <w:szCs w:val="24"/>
        </w:rPr>
        <w:fldChar w:fldCharType="end"/>
      </w:r>
      <w:r w:rsidR="00BD58FF" w:rsidRPr="00D54138">
        <w:rPr>
          <w:rFonts w:ascii="Times New Roman" w:hAnsi="Times New Roman"/>
          <w:color w:val="000000"/>
          <w:sz w:val="24"/>
          <w:szCs w:val="24"/>
        </w:rPr>
        <w:t xml:space="preserve">. </w:t>
      </w:r>
      <w:r w:rsidRPr="00D54138">
        <w:rPr>
          <w:rFonts w:ascii="Times New Roman" w:hAnsi="Times New Roman"/>
          <w:sz w:val="24"/>
          <w:szCs w:val="24"/>
        </w:rPr>
        <w:t>The management accounting-contingency theory is predicated on the notion that there is no single accounting system that can be utilized by all firms in all circumstances</w:t>
      </w:r>
      <w:r w:rsidRPr="00D54138">
        <w:rPr>
          <w:rFonts w:ascii="Times New Roman" w:hAnsi="Times New Roman"/>
          <w:color w:val="000000"/>
          <w:sz w:val="24"/>
          <w:szCs w:val="24"/>
        </w:rPr>
        <w:t xml:space="preserve"> </w:t>
      </w:r>
      <w:r w:rsidR="00BD58FF" w:rsidRPr="00D54138">
        <w:rPr>
          <w:rFonts w:ascii="Times New Roman" w:hAnsi="Times New Roman"/>
          <w:color w:val="000000"/>
          <w:sz w:val="24"/>
          <w:szCs w:val="24"/>
        </w:rPr>
        <w:t>(Emmanuel et al., 1990)</w:t>
      </w:r>
      <w:r w:rsidRPr="00D54138">
        <w:rPr>
          <w:rFonts w:ascii="Times New Roman" w:hAnsi="Times New Roman"/>
          <w:sz w:val="24"/>
          <w:szCs w:val="24"/>
        </w:rPr>
        <w:t xml:space="preserve">. Instead, the idea states that the characteristics of a good accounting system will depend on the </w:t>
      </w:r>
      <w:r w:rsidR="005409B2" w:rsidRPr="00D54138">
        <w:rPr>
          <w:rFonts w:ascii="Times New Roman" w:hAnsi="Times New Roman"/>
          <w:sz w:val="24"/>
          <w:szCs w:val="24"/>
        </w:rPr>
        <w:t>circumstances</w:t>
      </w:r>
      <w:r w:rsidRPr="00D54138">
        <w:rPr>
          <w:rFonts w:ascii="Times New Roman" w:hAnsi="Times New Roman"/>
          <w:sz w:val="24"/>
          <w:szCs w:val="24"/>
        </w:rPr>
        <w:t xml:space="preserve"> in which a business finds itself. Case-based studies employ several types of techniques</w:t>
      </w:r>
      <w:r w:rsidR="00BD58FF" w:rsidRPr="00D54138">
        <w:rPr>
          <w:rFonts w:ascii="Times New Roman" w:hAnsi="Times New Roman"/>
          <w:color w:val="000000"/>
          <w:sz w:val="24"/>
          <w:szCs w:val="24"/>
        </w:rPr>
        <w:t xml:space="preserve"> </w:t>
      </w:r>
      <w:r w:rsidR="00287776" w:rsidRPr="00D54138">
        <w:rPr>
          <w:rFonts w:ascii="Times New Roman" w:hAnsi="Times New Roman"/>
          <w:color w:val="000000"/>
          <w:sz w:val="24"/>
          <w:szCs w:val="24"/>
        </w:rPr>
        <w:fldChar w:fldCharType="begin" w:fldLock="1"/>
      </w:r>
      <w:r w:rsidR="00287776" w:rsidRPr="00D54138">
        <w:rPr>
          <w:rFonts w:ascii="Times New Roman" w:hAnsi="Times New Roman"/>
          <w:color w:val="000000"/>
          <w:sz w:val="24"/>
          <w:szCs w:val="24"/>
        </w:rPr>
        <w:instrText>ADDIN CSL_CITATION {"citationItems":[{"id":"ITEM-1","itemData":{"DOI":"10.1016/j.jclepro.2012.10.007","ISSN":"09596526","abstract":"Environmental management accounting (EMA) has received increasing interest in recent years and has been promoted as a means by which the business community can more easily manage its environmental and associated economic performance. Yet despite increasing interest, theoretically informed projects concerning the current state of EMA development remain scarce. The research presented here aimed to extend current knowledge by investigating whether organisational context could be used to develop a greater understanding of EMA use by Australian organisations. Drawing on contingency theory, a research framework was developed that sought to identify the circumstances under which organisations were more likely to engage with EMA activities, both now and in the future. In order to test this framework a web-based survey of Australian accountants in business was conducted. The data suggested present and future EMA use was associated with environmental strategy, organisational size and environmentally-sensitive industries. Contrary to expectation organisational structure was not found to be associated with accountants' perceptions of EMA use in their organisations. These findings support the potential of contingency-based research to further current knowledge and understanding of the reasons behind EMA development. © 2012 Elsevier Ltd. All rights reserved.","author":[{"dropping-particle":"","family":"Christ","given":"Katherine L.","non-dropping-particle":"","parse-names":false,"suffix":""},{"dropping-particle":"","family":"Burritt","given":"Roger L.","non-dropping-particle":"","parse-names":false,"suffix":""}],"container-title":"Journal of Cleaner Production","id":"ITEM-1","issued":{"date-parts":[["2013"]]},"note":"Cited By (since 2013): 106","page":"163-173","title":"Environmental management accounting: The significance of contingent variables for adoption","type":"article-journal","volume":"41"},"uris":["http://www.mendeley.com/documents/?uuid=1333c523-c041-4f46-83f3-b0943d993210"]}],"mendeley":{"formattedCitation":"(Christ &amp; Burritt, 2013)","plainTextFormattedCitation":"(Christ &amp; Burritt, 2013)","previouslyFormattedCitation":"(Christ &amp; Burritt, 2013)"},"properties":{"noteIndex":0},"schema":"https://github.com/citation-style-language/schema/raw/master/csl-citation.json"}</w:instrText>
      </w:r>
      <w:r w:rsidR="00287776" w:rsidRPr="00D54138">
        <w:rPr>
          <w:rFonts w:ascii="Times New Roman" w:hAnsi="Times New Roman"/>
          <w:color w:val="000000"/>
          <w:sz w:val="24"/>
          <w:szCs w:val="24"/>
        </w:rPr>
        <w:fldChar w:fldCharType="separate"/>
      </w:r>
      <w:r w:rsidR="00287776" w:rsidRPr="00D54138">
        <w:rPr>
          <w:rFonts w:ascii="Times New Roman" w:hAnsi="Times New Roman"/>
          <w:noProof/>
          <w:color w:val="000000"/>
          <w:sz w:val="24"/>
          <w:szCs w:val="24"/>
        </w:rPr>
        <w:t>(Christ &amp; Burritt, 2013)</w:t>
      </w:r>
      <w:r w:rsidR="00287776" w:rsidRPr="00D54138">
        <w:rPr>
          <w:rFonts w:ascii="Times New Roman" w:hAnsi="Times New Roman"/>
          <w:color w:val="000000"/>
          <w:sz w:val="24"/>
          <w:szCs w:val="24"/>
        </w:rPr>
        <w:fldChar w:fldCharType="end"/>
      </w:r>
      <w:r w:rsidR="00BD58FF" w:rsidRPr="00D54138">
        <w:rPr>
          <w:rFonts w:ascii="Times New Roman" w:hAnsi="Times New Roman"/>
          <w:color w:val="000000"/>
          <w:sz w:val="24"/>
          <w:szCs w:val="24"/>
        </w:rPr>
        <w:t xml:space="preserve">. </w:t>
      </w:r>
      <w:r w:rsidRPr="00D54138">
        <w:rPr>
          <w:rFonts w:ascii="Times New Roman" w:hAnsi="Times New Roman"/>
          <w:sz w:val="24"/>
          <w:szCs w:val="24"/>
        </w:rPr>
        <w:t>According to P</w:t>
      </w:r>
      <w:r w:rsidR="00BD58FF" w:rsidRPr="00D54138">
        <w:rPr>
          <w:rFonts w:ascii="Times New Roman" w:hAnsi="Times New Roman"/>
          <w:color w:val="000000"/>
          <w:sz w:val="24"/>
          <w:szCs w:val="24"/>
        </w:rPr>
        <w:t xml:space="preserve">arker </w:t>
      </w:r>
      <w:r w:rsidR="00287776" w:rsidRPr="00D54138">
        <w:rPr>
          <w:rFonts w:ascii="Times New Roman" w:hAnsi="Times New Roman"/>
          <w:color w:val="000000"/>
          <w:sz w:val="24"/>
          <w:szCs w:val="24"/>
        </w:rPr>
        <w:fldChar w:fldCharType="begin" w:fldLock="1"/>
      </w:r>
      <w:r w:rsidR="00287776" w:rsidRPr="00D54138">
        <w:rPr>
          <w:rFonts w:ascii="Times New Roman" w:hAnsi="Times New Roman"/>
          <w:color w:val="000000"/>
          <w:sz w:val="24"/>
          <w:szCs w:val="24"/>
        </w:rPr>
        <w:instrText>ADDIN CSL_CITATION {"citationItems":[{"id":"ITEM-1","itemData":{"ISSN":"1029-3574","author":[{"dropping-particle":"","family":"Parker","given":"Lee D","non-dropping-particle":"","parse-names":false,"suffix":""}],"container-title":"Asia-Pacific Journal of Accounting","id":"ITEM-1","issue":"2","issued":{"date-parts":[["1997"]]},"page":"145-173","publisher":"Taylor &amp; Francis","title":"Accounting for environmental strategy: cost management, control and performance evaluation","type":"article-journal","volume":"4"},"uris":["http://www.mendeley.com/documents/?uuid=8e6c4c8c-de6a-49f4-b9fc-53b6f89dcfbe"]}],"mendeley":{"formattedCitation":"(Parker, 1997)","manualFormatting":"(1997)","plainTextFormattedCitation":"(Parker, 1997)","previouslyFormattedCitation":"(Parker, 1997)"},"properties":{"noteIndex":0},"schema":"https://github.com/citation-style-language/schema/raw/master/csl-citation.json"}</w:instrText>
      </w:r>
      <w:r w:rsidR="00287776" w:rsidRPr="00D54138">
        <w:rPr>
          <w:rFonts w:ascii="Times New Roman" w:hAnsi="Times New Roman"/>
          <w:color w:val="000000"/>
          <w:sz w:val="24"/>
          <w:szCs w:val="24"/>
        </w:rPr>
        <w:fldChar w:fldCharType="separate"/>
      </w:r>
      <w:r w:rsidR="00287776" w:rsidRPr="00D54138">
        <w:rPr>
          <w:rFonts w:ascii="Times New Roman" w:hAnsi="Times New Roman"/>
          <w:noProof/>
          <w:color w:val="000000"/>
          <w:sz w:val="24"/>
          <w:szCs w:val="24"/>
        </w:rPr>
        <w:t>(1997)</w:t>
      </w:r>
      <w:r w:rsidR="00287776" w:rsidRPr="00D54138">
        <w:rPr>
          <w:rFonts w:ascii="Times New Roman" w:hAnsi="Times New Roman"/>
          <w:color w:val="000000"/>
          <w:sz w:val="24"/>
          <w:szCs w:val="24"/>
        </w:rPr>
        <w:fldChar w:fldCharType="end"/>
      </w:r>
      <w:r w:rsidR="00BD58FF" w:rsidRPr="00D54138">
        <w:rPr>
          <w:rFonts w:ascii="Times New Roman" w:hAnsi="Times New Roman"/>
          <w:color w:val="000000"/>
          <w:sz w:val="24"/>
          <w:szCs w:val="24"/>
        </w:rPr>
        <w:t xml:space="preserve"> </w:t>
      </w:r>
      <w:r w:rsidRPr="00D54138">
        <w:rPr>
          <w:rFonts w:ascii="Times New Roman" w:hAnsi="Times New Roman"/>
          <w:sz w:val="24"/>
          <w:szCs w:val="24"/>
        </w:rPr>
        <w:t xml:space="preserve">environmental accounting may depend on the significance of environmental management practices. In addition, Chenhall </w:t>
      </w:r>
      <w:r w:rsidR="00287776" w:rsidRPr="00D54138">
        <w:rPr>
          <w:rFonts w:ascii="Times New Roman" w:hAnsi="Times New Roman"/>
          <w:color w:val="000000"/>
          <w:sz w:val="24"/>
          <w:szCs w:val="24"/>
        </w:rPr>
        <w:fldChar w:fldCharType="begin" w:fldLock="1"/>
      </w:r>
      <w:r w:rsidR="009318C9" w:rsidRPr="00D54138">
        <w:rPr>
          <w:rFonts w:ascii="Times New Roman" w:hAnsi="Times New Roman"/>
          <w:color w:val="000000"/>
          <w:sz w:val="24"/>
          <w:szCs w:val="24"/>
        </w:rPr>
        <w:instrText>ADDIN CSL_CITATION {"citationItems":[{"id":"ITEM-1","itemData":{"DOI":"https://doi.org/10.1016/S0361-3682(01)00027-7","ISSN":"0361-3682","abstract":"Contingency-based research has a long tradition in the study of management control systems (MCS). Researchers have attempted to explain the effectiveness of MCS by examining designs that best suit the nature of the environment, technology, size, structure, strategy and national culture. In recent years, contingency-based research has maintained its popularity with studies including these variables but redefining them in contemporary terms. This paper provides a critical review of findings from contingency-based studies over the past 20 years, deriving a series of propositions relating MCS to organizational context. The paper examines issues related to the purpose of MCS, the elements of MCS, the meaning and measurement of contextual variables, and issues concerning theory development. A final section considers the possibility that contingency-based ideas could encompass insights from a variety of theories to help understand MCS within its organizational context.","author":[{"dropping-particle":"","family":"Chenhall","given":"Robert H","non-dropping-particle":"","parse-names":false,"suffix":""}],"container-title":"Accounting, Organizations and Society","id":"ITEM-1","issue":"2–3","issued":{"date-parts":[["2003","2"]]},"page":"127-168","title":"Management control systems design within its organizational context: findings from contingency-based research and directions for the future","type":"article-journal","volume":"28"},"uris":["http://www.mendeley.com/documents/?uuid=64d662da-7ff4-482c-be4c-8f64db225573"]}],"mendeley":{"formattedCitation":"(Chenhall, 2003)","manualFormatting":"(2003)","plainTextFormattedCitation":"(Chenhall, 2003)","previouslyFormattedCitation":"(Chenhall, 2003)"},"properties":{"noteIndex":0},"schema":"https://github.com/citation-style-language/schema/raw/master/csl-citation.json"}</w:instrText>
      </w:r>
      <w:r w:rsidR="00287776" w:rsidRPr="00D54138">
        <w:rPr>
          <w:rFonts w:ascii="Times New Roman" w:hAnsi="Times New Roman"/>
          <w:color w:val="000000"/>
          <w:sz w:val="24"/>
          <w:szCs w:val="24"/>
        </w:rPr>
        <w:fldChar w:fldCharType="separate"/>
      </w:r>
      <w:r w:rsidR="00287776" w:rsidRPr="00D54138">
        <w:rPr>
          <w:rFonts w:ascii="Times New Roman" w:hAnsi="Times New Roman"/>
          <w:noProof/>
          <w:color w:val="000000"/>
          <w:sz w:val="24"/>
          <w:szCs w:val="24"/>
        </w:rPr>
        <w:t>(2003)</w:t>
      </w:r>
      <w:r w:rsidR="00287776" w:rsidRPr="00D54138">
        <w:rPr>
          <w:rFonts w:ascii="Times New Roman" w:hAnsi="Times New Roman"/>
          <w:color w:val="000000"/>
          <w:sz w:val="24"/>
          <w:szCs w:val="24"/>
        </w:rPr>
        <w:fldChar w:fldCharType="end"/>
      </w:r>
      <w:r w:rsidR="00BD58FF" w:rsidRPr="00D54138">
        <w:rPr>
          <w:rFonts w:ascii="Times New Roman" w:hAnsi="Times New Roman"/>
          <w:color w:val="000000"/>
          <w:sz w:val="24"/>
          <w:szCs w:val="24"/>
        </w:rPr>
        <w:t xml:space="preserve"> </w:t>
      </w:r>
      <w:r w:rsidRPr="00D54138">
        <w:rPr>
          <w:rFonts w:ascii="Times New Roman" w:hAnsi="Times New Roman"/>
          <w:sz w:val="24"/>
          <w:szCs w:val="24"/>
        </w:rPr>
        <w:t xml:space="preserve">noted that contingency-based research indicates that specific tactics will be more effective for particular strategies, regardless of the strategic direction chosen. Researchers in the subject of environmental management accounting </w:t>
      </w:r>
      <w:r w:rsidR="005409B2" w:rsidRPr="00D54138">
        <w:rPr>
          <w:rFonts w:ascii="Times New Roman" w:hAnsi="Times New Roman"/>
          <w:sz w:val="24"/>
          <w:szCs w:val="24"/>
        </w:rPr>
        <w:t>makes</w:t>
      </w:r>
      <w:r w:rsidRPr="00D54138">
        <w:rPr>
          <w:rFonts w:ascii="Times New Roman" w:hAnsi="Times New Roman"/>
          <w:sz w:val="24"/>
          <w:szCs w:val="24"/>
        </w:rPr>
        <w:t xml:space="preserve"> extensive use of contingency theory, according to the study's findings </w:t>
      </w:r>
      <w:r w:rsidR="009318C9" w:rsidRPr="00D54138">
        <w:rPr>
          <w:rFonts w:ascii="Times New Roman" w:hAnsi="Times New Roman"/>
          <w:color w:val="000000"/>
          <w:sz w:val="24"/>
          <w:szCs w:val="24"/>
        </w:rPr>
        <w:fldChar w:fldCharType="begin" w:fldLock="1"/>
      </w:r>
      <w:r w:rsidR="00F46348" w:rsidRPr="00D54138">
        <w:rPr>
          <w:rFonts w:ascii="Times New Roman" w:hAnsi="Times New Roman"/>
          <w:color w:val="000000"/>
          <w:sz w:val="24"/>
          <w:szCs w:val="24"/>
        </w:rPr>
        <w:instrText>ADDIN CSL_CITATION {"citationItems":[{"id":"ITEM-1","itemData":{"ISSN":"1823836X","abstract":"Environmental issues are attracting increasing attention in Malaysia with the tremendous increase in waste generation; the cost of production and waste treatment is getting expensive. Data from the Malaysian Environmental Department shows that 80% of the waste is generated by the manufacturing industry. Firms are constantly requested to change their business practices to incorporate environmental activities. It also indicates that future natural resources are being squandered as waste due to less exposure to environmental management accounting, which results in unproductivity, overproduction, increase in total delivery cost, or inefficiency in manufacturing plant. This research exploits the quantitative research methodology to understand the relationship between contingent factors, which are uncertainty in the environment, organizational size, environmental strategy, regulatory pressure, and top management commitment that influence environmental management accounting and environmental performance among manufacturing companies in Klang Valley, Selangor. The survey was conducted on manufacturing companies located in Klang Valley, based on the 2,400 companies registered in the Federal Malaysian Manufacturer (FMM) database. 600 questionnaires were sent out to manufacturing companies and the finding highlights that the uncertainty in the environment, regulatory pressure, and top management commitment significantly affect environmental performance.","author":[{"dropping-particle":"","family":"San","given":"Ong Tze","non-dropping-particle":"","parse-names":false,"suffix":""},{"dropping-particle":"","family":"Heng","given":"Teh Boon","non-dropping-particle":"","parse-names":false,"suffix":""},{"dropping-particle":"","family":"Selley","given":"Selvi","non-dropping-particle":"","parse-names":false,"suffix":""},{"dropping-particle":"","family":"Magsi","given":"Hussain","non-dropping-particle":"","parse-names":false,"suffix":""}],"container-title":"International Journal of Economics and Management","id":"ITEM-1","issue":"1","issued":{"date-parts":[["2018"]]},"note":"Cited By (since 2018): 8","page":"205-232","publisher":"ijem.upm.edu.my","title":"The relationship between contingent factors that influence the environmental management accounting and environmental performance among manufacturing companies in Klang Valley, Malaysia","type":"article","volume":"12"},"uris":["http://www.mendeley.com/documents/?uuid=df8f29c3-ed9b-462a-a00d-cee9b5596e17"]},{"id":"ITEM-2","itemData":{"DOI":"10.1016/j.jclepro.2021.127402","ISSN":"09596526","abstract":"Despite the popularity of environmental management accounting as an approach to support corporate cleaner production measures, so far, how the environmental management accounting implementation differs according to the stage of cleaner production strategy development is largely unknown. This study thus sought to identify how the uses of environmental management accounting and information characteristics vary among organizations at different stages of cleaner production strategy development. Drawing on the contingency theory view of environmental management accounting system sophistication, cleaner production strategy development stages, and environmental management accounting uses, it developed an analytical framework. Based on eighteen case studies of business in Sri Lanka, the study analyzed the different domain-based and functional uses of environmental management accounting and their characteristics according to their cleaner production strategy development (i.e., reactive, preventive and proactive stages). Overall, the study found that environmental management accounting uses to be limited and fragmented in organizations at the reactive and preventive stages except for using environmental management accounting for cost savings and efficiency improvements. However, the findings suggest that as and when organizations progress into higher levels of cleaner production strategy development, there is a relatively high level of use of environmental management accounting in terms of integrative tools, and for control and stewardship purposes.","author":[{"dropping-particle":"","family":"Gunarathne","given":"Nuwan","non-dropping-particle":"","parse-names":false,"suffix":""},{"dropping-particle":"","family":"Lee","given":"Ki Hoon","non-dropping-particle":"","parse-names":false,"suffix":""}],"container-title":"Journal of Cleaner Production","id":"ITEM-2","issued":{"date-parts":[["2021","7","25"]]},"publisher":"Elsevier Ltd","title":"Corporate cleaner production strategy development and environmental management accounting: A contingency theory perspective","type":"article-journal","volume":"308"},"uris":["http://www.mendeley.com/documents/?uuid=4ef2cbad-ebbf-3242-9e3d-d46278af9d89"]},{"id":"ITEM-3","itemData":{"DOI":"10.1108/MEDAR-03-2017-0133","ISSN":"20493738","abstract":"Purpose: Carbon management accounting (CMA) is one part of sustainability accounting designed to provide information for the management of carbon dioxide (CO2) releases. Adopting the contingency framework, this paper aims to examine the contextual antecedents that influence CMA adoption in Ghanaian firms. Design/methodology/approach: The paper tests seven contextual dimensions, namely, strategy, structure, size, environmental management system (EMS), decentralization, technology and perceived environmental uncertainty, on CMA adoption from a survey of 125 accountants. Findings: Consistent with prior literature, organizational strategy, structure, environmental management accounting (EMA), firm size, technology and perceived environmental uncertainty were found to be positively associated with CMA adoption and hence support contingency theory. However, a relationship between decentralization and EMA adoption was not supported by the sample data. Also, the existence of CMA systems was found to be low in the sample firms, although more than half of the respondents have EMS. Research limitations/implications: The study is limited to Ghana hence possible generalization of the results is limited. Further exploration of contingency-based research in other emerging economies would provide valuable insights on CMA adoption and practices to contribute to the CMA literature. Practical implications: The findings suggest that although CMA adoption and practices is low in the sampled firms, both contextual and environmental factors play a vital role in the adoption of CMA in developing economies, as it pertains to the generic management accounting systems. Policies governing CMA practice should incorporate organizational contextual factors. Originality/value: The paper presents preliminary empirical evidence on the state of adoption and practice of CMA from an emerging economy perspective, an area which lacks empirical investigation both in the EMA and the carbon accounting domain. It draws considerable novelty on the basis that despite the growing interest in climate change-based research empirical works on CO2 emissions conducted exclusively from management accounting perspective, and in developing economies in particular, have been scant. The paper extends the contingency theory framework from conventional practices to the EMA field.","author":[{"dropping-particle":"","family":"Nartey","given":"Edward","non-dropping-particle":"","parse-names":false,"suffix":""}],"container-title":"Meditari Accountancy Research","id":"ITEM-3","issue":"1","issued":{"date-parts":[["2018"]]},"note":"Cited By (since 2018): 8","page":"88-121","title":"Determinants of carbon management accounting adoption in Ghanaian firms","type":"article-journal","volume":"26"},"uris":["http://www.mendeley.com/documents/?uuid=2899277b-452e-459c-86fc-4bc6fffaeab0"]},{"id":"ITEM-4","itemData":{"DOI":"10.5890/JEAM.2018.06.002","ISSN":"23256206","abstract":"The purpose of this paper is to examine the association between the Environmental Strategy (ES) and Environmental Management Accounting (EMA) usage. It also aims to consider the effect of EMA usage on the organizational performance. A research framework was developed based on the contingency theory. Data were collected via questionnaires distributed to companies listed on UAE Stock Markets (ADX and DFM) in 2016. Data were analyzed using a structural equation modelling. The model was statistically validated and evaluated. The results indicated that ES positively affects the level of EMA usage and a positive relationship between EMA and the organizational performance. These findings contribute to the management accounting contingency-based research by providing empirical evidence to support that relationship between ES and EMA as well as between EMA and the organizational performance in the context of developing countries.","author":[{"dropping-particle":"","family":"Al-Mawali","given":"Hamzah","non-dropping-particle":"","parse-names":false,"suffix":""},{"dropping-particle":"","family":"Sharif","given":"Ahmed","non-dropping-particle":"Al","parse-names":false,"suffix":""},{"dropping-particle":"","family":"Abu Rumman","given":"Ghaleb","non-dropping-particle":"","parse-names":false,"suffix":""},{"dropping-particle":"","family":"Kerzan","given":"Faten","non-dropping-particle":"","parse-names":false,"suffix":""}],"container-title":"Journal of Environmental Accounting and Management","id":"ITEM-4","issue":"2","issued":{"date-parts":[["2018"]]},"note":"Cited By (since 2018): 27","page":"105-114","publisher":"books.google.com","title":"Environmental Strategy, Environmental Management Accounting and organizational performance: Evidence from the United Arab Emirates Market","type":"article-journal","volume":"6"},"uris":["http://www.mendeley.com/documents/?uuid=1b60578b-c17b-4c8f-8c81-2e42499daaa3"]}],"mendeley":{"formattedCitation":"(Al-Mawali et al., 2018; N. Gunarathne &amp; Lee, 2021; Nartey, 2018; San et al., 2018)","plainTextFormattedCitation":"(Al-Mawali et al., 2018; N. Gunarathne &amp; Lee, 2021; Nartey, 2018; San et al., 2018)","previouslyFormattedCitation":"(Al-Mawali et al., 2018; N. Gunarathne &amp; Lee, 2021; Nartey, 2018; San et al., 2018)"},"properties":{"noteIndex":0},"schema":"https://github.com/citation-style-language/schema/raw/master/csl-citation.json"}</w:instrText>
      </w:r>
      <w:r w:rsidR="009318C9" w:rsidRPr="00D54138">
        <w:rPr>
          <w:rFonts w:ascii="Times New Roman" w:hAnsi="Times New Roman"/>
          <w:color w:val="000000"/>
          <w:sz w:val="24"/>
          <w:szCs w:val="24"/>
        </w:rPr>
        <w:fldChar w:fldCharType="separate"/>
      </w:r>
      <w:r w:rsidR="009318C9" w:rsidRPr="00D54138">
        <w:rPr>
          <w:rFonts w:ascii="Times New Roman" w:hAnsi="Times New Roman"/>
          <w:noProof/>
          <w:color w:val="000000"/>
          <w:sz w:val="24"/>
          <w:szCs w:val="24"/>
        </w:rPr>
        <w:t>(Al-Mawali et al., 2018; N. Gunarathne &amp; Lee, 2021; Nartey, 2018; San et al., 2018)</w:t>
      </w:r>
      <w:r w:rsidR="009318C9" w:rsidRPr="00D54138">
        <w:rPr>
          <w:rFonts w:ascii="Times New Roman" w:hAnsi="Times New Roman"/>
          <w:color w:val="000000"/>
          <w:sz w:val="24"/>
          <w:szCs w:val="24"/>
        </w:rPr>
        <w:fldChar w:fldCharType="end"/>
      </w:r>
      <w:r w:rsidR="009318C9" w:rsidRPr="00D54138">
        <w:rPr>
          <w:rFonts w:ascii="Times New Roman" w:hAnsi="Times New Roman"/>
          <w:color w:val="000000"/>
          <w:sz w:val="24"/>
          <w:szCs w:val="24"/>
        </w:rPr>
        <w:t>.</w:t>
      </w:r>
    </w:p>
    <w:p w14:paraId="72215D1B" w14:textId="77777777" w:rsidR="00BD58FF" w:rsidRPr="00D54138" w:rsidRDefault="00BD58FF" w:rsidP="008B44D2">
      <w:pPr>
        <w:spacing w:after="0" w:line="240" w:lineRule="auto"/>
        <w:jc w:val="both"/>
        <w:rPr>
          <w:rFonts w:ascii="Times New Roman" w:hAnsi="Times New Roman"/>
          <w:sz w:val="24"/>
          <w:szCs w:val="24"/>
        </w:rPr>
      </w:pPr>
    </w:p>
    <w:p w14:paraId="04FDC80E" w14:textId="77777777" w:rsidR="00BD58FF" w:rsidRPr="00D54138" w:rsidRDefault="00BD58FF" w:rsidP="008B44D2">
      <w:pPr>
        <w:spacing w:after="0" w:line="240" w:lineRule="auto"/>
        <w:jc w:val="both"/>
        <w:rPr>
          <w:rFonts w:ascii="Times New Roman" w:hAnsi="Times New Roman"/>
          <w:b/>
          <w:bCs/>
          <w:sz w:val="24"/>
          <w:szCs w:val="24"/>
        </w:rPr>
      </w:pPr>
      <w:r w:rsidRPr="00D54138">
        <w:rPr>
          <w:rFonts w:ascii="Times New Roman" w:hAnsi="Times New Roman"/>
          <w:b/>
          <w:bCs/>
          <w:sz w:val="24"/>
          <w:szCs w:val="24"/>
        </w:rPr>
        <w:t xml:space="preserve">Stakeholder Theory  </w:t>
      </w:r>
    </w:p>
    <w:p w14:paraId="16F06A86" w14:textId="4026AE5A" w:rsidR="00BD58FF" w:rsidRPr="00D54138" w:rsidRDefault="000951EA" w:rsidP="008B44D2">
      <w:pPr>
        <w:spacing w:after="0" w:line="240" w:lineRule="auto"/>
        <w:jc w:val="both"/>
        <w:rPr>
          <w:rFonts w:ascii="Times New Roman" w:hAnsi="Times New Roman"/>
          <w:sz w:val="24"/>
          <w:szCs w:val="24"/>
        </w:rPr>
      </w:pPr>
      <w:r w:rsidRPr="00D54138">
        <w:rPr>
          <w:rFonts w:ascii="Times New Roman" w:hAnsi="Times New Roman"/>
          <w:sz w:val="24"/>
          <w:szCs w:val="24"/>
        </w:rPr>
        <w:t xml:space="preserve">Organizations adhere to the government's mechanisms to exist and grow </w:t>
      </w:r>
      <w:r w:rsidR="00F46348" w:rsidRPr="00D54138">
        <w:rPr>
          <w:rFonts w:ascii="Times New Roman" w:hAnsi="Times New Roman"/>
          <w:sz w:val="24"/>
          <w:szCs w:val="24"/>
        </w:rPr>
        <w:fldChar w:fldCharType="begin" w:fldLock="1"/>
      </w:r>
      <w:r w:rsidR="00792A27" w:rsidRPr="00D54138">
        <w:rPr>
          <w:rFonts w:ascii="Times New Roman" w:hAnsi="Times New Roman"/>
          <w:sz w:val="24"/>
          <w:szCs w:val="24"/>
        </w:rPr>
        <w:instrText>ADDIN CSL_CITATION {"citationItems":[{"id":"ITEM-1","itemData":{"author":[{"dropping-particle":"","family":"Delmas","given":"Magali","non-dropping-particle":"","parse-names":false,"suffix":""},{"dropping-particle":"","family":"Toffel","given":"Michael W","non-dropping-particle":"","parse-names":false,"suffix":""}],"id":"ITEM-1","issued":{"date-parts":[["2004"]]},"page":"209-222","title":"ENVIRONMENTAL MANAGEMENT PRACTICES :","type":"article-journal","volume":"222"},"uris":["http://www.mendeley.com/documents/?uuid=7bc8d8ec-af83-439c-81a1-fdb116d23d62"]}],"mendeley":{"formattedCitation":"(Delmas &amp; Toffel, 2004)","plainTextFormattedCitation":"(Delmas &amp; Toffel, 2004)","previouslyFormattedCitation":"(Delmas &amp; Toffel, 2004)"},"properties":{"noteIndex":0},"schema":"https://github.com/citation-style-language/schema/raw/master/csl-citation.json"}</w:instrText>
      </w:r>
      <w:r w:rsidR="00F46348" w:rsidRPr="00D54138">
        <w:rPr>
          <w:rFonts w:ascii="Times New Roman" w:hAnsi="Times New Roman"/>
          <w:sz w:val="24"/>
          <w:szCs w:val="24"/>
        </w:rPr>
        <w:fldChar w:fldCharType="separate"/>
      </w:r>
      <w:r w:rsidR="00F46348" w:rsidRPr="00D54138">
        <w:rPr>
          <w:rFonts w:ascii="Times New Roman" w:hAnsi="Times New Roman"/>
          <w:noProof/>
          <w:sz w:val="24"/>
          <w:szCs w:val="24"/>
        </w:rPr>
        <w:t>(Delmas &amp; Toffel, 2004)</w:t>
      </w:r>
      <w:r w:rsidR="00F46348" w:rsidRPr="00D54138">
        <w:rPr>
          <w:rFonts w:ascii="Times New Roman" w:hAnsi="Times New Roman"/>
          <w:sz w:val="24"/>
          <w:szCs w:val="24"/>
        </w:rPr>
        <w:fldChar w:fldCharType="end"/>
      </w:r>
      <w:r w:rsidR="00BD58FF" w:rsidRPr="00D54138">
        <w:rPr>
          <w:rFonts w:ascii="Times New Roman" w:hAnsi="Times New Roman"/>
          <w:sz w:val="24"/>
          <w:szCs w:val="24"/>
        </w:rPr>
        <w:t xml:space="preserve">. </w:t>
      </w:r>
      <w:r w:rsidRPr="00D54138">
        <w:rPr>
          <w:rFonts w:ascii="Times New Roman" w:hAnsi="Times New Roman"/>
          <w:sz w:val="24"/>
          <w:szCs w:val="24"/>
        </w:rPr>
        <w:t>Government enforcement can prompt organizations to alter their behavior. Enhancing or maintaining community relations influences the adoption of environmental management method</w:t>
      </w:r>
      <w:r w:rsidR="003B13DE" w:rsidRPr="00D54138">
        <w:rPr>
          <w:rFonts w:ascii="Times New Roman" w:hAnsi="Times New Roman"/>
          <w:sz w:val="24"/>
          <w:szCs w:val="24"/>
        </w:rPr>
        <w:t>s</w:t>
      </w:r>
      <w:r w:rsidRPr="00D54138">
        <w:rPr>
          <w:rFonts w:ascii="Times New Roman" w:hAnsi="Times New Roman"/>
          <w:sz w:val="24"/>
          <w:szCs w:val="24"/>
        </w:rPr>
        <w:t xml:space="preserve">. If the pressure from the company's stakeholders is severe enough, integrating an EMA system into one's procedures could be a means of legitimizing a company's </w:t>
      </w:r>
      <w:r w:rsidRPr="00D54138">
        <w:rPr>
          <w:rFonts w:ascii="Times New Roman" w:hAnsi="Times New Roman"/>
          <w:sz w:val="24"/>
          <w:szCs w:val="24"/>
        </w:rPr>
        <w:lastRenderedPageBreak/>
        <w:t>internal processes</w:t>
      </w:r>
      <w:r w:rsidR="007E73AF" w:rsidRPr="00D54138">
        <w:rPr>
          <w:rFonts w:ascii="Times New Roman" w:hAnsi="Times New Roman"/>
          <w:sz w:val="24"/>
          <w:szCs w:val="24"/>
        </w:rPr>
        <w:t xml:space="preserve"> </w:t>
      </w:r>
      <w:r w:rsidR="00792A27" w:rsidRPr="00D54138">
        <w:rPr>
          <w:rFonts w:ascii="Times New Roman" w:hAnsi="Times New Roman"/>
          <w:sz w:val="24"/>
          <w:szCs w:val="24"/>
        </w:rPr>
        <w:fldChar w:fldCharType="begin" w:fldLock="1"/>
      </w:r>
      <w:r w:rsidR="007E73AF" w:rsidRPr="00D54138">
        <w:rPr>
          <w:rFonts w:ascii="Times New Roman" w:hAnsi="Times New Roman"/>
          <w:sz w:val="24"/>
          <w:szCs w:val="24"/>
        </w:rPr>
        <w:instrText>ADDIN CSL_CITATION {"citationItems":[{"id":"ITEM-1","itemData":{"DOI":"10.5267/j.uscm.2019.8.003","ISSN":"22916830","abstract":"This paper investigates the role of environmental management accounting on sustainable supply chain management and the link between sustainable supply chain management and efficiency including financial and environmental factors using questionnaire-based survey. The study designed and sent questionnaires to 600 construction material manufacturing enterprises in Vietnam and managed to collect 418 valid ones which was processed by SPSS 20.0 software. The results show that environmental management accounting had a significantly positive impact on sustainable supply chain management. Therefore, if enterprises adopt environmental management accounting, they will more likely implement sustainable supply chain management more efficiently. On the other hand, the findings point out that sustainable supply chain management positively affect to both financial and environmental efficiency. Finally, the study provides some sound suggestions to Vietnamese construction materials manufacturing industry.","author":[{"dropping-particle":"","family":"Le","given":"Thi Tam","non-dropping-particle":"","parse-names":false,"suffix":""}],"container-title":"Uncertain Supply Chain Management","id":"ITEM-1","issue":"1","issued":{"date-parts":[["2020"]]},"note":"Cited By (since 2020): 7","page":"93-104","title":"Performance measures and metrics in a supply chain environment","type":"article-journal","volume":"8"},"uris":["http://www.mendeley.com/documents/?uuid=3fdde450-323c-4a63-aae8-c51cacd1e33f"]}],"mendeley":{"formattedCitation":"(Le, 2020)","plainTextFormattedCitation":"(Le, 2020)","previouslyFormattedCitation":"(Le, 2020)"},"properties":{"noteIndex":0},"schema":"https://github.com/citation-style-language/schema/raw/master/csl-citation.json"}</w:instrText>
      </w:r>
      <w:r w:rsidR="00792A27" w:rsidRPr="00D54138">
        <w:rPr>
          <w:rFonts w:ascii="Times New Roman" w:hAnsi="Times New Roman"/>
          <w:sz w:val="24"/>
          <w:szCs w:val="24"/>
        </w:rPr>
        <w:fldChar w:fldCharType="separate"/>
      </w:r>
      <w:r w:rsidR="00792A27" w:rsidRPr="00D54138">
        <w:rPr>
          <w:rFonts w:ascii="Times New Roman" w:hAnsi="Times New Roman"/>
          <w:noProof/>
          <w:sz w:val="24"/>
          <w:szCs w:val="24"/>
        </w:rPr>
        <w:t>(Le, 2020)</w:t>
      </w:r>
      <w:r w:rsidR="00792A27" w:rsidRPr="00D54138">
        <w:rPr>
          <w:rFonts w:ascii="Times New Roman" w:hAnsi="Times New Roman"/>
          <w:sz w:val="24"/>
          <w:szCs w:val="24"/>
        </w:rPr>
        <w:fldChar w:fldCharType="end"/>
      </w:r>
      <w:r w:rsidR="00BD58FF" w:rsidRPr="00D54138">
        <w:rPr>
          <w:rFonts w:ascii="Times New Roman" w:hAnsi="Times New Roman"/>
          <w:sz w:val="24"/>
          <w:szCs w:val="24"/>
        </w:rPr>
        <w:t xml:space="preserve">. </w:t>
      </w:r>
      <w:r w:rsidRPr="00D54138">
        <w:rPr>
          <w:rFonts w:ascii="Times New Roman" w:hAnsi="Times New Roman"/>
          <w:sz w:val="24"/>
          <w:szCs w:val="24"/>
        </w:rPr>
        <w:t>The results of the mapping demonstrate that stakeholder theory helps explain firms' environmental management accounting practices</w:t>
      </w:r>
      <w:r w:rsidR="00BD58FF" w:rsidRPr="00D54138">
        <w:rPr>
          <w:rFonts w:ascii="Times New Roman" w:hAnsi="Times New Roman"/>
          <w:sz w:val="24"/>
          <w:szCs w:val="24"/>
        </w:rPr>
        <w:t xml:space="preserve"> </w:t>
      </w:r>
      <w:r w:rsidR="007E73AF" w:rsidRPr="00D54138">
        <w:rPr>
          <w:rFonts w:ascii="Times New Roman" w:hAnsi="Times New Roman"/>
          <w:sz w:val="24"/>
          <w:szCs w:val="24"/>
        </w:rPr>
        <w:fldChar w:fldCharType="begin" w:fldLock="1"/>
      </w:r>
      <w:r w:rsidR="00FB4067" w:rsidRPr="00D54138">
        <w:rPr>
          <w:rFonts w:ascii="Times New Roman" w:hAnsi="Times New Roman"/>
          <w:sz w:val="24"/>
          <w:szCs w:val="24"/>
        </w:rPr>
        <w:instrText>ADDIN CSL_CITATION {"citationItems":[{"id":"ITEM-1","itemData":{"DOI":"10.5267/j.uscm.2019.8.003","ISSN":"22916830","abstract":"This paper investigates the role of environmental management accounting on sustainable supply chain management and the link between sustainable supply chain management and efficiency including financial and environmental factors using questionnaire-based survey. The study designed and sent questionnaires to 600 construction material manufacturing enterprises in Vietnam and managed to collect 418 valid ones which was processed by SPSS 20.0 software. The results show that environmental management accounting had a significantly positive impact on sustainable supply chain management. Therefore, if enterprises adopt environmental management accounting, they will more likely implement sustainable supply chain management more efficiently. On the other hand, the findings point out that sustainable supply chain management positively affect to both financial and environmental efficiency. Finally, the study provides some sound suggestions to Vietnamese construction materials manufacturing industry.","author":[{"dropping-particle":"","family":"Le","given":"Thi Tam","non-dropping-particle":"","parse-names":false,"suffix":""}],"container-title":"Uncertain Supply Chain Management","id":"ITEM-1","issue":"1","issued":{"date-parts":[["2020"]]},"note":"Cited By (since 2020): 7","page":"93-104","title":"Performance measures and metrics in a supply chain environment","type":"article-journal","volume":"8"},"uris":["http://www.mendeley.com/documents/?uuid=3fdde450-323c-4a63-aae8-c51cacd1e33f"]},{"id":"ITEM-2","itemData":{"DOI":"10.32479/ijeep.7438","ISSN":"21464553","abstract":"This study was conducted to determine the effect of green innovation (GI) on firm value (FV) with environmental management accounting (EMA) as an intervening variable. Companies that are able to create GI will not only get the economic benefits but also the competitive advantage, therefore it will increase the value of the firm. The application of GI will be able to improve the application of EMA, thereby reducing the impact of environmental damage due to the company’s business processes. With manufacturing and the main sector’s companies listed on the BEI 2012-2015 as the population, using purposive sampling, this study has obtained 277 companies as a sample. The result shows that GI has an effect on EMA, while EMA has proven to affect FV, and GI has an influence on FV.","author":[{"dropping-particle":"","family":"Agustia","given":"Dian","non-dropping-particle":"","parse-names":false,"suffix":""},{"dropping-particle":"","family":"Sawarjuwono","given":"Tjiptohadi","non-dropping-particle":"","parse-names":false,"suffix":""},{"dropping-particle":"","family":"Dianawati","given":"Wiwiek","non-dropping-particle":"","parse-names":false,"suffix":""}],"container-title":"International Journal of Energy Economics and Policy","id":"ITEM-2","issue":"2","issued":{"date-parts":[["2019"]]},"note":"Cited By (since 2019): 28","page":"299-306","title":"The mediating effect of environmental management accounting on green innovation - Firm value relationship","type":"article-journal","volume":"9"},"uris":["http://www.mendeley.com/documents/?uuid=aa9f1643-e4f6-4020-902d-84b9236d3e06"]},{"id":"ITEM-3","itemData":{"ISSN":"23098619","abstract":"The purpose of this study is to empirically investigate the impact of environmental innovation constituting product innovation (PDI) and process innovation (PCI) on firms' financial performance (FFP). It also inquires the mediating roles of environmental management accounting (EMA) and the firm's environmental strategy (FES) between innovation and FFP. We have analyzed primary data collected from 363 respondents, working at the managing positions in the manufacturing sector of Pakistan. The proposed model was estimated by applying structural equation modeling. Results show that PDI and PCI have positive and significant impacts on FFP. Furthermore, the findings indicate that EMA and FES mediate the relationship between innovation and FFP in the manufacturing sector of Pakistan. This is the first study in the available literature on EMA, which promulgates a comprehensive theoretical model in the context of the manufacturing sector of Pakistan by introducing two mediators between the association of environmental innovation and firms' financial performance. This study suggests the managers of the manufacturing companies or similar sectors to introduce innovations in their products and processes for developing a better EMA system; they must propose appropriate environmental strategies to enhance their firms' performance. The current study also tends to assist policymakers in developing appropriate policies for the manufacturing sector of Pakistan by realizing the importance of environmental innovation, EMA, and FES so that their environmental and economic impacts can be managed and regulated.","author":[{"dropping-particle":"","family":"Chaudhry","given":"Naveed Iqbal","non-dropping-particle":"","parse-names":false,"suffix":""},{"dropping-particle":"","family":"Asad","given":"Humaira","non-dropping-particle":"","parse-names":false,"suffix":""},{"dropping-particle":"","family":"Ch","given":"Muhammad Amir","non-dropping-particle":"","parse-names":false,"suffix":""},{"dropping-particle":"","family":"Hussian","given":"Rai Imitiaz","non-dropping-particle":"","parse-names":false,"suffix":""}],"container-title":"Pakistan Journal of Commerce and Social Science","id":"ITEM-3","issue":"3","issued":{"date-parts":[["2020"]]},"page":"715-737","title":"Environmental innovation and financial performance: Mediating role of environmental management accounting and firm's environmental strategy","type":"article-journal","volume":"14"},"uris":["http://www.mendeley.com/documents/?uuid=d0b635e3-6efc-4ee2-a002-1c3592805290"]},{"id":"ITEM-4","itemData":{"DOI":"10.3390/en13184897","ISSN":"19961073","abstract":"The South African coalmining industry has a rich and long history and contributes significantly to the economic wellbeing of the country. Despite its importance in developing the economy, the industry is causing severe environmental challenges. For example, Emalahleni, a city situated in the Mpumalanga Province in South Africa, has been exposed for over a century to the continuous mining of coal. Challenges experienced include the sterilisation of land due to underground fires, water pollution, surface collapse, and acidification of topsoil. Previous work by the researchers formulated a conceptual framework aimed at addressing some of these challenges. In an extension of this work, the authors comprehensively enhance the preliminary framework on the strength of a set of qualitative propositions coupled with a parallel, exploratory survey. Interviews among various stakeholders were conducted, aimed at enhancing the components of the framework, followed by a focus group to validate the associations among the components of the framework. Aspects reinforced by the survey findings include the role of environmental management accounting, tools like material-flow cost accounting and life-cycle costing, and regulatory and accountability aspects. New aspects elicited from the interviews and the focus group include stakeholder education and training with respect to the value of environmental management accounting for the coalmining industry; adherence to risk management linked to environmental challenges; advanced technologies, for example, financial modelling; and an improved understanding of waste management aspects around acid mine drainage, volatile organic components, CO2 emissions, and post-mine closure. The novelty of the work lies in the approach taken to address coalmining challenges. Previous authors concentrated mostly on scientific and engineering aspects, while this research looks at it from an accounting perspective using environmental management accounting tools to address these challenges.","author":[{"dropping-particle":"","family":"Mbedzi","given":"Mashudu David","non-dropping-particle":"","parse-names":false,"suffix":""},{"dropping-particle":"","family":"Poll","given":"Huibrecht Margaretha","non-dropping-particle":"van der","parse-names":false,"suffix":""},{"dropping-particle":"","family":"Poll","given":"John Andrew","non-dropping-particle":"van der","parse-names":false,"suffix":""}],"container-title":"Energies","id":"ITEM-4","issue":"18","issued":{"date-parts":[["2020"]]},"note":"Cited By (since 2020): 4","title":"Enhancing a decision-making framework to address environmental impacts of the south african coalmining industry","type":"article-journal","volume":"13"},"uris":["http://www.mendeley.com/documents/?uuid=51a0d184-44f9-477f-bf8b-f5556f0a5382"]}],"mendeley":{"formattedCitation":"(Agustia et al., 2019; Chaudhry et al., 2020; Le, 2020; Mashudu David Mbedzi et al., 2020)","plainTextFormattedCitation":"(Agustia et al., 2019; Chaudhry et al., 2020; Le, 2020; Mashudu David Mbedzi et al., 2020)","previouslyFormattedCitation":"(Agustia et al., 2019; Chaudhry et al., 2020; Le, 2020; Mashudu David Mbedzi et al., 2020)"},"properties":{"noteIndex":0},"schema":"https://github.com/citation-style-language/schema/raw/master/csl-citation.json"}</w:instrText>
      </w:r>
      <w:r w:rsidR="007E73AF" w:rsidRPr="00D54138">
        <w:rPr>
          <w:rFonts w:ascii="Times New Roman" w:hAnsi="Times New Roman"/>
          <w:sz w:val="24"/>
          <w:szCs w:val="24"/>
        </w:rPr>
        <w:fldChar w:fldCharType="separate"/>
      </w:r>
      <w:r w:rsidR="00642656" w:rsidRPr="00D54138">
        <w:rPr>
          <w:rFonts w:ascii="Times New Roman" w:hAnsi="Times New Roman"/>
          <w:noProof/>
          <w:sz w:val="24"/>
          <w:szCs w:val="24"/>
        </w:rPr>
        <w:t>(Agustia et al., 2019; Chaudhry et al., 2020; Le, 2020; Mashudu David Mbedzi et al., 2020)</w:t>
      </w:r>
      <w:r w:rsidR="007E73AF" w:rsidRPr="00D54138">
        <w:rPr>
          <w:rFonts w:ascii="Times New Roman" w:hAnsi="Times New Roman"/>
          <w:sz w:val="24"/>
          <w:szCs w:val="24"/>
        </w:rPr>
        <w:fldChar w:fldCharType="end"/>
      </w:r>
      <w:r w:rsidR="00F92ECB" w:rsidRPr="00D54138">
        <w:rPr>
          <w:rFonts w:ascii="Times New Roman" w:hAnsi="Times New Roman"/>
          <w:sz w:val="24"/>
          <w:szCs w:val="24"/>
        </w:rPr>
        <w:t>.</w:t>
      </w:r>
    </w:p>
    <w:p w14:paraId="20335B51" w14:textId="77777777" w:rsidR="00BD58FF" w:rsidRPr="00D54138" w:rsidRDefault="00BD58FF" w:rsidP="008B44D2">
      <w:pPr>
        <w:spacing w:after="0" w:line="240" w:lineRule="auto"/>
        <w:jc w:val="both"/>
        <w:rPr>
          <w:rFonts w:ascii="Times New Roman" w:hAnsi="Times New Roman"/>
          <w:sz w:val="24"/>
          <w:szCs w:val="24"/>
        </w:rPr>
      </w:pPr>
    </w:p>
    <w:p w14:paraId="6D42F496" w14:textId="77777777" w:rsidR="00BD58FF" w:rsidRPr="00D54138" w:rsidRDefault="00BD58FF" w:rsidP="008B44D2">
      <w:pPr>
        <w:spacing w:after="0" w:line="240" w:lineRule="auto"/>
        <w:jc w:val="both"/>
        <w:rPr>
          <w:rFonts w:ascii="Times New Roman" w:hAnsi="Times New Roman"/>
          <w:b/>
          <w:bCs/>
          <w:sz w:val="24"/>
          <w:szCs w:val="24"/>
        </w:rPr>
      </w:pPr>
      <w:r w:rsidRPr="00D54138">
        <w:rPr>
          <w:rFonts w:ascii="Times New Roman" w:hAnsi="Times New Roman"/>
          <w:b/>
          <w:bCs/>
          <w:sz w:val="24"/>
          <w:szCs w:val="24"/>
        </w:rPr>
        <w:t>Natural Resource Based View (RBV)</w:t>
      </w:r>
    </w:p>
    <w:p w14:paraId="527DFD65" w14:textId="3D0FB0F9" w:rsidR="003723ED" w:rsidRPr="00D54138" w:rsidRDefault="008F668A" w:rsidP="008B44D2">
      <w:pPr>
        <w:spacing w:after="0" w:line="240" w:lineRule="auto"/>
        <w:jc w:val="both"/>
        <w:rPr>
          <w:rFonts w:ascii="Times New Roman" w:hAnsi="Times New Roman"/>
          <w:sz w:val="24"/>
          <w:szCs w:val="24"/>
        </w:rPr>
      </w:pPr>
      <w:r w:rsidRPr="00D54138">
        <w:rPr>
          <w:rFonts w:ascii="Times New Roman" w:hAnsi="Times New Roman"/>
          <w:sz w:val="24"/>
          <w:szCs w:val="24"/>
        </w:rPr>
        <w:t xml:space="preserve">Hart's proposed position </w:t>
      </w:r>
      <w:r w:rsidR="003F796C" w:rsidRPr="00D54138">
        <w:rPr>
          <w:rFonts w:ascii="Times New Roman" w:hAnsi="Times New Roman"/>
          <w:sz w:val="24"/>
          <w:szCs w:val="24"/>
        </w:rPr>
        <w:t xml:space="preserve">is </w:t>
      </w:r>
      <w:r w:rsidRPr="00D54138">
        <w:rPr>
          <w:rFonts w:ascii="Times New Roman" w:hAnsi="Times New Roman"/>
          <w:sz w:val="24"/>
          <w:szCs w:val="24"/>
        </w:rPr>
        <w:t xml:space="preserve">based on natural resources </w:t>
      </w:r>
      <w:r w:rsidR="00FB4067" w:rsidRPr="00D54138">
        <w:rPr>
          <w:rFonts w:ascii="Times New Roman" w:hAnsi="Times New Roman"/>
          <w:sz w:val="24"/>
          <w:szCs w:val="24"/>
        </w:rPr>
        <w:fldChar w:fldCharType="begin" w:fldLock="1"/>
      </w:r>
      <w:r w:rsidR="00D539D4" w:rsidRPr="00D54138">
        <w:rPr>
          <w:rFonts w:ascii="Times New Roman" w:hAnsi="Times New Roman"/>
          <w:sz w:val="24"/>
          <w:szCs w:val="24"/>
        </w:rPr>
        <w:instrText>ADDIN CSL_CITATION {"citationItems":[{"id":"ITEM-1","itemData":{"ISSN":"0363-7425","author":[{"dropping-particle":"","family":"Hart","given":"Stuart L","non-dropping-particle":"","parse-names":false,"suffix":""}],"container-title":"Academy of management review","id":"ITEM-1","issue":"4","issued":{"date-parts":[["1995"]]},"page":"986-1014","publisher":"Academy of Management Briarcliff Manor, NY 10510","title":"A natural-resource-based view of the firm","type":"article-journal","volume":"20"},"uris":["http://www.mendeley.com/documents/?uuid=aba1f35e-e5bf-4936-ac24-ac88cb20b3db"]}],"mendeley":{"formattedCitation":"(Hart, 1995)","manualFormatting":"(1995)","plainTextFormattedCitation":"(Hart, 1995)","previouslyFormattedCitation":"(Hart, 1995)"},"properties":{"noteIndex":0},"schema":"https://github.com/citation-style-language/schema/raw/master/csl-citation.json"}</w:instrText>
      </w:r>
      <w:r w:rsidR="00FB4067" w:rsidRPr="00D54138">
        <w:rPr>
          <w:rFonts w:ascii="Times New Roman" w:hAnsi="Times New Roman"/>
          <w:sz w:val="24"/>
          <w:szCs w:val="24"/>
        </w:rPr>
        <w:fldChar w:fldCharType="separate"/>
      </w:r>
      <w:r w:rsidR="00FB4067" w:rsidRPr="00D54138">
        <w:rPr>
          <w:rFonts w:ascii="Times New Roman" w:hAnsi="Times New Roman"/>
          <w:noProof/>
          <w:sz w:val="24"/>
          <w:szCs w:val="24"/>
        </w:rPr>
        <w:t>(1995)</w:t>
      </w:r>
      <w:r w:rsidR="00FB4067" w:rsidRPr="00D54138">
        <w:rPr>
          <w:rFonts w:ascii="Times New Roman" w:hAnsi="Times New Roman"/>
          <w:sz w:val="24"/>
          <w:szCs w:val="24"/>
        </w:rPr>
        <w:fldChar w:fldCharType="end"/>
      </w:r>
      <w:r w:rsidR="00BD58FF" w:rsidRPr="00D54138">
        <w:rPr>
          <w:rFonts w:ascii="Times New Roman" w:hAnsi="Times New Roman"/>
          <w:sz w:val="24"/>
          <w:szCs w:val="24"/>
        </w:rPr>
        <w:t xml:space="preserve">. </w:t>
      </w:r>
      <w:r w:rsidRPr="00D54138">
        <w:rPr>
          <w:rFonts w:ascii="Times New Roman" w:hAnsi="Times New Roman"/>
          <w:sz w:val="24"/>
          <w:szCs w:val="24"/>
        </w:rPr>
        <w:t xml:space="preserve">The NRBV argues that a competitive advantage can only be maintained if it </w:t>
      </w:r>
      <w:r w:rsidR="003F796C" w:rsidRPr="00D54138">
        <w:rPr>
          <w:rFonts w:ascii="Times New Roman" w:hAnsi="Times New Roman"/>
          <w:sz w:val="24"/>
          <w:szCs w:val="24"/>
        </w:rPr>
        <w:t>can</w:t>
      </w:r>
      <w:r w:rsidRPr="00D54138">
        <w:rPr>
          <w:rFonts w:ascii="Times New Roman" w:hAnsi="Times New Roman"/>
          <w:sz w:val="24"/>
          <w:szCs w:val="24"/>
        </w:rPr>
        <w:t xml:space="preserve"> produce revenues from resources that are difficult for competitors to duplicate</w:t>
      </w:r>
      <w:r w:rsidR="00BD58FF" w:rsidRPr="00D54138">
        <w:rPr>
          <w:rFonts w:ascii="Times New Roman" w:hAnsi="Times New Roman"/>
          <w:sz w:val="24"/>
          <w:szCs w:val="24"/>
        </w:rPr>
        <w:t xml:space="preserve"> </w:t>
      </w:r>
      <w:r w:rsidR="00D539D4" w:rsidRPr="00D54138">
        <w:rPr>
          <w:rFonts w:ascii="Times New Roman" w:hAnsi="Times New Roman"/>
          <w:sz w:val="24"/>
          <w:szCs w:val="24"/>
        </w:rPr>
        <w:fldChar w:fldCharType="begin" w:fldLock="1"/>
      </w:r>
      <w:r w:rsidR="001D4474" w:rsidRPr="00D54138">
        <w:rPr>
          <w:rFonts w:ascii="Times New Roman" w:hAnsi="Times New Roman"/>
          <w:sz w:val="24"/>
          <w:szCs w:val="24"/>
        </w:rPr>
        <w:instrText>ADDIN CSL_CITATION {"citationItems":[{"id":"ITEM-1","itemData":{"DOI":"10.1016/j.jclepro.2018.01.106","ISSN":"09596526","abstract":"This study aims to examine the effect of the combination of corporate environmental strategy, top management commitment, and environmental uncertainty, with a focus on the role of environmental management accounting (EMA), on corporate environmental performance. Using an online survey, we collect the sample data of 107 responses in ISO 14001 certified companies listed on the Indonesia Stock Exchange. The empirical evidence shows that there is a positive and significant influence between those organizational resources (corporate environmental strategy, top management commitment, and environmental uncertainty) on the use of EMA, which in turn can improve the environmental performance of companies. These findings indicate that EMA is a useful and important tool for providing information to achieve superior corporate environmental performance in Indonesian firms and the findings also suit for companies operating in other countries in terms of developing capabilities with regards to perceived environmental uncertainty to be able to manage EMA tools and, as a consequence, to improve organizational environmental performance.","author":[{"dropping-particle":"","family":"Latan","given":"Hengky","non-dropping-particle":"","parse-names":false,"suffix":""},{"dropping-particle":"","family":"Chiappetta Jabbour","given":"Charbel Jose","non-dropping-particle":"","parse-names":false,"suffix":""},{"dropping-particle":"","family":"Lopes de Sousa Jabbour","given":"Ana Beatriz","non-dropping-particle":"","parse-names":false,"suffix":""},{"dropping-particle":"","family":"Wamba","given":"Samuel Fosso","non-dropping-particle":"","parse-names":false,"suffix":""},{"dropping-particle":"","family":"Shahbaz","given":"Muhammad","non-dropping-particle":"","parse-names":false,"suffix":""}],"container-title":"Journal of Cleaner Production","id":"ITEM-1","issued":{"date-parts":[["2018"]]},"note":"Cited By (since 2018): 2","page":"297-306","title":"Effects of environmental strategy, environmental uncertainty and top management's commitment on corporate environmental performance: The role of environmental management accounting","type":"article","volume":"180"},"uris":["http://www.mendeley.com/documents/?uuid=7aaa3901-076e-469b-8303-3c9e02f84c69"]}],"mendeley":{"formattedCitation":"(Latan et al., 2018)","plainTextFormattedCitation":"(Latan et al., 2018)","previouslyFormattedCitation":"(Latan et al., 2018)"},"properties":{"noteIndex":0},"schema":"https://github.com/citation-style-language/schema/raw/master/csl-citation.json"}</w:instrText>
      </w:r>
      <w:r w:rsidR="00D539D4" w:rsidRPr="00D54138">
        <w:rPr>
          <w:rFonts w:ascii="Times New Roman" w:hAnsi="Times New Roman"/>
          <w:sz w:val="24"/>
          <w:szCs w:val="24"/>
        </w:rPr>
        <w:fldChar w:fldCharType="separate"/>
      </w:r>
      <w:r w:rsidR="00D539D4" w:rsidRPr="00D54138">
        <w:rPr>
          <w:rFonts w:ascii="Times New Roman" w:hAnsi="Times New Roman"/>
          <w:noProof/>
          <w:sz w:val="24"/>
          <w:szCs w:val="24"/>
        </w:rPr>
        <w:t>(Latan et al., 2018)</w:t>
      </w:r>
      <w:r w:rsidR="00D539D4" w:rsidRPr="00D54138">
        <w:rPr>
          <w:rFonts w:ascii="Times New Roman" w:hAnsi="Times New Roman"/>
          <w:sz w:val="24"/>
          <w:szCs w:val="24"/>
        </w:rPr>
        <w:fldChar w:fldCharType="end"/>
      </w:r>
      <w:r w:rsidR="00BD58FF" w:rsidRPr="00D54138">
        <w:rPr>
          <w:rFonts w:ascii="Times New Roman" w:hAnsi="Times New Roman"/>
          <w:sz w:val="24"/>
          <w:szCs w:val="24"/>
        </w:rPr>
        <w:t xml:space="preserve">. </w:t>
      </w:r>
      <w:r w:rsidRPr="00D54138">
        <w:rPr>
          <w:rFonts w:ascii="Times New Roman" w:hAnsi="Times New Roman"/>
          <w:sz w:val="24"/>
          <w:szCs w:val="24"/>
        </w:rPr>
        <w:t xml:space="preserve">NRBV is used to define the combination of various resources in enhancing the environmental performance of enterprises continually </w:t>
      </w:r>
      <w:r w:rsidR="001D4474" w:rsidRPr="00D54138">
        <w:rPr>
          <w:rFonts w:ascii="Times New Roman" w:hAnsi="Times New Roman"/>
          <w:sz w:val="24"/>
          <w:szCs w:val="24"/>
        </w:rPr>
        <w:fldChar w:fldCharType="begin" w:fldLock="1"/>
      </w:r>
      <w:r w:rsidR="00D9251E" w:rsidRPr="00D54138">
        <w:rPr>
          <w:rFonts w:ascii="Times New Roman" w:hAnsi="Times New Roman"/>
          <w:sz w:val="24"/>
          <w:szCs w:val="24"/>
        </w:rPr>
        <w:instrText>ADDIN CSL_CITATION {"citationItems":[{"id":"ITEM-1","itemData":{"DOI":"10.1016/j.jclepro.2012.10.007","ISSN":"09596526","abstract":"Environmental management accounting (EMA) has received increasing interest in recent years and has been promoted as a means by which the business community can more easily manage its environmental and associated economic performance. Yet despite increasing interest, theoretically informed projects concerning the current state of EMA development remain scarce. The research presented here aimed to extend current knowledge by investigating whether organisational context could be used to develop a greater understanding of EMA use by Australian organisations. Drawing on contingency theory, a research framework was developed that sought to identify the circumstances under which organisations were more likely to engage with EMA activities, both now and in the future. In order to test this framework a web-based survey of Australian accountants in business was conducted. The data suggested present and future EMA use was associated with environmental strategy, organisational size and environmentally-sensitive industries. Contrary to expectation organisational structure was not found to be associated with accountants' perceptions of EMA use in their organisations. These findings support the potential of contingency-based research to further current knowledge and understanding of the reasons behind EMA development. © 2012 Elsevier Ltd. All rights reserved.","author":[{"dropping-particle":"","family":"Christ","given":"Katherine L.","non-dropping-particle":"","parse-names":false,"suffix":""},{"dropping-particle":"","family":"Burritt","given":"Roger L.","non-dropping-particle":"","parse-names":false,"suffix":""}],"container-title":"Journal of Cleaner Production","id":"ITEM-1","issued":{"date-parts":[["2013"]]},"note":"Cited By (since 2013): 106","page":"163-173","title":"Environmental management accounting: The significance of contingent variables for adoption","type":"article-journal","volume":"41"},"uris":["http://www.mendeley.com/documents/?uuid=1333c523-c041-4f46-83f3-b0943d993210"]},{"id":"ITEM-2","itemData":{"DOI":"10.2308/jmar-51476","ISSN":"15588033","abstract":"While a growing body of literature has examined and demonstrated the influence of eco-control on organizational performance, little is known about how this influence occurs within the organization. Building on a natural resource-based view, the aim of this study is to investigate the extent to which the eco-control package supports environmental capabilities that, in turn, contribute to an organization’s environmental and economic performance. Using survey data from a sample of Canadian manufacturing firms, the results of this study suggest that eco-control may constitute a mechanism that can support environmental capabilities in order to contribute to a firm’s environmental and economic performance. More specifically, these results suggest that the eco-control package fosters eco-learning, continuous environmental innovation, stakeholder integration, and shared environmental vision capabilities that can, in turn, contribute both directly to the firm’s environmental performance and indirectly to economic performance. Also, some evidence suggests that different eco-control practices support different environmental capabilities and that the simultaneous use of several eco-control practices seems to be necessary to support the implementation of a complete set of environmental capabilities.","author":[{"dropping-particle":"","family":"Journeault","given":"Marc","non-dropping-particle":"","parse-names":false,"suffix":""}],"container-title":"Journal of Management Accounting Research","id":"ITEM-2","issue":"2","issued":{"date-parts":[["2016"]]},"page":"149-178","publisher":"American Accounting Association","title":"The influence of the eco-control package on environmental and economic performance: A natural resource-based","type":"article-journal","volume":"28"},"uris":["http://www.mendeley.com/documents/?uuid=4c63451a-db4a-427b-a340-a149c3e8e656"]}],"mendeley":{"formattedCitation":"(Christ &amp; Burritt, 2013; Journeault, 2016)","plainTextFormattedCitation":"(Christ &amp; Burritt, 2013; Journeault, 2016)","previouslyFormattedCitation":"(Christ &amp; Burritt, 2013; Journeault, 2016)"},"properties":{"noteIndex":0},"schema":"https://github.com/citation-style-language/schema/raw/master/csl-citation.json"}</w:instrText>
      </w:r>
      <w:r w:rsidR="001D4474" w:rsidRPr="00D54138">
        <w:rPr>
          <w:rFonts w:ascii="Times New Roman" w:hAnsi="Times New Roman"/>
          <w:sz w:val="24"/>
          <w:szCs w:val="24"/>
        </w:rPr>
        <w:fldChar w:fldCharType="separate"/>
      </w:r>
      <w:r w:rsidR="001D4474" w:rsidRPr="00D54138">
        <w:rPr>
          <w:rFonts w:ascii="Times New Roman" w:hAnsi="Times New Roman"/>
          <w:noProof/>
          <w:sz w:val="24"/>
          <w:szCs w:val="24"/>
        </w:rPr>
        <w:t>(Christ &amp; Burritt, 2013; Journeault, 2016)</w:t>
      </w:r>
      <w:r w:rsidR="001D4474" w:rsidRPr="00D54138">
        <w:rPr>
          <w:rFonts w:ascii="Times New Roman" w:hAnsi="Times New Roman"/>
          <w:sz w:val="24"/>
          <w:szCs w:val="24"/>
        </w:rPr>
        <w:fldChar w:fldCharType="end"/>
      </w:r>
      <w:r w:rsidR="00BD58FF" w:rsidRPr="00D54138">
        <w:rPr>
          <w:rFonts w:ascii="Times New Roman" w:hAnsi="Times New Roman"/>
          <w:sz w:val="24"/>
          <w:szCs w:val="24"/>
        </w:rPr>
        <w:t xml:space="preserve">. </w:t>
      </w:r>
      <w:r w:rsidR="00436AFA" w:rsidRPr="00D54138">
        <w:rPr>
          <w:rFonts w:ascii="Times New Roman" w:hAnsi="Times New Roman"/>
          <w:sz w:val="24"/>
          <w:szCs w:val="24"/>
        </w:rPr>
        <w:t>Environmental management accounting research can be explained by</w:t>
      </w:r>
      <w:r w:rsidR="00BD58FF" w:rsidRPr="00D54138">
        <w:rPr>
          <w:rFonts w:ascii="Times New Roman" w:hAnsi="Times New Roman"/>
          <w:sz w:val="24"/>
          <w:szCs w:val="24"/>
        </w:rPr>
        <w:t xml:space="preserve"> RBV theory</w:t>
      </w:r>
      <w:r w:rsidR="00436AFA" w:rsidRPr="00D54138">
        <w:rPr>
          <w:rFonts w:ascii="Times New Roman" w:hAnsi="Times New Roman"/>
          <w:sz w:val="24"/>
          <w:szCs w:val="24"/>
        </w:rPr>
        <w:t xml:space="preserve"> </w:t>
      </w:r>
      <w:r w:rsidR="00436AFA" w:rsidRPr="00D54138">
        <w:rPr>
          <w:rFonts w:ascii="Times New Roman" w:hAnsi="Times New Roman"/>
          <w:sz w:val="24"/>
          <w:szCs w:val="24"/>
        </w:rPr>
        <w:fldChar w:fldCharType="begin" w:fldLock="1"/>
      </w:r>
      <w:r w:rsidR="003723ED" w:rsidRPr="00D54138">
        <w:rPr>
          <w:rFonts w:ascii="Times New Roman" w:hAnsi="Times New Roman"/>
          <w:sz w:val="24"/>
          <w:szCs w:val="24"/>
        </w:rPr>
        <w:instrText>ADDIN CSL_CITATION {"citationItems":[{"id":"ITEM-1","itemData":{"DOI":"10.3390/su10093161","ISSN":"20711050","abstract":"Interest from academics, policy-makers and practitioners in eco-innovation has increased as it enables the optimization of the use of natural resources improving competitiveness and it provides a conceptual framework for corporate sustainability. In this context, this paper provides an in-depth analysis and a wide classification of the specific indicators for the integrated measurement of eco-innovation projects in business from a resource-based view (RBV). The specific metrics were tested to measure the economic-financial and environmental resources and capabilities applied by five Spanish firms to eco-innovation projects, selected as case studies.","author":[{"dropping-particle":"","family":"Portillo-Tarragona","given":"Pilar","non-dropping-particle":"","parse-names":false,"suffix":""},{"dropping-particle":"","family":"Scarpellini","given":"Sabina","non-dropping-particle":"","parse-names":false,"suffix":""},{"dropping-particle":"","family":"Moneva","given":"Jose M.","non-dropping-particle":"","parse-names":false,"suffix":""},{"dropping-particle":"","family":"Valero-Gil","given":"Jesus","non-dropping-particle":"","parse-names":false,"suffix":""},{"dropping-particle":"","family":"Aranda-Usón","given":"Alfonso","non-dropping-particle":"","parse-names":false,"suffix":""}],"container-title":"Sustainability (Switzerland)","id":"ITEM-1","issue":"9","issued":{"date-parts":[["2018"]]},"note":"Cited By (since 2018): 28","title":"Classification and measurement of the firms' resources and capabilities applied to eco-innovation projects from a resource-based view perspective","type":"article-journal","volume":"10"},"uris":["http://www.mendeley.com/documents/?uuid=091f4298-b53a-4eb1-8a42-ab7fab0030df"]},{"id":"ITEM-2","itemData":{"DOI":"10.1108/SAMPJ-08-2016-0046","ISSN":"2040803X","abstract":"Purpose: This paper aims to test a conceptual framework that describes the relationship between environmental strategy, environmental management accounting and environmental performance. In this paper, the authors argue that environmental strategy can directly influence environmental performance through environmental management accounting. Design/methodology/approach: This paper examines the survey responses of general managers, operations managers, financial managers and environmental managers in an ISO 14001 certified company listed on the Indonesia Stock Exchange. The hypotheses were tested using a consistent partial least squares approach and bias-corrected and accelerated bootstrap confidence intervals to test the significance between variables. Findings: In general, the proposed framework obtains adequate goodness-of-fit statistics. Furthermore, the results support the argument that there is a positive and significant effect of environmental strategies on the environmental performance of companies and that the role of environmental management accounting can mediate their relationship. Research limitations/implications: The limitations of this study relate to the small sample size, as environmental results are still regarded as confidential by many companies. A causal relationship cannot be confirmed for the results. The instrument used is fully adopted from previous research, without unidimensional re-testing. This study contributes to the natural resource-based view literature by responding to recent calls to test the combined effect of resources on environmental performance. Practical implications: This result could serve as a specific reference for policymaking at firms to continuously improve their environmental performance. This study also has important implications for management practices by illustrating the potential of environmental strategies and environmental management accounting to improve environmental performance. Social implications: This result indicates that the improving green accounting in Indonesia would appear to require more mandated pressure from, particularly, governmental powers. Originality/value: This study contributes to the corporate environmental accounting literature by providing empirical evidence linking environmental strategy with environmental performance through the implementation of environmental management accounting.","author":[{"dropping-particle":"","family":"Solovida","given":"Grace T.","non-dropping-particle":"","parse-names":false,"suffix":""},{"dropping-particle":"","family":"Latan","given":"Hengky","non-dropping-particle":"","parse-names":false,"suffix":""}],"container-title":"Sustainability Accounting, Management and Policy Journal","id":"ITEM-2","issue":"5","issued":{"date-parts":[["2017"]]},"note":"Cited By (since 2017): 133","page":"595-619","publisher":"emerald.com","title":"Linking environmental strategy to environmental performance: Mediation role of environmental management accounting","type":"article-journal","volume":"8"},"uris":["http://www.mendeley.com/documents/?uuid=f4bf7670-bb5a-41f1-baf6-c3036057195e"]},{"id":"ITEM-3","itemData":{"DOI":"10.32479/ijeep.8283","ISSN":"21464553","abstract":"The current study aims to investigate the impact of energy efficiency (EE), green intellectual capital (GIC) and environmental management accounting system on environmental performance and competitive advance in Indonesia manufacturing industry. In doing so, we utilized the sophisticated methodology of partial least squares structural equation modeling (PLS-SEM) to identify the potential association among the variables of interest. Even after the growing consciousness for environmental management, there exist some companies that consider the acceptance of environmental trend as an obstacle to their growth and performance. The results confirm that all selected variables have a positive and significant impact on environmental performance and competitive advantage in the manufacturing industry in Indonesia. Moreover, the outcomes of the PLS-SEM confirm that environmental performance and competitive advantage have positively and expressively impacted by green intellectual, EE and environmental accounting system. In general, the results of PLS confirm that the three factors, i.e., GIC, EE, and environmental accounting management system are the positive and significant contributor to enhance the environmental performance and competitive advantage of the firm in Indonesia manufacturing industry.","author":[{"dropping-particle":"","family":"Sidik","given":"Morni Hayati Jaafar","non-dropping-particle":"","parse-names":false,"suffix":""},{"dropping-particle":"","family":"Yadiati","given":"Winwin","non-dropping-particle":"","parse-names":false,"suffix":""},{"dropping-particle":"","family":"Lee","given":"Hoyoung","non-dropping-particle":"","parse-names":false,"suffix":""},{"dropping-particle":"","family":"Khalid","given":"Nadeem","non-dropping-particle":"","parse-names":false,"suffix":""}],"container-title":"International Journal of Energy Economics and Policy","id":"ITEM-3","issue":"5","issued":{"date-parts":[["2019"]]},"page":"379-386","publisher":"Econjournals","title":"The dynamic association of energy, environmental management accounting and green intellectual capital with corporate environmental performance and competitive advantages","type":"article-journal","volume":"9"},"uris":["http://www.mendeley.com/documents/?uuid=82c2ae5a-9af3-3eed-b0c8-6130227bae51"]},{"id":"ITEM-4","itemData":{"DOI":"10.32479/ijeep.9174","ISSN":"21464553","abstract":"The present study aims to analyze the influence of environmental uncertainty (ENU) on a firm’s environmental management accounting (EMA). Moreover, the current examination is also motivated to empirically investigate the relationship of environmental commitment (ENC), EMA and green innovation (GRI) on firm performance (FPR). The current study is first in studying the joint impact of the studied variables in analyzing small and medium enterprises performance appraisals. In doing so, we applied partial least squares structural equation modeling (PLS-SEM) and the results of this methodology confirm that all selected variables have a positive and significant impact on environmental performance in except ENU. Moreover, the outcomes of the PLS-SEM confirm that ENC has a positive and significant impact on FPR of multinational firms of Indonesia. Moreover, the results further suggested that ENU have a negative and significant impact on FPR. The results of PLS-SEM also confirm that GRI and EMA have significantly and positively impact on FPR. Technical speaking, the results confirm that GRI and ENC are the key contributors to enhance the FPR of Indonesian multinational firms.","author":[{"dropping-particle":"","family":"Somjai","given":"Sudawan","non-dropping-particle":"","parse-names":false,"suffix":""},{"dropping-particle":"","family":"Fongtanakit","given":"Ratchada","non-dropping-particle":"","parse-names":false,"suffix":""},{"dropping-particle":"","family":"Laosillapacharoen","given":"Khomsan","non-dropping-particle":"","parse-names":false,"suffix":""}],"container-title":"International Journal of Energy Economics and Policy","id":"ITEM-4","issue":"3","issued":{"date-parts":[["2020"]]},"note":"Cited By (since 2020): 7","page":"204-210","title":"Impact of environmental commitment, environmental management accounting and green innovation on firm performance: An empirical investigation","type":"article-journal","volume":"10"},"uris":["http://www.mendeley.com/documents/?uuid=49aba14f-5289-4a7f-bfe7-90bf6e845735"]},{"id":"ITEM-5","itemData":{"DOI":"10.32479/ijeep.8366","ISSN":"21464553","abstract":"Small and medium enterprises (SMEs) play a significant role in Indonesian business growth. Therefore, the objective of the present study is to investigate the association of antecedents of environmental management accounting and environmental performance in Indonesian SMEs. In doing so, the current study seeks to identify the internal and external influencing factors for firms in adopting EMA and its subsequent impact on SMEs environmental performance. The outcomes of the PLS-SEM confirm that benefit expectation has significantly and positively impacted on Environmental Management Accounting. The results of PLS-SEM also confirm that Regulatory Pressure has a positive and significant impact on environmental management accounting. Finally, the results of partial least square modelling confirm that environmental management accounting also has a positive and significant impact on environmental performance.","author":[{"dropping-particle":"","family":"Susanto","given":"Azhar","non-dropping-particle":"","parse-names":false,"suffix":""},{"dropping-particle":"","family":"Meiryani","given":"Meiryani","non-dropping-particle":"","parse-names":false,"suffix":""}],"container-title":"International Journal of Energy Economics and Policy","id":"ITEM-5","issue":"6","issued":{"date-parts":[["2019"]]},"page":"401-407","publisher":"Econjournals","title":"Antecedents of environmental management accounting and environmental performance: Evidence from Indonesian small and medium enterprises","type":"article-journal","volume":"9"},"uris":["http://www.mendeley.com/documents/?uuid=28e4bea7-d56e-32a2-bfc2-46a0e7e28cbd"]},{"id":"ITEM-6","itemData":{"DOI":"10.1108/BPMJ-06-2020-0264","ISSN":"14637154","abstract":"Purpose: This study aims to determine (1) the effect of environmental management accounting on organizational performance and (2) the mediating effect of process innovation on the relationship between environmental management accounting and organizational performance. Design/methodology/approach: This research uses survey methods designed for management accountants of large manufacturing companies in Indonesia. Data from 123 respondents were analyzed using the WarpPLS. Findings: The implementation of environmental management accounting exerted a positive effect on organizational performance. It is evident that the implementation of environmental management accounting encourages companies to innovate processes which will improve how well the organization performs. Research limitations/implications: These findings still contained several limitations such as data were only collected from one province in Indonesia, and so the findings might not be generalizable to other provinces in Indonesia. Also, the number of variables studied only involved three. The study only focused on certain dimensions of environmental management accounting without considering other dimensions in-depth. Practical implications: These findings extend the literature on environmental management accounting and demonstrate, from a practical perspective, environmental management accounting (EMA), which prioritizes the environment, will encourage companies to innovate their processes so that they are more environmentally friendly; EMA recognizes the important role of accountants in managing environmental issues. Originality/value: This study documents the importance of environmental management accounting to assist companies in getting accurate information on environmental issues and environmental costs.","author":[{"dropping-particle":"","family":"Sari","given":"Ria Nelly","non-dropping-particle":"","parse-names":false,"suffix":""},{"dropping-particle":"","family":"Pratadina","given":"Aura","non-dropping-particle":"","parse-names":false,"suffix":""},{"dropping-particle":"","family":"Anugerah","given":"Rita","non-dropping-particle":"","parse-names":false,"suffix":""},{"dropping-particle":"","family":"Kamaliah","given":"Kamaliah","non-dropping-particle":"","parse-names":false,"suffix":""},{"dropping-particle":"","family":"Sanusi","given":"Zuraidah Mohd","non-dropping-particle":"","parse-names":false,"suffix":""}],"container-title":"Business Process Management Journal","id":"ITEM-6","issue":"4","issued":{"date-parts":[["2020"]]},"note":"Cited By (since 2020): 4","page":"1296-1314","title":"Effect of environmental management accounting practices on organizational performance: role of process innovation as a mediating variable","type":"article-journal","volume":"27"},"uris":["http://www.mendeley.com/documents/?uuid=641e2dff-ddef-47cf-80e7-4b942b510f05"]},{"id":"ITEM-7","itemData":{"DOI":"10.1016/j.jenvman.2017.06.035","ISSN":"10958630","PMID":"28649009","abstract":"A conceptual discussion is provided about the need to add monetary data to water accounting initiatives and how best to achieve this if companies are to become aware of the water crisis and to take actions to improve water management. Analysis of current water accounting initiatives reveals the monetary business case for companies to improve water management is rarely considered, there being a focus on physical information about water use. Three possibilities emerge for mainstreaming the integration of monetization into water accounting: add-on to existing water accounting frameworks and tools, develop new tools which include physical and monetary information from the start, and develop environmental management accounting (EMA) into a water-specific application and set of tools. The paper appraises these three alternatives and concludes that development of EMA would be the best way forward. Suggestions for further research include the need to examine the use of a transdisciplinary method to address the complexities of water accounting.","author":[{"dropping-particle":"","family":"Burritt","given":"Roger L.","non-dropping-particle":"","parse-names":false,"suffix":""},{"dropping-particle":"","family":"Christ","given":"Katherine L.","non-dropping-particle":"","parse-names":false,"suffix":""}],"container-title":"Journal of Environmental Management","id":"ITEM-7","issued":{"date-parts":[["2017","10","1"]]},"page":"72-81","publisher":"Academic Press","title":"The need for monetary information within corporate water accounting","type":"article","volume":"201"},"uris":["http://www.mendeley.com/documents/?uuid=10beb709-2496-3ca5-8778-ced32d027bcc"]},{"id":"ITEM-8","itemData":{"DOI":"10.32479/ijeep.9220","ISSN":"21464553","abstract":"Environment degradation is a global issue for which every individual or entity has to play their role. For an organization there are several ways by which their contribution to the environment can be improved. For said purpose, the present study was conducted in which the role of green innovation, environment proactiveness and environment management accounting was studied on environment performance and energy efficiency. Moreover, to meet the goal, the present study employs quantitative research approach where data was collected from 367 respondents and PLS-SEM was employed. The results revealed significant impact of the aforementioned independent constructs on dependent variables. Based on the findings, recommendations were given whereas limitations and barriers of the research and guidelines for the future researches are also discussed.","author":[{"dropping-particle":"","family":"Jermsittiparsert","given":"Kittisak","non-dropping-particle":"","parse-names":false,"suffix":""},{"dropping-particle":"","family":"Somjai","given":"Sudawan","non-dropping-particle":"","parse-names":false,"suffix":""},{"dropping-particle":"","family":"Toopgajank","given":"Sriparinya","non-dropping-particle":"","parse-names":false,"suffix":""}],"container-title":"International Journal of Energy Economics and Policy","id":"ITEM-8","issue":"3","issued":{"date-parts":[["2020"]]},"page":"325-331","publisher":"Econjournals","title":"Factors affecting firm’s energy efficiency and environmental performance: The role of environmental management accounting, green innovation and environmental proactivity","type":"article-journal","volume":"10"},"uris":["http://www.mendeley.com/documents/?uuid=230b5a6b-d7b7-3526-8f6e-49c199e23aa8"]},{"id":"ITEM-9","itemData":{"DOI":"10.1016/j.jclepro.2018.01.106","ISSN":"09596526","abstract":"This study aims to examine the effect of the combination of corporate environmental strategy, top management commitment, and environmental uncertainty, with a focus on the role of environmental management accounting (EMA), on corporate environmental performance. Using an online survey, we collect the sample data of 107 responses in ISO 14001 certified companies listed on the Indonesia Stock Exchange. The empirical evidence shows that there is a positive and significant influence between those organizational resources (corporate environmental strategy, top management commitment, and environmental uncertainty) on the use of EMA, which in turn can improve the environmental performance of companies. These findings indicate that EMA is a useful and important tool for providing information to achieve superior corporate environmental performance in Indonesian firms and the findings also suit for companies operating in other countries in terms of developing capabilities with regards to perceived environmental uncertainty to be able to manage EMA tools and, as a consequence, to improve organizational environmental performance.","author":[{"dropping-particle":"","family":"Latan","given":"Hengky","non-dropping-particle":"","parse-names":false,"suffix":""},{"dropping-particle":"","family":"Chiappetta Jabbour","given":"Charbel Jose","non-dropping-particle":"","parse-names":false,"suffix":""},{"dropping-particle":"","family":"Lopes de Sousa Jabbour","given":"Ana Beatriz","non-dropping-particle":"","parse-names":false,"suffix":""},{"dropping-particle":"","family":"Wamba","given":"Samuel Fosso","non-dropping-particle":"","parse-names":false,"suffix":""},{"dropping-particle":"","family":"Shahbaz","given":"Muhammad","non-dropping-particle":"","parse-names":false,"suffix":""}],"container-title":"Journal of Cleaner Production","id":"ITEM-9","issued":{"date-parts":[["2018"]]},"note":"Cited By (since 2018): 2","page":"297-306","title":"Effects of environmental strategy, environmental uncertainty and top management's commitment on corporate environmental performance: The role of environmental management accounting","type":"article","volume":"180"},"uris":["http://www.mendeley.com/documents/?uuid=7aaa3901-076e-469b-8303-3c9e02f84c69"]}],"mendeley":{"formattedCitation":"(Burritt &amp; Christ, 2017; Jermsittiparsert et al., 2020; Latan et al., 2018; Portillo-Tarragona et al., 2018; Sari et al., 2020; Sidik et al., 2019; Solovida &amp; Latan, 2017; Somjai et al., 2020; Susanto &amp; Meiryani, 2019)","plainTextFormattedCitation":"(Burritt &amp; Christ, 2017; Jermsittiparsert et al., 2020; Latan et al., 2018; Portillo-Tarragona et al., 2018; Sari et al., 2020; Sidik et al., 2019; Solovida &amp; Latan, 2017; Somjai et al., 2020; Susanto &amp; Meiryani, 2019)","previouslyFormattedCitation":"(Burritt &amp; Christ, 2017; Jermsittiparsert et al., 2020; Latan et al., 2018; Portillo-Tarragona et al., 2018; Sari et al., 2020; Sidik et al., 2019; Solovida &amp; Latan, 2017; Somjai et al., 2020; Susanto &amp; Meiryani, 2019)"},"properties":{"noteIndex":0},"schema":"https://github.com/citation-style-language/schema/raw/master/csl-citation.json"}</w:instrText>
      </w:r>
      <w:r w:rsidR="00436AFA" w:rsidRPr="00D54138">
        <w:rPr>
          <w:rFonts w:ascii="Times New Roman" w:hAnsi="Times New Roman"/>
          <w:sz w:val="24"/>
          <w:szCs w:val="24"/>
        </w:rPr>
        <w:fldChar w:fldCharType="separate"/>
      </w:r>
      <w:r w:rsidR="00436AFA" w:rsidRPr="00D54138">
        <w:rPr>
          <w:rFonts w:ascii="Times New Roman" w:hAnsi="Times New Roman"/>
          <w:noProof/>
          <w:sz w:val="24"/>
          <w:szCs w:val="24"/>
        </w:rPr>
        <w:t>(Burritt &amp; Christ, 2017; Jermsittiparsert et al., 2020; Latan et al., 2018; Portillo-Tarragona et al., 2018; Sari et al., 2020; Sidik et al., 2019; Solovida &amp; Latan, 2017; Somjai et al., 2020; Susanto &amp; Meiryani, 2019)</w:t>
      </w:r>
      <w:r w:rsidR="00436AFA" w:rsidRPr="00D54138">
        <w:rPr>
          <w:rFonts w:ascii="Times New Roman" w:hAnsi="Times New Roman"/>
          <w:sz w:val="24"/>
          <w:szCs w:val="24"/>
        </w:rPr>
        <w:fldChar w:fldCharType="end"/>
      </w:r>
      <w:r w:rsidR="00436AFA" w:rsidRPr="00D54138">
        <w:rPr>
          <w:rFonts w:ascii="Times New Roman" w:hAnsi="Times New Roman"/>
          <w:sz w:val="24"/>
          <w:szCs w:val="24"/>
        </w:rPr>
        <w:t xml:space="preserve">. </w:t>
      </w:r>
    </w:p>
    <w:p w14:paraId="7B58ACF6" w14:textId="030E3117" w:rsidR="00BD58FF" w:rsidRPr="00D54138" w:rsidRDefault="00BD58FF" w:rsidP="008B44D2">
      <w:pPr>
        <w:spacing w:after="0" w:line="240" w:lineRule="auto"/>
        <w:jc w:val="both"/>
        <w:rPr>
          <w:rFonts w:ascii="Times New Roman" w:hAnsi="Times New Roman"/>
          <w:sz w:val="24"/>
          <w:szCs w:val="24"/>
        </w:rPr>
      </w:pPr>
      <w:r w:rsidRPr="00D54138">
        <w:rPr>
          <w:rFonts w:ascii="Times New Roman" w:hAnsi="Times New Roman"/>
          <w:sz w:val="24"/>
          <w:szCs w:val="24"/>
        </w:rPr>
        <w:t xml:space="preserve"> </w:t>
      </w:r>
    </w:p>
    <w:p w14:paraId="13F05899" w14:textId="77777777" w:rsidR="00BD58FF" w:rsidRPr="00D54138" w:rsidRDefault="00BD58FF" w:rsidP="008B44D2">
      <w:pPr>
        <w:spacing w:after="0" w:line="240" w:lineRule="auto"/>
        <w:jc w:val="both"/>
        <w:rPr>
          <w:rFonts w:ascii="Times New Roman" w:hAnsi="Times New Roman"/>
          <w:b/>
          <w:bCs/>
          <w:sz w:val="24"/>
          <w:szCs w:val="24"/>
        </w:rPr>
      </w:pPr>
      <w:r w:rsidRPr="00D54138">
        <w:rPr>
          <w:rFonts w:ascii="Times New Roman" w:hAnsi="Times New Roman"/>
          <w:b/>
          <w:bCs/>
          <w:sz w:val="24"/>
          <w:szCs w:val="24"/>
        </w:rPr>
        <w:t xml:space="preserve">Theory of Dynamic Capacity </w:t>
      </w:r>
    </w:p>
    <w:p w14:paraId="0683A98C" w14:textId="77F05FF1" w:rsidR="00BD58FF" w:rsidRPr="00D54138" w:rsidRDefault="00BD58FF" w:rsidP="008B44D2">
      <w:pPr>
        <w:spacing w:after="0" w:line="240" w:lineRule="auto"/>
        <w:jc w:val="both"/>
        <w:rPr>
          <w:rFonts w:ascii="Times New Roman" w:hAnsi="Times New Roman"/>
          <w:sz w:val="24"/>
          <w:szCs w:val="24"/>
        </w:rPr>
      </w:pPr>
      <w:r w:rsidRPr="00D54138">
        <w:rPr>
          <w:rFonts w:ascii="Times New Roman" w:hAnsi="Times New Roman"/>
          <w:sz w:val="24"/>
          <w:szCs w:val="24"/>
        </w:rPr>
        <w:t xml:space="preserve">Within the theoretical framework of an RBV of the firm </w:t>
      </w:r>
      <w:r w:rsidR="003723ED" w:rsidRPr="00D54138">
        <w:rPr>
          <w:rFonts w:ascii="Times New Roman" w:hAnsi="Times New Roman"/>
          <w:sz w:val="24"/>
          <w:szCs w:val="24"/>
        </w:rPr>
        <w:fldChar w:fldCharType="begin" w:fldLock="1"/>
      </w:r>
      <w:r w:rsidR="00DC63EA" w:rsidRPr="00D54138">
        <w:rPr>
          <w:rFonts w:ascii="Times New Roman" w:hAnsi="Times New Roman"/>
          <w:sz w:val="24"/>
          <w:szCs w:val="24"/>
        </w:rPr>
        <w:instrText>ADDIN CSL_CITATION {"citationItems":[{"id":"ITEM-1","itemData":{"DOI":"10.1177/014920630102700602","ISSN":"0149-2063","abstract":"The resource-based view can be positioned relative to at least three theoretical traditions: SCP-based theories of industry determinants of firm performance, neo-classical microeconomics, and evolutionary economics. In the 1991 article, only the first of these ways of positioning the resourcebased view is explored. This article briefly discusses some of the implications of positioning the resource-based view relative to these other two literatures; it also discusses some of the empirical implications of each of these different resource-based theories.","author":[{"dropping-particle":"","family":"Barney","given":"Jay B.","non-dropping-particle":"","parse-names":false,"suffix":""}],"container-title":"Journal of Management","id":"ITEM-1","issue":"6","issued":{"date-parts":[["2001"]]},"page":"643-650","title":"Resource-based theories of competitive advantage: A ten-year retrospective on the resource-based view","type":"article-journal","volume":"27"},"uris":["http://www.mendeley.com/documents/?uuid=6fc6951d-33c6-466b-8e07-4662056c321e"]}],"mendeley":{"formattedCitation":"(Barney, 2001)","plainTextFormattedCitation":"(Barney, 2001)","previouslyFormattedCitation":"(Barney, 2001)"},"properties":{"noteIndex":0},"schema":"https://github.com/citation-style-language/schema/raw/master/csl-citation.json"}</w:instrText>
      </w:r>
      <w:r w:rsidR="003723ED" w:rsidRPr="00D54138">
        <w:rPr>
          <w:rFonts w:ascii="Times New Roman" w:hAnsi="Times New Roman"/>
          <w:sz w:val="24"/>
          <w:szCs w:val="24"/>
        </w:rPr>
        <w:fldChar w:fldCharType="separate"/>
      </w:r>
      <w:r w:rsidR="003723ED" w:rsidRPr="00D54138">
        <w:rPr>
          <w:rFonts w:ascii="Times New Roman" w:hAnsi="Times New Roman"/>
          <w:noProof/>
          <w:sz w:val="24"/>
          <w:szCs w:val="24"/>
        </w:rPr>
        <w:t>(Barney, 2001)</w:t>
      </w:r>
      <w:r w:rsidR="003723ED" w:rsidRPr="00D54138">
        <w:rPr>
          <w:rFonts w:ascii="Times New Roman" w:hAnsi="Times New Roman"/>
          <w:sz w:val="24"/>
          <w:szCs w:val="24"/>
        </w:rPr>
        <w:fldChar w:fldCharType="end"/>
      </w:r>
      <w:r w:rsidRPr="00D54138">
        <w:rPr>
          <w:rFonts w:ascii="Times New Roman" w:hAnsi="Times New Roman"/>
          <w:sz w:val="24"/>
          <w:szCs w:val="24"/>
        </w:rPr>
        <w:t xml:space="preserve"> </w:t>
      </w:r>
      <w:r w:rsidR="008F668A" w:rsidRPr="00D54138">
        <w:rPr>
          <w:rFonts w:ascii="Times New Roman" w:hAnsi="Times New Roman"/>
          <w:sz w:val="24"/>
          <w:szCs w:val="24"/>
        </w:rPr>
        <w:t xml:space="preserve">and its extension to dynamic capabilities, it has been demonstrated that resources and capabilities are relevant to the success of the environmental strategy  </w:t>
      </w:r>
      <w:r w:rsidR="00DC63EA" w:rsidRPr="00D54138">
        <w:rPr>
          <w:rFonts w:ascii="Times New Roman" w:hAnsi="Times New Roman"/>
          <w:sz w:val="24"/>
          <w:szCs w:val="24"/>
        </w:rPr>
        <w:fldChar w:fldCharType="begin" w:fldLock="1"/>
      </w:r>
      <w:r w:rsidR="00DC63EA" w:rsidRPr="00D54138">
        <w:rPr>
          <w:rFonts w:ascii="Times New Roman" w:hAnsi="Times New Roman"/>
          <w:sz w:val="24"/>
          <w:szCs w:val="24"/>
        </w:rPr>
        <w:instrText>ADDIN CSL_CITATION {"citationItems":[{"id":"ITEM-1","itemData":{"ISSN":"0143-2095","author":[{"dropping-particle":"","family":"Teece","given":"David J","non-dropping-particle":"","parse-names":false,"suffix":""}],"container-title":"Strategic management journal","id":"ITEM-1","issue":"13","issued":{"date-parts":[["2007"]]},"page":"1319-1350","publisher":"Wiley Online Library","title":"Explicating dynamic capabilities: the nature and microfoundations of (sustainable) enterprise performance","type":"article-journal","volume":"28"},"uris":["http://www.mendeley.com/documents/?uuid=30c346a9-360c-4463-a1f7-e523639dc226"]}],"mendeley":{"formattedCitation":"(Teece, 2007)","plainTextFormattedCitation":"(Teece, 2007)","previouslyFormattedCitation":"(Teece, 2007)"},"properties":{"noteIndex":0},"schema":"https://github.com/citation-style-language/schema/raw/master/csl-citation.json"}</w:instrText>
      </w:r>
      <w:r w:rsidR="00DC63EA" w:rsidRPr="00D54138">
        <w:rPr>
          <w:rFonts w:ascii="Times New Roman" w:hAnsi="Times New Roman"/>
          <w:sz w:val="24"/>
          <w:szCs w:val="24"/>
        </w:rPr>
        <w:fldChar w:fldCharType="separate"/>
      </w:r>
      <w:r w:rsidR="00DC63EA" w:rsidRPr="00D54138">
        <w:rPr>
          <w:rFonts w:ascii="Times New Roman" w:hAnsi="Times New Roman"/>
          <w:noProof/>
          <w:sz w:val="24"/>
          <w:szCs w:val="24"/>
        </w:rPr>
        <w:t>(Teece, 2007)</w:t>
      </w:r>
      <w:r w:rsidR="00DC63EA" w:rsidRPr="00D54138">
        <w:rPr>
          <w:rFonts w:ascii="Times New Roman" w:hAnsi="Times New Roman"/>
          <w:sz w:val="24"/>
          <w:szCs w:val="24"/>
        </w:rPr>
        <w:fldChar w:fldCharType="end"/>
      </w:r>
      <w:r w:rsidR="00DC63EA" w:rsidRPr="00D54138">
        <w:rPr>
          <w:rFonts w:ascii="Times New Roman" w:hAnsi="Times New Roman"/>
          <w:sz w:val="24"/>
          <w:szCs w:val="24"/>
        </w:rPr>
        <w:t xml:space="preserve">. </w:t>
      </w:r>
      <w:r w:rsidR="008F668A" w:rsidRPr="00D54138">
        <w:rPr>
          <w:rFonts w:ascii="Times New Roman" w:hAnsi="Times New Roman"/>
          <w:sz w:val="24"/>
          <w:szCs w:val="24"/>
        </w:rPr>
        <w:t xml:space="preserve">In a framework for dynamic capabilities, a business can achieve management innovation success by building, growing, and modernizing its resource base. The research indicates a positive relationship between the circular stage of organizations, their environmental accounting practices, and their corporate social responsibility (CSR) and accountability levels </w:t>
      </w:r>
      <w:r w:rsidR="00DC63EA" w:rsidRPr="00D54138">
        <w:rPr>
          <w:rFonts w:ascii="Times New Roman" w:hAnsi="Times New Roman"/>
          <w:sz w:val="24"/>
          <w:szCs w:val="24"/>
        </w:rPr>
        <w:fldChar w:fldCharType="begin" w:fldLock="1"/>
      </w:r>
      <w:r w:rsidR="00C8106A" w:rsidRPr="00D54138">
        <w:rPr>
          <w:rFonts w:ascii="Times New Roman" w:hAnsi="Times New Roman"/>
          <w:sz w:val="24"/>
          <w:szCs w:val="24"/>
        </w:rPr>
        <w:instrText>ADDIN CSL_CITATION {"citationItems":[{"id":"ITEM-1","itemData":{"DOI":"10.1108/SAMPJ-04-2019-0150","ISSN":"2040803X","abstract":"Purpose: This paper aims to define and measure the environmental capabilities that are applied when the circular economy (CE) is introduced in businesses. Founded on the dynamic capabilities theoretical approach, the study analyzes different environmental competences that firms apply during this process. Environmental management systems, corporate social responsibility, reporting and accountability and other environmental accounting practices are studied in the same analytical framework used to study the environmental capabilities that influence the circular scope (CS) of firms. This study contributes to bridging the gap between academic research focused on environmental accounting and that investigating the introduction of the CE in businesses. Design/methodology/approach: The results were obtained by using partial least squares structural equation modeling to analyze the relationship between environmental capabilities for the CE and the CS achieved by a sample of Spanish firms with more than 50 employees that expressed interest in the CE, eco-design, eco-innovation and other environmental issues. Findings: Based on an analysis using the dynamic capabilities theoretical approach, the results suggest a positive relationship between the CS of firms, their environmental accounting practices and their level of corporate social responsibility (CSR) and accountability. Stakeholders’ pressure – which has a mediating effect on the CS of firms – is also analyzed, adding new insights to recent studies of this topic at the micro-level. The authors also explore whether the CS of businesses, which is related to the degree of their development of capabilities, influences environmental and financial performance. Practical implications: The new insights obtained in this study can help overcome the limitations of conventional accounting approaches and incorporates a much broader scale of environmental information that can be applied to CE practices. These results also offer insights to practitioners regarding the internal measurement processes related to the CE and regarding CSR in particular for small and medium enterprises, because these metrics can be partially applied depending on the practices introduced in each firm. For policymakers, a better understanding of the CE’s introduction into businesses will contribute to the design of policies that can enhance its deployment, for example, by providing tools that set up regional priorities depending on the CE-related p…","author":[{"dropping-particle":"","family":"Scarpellini","given":"Sabina","non-dropping-particle":"","parse-names":false,"suffix":""},{"dropping-particle":"","family":"Marín-Vinuesa","given":"Luz María","non-dropping-particle":"","parse-names":false,"suffix":""},{"dropping-particle":"","family":"Aranda-Usón","given":"Alfonso","non-dropping-particle":"","parse-names":false,"suffix":""},{"dropping-particle":"","family":"Portillo-Tarragona","given":"Pilar","non-dropping-particle":"","parse-names":false,"suffix":""}],"container-title":"Sustainability Accounting, Management and Policy Journal","id":"ITEM-1","issue":"7","issued":{"date-parts":[["2020"]]},"page":"1129-1158","title":"Dynamic capabilities and environmental accounting for the circular economy in businesses","type":"article-journal","volume":"11"},"uris":["http://www.mendeley.com/documents/?uuid=ce9a5464-884d-43ee-ad49-f8568039b34f"]}],"mendeley":{"formattedCitation":"(Scarpellini et al., 2020)","plainTextFormattedCitation":"(Scarpellini et al., 2020)","previouslyFormattedCitation":"(Scarpellini et al., 2020)"},"properties":{"noteIndex":0},"schema":"https://github.com/citation-style-language/schema/raw/master/csl-citation.json"}</w:instrText>
      </w:r>
      <w:r w:rsidR="00DC63EA" w:rsidRPr="00D54138">
        <w:rPr>
          <w:rFonts w:ascii="Times New Roman" w:hAnsi="Times New Roman"/>
          <w:sz w:val="24"/>
          <w:szCs w:val="24"/>
        </w:rPr>
        <w:fldChar w:fldCharType="separate"/>
      </w:r>
      <w:r w:rsidR="00DC63EA" w:rsidRPr="00D54138">
        <w:rPr>
          <w:rFonts w:ascii="Times New Roman" w:hAnsi="Times New Roman"/>
          <w:noProof/>
          <w:sz w:val="24"/>
          <w:szCs w:val="24"/>
        </w:rPr>
        <w:t>(Scarpellini et al., 2020)</w:t>
      </w:r>
      <w:r w:rsidR="00DC63EA" w:rsidRPr="00D54138">
        <w:rPr>
          <w:rFonts w:ascii="Times New Roman" w:hAnsi="Times New Roman"/>
          <w:sz w:val="24"/>
          <w:szCs w:val="24"/>
        </w:rPr>
        <w:fldChar w:fldCharType="end"/>
      </w:r>
      <w:r w:rsidR="00C8106A" w:rsidRPr="00D54138">
        <w:rPr>
          <w:rFonts w:ascii="Times New Roman" w:hAnsi="Times New Roman"/>
          <w:sz w:val="24"/>
          <w:szCs w:val="24"/>
        </w:rPr>
        <w:t>.</w:t>
      </w:r>
      <w:r w:rsidRPr="00D54138">
        <w:rPr>
          <w:rFonts w:ascii="Times New Roman" w:hAnsi="Times New Roman"/>
          <w:sz w:val="24"/>
          <w:szCs w:val="24"/>
        </w:rPr>
        <w:t xml:space="preserve"> </w:t>
      </w:r>
    </w:p>
    <w:p w14:paraId="2083BE45" w14:textId="77777777" w:rsidR="00DD7457" w:rsidRPr="00D54138" w:rsidRDefault="00DD7457" w:rsidP="008B44D2">
      <w:pPr>
        <w:spacing w:after="0" w:line="240" w:lineRule="auto"/>
        <w:jc w:val="both"/>
        <w:rPr>
          <w:rFonts w:ascii="Times New Roman" w:hAnsi="Times New Roman"/>
          <w:b/>
          <w:bCs/>
          <w:sz w:val="24"/>
          <w:szCs w:val="24"/>
        </w:rPr>
      </w:pPr>
    </w:p>
    <w:p w14:paraId="5CDBCC98" w14:textId="16283B9D" w:rsidR="00BD58FF" w:rsidRPr="00D54138" w:rsidRDefault="00BD58FF" w:rsidP="008B44D2">
      <w:pPr>
        <w:spacing w:after="0" w:line="240" w:lineRule="auto"/>
        <w:jc w:val="both"/>
        <w:rPr>
          <w:rFonts w:ascii="Times New Roman" w:hAnsi="Times New Roman"/>
          <w:b/>
          <w:bCs/>
          <w:sz w:val="24"/>
          <w:szCs w:val="24"/>
        </w:rPr>
      </w:pPr>
      <w:r w:rsidRPr="00D54138">
        <w:rPr>
          <w:rFonts w:ascii="Times New Roman" w:hAnsi="Times New Roman"/>
          <w:b/>
          <w:bCs/>
          <w:sz w:val="24"/>
          <w:szCs w:val="24"/>
        </w:rPr>
        <w:t>The Planned Behavior Theory (TPB)</w:t>
      </w:r>
    </w:p>
    <w:p w14:paraId="4543DDD4" w14:textId="19CD17CB" w:rsidR="008F668A" w:rsidRPr="00D54138" w:rsidRDefault="008F668A" w:rsidP="008B44D2">
      <w:pPr>
        <w:spacing w:after="0" w:line="240" w:lineRule="auto"/>
        <w:jc w:val="both"/>
        <w:rPr>
          <w:rFonts w:ascii="Times New Roman" w:hAnsi="Times New Roman"/>
          <w:sz w:val="24"/>
          <w:szCs w:val="24"/>
        </w:rPr>
      </w:pPr>
      <w:r w:rsidRPr="00D54138">
        <w:rPr>
          <w:rFonts w:ascii="Times New Roman" w:hAnsi="Times New Roman"/>
          <w:sz w:val="24"/>
          <w:szCs w:val="24"/>
        </w:rPr>
        <w:t xml:space="preserve">According to the Theory of Planned </w:t>
      </w:r>
      <w:r w:rsidR="00565BFE" w:rsidRPr="00D54138">
        <w:rPr>
          <w:rFonts w:ascii="Times New Roman" w:hAnsi="Times New Roman"/>
          <w:sz w:val="24"/>
          <w:szCs w:val="24"/>
        </w:rPr>
        <w:t>Behavior</w:t>
      </w:r>
      <w:r w:rsidRPr="00D54138">
        <w:rPr>
          <w:rFonts w:ascii="Times New Roman" w:hAnsi="Times New Roman"/>
          <w:sz w:val="24"/>
          <w:szCs w:val="24"/>
        </w:rPr>
        <w:t xml:space="preserve">(TPB), </w:t>
      </w:r>
      <w:r w:rsidR="000B0E45" w:rsidRPr="00D54138">
        <w:rPr>
          <w:rFonts w:ascii="Times New Roman" w:hAnsi="Times New Roman"/>
          <w:sz w:val="24"/>
          <w:szCs w:val="24"/>
        </w:rPr>
        <w:t xml:space="preserve">the intention to engage in a certain behavior is the primary predictor of that behavior </w:t>
      </w:r>
      <w:r w:rsidR="000B0E45" w:rsidRPr="00D54138">
        <w:rPr>
          <w:rFonts w:ascii="Times New Roman" w:hAnsi="Times New Roman"/>
          <w:sz w:val="24"/>
          <w:szCs w:val="24"/>
        </w:rPr>
        <w:fldChar w:fldCharType="begin" w:fldLock="1"/>
      </w:r>
      <w:r w:rsidR="000B0E45" w:rsidRPr="00D54138">
        <w:rPr>
          <w:rFonts w:ascii="Times New Roman" w:hAnsi="Times New Roman"/>
          <w:sz w:val="24"/>
          <w:szCs w:val="24"/>
        </w:rPr>
        <w:instrText>ADDIN CSL_CITATION {"citationItems":[{"id":"ITEM-1","itemData":{"abstract":"Conceptual and methodological ambiguities surrounding the concept of perceived behavioral control are clarified. It is shown that perceived control over performance of a behavior, though comprised of separable components that reflect beliefs about self-efficacy and about controllability, can nevertheless be considered a unitary latent variable in a hierarchical factor model. It is further argued that there is no necessary correspondence between self-efficacy and internal control factors, or between controllability and external control factors. Self-efficacy and controllability can reflect internal as well as external factors and the extent to which they reflect one or the other is an empirical question. Finally, a case is made that measures of perceived behavioral control need to incorporate self-efficacy as well as controllability items that are carefully selected to ensure high internal consistency.","author":[{"dropping-particle":"","family":"Ajzen","given":"Icek","non-dropping-particle":"","parse-names":false,"suffix":""}],"container-title":"Journal of Applied Psychology","id":"ITEM-1","issue":"4","issued":{"date-parts":[["2002"]]},"page":"665-683","title":"Perceived Behavioral Control, Self- Efficacy, Locus of Control, and the Theory of Planned Behavior","type":"article-journal","volume":"32"},"uris":["http://www.mendeley.com/documents/?uuid=95535b7e-175e-4bf0-b792-36ed5be6f2bd"]}],"mendeley":{"formattedCitation":"(Ajzen, 2002)","plainTextFormattedCitation":"(Ajzen, 2002)","previouslyFormattedCitation":"(Ajzen, 2002)"},"properties":{"noteIndex":0},"schema":"https://github.com/citation-style-language/schema/raw/master/csl-citation.json"}</w:instrText>
      </w:r>
      <w:r w:rsidR="000B0E45" w:rsidRPr="00D54138">
        <w:rPr>
          <w:rFonts w:ascii="Times New Roman" w:hAnsi="Times New Roman"/>
          <w:sz w:val="24"/>
          <w:szCs w:val="24"/>
        </w:rPr>
        <w:fldChar w:fldCharType="separate"/>
      </w:r>
      <w:r w:rsidR="000B0E45" w:rsidRPr="00D54138">
        <w:rPr>
          <w:rFonts w:ascii="Times New Roman" w:hAnsi="Times New Roman"/>
          <w:noProof/>
          <w:sz w:val="24"/>
          <w:szCs w:val="24"/>
        </w:rPr>
        <w:t>(Ajzen, 2002)</w:t>
      </w:r>
      <w:r w:rsidR="000B0E45" w:rsidRPr="00D54138">
        <w:rPr>
          <w:rFonts w:ascii="Times New Roman" w:hAnsi="Times New Roman"/>
          <w:sz w:val="24"/>
          <w:szCs w:val="24"/>
        </w:rPr>
        <w:fldChar w:fldCharType="end"/>
      </w:r>
      <w:r w:rsidR="000B0E45" w:rsidRPr="00D54138">
        <w:rPr>
          <w:rFonts w:ascii="Times New Roman" w:hAnsi="Times New Roman"/>
          <w:sz w:val="24"/>
          <w:szCs w:val="24"/>
        </w:rPr>
        <w:t xml:space="preserve">. </w:t>
      </w:r>
      <w:r w:rsidRPr="00D54138">
        <w:rPr>
          <w:rFonts w:ascii="Times New Roman" w:hAnsi="Times New Roman"/>
          <w:sz w:val="24"/>
          <w:szCs w:val="24"/>
        </w:rPr>
        <w:t>According to TPB, behavioral intentions are predicted by three belief-based variables: attitude, subjective norm</w:t>
      </w:r>
      <w:r w:rsidR="000B0E45" w:rsidRPr="00D54138">
        <w:rPr>
          <w:rFonts w:ascii="Times New Roman" w:hAnsi="Times New Roman"/>
          <w:sz w:val="24"/>
          <w:szCs w:val="24"/>
        </w:rPr>
        <w:t>,</w:t>
      </w:r>
      <w:r w:rsidRPr="00D54138">
        <w:rPr>
          <w:rFonts w:ascii="Times New Roman" w:hAnsi="Times New Roman"/>
          <w:sz w:val="24"/>
          <w:szCs w:val="24"/>
        </w:rPr>
        <w:t xml:space="preserve"> and perceived behavioral control </w:t>
      </w:r>
      <w:r w:rsidR="00E404C6" w:rsidRPr="00D54138">
        <w:rPr>
          <w:rFonts w:ascii="Times New Roman" w:hAnsi="Times New Roman"/>
          <w:sz w:val="24"/>
          <w:szCs w:val="24"/>
        </w:rPr>
        <w:fldChar w:fldCharType="begin" w:fldLock="1"/>
      </w:r>
      <w:r w:rsidR="00BD1097" w:rsidRPr="00D54138">
        <w:rPr>
          <w:rFonts w:ascii="Times New Roman" w:hAnsi="Times New Roman"/>
          <w:sz w:val="24"/>
          <w:szCs w:val="24"/>
        </w:rPr>
        <w:instrText>ADDIN CSL_CITATION {"citationItems":[{"id":"ITEM-1","itemData":{"ISSN":"0749-5978","author":[{"dropping-particle":"","family":"Ajzen","given":"Icek","non-dropping-particle":"","parse-names":false,"suffix":""}],"container-title":"Organizational behavior and human decision processes","id":"ITEM-1","issue":"2","issued":{"date-parts":[["1991"]]},"page":"179-211","publisher":"Elsevier","title":"The theory of planned behavior","type":"article-journal","volume":"50"},"uris":["http://www.mendeley.com/documents/?uuid=658b122f-f341-4b97-be00-8f23f1cc5b2f"]}],"mendeley":{"formattedCitation":"(Ajzen, 1991)","plainTextFormattedCitation":"(Ajzen, 1991)","previouslyFormattedCitation":"(Ajzen, 1991)"},"properties":{"noteIndex":0},"schema":"https://github.com/citation-style-language/schema/raw/master/csl-citation.json"}</w:instrText>
      </w:r>
      <w:r w:rsidR="00E404C6" w:rsidRPr="00D54138">
        <w:rPr>
          <w:rFonts w:ascii="Times New Roman" w:hAnsi="Times New Roman"/>
          <w:sz w:val="24"/>
          <w:szCs w:val="24"/>
        </w:rPr>
        <w:fldChar w:fldCharType="separate"/>
      </w:r>
      <w:r w:rsidR="00E404C6" w:rsidRPr="00D54138">
        <w:rPr>
          <w:rFonts w:ascii="Times New Roman" w:hAnsi="Times New Roman"/>
          <w:noProof/>
          <w:sz w:val="24"/>
          <w:szCs w:val="24"/>
        </w:rPr>
        <w:t>(Ajzen, 1991)</w:t>
      </w:r>
      <w:r w:rsidR="00E404C6" w:rsidRPr="00D54138">
        <w:rPr>
          <w:rFonts w:ascii="Times New Roman" w:hAnsi="Times New Roman"/>
          <w:sz w:val="24"/>
          <w:szCs w:val="24"/>
        </w:rPr>
        <w:fldChar w:fldCharType="end"/>
      </w:r>
      <w:r w:rsidR="00BD58FF" w:rsidRPr="00D54138">
        <w:rPr>
          <w:rFonts w:ascii="Times New Roman" w:hAnsi="Times New Roman"/>
          <w:sz w:val="24"/>
          <w:szCs w:val="24"/>
        </w:rPr>
        <w:t xml:space="preserve">. </w:t>
      </w:r>
      <w:r w:rsidR="000B0E45" w:rsidRPr="00D54138">
        <w:rPr>
          <w:rFonts w:ascii="Times New Roman" w:hAnsi="Times New Roman"/>
          <w:sz w:val="24"/>
          <w:szCs w:val="24"/>
        </w:rPr>
        <w:t xml:space="preserve"> </w:t>
      </w:r>
      <w:r w:rsidRPr="00D54138">
        <w:rPr>
          <w:rFonts w:ascii="Times New Roman" w:hAnsi="Times New Roman"/>
          <w:sz w:val="24"/>
          <w:szCs w:val="24"/>
        </w:rPr>
        <w:t>According to the theory of planned behavior, individuals who hold a good attitude toward a given behavior, believe they have normative support</w:t>
      </w:r>
      <w:r w:rsidR="000B0E45" w:rsidRPr="00D54138">
        <w:rPr>
          <w:rFonts w:ascii="Times New Roman" w:hAnsi="Times New Roman"/>
          <w:sz w:val="24"/>
          <w:szCs w:val="24"/>
        </w:rPr>
        <w:t>,</w:t>
      </w:r>
      <w:r w:rsidRPr="00D54138">
        <w:rPr>
          <w:rFonts w:ascii="Times New Roman" w:hAnsi="Times New Roman"/>
          <w:sz w:val="24"/>
          <w:szCs w:val="24"/>
        </w:rPr>
        <w:t xml:space="preserve"> and believe they </w:t>
      </w:r>
      <w:r w:rsidR="001557DE" w:rsidRPr="00D54138">
        <w:rPr>
          <w:rFonts w:ascii="Times New Roman" w:hAnsi="Times New Roman"/>
          <w:sz w:val="24"/>
          <w:szCs w:val="24"/>
        </w:rPr>
        <w:t>can</w:t>
      </w:r>
      <w:r w:rsidRPr="00D54138">
        <w:rPr>
          <w:rFonts w:ascii="Times New Roman" w:hAnsi="Times New Roman"/>
          <w:sz w:val="24"/>
          <w:szCs w:val="24"/>
        </w:rPr>
        <w:t xml:space="preserve"> conduct the behavior develop stronger intentions to do the behavior. The greater the purpose to engage in the behavior, the higher the probability that it will be carried out. </w:t>
      </w:r>
    </w:p>
    <w:p w14:paraId="1747430C" w14:textId="52759423" w:rsidR="008F668A" w:rsidRPr="00D54138" w:rsidRDefault="008F668A" w:rsidP="008B44D2">
      <w:pPr>
        <w:spacing w:after="0" w:line="240" w:lineRule="auto"/>
        <w:ind w:firstLine="720"/>
        <w:jc w:val="both"/>
        <w:rPr>
          <w:rFonts w:ascii="Times New Roman" w:hAnsi="Times New Roman"/>
          <w:sz w:val="24"/>
          <w:szCs w:val="24"/>
        </w:rPr>
      </w:pPr>
      <w:r w:rsidRPr="00D54138">
        <w:rPr>
          <w:rFonts w:ascii="Times New Roman" w:hAnsi="Times New Roman"/>
          <w:sz w:val="24"/>
          <w:szCs w:val="24"/>
        </w:rPr>
        <w:t>The results of the mapping imply that the TPB theory can be used to explain environmental management accounting techniques employed by firms.</w:t>
      </w:r>
      <w:r w:rsidR="00720260" w:rsidRPr="00D54138">
        <w:rPr>
          <w:rFonts w:ascii="Times New Roman" w:hAnsi="Times New Roman"/>
          <w:sz w:val="24"/>
          <w:szCs w:val="24"/>
        </w:rPr>
        <w:t xml:space="preserve"> </w:t>
      </w:r>
      <w:proofErr w:type="spellStart"/>
      <w:r w:rsidR="00BD58FF" w:rsidRPr="00D54138">
        <w:rPr>
          <w:rFonts w:ascii="Times New Roman" w:hAnsi="Times New Roman"/>
          <w:sz w:val="24"/>
          <w:szCs w:val="24"/>
        </w:rPr>
        <w:t>Tashakor</w:t>
      </w:r>
      <w:proofErr w:type="spellEnd"/>
      <w:r w:rsidR="00BD58FF" w:rsidRPr="00D54138">
        <w:rPr>
          <w:rFonts w:ascii="Times New Roman" w:hAnsi="Times New Roman"/>
          <w:sz w:val="24"/>
          <w:szCs w:val="24"/>
        </w:rPr>
        <w:t xml:space="preserve"> et al. </w:t>
      </w:r>
      <w:r w:rsidR="00BD1097" w:rsidRPr="00D54138">
        <w:rPr>
          <w:rFonts w:ascii="Times New Roman" w:hAnsi="Times New Roman"/>
          <w:sz w:val="24"/>
          <w:szCs w:val="24"/>
        </w:rPr>
        <w:fldChar w:fldCharType="begin" w:fldLock="1"/>
      </w:r>
      <w:r w:rsidR="007A3592" w:rsidRPr="00D54138">
        <w:rPr>
          <w:rFonts w:ascii="Times New Roman" w:hAnsi="Times New Roman"/>
          <w:sz w:val="24"/>
          <w:szCs w:val="24"/>
        </w:rPr>
        <w:instrText>ADDIN CSL_CITATION {"citationItems":[{"id":"ITEM-1","itemData":{"DOI":"10.1108/AAAJ-04-2018-3465","ISSN":"09513574","abstract":"Purpose: The purpose of this paper is to examine the association between the belief-based factors (attitude, subjective norm (SN) and perceived behavioural control (PBC)) and environmental management accounting (EMA) practices. Design/methodology/approach: Drawing on the theory of planned behaviour (TPB), the study develops a structural model and uses partial least squares (PLS) technique to analyse data collected based on a survey of the Australian cotton farmers. Findings: The findings indicate that while attitude and PBC significantly influence farmers’ intention to adopt EMA practices, SN has a significant indirect influence on EMA practices through farmers’ attitude and PBC. Further, the study reveals that while the intention of more environmentally friendly farmers is largely influenced by attitude and SN, the intention of less environmentally friendly farmers is primarily driven by PBC. Practical implications: The study provides important insights into the role of attitude, SN and PBC in motivating farmers towards adopting EMA practices. Such insights could also help farmers in designing effective EMA practices. Originality/value: This study contributes to very limited EMA literature on TPB by integrating three belief-based factors namely attitude, SN and PBC.","author":[{"dropping-particle":"","family":"Tashakor","given":"Shamim","non-dropping-particle":"","parse-names":false,"suffix":""},{"dropping-particle":"","family":"Appuhami","given":"Ranjith","non-dropping-particle":"","parse-names":false,"suffix":""},{"dropping-particle":"","family":"Munir","given":"Rahat","non-dropping-particle":"","parse-names":false,"suffix":""}],"container-title":"Accounting, Auditing and Accountability Journal","id":"ITEM-1","issue":"4","issued":{"date-parts":[["2019"]]},"note":"Cited By (since 2019): 14","page":"1175-1202","publisher":"emerald.com","title":"Environmental management accounting practices in Australian cotton farming: The use of the theory of planned behaviour","type":"article-journal","volume":"32"},"uris":["http://www.mendeley.com/documents/?uuid=7a6adcf7-28f9-4452-a594-8e5f9ce84c1a"]}],"mendeley":{"formattedCitation":"(Tashakor et al., 2019)","manualFormatting":"(2019)","plainTextFormattedCitation":"(Tashakor et al., 2019)","previouslyFormattedCitation":"(Tashakor et al., 2019)"},"properties":{"noteIndex":0},"schema":"https://github.com/citation-style-language/schema/raw/master/csl-citation.json"}</w:instrText>
      </w:r>
      <w:r w:rsidR="00BD1097" w:rsidRPr="00D54138">
        <w:rPr>
          <w:rFonts w:ascii="Times New Roman" w:hAnsi="Times New Roman"/>
          <w:sz w:val="24"/>
          <w:szCs w:val="24"/>
        </w:rPr>
        <w:fldChar w:fldCharType="separate"/>
      </w:r>
      <w:r w:rsidR="00BD1097" w:rsidRPr="00D54138">
        <w:rPr>
          <w:rFonts w:ascii="Times New Roman" w:hAnsi="Times New Roman"/>
          <w:noProof/>
          <w:sz w:val="24"/>
          <w:szCs w:val="24"/>
        </w:rPr>
        <w:t>(2019)</w:t>
      </w:r>
      <w:r w:rsidR="00BD1097" w:rsidRPr="00D54138">
        <w:rPr>
          <w:rFonts w:ascii="Times New Roman" w:hAnsi="Times New Roman"/>
          <w:sz w:val="24"/>
          <w:szCs w:val="24"/>
        </w:rPr>
        <w:fldChar w:fldCharType="end"/>
      </w:r>
      <w:r w:rsidR="00BD1097" w:rsidRPr="00D54138">
        <w:rPr>
          <w:rFonts w:ascii="Times New Roman" w:hAnsi="Times New Roman"/>
          <w:sz w:val="24"/>
          <w:szCs w:val="24"/>
        </w:rPr>
        <w:t xml:space="preserve"> </w:t>
      </w:r>
      <w:r w:rsidRPr="00D54138">
        <w:rPr>
          <w:rFonts w:ascii="Times New Roman" w:hAnsi="Times New Roman"/>
          <w:sz w:val="24"/>
          <w:szCs w:val="24"/>
        </w:rPr>
        <w:t>examined the relationship between belief-based variables (attitudes, subjective norms</w:t>
      </w:r>
      <w:r w:rsidR="001557DE" w:rsidRPr="00D54138">
        <w:rPr>
          <w:rFonts w:ascii="Times New Roman" w:hAnsi="Times New Roman"/>
          <w:sz w:val="24"/>
          <w:szCs w:val="24"/>
        </w:rPr>
        <w:t xml:space="preserve">, </w:t>
      </w:r>
      <w:r w:rsidRPr="00D54138">
        <w:rPr>
          <w:rFonts w:ascii="Times New Roman" w:hAnsi="Times New Roman"/>
          <w:sz w:val="24"/>
          <w:szCs w:val="24"/>
        </w:rPr>
        <w:t>and perceived behavioral control and environmental management accounting practices</w:t>
      </w:r>
      <w:r w:rsidR="001557DE" w:rsidRPr="00D54138">
        <w:rPr>
          <w:rFonts w:ascii="Times New Roman" w:hAnsi="Times New Roman"/>
          <w:sz w:val="24"/>
          <w:szCs w:val="24"/>
        </w:rPr>
        <w:t xml:space="preserve">. </w:t>
      </w:r>
      <w:r w:rsidRPr="00D54138">
        <w:rPr>
          <w:rFonts w:ascii="Times New Roman" w:hAnsi="Times New Roman"/>
          <w:sz w:val="24"/>
          <w:szCs w:val="24"/>
        </w:rPr>
        <w:t xml:space="preserve">This study reveals that the subjective norm of </w:t>
      </w:r>
      <w:r w:rsidR="00BB61A6" w:rsidRPr="00D54138">
        <w:rPr>
          <w:rFonts w:ascii="Times New Roman" w:hAnsi="Times New Roman"/>
          <w:sz w:val="24"/>
          <w:szCs w:val="24"/>
        </w:rPr>
        <w:t xml:space="preserve">subjective norms </w:t>
      </w:r>
      <w:r w:rsidRPr="00D54138">
        <w:rPr>
          <w:rFonts w:ascii="Times New Roman" w:hAnsi="Times New Roman"/>
          <w:sz w:val="24"/>
          <w:szCs w:val="24"/>
        </w:rPr>
        <w:t>has a significant indirect effect on EMA practices via farmer attitudes and perceived behavioral control</w:t>
      </w:r>
      <w:r w:rsidR="00BB61A6" w:rsidRPr="00D54138">
        <w:rPr>
          <w:rFonts w:ascii="Times New Roman" w:hAnsi="Times New Roman"/>
          <w:sz w:val="24"/>
          <w:szCs w:val="24"/>
        </w:rPr>
        <w:t xml:space="preserve">. </w:t>
      </w:r>
      <w:r w:rsidRPr="00D54138">
        <w:rPr>
          <w:rFonts w:ascii="Times New Roman" w:hAnsi="Times New Roman"/>
          <w:sz w:val="24"/>
          <w:szCs w:val="24"/>
        </w:rPr>
        <w:t xml:space="preserve">In addition, the study discovered that the intention of farmers to be less environmentally conscious was mostly influenced by </w:t>
      </w:r>
      <w:r w:rsidR="00BB61A6" w:rsidRPr="00D54138">
        <w:rPr>
          <w:rFonts w:ascii="Times New Roman" w:hAnsi="Times New Roman"/>
          <w:sz w:val="24"/>
          <w:szCs w:val="24"/>
        </w:rPr>
        <w:t>perceived behavioral control</w:t>
      </w:r>
      <w:r w:rsidRPr="00D54138">
        <w:rPr>
          <w:rFonts w:ascii="Times New Roman" w:hAnsi="Times New Roman"/>
          <w:sz w:val="24"/>
          <w:szCs w:val="24"/>
        </w:rPr>
        <w:t xml:space="preserve">, whereas the intention of farmers to be more environmentally conscious was primarily influenced by views and </w:t>
      </w:r>
      <w:r w:rsidR="00BB61A6" w:rsidRPr="00D54138">
        <w:rPr>
          <w:rFonts w:ascii="Times New Roman" w:hAnsi="Times New Roman"/>
          <w:sz w:val="24"/>
          <w:szCs w:val="24"/>
        </w:rPr>
        <w:t>subjective norms</w:t>
      </w:r>
      <w:r w:rsidRPr="00D54138">
        <w:rPr>
          <w:rFonts w:ascii="Times New Roman" w:hAnsi="Times New Roman"/>
          <w:sz w:val="24"/>
          <w:szCs w:val="24"/>
        </w:rPr>
        <w:t xml:space="preserve">. </w:t>
      </w:r>
      <w:r w:rsidR="003F796C" w:rsidRPr="00D54138">
        <w:rPr>
          <w:rFonts w:ascii="Times New Roman" w:hAnsi="Times New Roman"/>
          <w:sz w:val="24"/>
          <w:szCs w:val="24"/>
        </w:rPr>
        <w:t>Research must explain</w:t>
      </w:r>
      <w:r w:rsidRPr="00D54138">
        <w:rPr>
          <w:rFonts w:ascii="Times New Roman" w:hAnsi="Times New Roman"/>
          <w:sz w:val="24"/>
          <w:szCs w:val="24"/>
        </w:rPr>
        <w:t xml:space="preserve"> how individuals develop effective EMA behaviors. </w:t>
      </w:r>
    </w:p>
    <w:p w14:paraId="22F9F857" w14:textId="23E3D9E9" w:rsidR="00925B38" w:rsidRPr="00D54138" w:rsidRDefault="00925B38" w:rsidP="008B44D2">
      <w:pPr>
        <w:spacing w:after="0" w:line="240" w:lineRule="auto"/>
        <w:jc w:val="both"/>
        <w:rPr>
          <w:rFonts w:ascii="Times New Roman" w:hAnsi="Times New Roman"/>
          <w:sz w:val="24"/>
          <w:szCs w:val="24"/>
        </w:rPr>
      </w:pPr>
    </w:p>
    <w:p w14:paraId="5D36619C" w14:textId="77777777" w:rsidR="00BD58FF" w:rsidRPr="00D54138" w:rsidRDefault="00BD58FF" w:rsidP="008B44D2">
      <w:pPr>
        <w:spacing w:after="0" w:line="240" w:lineRule="auto"/>
        <w:jc w:val="both"/>
        <w:rPr>
          <w:rFonts w:ascii="Times New Roman" w:hAnsi="Times New Roman"/>
          <w:b/>
          <w:bCs/>
          <w:sz w:val="24"/>
          <w:szCs w:val="24"/>
        </w:rPr>
      </w:pPr>
      <w:r w:rsidRPr="00D54138">
        <w:rPr>
          <w:rFonts w:ascii="Times New Roman" w:hAnsi="Times New Roman"/>
          <w:b/>
          <w:bCs/>
          <w:sz w:val="24"/>
          <w:szCs w:val="24"/>
        </w:rPr>
        <w:t xml:space="preserve">Traditional Life Cycle </w:t>
      </w:r>
    </w:p>
    <w:p w14:paraId="0CAD68D5" w14:textId="03C0EE2A" w:rsidR="00BD58FF" w:rsidRPr="00D54138" w:rsidRDefault="00720260" w:rsidP="008B44D2">
      <w:pPr>
        <w:spacing w:after="0" w:line="240" w:lineRule="auto"/>
        <w:jc w:val="both"/>
        <w:rPr>
          <w:rFonts w:ascii="Times New Roman" w:hAnsi="Times New Roman"/>
          <w:sz w:val="24"/>
          <w:szCs w:val="24"/>
        </w:rPr>
      </w:pPr>
      <w:r w:rsidRPr="00D54138">
        <w:rPr>
          <w:rFonts w:ascii="Times New Roman" w:hAnsi="Times New Roman"/>
          <w:sz w:val="24"/>
          <w:szCs w:val="24"/>
        </w:rPr>
        <w:t xml:space="preserve">The concept of the "life cycle," which originates in ecology, comprises the full of an organism's life process, from birth to development, maturity, and decline. The life cycle theory, as applied to industrial ecology, refers to the metabolic activities of the industrial environment. The life cycle of a product comprises include raw materials, processing, manufacturing, transportation, consumption, disposal, and recycling. Moreover, life cycle cost (LCC) and life cycle assessment (LCA) are often utilized in sustainable development decision-making </w:t>
      </w:r>
      <w:r w:rsidR="007A3592" w:rsidRPr="00D54138">
        <w:rPr>
          <w:rFonts w:ascii="Times New Roman" w:hAnsi="Times New Roman"/>
          <w:sz w:val="24"/>
          <w:szCs w:val="24"/>
        </w:rPr>
        <w:fldChar w:fldCharType="begin" w:fldLock="1"/>
      </w:r>
      <w:r w:rsidR="004B24B5" w:rsidRPr="00D54138">
        <w:rPr>
          <w:rFonts w:ascii="Times New Roman" w:hAnsi="Times New Roman"/>
          <w:sz w:val="24"/>
          <w:szCs w:val="24"/>
        </w:rPr>
        <w:instrText>ADDIN CSL_CITATION {"citationItems":[{"id":"ITEM-1","itemData":{"ISSN":"0001-1541","author":[{"dropping-particle":"","family":"Lim","given":"Seong‐Rin","non-dropping-particle":"","parse-names":false,"suffix":""},{"dropping-particle":"","family":"Park","given":"Jong Moon","non-dropping-particle":"","parse-names":false,"suffix":""}],"container-title":"AIChE journal","id":"ITEM-1","issue":"12","issued":{"date-parts":[["2007"]]},"page":"3253-3262","publisher":"Wiley Online Library","title":"Environmental and economic analysis of a water network system using LCA and LCC","type":"article-journal","volume":"53"},"uris":["http://www.mendeley.com/documents/?uuid=62513f40-491f-4ca6-bab5-73240d8e6bde"]},{"id":"ITEM-2","itemData":{"DOI":"10.1016/j.apenergy.2015.01.036","ISSN":"0306-2619","author":[{"dropping-particle":"Van","family":"Boxtel","given":"A J B","non-dropping-particle":"","parse-names":false,"suffix":""},{"dropping-particle":"","family":"Perez-lopez","given":"P","non-dropping-particle":"","parse-names":false,"suffix":""},{"dropping-particle":"","family":"Breitmayer","given":"E","non-dropping-particle":"","parse-names":false,"suffix":""},{"dropping-particle":"","family":"Slegers","given":"P M","non-dropping-particle":"","parse-names":false,"suffix":""}],"container-title":"APPLIED ENERGY","id":"ITEM-2","issued":{"date-parts":[["2015"]]},"page":"1-6","publisher":"Elsevier Ltd","title":"The potential of optimized process design to advance LCA performance of algae production systems","type":"article-journal"},"uris":["http://www.mendeley.com/documents/?uuid=cd777f85-5fed-4707-b17c-9b943cf0a5d9"]}],"mendeley":{"formattedCitation":"(Boxtel et al., 2015; Lim &amp; Park, 2007)","plainTextFormattedCitation":"(Boxtel et al., 2015; Lim &amp; Park, 2007)","previouslyFormattedCitation":"(Boxtel et al., 2015; Lim &amp; Park, 2007)"},"properties":{"noteIndex":0},"schema":"https://github.com/citation-style-language/schema/raw/master/csl-citation.json"}</w:instrText>
      </w:r>
      <w:r w:rsidR="007A3592" w:rsidRPr="00D54138">
        <w:rPr>
          <w:rFonts w:ascii="Times New Roman" w:hAnsi="Times New Roman"/>
          <w:sz w:val="24"/>
          <w:szCs w:val="24"/>
        </w:rPr>
        <w:fldChar w:fldCharType="separate"/>
      </w:r>
      <w:r w:rsidR="007A3592" w:rsidRPr="00D54138">
        <w:rPr>
          <w:rFonts w:ascii="Times New Roman" w:hAnsi="Times New Roman"/>
          <w:noProof/>
          <w:sz w:val="24"/>
          <w:szCs w:val="24"/>
        </w:rPr>
        <w:t>(Boxtel et al., 2015; Lim &amp; Park, 2007)</w:t>
      </w:r>
      <w:r w:rsidR="007A3592" w:rsidRPr="00D54138">
        <w:rPr>
          <w:rFonts w:ascii="Times New Roman" w:hAnsi="Times New Roman"/>
          <w:sz w:val="24"/>
          <w:szCs w:val="24"/>
        </w:rPr>
        <w:fldChar w:fldCharType="end"/>
      </w:r>
      <w:r w:rsidR="00BD58FF" w:rsidRPr="00D54138">
        <w:rPr>
          <w:rFonts w:ascii="Times New Roman" w:hAnsi="Times New Roman"/>
          <w:sz w:val="24"/>
          <w:szCs w:val="24"/>
        </w:rPr>
        <w:t xml:space="preserve">. </w:t>
      </w:r>
      <w:r w:rsidRPr="00D54138">
        <w:rPr>
          <w:rFonts w:ascii="Times New Roman" w:hAnsi="Times New Roman"/>
          <w:sz w:val="24"/>
          <w:szCs w:val="24"/>
        </w:rPr>
        <w:t xml:space="preserve">LCC focuses on the evaluation of economic implications (such as costs, revenues, and cash flows), whereas LCA identifies and quantifies the </w:t>
      </w:r>
      <w:r w:rsidR="00B2003E" w:rsidRPr="00D54138">
        <w:rPr>
          <w:rFonts w:ascii="Times New Roman" w:hAnsi="Times New Roman"/>
          <w:sz w:val="24"/>
          <w:szCs w:val="24"/>
        </w:rPr>
        <w:t>environmental</w:t>
      </w:r>
      <w:r w:rsidRPr="00D54138">
        <w:rPr>
          <w:rFonts w:ascii="Times New Roman" w:hAnsi="Times New Roman"/>
          <w:sz w:val="24"/>
          <w:szCs w:val="24"/>
        </w:rPr>
        <w:t xml:space="preserve"> impact of economic activity. The results of the study conducted by </w:t>
      </w:r>
      <w:r w:rsidR="004B24B5" w:rsidRPr="00D54138">
        <w:rPr>
          <w:rFonts w:ascii="Times New Roman" w:hAnsi="Times New Roman"/>
          <w:noProof/>
          <w:sz w:val="24"/>
          <w:szCs w:val="24"/>
        </w:rPr>
        <w:t>Zou et al.,</w:t>
      </w:r>
      <w:r w:rsidR="00BD58FF" w:rsidRPr="00D54138">
        <w:rPr>
          <w:rFonts w:ascii="Times New Roman" w:hAnsi="Times New Roman"/>
          <w:sz w:val="24"/>
          <w:szCs w:val="24"/>
        </w:rPr>
        <w:t xml:space="preserve"> </w:t>
      </w:r>
      <w:r w:rsidR="004B24B5" w:rsidRPr="00D54138">
        <w:rPr>
          <w:rFonts w:ascii="Times New Roman" w:hAnsi="Times New Roman"/>
          <w:sz w:val="24"/>
          <w:szCs w:val="24"/>
        </w:rPr>
        <w:fldChar w:fldCharType="begin" w:fldLock="1"/>
      </w:r>
      <w:r w:rsidR="00603815" w:rsidRPr="00D54138">
        <w:rPr>
          <w:rFonts w:ascii="Times New Roman" w:hAnsi="Times New Roman"/>
          <w:sz w:val="24"/>
          <w:szCs w:val="24"/>
        </w:rPr>
        <w:instrText>ADDIN CSL_CITATION {"citationItems":[{"id":"ITEM-1","itemData":{"DOI":"10.1016/j.jclepro.2019.04.309","ISSN":"09596526","abstract":"In the context of sustainable development, environmental considerations embedded in the life cycle of a product cannot be separated from the environmental management accounting of product and waste costs, or from the quantification, monitoring and evaluation of external environmental damage. In this paper, a three-dimensional model for environmental management accounting is built that takes into consideration the dimensions of material flow, value flow and organization; this model is based on material flow cost accounting and the traditional life cycle theory. On this basis, this paper explains the basic principles of the resource value flow analysis method, and it dissects the internal mechanism of the three-dimensional model from the perspective of the enterprise, the industrial park and the nation. Then, using aluminum production as a case study, this paper briefly expounds on the implementation of resource value flow analysis from the perspective of the organization. This three-dimensional model expands the organizational boundaries of material flow cost accounting, providing guidance for tracking and quantifying the environmental impact of material flow over the entire life cycle of the enterprise, and evaluating the efficiency of the objective of material flow.","author":[{"dropping-particle":"","family":"Zou","given":"Tao","non-dropping-particle":"","parse-names":false,"suffix":""},{"dropping-particle":"","family":"Zeng","given":"Huixiang","non-dropping-particle":"","parse-names":false,"suffix":""},{"dropping-particle":"","family":"Zhou","given":"Zhifang","non-dropping-particle":"","parse-names":false,"suffix":""},{"dropping-particle":"","family":"Xiao","given":"Xu","non-dropping-particle":"","parse-names":false,"suffix":""}],"container-title":"Journal of Cleaner Production","id":"ITEM-1","issued":{"date-parts":[["2019"]]},"page":"619-633","publisher":"Elsevier Ltd","title":"A three-dimensional model featuring material flow, value flow and organization for environmental management accounting","type":"article-journal","volume":"228"},"uris":["http://www.mendeley.com/documents/?uuid=d89b4a97-5c4e-469f-ad90-ca0df3a6b1cb"]}],"mendeley":{"formattedCitation":"(Zou et al., 2019)","manualFormatting":"(2019)","plainTextFormattedCitation":"(Zou et al., 2019)","previouslyFormattedCitation":"(Zou et al., 2019)"},"properties":{"noteIndex":0},"schema":"https://github.com/citation-style-language/schema/raw/master/csl-citation.json"}</w:instrText>
      </w:r>
      <w:r w:rsidR="004B24B5" w:rsidRPr="00D54138">
        <w:rPr>
          <w:rFonts w:ascii="Times New Roman" w:hAnsi="Times New Roman"/>
          <w:sz w:val="24"/>
          <w:szCs w:val="24"/>
        </w:rPr>
        <w:fldChar w:fldCharType="separate"/>
      </w:r>
      <w:r w:rsidR="004B24B5" w:rsidRPr="00D54138">
        <w:rPr>
          <w:rFonts w:ascii="Times New Roman" w:hAnsi="Times New Roman"/>
          <w:noProof/>
          <w:sz w:val="24"/>
          <w:szCs w:val="24"/>
        </w:rPr>
        <w:t>(2019)</w:t>
      </w:r>
      <w:r w:rsidR="004B24B5" w:rsidRPr="00D54138">
        <w:rPr>
          <w:rFonts w:ascii="Times New Roman" w:hAnsi="Times New Roman"/>
          <w:sz w:val="24"/>
          <w:szCs w:val="24"/>
        </w:rPr>
        <w:fldChar w:fldCharType="end"/>
      </w:r>
      <w:r w:rsidR="004B24B5" w:rsidRPr="00D54138">
        <w:rPr>
          <w:rFonts w:ascii="Times New Roman" w:hAnsi="Times New Roman"/>
          <w:sz w:val="24"/>
          <w:szCs w:val="24"/>
        </w:rPr>
        <w:t xml:space="preserve"> </w:t>
      </w:r>
      <w:r w:rsidRPr="00D54138">
        <w:rPr>
          <w:rFonts w:ascii="Times New Roman" w:hAnsi="Times New Roman"/>
          <w:sz w:val="24"/>
          <w:szCs w:val="24"/>
        </w:rPr>
        <w:t>applying the traditional life cycle concept provide a benchmark for tracking and analyzing the environmental impact of material flows throughout the life cycle of a company, as well as determining the effectiveness of material flow targets.</w:t>
      </w:r>
      <w:r w:rsidR="00BD58FF" w:rsidRPr="00D54138">
        <w:rPr>
          <w:rFonts w:ascii="Times New Roman" w:hAnsi="Times New Roman"/>
          <w:sz w:val="24"/>
          <w:szCs w:val="24"/>
        </w:rPr>
        <w:t xml:space="preserve"> </w:t>
      </w:r>
    </w:p>
    <w:p w14:paraId="2451D9DE" w14:textId="77777777" w:rsidR="001B4138" w:rsidRPr="00D54138" w:rsidRDefault="001B4138" w:rsidP="008B44D2">
      <w:pPr>
        <w:spacing w:after="0" w:line="240" w:lineRule="auto"/>
        <w:jc w:val="both"/>
        <w:rPr>
          <w:rFonts w:ascii="Times New Roman" w:eastAsia="Times New Roman" w:hAnsi="Times New Roman"/>
          <w:i/>
          <w:sz w:val="24"/>
          <w:szCs w:val="24"/>
        </w:rPr>
      </w:pPr>
    </w:p>
    <w:p w14:paraId="2FD48718" w14:textId="366F3CE5" w:rsidR="00BD58FF" w:rsidRPr="00D54138" w:rsidRDefault="00BD58FF" w:rsidP="008B44D2">
      <w:pPr>
        <w:spacing w:line="240" w:lineRule="auto"/>
        <w:jc w:val="both"/>
        <w:rPr>
          <w:rFonts w:ascii="Times New Roman" w:hAnsi="Times New Roman"/>
          <w:b/>
          <w:bCs/>
          <w:sz w:val="24"/>
          <w:szCs w:val="24"/>
        </w:rPr>
      </w:pPr>
      <w:r w:rsidRPr="00D54138">
        <w:rPr>
          <w:rFonts w:ascii="Times New Roman" w:hAnsi="Times New Roman"/>
          <w:i/>
          <w:iCs/>
          <w:sz w:val="24"/>
          <w:szCs w:val="24"/>
        </w:rPr>
        <w:t xml:space="preserve">Analysis </w:t>
      </w:r>
      <w:r w:rsidR="00A862C2" w:rsidRPr="00D54138">
        <w:rPr>
          <w:rFonts w:ascii="Times New Roman" w:hAnsi="Times New Roman"/>
          <w:i/>
          <w:iCs/>
          <w:sz w:val="24"/>
          <w:szCs w:val="24"/>
        </w:rPr>
        <w:t>2</w:t>
      </w:r>
      <w:r w:rsidRPr="00D54138">
        <w:rPr>
          <w:rFonts w:ascii="Times New Roman" w:hAnsi="Times New Roman"/>
          <w:i/>
          <w:iCs/>
          <w:sz w:val="24"/>
          <w:szCs w:val="24"/>
        </w:rPr>
        <w:t>: Variables of Environmental Management Accounting Research</w:t>
      </w:r>
    </w:p>
    <w:p w14:paraId="074F7E76" w14:textId="77777777" w:rsidR="00BD58FF" w:rsidRPr="00D54138" w:rsidRDefault="00BD58FF" w:rsidP="008B44D2">
      <w:pPr>
        <w:spacing w:line="240" w:lineRule="auto"/>
        <w:jc w:val="both"/>
        <w:rPr>
          <w:rFonts w:ascii="Times New Roman" w:hAnsi="Times New Roman"/>
          <w:b/>
          <w:bCs/>
          <w:sz w:val="24"/>
          <w:szCs w:val="24"/>
        </w:rPr>
      </w:pPr>
      <w:r w:rsidRPr="00D54138">
        <w:rPr>
          <w:rFonts w:ascii="Times New Roman" w:hAnsi="Times New Roman"/>
          <w:b/>
          <w:bCs/>
          <w:sz w:val="24"/>
          <w:szCs w:val="24"/>
        </w:rPr>
        <w:t xml:space="preserve">Dependent Variable </w:t>
      </w:r>
    </w:p>
    <w:p w14:paraId="5561B966" w14:textId="09F41B5C" w:rsidR="00720260" w:rsidRPr="00D54138" w:rsidRDefault="00720260" w:rsidP="008B44D2">
      <w:pPr>
        <w:spacing w:after="0" w:line="240" w:lineRule="auto"/>
        <w:jc w:val="both"/>
        <w:rPr>
          <w:rFonts w:ascii="Times New Roman" w:hAnsi="Times New Roman"/>
          <w:sz w:val="24"/>
          <w:szCs w:val="24"/>
        </w:rPr>
      </w:pPr>
      <w:r w:rsidRPr="00D54138">
        <w:rPr>
          <w:rFonts w:ascii="Times New Roman" w:hAnsi="Times New Roman"/>
          <w:sz w:val="24"/>
          <w:szCs w:val="24"/>
        </w:rPr>
        <w:t xml:space="preserve">According to the results of the analysis, the dependent variables that frequently appear in Environmental Management Accounting research are </w:t>
      </w:r>
      <w:r w:rsidR="002C1DCE" w:rsidRPr="00D54138">
        <w:rPr>
          <w:rFonts w:ascii="Times New Roman" w:hAnsi="Times New Roman"/>
          <w:sz w:val="24"/>
          <w:szCs w:val="24"/>
        </w:rPr>
        <w:t xml:space="preserve">an </w:t>
      </w:r>
      <w:r w:rsidRPr="00D54138">
        <w:rPr>
          <w:rFonts w:ascii="Times New Roman" w:hAnsi="Times New Roman"/>
          <w:sz w:val="24"/>
          <w:szCs w:val="24"/>
        </w:rPr>
        <w:t xml:space="preserve">application of environmental accounting, environmental performance, </w:t>
      </w:r>
      <w:r w:rsidRPr="00D54138">
        <w:rPr>
          <w:rFonts w:ascii="Times New Roman" w:hAnsi="Times New Roman"/>
          <w:sz w:val="24"/>
          <w:szCs w:val="24"/>
        </w:rPr>
        <w:lastRenderedPageBreak/>
        <w:t xml:space="preserve">organizational performance, financial performance, carbon management, sustainability, environmental management systems, disclosure quality, sustainable supply chain management, cost savings, and efficiency (environmental and financial). </w:t>
      </w:r>
    </w:p>
    <w:p w14:paraId="1EF0CE1E" w14:textId="0EA0B5CF" w:rsidR="001A0AE1" w:rsidRPr="00D54138" w:rsidRDefault="00720260" w:rsidP="008B44D2">
      <w:pPr>
        <w:spacing w:after="0" w:line="240" w:lineRule="auto"/>
        <w:ind w:firstLine="720"/>
        <w:jc w:val="both"/>
        <w:rPr>
          <w:rFonts w:ascii="Times New Roman" w:hAnsi="Times New Roman"/>
          <w:sz w:val="24"/>
          <w:szCs w:val="24"/>
        </w:rPr>
      </w:pPr>
      <w:r w:rsidRPr="00D54138">
        <w:rPr>
          <w:rFonts w:ascii="Times New Roman" w:hAnsi="Times New Roman"/>
          <w:sz w:val="24"/>
          <w:szCs w:val="24"/>
        </w:rPr>
        <w:t xml:space="preserve">In addition, earlier research has identified environmental management accounting as the dependent variable whose purpose is to describe the scope of its application </w:t>
      </w:r>
      <w:r w:rsidR="00603815" w:rsidRPr="00D54138">
        <w:rPr>
          <w:rFonts w:ascii="Times New Roman" w:hAnsi="Times New Roman"/>
          <w:sz w:val="24"/>
          <w:szCs w:val="24"/>
        </w:rPr>
        <w:fldChar w:fldCharType="begin" w:fldLock="1"/>
      </w:r>
      <w:r w:rsidR="00454640" w:rsidRPr="00D54138">
        <w:rPr>
          <w:rFonts w:ascii="Times New Roman" w:hAnsi="Times New Roman"/>
          <w:sz w:val="24"/>
          <w:szCs w:val="24"/>
        </w:rPr>
        <w:instrText>ADDIN CSL_CITATION {"citationItems":[{"id":"ITEM-1","itemData":{"DOI":"10.5267/j.uscm.2019.8.003","ISSN":"22916830","abstract":"This paper investigates the role of environmental management accounting on sustainable supply chain management and the link between sustainable supply chain management and efficiency including financial and environmental factors using questionnaire-based survey. The study designed and sent questionnaires to 600 construction material manufacturing enterprises in Vietnam and managed to collect 418 valid ones which was processed by SPSS 20.0 software. The results show that environmental management accounting had a significantly positive impact on sustainable supply chain management. Therefore, if enterprises adopt environmental management accounting, they will more likely implement sustainable supply chain management more efficiently. On the other hand, the findings point out that sustainable supply chain management positively affect to both financial and environmental efficiency. Finally, the study provides some sound suggestions to Vietnamese construction materials manufacturing industry.","author":[{"dropping-particle":"","family":"Le","given":"Thi Tam","non-dropping-particle":"","parse-names":false,"suffix":""}],"container-title":"Uncertain Supply Chain Management","id":"ITEM-1","issue":"1","issued":{"date-parts":[["2020"]]},"note":"Cited By (since 2020): 7","page":"93-104","title":"Performance measures and metrics in a supply chain environment","type":"article-journal","volume":"8"},"uris":["http://www.mendeley.com/documents/?uuid=3fdde450-323c-4a63-aae8-c51cacd1e33f"]},{"id":"ITEM-2","itemData":{"DOI":"10.3390/su12114506","ISSN":"20711050","abstract":"This paper explores the impact of institutional pressures on the adoption of environmental management accounting (EMA). EMA has been recognized as a valuable mechanism to deal with environmental issues. This paper uses institutional theory to explain the drivers of EMA adoption in Pakistan. Data were collected from the manufacturing sector in Pakistan through a questionnairebased survey. The study concludes that coercive, normative and mimetic pressures have a significant and positive impact on the adoption of EMA.","author":[{"dropping-particle":"","family":"Latif","given":"Badar","non-dropping-particle":"","parse-names":false,"suffix":""},{"dropping-particle":"","family":"Mahmood","given":"Zeeshan","non-dropping-particle":"","parse-names":false,"suffix":""},{"dropping-particle":"","family":"San","given":"Ong Tze","non-dropping-particle":"","parse-names":false,"suffix":""},{"dropping-particle":"","family":"Said","given":"Ridzwana Mohd","non-dropping-particle":"","parse-names":false,"suffix":""},{"dropping-particle":"","family":"Bakhsh","given":"Allah","non-dropping-particle":"","parse-names":false,"suffix":""}],"container-title":"Sustainability (Switzerland)","id":"ITEM-2","issue":"11","issued":{"date-parts":[["2020","6","1"]]},"publisher":"MDPI","title":"Coercive, normative and mimetic pressures as drivers of environmental management accounting adoption","type":"article-journal","volume":"12"},"uris":["http://www.mendeley.com/documents/?uuid=0cbed441-45d6-37a9-a2e9-fa0060d116b9"]},{"id":"ITEM-3","itemData":{"DOI":"10.1108/AAAJ-04-2018-3465","ISSN":"09513574","abstract":"Purpose: The purpose of this paper is to examine the association between the belief-based factors (attitude, subjective norm (SN) and perceived behavioural control (PBC)) and environmental management accounting (EMA) practices. Design/methodology/approach: Drawing on the theory of planned behaviour (TPB), the study develops a structural model and uses partial least squares (PLS) technique to analyse data collected based on a survey of the Australian cotton farmers. Findings: The findings indicate that while attitude and PBC significantly influence farmers’ intention to adopt EMA practices, SN has a significant indirect influence on EMA practices through farmers’ attitude and PBC. Further, the study reveals that while the intention of more environmentally friendly farmers is largely influenced by attitude and SN, the intention of less environmentally friendly farmers is primarily driven by PBC. Practical implications: The study provides important insights into the role of attitude, SN and PBC in motivating farmers towards adopting EMA practices. Such insights could also help farmers in designing effective EMA practices. Originality/value: This study contributes to very limited EMA literature on TPB by integrating three belief-based factors namely attitude, SN and PBC.","author":[{"dropping-particle":"","family":"Tashakor","given":"Shamim","non-dropping-particle":"","parse-names":false,"suffix":""},{"dropping-particle":"","family":"Appuhami","given":"Ranjith","non-dropping-particle":"","parse-names":false,"suffix":""},{"dropping-particle":"","family":"Munir","given":"Rahat","non-dropping-particle":"","parse-names":false,"suffix":""}],"container-title":"Accounting, Auditing and Accountability Journal","id":"ITEM-3","issue":"4","issued":{"date-parts":[["2019"]]},"note":"Cited By (since 2019): 14","page":"1175-1202","publisher":"emerald.com","title":"Environmental management accounting practices in Australian cotton farming: The use of the theory of planned behaviour","type":"article-journal","volume":"32"},"uris":["http://www.mendeley.com/documents/?uuid=7a6adcf7-28f9-4452-a594-8e5f9ce84c1a"]},{"id":"ITEM-4","itemData":{"DOI":"10.32479/ijeep.8285","ISSN":"21464553","abstract":"The present study is motivated to investigate the importance of ecological innovations and knowledge management in influencing environmental performance (EPR). The focus of the present study lies in identifying the contribution of environmental management accounting (EMA) in driving the firm’s knowledge transfer (KTR), green innovation (GIN), and EPR in Indonesian small and medium enterprises sector. The current collected the data from 223 respondents from different SMEs of Indonesia. The results of PLS-SEM confirm that all variables have a positive and significant impact on the EPR of Indonesia SMEs. Moreover, the outcomes of the PLS-SEM confirm that KTR, GIN, and EPR have significantly and positively impacted by EMA system. The outcomes of partial least square structural equation modelling also indicate that KTR and GIN have also positively and significantly impact on the EPR. The results further recommended that the firms can improve their EPR by implementing good EMA system.","author":[{"dropping-particle":"","family":"Zandi","given":"Gholam Reza","non-dropping-particle":"","parse-names":false,"suffix":""},{"dropping-particle":"","family":"Khalid","given":"Nadeem","non-dropping-particle":"","parse-names":false,"suffix":""},{"dropping-particle":"","family":"Islam","given":"Dewan Md Zahurul","non-dropping-particle":"","parse-names":false,"suffix":""}],"container-title":"International Journal of Energy Economics and Policy","id":"ITEM-4","issue":"5","issued":{"date-parts":[["2019"]]},"note":"Cited By (since 2019): 4","page":"387-393","title":"Nexus of knowledge transfer, green innovation and environmental performance: impact of environmental management accounting","type":"article-journal","volume":"9"},"uris":["http://www.mendeley.com/documents/?uuid=4eb25d22-cf83-47a5-b720-d69cb8d149e5"]},{"id":"ITEM-5","itemData":{"DOI":"10.5890/JEAM.2018.06.002","ISSN":"23256206","abstract":"The purpose of this paper is to examine the association between the Environmental Strategy (ES) and Environmental Management Accounting (EMA) usage. It also aims to consider the effect of EMA usage on the organizational performance. A research framework was developed based on the contingency theory. Data were collected via questionnaires distributed to companies listed on UAE Stock Markets (ADX and DFM) in 2016. Data were analyzed using a structural equation modelling. The model was statistically validated and evaluated. The results indicated that ES positively affects the level of EMA usage and a positive relationship between EMA and the organizational performance. These findings contribute to the management accounting contingency-based research by providing empirical evidence to support that relationship between ES and EMA as well as between EMA and the organizational performance in the context of developing countries.","author":[{"dropping-particle":"","family":"Al-Mawali","given":"Hamzah","non-dropping-particle":"","parse-names":false,"suffix":""},{"dropping-particle":"","family":"Sharif","given":"Ahmed","non-dropping-particle":"Al","parse-names":false,"suffix":""},{"dropping-particle":"","family":"Abu Rumman","given":"Ghaleb","non-dropping-particle":"","parse-names":false,"suffix":""},{"dropping-particle":"","family":"Kerzan","given":"Faten","non-dropping-particle":"","parse-names":false,"suffix":""}],"container-title":"Journal of Environmental Accounting and Management","id":"ITEM-5","issue":"2","issued":{"date-parts":[["2018"]]},"note":"Cited By (since 2018): 27","page":"105-114","publisher":"books.google.com","title":"Environmental Strategy, Environmental Management Accounting and organizational performance: Evidence from the United Arab Emirates Market","type":"article-journal","volume":"6"},"uris":["http://www.mendeley.com/documents/?uuid=1b60578b-c17b-4c8f-8c81-2e42499daaa3"]},{"id":"ITEM-6","itemData":{"DOI":"10.1016/j.jclepro.2018.01.106","ISSN":"09596526","abstract":"This study aims to examine the effect of the combination of corporate environmental strategy, top management commitment, and environmental uncertainty, with a focus on the role of environmental management accounting (EMA), on corporate environmental performance. Using an online survey, we collect the sample data of 107 responses in ISO 14001 certified companies listed on the Indonesia Stock Exchange. The empirical evidence shows that there is a positive and significant influence between those organizational resources (corporate environmental strategy, top management commitment, and environmental uncertainty) on the use of EMA, which in turn can improve the environmental performance of companies. These findings indicate that EMA is a useful and important tool for providing information to achieve superior corporate environmental performance in Indonesian firms and the findings also suit for companies operating in other countries in terms of developing capabilities with regards to perceived environmental uncertainty to be able to manage EMA tools and, as a consequence, to improve organizational environmental performance.","author":[{"dropping-particle":"","family":"Latan","given":"Hengky","non-dropping-particle":"","parse-names":false,"suffix":""},{"dropping-particle":"","family":"Chiappetta Jabbour","given":"Charbel Jose","non-dropping-particle":"","parse-names":false,"suffix":""},{"dropping-particle":"","family":"Lopes de Sousa Jabbour","given":"Ana Beatriz","non-dropping-particle":"","parse-names":false,"suffix":""},{"dropping-particle":"","family":"Wamba","given":"Samuel Fosso","non-dropping-particle":"","parse-names":false,"suffix":""},{"dropping-particle":"","family":"Shahbaz","given":"Muhammad","non-dropping-particle":"","parse-names":false,"suffix":""}],"container-title":"Journal of Cleaner Production","id":"ITEM-6","issued":{"date-parts":[["2018"]]},"note":"Cited By (since 2018): 2","page":"297-306","title":"Effects of environmental strategy, environmental uncertainty and top management's commitment on corporate environmental performance: The role of environmental management accounting","type":"article","volume":"180"},"uris":["http://www.mendeley.com/documents/?uuid=7aaa3901-076e-469b-8303-3c9e02f84c69"]},{"id":"ITEM-7","itemData":{"DOI":"10.1002/bse.2252","ISSN":"10990836","abstract":"Environmental management accounting (EMA) has been regarded as an effective way to deal with environmental issues and economic performance. On the basis of institutional theory, this research aims to examine the effects of institutional pressures on the implementation of EMA and how such effects are affected by top management support and perceived benefit. Data were collected from the manufacturing firms in the Yangtze River Delta using questionnaire survey method. The results indicated that coercive pressure and normative pressure positively and significantly affect the implementation of EMA whereas mimetic pressure has no significant effect. Furthermore, top management support and perceived benefit play different moderating roles in the relationships between institutional pressures and the implementation of EMA. Top management support and perceived benefit positively moderate the relationships between coercive pressure, normative pressure, and the implementation of EMA although negatively moderate the relationship between mimetic pressure and the implementation of EMA. On the basis of the findings, policy implications and suggestions for future research are discussed.","author":[{"dropping-particle":"","family":"Wang","given":"Shanyong","non-dropping-particle":"","parse-names":false,"suffix":""},{"dropping-particle":"","family":"Wang","given":"Hualong","non-dropping-particle":"","parse-names":false,"suffix":""},{"dropping-particle":"","family":"Wang","given":"Jing","non-dropping-particle":"","parse-names":false,"suffix":""}],"container-title":"Business Strategy and the Environment","id":"ITEM-7","issue":"1","issued":{"date-parts":[["2019"]]},"page":"233-243","title":"Exploring the effects of institutional pressures on the implementation of environmental management accounting: Do top management support and perceived benefit work?","type":"article-journal","volume":"28"},"uris":["http://www.mendeley.com/documents/?uuid=7f1545be-e944-46d4-a098-33df81f3c5ac"]}],"mendeley":{"formattedCitation":"(Al-Mawali et al., 2018; Latan et al., 2018; Latif et al., 2020; Le, 2020; Tashakor et al., 2019; Wang et al., 2019; Zandi et al., 2019)","plainTextFormattedCitation":"(Al-Mawali et al., 2018; Latan et al., 2018; Latif et al., 2020; Le, 2020; Tashakor et al., 2019; Wang et al., 2019; Zandi et al., 2019)","previouslyFormattedCitation":"(Al-Mawali et al., 2018; Latan et al., 2018; Latif et al., 2020; Le, 2020; Tashakor et al., 2019; Wang et al., 2019; Zandi et al., 2019)"},"properties":{"noteIndex":0},"schema":"https://github.com/citation-style-language/schema/raw/master/csl-citation.json"}</w:instrText>
      </w:r>
      <w:r w:rsidR="00603815" w:rsidRPr="00D54138">
        <w:rPr>
          <w:rFonts w:ascii="Times New Roman" w:hAnsi="Times New Roman"/>
          <w:sz w:val="24"/>
          <w:szCs w:val="24"/>
        </w:rPr>
        <w:fldChar w:fldCharType="separate"/>
      </w:r>
      <w:r w:rsidR="00454640" w:rsidRPr="00D54138">
        <w:rPr>
          <w:rFonts w:ascii="Times New Roman" w:hAnsi="Times New Roman"/>
          <w:noProof/>
          <w:sz w:val="24"/>
          <w:szCs w:val="24"/>
        </w:rPr>
        <w:t>(Al-Mawali et al., 2018; Latan et al., 2018; Latif et al., 2020; Le, 2020; Tashakor et al., 2019; Wang et al., 2019; Zandi et al., 2019)</w:t>
      </w:r>
      <w:r w:rsidR="00603815" w:rsidRPr="00D54138">
        <w:rPr>
          <w:rFonts w:ascii="Times New Roman" w:hAnsi="Times New Roman"/>
          <w:sz w:val="24"/>
          <w:szCs w:val="24"/>
        </w:rPr>
        <w:fldChar w:fldCharType="end"/>
      </w:r>
      <w:r w:rsidR="00454640" w:rsidRPr="00D54138">
        <w:rPr>
          <w:rFonts w:ascii="Times New Roman" w:hAnsi="Times New Roman"/>
          <w:sz w:val="24"/>
          <w:szCs w:val="24"/>
        </w:rPr>
        <w:t>.</w:t>
      </w:r>
      <w:r w:rsidR="00BD58FF" w:rsidRPr="00D54138">
        <w:rPr>
          <w:rFonts w:ascii="Times New Roman" w:hAnsi="Times New Roman"/>
          <w:sz w:val="24"/>
          <w:szCs w:val="24"/>
        </w:rPr>
        <w:t xml:space="preserve"> Le </w:t>
      </w:r>
      <w:r w:rsidR="00454640" w:rsidRPr="00D54138">
        <w:rPr>
          <w:rFonts w:ascii="Times New Roman" w:hAnsi="Times New Roman"/>
          <w:sz w:val="24"/>
          <w:szCs w:val="24"/>
        </w:rPr>
        <w:fldChar w:fldCharType="begin" w:fldLock="1"/>
      </w:r>
      <w:r w:rsidR="00454640" w:rsidRPr="00D54138">
        <w:rPr>
          <w:rFonts w:ascii="Times New Roman" w:hAnsi="Times New Roman"/>
          <w:sz w:val="24"/>
          <w:szCs w:val="24"/>
        </w:rPr>
        <w:instrText>ADDIN CSL_CITATION {"citationItems":[{"id":"ITEM-1","itemData":{"DOI":"10.3390/su11195152","ISSN":"20711050","abstract":"This study was conducted to investigate factors impacting the application of environmental management accounting (EMA) and the relationship between EMA application and performance efficiency including financial and environmental sectors. The scope of research was to investigate construction material manufacturing enterprises in Vietnam with medium and large scales, which is considered one of the industries causing significant negative impacts on the environment. The questionnaires were sent to chief management accountants of 600 construction material enterprises in Vietnam from 2018 to 2019. This process obtained 418 valid votes. Using SPSS 22.0 software to process data, the research results indicate that there are six factors that positively influence the application of EMA practices, including government enforcement, stakeholder interest, positive environmental strategies, community expectations, professional education network, and financial condition, of which, government enforcement has the most significant and positive relationship with the adoption of EMA. On the other hand, it appears that the application of EMA positively impacts financial efficiency and environmental efficiency. As found by many previous studies, environmental efficiency also strongly positively impacts financial efficiency. Thus, innovative solutions to reduce environmental pollution can promote enterprises' profitability.","author":[{"dropping-particle":"","family":"Le","given":"Thi Tam","non-dropping-particle":"","parse-names":false,"suffix":""},{"dropping-particle":"","family":"Nguyen","given":"Thi Mai Anh","non-dropping-particle":"","parse-names":false,"suffix":""},{"dropping-particle":"","family":"Phan","given":"Thi Thu Hien","non-dropping-particle":"","parse-names":false,"suffix":""}],"container-title":"Sustainability (Switzerland)","id":"ITEM-1","issue":"19","issued":{"date-parts":[["2019"]]},"note":"Cited By (since 2019): 29","publisher":"mdpi.com","title":"Environmental management accounting and performance efficiency in the Vietnamese construction material industry-a managerial implication for sustainable development","type":"article-journal","volume":"11"},"uris":["http://www.mendeley.com/documents/?uuid=73bf0aaa-8d16-4949-b6bc-27b9c081c5e3"]}],"mendeley":{"formattedCitation":"(Le et al., 2019)","manualFormatting":"(2019)","plainTextFormattedCitation":"(Le et al., 2019)","previouslyFormattedCitation":"(Le et al., 2019)"},"properties":{"noteIndex":0},"schema":"https://github.com/citation-style-language/schema/raw/master/csl-citation.json"}</w:instrText>
      </w:r>
      <w:r w:rsidR="00454640" w:rsidRPr="00D54138">
        <w:rPr>
          <w:rFonts w:ascii="Times New Roman" w:hAnsi="Times New Roman"/>
          <w:sz w:val="24"/>
          <w:szCs w:val="24"/>
        </w:rPr>
        <w:fldChar w:fldCharType="separate"/>
      </w:r>
      <w:r w:rsidR="00454640" w:rsidRPr="00D54138">
        <w:rPr>
          <w:rFonts w:ascii="Times New Roman" w:hAnsi="Times New Roman"/>
          <w:noProof/>
          <w:sz w:val="24"/>
          <w:szCs w:val="24"/>
        </w:rPr>
        <w:t>(2019)</w:t>
      </w:r>
      <w:r w:rsidR="00454640" w:rsidRPr="00D54138">
        <w:rPr>
          <w:rFonts w:ascii="Times New Roman" w:hAnsi="Times New Roman"/>
          <w:sz w:val="24"/>
          <w:szCs w:val="24"/>
        </w:rPr>
        <w:fldChar w:fldCharType="end"/>
      </w:r>
      <w:r w:rsidR="00BD58FF" w:rsidRPr="00D54138">
        <w:rPr>
          <w:rFonts w:ascii="Times New Roman" w:hAnsi="Times New Roman"/>
          <w:sz w:val="24"/>
          <w:szCs w:val="24"/>
        </w:rPr>
        <w:t xml:space="preserve"> explained that government enforcement and stakeholder concerns influence the implementation of the EMA. According</w:t>
      </w:r>
      <w:r w:rsidR="002C1DCE" w:rsidRPr="00D54138">
        <w:rPr>
          <w:rFonts w:ascii="Times New Roman" w:hAnsi="Times New Roman"/>
          <w:sz w:val="24"/>
          <w:szCs w:val="24"/>
        </w:rPr>
        <w:t xml:space="preserve"> to</w:t>
      </w:r>
      <w:r w:rsidR="00BD58FF" w:rsidRPr="00D54138">
        <w:rPr>
          <w:rFonts w:ascii="Times New Roman" w:hAnsi="Times New Roman"/>
          <w:sz w:val="24"/>
          <w:szCs w:val="24"/>
        </w:rPr>
        <w:t xml:space="preserve"> </w:t>
      </w:r>
      <w:r w:rsidR="00454640" w:rsidRPr="00D54138">
        <w:rPr>
          <w:rFonts w:ascii="Times New Roman" w:hAnsi="Times New Roman"/>
          <w:noProof/>
          <w:sz w:val="24"/>
          <w:szCs w:val="24"/>
        </w:rPr>
        <w:t xml:space="preserve">Latif et al., </w:t>
      </w:r>
      <w:r w:rsidR="00454640" w:rsidRPr="00D54138">
        <w:rPr>
          <w:rFonts w:ascii="Times New Roman" w:hAnsi="Times New Roman"/>
          <w:noProof/>
          <w:sz w:val="24"/>
          <w:szCs w:val="24"/>
        </w:rPr>
        <w:fldChar w:fldCharType="begin" w:fldLock="1"/>
      </w:r>
      <w:r w:rsidR="00454640" w:rsidRPr="00D54138">
        <w:rPr>
          <w:rFonts w:ascii="Times New Roman" w:hAnsi="Times New Roman"/>
          <w:noProof/>
          <w:sz w:val="24"/>
          <w:szCs w:val="24"/>
        </w:rPr>
        <w:instrText>ADDIN CSL_CITATION {"citationItems":[{"id":"ITEM-1","itemData":{"DOI":"10.3390/su12114506","ISSN":"20711050","abstract":"This paper explores the impact of institutional pressures on the adoption of environmental management accounting (EMA). EMA has been recognized as a valuable mechanism to deal with environmental issues. This paper uses institutional theory to explain the drivers of EMA adoption in Pakistan. Data were collected from the manufacturing sector in Pakistan through a questionnairebased survey. The study concludes that coercive, normative and mimetic pressures have a significant and positive impact on the adoption of EMA.","author":[{"dropping-particle":"","family":"Latif","given":"Badar","non-dropping-particle":"","parse-names":false,"suffix":""},{"dropping-particle":"","family":"Mahmood","given":"Zeeshan","non-dropping-particle":"","parse-names":false,"suffix":""},{"dropping-particle":"","family":"San","given":"Ong Tze","non-dropping-particle":"","parse-names":false,"suffix":""},{"dropping-particle":"","family":"Said","given":"Ridzwana Mohd","non-dropping-particle":"","parse-names":false,"suffix":""},{"dropping-particle":"","family":"Bakhsh","given":"Allah","non-dropping-particle":"","parse-names":false,"suffix":""}],"container-title":"Sustainability (Switzerland)","id":"ITEM-1","issue":"11","issued":{"date-parts":[["2020","6","1"]]},"publisher":"MDPI","title":"Coercive, normative and mimetic pressures as drivers of environmental management accounting adoption","type":"article-journal","volume":"12"},"uris":["http://www.mendeley.com/documents/?uuid=0cbed441-45d6-37a9-a2e9-fa0060d116b9"]}],"mendeley":{"formattedCitation":"(Latif et al., 2020)","manualFormatting":"(2020)","plainTextFormattedCitation":"(Latif et al., 2020)","previouslyFormattedCitation":"(Latif et al., 2020)"},"properties":{"noteIndex":0},"schema":"https://github.com/citation-style-language/schema/raw/master/csl-citation.json"}</w:instrText>
      </w:r>
      <w:r w:rsidR="00454640" w:rsidRPr="00D54138">
        <w:rPr>
          <w:rFonts w:ascii="Times New Roman" w:hAnsi="Times New Roman"/>
          <w:noProof/>
          <w:sz w:val="24"/>
          <w:szCs w:val="24"/>
        </w:rPr>
        <w:fldChar w:fldCharType="separate"/>
      </w:r>
      <w:r w:rsidR="00454640" w:rsidRPr="00D54138">
        <w:rPr>
          <w:rFonts w:ascii="Times New Roman" w:hAnsi="Times New Roman"/>
          <w:noProof/>
          <w:sz w:val="24"/>
          <w:szCs w:val="24"/>
        </w:rPr>
        <w:t>(2020)</w:t>
      </w:r>
      <w:r w:rsidR="00454640" w:rsidRPr="00D54138">
        <w:rPr>
          <w:rFonts w:ascii="Times New Roman" w:hAnsi="Times New Roman"/>
          <w:noProof/>
          <w:sz w:val="24"/>
          <w:szCs w:val="24"/>
        </w:rPr>
        <w:fldChar w:fldCharType="end"/>
      </w:r>
      <w:r w:rsidRPr="00D54138">
        <w:rPr>
          <w:rFonts w:ascii="Times New Roman" w:hAnsi="Times New Roman"/>
          <w:sz w:val="24"/>
          <w:szCs w:val="24"/>
        </w:rPr>
        <w:t xml:space="preserve">, </w:t>
      </w:r>
      <w:r w:rsidR="00BD58FF" w:rsidRPr="00D54138">
        <w:rPr>
          <w:rFonts w:ascii="Times New Roman" w:hAnsi="Times New Roman"/>
          <w:sz w:val="24"/>
          <w:szCs w:val="24"/>
        </w:rPr>
        <w:t xml:space="preserve">the use of EMA is influenced by the existence of coercive, normative, and mimetic forces. These results are consistent with this finding. </w:t>
      </w:r>
      <w:r w:rsidR="001A0AE1" w:rsidRPr="00D54138">
        <w:rPr>
          <w:rFonts w:ascii="Times New Roman" w:hAnsi="Times New Roman"/>
          <w:sz w:val="24"/>
          <w:szCs w:val="24"/>
        </w:rPr>
        <w:t xml:space="preserve"> </w:t>
      </w:r>
    </w:p>
    <w:p w14:paraId="0C6D6AAA" w14:textId="072AC624" w:rsidR="00720260" w:rsidRPr="00D54138" w:rsidRDefault="00720260" w:rsidP="008B44D2">
      <w:pPr>
        <w:spacing w:after="0" w:line="240" w:lineRule="auto"/>
        <w:ind w:firstLine="720"/>
        <w:jc w:val="both"/>
        <w:rPr>
          <w:rFonts w:ascii="Times New Roman" w:hAnsi="Times New Roman"/>
          <w:sz w:val="24"/>
          <w:szCs w:val="24"/>
        </w:rPr>
      </w:pPr>
      <w:r w:rsidRPr="00D54138">
        <w:rPr>
          <w:rFonts w:ascii="Times New Roman" w:hAnsi="Times New Roman"/>
          <w:sz w:val="24"/>
          <w:szCs w:val="24"/>
        </w:rPr>
        <w:t xml:space="preserve">Furthermore, Wachiri &amp; </w:t>
      </w:r>
      <w:proofErr w:type="spellStart"/>
      <w:r w:rsidRPr="00D54138">
        <w:rPr>
          <w:rFonts w:ascii="Times New Roman" w:hAnsi="Times New Roman"/>
          <w:sz w:val="24"/>
          <w:szCs w:val="24"/>
        </w:rPr>
        <w:t>Wang'Ombe</w:t>
      </w:r>
      <w:proofErr w:type="spellEnd"/>
      <w:r w:rsidRPr="00D54138">
        <w:rPr>
          <w:rFonts w:ascii="Times New Roman" w:hAnsi="Times New Roman"/>
          <w:sz w:val="24"/>
          <w:szCs w:val="24"/>
        </w:rPr>
        <w:t xml:space="preserve"> </w:t>
      </w:r>
      <w:r w:rsidRPr="00D54138">
        <w:rPr>
          <w:rFonts w:ascii="Times New Roman" w:hAnsi="Times New Roman"/>
          <w:sz w:val="24"/>
          <w:szCs w:val="24"/>
        </w:rPr>
        <w:fldChar w:fldCharType="begin" w:fldLock="1"/>
      </w:r>
      <w:r w:rsidRPr="00D54138">
        <w:rPr>
          <w:rFonts w:ascii="Times New Roman" w:hAnsi="Times New Roman"/>
          <w:sz w:val="24"/>
          <w:szCs w:val="24"/>
        </w:rPr>
        <w:instrText>ADDIN CSL_CITATION {"citationItems":[{"id":"ITEM-1","itemData":{"DOI":"10.1108/S1479-359820190000008004","ISSN":"14793598","abstract":"Purpose — Though environmental management accounting (EMA) is a globally recognized accounting practice, its application and development within several developing economies remain stunted. The aim of this chapter is to provide an overview of the extent to which EMA practices have been implemented by local manufacturing companies in Nairobi, Kenya. Methodology — We measure the degree to which EMA methods have been adopted by manufacturing entities and hypothesize that firm size, financial performance, and regulation are positively associated to the extent to which EMA techniques are applied by Kenyan corporations. The chapter employs a mixed methods research approach and combines the use of surveys with semistructured interviews to gain insights into drivers of EMA and the extent to which these methods are applied locally. Findings — We find environmental regulation and financial performance are positively associated with the level of EMA practices applied by manufacturing entities. Originality — The findings illustrate the complexities of applying EMA practices within an emerging context and provide evidence that EMA practices are still predominantly used by entities to meet local regulatory requirements. The qualitative findings indicate there could be some companies who engage with EMA at a more sophisticated level.","author":[{"dropping-particle":"","family":"Wachira","given":"Mumbi Maria","non-dropping-particle":"","parse-names":false,"suffix":""},{"dropping-particle":"","family":"Wang’Ombe","given":"David","non-dropping-particle":"","parse-names":false,"suffix":""}],"container-title":"Advances in Environmental Accounting and Management","id":"ITEM-1","issued":{"date-parts":[["2019"]]},"note":"Cited By (since 2019): 3","page":"69-89","title":"the Application of Environmental Management Accounting Techniques By Manufacturing Firms in Kenya","type":"article-journal","volume":"8"},"uris":["http://www.mendeley.com/documents/?uuid=2975d89e-eb32-4a5b-aed9-d011def2ce2b"]}],"mendeley":{"formattedCitation":"(Wachira &amp; Wang’Ombe, 2019)","manualFormatting":"(2019)","plainTextFormattedCitation":"(Wachira &amp; Wang’Ombe, 2019)","previouslyFormattedCitation":"(Wachira &amp; Wang’Ombe, 2019)"},"properties":{"noteIndex":0},"schema":"https://github.com/citation-style-language/schema/raw/master/csl-citation.json"}</w:instrText>
      </w:r>
      <w:r w:rsidRPr="00D54138">
        <w:rPr>
          <w:rFonts w:ascii="Times New Roman" w:hAnsi="Times New Roman"/>
          <w:sz w:val="24"/>
          <w:szCs w:val="24"/>
        </w:rPr>
        <w:fldChar w:fldCharType="separate"/>
      </w:r>
      <w:r w:rsidRPr="00D54138">
        <w:rPr>
          <w:rFonts w:ascii="Times New Roman" w:hAnsi="Times New Roman"/>
          <w:noProof/>
          <w:sz w:val="24"/>
          <w:szCs w:val="24"/>
        </w:rPr>
        <w:t>(2019)</w:t>
      </w:r>
      <w:r w:rsidRPr="00D54138">
        <w:rPr>
          <w:rFonts w:ascii="Times New Roman" w:hAnsi="Times New Roman"/>
          <w:sz w:val="24"/>
          <w:szCs w:val="24"/>
        </w:rPr>
        <w:fldChar w:fldCharType="end"/>
      </w:r>
      <w:r w:rsidRPr="00D54138">
        <w:rPr>
          <w:rFonts w:ascii="Times New Roman" w:hAnsi="Times New Roman"/>
          <w:sz w:val="24"/>
          <w:szCs w:val="24"/>
        </w:rPr>
        <w:t xml:space="preserve"> </w:t>
      </w:r>
      <w:r w:rsidR="002C1DCE" w:rsidRPr="00D54138">
        <w:rPr>
          <w:rFonts w:ascii="Times New Roman" w:hAnsi="Times New Roman"/>
          <w:sz w:val="24"/>
          <w:szCs w:val="24"/>
        </w:rPr>
        <w:t xml:space="preserve">studied </w:t>
      </w:r>
      <w:r w:rsidRPr="00D54138">
        <w:rPr>
          <w:rFonts w:ascii="Times New Roman" w:hAnsi="Times New Roman"/>
          <w:sz w:val="24"/>
          <w:szCs w:val="24"/>
        </w:rPr>
        <w:t>the use of management accounting in firms. According to Le et al</w:t>
      </w:r>
      <w:r w:rsidR="00BD58FF" w:rsidRPr="00D54138">
        <w:rPr>
          <w:rFonts w:ascii="Times New Roman" w:hAnsi="Times New Roman"/>
          <w:sz w:val="24"/>
          <w:szCs w:val="24"/>
        </w:rPr>
        <w:t xml:space="preserve"> (2019</w:t>
      </w:r>
      <w:r w:rsidR="00A862C2" w:rsidRPr="00D54138">
        <w:rPr>
          <w:rFonts w:ascii="Times New Roman" w:hAnsi="Times New Roman"/>
          <w:sz w:val="24"/>
          <w:szCs w:val="24"/>
        </w:rPr>
        <w:t xml:space="preserve">) </w:t>
      </w:r>
      <w:r w:rsidRPr="00D54138">
        <w:rPr>
          <w:rFonts w:ascii="Times New Roman" w:hAnsi="Times New Roman"/>
          <w:sz w:val="24"/>
          <w:szCs w:val="24"/>
        </w:rPr>
        <w:t>government enforcement, stakeholder interests, good environmental strategies, community expectations, professional education networks, and monetary conditions influence the usage of environmental management accounting. However, government enforcement is the most important factor in the adoption of EMA by businesses</w:t>
      </w:r>
      <w:r w:rsidR="00BD58FF" w:rsidRPr="00D54138">
        <w:rPr>
          <w:rFonts w:ascii="Times New Roman" w:hAnsi="Times New Roman"/>
          <w:sz w:val="24"/>
          <w:szCs w:val="24"/>
        </w:rPr>
        <w:t xml:space="preserve">. </w:t>
      </w:r>
      <w:r w:rsidRPr="00D54138">
        <w:rPr>
          <w:rFonts w:ascii="Times New Roman" w:hAnsi="Times New Roman"/>
          <w:sz w:val="24"/>
          <w:szCs w:val="24"/>
        </w:rPr>
        <w:t xml:space="preserve">Moreover, the deployment of EMA in enterprises is driven by government regulations. In addition, they claimed that the acceptance of the EMA is also motivated by community expectations </w:t>
      </w:r>
      <w:r w:rsidR="00454640" w:rsidRPr="00D54138">
        <w:rPr>
          <w:rFonts w:ascii="Times New Roman" w:hAnsi="Times New Roman"/>
          <w:sz w:val="24"/>
          <w:szCs w:val="24"/>
        </w:rPr>
        <w:fldChar w:fldCharType="begin" w:fldLock="1"/>
      </w:r>
      <w:r w:rsidR="00A016AB" w:rsidRPr="00D54138">
        <w:rPr>
          <w:rFonts w:ascii="Times New Roman" w:hAnsi="Times New Roman"/>
          <w:sz w:val="24"/>
          <w:szCs w:val="24"/>
        </w:rPr>
        <w:instrText>ADDIN CSL_CITATION {"citationItems":[{"id":"ITEM-1","itemData":{"DOI":"10.1108/AAAJ-09-2017-3145","ISSN":"09513574","abstract":"Purpose: The purpose of this paper is to examine the influences on the adoption of environmental management accounting (EMA) in corporatised water supply organisations, from an institutional theory perspective, drawing on the concepts of reflexive isomorphism and institutional logics. Design/methodology/approach: The primary research involves case analysis of three companies in the Australian water supply industry, drawing on interviews, internal documents and publicly available documents, including annual reports. Findings: Two key drivers for the adoption and emergence of EMA are: the emergence of a government regulator in the form of the Essential Services Commission (ESC) and community expectations with regard to environmental performance and disclosure. The water organisations were found to be reflexively isomorphic, while seeking to align their commercial logic to “sustainability” and “ensuring community expectations” logics to the legitimate adoption of EMA. Originality/value: The paper contributes to the literature by providing case study evidence of the intentions and motivations of management in adopting EMA, and the nature of that adoption process over an extended period. Further, it provides empirical evidence of the applicability of reflexive isomorphism in the context of EMA and institutional logics.","author":[{"dropping-particle":"","family":"Imtiaz Ferdous","given":"Mohammad","non-dropping-particle":"","parse-names":false,"suffix":""},{"dropping-particle":"","family":"Adams","given":"Carol A.","non-dropping-particle":"","parse-names":false,"suffix":""},{"dropping-particle":"","family":"Boyce","given":"Gordon","non-dropping-particle":"","parse-names":false,"suffix":""}],"container-title":"Accounting, Auditing and Accountability Journal","id":"ITEM-1","issue":"4","issued":{"date-parts":[["2019"]]},"note":"Cited By (since 2019): 37","page":"984-1012","publisher":"emerald.com","title":"Institutional drivers of environmental management accounting adoption in public sector water organisations","type":"article-journal","volume":"32"},"uris":["http://www.mendeley.com/documents/?uuid=744721d3-edfb-4b6a-a7af-18b0f8f02156"]}],"mendeley":{"formattedCitation":"(Imtiaz Ferdous et al., 2019)","plainTextFormattedCitation":"(Imtiaz Ferdous et al., 2019)","previouslyFormattedCitation":"(Imtiaz Ferdous et al., 2019)"},"properties":{"noteIndex":0},"schema":"https://github.com/citation-style-language/schema/raw/master/csl-citation.json"}</w:instrText>
      </w:r>
      <w:r w:rsidR="00454640" w:rsidRPr="00D54138">
        <w:rPr>
          <w:rFonts w:ascii="Times New Roman" w:hAnsi="Times New Roman"/>
          <w:sz w:val="24"/>
          <w:szCs w:val="24"/>
        </w:rPr>
        <w:fldChar w:fldCharType="separate"/>
      </w:r>
      <w:r w:rsidR="00454640" w:rsidRPr="00D54138">
        <w:rPr>
          <w:rFonts w:ascii="Times New Roman" w:hAnsi="Times New Roman"/>
          <w:noProof/>
          <w:sz w:val="24"/>
          <w:szCs w:val="24"/>
        </w:rPr>
        <w:t>(Imtiaz Ferdous et al., 2019)</w:t>
      </w:r>
      <w:r w:rsidR="00454640" w:rsidRPr="00D54138">
        <w:rPr>
          <w:rFonts w:ascii="Times New Roman" w:hAnsi="Times New Roman"/>
          <w:sz w:val="24"/>
          <w:szCs w:val="24"/>
        </w:rPr>
        <w:fldChar w:fldCharType="end"/>
      </w:r>
      <w:r w:rsidR="00BD58FF" w:rsidRPr="00D54138">
        <w:rPr>
          <w:rFonts w:ascii="Times New Roman" w:hAnsi="Times New Roman"/>
          <w:sz w:val="24"/>
          <w:szCs w:val="24"/>
        </w:rPr>
        <w:t>,</w:t>
      </w:r>
      <w:r w:rsidRPr="00D54138">
        <w:rPr>
          <w:rFonts w:ascii="Times New Roman" w:hAnsi="Times New Roman"/>
          <w:sz w:val="24"/>
          <w:szCs w:val="24"/>
        </w:rPr>
        <w:t xml:space="preserve"> </w:t>
      </w:r>
    </w:p>
    <w:p w14:paraId="0D255959" w14:textId="76B86705" w:rsidR="00BD58FF" w:rsidRPr="00D54138" w:rsidRDefault="00BD58FF" w:rsidP="008B44D2">
      <w:pPr>
        <w:spacing w:after="0" w:line="240" w:lineRule="auto"/>
        <w:ind w:firstLine="720"/>
        <w:jc w:val="both"/>
        <w:rPr>
          <w:rFonts w:ascii="Times New Roman" w:hAnsi="Times New Roman"/>
          <w:sz w:val="24"/>
          <w:szCs w:val="24"/>
        </w:rPr>
      </w:pPr>
      <w:r w:rsidRPr="00D54138">
        <w:rPr>
          <w:rFonts w:ascii="Times New Roman" w:hAnsi="Times New Roman"/>
          <w:sz w:val="24"/>
          <w:szCs w:val="24"/>
        </w:rPr>
        <w:t>Latan et al. (2018)</w:t>
      </w:r>
      <w:r w:rsidR="001B4138" w:rsidRPr="00D54138">
        <w:rPr>
          <w:rFonts w:ascii="Times New Roman" w:hAnsi="Times New Roman"/>
          <w:sz w:val="24"/>
          <w:szCs w:val="24"/>
        </w:rPr>
        <w:t xml:space="preserve"> </w:t>
      </w:r>
      <w:r w:rsidR="00A571B8" w:rsidRPr="00D54138">
        <w:rPr>
          <w:rFonts w:ascii="Times New Roman" w:hAnsi="Times New Roman"/>
          <w:sz w:val="24"/>
          <w:szCs w:val="24"/>
        </w:rPr>
        <w:t>found that the organization's resources, such as its environmental strategy, senior management's commitment, and environmental uncertainty, impact the implementation of EMA. They discovered evidence that the establishment of an EMA will aid the achievement of environmental performance inside an organization. Moreover, the adoption of environmental management accounting and environmental performance positively correlate with green intellectual capital, which includes green human capital, green structural capital, and green relational capital </w:t>
      </w:r>
      <w:r w:rsidR="00A016AB" w:rsidRPr="00D54138">
        <w:rPr>
          <w:rFonts w:ascii="Times New Roman" w:hAnsi="Times New Roman"/>
          <w:sz w:val="24"/>
          <w:szCs w:val="24"/>
        </w:rPr>
        <w:fldChar w:fldCharType="begin" w:fldLock="1"/>
      </w:r>
      <w:r w:rsidR="001D4E54" w:rsidRPr="00D54138">
        <w:rPr>
          <w:rFonts w:ascii="Times New Roman" w:hAnsi="Times New Roman"/>
          <w:sz w:val="24"/>
          <w:szCs w:val="24"/>
        </w:rPr>
        <w:instrText>ADDIN CSL_CITATION {"citationItems":[{"id":"ITEM-1","itemData":{"DOI":"10.1002/bse.2875","ISSN":"10990836","abstract":"Taking inspiration from the natural resource-based view of the firm and resource orchestration theory, we propose a new approach, that is, natural resource orchestration, to investigate how green intellectual capital and environmental management accounting stimulate environmental performance. Using survey data collected from 106 chief financial officers (CFOs) of publicly listed companies in Iran, findings show that the elements of green intellectual capital (green human capital, green structural capital, and green relational capital) are positively associated with both environmental management accounting and environmental performance. In addition, findings support the hypothesis that the use of environmental management accounting mediates the relationship between green intellectual capital and environmental performance. This study provides fresh insights into how an organization deals with the effective alignment (i.e., orchestration) of various green resources, for example, green intellectual capital and environmental management accounting, to promote environmental performance. This is the first study ever to introduce the natural resource orchestration approach for examining how environmental management accounting appears to play a role in translating green intellectual capital into enhanced environmental performance.","author":[{"dropping-particle":"","family":"Asiaei","given":"Kaveh","non-dropping-particle":"","parse-names":false,"suffix":""},{"dropping-particle":"","family":"Bontis","given":"Nick","non-dropping-particle":"","parse-names":false,"suffix":""},{"dropping-particle":"","family":"Alizadeh","given":"Raziye","non-dropping-particle":"","parse-names":false,"suffix":""},{"dropping-particle":"","family":"Yaghoubi","given":"Mehdi","non-dropping-particle":"","parse-names":false,"suffix":""}],"container-title":"Business Strategy and the Environment","id":"ITEM-1","issue":"1","issued":{"date-parts":[["2022"]]},"note":"Cited By (since 2022): 12","page":"76-93","title":"Green intellectual capital and environmental management accounting: Natural resource orchestration in favor of environmental performance","type":"article-journal","volume":"31"},"uris":["http://www.mendeley.com/documents/?uuid=28235c4c-1f44-40f0-acb6-03540d098174"]}],"mendeley":{"formattedCitation":"(Asiaei et al., 2022)","plainTextFormattedCitation":"(Asiaei et al., 2022)","previouslyFormattedCitation":"(Asiaei et al., 2022)"},"properties":{"noteIndex":0},"schema":"https://github.com/citation-style-language/schema/raw/master/csl-citation.json"}</w:instrText>
      </w:r>
      <w:r w:rsidR="00A016AB" w:rsidRPr="00D54138">
        <w:rPr>
          <w:rFonts w:ascii="Times New Roman" w:hAnsi="Times New Roman"/>
          <w:sz w:val="24"/>
          <w:szCs w:val="24"/>
        </w:rPr>
        <w:fldChar w:fldCharType="separate"/>
      </w:r>
      <w:r w:rsidR="00A016AB" w:rsidRPr="00D54138">
        <w:rPr>
          <w:rFonts w:ascii="Times New Roman" w:hAnsi="Times New Roman"/>
          <w:noProof/>
          <w:sz w:val="24"/>
          <w:szCs w:val="24"/>
        </w:rPr>
        <w:t>(Asiaei et al., 2022)</w:t>
      </w:r>
      <w:r w:rsidR="00A016AB" w:rsidRPr="00D54138">
        <w:rPr>
          <w:rFonts w:ascii="Times New Roman" w:hAnsi="Times New Roman"/>
          <w:sz w:val="24"/>
          <w:szCs w:val="24"/>
        </w:rPr>
        <w:fldChar w:fldCharType="end"/>
      </w:r>
      <w:r w:rsidRPr="00D54138">
        <w:rPr>
          <w:rFonts w:ascii="Times New Roman" w:hAnsi="Times New Roman"/>
          <w:sz w:val="24"/>
          <w:szCs w:val="24"/>
        </w:rPr>
        <w:t xml:space="preserve">. </w:t>
      </w:r>
    </w:p>
    <w:p w14:paraId="1CB7201B" w14:textId="1148577D" w:rsidR="00BD58FF" w:rsidRPr="00D54138" w:rsidRDefault="00BD58FF" w:rsidP="008B44D2">
      <w:pPr>
        <w:spacing w:after="0" w:line="240" w:lineRule="auto"/>
        <w:jc w:val="both"/>
        <w:rPr>
          <w:rFonts w:ascii="Times New Roman" w:hAnsi="Times New Roman"/>
          <w:sz w:val="24"/>
          <w:szCs w:val="24"/>
        </w:rPr>
      </w:pPr>
      <w:r w:rsidRPr="00D54138">
        <w:rPr>
          <w:rFonts w:ascii="Times New Roman" w:hAnsi="Times New Roman"/>
          <w:sz w:val="24"/>
          <w:szCs w:val="24"/>
        </w:rPr>
        <w:t xml:space="preserve">EMA research can be decomposed </w:t>
      </w:r>
      <w:r w:rsidR="00720260" w:rsidRPr="00D54138">
        <w:rPr>
          <w:rFonts w:ascii="Times New Roman" w:hAnsi="Times New Roman"/>
          <w:sz w:val="24"/>
          <w:szCs w:val="24"/>
        </w:rPr>
        <w:t>further</w:t>
      </w:r>
      <w:r w:rsidRPr="00D54138">
        <w:rPr>
          <w:rFonts w:ascii="Times New Roman" w:hAnsi="Times New Roman"/>
          <w:sz w:val="24"/>
          <w:szCs w:val="24"/>
        </w:rPr>
        <w:t xml:space="preserve"> in</w:t>
      </w:r>
      <w:r w:rsidR="00A571B8" w:rsidRPr="00D54138">
        <w:rPr>
          <w:rFonts w:ascii="Times New Roman" w:hAnsi="Times New Roman"/>
          <w:sz w:val="24"/>
          <w:szCs w:val="24"/>
        </w:rPr>
        <w:t>to</w:t>
      </w:r>
      <w:r w:rsidRPr="00D54138">
        <w:rPr>
          <w:rFonts w:ascii="Times New Roman" w:hAnsi="Times New Roman"/>
          <w:sz w:val="24"/>
          <w:szCs w:val="24"/>
        </w:rPr>
        <w:t xml:space="preserve"> </w:t>
      </w:r>
      <w:r w:rsidR="001B4138" w:rsidRPr="00D54138">
        <w:rPr>
          <w:rFonts w:ascii="Times New Roman" w:hAnsi="Times New Roman"/>
          <w:sz w:val="24"/>
          <w:szCs w:val="24"/>
        </w:rPr>
        <w:t xml:space="preserve">the </w:t>
      </w:r>
      <w:r w:rsidRPr="00D54138">
        <w:rPr>
          <w:rFonts w:ascii="Times New Roman" w:hAnsi="Times New Roman"/>
          <w:sz w:val="24"/>
          <w:szCs w:val="24"/>
        </w:rPr>
        <w:t>monetary and physical EMA</w:t>
      </w:r>
      <w:r w:rsidR="001D4E54" w:rsidRPr="00D54138">
        <w:rPr>
          <w:rFonts w:ascii="Times New Roman" w:hAnsi="Times New Roman"/>
          <w:sz w:val="24"/>
          <w:szCs w:val="24"/>
        </w:rPr>
        <w:t xml:space="preserve"> </w:t>
      </w:r>
      <w:r w:rsidR="001D4E54" w:rsidRPr="00D54138">
        <w:rPr>
          <w:rFonts w:ascii="Times New Roman" w:hAnsi="Times New Roman"/>
          <w:sz w:val="24"/>
          <w:szCs w:val="24"/>
        </w:rPr>
        <w:fldChar w:fldCharType="begin" w:fldLock="1"/>
      </w:r>
      <w:r w:rsidR="00555F8E" w:rsidRPr="00D54138">
        <w:rPr>
          <w:rFonts w:ascii="Times New Roman" w:hAnsi="Times New Roman"/>
          <w:sz w:val="24"/>
          <w:szCs w:val="24"/>
        </w:rPr>
        <w:instrText>ADDIN CSL_CITATION {"citationItems":[{"id":"ITEM-1","itemData":{"DOI":"10.1080/14486563.2017.1354235","ISSN":"14486563","abstract":"This study examines the extent of use of both physical and monetary aspects of environmental management accounting (EMA) and the influence of the comprehensiveness of the environmental management system (EMS), size, and top management support, on the use of EMA. The study also investigates the impact of EMA use on environmental performance. Data were collected from 208 Australian organisations across different industries using a mail survey questionnaire. The results indicate a moderate extent of physical EMA use, and a low extent of monetary EMA (MEMA) use. The comprehensiveness of the EMS and top management support were found to influence the use of EMA. In addition, organisations using EMA to a greater extent, in particular MEMA, were found to experience higher levels of environmental performance. The findings provide support for the promotion of the dissemination of EMA in practice.","author":[{"dropping-particle":"","family":"Phan","given":"Thanh Nguyet","non-dropping-particle":"","parse-names":false,"suffix":""},{"dropping-particle":"","family":"Baird","given":"Kevin","non-dropping-particle":"","parse-names":false,"suffix":""},{"dropping-particle":"","family":"Su","given":"Sophia","non-dropping-particle":"","parse-names":false,"suffix":""}],"container-title":"Australasian Journal of Environmental Management","id":"ITEM-1","issue":"4","issued":{"date-parts":[["2017"]]},"note":"Cited By (since 2017): 22","page":"355-374","title":"The use and effectiveness of environmental management accounting","type":"article-journal","volume":"24"},"uris":["http://www.mendeley.com/documents/?uuid=f5d406d5-4520-4636-a03e-bc908e6f56bd"]}],"mendeley":{"formattedCitation":"(Phan et al., 2017)","plainTextFormattedCitation":"(Phan et al., 2017)","previouslyFormattedCitation":"(Phan et al., 2017)"},"properties":{"noteIndex":0},"schema":"https://github.com/citation-style-language/schema/raw/master/csl-citation.json"}</w:instrText>
      </w:r>
      <w:r w:rsidR="001D4E54" w:rsidRPr="00D54138">
        <w:rPr>
          <w:rFonts w:ascii="Times New Roman" w:hAnsi="Times New Roman"/>
          <w:sz w:val="24"/>
          <w:szCs w:val="24"/>
        </w:rPr>
        <w:fldChar w:fldCharType="separate"/>
      </w:r>
      <w:r w:rsidR="001D4E54" w:rsidRPr="00D54138">
        <w:rPr>
          <w:rFonts w:ascii="Times New Roman" w:hAnsi="Times New Roman"/>
          <w:noProof/>
          <w:sz w:val="24"/>
          <w:szCs w:val="24"/>
        </w:rPr>
        <w:t>(Phan et al., 2017)</w:t>
      </w:r>
      <w:r w:rsidR="001D4E54" w:rsidRPr="00D54138">
        <w:rPr>
          <w:rFonts w:ascii="Times New Roman" w:hAnsi="Times New Roman"/>
          <w:sz w:val="24"/>
          <w:szCs w:val="24"/>
        </w:rPr>
        <w:fldChar w:fldCharType="end"/>
      </w:r>
      <w:r w:rsidRPr="00D54138">
        <w:rPr>
          <w:rFonts w:ascii="Times New Roman" w:hAnsi="Times New Roman"/>
          <w:sz w:val="24"/>
          <w:szCs w:val="24"/>
        </w:rPr>
        <w:t xml:space="preserve">. </w:t>
      </w:r>
      <w:r w:rsidR="0053070E" w:rsidRPr="00D54138">
        <w:rPr>
          <w:rFonts w:ascii="Times New Roman" w:hAnsi="Times New Roman"/>
          <w:sz w:val="24"/>
          <w:szCs w:val="24"/>
        </w:rPr>
        <w:t>According to studies, companies that use more monetary EMA can achieve larger environmental performance improvements. They elaborated that the implementation of the EMA is bolstered by the rigor of environmental strategy management and the participation of high management. However, other research has shown that senior management participation can reduce the relationship between coercive and normative limitations on EMA implementation. In addition to coercive and normative pressures.</w:t>
      </w:r>
      <w:r w:rsidRPr="00D54138">
        <w:rPr>
          <w:rFonts w:ascii="Times New Roman" w:hAnsi="Times New Roman"/>
          <w:sz w:val="24"/>
          <w:szCs w:val="24"/>
        </w:rPr>
        <w:t xml:space="preserve"> Chaudhry and Amir </w:t>
      </w:r>
      <w:r w:rsidR="00555F8E" w:rsidRPr="00D54138">
        <w:rPr>
          <w:rFonts w:ascii="Times New Roman" w:hAnsi="Times New Roman"/>
          <w:sz w:val="24"/>
          <w:szCs w:val="24"/>
        </w:rPr>
        <w:fldChar w:fldCharType="begin" w:fldLock="1"/>
      </w:r>
      <w:r w:rsidR="00124AA5" w:rsidRPr="00D54138">
        <w:rPr>
          <w:rFonts w:ascii="Times New Roman" w:hAnsi="Times New Roman"/>
          <w:sz w:val="24"/>
          <w:szCs w:val="24"/>
        </w:rPr>
        <w:instrText>ADDIN CSL_CITATION {"citationItems":[{"id":"ITEM-1","itemData":{"ISSN":"23098619","abstract":"The purpose of this study is to empirically investigate the impact of environmental innovation constituting product innovation (PDI) and process innovation (PCI) on firms' financial performance (FFP). It also inquires the mediating roles of environmental management accounting (EMA) and the firm's environmental strategy (FES) between innovation and FFP. We have analyzed primary data collected from 363 respondents, working at the managing positions in the manufacturing sector of Pakistan. The proposed model was estimated by applying structural equation modeling. Results show that PDI and PCI have positive and significant impacts on FFP. Furthermore, the findings indicate that EMA and FES mediate the relationship between innovation and FFP in the manufacturing sector of Pakistan. This is the first study in the available literature on EMA, which promulgates a comprehensive theoretical model in the context of the manufacturing sector of Pakistan by introducing two mediators between the association of environmental innovation and firms' financial performance. This study suggests the managers of the manufacturing companies or similar sectors to introduce innovations in their products and processes for developing a better EMA system; they must propose appropriate environmental strategies to enhance their firms' performance. The current study also tends to assist policymakers in developing appropriate policies for the manufacturing sector of Pakistan by realizing the importance of environmental innovation, EMA, and FES so that their environmental and economic impacts can be managed and regulated.","author":[{"dropping-particle":"","family":"Chaudhry","given":"Naveed Iqbal","non-dropping-particle":"","parse-names":false,"suffix":""},{"dropping-particle":"","family":"Asad","given":"Humaira","non-dropping-particle":"","parse-names":false,"suffix":""},{"dropping-particle":"","family":"Ch","given":"Muhammad Amir","non-dropping-particle":"","parse-names":false,"suffix":""},{"dropping-particle":"","family":"Hussian","given":"Rai Imitiaz","non-dropping-particle":"","parse-names":false,"suffix":""}],"container-title":"Pakistan Journal of Commerce and Social Science","id":"ITEM-1","issue":"3","issued":{"date-parts":[["2020"]]},"page":"715-737","title":"Environmental innovation and financial performance: Mediating role of environmental management accounting and firm's environmental strategy","type":"article-journal","volume":"14"},"uris":["http://www.mendeley.com/documents/?uuid=d0b635e3-6efc-4ee2-a002-1c3592805290"]}],"mendeley":{"formattedCitation":"(Chaudhry et al., 2020)","manualFormatting":"(2020)","plainTextFormattedCitation":"(Chaudhry et al., 2020)","previouslyFormattedCitation":"(Chaudhry et al., 2020)"},"properties":{"noteIndex":0},"schema":"https://github.com/citation-style-language/schema/raw/master/csl-citation.json"}</w:instrText>
      </w:r>
      <w:r w:rsidR="00555F8E" w:rsidRPr="00D54138">
        <w:rPr>
          <w:rFonts w:ascii="Times New Roman" w:hAnsi="Times New Roman"/>
          <w:sz w:val="24"/>
          <w:szCs w:val="24"/>
        </w:rPr>
        <w:fldChar w:fldCharType="separate"/>
      </w:r>
      <w:r w:rsidR="00555F8E" w:rsidRPr="00D54138">
        <w:rPr>
          <w:rFonts w:ascii="Times New Roman" w:hAnsi="Times New Roman"/>
          <w:noProof/>
          <w:sz w:val="24"/>
          <w:szCs w:val="24"/>
        </w:rPr>
        <w:t>(2020)</w:t>
      </w:r>
      <w:r w:rsidR="00555F8E" w:rsidRPr="00D54138">
        <w:rPr>
          <w:rFonts w:ascii="Times New Roman" w:hAnsi="Times New Roman"/>
          <w:sz w:val="24"/>
          <w:szCs w:val="24"/>
        </w:rPr>
        <w:fldChar w:fldCharType="end"/>
      </w:r>
      <w:r w:rsidR="00555F8E" w:rsidRPr="00D54138">
        <w:rPr>
          <w:rFonts w:ascii="Times New Roman" w:hAnsi="Times New Roman"/>
          <w:sz w:val="24"/>
          <w:szCs w:val="24"/>
        </w:rPr>
        <w:t xml:space="preserve"> </w:t>
      </w:r>
      <w:r w:rsidR="0053070E" w:rsidRPr="00D54138">
        <w:rPr>
          <w:rFonts w:ascii="Times New Roman" w:hAnsi="Times New Roman"/>
          <w:sz w:val="24"/>
          <w:szCs w:val="24"/>
        </w:rPr>
        <w:t>found that mimetic factors influence businesses' usage of environmental management accounting.</w:t>
      </w:r>
    </w:p>
    <w:p w14:paraId="3A5D5B6F" w14:textId="77777777" w:rsidR="00505262" w:rsidRPr="00D54138" w:rsidRDefault="00505262" w:rsidP="008B44D2">
      <w:pPr>
        <w:spacing w:after="0" w:line="240" w:lineRule="auto"/>
        <w:jc w:val="both"/>
        <w:rPr>
          <w:rFonts w:ascii="Times New Roman" w:hAnsi="Times New Roman"/>
          <w:sz w:val="24"/>
          <w:szCs w:val="24"/>
        </w:rPr>
      </w:pPr>
    </w:p>
    <w:p w14:paraId="38577936" w14:textId="77777777" w:rsidR="00BD58FF" w:rsidRPr="00D54138" w:rsidRDefault="00BD58FF" w:rsidP="008B44D2">
      <w:pPr>
        <w:spacing w:after="0" w:line="240" w:lineRule="auto"/>
        <w:jc w:val="both"/>
        <w:rPr>
          <w:rFonts w:ascii="Times New Roman" w:hAnsi="Times New Roman"/>
          <w:b/>
          <w:bCs/>
          <w:sz w:val="24"/>
          <w:szCs w:val="24"/>
        </w:rPr>
      </w:pPr>
      <w:r w:rsidRPr="00D54138">
        <w:rPr>
          <w:rFonts w:ascii="Times New Roman" w:hAnsi="Times New Roman"/>
          <w:b/>
          <w:bCs/>
          <w:sz w:val="24"/>
          <w:szCs w:val="24"/>
        </w:rPr>
        <w:t xml:space="preserve">Independent Variable </w:t>
      </w:r>
    </w:p>
    <w:p w14:paraId="2369605D" w14:textId="51DEF179" w:rsidR="00BD58FF" w:rsidRPr="00D54138" w:rsidRDefault="00505262" w:rsidP="008B44D2">
      <w:pPr>
        <w:spacing w:after="0" w:line="240" w:lineRule="auto"/>
        <w:jc w:val="both"/>
        <w:rPr>
          <w:rFonts w:ascii="Times New Roman" w:hAnsi="Times New Roman"/>
          <w:sz w:val="24"/>
          <w:szCs w:val="24"/>
        </w:rPr>
      </w:pPr>
      <w:r w:rsidRPr="00D54138">
        <w:rPr>
          <w:rFonts w:ascii="Times New Roman" w:hAnsi="Times New Roman"/>
          <w:sz w:val="24"/>
          <w:szCs w:val="24"/>
        </w:rPr>
        <w:t>Based on the analysis, environmental management accounting, environmental strategy, green innovation, product innovation, process innovation, environmental uncertainty, material flow cost accounting, environmental costs, EPR, critical success factors, environmental management systems, and top management commitment control, financial performance, life cycle costing, environmental proactivity, institutional pressure, regulatory pressure, company scale, firm knowledge pressure, and management support</w:t>
      </w:r>
      <w:r w:rsidR="009E18C4" w:rsidRPr="00D54138">
        <w:rPr>
          <w:rFonts w:ascii="Times New Roman" w:hAnsi="Times New Roman"/>
          <w:sz w:val="24"/>
          <w:szCs w:val="24"/>
        </w:rPr>
        <w:t xml:space="preserve"> are among the independent variables utilized by previous researchers. </w:t>
      </w:r>
      <w:r w:rsidRPr="00D54138">
        <w:rPr>
          <w:rFonts w:ascii="Times New Roman" w:hAnsi="Times New Roman"/>
          <w:sz w:val="24"/>
          <w:szCs w:val="24"/>
        </w:rPr>
        <w:t>The implementation of EMA has numerous positive effects on businesses, including financial performance</w:t>
      </w:r>
      <w:r w:rsidR="009E18C4" w:rsidRPr="00D54138">
        <w:rPr>
          <w:rFonts w:ascii="Times New Roman" w:hAnsi="Times New Roman"/>
          <w:sz w:val="24"/>
          <w:szCs w:val="24"/>
        </w:rPr>
        <w:t xml:space="preserve"> </w:t>
      </w:r>
      <w:r w:rsidR="00124AA5" w:rsidRPr="00D54138">
        <w:rPr>
          <w:rFonts w:ascii="Times New Roman" w:hAnsi="Times New Roman"/>
          <w:sz w:val="24"/>
          <w:szCs w:val="24"/>
        </w:rPr>
        <w:fldChar w:fldCharType="begin" w:fldLock="1"/>
      </w:r>
      <w:r w:rsidR="00124AA5" w:rsidRPr="00D54138">
        <w:rPr>
          <w:rFonts w:ascii="Times New Roman" w:hAnsi="Times New Roman"/>
          <w:sz w:val="24"/>
          <w:szCs w:val="24"/>
        </w:rPr>
        <w:instrText>ADDIN CSL_CITATION {"citationItems":[{"id":"ITEM-1","itemData":{"DOI":"10.1504/IJBPM.2018.092759","ISSN":"17415039","abstract":"The purpose of this paper is to investigate the relationships among innovation, environmental management accounting (EMA), and firm's financial performance. Specifically, this study explores the relationships of both product and process innovations with financial performance. Furthermore, this study examines the moderating role of EMA on the above relationships. Data were collected in a survey of top managers of the SMEs in manufacturing and consumer product industries in Iran, using a questionnaire. Hierarchical regression analysis was used to test all hypotheses. The findings revealed that both product and process innovations have positive relationships with firms' financial performance, while this effect is significant about product innovation and not significant about process innovation. Moreover, contrary to expectations, this study found a negative moderating effect of EMA on the relationship between process innovation and financial performance. However, no moderating effect of EMA was found on product innovation and financial performance relationship.","author":[{"dropping-particle":"","family":"Saeidi","given":"Sayedeh Parastoo","non-dropping-particle":"","parse-names":false,"suffix":""},{"dropping-particle":"","family":"Othman","given":"Mohd Shahwahid Haji","non-dropping-particle":"","parse-names":false,"suffix":""},{"dropping-particle":"","family":"Saeidi","given":"Parvaneh","non-dropping-particle":"","parse-names":false,"suffix":""},{"dropping-particle":"","family":"Saeidi","given":"Sayyedeh Parisa","non-dropping-particle":"","parse-names":false,"suffix":""}],"container-title":"International Journal of Business Performance Management","id":"ITEM-1","issue":"3","issued":{"date-parts":[["2018"]]},"page":"326-348","title":"The moderating role of environmental management accounting between environmental innovation and firm financial performance","type":"article-journal","volume":"19"},"uris":["http://www.mendeley.com/documents/?uuid=7375fe46-4c0a-434b-8a92-32b299370fe5"]}],"mendeley":{"formattedCitation":"(Saeidi et al., 2018)","plainTextFormattedCitation":"(Saeidi et al., 2018)","previouslyFormattedCitation":"(Saeidi et al., 2018)"},"properties":{"noteIndex":0},"schema":"https://github.com/citation-style-language/schema/raw/master/csl-citation.json"}</w:instrText>
      </w:r>
      <w:r w:rsidR="00124AA5" w:rsidRPr="00D54138">
        <w:rPr>
          <w:rFonts w:ascii="Times New Roman" w:hAnsi="Times New Roman"/>
          <w:sz w:val="24"/>
          <w:szCs w:val="24"/>
        </w:rPr>
        <w:fldChar w:fldCharType="separate"/>
      </w:r>
      <w:r w:rsidR="00124AA5" w:rsidRPr="00D54138">
        <w:rPr>
          <w:rFonts w:ascii="Times New Roman" w:hAnsi="Times New Roman"/>
          <w:noProof/>
          <w:sz w:val="24"/>
          <w:szCs w:val="24"/>
        </w:rPr>
        <w:t>(Saeidi et al., 2018)</w:t>
      </w:r>
      <w:r w:rsidR="00124AA5" w:rsidRPr="00D54138">
        <w:rPr>
          <w:rFonts w:ascii="Times New Roman" w:hAnsi="Times New Roman"/>
          <w:sz w:val="24"/>
          <w:szCs w:val="24"/>
        </w:rPr>
        <w:fldChar w:fldCharType="end"/>
      </w:r>
      <w:r w:rsidR="00124AA5" w:rsidRPr="00D54138">
        <w:rPr>
          <w:rFonts w:ascii="Times New Roman" w:hAnsi="Times New Roman"/>
          <w:sz w:val="24"/>
          <w:szCs w:val="24"/>
        </w:rPr>
        <w:t>,</w:t>
      </w:r>
      <w:r w:rsidR="00BD58FF" w:rsidRPr="00D54138">
        <w:rPr>
          <w:rFonts w:ascii="Times New Roman" w:hAnsi="Times New Roman"/>
          <w:sz w:val="24"/>
          <w:szCs w:val="24"/>
        </w:rPr>
        <w:t xml:space="preserve"> firm value </w:t>
      </w:r>
      <w:r w:rsidR="00124AA5" w:rsidRPr="00D54138">
        <w:rPr>
          <w:rFonts w:ascii="Times New Roman" w:hAnsi="Times New Roman"/>
          <w:sz w:val="24"/>
          <w:szCs w:val="24"/>
        </w:rPr>
        <w:fldChar w:fldCharType="begin" w:fldLock="1"/>
      </w:r>
      <w:r w:rsidR="00124AA5" w:rsidRPr="00D54138">
        <w:rPr>
          <w:rFonts w:ascii="Times New Roman" w:hAnsi="Times New Roman"/>
          <w:sz w:val="24"/>
          <w:szCs w:val="24"/>
        </w:rPr>
        <w:instrText>ADDIN CSL_CITATION {"citationItems":[{"id":"ITEM-1","itemData":{"DOI":"10.32479/ijeep.7438","ISSN":"21464553","abstract":"This study was conducted to determine the effect of green innovation (GI) on firm value (FV) with environmental management accounting (EMA) as an intervening variable. Companies that are able to create GI will not only get the economic benefits but also the competitive advantage, therefore it will increase the value of the firm. The application of GI will be able to improve the application of EMA, thereby reducing the impact of environmental damage due to the company’s business processes. With manufacturing and the main sector’s companies listed on the BEI 2012-2015 as the population, using purposive sampling, this study has obtained 277 companies as a sample. The result shows that GI has an effect on EMA, while EMA has proven to affect FV, and GI has an influence on FV.","author":[{"dropping-particle":"","family":"Agustia","given":"Dian","non-dropping-particle":"","parse-names":false,"suffix":""},{"dropping-particle":"","family":"Sawarjuwono","given":"Tjiptohadi","non-dropping-particle":"","parse-names":false,"suffix":""},{"dropping-particle":"","family":"Dianawati","given":"Wiwiek","non-dropping-particle":"","parse-names":false,"suffix":""}],"container-title":"International Journal of Energy Economics and Policy","id":"ITEM-1","issue":"2","issued":{"date-parts":[["2019"]]},"note":"Cited By (since 2019): 28","page":"299-306","title":"The mediating effect of environmental management accounting on green innovation - Firm value relationship","type":"article-journal","volume":"9"},"uris":["http://www.mendeley.com/documents/?uuid=aa9f1643-e4f6-4020-902d-84b9236d3e06"]}],"mendeley":{"formattedCitation":"(Agustia et al., 2019)","plainTextFormattedCitation":"(Agustia et al., 2019)","previouslyFormattedCitation":"(Agustia et al., 2019)"},"properties":{"noteIndex":0},"schema":"https://github.com/citation-style-language/schema/raw/master/csl-citation.json"}</w:instrText>
      </w:r>
      <w:r w:rsidR="00124AA5" w:rsidRPr="00D54138">
        <w:rPr>
          <w:rFonts w:ascii="Times New Roman" w:hAnsi="Times New Roman"/>
          <w:sz w:val="24"/>
          <w:szCs w:val="24"/>
        </w:rPr>
        <w:fldChar w:fldCharType="separate"/>
      </w:r>
      <w:r w:rsidR="00124AA5" w:rsidRPr="00D54138">
        <w:rPr>
          <w:rFonts w:ascii="Times New Roman" w:hAnsi="Times New Roman"/>
          <w:noProof/>
          <w:sz w:val="24"/>
          <w:szCs w:val="24"/>
        </w:rPr>
        <w:t>(Agustia et al., 2019)</w:t>
      </w:r>
      <w:r w:rsidR="00124AA5" w:rsidRPr="00D54138">
        <w:rPr>
          <w:rFonts w:ascii="Times New Roman" w:hAnsi="Times New Roman"/>
          <w:sz w:val="24"/>
          <w:szCs w:val="24"/>
        </w:rPr>
        <w:fldChar w:fldCharType="end"/>
      </w:r>
      <w:r w:rsidR="00BD58FF" w:rsidRPr="00D54138">
        <w:rPr>
          <w:rFonts w:ascii="Times New Roman" w:hAnsi="Times New Roman"/>
          <w:sz w:val="24"/>
          <w:szCs w:val="24"/>
        </w:rPr>
        <w:t xml:space="preserve"> organizational performance </w:t>
      </w:r>
      <w:r w:rsidR="00124AA5" w:rsidRPr="00D54138">
        <w:rPr>
          <w:rFonts w:ascii="Times New Roman" w:hAnsi="Times New Roman"/>
          <w:sz w:val="24"/>
          <w:szCs w:val="24"/>
        </w:rPr>
        <w:fldChar w:fldCharType="begin" w:fldLock="1"/>
      </w:r>
      <w:r w:rsidR="00124AA5" w:rsidRPr="00D54138">
        <w:rPr>
          <w:rFonts w:ascii="Times New Roman" w:hAnsi="Times New Roman"/>
          <w:sz w:val="24"/>
          <w:szCs w:val="24"/>
        </w:rPr>
        <w:instrText>ADDIN CSL_CITATION {"citationItems":[{"id":"ITEM-1","itemData":{"DOI":"10.5890/JEAM.2018.06.002","ISSN":"23256206","abstract":"The purpose of this paper is to examine the association between the Environmental Strategy (ES) and Environmental Management Accounting (EMA) usage. It also aims to consider the effect of EMA usage on the organizational performance. A research framework was developed based on the contingency theory. Data were collected via questionnaires distributed to companies listed on UAE Stock Markets (ADX and DFM) in 2016. Data were analyzed using a structural equation modelling. The model was statistically validated and evaluated. The results indicated that ES positively affects the level of EMA usage and a positive relationship between EMA and the organizational performance. These findings contribute to the management accounting contingency-based research by providing empirical evidence to support that relationship between ES and EMA as well as between EMA and the organizational performance in the context of developing countries.","author":[{"dropping-particle":"","family":"Al-Mawali","given":"Hamzah","non-dropping-particle":"","parse-names":false,"suffix":""},{"dropping-particle":"","family":"Sharif","given":"Ahmed","non-dropping-particle":"Al","parse-names":false,"suffix":""},{"dropping-particle":"","family":"Abu Rumman","given":"Ghaleb","non-dropping-particle":"","parse-names":false,"suffix":""},{"dropping-particle":"","family":"Kerzan","given":"Faten","non-dropping-particle":"","parse-names":false,"suffix":""}],"container-title":"Journal of Environmental Accounting and Management","id":"ITEM-1","issue":"2","issued":{"date-parts":[["2018"]]},"note":"Cited By (since 2018): 27","page":"105-114","publisher":"books.google.com","title":"Environmental Strategy, Environmental Management Accounting and organizational performance: Evidence from the United Arab Emirates Market","type":"article-journal","volume":"6"},"uris":["http://www.mendeley.com/documents/?uuid=1b60578b-c17b-4c8f-8c81-2e42499daaa3"]},{"id":"ITEM-2","itemData":{"DOI":"10.32479/ijeep.8697","ISSN":"21464553","abstract":"The aim of this paper is to check the effect of top management commitment, perceived environmental uncertainty and environmental strategy on the environmental performance (EP) of manufacturing firms of China by considering the role of environmental management accounting (EMA) and environmental management control system (EMCS). With the increase in economic activities the environmental issues have also increased. Companies are now more conscious for the preservation of environment and thus are working on it. Environmental Accounting is the system through which companies manage environmental issues. Economic development of any country along with the well-being of that country’s society can only be attained when there is equilibrium between optimization of wealth and environmental protection. This perspective is raising its importance day by day and hence spreading awareness in public and government as well. Therefore, there is more pressure on companies to focus on environmental protection and to align their operations in such a way that there is no damage to the ecosystem. On the basis of results of this research it is believed that EMA and EMCS play very important role in the achievement of perfect EP. EMA and EMCS are two separate tools and good mediators which improve the performance of the firm regarding environment and align the management regarding environmental costs with sequence. This study will help government and manufacturing firms in making policies regarding environment friendliness through EMA and EMCS as previous studies have also generated same kind of help and benefits.","author":[{"dropping-particle":"","family":"Appiah","given":"Bismark Kusi","non-dropping-particle":"","parse-names":false,"suffix":""},{"dropping-particle":"","family":"Donghui","given":"Zhang","non-dropping-particle":"","parse-names":false,"suffix":""},{"dropping-particle":"","family":"Majumder","given":"Shapan Chandra","non-dropping-particle":"","parse-names":false,"suffix":""},{"dropping-particle":"","family":"Monaheng","given":"Malepekola Precious","non-dropping-particle":"","parse-names":false,"suffix":""}],"container-title":"International Journal of Energy Economics and Policy","id":"ITEM-2","issue":"1","issued":{"date-parts":[["2020"]]},"note":"Cited By (since 2020): 16","page":"360-370","publisher":"zbw.eu","title":"Effects of environmental strategy, uncertainty and top management commitment on the environmental performance: Role of environmental management accounting and environmental management control system","type":"article","volume":"10"},"uris":["http://www.mendeley.com/documents/?uuid=f6e85f0a-0564-41df-a638-b47444f32deb"]}],"mendeley":{"formattedCitation":"(Al-Mawali et al., 2018; Appiah et al., 2020)","plainTextFormattedCitation":"(Al-Mawali et al., 2018; Appiah et al., 2020)","previouslyFormattedCitation":"(Al-Mawali et al., 2018; Appiah et al., 2020)"},"properties":{"noteIndex":0},"schema":"https://github.com/citation-style-language/schema/raw/master/csl-citation.json"}</w:instrText>
      </w:r>
      <w:r w:rsidR="00124AA5" w:rsidRPr="00D54138">
        <w:rPr>
          <w:rFonts w:ascii="Times New Roman" w:hAnsi="Times New Roman"/>
          <w:sz w:val="24"/>
          <w:szCs w:val="24"/>
        </w:rPr>
        <w:fldChar w:fldCharType="separate"/>
      </w:r>
      <w:r w:rsidR="00124AA5" w:rsidRPr="00D54138">
        <w:rPr>
          <w:rFonts w:ascii="Times New Roman" w:hAnsi="Times New Roman"/>
          <w:noProof/>
          <w:sz w:val="24"/>
          <w:szCs w:val="24"/>
        </w:rPr>
        <w:t>(Al-Mawali et al., 2018; Appiah et al., 2020)</w:t>
      </w:r>
      <w:r w:rsidR="00124AA5" w:rsidRPr="00D54138">
        <w:rPr>
          <w:rFonts w:ascii="Times New Roman" w:hAnsi="Times New Roman"/>
          <w:sz w:val="24"/>
          <w:szCs w:val="24"/>
        </w:rPr>
        <w:fldChar w:fldCharType="end"/>
      </w:r>
      <w:r w:rsidR="00124AA5" w:rsidRPr="00D54138">
        <w:rPr>
          <w:rFonts w:ascii="Times New Roman" w:hAnsi="Times New Roman"/>
          <w:sz w:val="24"/>
          <w:szCs w:val="24"/>
        </w:rPr>
        <w:t>,</w:t>
      </w:r>
      <w:r w:rsidR="00BD58FF" w:rsidRPr="00D54138">
        <w:rPr>
          <w:rFonts w:ascii="Times New Roman" w:hAnsi="Times New Roman"/>
          <w:sz w:val="24"/>
          <w:szCs w:val="24"/>
        </w:rPr>
        <w:t xml:space="preserve"> </w:t>
      </w:r>
      <w:r w:rsidR="00CD029A" w:rsidRPr="00D54138">
        <w:rPr>
          <w:rFonts w:ascii="Times New Roman" w:hAnsi="Times New Roman"/>
          <w:sz w:val="24"/>
          <w:szCs w:val="24"/>
        </w:rPr>
        <w:t xml:space="preserve">and </w:t>
      </w:r>
      <w:r w:rsidR="00BD58FF" w:rsidRPr="00D54138">
        <w:rPr>
          <w:rFonts w:ascii="Times New Roman" w:hAnsi="Times New Roman"/>
          <w:sz w:val="24"/>
          <w:szCs w:val="24"/>
        </w:rPr>
        <w:t xml:space="preserve">environmental performance </w:t>
      </w:r>
      <w:r w:rsidR="00124AA5" w:rsidRPr="00D54138">
        <w:rPr>
          <w:rFonts w:ascii="Times New Roman" w:hAnsi="Times New Roman"/>
          <w:sz w:val="24"/>
          <w:szCs w:val="24"/>
        </w:rPr>
        <w:fldChar w:fldCharType="begin" w:fldLock="1"/>
      </w:r>
      <w:r w:rsidR="001A4B8B" w:rsidRPr="00D54138">
        <w:rPr>
          <w:rFonts w:ascii="Times New Roman" w:hAnsi="Times New Roman"/>
          <w:sz w:val="24"/>
          <w:szCs w:val="24"/>
        </w:rPr>
        <w:instrText>ADDIN CSL_CITATION {"citationItems":[{"id":"ITEM-1","itemData":{"DOI":"10.1002/bse.2875","ISSN":"10990836","abstract":"Taking inspiration from the natural resource-based view of the firm and resource orchestration theory, we propose a new approach, that is, natural resource orchestration, to investigate how green intellectual capital and environmental management accounting stimulate environmental performance. Using survey data collected from 106 chief financial officers (CFOs) of publicly listed companies in Iran, findings show that the elements of green intellectual capital (green human capital, green structural capital, and green relational capital) are positively associated with both environmental management accounting and environmental performance. In addition, findings support the hypothesis that the use of environmental management accounting mediates the relationship between green intellectual capital and environmental performance. This study provides fresh insights into how an organization deals with the effective alignment (i.e., orchestration) of various green resources, for example, green intellectual capital and environmental management accounting, to promote environmental performance. This is the first study ever to introduce the natural resource orchestration approach for examining how environmental management accounting appears to play a role in translating green intellectual capital into enhanced environmental performance.","author":[{"dropping-particle":"","family":"Asiaei","given":"Kaveh","non-dropping-particle":"","parse-names":false,"suffix":""},{"dropping-particle":"","family":"Bontis","given":"Nick","non-dropping-particle":"","parse-names":false,"suffix":""},{"dropping-particle":"","family":"Alizadeh","given":"Raziye","non-dropping-particle":"","parse-names":false,"suffix":""},{"dropping-particle":"","family":"Yaghoubi","given":"Mehdi","non-dropping-particle":"","parse-names":false,"suffix":""}],"container-title":"Business Strategy and the Environment","id":"ITEM-1","issue":"1","issued":{"date-parts":[["2022"]]},"note":"Cited By (since 2022): 12","page":"76-93","title":"Green intellectual capital and environmental management accounting: Natural resource orchestration in favor of environmental performance","type":"article-journal","volume":"31"},"uris":["http://www.mendeley.com/documents/?uuid=28235c4c-1f44-40f0-acb6-03540d098174"]},{"id":"ITEM-2","itemData":{"DOI":"10.1016/j.jclepro.2018.01.106","ISSN":"09596526","abstract":"This study aims to examine the effect of the combination of corporate environmental strategy, top management commitment, and environmental uncertainty, with a focus on the role of environmental management accounting (EMA), on corporate environmental performance. Using an online survey, we collect the sample data of 107 responses in ISO 14001 certified companies listed on the Indonesia Stock Exchange. The empirical evidence shows that there is a positive and significant influence between those organizational resources (corporate environmental strategy, top management commitment, and environmental uncertainty) on the use of EMA, which in turn can improve the environmental performance of companies. These findings indicate that EMA is a useful and important tool for providing information to achieve superior corporate environmental performance in Indonesian firms and the findings also suit for companies operating in other countries in terms of developing capabilities with regards to perceived environmental uncertainty to be able to manage EMA tools and, as a consequence, to improve organizational environmental performance.","author":[{"dropping-particle":"","family":"Latan","given":"Hengky","non-dropping-particle":"","parse-names":false,"suffix":""},{"dropping-particle":"","family":"Chiappetta Jabbour","given":"Charbel Jose","non-dropping-particle":"","parse-names":false,"suffix":""},{"dropping-particle":"","family":"Lopes de Sousa Jabbour","given":"Ana Beatriz","non-dropping-particle":"","parse-names":false,"suffix":""},{"dropping-particle":"","family":"Wamba","given":"Samuel Fosso","non-dropping-particle":"","parse-names":false,"suffix":""},{"dropping-particle":"","family":"Shahbaz","given":"Muhammad","non-dropping-particle":"","parse-names":false,"suffix":""}],"container-title":"Journal of Cleaner Production","id":"ITEM-2","issued":{"date-parts":[["2018"]]},"note":"Cited By (since 2018): 2","page":"297-306","title":"Effects of environmental strategy, environmental uncertainty and top management's commitment on corporate environmental performance: The role of environmental management accounting","type":"article","volume":"180"},"uris":["http://www.mendeley.com/documents/?uuid=7aaa3901-076e-469b-8303-3c9e02f84c69"]},{"id":"ITEM-3","itemData":{"DOI":"10.1111/faam.12151","ISSN":"14680408","abstract":"The challenge of using environmental management accounting (EMA) tools such as full-cost accounting to improve waste and recycling management has been acknowledged for over a decade. However, research on assessing and understanding local government use of EMA, especially broader levels of EMA, is lacking. This study investigates the link between the nature and drivers of EMA practice for waste and recycling services based on a survey conducted with local governments in New South Wales, Australia. The study finds that although social and organisational factors are related to the uptake of EMA, local governments are subject to stronger functional demands than institutional pressures in their use of more expansive EMA such as indirect and external costs and impacts. This implies that the use of EMA in local government is viewed more as an adaptive activity to cope with functional challenges and achieve efficiency, than as an institutional imperative to achieve social acceptance.","author":[{"dropping-particle":"","family":"Qian","given":"Wei","non-dropping-particle":"","parse-names":false,"suffix":""},{"dropping-particle":"","family":"Burritt","given":"Roger L.","non-dropping-particle":"","parse-names":false,"suffix":""},{"dropping-particle":"","family":"Monroe","given":"Gary S.","non-dropping-particle":"","parse-names":false,"suffix":""}],"container-title":"Financial Accountability and Management","id":"ITEM-3","issue":"2","issued":{"date-parts":[["2018"]]},"note":"Cited By (since 2018): 26","page":"148-165","publisher":"Wiley Online Library","title":"Environmental management accounting in local government: Functional and institutional imperatives","type":"article-journal","volume":"34"},"uris":["http://www.mendeley.com/documents/?uuid=f7421471-4279-48c1-bcdc-f1df5c2607fb"]}],"mendeley":{"formattedCitation":"(Asiaei et al., 2022; Latan et al., 2018; Qian et al., 2018)","plainTextFormattedCitation":"(Asiaei et al., 2022; Latan et al., 2018; Qian et al., 2018)","previouslyFormattedCitation":"(Asiaei et al., 2022; Latan et al., 2018; Qian et al., 2018)"},"properties":{"noteIndex":0},"schema":"https://github.com/citation-style-language/schema/raw/master/csl-citation.json"}</w:instrText>
      </w:r>
      <w:r w:rsidR="00124AA5" w:rsidRPr="00D54138">
        <w:rPr>
          <w:rFonts w:ascii="Times New Roman" w:hAnsi="Times New Roman"/>
          <w:sz w:val="24"/>
          <w:szCs w:val="24"/>
        </w:rPr>
        <w:fldChar w:fldCharType="separate"/>
      </w:r>
      <w:r w:rsidR="00124AA5" w:rsidRPr="00D54138">
        <w:rPr>
          <w:rFonts w:ascii="Times New Roman" w:hAnsi="Times New Roman"/>
          <w:noProof/>
          <w:sz w:val="24"/>
          <w:szCs w:val="24"/>
        </w:rPr>
        <w:t>(Asiaei et al., 2022; Latan et al., 2018; Qian et al., 2018)</w:t>
      </w:r>
      <w:r w:rsidR="00124AA5" w:rsidRPr="00D54138">
        <w:rPr>
          <w:rFonts w:ascii="Times New Roman" w:hAnsi="Times New Roman"/>
          <w:sz w:val="24"/>
          <w:szCs w:val="24"/>
        </w:rPr>
        <w:fldChar w:fldCharType="end"/>
      </w:r>
      <w:r w:rsidR="00124AA5" w:rsidRPr="00D54138">
        <w:rPr>
          <w:rFonts w:ascii="Times New Roman" w:hAnsi="Times New Roman"/>
          <w:sz w:val="24"/>
          <w:szCs w:val="24"/>
        </w:rPr>
        <w:t>.</w:t>
      </w:r>
      <w:r w:rsidR="00BD58FF" w:rsidRPr="00D54138">
        <w:rPr>
          <w:rFonts w:ascii="Times New Roman" w:hAnsi="Times New Roman"/>
          <w:sz w:val="24"/>
          <w:szCs w:val="24"/>
        </w:rPr>
        <w:t xml:space="preserve"> </w:t>
      </w:r>
    </w:p>
    <w:p w14:paraId="1CA28630" w14:textId="77777777" w:rsidR="00BD58FF" w:rsidRPr="00D54138" w:rsidRDefault="00BD58FF" w:rsidP="008B44D2">
      <w:pPr>
        <w:spacing w:after="0" w:line="240" w:lineRule="auto"/>
        <w:jc w:val="both"/>
        <w:rPr>
          <w:rFonts w:ascii="Times New Roman" w:hAnsi="Times New Roman"/>
          <w:sz w:val="24"/>
          <w:szCs w:val="24"/>
        </w:rPr>
      </w:pPr>
    </w:p>
    <w:p w14:paraId="1B11E2BA" w14:textId="77777777" w:rsidR="00F57E3E" w:rsidRPr="00D54138" w:rsidRDefault="00F57E3E" w:rsidP="008B44D2">
      <w:pPr>
        <w:spacing w:after="0" w:line="240" w:lineRule="auto"/>
        <w:jc w:val="both"/>
        <w:rPr>
          <w:rFonts w:ascii="Times New Roman" w:hAnsi="Times New Roman"/>
          <w:b/>
          <w:bCs/>
          <w:sz w:val="24"/>
          <w:szCs w:val="24"/>
        </w:rPr>
      </w:pPr>
    </w:p>
    <w:p w14:paraId="15CC85A2" w14:textId="77777777" w:rsidR="00F57E3E" w:rsidRPr="00D54138" w:rsidRDefault="00F57E3E" w:rsidP="008B44D2">
      <w:pPr>
        <w:spacing w:after="0" w:line="240" w:lineRule="auto"/>
        <w:jc w:val="both"/>
        <w:rPr>
          <w:rFonts w:ascii="Times New Roman" w:hAnsi="Times New Roman"/>
          <w:b/>
          <w:bCs/>
          <w:sz w:val="24"/>
          <w:szCs w:val="24"/>
        </w:rPr>
      </w:pPr>
    </w:p>
    <w:p w14:paraId="22028DF8" w14:textId="1833C9AC" w:rsidR="00BD58FF" w:rsidRPr="00D54138" w:rsidRDefault="00BD58FF" w:rsidP="008B44D2">
      <w:pPr>
        <w:spacing w:after="0" w:line="240" w:lineRule="auto"/>
        <w:jc w:val="both"/>
        <w:rPr>
          <w:rFonts w:ascii="Times New Roman" w:hAnsi="Times New Roman"/>
          <w:b/>
          <w:bCs/>
          <w:sz w:val="24"/>
          <w:szCs w:val="24"/>
        </w:rPr>
      </w:pPr>
      <w:r w:rsidRPr="00D54138">
        <w:rPr>
          <w:rFonts w:ascii="Times New Roman" w:hAnsi="Times New Roman"/>
          <w:b/>
          <w:bCs/>
          <w:sz w:val="24"/>
          <w:szCs w:val="24"/>
        </w:rPr>
        <w:t xml:space="preserve">Mediation Variable </w:t>
      </w:r>
    </w:p>
    <w:p w14:paraId="570D3537" w14:textId="093EAD15" w:rsidR="00BD58FF" w:rsidRPr="00D54138" w:rsidRDefault="009E18C4" w:rsidP="008B44D2">
      <w:pPr>
        <w:spacing w:after="0" w:line="240" w:lineRule="auto"/>
        <w:jc w:val="both"/>
        <w:rPr>
          <w:rFonts w:ascii="Times New Roman" w:hAnsi="Times New Roman"/>
          <w:sz w:val="24"/>
          <w:szCs w:val="24"/>
        </w:rPr>
      </w:pPr>
      <w:r w:rsidRPr="00D54138">
        <w:rPr>
          <w:rFonts w:ascii="Times New Roman" w:hAnsi="Times New Roman"/>
          <w:sz w:val="24"/>
          <w:szCs w:val="24"/>
        </w:rPr>
        <w:t xml:space="preserve">The mapping analysis of the study found that the mediating variables were environmental management accounting, product innovation, process innovation, behavioral control, environmental management control systems, and corporate environmental strategies. </w:t>
      </w:r>
      <w:r w:rsidR="001B4138" w:rsidRPr="00D54138">
        <w:rPr>
          <w:rFonts w:ascii="Times New Roman" w:hAnsi="Times New Roman"/>
          <w:sz w:val="24"/>
          <w:szCs w:val="24"/>
        </w:rPr>
        <w:t>A mapping</w:t>
      </w:r>
      <w:r w:rsidRPr="00D54138">
        <w:rPr>
          <w:rFonts w:ascii="Times New Roman" w:hAnsi="Times New Roman"/>
          <w:sz w:val="24"/>
          <w:szCs w:val="24"/>
        </w:rPr>
        <w:t xml:space="preserve"> study on environmental management accounting identified management accounting systems as a mediating variable in the link of pressure (coercive, mimetic, and normative) to </w:t>
      </w:r>
      <w:r w:rsidR="001B4138" w:rsidRPr="00D54138">
        <w:rPr>
          <w:rFonts w:ascii="Times New Roman" w:hAnsi="Times New Roman"/>
          <w:sz w:val="24"/>
          <w:szCs w:val="24"/>
        </w:rPr>
        <w:t xml:space="preserve">the </w:t>
      </w:r>
      <w:r w:rsidRPr="00D54138">
        <w:rPr>
          <w:rFonts w:ascii="Times New Roman" w:hAnsi="Times New Roman"/>
          <w:sz w:val="24"/>
          <w:szCs w:val="24"/>
        </w:rPr>
        <w:t>environmental performance</w:t>
      </w:r>
      <w:r w:rsidR="00BD58FF" w:rsidRPr="00D54138">
        <w:rPr>
          <w:rFonts w:ascii="Times New Roman" w:hAnsi="Times New Roman"/>
          <w:sz w:val="24"/>
          <w:szCs w:val="24"/>
        </w:rPr>
        <w:t xml:space="preserve"> </w:t>
      </w:r>
      <w:r w:rsidR="001A4B8B" w:rsidRPr="00D54138">
        <w:rPr>
          <w:rFonts w:ascii="Times New Roman" w:hAnsi="Times New Roman"/>
          <w:sz w:val="24"/>
          <w:szCs w:val="24"/>
        </w:rPr>
        <w:fldChar w:fldCharType="begin" w:fldLock="1"/>
      </w:r>
      <w:r w:rsidR="001A4B8B" w:rsidRPr="00D54138">
        <w:rPr>
          <w:rFonts w:ascii="Times New Roman" w:hAnsi="Times New Roman"/>
          <w:sz w:val="24"/>
          <w:szCs w:val="24"/>
        </w:rPr>
        <w:instrText>ADDIN CSL_CITATION {"citationItems":[{"id":"ITEM-1","itemData":{"ISSN":"23098619","abstract":"The purpose of this study is to empirically investigate the impact of environmental innovation constituting product innovation (PDI) and process innovation (PCI) on firms' financial performance (FFP). It also inquires the mediating roles of environmental management accounting (EMA) and the firm's environmental strategy (FES) between innovation and FFP. We have analyzed primary data collected from 363 respondents, working at the managing positions in the manufacturing sector of Pakistan. The proposed model was estimated by applying structural equation modeling. Results show that PDI and PCI have positive and significant impacts on FFP. Furthermore, the findings indicate that EMA and FES mediate the relationship between innovation and FFP in the manufacturing sector of Pakistan. This is the first study in the available literature on EMA, which promulgates a comprehensive theoretical model in the context of the manufacturing sector of Pakistan by introducing two mediators between the association of environmental innovation and firms' financial performance. This study suggests the managers of the manufacturing companies or similar sectors to introduce innovations in their products and processes for developing a better EMA system; they must propose appropriate environmental strategies to enhance their firms' performance. The current study also tends to assist policymakers in developing appropriate policies for the manufacturing sector of Pakistan by realizing the importance of environmental innovation, EMA, and FES so that their environmental and economic impacts can be managed and regulated.","author":[{"dropping-particle":"","family":"Chaudhry","given":"Naveed Iqbal","non-dropping-particle":"","parse-names":false,"suffix":""},{"dropping-particle":"","family":"Asad","given":"Humaira","non-dropping-particle":"","parse-names":false,"suffix":""},{"dropping-particle":"","family":"Ch","given":"Muhammad Amir","non-dropping-particle":"","parse-names":false,"suffix":""},{"dropping-particle":"","family":"Hussian","given":"Rai Imitiaz","non-dropping-particle":"","parse-names":false,"suffix":""}],"container-title":"Pakistan Journal of Commerce and Social Science","id":"ITEM-1","issue":"3","issued":{"date-parts":[["2020"]]},"page":"715-737","title":"Environmental innovation and financial performance: Mediating role of environmental management accounting and firm's environmental strategy","type":"article-journal","volume":"14"},"uris":["http://www.mendeley.com/documents/?uuid=d0b635e3-6efc-4ee2-a002-1c3592805290"]}],"mendeley":{"formattedCitation":"(Chaudhry et al., 2020)","plainTextFormattedCitation":"(Chaudhry et al., 2020)","previouslyFormattedCitation":"(Chaudhry et al., 2020)"},"properties":{"noteIndex":0},"schema":"https://github.com/citation-style-language/schema/raw/master/csl-citation.json"}</w:instrText>
      </w:r>
      <w:r w:rsidR="001A4B8B" w:rsidRPr="00D54138">
        <w:rPr>
          <w:rFonts w:ascii="Times New Roman" w:hAnsi="Times New Roman"/>
          <w:sz w:val="24"/>
          <w:szCs w:val="24"/>
        </w:rPr>
        <w:fldChar w:fldCharType="separate"/>
      </w:r>
      <w:r w:rsidR="001A4B8B" w:rsidRPr="00D54138">
        <w:rPr>
          <w:rFonts w:ascii="Times New Roman" w:hAnsi="Times New Roman"/>
          <w:noProof/>
          <w:sz w:val="24"/>
          <w:szCs w:val="24"/>
        </w:rPr>
        <w:t>(Chaudhry et al., 2020)</w:t>
      </w:r>
      <w:r w:rsidR="001A4B8B" w:rsidRPr="00D54138">
        <w:rPr>
          <w:rFonts w:ascii="Times New Roman" w:hAnsi="Times New Roman"/>
          <w:sz w:val="24"/>
          <w:szCs w:val="24"/>
        </w:rPr>
        <w:fldChar w:fldCharType="end"/>
      </w:r>
      <w:r w:rsidR="001A4B8B" w:rsidRPr="00D54138">
        <w:rPr>
          <w:rFonts w:ascii="Times New Roman" w:hAnsi="Times New Roman"/>
          <w:sz w:val="24"/>
          <w:szCs w:val="24"/>
        </w:rPr>
        <w:t>.</w:t>
      </w:r>
      <w:r w:rsidR="00BD58FF" w:rsidRPr="00D54138">
        <w:rPr>
          <w:rFonts w:ascii="Times New Roman" w:hAnsi="Times New Roman"/>
          <w:sz w:val="24"/>
          <w:szCs w:val="24"/>
        </w:rPr>
        <w:t xml:space="preserve"> </w:t>
      </w:r>
      <w:r w:rsidRPr="00D54138">
        <w:rPr>
          <w:rFonts w:ascii="Times New Roman" w:hAnsi="Times New Roman"/>
          <w:sz w:val="24"/>
          <w:szCs w:val="24"/>
        </w:rPr>
        <w:t xml:space="preserve">Environmental management accounting can also moderate the relationship between product innovation and corporate performance (Chaudhry et al., 2020) However, innovation influences the association between environmental management accounting and firm success, according to Saeidi et al. </w:t>
      </w:r>
      <w:r w:rsidR="001A4B8B" w:rsidRPr="00D54138">
        <w:rPr>
          <w:rFonts w:ascii="Times New Roman" w:hAnsi="Times New Roman"/>
          <w:sz w:val="24"/>
          <w:szCs w:val="24"/>
        </w:rPr>
        <w:fldChar w:fldCharType="begin" w:fldLock="1"/>
      </w:r>
      <w:r w:rsidR="0000303C" w:rsidRPr="00D54138">
        <w:rPr>
          <w:rFonts w:ascii="Times New Roman" w:hAnsi="Times New Roman"/>
          <w:sz w:val="24"/>
          <w:szCs w:val="24"/>
        </w:rPr>
        <w:instrText>ADDIN CSL_CITATION {"citationItems":[{"id":"ITEM-1","itemData":{"abstract":"This study aims to investigate the mediating role of product and process innovation in the relationship between environmental management accounting (EMA) and firm's financial performance in Iranian companies. The paper adopted the structural equation modelling (SEM) approach to test the hypotheses. The findings are based on 118 Iranian manufacturing and consumer product firms in 2014. The findings reveal that the link between environmental management accounting and financial performance is a partial mediated relationship. Positive effect of environmental management accounting on financial performance is due to the positive effect environmental management accounting has on both product and process innovation on one hand and positive affect that innovation has on financial performance on the other. These findings suggest a role for environmental management accounting in indirectly promoting firm performance through enhancing innovation.","author":[{"dropping-particle":"","family":"Saeidi","given":"Sayedeh Parastoo","non-dropping-particle":"","parse-names":false,"suffix":""},{"dropping-particle":"","family":"Shahwahid","given":"Mohd","non-dropping-particle":"","parse-names":false,"suffix":""},{"dropping-particle":"","family":"Othman","given":"Haji","non-dropping-particle":"","parse-names":false,"suffix":""}],"container-title":"Int. J. Business Innovation and Research","id":"ITEM-1","issue":"4","issued":{"date-parts":[["2017"]]},"number-of-pages":"421-438","title":"The mediating role of process and product innovation in the relationship between environmental management accounting and firm's financial performance","type":"report","volume":"14"},"uris":["http://www.mendeley.com/documents/?uuid=f0b76b10-aab4-3026-97ec-a0476276e66a"]}],"mendeley":{"formattedCitation":"(Saeidi et al., 2017)","manualFormatting":"(2017)","plainTextFormattedCitation":"(Saeidi et al., 2017)","previouslyFormattedCitation":"(Saeidi et al., 2017)"},"properties":{"noteIndex":0},"schema":"https://github.com/citation-style-language/schema/raw/master/csl-citation.json"}</w:instrText>
      </w:r>
      <w:r w:rsidR="001A4B8B" w:rsidRPr="00D54138">
        <w:rPr>
          <w:rFonts w:ascii="Times New Roman" w:hAnsi="Times New Roman"/>
          <w:sz w:val="24"/>
          <w:szCs w:val="24"/>
        </w:rPr>
        <w:fldChar w:fldCharType="separate"/>
      </w:r>
      <w:r w:rsidR="001A4B8B" w:rsidRPr="00D54138">
        <w:rPr>
          <w:rFonts w:ascii="Times New Roman" w:hAnsi="Times New Roman"/>
          <w:noProof/>
          <w:sz w:val="24"/>
          <w:szCs w:val="24"/>
        </w:rPr>
        <w:t>(2017)</w:t>
      </w:r>
      <w:r w:rsidR="001A4B8B" w:rsidRPr="00D54138">
        <w:rPr>
          <w:rFonts w:ascii="Times New Roman" w:hAnsi="Times New Roman"/>
          <w:sz w:val="24"/>
          <w:szCs w:val="24"/>
        </w:rPr>
        <w:fldChar w:fldCharType="end"/>
      </w:r>
      <w:r w:rsidR="00BD58FF" w:rsidRPr="00D54138">
        <w:rPr>
          <w:rFonts w:ascii="Times New Roman" w:hAnsi="Times New Roman"/>
          <w:sz w:val="24"/>
          <w:szCs w:val="24"/>
        </w:rPr>
        <w:t xml:space="preserve">, innovation mediates the relationship between environmental management accounting and firm performance. </w:t>
      </w:r>
    </w:p>
    <w:p w14:paraId="3815DE65" w14:textId="383FB16D" w:rsidR="009E18C4" w:rsidRPr="00D54138" w:rsidRDefault="00BD58FF" w:rsidP="008B44D2">
      <w:pPr>
        <w:spacing w:after="0" w:line="240" w:lineRule="auto"/>
        <w:ind w:firstLine="720"/>
        <w:jc w:val="both"/>
        <w:rPr>
          <w:rFonts w:ascii="Times New Roman" w:hAnsi="Times New Roman"/>
          <w:sz w:val="24"/>
          <w:szCs w:val="24"/>
        </w:rPr>
      </w:pPr>
      <w:r w:rsidRPr="00D54138">
        <w:rPr>
          <w:rFonts w:ascii="Times New Roman" w:hAnsi="Times New Roman"/>
          <w:sz w:val="24"/>
          <w:szCs w:val="24"/>
        </w:rPr>
        <w:lastRenderedPageBreak/>
        <w:t xml:space="preserve">In addition, the mapping results indicate </w:t>
      </w:r>
      <w:r w:rsidR="009E18C4" w:rsidRPr="00D54138">
        <w:rPr>
          <w:rFonts w:ascii="Times New Roman" w:hAnsi="Times New Roman"/>
          <w:sz w:val="24"/>
          <w:szCs w:val="24"/>
        </w:rPr>
        <w:t>that attitudes and perceived behavioral control significantly influence farmers' intentions to adopt EMA practices and that subjective norms have a significant indirect effect on EMA practices via farmers' attitudes and PBC's perceived behavioral control. Accounting techniques for environmental management in relation to belief-based factors (attitudes, subjective norms</w:t>
      </w:r>
      <w:r w:rsidR="001B4138" w:rsidRPr="00D54138">
        <w:rPr>
          <w:rFonts w:ascii="Times New Roman" w:hAnsi="Times New Roman"/>
          <w:sz w:val="24"/>
          <w:szCs w:val="24"/>
        </w:rPr>
        <w:t xml:space="preserve">, </w:t>
      </w:r>
      <w:r w:rsidR="009E18C4" w:rsidRPr="00D54138">
        <w:rPr>
          <w:rFonts w:ascii="Times New Roman" w:hAnsi="Times New Roman"/>
          <w:sz w:val="24"/>
          <w:szCs w:val="24"/>
        </w:rPr>
        <w:t>and perceived behavioral control</w:t>
      </w:r>
      <w:r w:rsidR="001B4138" w:rsidRPr="00D54138">
        <w:rPr>
          <w:rFonts w:ascii="Times New Roman" w:hAnsi="Times New Roman"/>
          <w:sz w:val="24"/>
          <w:szCs w:val="24"/>
        </w:rPr>
        <w:t xml:space="preserve"> EMA </w:t>
      </w:r>
      <w:r w:rsidR="009E18C4" w:rsidRPr="00D54138">
        <w:rPr>
          <w:rFonts w:ascii="Times New Roman" w:hAnsi="Times New Roman"/>
          <w:sz w:val="24"/>
          <w:szCs w:val="24"/>
        </w:rPr>
        <w:fldChar w:fldCharType="begin" w:fldLock="1"/>
      </w:r>
      <w:r w:rsidR="009E18C4" w:rsidRPr="00D54138">
        <w:rPr>
          <w:rFonts w:ascii="Times New Roman" w:hAnsi="Times New Roman"/>
          <w:sz w:val="24"/>
          <w:szCs w:val="24"/>
        </w:rPr>
        <w:instrText>ADDIN CSL_CITATION {"citationItems":[{"id":"ITEM-1","itemData":{"DOI":"10.1108/AAAJ-04-2018-3465","ISSN":"09513574","abstract":"Purpose: The purpose of this paper is to examine the association between the belief-based factors (attitude, subjective norm (SN) and perceived behavioural control (PBC)) and environmental management accounting (EMA) practices. Design/methodology/approach: Drawing on the theory of planned behaviour (TPB), the study develops a structural model and uses partial least squares (PLS) technique to analyse data collected based on a survey of the Australian cotton farmers. Findings: The findings indicate that while attitude and PBC significantly influence farmers’ intention to adopt EMA practices, SN has a significant indirect influence on EMA practices through farmers’ attitude and PBC. Further, the study reveals that while the intention of more environmentally friendly farmers is largely influenced by attitude and SN, the intention of less environmentally friendly farmers is primarily driven by PBC. Practical implications: The study provides important insights into the role of attitude, SN and PBC in motivating farmers towards adopting EMA practices. Such insights could also help farmers in designing effective EMA practices. Originality/value: This study contributes to very limited EMA literature on TPB by integrating three belief-based factors namely attitude, SN and PBC.","author":[{"dropping-particle":"","family":"Tashakor","given":"Shamim","non-dropping-particle":"","parse-names":false,"suffix":""},{"dropping-particle":"","family":"Appuhami","given":"Ranjith","non-dropping-particle":"","parse-names":false,"suffix":""},{"dropping-particle":"","family":"Munir","given":"Rahat","non-dropping-particle":"","parse-names":false,"suffix":""}],"container-title":"Accounting, Auditing and Accountability Journal","id":"ITEM-1","issue":"4","issued":{"date-parts":[["2019"]]},"note":"Cited By (since 2019): 14","page":"1175-1202","publisher":"emerald.com","title":"Environmental management accounting practices in Australian cotton farming: The use of the theory of planned behaviour","type":"article-journal","volume":"32"},"uris":["http://www.mendeley.com/documents/?uuid=7a6adcf7-28f9-4452-a594-8e5f9ce84c1a"]}],"mendeley":{"formattedCitation":"(Tashakor et al., 2019)","plainTextFormattedCitation":"(Tashakor et al., 2019)","previouslyFormattedCitation":"(Tashakor et al., 2019)"},"properties":{"noteIndex":0},"schema":"https://github.com/citation-style-language/schema/raw/master/csl-citation.json"}</w:instrText>
      </w:r>
      <w:r w:rsidR="009E18C4" w:rsidRPr="00D54138">
        <w:rPr>
          <w:rFonts w:ascii="Times New Roman" w:hAnsi="Times New Roman"/>
          <w:sz w:val="24"/>
          <w:szCs w:val="24"/>
        </w:rPr>
        <w:fldChar w:fldCharType="separate"/>
      </w:r>
      <w:r w:rsidR="009E18C4" w:rsidRPr="00D54138">
        <w:rPr>
          <w:rFonts w:ascii="Times New Roman" w:hAnsi="Times New Roman"/>
          <w:noProof/>
          <w:sz w:val="24"/>
          <w:szCs w:val="24"/>
        </w:rPr>
        <w:t>(Tashakor et al., 2019)</w:t>
      </w:r>
      <w:r w:rsidR="009E18C4" w:rsidRPr="00D54138">
        <w:rPr>
          <w:rFonts w:ascii="Times New Roman" w:hAnsi="Times New Roman"/>
          <w:sz w:val="24"/>
          <w:szCs w:val="24"/>
        </w:rPr>
        <w:fldChar w:fldCharType="end"/>
      </w:r>
      <w:r w:rsidR="00E01CD8" w:rsidRPr="00D54138">
        <w:rPr>
          <w:rFonts w:ascii="Times New Roman" w:hAnsi="Times New Roman"/>
          <w:sz w:val="24"/>
          <w:szCs w:val="24"/>
        </w:rPr>
        <w:t>.</w:t>
      </w:r>
    </w:p>
    <w:p w14:paraId="0815E9BA" w14:textId="77777777" w:rsidR="00E01CD8" w:rsidRPr="00D54138" w:rsidRDefault="00E01CD8" w:rsidP="008B44D2">
      <w:pPr>
        <w:spacing w:after="0" w:line="240" w:lineRule="auto"/>
        <w:ind w:firstLine="720"/>
        <w:jc w:val="both"/>
        <w:rPr>
          <w:rFonts w:ascii="Times New Roman" w:hAnsi="Times New Roman"/>
          <w:sz w:val="24"/>
          <w:szCs w:val="24"/>
        </w:rPr>
      </w:pPr>
    </w:p>
    <w:p w14:paraId="68BB5125" w14:textId="3A01A96D" w:rsidR="001A0AE1" w:rsidRDefault="001A0AE1" w:rsidP="008B44D2">
      <w:pPr>
        <w:spacing w:after="0" w:line="240" w:lineRule="auto"/>
        <w:jc w:val="both"/>
        <w:rPr>
          <w:rFonts w:ascii="Times New Roman" w:hAnsi="Times New Roman"/>
          <w:sz w:val="24"/>
          <w:szCs w:val="24"/>
        </w:rPr>
      </w:pPr>
    </w:p>
    <w:p w14:paraId="4A87C574" w14:textId="77777777" w:rsidR="00610F65" w:rsidRPr="00D54138" w:rsidRDefault="00610F65" w:rsidP="008B44D2">
      <w:pPr>
        <w:spacing w:after="0" w:line="240" w:lineRule="auto"/>
        <w:jc w:val="both"/>
        <w:rPr>
          <w:rFonts w:ascii="Times New Roman" w:hAnsi="Times New Roman"/>
          <w:sz w:val="24"/>
          <w:szCs w:val="24"/>
        </w:rPr>
      </w:pPr>
    </w:p>
    <w:p w14:paraId="38323CCA" w14:textId="77777777" w:rsidR="00BD58FF" w:rsidRPr="00D54138" w:rsidRDefault="00BD58FF" w:rsidP="008B44D2">
      <w:pPr>
        <w:spacing w:after="0" w:line="240" w:lineRule="auto"/>
        <w:jc w:val="both"/>
        <w:rPr>
          <w:rFonts w:ascii="Times New Roman" w:hAnsi="Times New Roman"/>
          <w:b/>
          <w:bCs/>
          <w:sz w:val="24"/>
          <w:szCs w:val="24"/>
        </w:rPr>
      </w:pPr>
      <w:r w:rsidRPr="00D54138">
        <w:rPr>
          <w:rFonts w:ascii="Times New Roman" w:hAnsi="Times New Roman"/>
          <w:b/>
          <w:bCs/>
          <w:sz w:val="24"/>
          <w:szCs w:val="24"/>
        </w:rPr>
        <w:t xml:space="preserve">Moderating Variable </w:t>
      </w:r>
    </w:p>
    <w:p w14:paraId="7A52DF61" w14:textId="5370FD63" w:rsidR="00BD58FF" w:rsidRPr="00D54138" w:rsidRDefault="009E18C4" w:rsidP="008B44D2">
      <w:pPr>
        <w:spacing w:after="0" w:line="240" w:lineRule="auto"/>
        <w:jc w:val="both"/>
        <w:rPr>
          <w:rFonts w:ascii="Times New Roman" w:hAnsi="Times New Roman"/>
          <w:sz w:val="24"/>
          <w:szCs w:val="24"/>
        </w:rPr>
      </w:pPr>
      <w:r w:rsidRPr="00D54138">
        <w:rPr>
          <w:rFonts w:ascii="Times New Roman" w:hAnsi="Times New Roman"/>
          <w:sz w:val="24"/>
          <w:szCs w:val="24"/>
        </w:rPr>
        <w:t xml:space="preserve">Analyzing the mapping of articles revealed that the emerging moderating variables included, among others, support from top management, environmental proactivity, environmental management accounting, and monetary variables. Mapping environmental management accounting studies indicated that management support moderates the relationship between institutional pressure and EMA implementation </w:t>
      </w:r>
      <w:r w:rsidR="00D76DAC" w:rsidRPr="00D54138">
        <w:rPr>
          <w:rFonts w:ascii="Times New Roman" w:hAnsi="Times New Roman"/>
          <w:sz w:val="24"/>
          <w:szCs w:val="24"/>
        </w:rPr>
        <w:fldChar w:fldCharType="begin" w:fldLock="1"/>
      </w:r>
      <w:r w:rsidR="00907B46" w:rsidRPr="00D54138">
        <w:rPr>
          <w:rFonts w:ascii="Times New Roman" w:hAnsi="Times New Roman"/>
          <w:sz w:val="24"/>
          <w:szCs w:val="24"/>
        </w:rPr>
        <w:instrText>ADDIN CSL_CITATION {"citationItems":[{"id":"ITEM-1","itemData":{"DOI":"10.1002/bse.2252","ISSN":"10990836","abstract":"Environmental management accounting (EMA) has been regarded as an effective way to deal with environmental issues and economic performance. On the basis of institutional theory, this research aims to examine the effects of institutional pressures on the implementation of EMA and how such effects are affected by top management support and perceived benefit. Data were collected from the manufacturing firms in the Yangtze River Delta using questionnaire survey method. The results indicated that coercive pressure and normative pressure positively and significantly affect the implementation of EMA whereas mimetic pressure has no significant effect. Furthermore, top management support and perceived benefit play different moderating roles in the relationships between institutional pressures and the implementation of EMA. Top management support and perceived benefit positively moderate the relationships between coercive pressure, normative pressure, and the implementation of EMA although negatively moderate the relationship between mimetic pressure and the implementation of EMA. On the basis of the findings, policy implications and suggestions for future research are discussed.","author":[{"dropping-particle":"","family":"Wang","given":"Shanyong","non-dropping-particle":"","parse-names":false,"suffix":""},{"dropping-particle":"","family":"Wang","given":"Hualong","non-dropping-particle":"","parse-names":false,"suffix":""},{"dropping-particle":"","family":"Wang","given":"Jing","non-dropping-particle":"","parse-names":false,"suffix":""}],"container-title":"Business Strategy and the Environment","id":"ITEM-1","issue":"1","issued":{"date-parts":[["2019"]]},"page":"233-243","title":"Exploring the effects of institutional pressures on the implementation of environmental management accounting: Do top management support and perceived benefit work?","type":"article-journal","volume":"28"},"uris":["http://www.mendeley.com/documents/?uuid=7f1545be-e944-46d4-a098-33df81f3c5ac"]}],"mendeley":{"formattedCitation":"(Wang et al., 2019)","plainTextFormattedCitation":"(Wang et al., 2019)","previouslyFormattedCitation":"(Wang et al., 2019)"},"properties":{"noteIndex":0},"schema":"https://github.com/citation-style-language/schema/raw/master/csl-citation.json"}</w:instrText>
      </w:r>
      <w:r w:rsidR="00D76DAC" w:rsidRPr="00D54138">
        <w:rPr>
          <w:rFonts w:ascii="Times New Roman" w:hAnsi="Times New Roman"/>
          <w:sz w:val="24"/>
          <w:szCs w:val="24"/>
        </w:rPr>
        <w:fldChar w:fldCharType="separate"/>
      </w:r>
      <w:r w:rsidR="00D76DAC" w:rsidRPr="00D54138">
        <w:rPr>
          <w:rFonts w:ascii="Times New Roman" w:hAnsi="Times New Roman"/>
          <w:noProof/>
          <w:sz w:val="24"/>
          <w:szCs w:val="24"/>
        </w:rPr>
        <w:t>(Wang et al., 2019)</w:t>
      </w:r>
      <w:r w:rsidR="00D76DAC" w:rsidRPr="00D54138">
        <w:rPr>
          <w:rFonts w:ascii="Times New Roman" w:hAnsi="Times New Roman"/>
          <w:sz w:val="24"/>
          <w:szCs w:val="24"/>
        </w:rPr>
        <w:fldChar w:fldCharType="end"/>
      </w:r>
      <w:r w:rsidR="00D76DAC" w:rsidRPr="00D54138">
        <w:rPr>
          <w:rFonts w:ascii="Times New Roman" w:hAnsi="Times New Roman"/>
          <w:sz w:val="24"/>
          <w:szCs w:val="24"/>
        </w:rPr>
        <w:t>.</w:t>
      </w:r>
      <w:r w:rsidR="00BD58FF" w:rsidRPr="00D54138">
        <w:rPr>
          <w:rFonts w:ascii="Times New Roman" w:hAnsi="Times New Roman"/>
          <w:sz w:val="24"/>
          <w:szCs w:val="24"/>
        </w:rPr>
        <w:t xml:space="preserve"> </w:t>
      </w:r>
      <w:r w:rsidRPr="00D54138">
        <w:rPr>
          <w:rFonts w:ascii="Times New Roman" w:hAnsi="Times New Roman"/>
          <w:sz w:val="24"/>
          <w:szCs w:val="24"/>
        </w:rPr>
        <w:t>Their research indicates that top management support and perceived advantages moderate positively the relationship between coercive pressure, normative pressure, and EMA application, while they moderate adversely the relationship between mimetic stress and EMA application. Environmental proactivity attenuated the connection between mimetic stress and environmental performance (</w:t>
      </w:r>
      <w:r w:rsidR="00BD58FF" w:rsidRPr="00D54138">
        <w:rPr>
          <w:rFonts w:ascii="Times New Roman" w:hAnsi="Times New Roman"/>
          <w:sz w:val="24"/>
          <w:szCs w:val="24"/>
        </w:rPr>
        <w:t xml:space="preserve">Chaudhry and Amir 2020) </w:t>
      </w:r>
    </w:p>
    <w:p w14:paraId="58508FD0" w14:textId="77777777" w:rsidR="00BD58FF" w:rsidRPr="00D54138" w:rsidRDefault="00BD58FF" w:rsidP="008B44D2">
      <w:pPr>
        <w:spacing w:after="0" w:line="240" w:lineRule="auto"/>
        <w:jc w:val="both"/>
        <w:rPr>
          <w:rFonts w:ascii="Times New Roman" w:hAnsi="Times New Roman"/>
          <w:sz w:val="24"/>
          <w:szCs w:val="24"/>
        </w:rPr>
      </w:pPr>
    </w:p>
    <w:p w14:paraId="25A9F6E8" w14:textId="6CFC9D1F" w:rsidR="00BD58FF" w:rsidRPr="00D54138" w:rsidRDefault="0032018D" w:rsidP="008B44D2">
      <w:pPr>
        <w:spacing w:after="0" w:line="240" w:lineRule="auto"/>
        <w:jc w:val="both"/>
        <w:rPr>
          <w:rFonts w:ascii="Times New Roman" w:hAnsi="Times New Roman"/>
          <w:b/>
          <w:bCs/>
          <w:sz w:val="24"/>
          <w:szCs w:val="24"/>
        </w:rPr>
      </w:pPr>
      <w:r w:rsidRPr="00D54138">
        <w:rPr>
          <w:rFonts w:ascii="Times New Roman" w:hAnsi="Times New Roman"/>
          <w:i/>
          <w:iCs/>
          <w:sz w:val="24"/>
          <w:szCs w:val="24"/>
        </w:rPr>
        <w:t xml:space="preserve">Analysis </w:t>
      </w:r>
      <w:r w:rsidR="00A862C2" w:rsidRPr="00D54138">
        <w:rPr>
          <w:rFonts w:ascii="Times New Roman" w:hAnsi="Times New Roman"/>
          <w:i/>
          <w:iCs/>
          <w:sz w:val="24"/>
          <w:szCs w:val="24"/>
        </w:rPr>
        <w:t>3</w:t>
      </w:r>
      <w:r w:rsidRPr="00D54138">
        <w:rPr>
          <w:rFonts w:ascii="Times New Roman" w:hAnsi="Times New Roman"/>
          <w:i/>
          <w:iCs/>
          <w:sz w:val="24"/>
          <w:szCs w:val="24"/>
        </w:rPr>
        <w:t>: Research Method of Environmental Management Accounting Research</w:t>
      </w:r>
    </w:p>
    <w:p w14:paraId="0471DBAE" w14:textId="77777777" w:rsidR="00BD58FF" w:rsidRPr="00D54138" w:rsidRDefault="00BD58FF" w:rsidP="008B44D2">
      <w:pPr>
        <w:spacing w:after="0" w:line="240" w:lineRule="auto"/>
        <w:jc w:val="both"/>
        <w:rPr>
          <w:rFonts w:ascii="Times New Roman" w:hAnsi="Times New Roman"/>
          <w:sz w:val="24"/>
          <w:szCs w:val="24"/>
        </w:rPr>
      </w:pPr>
      <w:r w:rsidRPr="00D54138">
        <w:rPr>
          <w:rFonts w:ascii="Times New Roman" w:hAnsi="Times New Roman"/>
          <w:sz w:val="24"/>
          <w:szCs w:val="24"/>
        </w:rPr>
        <w:t xml:space="preserve">The results of the article mapping analysis revealed that questionnaire-based surveys, secondary data, literature reviews, meta-analyses, case studies, and interviews were employed as research techniques. The most common research method is a survey based on a questionnaire. Participants/subjects identified by additional article mapping analysis include chief financial officers of public companies, accountants, management accountants, managers at middle and upper levels, as well as owners of manufacturing companies, general managers, operations managers, finance managers, environmental managers, and company stakeholders. coal, cotton farmers, and individuals in management positions in the manufacturing industry. </w:t>
      </w:r>
    </w:p>
    <w:p w14:paraId="1F055AEF" w14:textId="3B4B27F5" w:rsidR="00BD58FF" w:rsidRPr="00D54138" w:rsidRDefault="00BD58FF" w:rsidP="008B44D2">
      <w:pPr>
        <w:spacing w:after="0" w:line="240" w:lineRule="auto"/>
        <w:ind w:firstLine="720"/>
        <w:jc w:val="both"/>
        <w:rPr>
          <w:rFonts w:ascii="Times New Roman" w:hAnsi="Times New Roman"/>
          <w:sz w:val="24"/>
          <w:szCs w:val="24"/>
        </w:rPr>
      </w:pPr>
      <w:r w:rsidRPr="00D54138">
        <w:rPr>
          <w:rFonts w:ascii="Times New Roman" w:hAnsi="Times New Roman"/>
          <w:sz w:val="24"/>
          <w:szCs w:val="24"/>
        </w:rPr>
        <w:t>In addition, the mapping results revealed that the types of companies used as research samples included public companies, companies with ISO certificates, companies in the US, Australia, and Japan, manufacturing companies and consumer products in Iran, manufacturing companies in Malaysia, as well as a business entity in Sri Lanka, a multi-industry organization in Australia, a company with a significant environmental impact in Romania, and a manufacturing company</w:t>
      </w:r>
      <w:r w:rsidR="002C112C" w:rsidRPr="00D54138">
        <w:rPr>
          <w:rFonts w:ascii="Times New Roman" w:hAnsi="Times New Roman"/>
          <w:sz w:val="24"/>
          <w:szCs w:val="24"/>
        </w:rPr>
        <w:t xml:space="preserve">, </w:t>
      </w:r>
      <w:r w:rsidRPr="00D54138">
        <w:rPr>
          <w:rFonts w:ascii="Times New Roman" w:hAnsi="Times New Roman"/>
          <w:sz w:val="24"/>
          <w:szCs w:val="24"/>
        </w:rPr>
        <w:t xml:space="preserve">Universities in Indonesia, Vietnam, and the Philippines, local governments in New South Wales, Australia, Family farms in China, Construction companies in Vietnam, Manufacturing companies in the Yangtze River Delta, Manufacturing companies in Klang Valley Selangor, a local manufacturing company in Nairobi Kenya, non-financial companies in Saudi Arabia, the United Arab Emirates, Kuwait, Oman, Qatar, Bahrain, Jordan, and Egypt, and companies listed on UAE Stock Markets. </w:t>
      </w:r>
    </w:p>
    <w:p w14:paraId="5C441722" w14:textId="77777777" w:rsidR="00004376" w:rsidRPr="00D54138" w:rsidRDefault="00004376" w:rsidP="008B44D2">
      <w:pPr>
        <w:spacing w:after="0" w:line="240" w:lineRule="auto"/>
        <w:jc w:val="both"/>
        <w:rPr>
          <w:rFonts w:ascii="Times New Roman" w:eastAsia="Times New Roman" w:hAnsi="Times New Roman"/>
          <w:sz w:val="24"/>
          <w:szCs w:val="24"/>
        </w:rPr>
      </w:pPr>
    </w:p>
    <w:p w14:paraId="3B384F10" w14:textId="55B5B83F" w:rsidR="00004376" w:rsidRPr="00D54138" w:rsidRDefault="008B44D2" w:rsidP="008B44D2">
      <w:pPr>
        <w:spacing w:after="0" w:line="240" w:lineRule="auto"/>
        <w:jc w:val="both"/>
        <w:rPr>
          <w:rFonts w:ascii="Times New Roman" w:eastAsia="Times New Roman" w:hAnsi="Times New Roman"/>
          <w:b/>
          <w:sz w:val="24"/>
          <w:szCs w:val="24"/>
        </w:rPr>
      </w:pPr>
      <w:r w:rsidRPr="00D54138">
        <w:rPr>
          <w:rFonts w:ascii="Times New Roman" w:eastAsia="Times New Roman" w:hAnsi="Times New Roman"/>
          <w:b/>
          <w:sz w:val="24"/>
          <w:szCs w:val="24"/>
        </w:rPr>
        <w:t>CONCLUSION</w:t>
      </w:r>
    </w:p>
    <w:p w14:paraId="7A3DFF3C" w14:textId="77777777" w:rsidR="00004376" w:rsidRPr="00D54138" w:rsidRDefault="00004376" w:rsidP="008B44D2">
      <w:pPr>
        <w:spacing w:after="0" w:line="240" w:lineRule="auto"/>
        <w:jc w:val="both"/>
        <w:rPr>
          <w:rFonts w:ascii="Times New Roman" w:eastAsia="Times New Roman" w:hAnsi="Times New Roman"/>
          <w:sz w:val="24"/>
          <w:szCs w:val="24"/>
        </w:rPr>
      </w:pPr>
    </w:p>
    <w:p w14:paraId="12EFFBD0" w14:textId="61D2F38D" w:rsidR="00AD197E" w:rsidRPr="00D54138" w:rsidRDefault="00925B38" w:rsidP="008B44D2">
      <w:pPr>
        <w:spacing w:after="0" w:line="240" w:lineRule="auto"/>
        <w:jc w:val="both"/>
        <w:rPr>
          <w:rFonts w:ascii="Times New Roman" w:hAnsi="Times New Roman"/>
          <w:sz w:val="24"/>
          <w:szCs w:val="24"/>
        </w:rPr>
      </w:pPr>
      <w:r w:rsidRPr="00D54138">
        <w:rPr>
          <w:rFonts w:ascii="Times New Roman" w:hAnsi="Times New Roman"/>
          <w:sz w:val="24"/>
          <w:szCs w:val="24"/>
        </w:rPr>
        <w:t xml:space="preserve">The purpose of this study is to map environmental management accounting research across the five-year period from 2017 to 2022. The results revealed that the ideas of legitimacy, contingency, stakeholders, and natural resources were the most prevalent. Based on the findings of the investigation, the application of dynamic capability theory, TPB, and </w:t>
      </w:r>
      <w:r w:rsidR="00483A62" w:rsidRPr="00D54138">
        <w:rPr>
          <w:rFonts w:ascii="Times New Roman" w:hAnsi="Times New Roman"/>
          <w:sz w:val="24"/>
          <w:szCs w:val="24"/>
        </w:rPr>
        <w:t>traditional</w:t>
      </w:r>
      <w:r w:rsidRPr="00D54138">
        <w:rPr>
          <w:rFonts w:ascii="Times New Roman" w:hAnsi="Times New Roman"/>
          <w:sz w:val="24"/>
          <w:szCs w:val="24"/>
        </w:rPr>
        <w:t xml:space="preserve"> life cycle theory remains limited. This theory can be used in the future to explain and anticipate environmental management accounting phenomena. This study also concludes that there are dependent variables (such as the application of environmental accounting, environmental performance, organizational performance, financial performance, carbon management, sustainability, environmental management systems, disclosure quality, sustainable supply chain management, company cost savings, and performance efficiency (environmental and financial), as well as independent variables (environmental management accounting, environmental performance, organizational performance, financial performance, carbon management, sustainability, environmental management systems, and disclosure quality). </w:t>
      </w:r>
      <w:r w:rsidR="009A2EAD" w:rsidRPr="00D54138">
        <w:rPr>
          <w:rFonts w:ascii="Times New Roman" w:hAnsi="Times New Roman"/>
          <w:sz w:val="24"/>
          <w:szCs w:val="24"/>
        </w:rPr>
        <w:t>The environmental</w:t>
      </w:r>
      <w:r w:rsidR="00395DBC" w:rsidRPr="00D54138">
        <w:rPr>
          <w:rFonts w:ascii="Times New Roman" w:hAnsi="Times New Roman"/>
          <w:sz w:val="24"/>
          <w:szCs w:val="24"/>
        </w:rPr>
        <w:t xml:space="preserve"> management control system</w:t>
      </w:r>
      <w:r w:rsidRPr="00D54138">
        <w:rPr>
          <w:rFonts w:ascii="Times New Roman" w:hAnsi="Times New Roman"/>
          <w:sz w:val="24"/>
          <w:szCs w:val="24"/>
        </w:rPr>
        <w:t xml:space="preserve">, financial performance, life cycle costing, environmental proactivity, institutional pressure, institutional pressure, regulatory pressure, firm size, firm knowledge pressure); moderating variables (support </w:t>
      </w:r>
      <w:r w:rsidR="00F74F74" w:rsidRPr="00D54138">
        <w:rPr>
          <w:rFonts w:ascii="Times New Roman" w:hAnsi="Times New Roman"/>
          <w:sz w:val="24"/>
          <w:szCs w:val="24"/>
        </w:rPr>
        <w:t>of</w:t>
      </w:r>
      <w:r w:rsidRPr="00D54138">
        <w:rPr>
          <w:rFonts w:ascii="Times New Roman" w:hAnsi="Times New Roman"/>
          <w:sz w:val="24"/>
          <w:szCs w:val="24"/>
        </w:rPr>
        <w:t xml:space="preserve"> top management, environmental proactivity, environmental management accounting); mediating variables (environmental management accounting, product innovation, process innovation, behavioral control, environmental management control system, corporate environmental strategy ). </w:t>
      </w:r>
      <w:r w:rsidRPr="00D54138">
        <w:rPr>
          <w:rFonts w:ascii="Times New Roman" w:hAnsi="Times New Roman"/>
          <w:sz w:val="24"/>
          <w:szCs w:val="24"/>
        </w:rPr>
        <w:lastRenderedPageBreak/>
        <w:t xml:space="preserve">These factors can be used in future </w:t>
      </w:r>
      <w:r w:rsidR="00A10A7A" w:rsidRPr="00D54138">
        <w:rPr>
          <w:rFonts w:ascii="Times New Roman" w:hAnsi="Times New Roman"/>
          <w:sz w:val="24"/>
          <w:szCs w:val="24"/>
        </w:rPr>
        <w:t>studies</w:t>
      </w:r>
      <w:r w:rsidRPr="00D54138">
        <w:rPr>
          <w:rFonts w:ascii="Times New Roman" w:hAnsi="Times New Roman"/>
          <w:sz w:val="24"/>
          <w:szCs w:val="24"/>
        </w:rPr>
        <w:t xml:space="preserve"> on the use of accounting in developing nations and the SME sector. Furthermore, the results of this study reveal that survey methodologies and secondary data predominate in the research (archival). Future </w:t>
      </w:r>
      <w:r w:rsidR="00A10A7A" w:rsidRPr="00D54138">
        <w:rPr>
          <w:rFonts w:ascii="Times New Roman" w:hAnsi="Times New Roman"/>
          <w:sz w:val="24"/>
          <w:szCs w:val="24"/>
        </w:rPr>
        <w:t>studies</w:t>
      </w:r>
      <w:r w:rsidRPr="00D54138">
        <w:rPr>
          <w:rFonts w:ascii="Times New Roman" w:hAnsi="Times New Roman"/>
          <w:sz w:val="24"/>
          <w:szCs w:val="24"/>
        </w:rPr>
        <w:t xml:space="preserve"> could employ a combination of research methods, experimental research methods that can demonstrate causation between dependent and independent variables, and literature evaluation by comparing developed and emerging nations as well as large, medium, and small business </w:t>
      </w:r>
      <w:r w:rsidR="003E5288" w:rsidRPr="00D54138">
        <w:rPr>
          <w:rFonts w:ascii="Times New Roman" w:hAnsi="Times New Roman"/>
          <w:sz w:val="24"/>
          <w:szCs w:val="24"/>
        </w:rPr>
        <w:t>enterprises</w:t>
      </w:r>
      <w:r w:rsidRPr="00D54138">
        <w:rPr>
          <w:rFonts w:ascii="Times New Roman" w:hAnsi="Times New Roman"/>
          <w:sz w:val="24"/>
          <w:szCs w:val="24"/>
        </w:rPr>
        <w:t>.</w:t>
      </w:r>
      <w:r w:rsidR="003E5288" w:rsidRPr="00D54138">
        <w:rPr>
          <w:rFonts w:ascii="Times New Roman" w:hAnsi="Times New Roman"/>
          <w:sz w:val="24"/>
          <w:szCs w:val="24"/>
        </w:rPr>
        <w:t xml:space="preserve"> This study emphasize</w:t>
      </w:r>
      <w:r w:rsidR="00610F65">
        <w:rPr>
          <w:rFonts w:ascii="Times New Roman" w:hAnsi="Times New Roman"/>
          <w:sz w:val="24"/>
          <w:szCs w:val="24"/>
        </w:rPr>
        <w:t>s</w:t>
      </w:r>
      <w:r w:rsidR="003E5288" w:rsidRPr="00D54138">
        <w:rPr>
          <w:rFonts w:ascii="Times New Roman" w:hAnsi="Times New Roman"/>
          <w:sz w:val="24"/>
          <w:szCs w:val="24"/>
        </w:rPr>
        <w:t xml:space="preserve"> advancing environmental protection objectives by encouraging the integration of EMA practices in manufacturing SMEs </w:t>
      </w:r>
      <w:r w:rsidR="003E5288" w:rsidRPr="00D54138">
        <w:rPr>
          <w:rFonts w:ascii="Times New Roman" w:hAnsi="Times New Roman"/>
          <w:sz w:val="24"/>
          <w:szCs w:val="24"/>
        </w:rPr>
        <w:fldChar w:fldCharType="begin" w:fldLock="1"/>
      </w:r>
      <w:r w:rsidR="00FB0B21" w:rsidRPr="00D54138">
        <w:rPr>
          <w:rFonts w:ascii="Times New Roman" w:hAnsi="Times New Roman"/>
          <w:sz w:val="24"/>
          <w:szCs w:val="24"/>
        </w:rPr>
        <w:instrText>ADDIN CSL_CITATION {"citationItems":[{"id":"ITEM-1","itemData":{"DOI":"10.1080/23311975.2023.2296700","ISSN":"23311975","abstract":"Using two theoretical lenses—knowledge-based view (KBV) and the institutional theory—the current study aims to examine the relationship of environmental management accounting (EMA) to environmental performance (FP), in addition to explore the mediating effect of top management support (TMS) and the moderating effect of institutional pressures (IP). A cross-sectional study using a structured questionnaire was conducted on 299 Yemeni manufacturing SMEs. Partial least square structural equation modeling (PLS-SEM) technique via Smart PLS version 4 software was used for the analysis of quantitative data collected from the respondents. The results indicated that EMA positively and directly affects EP, and indirectly through TMS. Additionally, TMS partially mediates the EMA-EP link. More importantly, IP positively moderates the impact of EMA on EP. Furthermore, EP positively affects FP. The theoretical and practical implications of these results are also discussed.","author":[{"dropping-particle":"","family":"Hasan","given":"Saqr Ali Saleh","non-dropping-particle":"","parse-names":false,"suffix":""},{"dropping-particle":"","family":"Waghule","given":"S. N.","non-dropping-particle":"","parse-names":false,"suffix":""},{"dropping-particle":"","family":"Hasan","given":"Murad Baqis","non-dropping-particle":"","parse-names":false,"suffix":""}],"container-title":"Cogent Business and Management","id":"ITEM-1","issue":"1","issued":{"date-parts":[["2024"]]},"page":"-","publisher":"Cogent","title":"Linking environmental management accounting to environmental performance: the role of top management support and institutional pressures","type":"article-journal","volume":"11"},"uris":["http://www.mendeley.com/documents/?uuid=d741deac-4ce1-45e2-ab0f-42f6b308aa79"]}],"mendeley":{"formattedCitation":"(Hasan et al., 2024)","plainTextFormattedCitation":"(Hasan et al., 2024)","previouslyFormattedCitation":"(Hasan et al., 2024)"},"properties":{"noteIndex":0},"schema":"https://github.com/citation-style-language/schema/raw/master/csl-citation.json"}</w:instrText>
      </w:r>
      <w:r w:rsidR="003E5288" w:rsidRPr="00D54138">
        <w:rPr>
          <w:rFonts w:ascii="Times New Roman" w:hAnsi="Times New Roman"/>
          <w:sz w:val="24"/>
          <w:szCs w:val="24"/>
        </w:rPr>
        <w:fldChar w:fldCharType="separate"/>
      </w:r>
      <w:r w:rsidR="003E5288" w:rsidRPr="00D54138">
        <w:rPr>
          <w:rFonts w:ascii="Times New Roman" w:hAnsi="Times New Roman"/>
          <w:noProof/>
          <w:sz w:val="24"/>
          <w:szCs w:val="24"/>
        </w:rPr>
        <w:t>(Hasan et al., 2024)</w:t>
      </w:r>
      <w:r w:rsidR="003E5288" w:rsidRPr="00D54138">
        <w:rPr>
          <w:rFonts w:ascii="Times New Roman" w:hAnsi="Times New Roman"/>
          <w:sz w:val="24"/>
          <w:szCs w:val="24"/>
        </w:rPr>
        <w:fldChar w:fldCharType="end"/>
      </w:r>
      <w:r w:rsidR="003E5288" w:rsidRPr="00D54138">
        <w:rPr>
          <w:rFonts w:ascii="Times New Roman" w:hAnsi="Times New Roman"/>
          <w:sz w:val="24"/>
          <w:szCs w:val="24"/>
        </w:rPr>
        <w:t>.</w:t>
      </w:r>
      <w:r w:rsidRPr="00D54138">
        <w:rPr>
          <w:rFonts w:ascii="Times New Roman" w:hAnsi="Times New Roman"/>
          <w:sz w:val="24"/>
          <w:szCs w:val="24"/>
        </w:rPr>
        <w:t xml:space="preserve"> It is feasible for differences in methods and metrics to provide a clearer picture of the application of environmental management accounting.</w:t>
      </w:r>
    </w:p>
    <w:p w14:paraId="6F24923B" w14:textId="77777777" w:rsidR="00D2442B" w:rsidRPr="00D54138" w:rsidRDefault="00D2442B" w:rsidP="008B44D2">
      <w:pPr>
        <w:spacing w:after="0" w:line="240" w:lineRule="auto"/>
        <w:jc w:val="both"/>
        <w:rPr>
          <w:rFonts w:ascii="Times New Roman" w:eastAsia="Times New Roman" w:hAnsi="Times New Roman"/>
          <w:sz w:val="24"/>
          <w:szCs w:val="24"/>
        </w:rPr>
      </w:pPr>
    </w:p>
    <w:p w14:paraId="3626216C" w14:textId="77777777" w:rsidR="00521AC5" w:rsidRPr="00D54138" w:rsidRDefault="00521AC5" w:rsidP="008B44D2">
      <w:pPr>
        <w:spacing w:after="0" w:line="240" w:lineRule="auto"/>
        <w:jc w:val="both"/>
        <w:rPr>
          <w:rFonts w:ascii="Times New Roman" w:eastAsia="Times New Roman" w:hAnsi="Times New Roman"/>
          <w:b/>
          <w:sz w:val="24"/>
          <w:szCs w:val="24"/>
        </w:rPr>
      </w:pPr>
    </w:p>
    <w:p w14:paraId="2CF1CB76" w14:textId="159E9AA9" w:rsidR="00DB2094" w:rsidRPr="00D54138" w:rsidRDefault="003344A0" w:rsidP="008B44D2">
      <w:pPr>
        <w:spacing w:after="0" w:line="240" w:lineRule="auto"/>
        <w:jc w:val="both"/>
        <w:rPr>
          <w:rFonts w:ascii="Times New Roman" w:eastAsia="Times New Roman" w:hAnsi="Times New Roman"/>
          <w:b/>
          <w:sz w:val="24"/>
          <w:szCs w:val="24"/>
        </w:rPr>
      </w:pPr>
      <w:r w:rsidRPr="00D54138">
        <w:rPr>
          <w:rFonts w:ascii="Times New Roman" w:eastAsia="Times New Roman" w:hAnsi="Times New Roman"/>
          <w:b/>
          <w:sz w:val="24"/>
          <w:szCs w:val="24"/>
        </w:rPr>
        <w:t>REFERENCES</w:t>
      </w:r>
    </w:p>
    <w:p w14:paraId="0F219E20" w14:textId="34818984" w:rsidR="005E5542" w:rsidRPr="00D54138" w:rsidRDefault="00907B46" w:rsidP="008B44D2">
      <w:pPr>
        <w:widowControl w:val="0"/>
        <w:autoSpaceDE w:val="0"/>
        <w:autoSpaceDN w:val="0"/>
        <w:adjustRightInd w:val="0"/>
        <w:spacing w:after="0" w:line="240" w:lineRule="auto"/>
        <w:ind w:left="480" w:hanging="480"/>
        <w:jc w:val="both"/>
        <w:rPr>
          <w:rFonts w:ascii="Times New Roman" w:hAnsi="Times New Roman"/>
          <w:noProof/>
          <w:sz w:val="24"/>
        </w:rPr>
      </w:pPr>
      <w:r w:rsidRPr="00D54138">
        <w:rPr>
          <w:rFonts w:ascii="Times New Roman" w:hAnsi="Times New Roman"/>
          <w:sz w:val="24"/>
          <w:szCs w:val="24"/>
        </w:rPr>
        <w:fldChar w:fldCharType="begin" w:fldLock="1"/>
      </w:r>
      <w:r w:rsidRPr="00D54138">
        <w:rPr>
          <w:rFonts w:ascii="Times New Roman" w:hAnsi="Times New Roman"/>
          <w:sz w:val="24"/>
          <w:szCs w:val="24"/>
        </w:rPr>
        <w:instrText xml:space="preserve">ADDIN Mendeley Bibliography CSL_BIBLIOGRAPHY </w:instrText>
      </w:r>
      <w:r w:rsidRPr="00D54138">
        <w:rPr>
          <w:rFonts w:ascii="Times New Roman" w:hAnsi="Times New Roman"/>
          <w:sz w:val="24"/>
          <w:szCs w:val="24"/>
        </w:rPr>
        <w:fldChar w:fldCharType="separate"/>
      </w:r>
    </w:p>
    <w:p w14:paraId="17BBDCC9" w14:textId="77777777" w:rsidR="005E5542" w:rsidRPr="00D54138" w:rsidRDefault="005E5542" w:rsidP="0029473C">
      <w:pPr>
        <w:pStyle w:val="ListParagraph"/>
        <w:widowControl w:val="0"/>
        <w:numPr>
          <w:ilvl w:val="0"/>
          <w:numId w:val="4"/>
        </w:numPr>
        <w:autoSpaceDE w:val="0"/>
        <w:autoSpaceDN w:val="0"/>
        <w:adjustRightInd w:val="0"/>
        <w:spacing w:after="0" w:line="240" w:lineRule="auto"/>
        <w:jc w:val="both"/>
        <w:rPr>
          <w:rFonts w:ascii="Times New Roman" w:hAnsi="Times New Roman"/>
          <w:noProof/>
          <w:sz w:val="24"/>
        </w:rPr>
      </w:pPr>
      <w:r w:rsidRPr="00D54138">
        <w:rPr>
          <w:rFonts w:ascii="Times New Roman" w:hAnsi="Times New Roman"/>
          <w:noProof/>
          <w:sz w:val="24"/>
        </w:rPr>
        <w:t xml:space="preserve">Agustia, D., Sawarjuwono, T., &amp; Dianawati, W. (2019). The mediating effect of environmental management accounting on green innovation - Firm value relationship. </w:t>
      </w:r>
      <w:r w:rsidRPr="00D54138">
        <w:rPr>
          <w:rFonts w:ascii="Times New Roman" w:hAnsi="Times New Roman"/>
          <w:i/>
          <w:iCs/>
          <w:noProof/>
          <w:sz w:val="24"/>
        </w:rPr>
        <w:t>International Journal of Energy Economics and Policy</w:t>
      </w:r>
      <w:r w:rsidRPr="00D54138">
        <w:rPr>
          <w:rFonts w:ascii="Times New Roman" w:hAnsi="Times New Roman"/>
          <w:noProof/>
          <w:sz w:val="24"/>
        </w:rPr>
        <w:t xml:space="preserve">, </w:t>
      </w:r>
      <w:r w:rsidRPr="00D54138">
        <w:rPr>
          <w:rFonts w:ascii="Times New Roman" w:hAnsi="Times New Roman"/>
          <w:i/>
          <w:iCs/>
          <w:noProof/>
          <w:sz w:val="24"/>
        </w:rPr>
        <w:t>9</w:t>
      </w:r>
      <w:r w:rsidRPr="00D54138">
        <w:rPr>
          <w:rFonts w:ascii="Times New Roman" w:hAnsi="Times New Roman"/>
          <w:noProof/>
          <w:sz w:val="24"/>
        </w:rPr>
        <w:t>(2), 299–306. https://doi.org/10.32479/ijeep.7438</w:t>
      </w:r>
    </w:p>
    <w:p w14:paraId="505DB66C" w14:textId="24A87992" w:rsidR="005E5542" w:rsidRPr="00D54138" w:rsidRDefault="005E5542" w:rsidP="00D54138">
      <w:pPr>
        <w:pStyle w:val="ListParagraph"/>
        <w:widowControl w:val="0"/>
        <w:numPr>
          <w:ilvl w:val="0"/>
          <w:numId w:val="4"/>
        </w:numPr>
        <w:autoSpaceDE w:val="0"/>
        <w:autoSpaceDN w:val="0"/>
        <w:adjustRightInd w:val="0"/>
        <w:spacing w:after="0" w:line="240" w:lineRule="auto"/>
        <w:jc w:val="both"/>
        <w:rPr>
          <w:rFonts w:ascii="Times New Roman" w:hAnsi="Times New Roman"/>
          <w:noProof/>
          <w:color w:val="000000" w:themeColor="text1"/>
          <w:sz w:val="24"/>
        </w:rPr>
      </w:pPr>
      <w:r w:rsidRPr="00D54138">
        <w:rPr>
          <w:rFonts w:ascii="Times New Roman" w:hAnsi="Times New Roman"/>
          <w:noProof/>
          <w:sz w:val="24"/>
        </w:rPr>
        <w:t xml:space="preserve">Ajzen, I. (1991). The theory of planned behavior. </w:t>
      </w:r>
      <w:r w:rsidRPr="00D54138">
        <w:rPr>
          <w:rFonts w:ascii="Times New Roman" w:hAnsi="Times New Roman"/>
          <w:i/>
          <w:iCs/>
          <w:noProof/>
          <w:sz w:val="24"/>
        </w:rPr>
        <w:t>Organizational Behavior and Human Decision Processes</w:t>
      </w:r>
      <w:r w:rsidRPr="00D54138">
        <w:rPr>
          <w:rFonts w:ascii="Times New Roman" w:hAnsi="Times New Roman"/>
          <w:noProof/>
          <w:sz w:val="24"/>
        </w:rPr>
        <w:t xml:space="preserve">, </w:t>
      </w:r>
      <w:r w:rsidRPr="00D54138">
        <w:rPr>
          <w:rFonts w:ascii="Times New Roman" w:hAnsi="Times New Roman"/>
          <w:i/>
          <w:iCs/>
          <w:noProof/>
          <w:sz w:val="24"/>
        </w:rPr>
        <w:t>50</w:t>
      </w:r>
      <w:r w:rsidRPr="00D54138">
        <w:rPr>
          <w:rFonts w:ascii="Times New Roman" w:hAnsi="Times New Roman"/>
          <w:noProof/>
          <w:sz w:val="24"/>
        </w:rPr>
        <w:t>(2), 179–211.</w:t>
      </w:r>
    </w:p>
    <w:p w14:paraId="0D35513C" w14:textId="4C139752" w:rsidR="00D54138" w:rsidRPr="00D54138" w:rsidRDefault="00D54138" w:rsidP="00D54138">
      <w:pPr>
        <w:pStyle w:val="ListParagraph"/>
        <w:widowControl w:val="0"/>
        <w:numPr>
          <w:ilvl w:val="0"/>
          <w:numId w:val="4"/>
        </w:numPr>
        <w:autoSpaceDE w:val="0"/>
        <w:autoSpaceDN w:val="0"/>
        <w:adjustRightInd w:val="0"/>
        <w:spacing w:after="0" w:line="240" w:lineRule="auto"/>
        <w:jc w:val="both"/>
        <w:rPr>
          <w:rFonts w:ascii="Times New Roman" w:hAnsi="Times New Roman"/>
          <w:noProof/>
          <w:color w:val="000000" w:themeColor="text1"/>
          <w:sz w:val="24"/>
        </w:rPr>
      </w:pPr>
      <w:r w:rsidRPr="00D54138">
        <w:rPr>
          <w:rFonts w:ascii="Times New Roman" w:hAnsi="Times New Roman"/>
          <w:noProof/>
          <w:color w:val="000000" w:themeColor="text1"/>
          <w:sz w:val="24"/>
        </w:rPr>
        <w:t xml:space="preserve">Ajzen, I. (2002). Perceived Behavioral Control, Self- Efficacy, Locus of Control, and the Theory of Planned Behavior. </w:t>
      </w:r>
      <w:r w:rsidRPr="00D54138">
        <w:rPr>
          <w:rFonts w:ascii="Times New Roman" w:hAnsi="Times New Roman"/>
          <w:i/>
          <w:iCs/>
          <w:noProof/>
          <w:color w:val="000000" w:themeColor="text1"/>
          <w:sz w:val="24"/>
        </w:rPr>
        <w:t>Journal of Applied Psychology</w:t>
      </w:r>
      <w:r w:rsidRPr="00D54138">
        <w:rPr>
          <w:rFonts w:ascii="Times New Roman" w:hAnsi="Times New Roman"/>
          <w:noProof/>
          <w:color w:val="000000" w:themeColor="text1"/>
          <w:sz w:val="24"/>
        </w:rPr>
        <w:t xml:space="preserve">, </w:t>
      </w:r>
      <w:r w:rsidRPr="00D54138">
        <w:rPr>
          <w:rFonts w:ascii="Times New Roman" w:hAnsi="Times New Roman"/>
          <w:i/>
          <w:iCs/>
          <w:noProof/>
          <w:color w:val="000000" w:themeColor="text1"/>
          <w:sz w:val="24"/>
        </w:rPr>
        <w:t>32</w:t>
      </w:r>
      <w:r w:rsidRPr="00D54138">
        <w:rPr>
          <w:rFonts w:ascii="Times New Roman" w:hAnsi="Times New Roman"/>
          <w:noProof/>
          <w:color w:val="000000" w:themeColor="text1"/>
          <w:sz w:val="24"/>
        </w:rPr>
        <w:t>(4), 665–683.</w:t>
      </w:r>
      <w:r w:rsidRPr="00D54138">
        <w:rPr>
          <w:rStyle w:val="Title"/>
          <w:rFonts w:ascii="Times New Roman" w:hAnsi="Times New Roman"/>
          <w:color w:val="000000" w:themeColor="text1"/>
          <w:sz w:val="21"/>
          <w:szCs w:val="21"/>
          <w:shd w:val="clear" w:color="auto" w:fill="FFFFFF"/>
        </w:rPr>
        <w:t xml:space="preserve"> </w:t>
      </w:r>
      <w:r w:rsidRPr="00D54138">
        <w:rPr>
          <w:rStyle w:val="apple-converted-space"/>
          <w:rFonts w:ascii="Times New Roman" w:hAnsi="Times New Roman"/>
          <w:color w:val="000000" w:themeColor="text1"/>
          <w:sz w:val="21"/>
          <w:szCs w:val="21"/>
          <w:shd w:val="clear" w:color="auto" w:fill="FFFFFF"/>
        </w:rPr>
        <w:t> </w:t>
      </w:r>
      <w:r w:rsidRPr="00D54138">
        <w:rPr>
          <w:rFonts w:ascii="Times New Roman" w:hAnsi="Times New Roman"/>
          <w:color w:val="000000" w:themeColor="text1"/>
          <w:sz w:val="21"/>
          <w:szCs w:val="21"/>
        </w:rPr>
        <w:fldChar w:fldCharType="begin"/>
      </w:r>
      <w:r w:rsidRPr="00D54138">
        <w:rPr>
          <w:rFonts w:ascii="Times New Roman" w:hAnsi="Times New Roman"/>
          <w:color w:val="000000" w:themeColor="text1"/>
          <w:sz w:val="21"/>
          <w:szCs w:val="21"/>
        </w:rPr>
        <w:instrText>HYPERLINK "https://doi.org/10.1111/j.1559-1816.2002.tb00236.x"</w:instrText>
      </w:r>
      <w:r w:rsidRPr="00D54138">
        <w:rPr>
          <w:rFonts w:ascii="Times New Roman" w:hAnsi="Times New Roman"/>
          <w:color w:val="000000" w:themeColor="text1"/>
          <w:sz w:val="21"/>
          <w:szCs w:val="21"/>
        </w:rPr>
      </w:r>
      <w:r w:rsidRPr="00D54138">
        <w:rPr>
          <w:rFonts w:ascii="Times New Roman" w:hAnsi="Times New Roman"/>
          <w:color w:val="000000" w:themeColor="text1"/>
          <w:sz w:val="21"/>
          <w:szCs w:val="21"/>
        </w:rPr>
        <w:fldChar w:fldCharType="separate"/>
      </w:r>
      <w:r w:rsidRPr="00D54138">
        <w:rPr>
          <w:rStyle w:val="Hyperlink"/>
          <w:rFonts w:ascii="Times New Roman" w:hAnsi="Times New Roman"/>
          <w:b/>
          <w:bCs/>
          <w:color w:val="000000" w:themeColor="text1"/>
          <w:sz w:val="21"/>
          <w:szCs w:val="21"/>
          <w:u w:val="none"/>
        </w:rPr>
        <w:t>https://doi.org/10.1111/j.1559-1816.2002.tb00236.x</w:t>
      </w:r>
      <w:r w:rsidRPr="00D54138">
        <w:rPr>
          <w:rFonts w:ascii="Times New Roman" w:hAnsi="Times New Roman"/>
          <w:color w:val="000000" w:themeColor="text1"/>
          <w:sz w:val="21"/>
          <w:szCs w:val="21"/>
        </w:rPr>
        <w:fldChar w:fldCharType="end"/>
      </w:r>
    </w:p>
    <w:p w14:paraId="362C3E9A" w14:textId="77777777" w:rsidR="005E5542" w:rsidRPr="00D54138" w:rsidRDefault="005E5542" w:rsidP="0029473C">
      <w:pPr>
        <w:pStyle w:val="ListParagraph"/>
        <w:widowControl w:val="0"/>
        <w:numPr>
          <w:ilvl w:val="0"/>
          <w:numId w:val="4"/>
        </w:numPr>
        <w:autoSpaceDE w:val="0"/>
        <w:autoSpaceDN w:val="0"/>
        <w:adjustRightInd w:val="0"/>
        <w:spacing w:after="0" w:line="240" w:lineRule="auto"/>
        <w:jc w:val="both"/>
        <w:rPr>
          <w:rFonts w:ascii="Times New Roman" w:hAnsi="Times New Roman"/>
          <w:noProof/>
          <w:color w:val="000000" w:themeColor="text1"/>
          <w:sz w:val="24"/>
        </w:rPr>
      </w:pPr>
      <w:r w:rsidRPr="00D54138">
        <w:rPr>
          <w:rFonts w:ascii="Times New Roman" w:hAnsi="Times New Roman"/>
          <w:noProof/>
          <w:color w:val="000000" w:themeColor="text1"/>
          <w:sz w:val="24"/>
        </w:rPr>
        <w:t xml:space="preserve">Al-Mawali, H., Al Sharif, A., Abu Rumman, G., &amp; Kerzan, F. (2018). Environmental Strategy, Environmental Management Accounting and organizational performance: Evidence from the United Arab Emirates Market. </w:t>
      </w:r>
      <w:r w:rsidRPr="00D54138">
        <w:rPr>
          <w:rFonts w:ascii="Times New Roman" w:hAnsi="Times New Roman"/>
          <w:i/>
          <w:iCs/>
          <w:noProof/>
          <w:color w:val="000000" w:themeColor="text1"/>
          <w:sz w:val="24"/>
        </w:rPr>
        <w:t>Journal of Environmental Accounting and Management</w:t>
      </w:r>
      <w:r w:rsidRPr="00D54138">
        <w:rPr>
          <w:rFonts w:ascii="Times New Roman" w:hAnsi="Times New Roman"/>
          <w:noProof/>
          <w:color w:val="000000" w:themeColor="text1"/>
          <w:sz w:val="24"/>
        </w:rPr>
        <w:t xml:space="preserve">, </w:t>
      </w:r>
      <w:r w:rsidRPr="00D54138">
        <w:rPr>
          <w:rFonts w:ascii="Times New Roman" w:hAnsi="Times New Roman"/>
          <w:i/>
          <w:iCs/>
          <w:noProof/>
          <w:color w:val="000000" w:themeColor="text1"/>
          <w:sz w:val="24"/>
        </w:rPr>
        <w:t>6</w:t>
      </w:r>
      <w:r w:rsidRPr="00D54138">
        <w:rPr>
          <w:rFonts w:ascii="Times New Roman" w:hAnsi="Times New Roman"/>
          <w:noProof/>
          <w:color w:val="000000" w:themeColor="text1"/>
          <w:sz w:val="24"/>
        </w:rPr>
        <w:t>(2), 105–114. https://doi.org/10.5890/JEAM.2018.06.002</w:t>
      </w:r>
    </w:p>
    <w:p w14:paraId="5A6A6CF7" w14:textId="77777777" w:rsidR="005E5542" w:rsidRPr="00D54138" w:rsidRDefault="005E5542" w:rsidP="0029473C">
      <w:pPr>
        <w:pStyle w:val="ListParagraph"/>
        <w:widowControl w:val="0"/>
        <w:numPr>
          <w:ilvl w:val="0"/>
          <w:numId w:val="4"/>
        </w:numPr>
        <w:autoSpaceDE w:val="0"/>
        <w:autoSpaceDN w:val="0"/>
        <w:adjustRightInd w:val="0"/>
        <w:spacing w:after="0" w:line="240" w:lineRule="auto"/>
        <w:jc w:val="both"/>
        <w:rPr>
          <w:rFonts w:ascii="Times New Roman" w:hAnsi="Times New Roman"/>
          <w:noProof/>
          <w:color w:val="000000" w:themeColor="text1"/>
          <w:sz w:val="24"/>
        </w:rPr>
      </w:pPr>
      <w:r w:rsidRPr="00D54138">
        <w:rPr>
          <w:rFonts w:ascii="Times New Roman" w:hAnsi="Times New Roman"/>
          <w:noProof/>
          <w:color w:val="000000" w:themeColor="text1"/>
          <w:sz w:val="24"/>
        </w:rPr>
        <w:t xml:space="preserve">Appiah, B. K., Donghui, Z., Majumder, S. C., &amp; Monaheng, M. P. (2020). Effects of environmental strategy, uncertainty and top management commitment on the environmental performance: Role of environmental management accounting and environmental management control system. In </w:t>
      </w:r>
      <w:r w:rsidRPr="00D54138">
        <w:rPr>
          <w:rFonts w:ascii="Times New Roman" w:hAnsi="Times New Roman"/>
          <w:i/>
          <w:iCs/>
          <w:noProof/>
          <w:color w:val="000000" w:themeColor="text1"/>
          <w:sz w:val="24"/>
        </w:rPr>
        <w:t>International Journal of Energy Economics and Policy</w:t>
      </w:r>
      <w:r w:rsidRPr="00D54138">
        <w:rPr>
          <w:rFonts w:ascii="Times New Roman" w:hAnsi="Times New Roman"/>
          <w:noProof/>
          <w:color w:val="000000" w:themeColor="text1"/>
          <w:sz w:val="24"/>
        </w:rPr>
        <w:t xml:space="preserve"> (Vol. 10, Issue 1, pp. 360–370). zbw.eu. https://doi.org/10.32479/ijeep.8697</w:t>
      </w:r>
    </w:p>
    <w:p w14:paraId="3FE32376" w14:textId="77777777" w:rsidR="005E5542" w:rsidRPr="00D54138" w:rsidRDefault="005E5542" w:rsidP="0029473C">
      <w:pPr>
        <w:pStyle w:val="ListParagraph"/>
        <w:widowControl w:val="0"/>
        <w:numPr>
          <w:ilvl w:val="0"/>
          <w:numId w:val="4"/>
        </w:numPr>
        <w:autoSpaceDE w:val="0"/>
        <w:autoSpaceDN w:val="0"/>
        <w:adjustRightInd w:val="0"/>
        <w:spacing w:after="0" w:line="240" w:lineRule="auto"/>
        <w:jc w:val="both"/>
        <w:rPr>
          <w:rFonts w:ascii="Times New Roman" w:hAnsi="Times New Roman"/>
          <w:noProof/>
          <w:color w:val="000000" w:themeColor="text1"/>
          <w:sz w:val="24"/>
        </w:rPr>
      </w:pPr>
      <w:r w:rsidRPr="00D54138">
        <w:rPr>
          <w:rFonts w:ascii="Times New Roman" w:hAnsi="Times New Roman"/>
          <w:noProof/>
          <w:color w:val="000000" w:themeColor="text1"/>
          <w:sz w:val="24"/>
        </w:rPr>
        <w:t xml:space="preserve">Asiaei, K., Bontis, N., Alizadeh, R., &amp; Yaghoubi, M. (2022). Green intellectual capital and environmental management accounting: Natural resource orchestration in favor of environmental performance. </w:t>
      </w:r>
      <w:r w:rsidRPr="00D54138">
        <w:rPr>
          <w:rFonts w:ascii="Times New Roman" w:hAnsi="Times New Roman"/>
          <w:i/>
          <w:iCs/>
          <w:noProof/>
          <w:color w:val="000000" w:themeColor="text1"/>
          <w:sz w:val="24"/>
        </w:rPr>
        <w:t>Business Strategy and the Environment</w:t>
      </w:r>
      <w:r w:rsidRPr="00D54138">
        <w:rPr>
          <w:rFonts w:ascii="Times New Roman" w:hAnsi="Times New Roman"/>
          <w:noProof/>
          <w:color w:val="000000" w:themeColor="text1"/>
          <w:sz w:val="24"/>
        </w:rPr>
        <w:t xml:space="preserve">, </w:t>
      </w:r>
      <w:r w:rsidRPr="00D54138">
        <w:rPr>
          <w:rFonts w:ascii="Times New Roman" w:hAnsi="Times New Roman"/>
          <w:i/>
          <w:iCs/>
          <w:noProof/>
          <w:color w:val="000000" w:themeColor="text1"/>
          <w:sz w:val="24"/>
        </w:rPr>
        <w:t>31</w:t>
      </w:r>
      <w:r w:rsidRPr="00D54138">
        <w:rPr>
          <w:rFonts w:ascii="Times New Roman" w:hAnsi="Times New Roman"/>
          <w:noProof/>
          <w:color w:val="000000" w:themeColor="text1"/>
          <w:sz w:val="24"/>
        </w:rPr>
        <w:t>(1), 76–93. https://doi.org/10.1002/bse.2875</w:t>
      </w:r>
    </w:p>
    <w:p w14:paraId="07D436A5" w14:textId="77777777" w:rsidR="005E5542" w:rsidRPr="00D54138" w:rsidRDefault="005E5542" w:rsidP="0029473C">
      <w:pPr>
        <w:pStyle w:val="ListParagraph"/>
        <w:widowControl w:val="0"/>
        <w:numPr>
          <w:ilvl w:val="0"/>
          <w:numId w:val="4"/>
        </w:numPr>
        <w:autoSpaceDE w:val="0"/>
        <w:autoSpaceDN w:val="0"/>
        <w:adjustRightInd w:val="0"/>
        <w:spacing w:after="0" w:line="240" w:lineRule="auto"/>
        <w:jc w:val="both"/>
        <w:rPr>
          <w:rFonts w:ascii="Times New Roman" w:hAnsi="Times New Roman"/>
          <w:noProof/>
          <w:color w:val="000000" w:themeColor="text1"/>
          <w:sz w:val="24"/>
        </w:rPr>
      </w:pPr>
      <w:r w:rsidRPr="00D54138">
        <w:rPr>
          <w:rFonts w:ascii="Times New Roman" w:hAnsi="Times New Roman"/>
          <w:noProof/>
          <w:color w:val="000000" w:themeColor="text1"/>
          <w:sz w:val="24"/>
        </w:rPr>
        <w:t xml:space="preserve">Baquero, A. (2024). Linking green entrepreneurial orientation and ambidextrous green innovation to stimulate green performance: a moderated mediation approach. </w:t>
      </w:r>
      <w:r w:rsidRPr="00D54138">
        <w:rPr>
          <w:rFonts w:ascii="Times New Roman" w:hAnsi="Times New Roman"/>
          <w:i/>
          <w:iCs/>
          <w:noProof/>
          <w:color w:val="000000" w:themeColor="text1"/>
          <w:sz w:val="24"/>
        </w:rPr>
        <w:t>Business Process Management Journal</w:t>
      </w:r>
      <w:r w:rsidRPr="00D54138">
        <w:rPr>
          <w:rFonts w:ascii="Times New Roman" w:hAnsi="Times New Roman"/>
          <w:noProof/>
          <w:color w:val="000000" w:themeColor="text1"/>
          <w:sz w:val="24"/>
        </w:rPr>
        <w:t xml:space="preserve">, </w:t>
      </w:r>
      <w:r w:rsidRPr="00D54138">
        <w:rPr>
          <w:rFonts w:ascii="Times New Roman" w:hAnsi="Times New Roman"/>
          <w:i/>
          <w:iCs/>
          <w:noProof/>
          <w:color w:val="000000" w:themeColor="text1"/>
          <w:sz w:val="24"/>
        </w:rPr>
        <w:t>30</w:t>
      </w:r>
      <w:r w:rsidRPr="00D54138">
        <w:rPr>
          <w:rFonts w:ascii="Times New Roman" w:hAnsi="Times New Roman"/>
          <w:noProof/>
          <w:color w:val="000000" w:themeColor="text1"/>
          <w:sz w:val="24"/>
        </w:rPr>
        <w:t>(8), 71–98. https://doi.org/10.1108/BPMJ-09-2023-0703</w:t>
      </w:r>
    </w:p>
    <w:p w14:paraId="73410412" w14:textId="77777777" w:rsidR="005E5542" w:rsidRPr="00D54138" w:rsidRDefault="005E5542" w:rsidP="0029473C">
      <w:pPr>
        <w:pStyle w:val="ListParagraph"/>
        <w:widowControl w:val="0"/>
        <w:numPr>
          <w:ilvl w:val="0"/>
          <w:numId w:val="4"/>
        </w:numPr>
        <w:autoSpaceDE w:val="0"/>
        <w:autoSpaceDN w:val="0"/>
        <w:adjustRightInd w:val="0"/>
        <w:spacing w:after="0" w:line="240" w:lineRule="auto"/>
        <w:jc w:val="both"/>
        <w:rPr>
          <w:rFonts w:ascii="Times New Roman" w:hAnsi="Times New Roman"/>
          <w:noProof/>
          <w:color w:val="000000" w:themeColor="text1"/>
          <w:sz w:val="24"/>
        </w:rPr>
      </w:pPr>
      <w:r w:rsidRPr="00D54138">
        <w:rPr>
          <w:rFonts w:ascii="Times New Roman" w:hAnsi="Times New Roman"/>
          <w:noProof/>
          <w:color w:val="000000" w:themeColor="text1"/>
          <w:sz w:val="24"/>
        </w:rPr>
        <w:t xml:space="preserve">Barney, J. B. (2001). Resource-based theories of competitive advantage: A ten-year retrospective on the resource-based view. </w:t>
      </w:r>
      <w:r w:rsidRPr="00D54138">
        <w:rPr>
          <w:rFonts w:ascii="Times New Roman" w:hAnsi="Times New Roman"/>
          <w:i/>
          <w:iCs/>
          <w:noProof/>
          <w:color w:val="000000" w:themeColor="text1"/>
          <w:sz w:val="24"/>
        </w:rPr>
        <w:t>Journal of Management</w:t>
      </w:r>
      <w:r w:rsidRPr="00D54138">
        <w:rPr>
          <w:rFonts w:ascii="Times New Roman" w:hAnsi="Times New Roman"/>
          <w:noProof/>
          <w:color w:val="000000" w:themeColor="text1"/>
          <w:sz w:val="24"/>
        </w:rPr>
        <w:t xml:space="preserve">, </w:t>
      </w:r>
      <w:r w:rsidRPr="00D54138">
        <w:rPr>
          <w:rFonts w:ascii="Times New Roman" w:hAnsi="Times New Roman"/>
          <w:i/>
          <w:iCs/>
          <w:noProof/>
          <w:color w:val="000000" w:themeColor="text1"/>
          <w:sz w:val="24"/>
        </w:rPr>
        <w:t>27</w:t>
      </w:r>
      <w:r w:rsidRPr="00D54138">
        <w:rPr>
          <w:rFonts w:ascii="Times New Roman" w:hAnsi="Times New Roman"/>
          <w:noProof/>
          <w:color w:val="000000" w:themeColor="text1"/>
          <w:sz w:val="24"/>
        </w:rPr>
        <w:t>(6), 643–650. https://doi.org/10.1177/014920630102700602</w:t>
      </w:r>
    </w:p>
    <w:p w14:paraId="20462638" w14:textId="77777777" w:rsidR="005E5542" w:rsidRPr="00D54138" w:rsidRDefault="005E5542" w:rsidP="0029473C">
      <w:pPr>
        <w:pStyle w:val="ListParagraph"/>
        <w:widowControl w:val="0"/>
        <w:numPr>
          <w:ilvl w:val="0"/>
          <w:numId w:val="4"/>
        </w:numPr>
        <w:autoSpaceDE w:val="0"/>
        <w:autoSpaceDN w:val="0"/>
        <w:adjustRightInd w:val="0"/>
        <w:spacing w:after="0" w:line="240" w:lineRule="auto"/>
        <w:jc w:val="both"/>
        <w:rPr>
          <w:rFonts w:ascii="Times New Roman" w:hAnsi="Times New Roman"/>
          <w:noProof/>
          <w:color w:val="000000" w:themeColor="text1"/>
          <w:sz w:val="24"/>
        </w:rPr>
      </w:pPr>
      <w:r w:rsidRPr="00D54138">
        <w:rPr>
          <w:rFonts w:ascii="Times New Roman" w:hAnsi="Times New Roman"/>
          <w:noProof/>
          <w:color w:val="000000" w:themeColor="text1"/>
          <w:sz w:val="24"/>
        </w:rPr>
        <w:t xml:space="preserve">Boxtel, A. J. B. Van, Perez-lopez, P., Breitmayer, E., &amp; Slegers, P. M. (2015). The potential of optimized process design to advance LCA performance of algae production systems. </w:t>
      </w:r>
      <w:r w:rsidRPr="00D54138">
        <w:rPr>
          <w:rFonts w:ascii="Times New Roman" w:hAnsi="Times New Roman"/>
          <w:i/>
          <w:iCs/>
          <w:noProof/>
          <w:color w:val="000000" w:themeColor="text1"/>
          <w:sz w:val="24"/>
        </w:rPr>
        <w:t>APPLIED ENERGY</w:t>
      </w:r>
      <w:r w:rsidRPr="00D54138">
        <w:rPr>
          <w:rFonts w:ascii="Times New Roman" w:hAnsi="Times New Roman"/>
          <w:noProof/>
          <w:color w:val="000000" w:themeColor="text1"/>
          <w:sz w:val="24"/>
        </w:rPr>
        <w:t>, 1–6. https://doi.org/10.1016/j.apenergy.2015.01.036</w:t>
      </w:r>
    </w:p>
    <w:p w14:paraId="3E34F99A" w14:textId="77777777" w:rsidR="005E5542" w:rsidRPr="00D54138" w:rsidRDefault="005E5542" w:rsidP="0029473C">
      <w:pPr>
        <w:pStyle w:val="ListParagraph"/>
        <w:widowControl w:val="0"/>
        <w:numPr>
          <w:ilvl w:val="0"/>
          <w:numId w:val="4"/>
        </w:numPr>
        <w:autoSpaceDE w:val="0"/>
        <w:autoSpaceDN w:val="0"/>
        <w:adjustRightInd w:val="0"/>
        <w:spacing w:after="0" w:line="240" w:lineRule="auto"/>
        <w:jc w:val="both"/>
        <w:rPr>
          <w:rFonts w:ascii="Times New Roman" w:hAnsi="Times New Roman"/>
          <w:noProof/>
          <w:color w:val="000000" w:themeColor="text1"/>
          <w:sz w:val="24"/>
        </w:rPr>
      </w:pPr>
      <w:r w:rsidRPr="00D54138">
        <w:rPr>
          <w:rFonts w:ascii="Times New Roman" w:hAnsi="Times New Roman"/>
          <w:noProof/>
          <w:color w:val="000000" w:themeColor="text1"/>
          <w:sz w:val="24"/>
        </w:rPr>
        <w:t xml:space="preserve">Burritt, R. L., &amp; Christ, K. L. (2017). The need for monetary information within corporate water accounting. In </w:t>
      </w:r>
      <w:r w:rsidRPr="00D54138">
        <w:rPr>
          <w:rFonts w:ascii="Times New Roman" w:hAnsi="Times New Roman"/>
          <w:i/>
          <w:iCs/>
          <w:noProof/>
          <w:color w:val="000000" w:themeColor="text1"/>
          <w:sz w:val="24"/>
        </w:rPr>
        <w:t>Journal of Environmental Management</w:t>
      </w:r>
      <w:r w:rsidRPr="00D54138">
        <w:rPr>
          <w:rFonts w:ascii="Times New Roman" w:hAnsi="Times New Roman"/>
          <w:noProof/>
          <w:color w:val="000000" w:themeColor="text1"/>
          <w:sz w:val="24"/>
        </w:rPr>
        <w:t xml:space="preserve"> (Vol. 201, pp. 72–81). Academic Press. https://doi.org/10.1016/j.jenvman.2017.06.035</w:t>
      </w:r>
    </w:p>
    <w:p w14:paraId="115858D2" w14:textId="77777777" w:rsidR="005E5542" w:rsidRPr="00D54138" w:rsidRDefault="005E5542" w:rsidP="0029473C">
      <w:pPr>
        <w:pStyle w:val="ListParagraph"/>
        <w:widowControl w:val="0"/>
        <w:numPr>
          <w:ilvl w:val="0"/>
          <w:numId w:val="4"/>
        </w:numPr>
        <w:autoSpaceDE w:val="0"/>
        <w:autoSpaceDN w:val="0"/>
        <w:adjustRightInd w:val="0"/>
        <w:spacing w:after="0" w:line="240" w:lineRule="auto"/>
        <w:jc w:val="both"/>
        <w:rPr>
          <w:rFonts w:ascii="Times New Roman" w:hAnsi="Times New Roman"/>
          <w:noProof/>
          <w:color w:val="000000" w:themeColor="text1"/>
          <w:sz w:val="24"/>
        </w:rPr>
      </w:pPr>
      <w:r w:rsidRPr="00D54138">
        <w:rPr>
          <w:rFonts w:ascii="Times New Roman" w:hAnsi="Times New Roman"/>
          <w:noProof/>
          <w:color w:val="000000" w:themeColor="text1"/>
          <w:sz w:val="24"/>
        </w:rPr>
        <w:t xml:space="preserve">Chang, H.-C. (2007). </w:t>
      </w:r>
      <w:r w:rsidRPr="00D54138">
        <w:rPr>
          <w:rFonts w:ascii="Times New Roman" w:hAnsi="Times New Roman"/>
          <w:i/>
          <w:iCs/>
          <w:noProof/>
          <w:color w:val="000000" w:themeColor="text1"/>
          <w:sz w:val="24"/>
        </w:rPr>
        <w:t>Environmental management accounting within universities: current state and future potential</w:t>
      </w:r>
      <w:r w:rsidRPr="00D54138">
        <w:rPr>
          <w:rFonts w:ascii="Times New Roman" w:hAnsi="Times New Roman"/>
          <w:noProof/>
          <w:color w:val="000000" w:themeColor="text1"/>
          <w:sz w:val="24"/>
        </w:rPr>
        <w:t>. RMIT University.</w:t>
      </w:r>
    </w:p>
    <w:p w14:paraId="05543BE5" w14:textId="77777777" w:rsidR="005E5542" w:rsidRPr="00D54138" w:rsidRDefault="005E5542" w:rsidP="0029473C">
      <w:pPr>
        <w:pStyle w:val="ListParagraph"/>
        <w:widowControl w:val="0"/>
        <w:numPr>
          <w:ilvl w:val="0"/>
          <w:numId w:val="4"/>
        </w:numPr>
        <w:autoSpaceDE w:val="0"/>
        <w:autoSpaceDN w:val="0"/>
        <w:adjustRightInd w:val="0"/>
        <w:spacing w:after="0" w:line="240" w:lineRule="auto"/>
        <w:jc w:val="both"/>
        <w:rPr>
          <w:rFonts w:ascii="Times New Roman" w:hAnsi="Times New Roman"/>
          <w:noProof/>
          <w:color w:val="000000" w:themeColor="text1"/>
          <w:sz w:val="24"/>
        </w:rPr>
      </w:pPr>
      <w:r w:rsidRPr="00D54138">
        <w:rPr>
          <w:rFonts w:ascii="Times New Roman" w:hAnsi="Times New Roman"/>
          <w:noProof/>
          <w:color w:val="000000" w:themeColor="text1"/>
          <w:sz w:val="24"/>
        </w:rPr>
        <w:t xml:space="preserve">Chapman, C. S. (1997). Reflections on a contingent view of accounting. </w:t>
      </w:r>
      <w:r w:rsidRPr="00D54138">
        <w:rPr>
          <w:rFonts w:ascii="Times New Roman" w:hAnsi="Times New Roman"/>
          <w:i/>
          <w:iCs/>
          <w:noProof/>
          <w:color w:val="000000" w:themeColor="text1"/>
          <w:sz w:val="24"/>
        </w:rPr>
        <w:t>Accounting, Organizations and Society</w:t>
      </w:r>
      <w:r w:rsidRPr="00D54138">
        <w:rPr>
          <w:rFonts w:ascii="Times New Roman" w:hAnsi="Times New Roman"/>
          <w:noProof/>
          <w:color w:val="000000" w:themeColor="text1"/>
          <w:sz w:val="24"/>
        </w:rPr>
        <w:t xml:space="preserve">, </w:t>
      </w:r>
      <w:r w:rsidRPr="00D54138">
        <w:rPr>
          <w:rFonts w:ascii="Times New Roman" w:hAnsi="Times New Roman"/>
          <w:i/>
          <w:iCs/>
          <w:noProof/>
          <w:color w:val="000000" w:themeColor="text1"/>
          <w:sz w:val="24"/>
        </w:rPr>
        <w:t>22</w:t>
      </w:r>
      <w:r w:rsidRPr="00D54138">
        <w:rPr>
          <w:rFonts w:ascii="Times New Roman" w:hAnsi="Times New Roman"/>
          <w:noProof/>
          <w:color w:val="000000" w:themeColor="text1"/>
          <w:sz w:val="24"/>
        </w:rPr>
        <w:t>(2), 189–205.</w:t>
      </w:r>
    </w:p>
    <w:p w14:paraId="0B8A7E3C" w14:textId="77777777" w:rsidR="005E5542" w:rsidRPr="00D54138" w:rsidRDefault="005E5542" w:rsidP="0029473C">
      <w:pPr>
        <w:pStyle w:val="ListParagraph"/>
        <w:widowControl w:val="0"/>
        <w:numPr>
          <w:ilvl w:val="0"/>
          <w:numId w:val="4"/>
        </w:numPr>
        <w:autoSpaceDE w:val="0"/>
        <w:autoSpaceDN w:val="0"/>
        <w:adjustRightInd w:val="0"/>
        <w:spacing w:after="0" w:line="240" w:lineRule="auto"/>
        <w:jc w:val="both"/>
        <w:rPr>
          <w:rFonts w:ascii="Times New Roman" w:hAnsi="Times New Roman"/>
          <w:noProof/>
          <w:color w:val="000000" w:themeColor="text1"/>
          <w:sz w:val="24"/>
        </w:rPr>
      </w:pPr>
      <w:r w:rsidRPr="00D54138">
        <w:rPr>
          <w:rFonts w:ascii="Times New Roman" w:hAnsi="Times New Roman"/>
          <w:noProof/>
          <w:color w:val="000000" w:themeColor="text1"/>
          <w:sz w:val="24"/>
        </w:rPr>
        <w:t xml:space="preserve">Chaudhry, N. I., &amp; Amir, M. (2020). From institutional pressure to the sustainable development of firm: Role of environmental management accounting implementation and environmental proactivity. </w:t>
      </w:r>
      <w:r w:rsidRPr="00D54138">
        <w:rPr>
          <w:rFonts w:ascii="Times New Roman" w:hAnsi="Times New Roman"/>
          <w:i/>
          <w:iCs/>
          <w:noProof/>
          <w:color w:val="000000" w:themeColor="text1"/>
          <w:sz w:val="24"/>
        </w:rPr>
        <w:t>Business Strategy and the Environment</w:t>
      </w:r>
      <w:r w:rsidRPr="00D54138">
        <w:rPr>
          <w:rFonts w:ascii="Times New Roman" w:hAnsi="Times New Roman"/>
          <w:noProof/>
          <w:color w:val="000000" w:themeColor="text1"/>
          <w:sz w:val="24"/>
        </w:rPr>
        <w:t xml:space="preserve">, </w:t>
      </w:r>
      <w:r w:rsidRPr="00D54138">
        <w:rPr>
          <w:rFonts w:ascii="Times New Roman" w:hAnsi="Times New Roman"/>
          <w:i/>
          <w:iCs/>
          <w:noProof/>
          <w:color w:val="000000" w:themeColor="text1"/>
          <w:sz w:val="24"/>
        </w:rPr>
        <w:t>29</w:t>
      </w:r>
      <w:r w:rsidRPr="00D54138">
        <w:rPr>
          <w:rFonts w:ascii="Times New Roman" w:hAnsi="Times New Roman"/>
          <w:noProof/>
          <w:color w:val="000000" w:themeColor="text1"/>
          <w:sz w:val="24"/>
        </w:rPr>
        <w:t>(8), 3542–3554. https://doi.org/10.1002/bse.2595</w:t>
      </w:r>
    </w:p>
    <w:p w14:paraId="5B19868F" w14:textId="77777777" w:rsidR="005E5542" w:rsidRPr="00D54138" w:rsidRDefault="005E5542" w:rsidP="0029473C">
      <w:pPr>
        <w:pStyle w:val="ListParagraph"/>
        <w:widowControl w:val="0"/>
        <w:numPr>
          <w:ilvl w:val="0"/>
          <w:numId w:val="4"/>
        </w:numPr>
        <w:autoSpaceDE w:val="0"/>
        <w:autoSpaceDN w:val="0"/>
        <w:adjustRightInd w:val="0"/>
        <w:spacing w:after="0" w:line="240" w:lineRule="auto"/>
        <w:jc w:val="both"/>
        <w:rPr>
          <w:rFonts w:ascii="Times New Roman" w:hAnsi="Times New Roman"/>
          <w:noProof/>
          <w:color w:val="000000" w:themeColor="text1"/>
          <w:sz w:val="24"/>
        </w:rPr>
      </w:pPr>
      <w:r w:rsidRPr="00D54138">
        <w:rPr>
          <w:rFonts w:ascii="Times New Roman" w:hAnsi="Times New Roman"/>
          <w:noProof/>
          <w:color w:val="000000" w:themeColor="text1"/>
          <w:sz w:val="24"/>
        </w:rPr>
        <w:t xml:space="preserve">Chaudhry, N. I., Asad, H., Ch, M. A., &amp; Hussian, R. I. (2020). Environmental innovation and financial performance: Mediating role of environmental management accounting and firm’s environmental strategy. </w:t>
      </w:r>
      <w:r w:rsidRPr="00D54138">
        <w:rPr>
          <w:rFonts w:ascii="Times New Roman" w:hAnsi="Times New Roman"/>
          <w:i/>
          <w:iCs/>
          <w:noProof/>
          <w:color w:val="000000" w:themeColor="text1"/>
          <w:sz w:val="24"/>
        </w:rPr>
        <w:t>Pakistan Journal of Commerce and Social Science</w:t>
      </w:r>
      <w:r w:rsidRPr="00D54138">
        <w:rPr>
          <w:rFonts w:ascii="Times New Roman" w:hAnsi="Times New Roman"/>
          <w:noProof/>
          <w:color w:val="000000" w:themeColor="text1"/>
          <w:sz w:val="24"/>
        </w:rPr>
        <w:t xml:space="preserve">, </w:t>
      </w:r>
      <w:r w:rsidRPr="00D54138">
        <w:rPr>
          <w:rFonts w:ascii="Times New Roman" w:hAnsi="Times New Roman"/>
          <w:i/>
          <w:iCs/>
          <w:noProof/>
          <w:color w:val="000000" w:themeColor="text1"/>
          <w:sz w:val="24"/>
        </w:rPr>
        <w:t>14</w:t>
      </w:r>
      <w:r w:rsidRPr="00D54138">
        <w:rPr>
          <w:rFonts w:ascii="Times New Roman" w:hAnsi="Times New Roman"/>
          <w:noProof/>
          <w:color w:val="000000" w:themeColor="text1"/>
          <w:sz w:val="24"/>
        </w:rPr>
        <w:t>(3), 715–737.</w:t>
      </w:r>
    </w:p>
    <w:p w14:paraId="7D4BEFB7" w14:textId="77777777" w:rsidR="005E5542" w:rsidRPr="00D54138" w:rsidRDefault="005E5542" w:rsidP="0029473C">
      <w:pPr>
        <w:pStyle w:val="ListParagraph"/>
        <w:widowControl w:val="0"/>
        <w:numPr>
          <w:ilvl w:val="0"/>
          <w:numId w:val="4"/>
        </w:numPr>
        <w:autoSpaceDE w:val="0"/>
        <w:autoSpaceDN w:val="0"/>
        <w:adjustRightInd w:val="0"/>
        <w:spacing w:after="0" w:line="240" w:lineRule="auto"/>
        <w:jc w:val="both"/>
        <w:rPr>
          <w:rFonts w:ascii="Times New Roman" w:hAnsi="Times New Roman"/>
          <w:noProof/>
          <w:color w:val="000000" w:themeColor="text1"/>
          <w:sz w:val="24"/>
        </w:rPr>
      </w:pPr>
      <w:r w:rsidRPr="00D54138">
        <w:rPr>
          <w:rFonts w:ascii="Times New Roman" w:hAnsi="Times New Roman"/>
          <w:noProof/>
          <w:color w:val="000000" w:themeColor="text1"/>
          <w:sz w:val="24"/>
        </w:rPr>
        <w:lastRenderedPageBreak/>
        <w:t xml:space="preserve">Chenhall, R. H. (2003). Management control systems design within its organizational context: findings from contingency-based research and directions for the future. </w:t>
      </w:r>
      <w:r w:rsidRPr="00D54138">
        <w:rPr>
          <w:rFonts w:ascii="Times New Roman" w:hAnsi="Times New Roman"/>
          <w:i/>
          <w:iCs/>
          <w:noProof/>
          <w:color w:val="000000" w:themeColor="text1"/>
          <w:sz w:val="24"/>
        </w:rPr>
        <w:t>Accounting, Organizations and Society</w:t>
      </w:r>
      <w:r w:rsidRPr="00D54138">
        <w:rPr>
          <w:rFonts w:ascii="Times New Roman" w:hAnsi="Times New Roman"/>
          <w:noProof/>
          <w:color w:val="000000" w:themeColor="text1"/>
          <w:sz w:val="24"/>
        </w:rPr>
        <w:t xml:space="preserve">, </w:t>
      </w:r>
      <w:r w:rsidRPr="00D54138">
        <w:rPr>
          <w:rFonts w:ascii="Times New Roman" w:hAnsi="Times New Roman"/>
          <w:i/>
          <w:iCs/>
          <w:noProof/>
          <w:color w:val="000000" w:themeColor="text1"/>
          <w:sz w:val="24"/>
        </w:rPr>
        <w:t>28</w:t>
      </w:r>
      <w:r w:rsidRPr="00D54138">
        <w:rPr>
          <w:rFonts w:ascii="Times New Roman" w:hAnsi="Times New Roman"/>
          <w:noProof/>
          <w:color w:val="000000" w:themeColor="text1"/>
          <w:sz w:val="24"/>
        </w:rPr>
        <w:t>(2–3), 127–168. https://doi.org/https://doi.org/10.1016/S0361-3682(01)00027-7</w:t>
      </w:r>
    </w:p>
    <w:p w14:paraId="65384287" w14:textId="77777777" w:rsidR="005E5542" w:rsidRPr="00D54138" w:rsidRDefault="005E5542" w:rsidP="0029473C">
      <w:pPr>
        <w:pStyle w:val="ListParagraph"/>
        <w:widowControl w:val="0"/>
        <w:numPr>
          <w:ilvl w:val="0"/>
          <w:numId w:val="4"/>
        </w:numPr>
        <w:autoSpaceDE w:val="0"/>
        <w:autoSpaceDN w:val="0"/>
        <w:adjustRightInd w:val="0"/>
        <w:spacing w:after="0" w:line="240" w:lineRule="auto"/>
        <w:jc w:val="both"/>
        <w:rPr>
          <w:rFonts w:ascii="Times New Roman" w:hAnsi="Times New Roman"/>
          <w:noProof/>
          <w:color w:val="000000" w:themeColor="text1"/>
          <w:sz w:val="24"/>
        </w:rPr>
      </w:pPr>
      <w:r w:rsidRPr="00D54138">
        <w:rPr>
          <w:rFonts w:ascii="Times New Roman" w:hAnsi="Times New Roman"/>
          <w:noProof/>
          <w:color w:val="000000" w:themeColor="text1"/>
          <w:sz w:val="24"/>
        </w:rPr>
        <w:t xml:space="preserve">Chenhall, R. H. (2007). The contingent design of performance measures. </w:t>
      </w:r>
      <w:r w:rsidRPr="00D54138">
        <w:rPr>
          <w:rFonts w:ascii="Times New Roman" w:hAnsi="Times New Roman"/>
          <w:i/>
          <w:iCs/>
          <w:noProof/>
          <w:color w:val="000000" w:themeColor="text1"/>
          <w:sz w:val="24"/>
        </w:rPr>
        <w:t>Contemporary Issues in Management Accounting</w:t>
      </w:r>
      <w:r w:rsidRPr="00D54138">
        <w:rPr>
          <w:rFonts w:ascii="Times New Roman" w:hAnsi="Times New Roman"/>
          <w:noProof/>
          <w:color w:val="000000" w:themeColor="text1"/>
          <w:sz w:val="24"/>
        </w:rPr>
        <w:t xml:space="preserve">, </w:t>
      </w:r>
      <w:r w:rsidRPr="00D54138">
        <w:rPr>
          <w:rFonts w:ascii="Times New Roman" w:hAnsi="Times New Roman"/>
          <w:i/>
          <w:iCs/>
          <w:noProof/>
          <w:color w:val="000000" w:themeColor="text1"/>
          <w:sz w:val="24"/>
        </w:rPr>
        <w:t>28</w:t>
      </w:r>
      <w:r w:rsidRPr="00D54138">
        <w:rPr>
          <w:rFonts w:ascii="Times New Roman" w:hAnsi="Times New Roman"/>
          <w:noProof/>
          <w:color w:val="000000" w:themeColor="text1"/>
          <w:sz w:val="24"/>
        </w:rPr>
        <w:t>, 127–168. https://doi.org/10.1093/acprof:oso/9780199283361.003.0005</w:t>
      </w:r>
    </w:p>
    <w:p w14:paraId="3A5D2968" w14:textId="77777777" w:rsidR="005E5542" w:rsidRPr="00D54138" w:rsidRDefault="005E5542" w:rsidP="0029473C">
      <w:pPr>
        <w:pStyle w:val="ListParagraph"/>
        <w:widowControl w:val="0"/>
        <w:numPr>
          <w:ilvl w:val="0"/>
          <w:numId w:val="4"/>
        </w:numPr>
        <w:autoSpaceDE w:val="0"/>
        <w:autoSpaceDN w:val="0"/>
        <w:adjustRightInd w:val="0"/>
        <w:spacing w:after="0" w:line="240" w:lineRule="auto"/>
        <w:jc w:val="both"/>
        <w:rPr>
          <w:rFonts w:ascii="Times New Roman" w:hAnsi="Times New Roman"/>
          <w:noProof/>
          <w:color w:val="000000" w:themeColor="text1"/>
          <w:sz w:val="24"/>
        </w:rPr>
      </w:pPr>
      <w:r w:rsidRPr="00D54138">
        <w:rPr>
          <w:rFonts w:ascii="Times New Roman" w:hAnsi="Times New Roman"/>
          <w:noProof/>
          <w:color w:val="000000" w:themeColor="text1"/>
          <w:sz w:val="24"/>
        </w:rPr>
        <w:t xml:space="preserve">Christ, K. L., &amp; Burritt, R. L. (2013). Environmental management accounting: The significance of contingent variables for adoption. </w:t>
      </w:r>
      <w:r w:rsidRPr="00D54138">
        <w:rPr>
          <w:rFonts w:ascii="Times New Roman" w:hAnsi="Times New Roman"/>
          <w:i/>
          <w:iCs/>
          <w:noProof/>
          <w:color w:val="000000" w:themeColor="text1"/>
          <w:sz w:val="24"/>
        </w:rPr>
        <w:t>Journal of Cleaner Production</w:t>
      </w:r>
      <w:r w:rsidRPr="00D54138">
        <w:rPr>
          <w:rFonts w:ascii="Times New Roman" w:hAnsi="Times New Roman"/>
          <w:noProof/>
          <w:color w:val="000000" w:themeColor="text1"/>
          <w:sz w:val="24"/>
        </w:rPr>
        <w:t xml:space="preserve">, </w:t>
      </w:r>
      <w:r w:rsidRPr="00D54138">
        <w:rPr>
          <w:rFonts w:ascii="Times New Roman" w:hAnsi="Times New Roman"/>
          <w:i/>
          <w:iCs/>
          <w:noProof/>
          <w:color w:val="000000" w:themeColor="text1"/>
          <w:sz w:val="24"/>
        </w:rPr>
        <w:t>41</w:t>
      </w:r>
      <w:r w:rsidRPr="00D54138">
        <w:rPr>
          <w:rFonts w:ascii="Times New Roman" w:hAnsi="Times New Roman"/>
          <w:noProof/>
          <w:color w:val="000000" w:themeColor="text1"/>
          <w:sz w:val="24"/>
        </w:rPr>
        <w:t>, 163–173. https://doi.org/10.1016/j.jclepro.2012.10.007</w:t>
      </w:r>
    </w:p>
    <w:p w14:paraId="230A57FE" w14:textId="77777777" w:rsidR="005E5542" w:rsidRPr="00D54138" w:rsidRDefault="005E5542" w:rsidP="0029473C">
      <w:pPr>
        <w:pStyle w:val="ListParagraph"/>
        <w:widowControl w:val="0"/>
        <w:numPr>
          <w:ilvl w:val="0"/>
          <w:numId w:val="4"/>
        </w:numPr>
        <w:autoSpaceDE w:val="0"/>
        <w:autoSpaceDN w:val="0"/>
        <w:adjustRightInd w:val="0"/>
        <w:spacing w:after="0" w:line="240" w:lineRule="auto"/>
        <w:jc w:val="both"/>
        <w:rPr>
          <w:rFonts w:ascii="Times New Roman" w:hAnsi="Times New Roman"/>
          <w:noProof/>
          <w:color w:val="000000" w:themeColor="text1"/>
          <w:sz w:val="24"/>
        </w:rPr>
      </w:pPr>
      <w:r w:rsidRPr="00D54138">
        <w:rPr>
          <w:rFonts w:ascii="Times New Roman" w:hAnsi="Times New Roman"/>
          <w:noProof/>
          <w:color w:val="000000" w:themeColor="text1"/>
          <w:sz w:val="24"/>
        </w:rPr>
        <w:t xml:space="preserve">Christensen, B., &amp; Himme, A. (2017). Improving environmental management accounting: how to use statistics to better determine energy consumption. </w:t>
      </w:r>
      <w:r w:rsidRPr="00D54138">
        <w:rPr>
          <w:rFonts w:ascii="Times New Roman" w:hAnsi="Times New Roman"/>
          <w:i/>
          <w:iCs/>
          <w:noProof/>
          <w:color w:val="000000" w:themeColor="text1"/>
          <w:sz w:val="24"/>
        </w:rPr>
        <w:t>Journal of Management Control</w:t>
      </w:r>
      <w:r w:rsidRPr="00D54138">
        <w:rPr>
          <w:rFonts w:ascii="Times New Roman" w:hAnsi="Times New Roman"/>
          <w:noProof/>
          <w:color w:val="000000" w:themeColor="text1"/>
          <w:sz w:val="24"/>
        </w:rPr>
        <w:t xml:space="preserve">, </w:t>
      </w:r>
      <w:r w:rsidRPr="00D54138">
        <w:rPr>
          <w:rFonts w:ascii="Times New Roman" w:hAnsi="Times New Roman"/>
          <w:i/>
          <w:iCs/>
          <w:noProof/>
          <w:color w:val="000000" w:themeColor="text1"/>
          <w:sz w:val="24"/>
        </w:rPr>
        <w:t>28</w:t>
      </w:r>
      <w:r w:rsidRPr="00D54138">
        <w:rPr>
          <w:rFonts w:ascii="Times New Roman" w:hAnsi="Times New Roman"/>
          <w:noProof/>
          <w:color w:val="000000" w:themeColor="text1"/>
          <w:sz w:val="24"/>
        </w:rPr>
        <w:t>(2), 227–243. https://doi.org/10.1007/s00187-016-0239-0</w:t>
      </w:r>
    </w:p>
    <w:p w14:paraId="5EDE839D" w14:textId="77777777" w:rsidR="005E5542" w:rsidRPr="00D54138" w:rsidRDefault="005E5542" w:rsidP="0029473C">
      <w:pPr>
        <w:pStyle w:val="ListParagraph"/>
        <w:widowControl w:val="0"/>
        <w:numPr>
          <w:ilvl w:val="0"/>
          <w:numId w:val="4"/>
        </w:numPr>
        <w:autoSpaceDE w:val="0"/>
        <w:autoSpaceDN w:val="0"/>
        <w:adjustRightInd w:val="0"/>
        <w:spacing w:after="0" w:line="240" w:lineRule="auto"/>
        <w:jc w:val="both"/>
        <w:rPr>
          <w:rFonts w:ascii="Times New Roman" w:hAnsi="Times New Roman"/>
          <w:noProof/>
          <w:color w:val="000000" w:themeColor="text1"/>
          <w:sz w:val="24"/>
        </w:rPr>
      </w:pPr>
      <w:r w:rsidRPr="00D54138">
        <w:rPr>
          <w:rFonts w:ascii="Times New Roman" w:hAnsi="Times New Roman"/>
          <w:noProof/>
          <w:color w:val="000000" w:themeColor="text1"/>
          <w:sz w:val="24"/>
        </w:rPr>
        <w:t xml:space="preserve">Delmas, M., &amp; Toffel, M. W. (2004). </w:t>
      </w:r>
      <w:r w:rsidRPr="00D54138">
        <w:rPr>
          <w:rFonts w:ascii="Times New Roman" w:hAnsi="Times New Roman"/>
          <w:i/>
          <w:iCs/>
          <w:noProof/>
          <w:color w:val="000000" w:themeColor="text1"/>
          <w:sz w:val="24"/>
        </w:rPr>
        <w:t>ENVIRONMENTAL MANAGEMENT PRACTICES :</w:t>
      </w:r>
      <w:r w:rsidRPr="00D54138">
        <w:rPr>
          <w:rFonts w:ascii="Times New Roman" w:hAnsi="Times New Roman"/>
          <w:noProof/>
          <w:color w:val="000000" w:themeColor="text1"/>
          <w:sz w:val="24"/>
        </w:rPr>
        <w:t xml:space="preserve"> </w:t>
      </w:r>
      <w:r w:rsidRPr="00D54138">
        <w:rPr>
          <w:rFonts w:ascii="Times New Roman" w:hAnsi="Times New Roman"/>
          <w:i/>
          <w:iCs/>
          <w:noProof/>
          <w:color w:val="000000" w:themeColor="text1"/>
          <w:sz w:val="24"/>
        </w:rPr>
        <w:t>222</w:t>
      </w:r>
      <w:r w:rsidRPr="00D54138">
        <w:rPr>
          <w:rFonts w:ascii="Times New Roman" w:hAnsi="Times New Roman"/>
          <w:noProof/>
          <w:color w:val="000000" w:themeColor="text1"/>
          <w:sz w:val="24"/>
        </w:rPr>
        <w:t>, 209–222.</w:t>
      </w:r>
    </w:p>
    <w:p w14:paraId="196BFDCC" w14:textId="77777777" w:rsidR="005E5542" w:rsidRPr="00D54138" w:rsidRDefault="005E5542" w:rsidP="0029473C">
      <w:pPr>
        <w:pStyle w:val="ListParagraph"/>
        <w:widowControl w:val="0"/>
        <w:numPr>
          <w:ilvl w:val="0"/>
          <w:numId w:val="4"/>
        </w:numPr>
        <w:autoSpaceDE w:val="0"/>
        <w:autoSpaceDN w:val="0"/>
        <w:adjustRightInd w:val="0"/>
        <w:spacing w:after="0" w:line="240" w:lineRule="auto"/>
        <w:jc w:val="both"/>
        <w:rPr>
          <w:rFonts w:ascii="Times New Roman" w:hAnsi="Times New Roman"/>
          <w:noProof/>
          <w:color w:val="000000" w:themeColor="text1"/>
          <w:sz w:val="24"/>
        </w:rPr>
      </w:pPr>
      <w:r w:rsidRPr="00D54138">
        <w:rPr>
          <w:rFonts w:ascii="Times New Roman" w:hAnsi="Times New Roman"/>
          <w:noProof/>
          <w:color w:val="000000" w:themeColor="text1"/>
          <w:sz w:val="24"/>
        </w:rPr>
        <w:t xml:space="preserve">DiMaggio, P. J., &amp; Powell, W. W. (2000). The iron cage revisited institutional isomorphism and collective rationality in organizational fields. </w:t>
      </w:r>
      <w:r w:rsidRPr="00D54138">
        <w:rPr>
          <w:rFonts w:ascii="Times New Roman" w:hAnsi="Times New Roman"/>
          <w:i/>
          <w:iCs/>
          <w:noProof/>
          <w:color w:val="000000" w:themeColor="text1"/>
          <w:sz w:val="24"/>
        </w:rPr>
        <w:t>Advances in Strategic Management</w:t>
      </w:r>
      <w:r w:rsidRPr="00D54138">
        <w:rPr>
          <w:rFonts w:ascii="Times New Roman" w:hAnsi="Times New Roman"/>
          <w:noProof/>
          <w:color w:val="000000" w:themeColor="text1"/>
          <w:sz w:val="24"/>
        </w:rPr>
        <w:t xml:space="preserve">, </w:t>
      </w:r>
      <w:r w:rsidRPr="00D54138">
        <w:rPr>
          <w:rFonts w:ascii="Times New Roman" w:hAnsi="Times New Roman"/>
          <w:i/>
          <w:iCs/>
          <w:noProof/>
          <w:color w:val="000000" w:themeColor="text1"/>
          <w:sz w:val="24"/>
        </w:rPr>
        <w:t>17</w:t>
      </w:r>
      <w:r w:rsidRPr="00D54138">
        <w:rPr>
          <w:rFonts w:ascii="Times New Roman" w:hAnsi="Times New Roman"/>
          <w:noProof/>
          <w:color w:val="000000" w:themeColor="text1"/>
          <w:sz w:val="24"/>
        </w:rPr>
        <w:t>(2), 143–166. https://doi.org/10.1016/S0742-3322(00)17011-1</w:t>
      </w:r>
    </w:p>
    <w:p w14:paraId="5EF433D4" w14:textId="77777777" w:rsidR="005E5542" w:rsidRPr="00D54138" w:rsidRDefault="005E5542" w:rsidP="0029473C">
      <w:pPr>
        <w:pStyle w:val="ListParagraph"/>
        <w:widowControl w:val="0"/>
        <w:numPr>
          <w:ilvl w:val="0"/>
          <w:numId w:val="4"/>
        </w:numPr>
        <w:autoSpaceDE w:val="0"/>
        <w:autoSpaceDN w:val="0"/>
        <w:adjustRightInd w:val="0"/>
        <w:spacing w:after="0" w:line="240" w:lineRule="auto"/>
        <w:jc w:val="both"/>
        <w:rPr>
          <w:rFonts w:ascii="Times New Roman" w:hAnsi="Times New Roman"/>
          <w:noProof/>
          <w:color w:val="000000" w:themeColor="text1"/>
          <w:sz w:val="24"/>
        </w:rPr>
      </w:pPr>
      <w:r w:rsidRPr="00D54138">
        <w:rPr>
          <w:rFonts w:ascii="Times New Roman" w:hAnsi="Times New Roman"/>
          <w:noProof/>
          <w:color w:val="000000" w:themeColor="text1"/>
          <w:sz w:val="24"/>
        </w:rPr>
        <w:t xml:space="preserve">Gunarathne, A. D. N., Lee, K. H., &amp; Hitigala Kaluarachchilage, P. K. (2021). Institutional pressures, environmental management strategy, and organizational performance: The role of environmental management accounting. </w:t>
      </w:r>
      <w:r w:rsidRPr="00D54138">
        <w:rPr>
          <w:rFonts w:ascii="Times New Roman" w:hAnsi="Times New Roman"/>
          <w:i/>
          <w:iCs/>
          <w:noProof/>
          <w:color w:val="000000" w:themeColor="text1"/>
          <w:sz w:val="24"/>
        </w:rPr>
        <w:t>Business Strategy and the Environment</w:t>
      </w:r>
      <w:r w:rsidRPr="00D54138">
        <w:rPr>
          <w:rFonts w:ascii="Times New Roman" w:hAnsi="Times New Roman"/>
          <w:noProof/>
          <w:color w:val="000000" w:themeColor="text1"/>
          <w:sz w:val="24"/>
        </w:rPr>
        <w:t xml:space="preserve">, </w:t>
      </w:r>
      <w:r w:rsidRPr="00D54138">
        <w:rPr>
          <w:rFonts w:ascii="Times New Roman" w:hAnsi="Times New Roman"/>
          <w:i/>
          <w:iCs/>
          <w:noProof/>
          <w:color w:val="000000" w:themeColor="text1"/>
          <w:sz w:val="24"/>
        </w:rPr>
        <w:t>30</w:t>
      </w:r>
      <w:r w:rsidRPr="00D54138">
        <w:rPr>
          <w:rFonts w:ascii="Times New Roman" w:hAnsi="Times New Roman"/>
          <w:noProof/>
          <w:color w:val="000000" w:themeColor="text1"/>
          <w:sz w:val="24"/>
        </w:rPr>
        <w:t>(2), 825–839. https://doi.org/10.1002/bse.2656</w:t>
      </w:r>
    </w:p>
    <w:p w14:paraId="5975391C" w14:textId="77777777" w:rsidR="005E5542" w:rsidRPr="00D54138" w:rsidRDefault="005E5542" w:rsidP="0029473C">
      <w:pPr>
        <w:pStyle w:val="ListParagraph"/>
        <w:widowControl w:val="0"/>
        <w:numPr>
          <w:ilvl w:val="0"/>
          <w:numId w:val="4"/>
        </w:numPr>
        <w:autoSpaceDE w:val="0"/>
        <w:autoSpaceDN w:val="0"/>
        <w:adjustRightInd w:val="0"/>
        <w:spacing w:after="0" w:line="240" w:lineRule="auto"/>
        <w:jc w:val="both"/>
        <w:rPr>
          <w:rFonts w:ascii="Times New Roman" w:hAnsi="Times New Roman"/>
          <w:noProof/>
          <w:color w:val="000000" w:themeColor="text1"/>
          <w:sz w:val="24"/>
        </w:rPr>
      </w:pPr>
      <w:r w:rsidRPr="00D54138">
        <w:rPr>
          <w:rFonts w:ascii="Times New Roman" w:hAnsi="Times New Roman"/>
          <w:noProof/>
          <w:color w:val="000000" w:themeColor="text1"/>
          <w:sz w:val="24"/>
        </w:rPr>
        <w:t xml:space="preserve">Gunarathne, N., &amp; Lee, K. H. (2021). Corporate cleaner production strategy development and environmental management accounting: A contingency theory perspective. </w:t>
      </w:r>
      <w:r w:rsidRPr="00D54138">
        <w:rPr>
          <w:rFonts w:ascii="Times New Roman" w:hAnsi="Times New Roman"/>
          <w:i/>
          <w:iCs/>
          <w:noProof/>
          <w:color w:val="000000" w:themeColor="text1"/>
          <w:sz w:val="24"/>
        </w:rPr>
        <w:t>Journal of Cleaner Production</w:t>
      </w:r>
      <w:r w:rsidRPr="00D54138">
        <w:rPr>
          <w:rFonts w:ascii="Times New Roman" w:hAnsi="Times New Roman"/>
          <w:noProof/>
          <w:color w:val="000000" w:themeColor="text1"/>
          <w:sz w:val="24"/>
        </w:rPr>
        <w:t xml:space="preserve">, </w:t>
      </w:r>
      <w:r w:rsidRPr="00D54138">
        <w:rPr>
          <w:rFonts w:ascii="Times New Roman" w:hAnsi="Times New Roman"/>
          <w:i/>
          <w:iCs/>
          <w:noProof/>
          <w:color w:val="000000" w:themeColor="text1"/>
          <w:sz w:val="24"/>
        </w:rPr>
        <w:t>308</w:t>
      </w:r>
      <w:r w:rsidRPr="00D54138">
        <w:rPr>
          <w:rFonts w:ascii="Times New Roman" w:hAnsi="Times New Roman"/>
          <w:noProof/>
          <w:color w:val="000000" w:themeColor="text1"/>
          <w:sz w:val="24"/>
        </w:rPr>
        <w:t>. https://doi.org/10.1016/j.jclepro.2021.127402</w:t>
      </w:r>
    </w:p>
    <w:p w14:paraId="011CD2FF" w14:textId="77777777" w:rsidR="005E5542" w:rsidRPr="00D54138" w:rsidRDefault="005E5542" w:rsidP="0029473C">
      <w:pPr>
        <w:pStyle w:val="ListParagraph"/>
        <w:widowControl w:val="0"/>
        <w:numPr>
          <w:ilvl w:val="0"/>
          <w:numId w:val="4"/>
        </w:numPr>
        <w:autoSpaceDE w:val="0"/>
        <w:autoSpaceDN w:val="0"/>
        <w:adjustRightInd w:val="0"/>
        <w:spacing w:after="0" w:line="240" w:lineRule="auto"/>
        <w:jc w:val="both"/>
        <w:rPr>
          <w:rFonts w:ascii="Times New Roman" w:hAnsi="Times New Roman"/>
          <w:noProof/>
          <w:color w:val="000000" w:themeColor="text1"/>
          <w:sz w:val="24"/>
        </w:rPr>
      </w:pPr>
      <w:r w:rsidRPr="00D54138">
        <w:rPr>
          <w:rFonts w:ascii="Times New Roman" w:hAnsi="Times New Roman"/>
          <w:noProof/>
          <w:color w:val="000000" w:themeColor="text1"/>
          <w:sz w:val="24"/>
        </w:rPr>
        <w:t xml:space="preserve">Haldma, T., &amp; Meiesaar, K. (2002). Environmental Contingencies Of The Management Reform In The Estonian Health Care Institutions. </w:t>
      </w:r>
      <w:r w:rsidRPr="00D54138">
        <w:rPr>
          <w:rFonts w:ascii="Times New Roman" w:hAnsi="Times New Roman"/>
          <w:i/>
          <w:iCs/>
          <w:noProof/>
          <w:color w:val="000000" w:themeColor="text1"/>
          <w:sz w:val="24"/>
        </w:rPr>
        <w:t>Effect of Accession to the European Union on the Economic Policy of Estonia</w:t>
      </w:r>
      <w:r w:rsidRPr="00D54138">
        <w:rPr>
          <w:rFonts w:ascii="Times New Roman" w:hAnsi="Times New Roman"/>
          <w:noProof/>
          <w:color w:val="000000" w:themeColor="text1"/>
          <w:sz w:val="24"/>
        </w:rPr>
        <w:t>, 483-C496.</w:t>
      </w:r>
    </w:p>
    <w:p w14:paraId="49D742B9" w14:textId="77777777" w:rsidR="005E5542" w:rsidRPr="00D54138" w:rsidRDefault="005E5542" w:rsidP="0029473C">
      <w:pPr>
        <w:pStyle w:val="ListParagraph"/>
        <w:widowControl w:val="0"/>
        <w:numPr>
          <w:ilvl w:val="0"/>
          <w:numId w:val="4"/>
        </w:numPr>
        <w:autoSpaceDE w:val="0"/>
        <w:autoSpaceDN w:val="0"/>
        <w:adjustRightInd w:val="0"/>
        <w:spacing w:after="0" w:line="240" w:lineRule="auto"/>
        <w:jc w:val="both"/>
        <w:rPr>
          <w:rFonts w:ascii="Times New Roman" w:hAnsi="Times New Roman"/>
          <w:noProof/>
          <w:color w:val="000000" w:themeColor="text1"/>
          <w:sz w:val="24"/>
        </w:rPr>
      </w:pPr>
      <w:r w:rsidRPr="00D54138">
        <w:rPr>
          <w:rFonts w:ascii="Times New Roman" w:hAnsi="Times New Roman"/>
          <w:noProof/>
          <w:color w:val="000000" w:themeColor="text1"/>
          <w:sz w:val="24"/>
        </w:rPr>
        <w:t xml:space="preserve">Hart, S. L. (1995). A natural-resource-based view of the firm. </w:t>
      </w:r>
      <w:r w:rsidRPr="00D54138">
        <w:rPr>
          <w:rFonts w:ascii="Times New Roman" w:hAnsi="Times New Roman"/>
          <w:i/>
          <w:iCs/>
          <w:noProof/>
          <w:color w:val="000000" w:themeColor="text1"/>
          <w:sz w:val="24"/>
        </w:rPr>
        <w:t>Academy of Management Review</w:t>
      </w:r>
      <w:r w:rsidRPr="00D54138">
        <w:rPr>
          <w:rFonts w:ascii="Times New Roman" w:hAnsi="Times New Roman"/>
          <w:noProof/>
          <w:color w:val="000000" w:themeColor="text1"/>
          <w:sz w:val="24"/>
        </w:rPr>
        <w:t xml:space="preserve">, </w:t>
      </w:r>
      <w:r w:rsidRPr="00D54138">
        <w:rPr>
          <w:rFonts w:ascii="Times New Roman" w:hAnsi="Times New Roman"/>
          <w:i/>
          <w:iCs/>
          <w:noProof/>
          <w:color w:val="000000" w:themeColor="text1"/>
          <w:sz w:val="24"/>
        </w:rPr>
        <w:t>20</w:t>
      </w:r>
      <w:r w:rsidRPr="00D54138">
        <w:rPr>
          <w:rFonts w:ascii="Times New Roman" w:hAnsi="Times New Roman"/>
          <w:noProof/>
          <w:color w:val="000000" w:themeColor="text1"/>
          <w:sz w:val="24"/>
        </w:rPr>
        <w:t>(4), 986–1014.</w:t>
      </w:r>
    </w:p>
    <w:p w14:paraId="622794FD" w14:textId="77777777" w:rsidR="005E5542" w:rsidRPr="00D54138" w:rsidRDefault="005E5542" w:rsidP="0029473C">
      <w:pPr>
        <w:pStyle w:val="ListParagraph"/>
        <w:widowControl w:val="0"/>
        <w:numPr>
          <w:ilvl w:val="0"/>
          <w:numId w:val="4"/>
        </w:numPr>
        <w:autoSpaceDE w:val="0"/>
        <w:autoSpaceDN w:val="0"/>
        <w:adjustRightInd w:val="0"/>
        <w:spacing w:after="0" w:line="240" w:lineRule="auto"/>
        <w:jc w:val="both"/>
        <w:rPr>
          <w:rFonts w:ascii="Times New Roman" w:hAnsi="Times New Roman"/>
          <w:noProof/>
          <w:color w:val="000000" w:themeColor="text1"/>
          <w:sz w:val="24"/>
        </w:rPr>
      </w:pPr>
      <w:r w:rsidRPr="00D54138">
        <w:rPr>
          <w:rFonts w:ascii="Times New Roman" w:hAnsi="Times New Roman"/>
          <w:noProof/>
          <w:color w:val="000000" w:themeColor="text1"/>
          <w:sz w:val="24"/>
        </w:rPr>
        <w:t xml:space="preserve">Hasan, S. A. S., Waghule, S. N., &amp; Hasan, M. B. (2024). Linking environmental management accounting to environmental performance: the role of top management support and institutional pressures. </w:t>
      </w:r>
      <w:r w:rsidRPr="00D54138">
        <w:rPr>
          <w:rFonts w:ascii="Times New Roman" w:hAnsi="Times New Roman"/>
          <w:i/>
          <w:iCs/>
          <w:noProof/>
          <w:color w:val="000000" w:themeColor="text1"/>
          <w:sz w:val="24"/>
        </w:rPr>
        <w:t>Cogent Business and Management</w:t>
      </w:r>
      <w:r w:rsidRPr="00D54138">
        <w:rPr>
          <w:rFonts w:ascii="Times New Roman" w:hAnsi="Times New Roman"/>
          <w:noProof/>
          <w:color w:val="000000" w:themeColor="text1"/>
          <w:sz w:val="24"/>
        </w:rPr>
        <w:t xml:space="preserve">, </w:t>
      </w:r>
      <w:r w:rsidRPr="00D54138">
        <w:rPr>
          <w:rFonts w:ascii="Times New Roman" w:hAnsi="Times New Roman"/>
          <w:i/>
          <w:iCs/>
          <w:noProof/>
          <w:color w:val="000000" w:themeColor="text1"/>
          <w:sz w:val="24"/>
        </w:rPr>
        <w:t>11</w:t>
      </w:r>
      <w:r w:rsidRPr="00D54138">
        <w:rPr>
          <w:rFonts w:ascii="Times New Roman" w:hAnsi="Times New Roman"/>
          <w:noProof/>
          <w:color w:val="000000" w:themeColor="text1"/>
          <w:sz w:val="24"/>
        </w:rPr>
        <w:t>(1). https://doi.org/10.1080/23311975.2023.2296700</w:t>
      </w:r>
    </w:p>
    <w:p w14:paraId="2D584C4F" w14:textId="77777777" w:rsidR="00F24FB1" w:rsidRPr="00D54138" w:rsidRDefault="00F24FB1" w:rsidP="0029473C">
      <w:pPr>
        <w:pStyle w:val="ListParagraph"/>
        <w:widowControl w:val="0"/>
        <w:numPr>
          <w:ilvl w:val="0"/>
          <w:numId w:val="4"/>
        </w:numPr>
        <w:autoSpaceDE w:val="0"/>
        <w:autoSpaceDN w:val="0"/>
        <w:adjustRightInd w:val="0"/>
        <w:spacing w:after="0" w:line="240" w:lineRule="auto"/>
        <w:jc w:val="both"/>
        <w:rPr>
          <w:rFonts w:ascii="Times New Roman" w:hAnsi="Times New Roman"/>
          <w:noProof/>
          <w:color w:val="000000" w:themeColor="text1"/>
          <w:sz w:val="24"/>
        </w:rPr>
      </w:pPr>
      <w:r w:rsidRPr="00D54138">
        <w:rPr>
          <w:rFonts w:ascii="Times New Roman" w:hAnsi="Times New Roman"/>
          <w:noProof/>
          <w:color w:val="000000" w:themeColor="text1"/>
          <w:sz w:val="24"/>
        </w:rPr>
        <w:t xml:space="preserve">IFAC, (2005). </w:t>
      </w:r>
      <w:r w:rsidRPr="00D54138">
        <w:rPr>
          <w:rFonts w:ascii="Times New Roman" w:hAnsi="Times New Roman"/>
          <w:i/>
          <w:iCs/>
          <w:noProof/>
          <w:color w:val="000000" w:themeColor="text1"/>
          <w:sz w:val="24"/>
        </w:rPr>
        <w:t>International guidance document: Environmental management accounting</w:t>
      </w:r>
      <w:r w:rsidRPr="00D54138">
        <w:rPr>
          <w:rFonts w:ascii="Times New Roman" w:hAnsi="Times New Roman"/>
          <w:noProof/>
          <w:color w:val="000000" w:themeColor="text1"/>
          <w:sz w:val="24"/>
        </w:rPr>
        <w:t>.</w:t>
      </w:r>
    </w:p>
    <w:p w14:paraId="238B94CA" w14:textId="77777777" w:rsidR="005E5542" w:rsidRPr="00D54138" w:rsidRDefault="005E5542" w:rsidP="0029473C">
      <w:pPr>
        <w:pStyle w:val="ListParagraph"/>
        <w:widowControl w:val="0"/>
        <w:numPr>
          <w:ilvl w:val="0"/>
          <w:numId w:val="4"/>
        </w:numPr>
        <w:autoSpaceDE w:val="0"/>
        <w:autoSpaceDN w:val="0"/>
        <w:adjustRightInd w:val="0"/>
        <w:spacing w:after="0" w:line="240" w:lineRule="auto"/>
        <w:jc w:val="both"/>
        <w:rPr>
          <w:rFonts w:ascii="Times New Roman" w:hAnsi="Times New Roman"/>
          <w:noProof/>
          <w:color w:val="000000" w:themeColor="text1"/>
          <w:sz w:val="24"/>
        </w:rPr>
      </w:pPr>
      <w:r w:rsidRPr="00D54138">
        <w:rPr>
          <w:rFonts w:ascii="Times New Roman" w:hAnsi="Times New Roman"/>
          <w:noProof/>
          <w:color w:val="000000" w:themeColor="text1"/>
          <w:sz w:val="24"/>
        </w:rPr>
        <w:t xml:space="preserve">Ilyas, S., Hu, Z., &amp; Wiwattanakornwong, K. (2020). Unleashing the role of top management and government support in green supply chain management and sustainable development goals. </w:t>
      </w:r>
      <w:r w:rsidRPr="00D54138">
        <w:rPr>
          <w:rFonts w:ascii="Times New Roman" w:hAnsi="Times New Roman"/>
          <w:i/>
          <w:iCs/>
          <w:noProof/>
          <w:color w:val="000000" w:themeColor="text1"/>
          <w:sz w:val="24"/>
        </w:rPr>
        <w:t>Environmental Science and Pollution Research</w:t>
      </w:r>
      <w:r w:rsidRPr="00D54138">
        <w:rPr>
          <w:rFonts w:ascii="Times New Roman" w:hAnsi="Times New Roman"/>
          <w:noProof/>
          <w:color w:val="000000" w:themeColor="text1"/>
          <w:sz w:val="24"/>
        </w:rPr>
        <w:t xml:space="preserve">, </w:t>
      </w:r>
      <w:r w:rsidRPr="00D54138">
        <w:rPr>
          <w:rFonts w:ascii="Times New Roman" w:hAnsi="Times New Roman"/>
          <w:i/>
          <w:iCs/>
          <w:noProof/>
          <w:color w:val="000000" w:themeColor="text1"/>
          <w:sz w:val="24"/>
        </w:rPr>
        <w:t>27</w:t>
      </w:r>
      <w:r w:rsidRPr="00D54138">
        <w:rPr>
          <w:rFonts w:ascii="Times New Roman" w:hAnsi="Times New Roman"/>
          <w:noProof/>
          <w:color w:val="000000" w:themeColor="text1"/>
          <w:sz w:val="24"/>
        </w:rPr>
        <w:t>(8), 8210–8223. https://doi.org/10.1007/s11356-019-07268-3</w:t>
      </w:r>
    </w:p>
    <w:p w14:paraId="3CD7CBEB" w14:textId="77777777" w:rsidR="005E5542" w:rsidRPr="00D54138" w:rsidRDefault="005E5542" w:rsidP="0029473C">
      <w:pPr>
        <w:pStyle w:val="ListParagraph"/>
        <w:widowControl w:val="0"/>
        <w:numPr>
          <w:ilvl w:val="0"/>
          <w:numId w:val="4"/>
        </w:numPr>
        <w:autoSpaceDE w:val="0"/>
        <w:autoSpaceDN w:val="0"/>
        <w:adjustRightInd w:val="0"/>
        <w:spacing w:after="0" w:line="240" w:lineRule="auto"/>
        <w:jc w:val="both"/>
        <w:rPr>
          <w:rFonts w:ascii="Times New Roman" w:hAnsi="Times New Roman"/>
          <w:noProof/>
          <w:color w:val="000000" w:themeColor="text1"/>
          <w:sz w:val="24"/>
        </w:rPr>
      </w:pPr>
      <w:r w:rsidRPr="00D54138">
        <w:rPr>
          <w:rFonts w:ascii="Times New Roman" w:hAnsi="Times New Roman"/>
          <w:noProof/>
          <w:color w:val="000000" w:themeColor="text1"/>
          <w:sz w:val="24"/>
        </w:rPr>
        <w:t xml:space="preserve">Imtiaz Ferdous, M., Adams, C. A., &amp; Boyce, G. (2019). Institutional drivers of environmental management accounting adoption in public sector water organisations. </w:t>
      </w:r>
      <w:r w:rsidRPr="00D54138">
        <w:rPr>
          <w:rFonts w:ascii="Times New Roman" w:hAnsi="Times New Roman"/>
          <w:i/>
          <w:iCs/>
          <w:noProof/>
          <w:color w:val="000000" w:themeColor="text1"/>
          <w:sz w:val="24"/>
        </w:rPr>
        <w:t>Accounting, Auditing and Accountability Journal</w:t>
      </w:r>
      <w:r w:rsidRPr="00D54138">
        <w:rPr>
          <w:rFonts w:ascii="Times New Roman" w:hAnsi="Times New Roman"/>
          <w:noProof/>
          <w:color w:val="000000" w:themeColor="text1"/>
          <w:sz w:val="24"/>
        </w:rPr>
        <w:t xml:space="preserve">, </w:t>
      </w:r>
      <w:r w:rsidRPr="00D54138">
        <w:rPr>
          <w:rFonts w:ascii="Times New Roman" w:hAnsi="Times New Roman"/>
          <w:i/>
          <w:iCs/>
          <w:noProof/>
          <w:color w:val="000000" w:themeColor="text1"/>
          <w:sz w:val="24"/>
        </w:rPr>
        <w:t>32</w:t>
      </w:r>
      <w:r w:rsidRPr="00D54138">
        <w:rPr>
          <w:rFonts w:ascii="Times New Roman" w:hAnsi="Times New Roman"/>
          <w:noProof/>
          <w:color w:val="000000" w:themeColor="text1"/>
          <w:sz w:val="24"/>
        </w:rPr>
        <w:t>(4), 984–1012. https://doi.org/10.1108/AAAJ-09-2017-3145</w:t>
      </w:r>
    </w:p>
    <w:p w14:paraId="3DB6DB9A" w14:textId="77777777" w:rsidR="005E5542" w:rsidRPr="00D54138" w:rsidRDefault="005E5542" w:rsidP="0029473C">
      <w:pPr>
        <w:pStyle w:val="ListParagraph"/>
        <w:widowControl w:val="0"/>
        <w:numPr>
          <w:ilvl w:val="0"/>
          <w:numId w:val="4"/>
        </w:numPr>
        <w:autoSpaceDE w:val="0"/>
        <w:autoSpaceDN w:val="0"/>
        <w:adjustRightInd w:val="0"/>
        <w:spacing w:after="0" w:line="240" w:lineRule="auto"/>
        <w:jc w:val="both"/>
        <w:rPr>
          <w:rFonts w:ascii="Times New Roman" w:hAnsi="Times New Roman"/>
          <w:noProof/>
          <w:color w:val="000000" w:themeColor="text1"/>
          <w:sz w:val="24"/>
        </w:rPr>
      </w:pPr>
      <w:r w:rsidRPr="00D54138">
        <w:rPr>
          <w:rFonts w:ascii="Times New Roman" w:hAnsi="Times New Roman"/>
          <w:noProof/>
          <w:color w:val="000000" w:themeColor="text1"/>
          <w:sz w:val="24"/>
        </w:rPr>
        <w:t xml:space="preserve">Iredele, O. O., Tankiso, M., &amp; Adelowotan, M. O. (2020). The influence of institutional isomorphism and organisational factors on environmental management accounting practices of listed Nigerian and South African firms. In </w:t>
      </w:r>
      <w:r w:rsidRPr="00D54138">
        <w:rPr>
          <w:rFonts w:ascii="Times New Roman" w:hAnsi="Times New Roman"/>
          <w:i/>
          <w:iCs/>
          <w:noProof/>
          <w:color w:val="000000" w:themeColor="text1"/>
          <w:sz w:val="24"/>
        </w:rPr>
        <w:t>South African Journal of Accounting Research</w:t>
      </w:r>
      <w:r w:rsidRPr="00D54138">
        <w:rPr>
          <w:rFonts w:ascii="Times New Roman" w:hAnsi="Times New Roman"/>
          <w:noProof/>
          <w:color w:val="000000" w:themeColor="text1"/>
          <w:sz w:val="24"/>
        </w:rPr>
        <w:t xml:space="preserve"> (Vol. 34, Issue 3, pp. 183–204). Taylor &amp; Francis. https://doi.org/10.1080/10291954.2019.1675254</w:t>
      </w:r>
    </w:p>
    <w:p w14:paraId="2B1365A2" w14:textId="77777777" w:rsidR="005E5542" w:rsidRPr="00D54138" w:rsidRDefault="005E5542" w:rsidP="0029473C">
      <w:pPr>
        <w:pStyle w:val="ListParagraph"/>
        <w:widowControl w:val="0"/>
        <w:numPr>
          <w:ilvl w:val="0"/>
          <w:numId w:val="4"/>
        </w:numPr>
        <w:autoSpaceDE w:val="0"/>
        <w:autoSpaceDN w:val="0"/>
        <w:adjustRightInd w:val="0"/>
        <w:spacing w:after="0" w:line="240" w:lineRule="auto"/>
        <w:jc w:val="both"/>
        <w:rPr>
          <w:rFonts w:ascii="Times New Roman" w:hAnsi="Times New Roman"/>
          <w:noProof/>
          <w:color w:val="000000" w:themeColor="text1"/>
          <w:sz w:val="24"/>
        </w:rPr>
      </w:pPr>
      <w:r w:rsidRPr="00D54138">
        <w:rPr>
          <w:rFonts w:ascii="Times New Roman" w:hAnsi="Times New Roman"/>
          <w:noProof/>
          <w:color w:val="000000" w:themeColor="text1"/>
          <w:sz w:val="24"/>
        </w:rPr>
        <w:t xml:space="preserve">Jermsittiparsert, K., Somjai, S., &amp; Toopgajank, S. (2020). Factors affecting firm’s energy efficiency and environmental performance: The role of environmental management accounting, green innovation and environmental proactivity. </w:t>
      </w:r>
      <w:r w:rsidRPr="00D54138">
        <w:rPr>
          <w:rFonts w:ascii="Times New Roman" w:hAnsi="Times New Roman"/>
          <w:i/>
          <w:iCs/>
          <w:noProof/>
          <w:color w:val="000000" w:themeColor="text1"/>
          <w:sz w:val="24"/>
        </w:rPr>
        <w:t>International Journal of Energy Economics and Policy</w:t>
      </w:r>
      <w:r w:rsidRPr="00D54138">
        <w:rPr>
          <w:rFonts w:ascii="Times New Roman" w:hAnsi="Times New Roman"/>
          <w:noProof/>
          <w:color w:val="000000" w:themeColor="text1"/>
          <w:sz w:val="24"/>
        </w:rPr>
        <w:t xml:space="preserve">, </w:t>
      </w:r>
      <w:r w:rsidRPr="00D54138">
        <w:rPr>
          <w:rFonts w:ascii="Times New Roman" w:hAnsi="Times New Roman"/>
          <w:i/>
          <w:iCs/>
          <w:noProof/>
          <w:color w:val="000000" w:themeColor="text1"/>
          <w:sz w:val="24"/>
        </w:rPr>
        <w:t>10</w:t>
      </w:r>
      <w:r w:rsidRPr="00D54138">
        <w:rPr>
          <w:rFonts w:ascii="Times New Roman" w:hAnsi="Times New Roman"/>
          <w:noProof/>
          <w:color w:val="000000" w:themeColor="text1"/>
          <w:sz w:val="24"/>
        </w:rPr>
        <w:t>(3), 325–331. https://doi.org/10.32479/ijeep.9220</w:t>
      </w:r>
    </w:p>
    <w:p w14:paraId="222EC4A8" w14:textId="77777777" w:rsidR="005E5542" w:rsidRPr="00D54138" w:rsidRDefault="005E5542" w:rsidP="0029473C">
      <w:pPr>
        <w:pStyle w:val="ListParagraph"/>
        <w:widowControl w:val="0"/>
        <w:numPr>
          <w:ilvl w:val="0"/>
          <w:numId w:val="4"/>
        </w:numPr>
        <w:autoSpaceDE w:val="0"/>
        <w:autoSpaceDN w:val="0"/>
        <w:adjustRightInd w:val="0"/>
        <w:spacing w:after="0" w:line="240" w:lineRule="auto"/>
        <w:jc w:val="both"/>
        <w:rPr>
          <w:rFonts w:ascii="Times New Roman" w:hAnsi="Times New Roman"/>
          <w:noProof/>
          <w:color w:val="000000" w:themeColor="text1"/>
          <w:sz w:val="24"/>
        </w:rPr>
      </w:pPr>
      <w:r w:rsidRPr="00D54138">
        <w:rPr>
          <w:rFonts w:ascii="Times New Roman" w:hAnsi="Times New Roman"/>
          <w:noProof/>
          <w:color w:val="000000" w:themeColor="text1"/>
          <w:sz w:val="24"/>
        </w:rPr>
        <w:t xml:space="preserve">Johnstone, L. (2018). Environmental management decisions in CSR-based accounting research. </w:t>
      </w:r>
      <w:r w:rsidRPr="00D54138">
        <w:rPr>
          <w:rFonts w:ascii="Times New Roman" w:hAnsi="Times New Roman"/>
          <w:i/>
          <w:iCs/>
          <w:noProof/>
          <w:color w:val="000000" w:themeColor="text1"/>
          <w:sz w:val="24"/>
        </w:rPr>
        <w:t>Corporate Social Responsibility and Environmental Management</w:t>
      </w:r>
      <w:r w:rsidRPr="00D54138">
        <w:rPr>
          <w:rFonts w:ascii="Times New Roman" w:hAnsi="Times New Roman"/>
          <w:noProof/>
          <w:color w:val="000000" w:themeColor="text1"/>
          <w:sz w:val="24"/>
        </w:rPr>
        <w:t xml:space="preserve">, </w:t>
      </w:r>
      <w:r w:rsidRPr="00D54138">
        <w:rPr>
          <w:rFonts w:ascii="Times New Roman" w:hAnsi="Times New Roman"/>
          <w:i/>
          <w:iCs/>
          <w:noProof/>
          <w:color w:val="000000" w:themeColor="text1"/>
          <w:sz w:val="24"/>
        </w:rPr>
        <w:t>25</w:t>
      </w:r>
      <w:r w:rsidRPr="00D54138">
        <w:rPr>
          <w:rFonts w:ascii="Times New Roman" w:hAnsi="Times New Roman"/>
          <w:noProof/>
          <w:color w:val="000000" w:themeColor="text1"/>
          <w:sz w:val="24"/>
        </w:rPr>
        <w:t>(6), 1212–1222. https://doi.org/10.1002/csr.1632</w:t>
      </w:r>
    </w:p>
    <w:p w14:paraId="773B1B79" w14:textId="77777777" w:rsidR="005E5542" w:rsidRPr="00D54138" w:rsidRDefault="005E5542" w:rsidP="0029473C">
      <w:pPr>
        <w:pStyle w:val="ListParagraph"/>
        <w:widowControl w:val="0"/>
        <w:numPr>
          <w:ilvl w:val="0"/>
          <w:numId w:val="4"/>
        </w:numPr>
        <w:autoSpaceDE w:val="0"/>
        <w:autoSpaceDN w:val="0"/>
        <w:adjustRightInd w:val="0"/>
        <w:spacing w:after="0" w:line="240" w:lineRule="auto"/>
        <w:jc w:val="both"/>
        <w:rPr>
          <w:rFonts w:ascii="Times New Roman" w:hAnsi="Times New Roman"/>
          <w:noProof/>
          <w:color w:val="000000" w:themeColor="text1"/>
          <w:sz w:val="24"/>
        </w:rPr>
      </w:pPr>
      <w:r w:rsidRPr="00D54138">
        <w:rPr>
          <w:rFonts w:ascii="Times New Roman" w:hAnsi="Times New Roman"/>
          <w:noProof/>
          <w:color w:val="000000" w:themeColor="text1"/>
          <w:sz w:val="24"/>
        </w:rPr>
        <w:t xml:space="preserve">Journeault, M. (2016). The influence of the eco-control package on environmental and economic performance: A natural resource-based. </w:t>
      </w:r>
      <w:r w:rsidRPr="00D54138">
        <w:rPr>
          <w:rFonts w:ascii="Times New Roman" w:hAnsi="Times New Roman"/>
          <w:i/>
          <w:iCs/>
          <w:noProof/>
          <w:color w:val="000000" w:themeColor="text1"/>
          <w:sz w:val="24"/>
        </w:rPr>
        <w:t>Journal of Management Accounting Research</w:t>
      </w:r>
      <w:r w:rsidRPr="00D54138">
        <w:rPr>
          <w:rFonts w:ascii="Times New Roman" w:hAnsi="Times New Roman"/>
          <w:noProof/>
          <w:color w:val="000000" w:themeColor="text1"/>
          <w:sz w:val="24"/>
        </w:rPr>
        <w:t xml:space="preserve">, </w:t>
      </w:r>
      <w:r w:rsidRPr="00D54138">
        <w:rPr>
          <w:rFonts w:ascii="Times New Roman" w:hAnsi="Times New Roman"/>
          <w:i/>
          <w:iCs/>
          <w:noProof/>
          <w:color w:val="000000" w:themeColor="text1"/>
          <w:sz w:val="24"/>
        </w:rPr>
        <w:t>28</w:t>
      </w:r>
      <w:r w:rsidRPr="00D54138">
        <w:rPr>
          <w:rFonts w:ascii="Times New Roman" w:hAnsi="Times New Roman"/>
          <w:noProof/>
          <w:color w:val="000000" w:themeColor="text1"/>
          <w:sz w:val="24"/>
        </w:rPr>
        <w:t>(2), 149–178. https://doi.org/10.2308/jmar-51476</w:t>
      </w:r>
    </w:p>
    <w:p w14:paraId="3199E4DF" w14:textId="77777777" w:rsidR="005E5542" w:rsidRPr="00D54138" w:rsidRDefault="005E5542" w:rsidP="0029473C">
      <w:pPr>
        <w:pStyle w:val="ListParagraph"/>
        <w:widowControl w:val="0"/>
        <w:numPr>
          <w:ilvl w:val="0"/>
          <w:numId w:val="4"/>
        </w:numPr>
        <w:autoSpaceDE w:val="0"/>
        <w:autoSpaceDN w:val="0"/>
        <w:adjustRightInd w:val="0"/>
        <w:spacing w:after="0" w:line="240" w:lineRule="auto"/>
        <w:jc w:val="both"/>
        <w:rPr>
          <w:rFonts w:ascii="Times New Roman" w:hAnsi="Times New Roman"/>
          <w:noProof/>
          <w:color w:val="000000" w:themeColor="text1"/>
          <w:sz w:val="24"/>
        </w:rPr>
      </w:pPr>
      <w:r w:rsidRPr="00D54138">
        <w:rPr>
          <w:rFonts w:ascii="Times New Roman" w:hAnsi="Times New Roman"/>
          <w:noProof/>
          <w:color w:val="000000" w:themeColor="text1"/>
          <w:sz w:val="24"/>
        </w:rPr>
        <w:t xml:space="preserve">Latan, H., Chiappetta Jabbour, C. J., Lopes de Sousa Jabbour, A. B., Wamba, S. F., &amp; Shahbaz, M. </w:t>
      </w:r>
      <w:r w:rsidRPr="00D54138">
        <w:rPr>
          <w:rFonts w:ascii="Times New Roman" w:hAnsi="Times New Roman"/>
          <w:noProof/>
          <w:color w:val="000000" w:themeColor="text1"/>
          <w:sz w:val="24"/>
        </w:rPr>
        <w:lastRenderedPageBreak/>
        <w:t xml:space="preserve">(2018). Effects of environmental strategy, environmental uncertainty and top management’s commitment on corporate environmental performance: The role of environmental management accounting. In </w:t>
      </w:r>
      <w:r w:rsidRPr="00D54138">
        <w:rPr>
          <w:rFonts w:ascii="Times New Roman" w:hAnsi="Times New Roman"/>
          <w:i/>
          <w:iCs/>
          <w:noProof/>
          <w:color w:val="000000" w:themeColor="text1"/>
          <w:sz w:val="24"/>
        </w:rPr>
        <w:t>Journal of Cleaner Production</w:t>
      </w:r>
      <w:r w:rsidRPr="00D54138">
        <w:rPr>
          <w:rFonts w:ascii="Times New Roman" w:hAnsi="Times New Roman"/>
          <w:noProof/>
          <w:color w:val="000000" w:themeColor="text1"/>
          <w:sz w:val="24"/>
        </w:rPr>
        <w:t xml:space="preserve"> (Vol. 180, pp. 297–306). https://doi.org/10.1016/j.jclepro.2018.01.106</w:t>
      </w:r>
    </w:p>
    <w:p w14:paraId="77EE18D9" w14:textId="77777777" w:rsidR="005E5542" w:rsidRPr="00D54138" w:rsidRDefault="005E5542" w:rsidP="0029473C">
      <w:pPr>
        <w:pStyle w:val="ListParagraph"/>
        <w:widowControl w:val="0"/>
        <w:numPr>
          <w:ilvl w:val="0"/>
          <w:numId w:val="4"/>
        </w:numPr>
        <w:autoSpaceDE w:val="0"/>
        <w:autoSpaceDN w:val="0"/>
        <w:adjustRightInd w:val="0"/>
        <w:spacing w:after="0" w:line="240" w:lineRule="auto"/>
        <w:jc w:val="both"/>
        <w:rPr>
          <w:rFonts w:ascii="Times New Roman" w:hAnsi="Times New Roman"/>
          <w:noProof/>
          <w:color w:val="000000" w:themeColor="text1"/>
          <w:sz w:val="24"/>
        </w:rPr>
      </w:pPr>
      <w:r w:rsidRPr="00D54138">
        <w:rPr>
          <w:rFonts w:ascii="Times New Roman" w:hAnsi="Times New Roman"/>
          <w:noProof/>
          <w:color w:val="000000" w:themeColor="text1"/>
          <w:sz w:val="24"/>
        </w:rPr>
        <w:t xml:space="preserve">Latif, B., Mahmood, Z., San, O. T., Said, R. M., &amp; Bakhsh, A. (2020). Coercive, normative and mimetic pressures as drivers of environmental management accounting adoption. </w:t>
      </w:r>
      <w:r w:rsidRPr="00D54138">
        <w:rPr>
          <w:rFonts w:ascii="Times New Roman" w:hAnsi="Times New Roman"/>
          <w:i/>
          <w:iCs/>
          <w:noProof/>
          <w:color w:val="000000" w:themeColor="text1"/>
          <w:sz w:val="24"/>
        </w:rPr>
        <w:t>Sustainability (Switzerland)</w:t>
      </w:r>
      <w:r w:rsidRPr="00D54138">
        <w:rPr>
          <w:rFonts w:ascii="Times New Roman" w:hAnsi="Times New Roman"/>
          <w:noProof/>
          <w:color w:val="000000" w:themeColor="text1"/>
          <w:sz w:val="24"/>
        </w:rPr>
        <w:t xml:space="preserve">, </w:t>
      </w:r>
      <w:r w:rsidRPr="00D54138">
        <w:rPr>
          <w:rFonts w:ascii="Times New Roman" w:hAnsi="Times New Roman"/>
          <w:i/>
          <w:iCs/>
          <w:noProof/>
          <w:color w:val="000000" w:themeColor="text1"/>
          <w:sz w:val="24"/>
        </w:rPr>
        <w:t>12</w:t>
      </w:r>
      <w:r w:rsidRPr="00D54138">
        <w:rPr>
          <w:rFonts w:ascii="Times New Roman" w:hAnsi="Times New Roman"/>
          <w:noProof/>
          <w:color w:val="000000" w:themeColor="text1"/>
          <w:sz w:val="24"/>
        </w:rPr>
        <w:t>(11). https://doi.org/10.3390/su12114506</w:t>
      </w:r>
    </w:p>
    <w:p w14:paraId="043C34DF" w14:textId="77777777" w:rsidR="005E5542" w:rsidRPr="00D54138" w:rsidRDefault="005E5542" w:rsidP="0029473C">
      <w:pPr>
        <w:pStyle w:val="ListParagraph"/>
        <w:widowControl w:val="0"/>
        <w:numPr>
          <w:ilvl w:val="0"/>
          <w:numId w:val="4"/>
        </w:numPr>
        <w:autoSpaceDE w:val="0"/>
        <w:autoSpaceDN w:val="0"/>
        <w:adjustRightInd w:val="0"/>
        <w:spacing w:after="0" w:line="240" w:lineRule="auto"/>
        <w:jc w:val="both"/>
        <w:rPr>
          <w:rFonts w:ascii="Times New Roman" w:hAnsi="Times New Roman"/>
          <w:noProof/>
          <w:color w:val="000000" w:themeColor="text1"/>
          <w:sz w:val="24"/>
        </w:rPr>
      </w:pPr>
      <w:r w:rsidRPr="00D54138">
        <w:rPr>
          <w:rFonts w:ascii="Times New Roman" w:hAnsi="Times New Roman"/>
          <w:noProof/>
          <w:color w:val="000000" w:themeColor="text1"/>
          <w:sz w:val="24"/>
        </w:rPr>
        <w:t xml:space="preserve">Le, T. T. (2020). Performance measures and metrics in a supply chain environment. </w:t>
      </w:r>
      <w:r w:rsidRPr="00D54138">
        <w:rPr>
          <w:rFonts w:ascii="Times New Roman" w:hAnsi="Times New Roman"/>
          <w:i/>
          <w:iCs/>
          <w:noProof/>
          <w:color w:val="000000" w:themeColor="text1"/>
          <w:sz w:val="24"/>
        </w:rPr>
        <w:t>Uncertain Supply Chain Management</w:t>
      </w:r>
      <w:r w:rsidRPr="00D54138">
        <w:rPr>
          <w:rFonts w:ascii="Times New Roman" w:hAnsi="Times New Roman"/>
          <w:noProof/>
          <w:color w:val="000000" w:themeColor="text1"/>
          <w:sz w:val="24"/>
        </w:rPr>
        <w:t xml:space="preserve">, </w:t>
      </w:r>
      <w:r w:rsidRPr="00D54138">
        <w:rPr>
          <w:rFonts w:ascii="Times New Roman" w:hAnsi="Times New Roman"/>
          <w:i/>
          <w:iCs/>
          <w:noProof/>
          <w:color w:val="000000" w:themeColor="text1"/>
          <w:sz w:val="24"/>
        </w:rPr>
        <w:t>8</w:t>
      </w:r>
      <w:r w:rsidRPr="00D54138">
        <w:rPr>
          <w:rFonts w:ascii="Times New Roman" w:hAnsi="Times New Roman"/>
          <w:noProof/>
          <w:color w:val="000000" w:themeColor="text1"/>
          <w:sz w:val="24"/>
        </w:rPr>
        <w:t>(1), 93–104. https://doi.org/10.5267/j.uscm.2019.8.003</w:t>
      </w:r>
    </w:p>
    <w:p w14:paraId="14C50231" w14:textId="77777777" w:rsidR="005E5542" w:rsidRPr="00D54138" w:rsidRDefault="005E5542" w:rsidP="0029473C">
      <w:pPr>
        <w:pStyle w:val="ListParagraph"/>
        <w:widowControl w:val="0"/>
        <w:numPr>
          <w:ilvl w:val="0"/>
          <w:numId w:val="4"/>
        </w:numPr>
        <w:autoSpaceDE w:val="0"/>
        <w:autoSpaceDN w:val="0"/>
        <w:adjustRightInd w:val="0"/>
        <w:spacing w:after="0" w:line="240" w:lineRule="auto"/>
        <w:jc w:val="both"/>
        <w:rPr>
          <w:rFonts w:ascii="Times New Roman" w:hAnsi="Times New Roman"/>
          <w:noProof/>
          <w:color w:val="000000" w:themeColor="text1"/>
          <w:sz w:val="24"/>
        </w:rPr>
      </w:pPr>
      <w:r w:rsidRPr="00D54138">
        <w:rPr>
          <w:rFonts w:ascii="Times New Roman" w:hAnsi="Times New Roman"/>
          <w:noProof/>
          <w:color w:val="000000" w:themeColor="text1"/>
          <w:sz w:val="24"/>
        </w:rPr>
        <w:t xml:space="preserve">Le, T. T., Nguyen, T. M. A., &amp; Phan, T. T. H. (2019). Environmental management accounting and performance efficiency in the Vietnamese construction material industry-a managerial implication for sustainable development. </w:t>
      </w:r>
      <w:r w:rsidRPr="00D54138">
        <w:rPr>
          <w:rFonts w:ascii="Times New Roman" w:hAnsi="Times New Roman"/>
          <w:i/>
          <w:iCs/>
          <w:noProof/>
          <w:color w:val="000000" w:themeColor="text1"/>
          <w:sz w:val="24"/>
        </w:rPr>
        <w:t>Sustainability (Switzerland)</w:t>
      </w:r>
      <w:r w:rsidRPr="00D54138">
        <w:rPr>
          <w:rFonts w:ascii="Times New Roman" w:hAnsi="Times New Roman"/>
          <w:noProof/>
          <w:color w:val="000000" w:themeColor="text1"/>
          <w:sz w:val="24"/>
        </w:rPr>
        <w:t xml:space="preserve">, </w:t>
      </w:r>
      <w:r w:rsidRPr="00D54138">
        <w:rPr>
          <w:rFonts w:ascii="Times New Roman" w:hAnsi="Times New Roman"/>
          <w:i/>
          <w:iCs/>
          <w:noProof/>
          <w:color w:val="000000" w:themeColor="text1"/>
          <w:sz w:val="24"/>
        </w:rPr>
        <w:t>11</w:t>
      </w:r>
      <w:r w:rsidRPr="00D54138">
        <w:rPr>
          <w:rFonts w:ascii="Times New Roman" w:hAnsi="Times New Roman"/>
          <w:noProof/>
          <w:color w:val="000000" w:themeColor="text1"/>
          <w:sz w:val="24"/>
        </w:rPr>
        <w:t>(19). https://doi.org/10.3390/su11195152</w:t>
      </w:r>
    </w:p>
    <w:p w14:paraId="64F1C799" w14:textId="77777777" w:rsidR="005E5542" w:rsidRPr="00D54138" w:rsidRDefault="005E5542" w:rsidP="0029473C">
      <w:pPr>
        <w:pStyle w:val="ListParagraph"/>
        <w:widowControl w:val="0"/>
        <w:numPr>
          <w:ilvl w:val="0"/>
          <w:numId w:val="4"/>
        </w:numPr>
        <w:autoSpaceDE w:val="0"/>
        <w:autoSpaceDN w:val="0"/>
        <w:adjustRightInd w:val="0"/>
        <w:spacing w:after="0" w:line="240" w:lineRule="auto"/>
        <w:jc w:val="both"/>
        <w:rPr>
          <w:rFonts w:ascii="Times New Roman" w:hAnsi="Times New Roman"/>
          <w:noProof/>
          <w:color w:val="000000" w:themeColor="text1"/>
          <w:sz w:val="24"/>
        </w:rPr>
      </w:pPr>
      <w:r w:rsidRPr="00D54138">
        <w:rPr>
          <w:rFonts w:ascii="Times New Roman" w:hAnsi="Times New Roman"/>
          <w:noProof/>
          <w:color w:val="000000" w:themeColor="text1"/>
          <w:sz w:val="24"/>
        </w:rPr>
        <w:t xml:space="preserve">Lim, S., &amp; Park, J. M. (2007). Environmental and economic analysis of a water network system using LCA and LCC. </w:t>
      </w:r>
      <w:r w:rsidRPr="00D54138">
        <w:rPr>
          <w:rFonts w:ascii="Times New Roman" w:hAnsi="Times New Roman"/>
          <w:i/>
          <w:iCs/>
          <w:noProof/>
          <w:color w:val="000000" w:themeColor="text1"/>
          <w:sz w:val="24"/>
        </w:rPr>
        <w:t>AIChE Journal</w:t>
      </w:r>
      <w:r w:rsidRPr="00D54138">
        <w:rPr>
          <w:rFonts w:ascii="Times New Roman" w:hAnsi="Times New Roman"/>
          <w:noProof/>
          <w:color w:val="000000" w:themeColor="text1"/>
          <w:sz w:val="24"/>
        </w:rPr>
        <w:t xml:space="preserve">, </w:t>
      </w:r>
      <w:r w:rsidRPr="00D54138">
        <w:rPr>
          <w:rFonts w:ascii="Times New Roman" w:hAnsi="Times New Roman"/>
          <w:i/>
          <w:iCs/>
          <w:noProof/>
          <w:color w:val="000000" w:themeColor="text1"/>
          <w:sz w:val="24"/>
        </w:rPr>
        <w:t>53</w:t>
      </w:r>
      <w:r w:rsidRPr="00D54138">
        <w:rPr>
          <w:rFonts w:ascii="Times New Roman" w:hAnsi="Times New Roman"/>
          <w:noProof/>
          <w:color w:val="000000" w:themeColor="text1"/>
          <w:sz w:val="24"/>
        </w:rPr>
        <w:t>(12), 3253–3262.</w:t>
      </w:r>
    </w:p>
    <w:p w14:paraId="2A832275" w14:textId="77777777" w:rsidR="005E5542" w:rsidRPr="00D54138" w:rsidRDefault="005E5542" w:rsidP="0029473C">
      <w:pPr>
        <w:pStyle w:val="ListParagraph"/>
        <w:widowControl w:val="0"/>
        <w:numPr>
          <w:ilvl w:val="0"/>
          <w:numId w:val="4"/>
        </w:numPr>
        <w:autoSpaceDE w:val="0"/>
        <w:autoSpaceDN w:val="0"/>
        <w:adjustRightInd w:val="0"/>
        <w:spacing w:after="0" w:line="240" w:lineRule="auto"/>
        <w:jc w:val="both"/>
        <w:rPr>
          <w:rFonts w:ascii="Times New Roman" w:hAnsi="Times New Roman"/>
          <w:noProof/>
          <w:color w:val="000000" w:themeColor="text1"/>
          <w:sz w:val="24"/>
        </w:rPr>
      </w:pPr>
      <w:r w:rsidRPr="00D54138">
        <w:rPr>
          <w:rFonts w:ascii="Times New Roman" w:hAnsi="Times New Roman"/>
          <w:noProof/>
          <w:color w:val="000000" w:themeColor="text1"/>
          <w:sz w:val="24"/>
        </w:rPr>
        <w:t xml:space="preserve">Mbedzi, Mashudu D., van der Poll, H. M., &amp; van der Poll, J. A. (2018). An Information Framework for facilitating cost saving of environmental impacts in the coal mining industry in South Africa. </w:t>
      </w:r>
      <w:r w:rsidRPr="00D54138">
        <w:rPr>
          <w:rFonts w:ascii="Times New Roman" w:hAnsi="Times New Roman"/>
          <w:i/>
          <w:iCs/>
          <w:noProof/>
          <w:color w:val="000000" w:themeColor="text1"/>
          <w:sz w:val="24"/>
        </w:rPr>
        <w:t>Sustainability (Switzerland)</w:t>
      </w:r>
      <w:r w:rsidRPr="00D54138">
        <w:rPr>
          <w:rFonts w:ascii="Times New Roman" w:hAnsi="Times New Roman"/>
          <w:noProof/>
          <w:color w:val="000000" w:themeColor="text1"/>
          <w:sz w:val="24"/>
        </w:rPr>
        <w:t xml:space="preserve">, </w:t>
      </w:r>
      <w:r w:rsidRPr="00D54138">
        <w:rPr>
          <w:rFonts w:ascii="Times New Roman" w:hAnsi="Times New Roman"/>
          <w:i/>
          <w:iCs/>
          <w:noProof/>
          <w:color w:val="000000" w:themeColor="text1"/>
          <w:sz w:val="24"/>
        </w:rPr>
        <w:t>10</w:t>
      </w:r>
      <w:r w:rsidRPr="00D54138">
        <w:rPr>
          <w:rFonts w:ascii="Times New Roman" w:hAnsi="Times New Roman"/>
          <w:noProof/>
          <w:color w:val="000000" w:themeColor="text1"/>
          <w:sz w:val="24"/>
        </w:rPr>
        <w:t>(6). https://doi.org/10.3390/su10061690</w:t>
      </w:r>
    </w:p>
    <w:p w14:paraId="03CDAF3C" w14:textId="77777777" w:rsidR="005E5542" w:rsidRPr="00D54138" w:rsidRDefault="005E5542" w:rsidP="0029473C">
      <w:pPr>
        <w:pStyle w:val="ListParagraph"/>
        <w:widowControl w:val="0"/>
        <w:numPr>
          <w:ilvl w:val="0"/>
          <w:numId w:val="4"/>
        </w:numPr>
        <w:autoSpaceDE w:val="0"/>
        <w:autoSpaceDN w:val="0"/>
        <w:adjustRightInd w:val="0"/>
        <w:spacing w:after="0" w:line="240" w:lineRule="auto"/>
        <w:jc w:val="both"/>
        <w:rPr>
          <w:rFonts w:ascii="Times New Roman" w:hAnsi="Times New Roman"/>
          <w:noProof/>
          <w:color w:val="000000" w:themeColor="text1"/>
          <w:sz w:val="24"/>
        </w:rPr>
      </w:pPr>
      <w:r w:rsidRPr="00D54138">
        <w:rPr>
          <w:rFonts w:ascii="Times New Roman" w:hAnsi="Times New Roman"/>
          <w:noProof/>
          <w:color w:val="000000" w:themeColor="text1"/>
          <w:sz w:val="24"/>
        </w:rPr>
        <w:t xml:space="preserve">Mbedzi, Mashudu David, van der Poll, H. M., &amp; van der Poll, J. A. (2020). Enhancing a decision-making framework to address environmental impacts of the south african coalmining industry. </w:t>
      </w:r>
      <w:r w:rsidRPr="00D54138">
        <w:rPr>
          <w:rFonts w:ascii="Times New Roman" w:hAnsi="Times New Roman"/>
          <w:i/>
          <w:iCs/>
          <w:noProof/>
          <w:color w:val="000000" w:themeColor="text1"/>
          <w:sz w:val="24"/>
        </w:rPr>
        <w:t>Energies</w:t>
      </w:r>
      <w:r w:rsidRPr="00D54138">
        <w:rPr>
          <w:rFonts w:ascii="Times New Roman" w:hAnsi="Times New Roman"/>
          <w:noProof/>
          <w:color w:val="000000" w:themeColor="text1"/>
          <w:sz w:val="24"/>
        </w:rPr>
        <w:t xml:space="preserve">, </w:t>
      </w:r>
      <w:r w:rsidRPr="00D54138">
        <w:rPr>
          <w:rFonts w:ascii="Times New Roman" w:hAnsi="Times New Roman"/>
          <w:i/>
          <w:iCs/>
          <w:noProof/>
          <w:color w:val="000000" w:themeColor="text1"/>
          <w:sz w:val="24"/>
        </w:rPr>
        <w:t>13</w:t>
      </w:r>
      <w:r w:rsidRPr="00D54138">
        <w:rPr>
          <w:rFonts w:ascii="Times New Roman" w:hAnsi="Times New Roman"/>
          <w:noProof/>
          <w:color w:val="000000" w:themeColor="text1"/>
          <w:sz w:val="24"/>
        </w:rPr>
        <w:t>(18). https://doi.org/10.3390/en13184897</w:t>
      </w:r>
    </w:p>
    <w:p w14:paraId="04C84447" w14:textId="77777777" w:rsidR="005E5542" w:rsidRPr="00D54138" w:rsidRDefault="005E5542" w:rsidP="0029473C">
      <w:pPr>
        <w:pStyle w:val="ListParagraph"/>
        <w:widowControl w:val="0"/>
        <w:numPr>
          <w:ilvl w:val="0"/>
          <w:numId w:val="4"/>
        </w:numPr>
        <w:autoSpaceDE w:val="0"/>
        <w:autoSpaceDN w:val="0"/>
        <w:adjustRightInd w:val="0"/>
        <w:spacing w:after="0" w:line="240" w:lineRule="auto"/>
        <w:jc w:val="both"/>
        <w:rPr>
          <w:rFonts w:ascii="Times New Roman" w:hAnsi="Times New Roman"/>
          <w:noProof/>
          <w:color w:val="000000" w:themeColor="text1"/>
          <w:sz w:val="24"/>
        </w:rPr>
      </w:pPr>
      <w:r w:rsidRPr="00D54138">
        <w:rPr>
          <w:rFonts w:ascii="Times New Roman" w:hAnsi="Times New Roman"/>
          <w:noProof/>
          <w:color w:val="000000" w:themeColor="text1"/>
          <w:sz w:val="24"/>
        </w:rPr>
        <w:t xml:space="preserve">Mohd Jama, N., Wui Kiet, W., Mohamed Saat, M., Othman, A., &amp; Ramakrishnan, S. (2018). Green supply chain practices, environmental management accounting and performance of ISO 14001 certified organizations. In </w:t>
      </w:r>
      <w:r w:rsidRPr="00D54138">
        <w:rPr>
          <w:rFonts w:ascii="Times New Roman" w:hAnsi="Times New Roman"/>
          <w:i/>
          <w:iCs/>
          <w:noProof/>
          <w:color w:val="000000" w:themeColor="text1"/>
          <w:sz w:val="24"/>
        </w:rPr>
        <w:t>International Journal of Engineering &amp; Technology</w:t>
      </w:r>
      <w:r w:rsidRPr="00D54138">
        <w:rPr>
          <w:rFonts w:ascii="Times New Roman" w:hAnsi="Times New Roman"/>
          <w:noProof/>
          <w:color w:val="000000" w:themeColor="text1"/>
          <w:sz w:val="24"/>
        </w:rPr>
        <w:t xml:space="preserve"> (Vol. 7, pp. 169–172). eprints.utm.my. https://www.doe.gov.my/portalv1/wp-</w:t>
      </w:r>
    </w:p>
    <w:p w14:paraId="11F0031B" w14:textId="77777777" w:rsidR="005E5542" w:rsidRPr="00D54138" w:rsidRDefault="005E5542" w:rsidP="0029473C">
      <w:pPr>
        <w:pStyle w:val="ListParagraph"/>
        <w:widowControl w:val="0"/>
        <w:numPr>
          <w:ilvl w:val="0"/>
          <w:numId w:val="4"/>
        </w:numPr>
        <w:autoSpaceDE w:val="0"/>
        <w:autoSpaceDN w:val="0"/>
        <w:adjustRightInd w:val="0"/>
        <w:spacing w:after="0" w:line="240" w:lineRule="auto"/>
        <w:jc w:val="both"/>
        <w:rPr>
          <w:rFonts w:ascii="Times New Roman" w:hAnsi="Times New Roman"/>
          <w:noProof/>
          <w:color w:val="000000" w:themeColor="text1"/>
          <w:sz w:val="24"/>
        </w:rPr>
      </w:pPr>
      <w:r w:rsidRPr="00D54138">
        <w:rPr>
          <w:rFonts w:ascii="Times New Roman" w:hAnsi="Times New Roman"/>
          <w:noProof/>
          <w:color w:val="000000" w:themeColor="text1"/>
          <w:sz w:val="24"/>
        </w:rPr>
        <w:t xml:space="preserve">Nartey, E. (2018). Determinants of carbon management accounting adoption in Ghanaian firms. </w:t>
      </w:r>
      <w:r w:rsidRPr="00D54138">
        <w:rPr>
          <w:rFonts w:ascii="Times New Roman" w:hAnsi="Times New Roman"/>
          <w:i/>
          <w:iCs/>
          <w:noProof/>
          <w:color w:val="000000" w:themeColor="text1"/>
          <w:sz w:val="24"/>
        </w:rPr>
        <w:t>Meditari Accountancy Research</w:t>
      </w:r>
      <w:r w:rsidRPr="00D54138">
        <w:rPr>
          <w:rFonts w:ascii="Times New Roman" w:hAnsi="Times New Roman"/>
          <w:noProof/>
          <w:color w:val="000000" w:themeColor="text1"/>
          <w:sz w:val="24"/>
        </w:rPr>
        <w:t xml:space="preserve">, </w:t>
      </w:r>
      <w:r w:rsidRPr="00D54138">
        <w:rPr>
          <w:rFonts w:ascii="Times New Roman" w:hAnsi="Times New Roman"/>
          <w:i/>
          <w:iCs/>
          <w:noProof/>
          <w:color w:val="000000" w:themeColor="text1"/>
          <w:sz w:val="24"/>
        </w:rPr>
        <w:t>26</w:t>
      </w:r>
      <w:r w:rsidRPr="00D54138">
        <w:rPr>
          <w:rFonts w:ascii="Times New Roman" w:hAnsi="Times New Roman"/>
          <w:noProof/>
          <w:color w:val="000000" w:themeColor="text1"/>
          <w:sz w:val="24"/>
        </w:rPr>
        <w:t>(1), 88–121. https://doi.org/10.1108/MEDAR-03-2017-0133</w:t>
      </w:r>
    </w:p>
    <w:p w14:paraId="3FB3D5D6" w14:textId="77777777" w:rsidR="005E5542" w:rsidRPr="00D54138" w:rsidRDefault="005E5542" w:rsidP="0029473C">
      <w:pPr>
        <w:pStyle w:val="ListParagraph"/>
        <w:widowControl w:val="0"/>
        <w:numPr>
          <w:ilvl w:val="0"/>
          <w:numId w:val="4"/>
        </w:numPr>
        <w:autoSpaceDE w:val="0"/>
        <w:autoSpaceDN w:val="0"/>
        <w:adjustRightInd w:val="0"/>
        <w:spacing w:after="0" w:line="240" w:lineRule="auto"/>
        <w:jc w:val="both"/>
        <w:rPr>
          <w:rFonts w:ascii="Times New Roman" w:hAnsi="Times New Roman"/>
          <w:noProof/>
          <w:color w:val="000000" w:themeColor="text1"/>
          <w:sz w:val="24"/>
        </w:rPr>
      </w:pPr>
      <w:r w:rsidRPr="00D54138">
        <w:rPr>
          <w:rFonts w:ascii="Times New Roman" w:hAnsi="Times New Roman"/>
          <w:noProof/>
          <w:color w:val="000000" w:themeColor="text1"/>
          <w:sz w:val="24"/>
        </w:rPr>
        <w:t xml:space="preserve">Otley, D. T. (1980). The contingency theory of management accounting: achievement and prognosis. In </w:t>
      </w:r>
      <w:r w:rsidRPr="00D54138">
        <w:rPr>
          <w:rFonts w:ascii="Times New Roman" w:hAnsi="Times New Roman"/>
          <w:i/>
          <w:iCs/>
          <w:noProof/>
          <w:color w:val="000000" w:themeColor="text1"/>
          <w:sz w:val="24"/>
        </w:rPr>
        <w:t>Readings in accounting for management control</w:t>
      </w:r>
      <w:r w:rsidRPr="00D54138">
        <w:rPr>
          <w:rFonts w:ascii="Times New Roman" w:hAnsi="Times New Roman"/>
          <w:noProof/>
          <w:color w:val="000000" w:themeColor="text1"/>
          <w:sz w:val="24"/>
        </w:rPr>
        <w:t xml:space="preserve"> (pp. 83–106). Springer.</w:t>
      </w:r>
    </w:p>
    <w:p w14:paraId="711F40F7" w14:textId="77777777" w:rsidR="005E5542" w:rsidRPr="00D54138" w:rsidRDefault="005E5542" w:rsidP="0029473C">
      <w:pPr>
        <w:pStyle w:val="ListParagraph"/>
        <w:widowControl w:val="0"/>
        <w:numPr>
          <w:ilvl w:val="0"/>
          <w:numId w:val="4"/>
        </w:numPr>
        <w:autoSpaceDE w:val="0"/>
        <w:autoSpaceDN w:val="0"/>
        <w:adjustRightInd w:val="0"/>
        <w:spacing w:after="0" w:line="240" w:lineRule="auto"/>
        <w:jc w:val="both"/>
        <w:rPr>
          <w:rFonts w:ascii="Times New Roman" w:hAnsi="Times New Roman"/>
          <w:noProof/>
          <w:color w:val="000000" w:themeColor="text1"/>
          <w:sz w:val="24"/>
        </w:rPr>
      </w:pPr>
      <w:r w:rsidRPr="00D54138">
        <w:rPr>
          <w:rFonts w:ascii="Times New Roman" w:hAnsi="Times New Roman"/>
          <w:noProof/>
          <w:color w:val="000000" w:themeColor="text1"/>
          <w:sz w:val="24"/>
        </w:rPr>
        <w:t xml:space="preserve">Parker, L. D. (1997). Accounting for environmental strategy: cost management, control and performance evaluation. </w:t>
      </w:r>
      <w:r w:rsidRPr="00D54138">
        <w:rPr>
          <w:rFonts w:ascii="Times New Roman" w:hAnsi="Times New Roman"/>
          <w:i/>
          <w:iCs/>
          <w:noProof/>
          <w:color w:val="000000" w:themeColor="text1"/>
          <w:sz w:val="24"/>
        </w:rPr>
        <w:t>Asia-Pacific Journal of Accounting</w:t>
      </w:r>
      <w:r w:rsidRPr="00D54138">
        <w:rPr>
          <w:rFonts w:ascii="Times New Roman" w:hAnsi="Times New Roman"/>
          <w:noProof/>
          <w:color w:val="000000" w:themeColor="text1"/>
          <w:sz w:val="24"/>
        </w:rPr>
        <w:t xml:space="preserve">, </w:t>
      </w:r>
      <w:r w:rsidRPr="00D54138">
        <w:rPr>
          <w:rFonts w:ascii="Times New Roman" w:hAnsi="Times New Roman"/>
          <w:i/>
          <w:iCs/>
          <w:noProof/>
          <w:color w:val="000000" w:themeColor="text1"/>
          <w:sz w:val="24"/>
        </w:rPr>
        <w:t>4</w:t>
      </w:r>
      <w:r w:rsidRPr="00D54138">
        <w:rPr>
          <w:rFonts w:ascii="Times New Roman" w:hAnsi="Times New Roman"/>
          <w:noProof/>
          <w:color w:val="000000" w:themeColor="text1"/>
          <w:sz w:val="24"/>
        </w:rPr>
        <w:t>(2), 145–173.</w:t>
      </w:r>
    </w:p>
    <w:p w14:paraId="570C35D8" w14:textId="77777777" w:rsidR="005E5542" w:rsidRPr="00D54138" w:rsidRDefault="005E5542" w:rsidP="0029473C">
      <w:pPr>
        <w:pStyle w:val="ListParagraph"/>
        <w:widowControl w:val="0"/>
        <w:numPr>
          <w:ilvl w:val="0"/>
          <w:numId w:val="4"/>
        </w:numPr>
        <w:autoSpaceDE w:val="0"/>
        <w:autoSpaceDN w:val="0"/>
        <w:adjustRightInd w:val="0"/>
        <w:spacing w:after="0" w:line="240" w:lineRule="auto"/>
        <w:jc w:val="both"/>
        <w:rPr>
          <w:rFonts w:ascii="Times New Roman" w:hAnsi="Times New Roman"/>
          <w:noProof/>
          <w:color w:val="000000" w:themeColor="text1"/>
          <w:sz w:val="24"/>
        </w:rPr>
      </w:pPr>
      <w:r w:rsidRPr="00D54138">
        <w:rPr>
          <w:rFonts w:ascii="Times New Roman" w:hAnsi="Times New Roman"/>
          <w:noProof/>
          <w:color w:val="000000" w:themeColor="text1"/>
          <w:sz w:val="24"/>
        </w:rPr>
        <w:t xml:space="preserve">Phan, T. N., Baird, K., &amp; Su, S. (2017). The use and effectiveness of environmental management accounting. </w:t>
      </w:r>
      <w:r w:rsidRPr="00D54138">
        <w:rPr>
          <w:rFonts w:ascii="Times New Roman" w:hAnsi="Times New Roman"/>
          <w:i/>
          <w:iCs/>
          <w:noProof/>
          <w:color w:val="000000" w:themeColor="text1"/>
          <w:sz w:val="24"/>
        </w:rPr>
        <w:t>Australasian Journal of Environmental Management</w:t>
      </w:r>
      <w:r w:rsidRPr="00D54138">
        <w:rPr>
          <w:rFonts w:ascii="Times New Roman" w:hAnsi="Times New Roman"/>
          <w:noProof/>
          <w:color w:val="000000" w:themeColor="text1"/>
          <w:sz w:val="24"/>
        </w:rPr>
        <w:t xml:space="preserve">, </w:t>
      </w:r>
      <w:r w:rsidRPr="00D54138">
        <w:rPr>
          <w:rFonts w:ascii="Times New Roman" w:hAnsi="Times New Roman"/>
          <w:i/>
          <w:iCs/>
          <w:noProof/>
          <w:color w:val="000000" w:themeColor="text1"/>
          <w:sz w:val="24"/>
        </w:rPr>
        <w:t>24</w:t>
      </w:r>
      <w:r w:rsidRPr="00D54138">
        <w:rPr>
          <w:rFonts w:ascii="Times New Roman" w:hAnsi="Times New Roman"/>
          <w:noProof/>
          <w:color w:val="000000" w:themeColor="text1"/>
          <w:sz w:val="24"/>
        </w:rPr>
        <w:t>(4), 355–374. https://doi.org/10.1080/14486563.2017.1354235</w:t>
      </w:r>
    </w:p>
    <w:p w14:paraId="0A7A91E3" w14:textId="77777777" w:rsidR="005E5542" w:rsidRPr="00D54138" w:rsidRDefault="005E5542" w:rsidP="0029473C">
      <w:pPr>
        <w:pStyle w:val="ListParagraph"/>
        <w:widowControl w:val="0"/>
        <w:numPr>
          <w:ilvl w:val="0"/>
          <w:numId w:val="4"/>
        </w:numPr>
        <w:autoSpaceDE w:val="0"/>
        <w:autoSpaceDN w:val="0"/>
        <w:adjustRightInd w:val="0"/>
        <w:spacing w:after="0" w:line="240" w:lineRule="auto"/>
        <w:jc w:val="both"/>
        <w:rPr>
          <w:rFonts w:ascii="Times New Roman" w:hAnsi="Times New Roman"/>
          <w:noProof/>
          <w:color w:val="000000" w:themeColor="text1"/>
          <w:sz w:val="24"/>
        </w:rPr>
      </w:pPr>
      <w:r w:rsidRPr="00D54138">
        <w:rPr>
          <w:rFonts w:ascii="Times New Roman" w:hAnsi="Times New Roman"/>
          <w:noProof/>
          <w:color w:val="000000" w:themeColor="text1"/>
          <w:sz w:val="24"/>
        </w:rPr>
        <w:t xml:space="preserve">Portillo-Tarragona, P., Scarpellini, S., Moneva, J. M., Valero-Gil, J., &amp; Aranda-Usón, A. (2018). Classification and measurement of the firms’ resources and capabilities applied to eco-innovation projects from a resource-based view perspective. </w:t>
      </w:r>
      <w:r w:rsidRPr="00D54138">
        <w:rPr>
          <w:rFonts w:ascii="Times New Roman" w:hAnsi="Times New Roman"/>
          <w:i/>
          <w:iCs/>
          <w:noProof/>
          <w:color w:val="000000" w:themeColor="text1"/>
          <w:sz w:val="24"/>
        </w:rPr>
        <w:t>Sustainability (Switzerland)</w:t>
      </w:r>
      <w:r w:rsidRPr="00D54138">
        <w:rPr>
          <w:rFonts w:ascii="Times New Roman" w:hAnsi="Times New Roman"/>
          <w:noProof/>
          <w:color w:val="000000" w:themeColor="text1"/>
          <w:sz w:val="24"/>
        </w:rPr>
        <w:t xml:space="preserve">, </w:t>
      </w:r>
      <w:r w:rsidRPr="00D54138">
        <w:rPr>
          <w:rFonts w:ascii="Times New Roman" w:hAnsi="Times New Roman"/>
          <w:i/>
          <w:iCs/>
          <w:noProof/>
          <w:color w:val="000000" w:themeColor="text1"/>
          <w:sz w:val="24"/>
        </w:rPr>
        <w:t>10</w:t>
      </w:r>
      <w:r w:rsidRPr="00D54138">
        <w:rPr>
          <w:rFonts w:ascii="Times New Roman" w:hAnsi="Times New Roman"/>
          <w:noProof/>
          <w:color w:val="000000" w:themeColor="text1"/>
          <w:sz w:val="24"/>
        </w:rPr>
        <w:t>(9). https://doi.org/10.3390/su10093161</w:t>
      </w:r>
    </w:p>
    <w:p w14:paraId="1B3B72F4" w14:textId="77777777" w:rsidR="005E5542" w:rsidRPr="00D54138" w:rsidRDefault="005E5542" w:rsidP="0029473C">
      <w:pPr>
        <w:pStyle w:val="ListParagraph"/>
        <w:widowControl w:val="0"/>
        <w:numPr>
          <w:ilvl w:val="0"/>
          <w:numId w:val="4"/>
        </w:numPr>
        <w:autoSpaceDE w:val="0"/>
        <w:autoSpaceDN w:val="0"/>
        <w:adjustRightInd w:val="0"/>
        <w:spacing w:after="0" w:line="240" w:lineRule="auto"/>
        <w:jc w:val="both"/>
        <w:rPr>
          <w:rFonts w:ascii="Times New Roman" w:hAnsi="Times New Roman"/>
          <w:noProof/>
          <w:color w:val="000000" w:themeColor="text1"/>
          <w:sz w:val="24"/>
        </w:rPr>
      </w:pPr>
      <w:r w:rsidRPr="00D54138">
        <w:rPr>
          <w:rFonts w:ascii="Times New Roman" w:hAnsi="Times New Roman"/>
          <w:noProof/>
          <w:color w:val="000000" w:themeColor="text1"/>
          <w:sz w:val="24"/>
        </w:rPr>
        <w:t xml:space="preserve">Qian, W., Burritt, R. L., &amp; Monroe, G. S. (2018). Environmental management accounting in local government: Functional and institutional imperatives. </w:t>
      </w:r>
      <w:r w:rsidRPr="00D54138">
        <w:rPr>
          <w:rFonts w:ascii="Times New Roman" w:hAnsi="Times New Roman"/>
          <w:i/>
          <w:iCs/>
          <w:noProof/>
          <w:color w:val="000000" w:themeColor="text1"/>
          <w:sz w:val="24"/>
        </w:rPr>
        <w:t>Financial Accountability and Management</w:t>
      </w:r>
      <w:r w:rsidRPr="00D54138">
        <w:rPr>
          <w:rFonts w:ascii="Times New Roman" w:hAnsi="Times New Roman"/>
          <w:noProof/>
          <w:color w:val="000000" w:themeColor="text1"/>
          <w:sz w:val="24"/>
        </w:rPr>
        <w:t xml:space="preserve">, </w:t>
      </w:r>
      <w:r w:rsidRPr="00D54138">
        <w:rPr>
          <w:rFonts w:ascii="Times New Roman" w:hAnsi="Times New Roman"/>
          <w:i/>
          <w:iCs/>
          <w:noProof/>
          <w:color w:val="000000" w:themeColor="text1"/>
          <w:sz w:val="24"/>
        </w:rPr>
        <w:t>34</w:t>
      </w:r>
      <w:r w:rsidRPr="00D54138">
        <w:rPr>
          <w:rFonts w:ascii="Times New Roman" w:hAnsi="Times New Roman"/>
          <w:noProof/>
          <w:color w:val="000000" w:themeColor="text1"/>
          <w:sz w:val="24"/>
        </w:rPr>
        <w:t>(2), 148–165. https://doi.org/10.1111/faam.12151</w:t>
      </w:r>
    </w:p>
    <w:p w14:paraId="52B5CB0A" w14:textId="77777777" w:rsidR="005E5542" w:rsidRPr="00D54138" w:rsidRDefault="005E5542" w:rsidP="0029473C">
      <w:pPr>
        <w:pStyle w:val="ListParagraph"/>
        <w:widowControl w:val="0"/>
        <w:numPr>
          <w:ilvl w:val="0"/>
          <w:numId w:val="4"/>
        </w:numPr>
        <w:autoSpaceDE w:val="0"/>
        <w:autoSpaceDN w:val="0"/>
        <w:adjustRightInd w:val="0"/>
        <w:spacing w:after="0" w:line="240" w:lineRule="auto"/>
        <w:jc w:val="both"/>
        <w:rPr>
          <w:rFonts w:ascii="Times New Roman" w:hAnsi="Times New Roman"/>
          <w:noProof/>
          <w:color w:val="000000" w:themeColor="text1"/>
          <w:sz w:val="24"/>
        </w:rPr>
      </w:pPr>
      <w:r w:rsidRPr="00D54138">
        <w:rPr>
          <w:rFonts w:ascii="Times New Roman" w:hAnsi="Times New Roman"/>
          <w:noProof/>
          <w:color w:val="000000" w:themeColor="text1"/>
          <w:sz w:val="24"/>
        </w:rPr>
        <w:t xml:space="preserve">Saeidi, S. P., Othman, M. S. H., Saeidi, P., &amp; Saeidi, S. P. (2018). The moderating role of environmental management accounting between environmental innovation and firm financial performance. </w:t>
      </w:r>
      <w:r w:rsidRPr="00D54138">
        <w:rPr>
          <w:rFonts w:ascii="Times New Roman" w:hAnsi="Times New Roman"/>
          <w:i/>
          <w:iCs/>
          <w:noProof/>
          <w:color w:val="000000" w:themeColor="text1"/>
          <w:sz w:val="24"/>
        </w:rPr>
        <w:t>International Journal of Business Performance Management</w:t>
      </w:r>
      <w:r w:rsidRPr="00D54138">
        <w:rPr>
          <w:rFonts w:ascii="Times New Roman" w:hAnsi="Times New Roman"/>
          <w:noProof/>
          <w:color w:val="000000" w:themeColor="text1"/>
          <w:sz w:val="24"/>
        </w:rPr>
        <w:t xml:space="preserve">, </w:t>
      </w:r>
      <w:r w:rsidRPr="00D54138">
        <w:rPr>
          <w:rFonts w:ascii="Times New Roman" w:hAnsi="Times New Roman"/>
          <w:i/>
          <w:iCs/>
          <w:noProof/>
          <w:color w:val="000000" w:themeColor="text1"/>
          <w:sz w:val="24"/>
        </w:rPr>
        <w:t>19</w:t>
      </w:r>
      <w:r w:rsidRPr="00D54138">
        <w:rPr>
          <w:rFonts w:ascii="Times New Roman" w:hAnsi="Times New Roman"/>
          <w:noProof/>
          <w:color w:val="000000" w:themeColor="text1"/>
          <w:sz w:val="24"/>
        </w:rPr>
        <w:t>(3), 326–348. https://doi.org/10.1504/IJBPM.2018.092759</w:t>
      </w:r>
    </w:p>
    <w:p w14:paraId="233B14A7" w14:textId="77777777" w:rsidR="005E5542" w:rsidRPr="00D54138" w:rsidRDefault="005E5542" w:rsidP="0029473C">
      <w:pPr>
        <w:pStyle w:val="ListParagraph"/>
        <w:widowControl w:val="0"/>
        <w:numPr>
          <w:ilvl w:val="0"/>
          <w:numId w:val="4"/>
        </w:numPr>
        <w:autoSpaceDE w:val="0"/>
        <w:autoSpaceDN w:val="0"/>
        <w:adjustRightInd w:val="0"/>
        <w:spacing w:after="0" w:line="240" w:lineRule="auto"/>
        <w:jc w:val="both"/>
        <w:rPr>
          <w:rFonts w:ascii="Times New Roman" w:hAnsi="Times New Roman"/>
          <w:noProof/>
          <w:color w:val="000000" w:themeColor="text1"/>
          <w:sz w:val="24"/>
        </w:rPr>
      </w:pPr>
      <w:r w:rsidRPr="00D54138">
        <w:rPr>
          <w:rFonts w:ascii="Times New Roman" w:hAnsi="Times New Roman"/>
          <w:noProof/>
          <w:color w:val="000000" w:themeColor="text1"/>
          <w:sz w:val="24"/>
        </w:rPr>
        <w:t xml:space="preserve">Saeidi, S. P., Shahwahid, M., &amp; Othman, H. (2017). The mediating role of process and product innovation in the relationship between environmental management accounting and firm’s financial performance. In </w:t>
      </w:r>
      <w:r w:rsidRPr="00D54138">
        <w:rPr>
          <w:rFonts w:ascii="Times New Roman" w:hAnsi="Times New Roman"/>
          <w:i/>
          <w:iCs/>
          <w:noProof/>
          <w:color w:val="000000" w:themeColor="text1"/>
          <w:sz w:val="24"/>
        </w:rPr>
        <w:t>Int. J. Business Innovation and Research</w:t>
      </w:r>
      <w:r w:rsidRPr="00D54138">
        <w:rPr>
          <w:rFonts w:ascii="Times New Roman" w:hAnsi="Times New Roman"/>
          <w:noProof/>
          <w:color w:val="000000" w:themeColor="text1"/>
          <w:sz w:val="24"/>
        </w:rPr>
        <w:t xml:space="preserve"> (Vol. 14, Issue 4).</w:t>
      </w:r>
    </w:p>
    <w:p w14:paraId="2C94123A" w14:textId="77777777" w:rsidR="005E5542" w:rsidRPr="00D54138" w:rsidRDefault="005E5542" w:rsidP="0029473C">
      <w:pPr>
        <w:pStyle w:val="ListParagraph"/>
        <w:widowControl w:val="0"/>
        <w:numPr>
          <w:ilvl w:val="0"/>
          <w:numId w:val="4"/>
        </w:numPr>
        <w:autoSpaceDE w:val="0"/>
        <w:autoSpaceDN w:val="0"/>
        <w:adjustRightInd w:val="0"/>
        <w:spacing w:after="0" w:line="240" w:lineRule="auto"/>
        <w:jc w:val="both"/>
        <w:rPr>
          <w:rFonts w:ascii="Times New Roman" w:hAnsi="Times New Roman"/>
          <w:noProof/>
          <w:color w:val="000000" w:themeColor="text1"/>
          <w:sz w:val="24"/>
        </w:rPr>
      </w:pPr>
      <w:r w:rsidRPr="00D54138">
        <w:rPr>
          <w:rFonts w:ascii="Times New Roman" w:hAnsi="Times New Roman"/>
          <w:noProof/>
          <w:color w:val="000000" w:themeColor="text1"/>
          <w:sz w:val="24"/>
        </w:rPr>
        <w:t xml:space="preserve">San, O. T., Heng, T. B., Selley, S., &amp; Magsi, H. (2018). The relationship between contingent factors that influence the environmental management accounting and environmental performance among manufacturing companies in Klang Valley, Malaysia. In </w:t>
      </w:r>
      <w:r w:rsidRPr="00D54138">
        <w:rPr>
          <w:rFonts w:ascii="Times New Roman" w:hAnsi="Times New Roman"/>
          <w:i/>
          <w:iCs/>
          <w:noProof/>
          <w:color w:val="000000" w:themeColor="text1"/>
          <w:sz w:val="24"/>
        </w:rPr>
        <w:t>International Journal of Economics and Management</w:t>
      </w:r>
      <w:r w:rsidRPr="00D54138">
        <w:rPr>
          <w:rFonts w:ascii="Times New Roman" w:hAnsi="Times New Roman"/>
          <w:noProof/>
          <w:color w:val="000000" w:themeColor="text1"/>
          <w:sz w:val="24"/>
        </w:rPr>
        <w:t xml:space="preserve"> (Vol. 12, Issue 1, pp. 205–232). ijem.upm.edu.my. http://www.ijem.upm.edu.my/vol12no1/11)The Relationship between Contingent Factors that Influence the Environmental Management Accounting.pdf</w:t>
      </w:r>
    </w:p>
    <w:p w14:paraId="478C0074" w14:textId="77777777" w:rsidR="005E5542" w:rsidRPr="00D54138" w:rsidRDefault="005E5542" w:rsidP="0029473C">
      <w:pPr>
        <w:pStyle w:val="ListParagraph"/>
        <w:widowControl w:val="0"/>
        <w:numPr>
          <w:ilvl w:val="0"/>
          <w:numId w:val="4"/>
        </w:numPr>
        <w:autoSpaceDE w:val="0"/>
        <w:autoSpaceDN w:val="0"/>
        <w:adjustRightInd w:val="0"/>
        <w:spacing w:after="0" w:line="240" w:lineRule="auto"/>
        <w:jc w:val="both"/>
        <w:rPr>
          <w:rFonts w:ascii="Times New Roman" w:hAnsi="Times New Roman"/>
          <w:noProof/>
          <w:color w:val="000000" w:themeColor="text1"/>
          <w:sz w:val="24"/>
        </w:rPr>
      </w:pPr>
      <w:r w:rsidRPr="00D54138">
        <w:rPr>
          <w:rFonts w:ascii="Times New Roman" w:hAnsi="Times New Roman"/>
          <w:noProof/>
          <w:color w:val="000000" w:themeColor="text1"/>
          <w:sz w:val="24"/>
        </w:rPr>
        <w:t xml:space="preserve">Sari, R. N., Pratadina, A., Anugerah, R., Kamaliah, K., &amp; Sanusi, Z. M. (2020). Effect of environmental </w:t>
      </w:r>
      <w:r w:rsidRPr="00D54138">
        <w:rPr>
          <w:rFonts w:ascii="Times New Roman" w:hAnsi="Times New Roman"/>
          <w:noProof/>
          <w:color w:val="000000" w:themeColor="text1"/>
          <w:sz w:val="24"/>
        </w:rPr>
        <w:lastRenderedPageBreak/>
        <w:t xml:space="preserve">management accounting practices on organizational performance: role of process innovation as a mediating variable. </w:t>
      </w:r>
      <w:r w:rsidRPr="00D54138">
        <w:rPr>
          <w:rFonts w:ascii="Times New Roman" w:hAnsi="Times New Roman"/>
          <w:i/>
          <w:iCs/>
          <w:noProof/>
          <w:color w:val="000000" w:themeColor="text1"/>
          <w:sz w:val="24"/>
        </w:rPr>
        <w:t>Business Process Management Journal</w:t>
      </w:r>
      <w:r w:rsidRPr="00D54138">
        <w:rPr>
          <w:rFonts w:ascii="Times New Roman" w:hAnsi="Times New Roman"/>
          <w:noProof/>
          <w:color w:val="000000" w:themeColor="text1"/>
          <w:sz w:val="24"/>
        </w:rPr>
        <w:t xml:space="preserve">, </w:t>
      </w:r>
      <w:r w:rsidRPr="00D54138">
        <w:rPr>
          <w:rFonts w:ascii="Times New Roman" w:hAnsi="Times New Roman"/>
          <w:i/>
          <w:iCs/>
          <w:noProof/>
          <w:color w:val="000000" w:themeColor="text1"/>
          <w:sz w:val="24"/>
        </w:rPr>
        <w:t>27</w:t>
      </w:r>
      <w:r w:rsidRPr="00D54138">
        <w:rPr>
          <w:rFonts w:ascii="Times New Roman" w:hAnsi="Times New Roman"/>
          <w:noProof/>
          <w:color w:val="000000" w:themeColor="text1"/>
          <w:sz w:val="24"/>
        </w:rPr>
        <w:t>(4), 1296–1314. https://doi.org/10.1108/BPMJ-06-2020-0264</w:t>
      </w:r>
    </w:p>
    <w:p w14:paraId="60FA439F" w14:textId="77777777" w:rsidR="005E5542" w:rsidRPr="00D54138" w:rsidRDefault="005E5542" w:rsidP="0029473C">
      <w:pPr>
        <w:pStyle w:val="ListParagraph"/>
        <w:widowControl w:val="0"/>
        <w:numPr>
          <w:ilvl w:val="0"/>
          <w:numId w:val="4"/>
        </w:numPr>
        <w:autoSpaceDE w:val="0"/>
        <w:autoSpaceDN w:val="0"/>
        <w:adjustRightInd w:val="0"/>
        <w:spacing w:after="0" w:line="240" w:lineRule="auto"/>
        <w:jc w:val="both"/>
        <w:rPr>
          <w:rFonts w:ascii="Times New Roman" w:hAnsi="Times New Roman"/>
          <w:noProof/>
          <w:color w:val="000000" w:themeColor="text1"/>
          <w:sz w:val="24"/>
        </w:rPr>
      </w:pPr>
      <w:r w:rsidRPr="00D54138">
        <w:rPr>
          <w:rFonts w:ascii="Times New Roman" w:hAnsi="Times New Roman"/>
          <w:noProof/>
          <w:color w:val="000000" w:themeColor="text1"/>
          <w:sz w:val="24"/>
        </w:rPr>
        <w:t xml:space="preserve">Scarpellini, S., Marín-Vinuesa, L. M., Aranda-Usón, A., &amp; Portillo-Tarragona, P. (2020). Dynamic capabilities and environmental accounting for the circular economy in businesses. </w:t>
      </w:r>
      <w:r w:rsidRPr="00D54138">
        <w:rPr>
          <w:rFonts w:ascii="Times New Roman" w:hAnsi="Times New Roman"/>
          <w:i/>
          <w:iCs/>
          <w:noProof/>
          <w:color w:val="000000" w:themeColor="text1"/>
          <w:sz w:val="24"/>
        </w:rPr>
        <w:t>Sustainability Accounting, Management and Policy Journal</w:t>
      </w:r>
      <w:r w:rsidRPr="00D54138">
        <w:rPr>
          <w:rFonts w:ascii="Times New Roman" w:hAnsi="Times New Roman"/>
          <w:noProof/>
          <w:color w:val="000000" w:themeColor="text1"/>
          <w:sz w:val="24"/>
        </w:rPr>
        <w:t xml:space="preserve">, </w:t>
      </w:r>
      <w:r w:rsidRPr="00D54138">
        <w:rPr>
          <w:rFonts w:ascii="Times New Roman" w:hAnsi="Times New Roman"/>
          <w:i/>
          <w:iCs/>
          <w:noProof/>
          <w:color w:val="000000" w:themeColor="text1"/>
          <w:sz w:val="24"/>
        </w:rPr>
        <w:t>11</w:t>
      </w:r>
      <w:r w:rsidRPr="00D54138">
        <w:rPr>
          <w:rFonts w:ascii="Times New Roman" w:hAnsi="Times New Roman"/>
          <w:noProof/>
          <w:color w:val="000000" w:themeColor="text1"/>
          <w:sz w:val="24"/>
        </w:rPr>
        <w:t>(7), 1129–1158. https://doi.org/10.1108/SAMPJ-04-2019-0150</w:t>
      </w:r>
    </w:p>
    <w:p w14:paraId="7C0110A9" w14:textId="77777777" w:rsidR="005E5542" w:rsidRPr="00D54138" w:rsidRDefault="005E5542" w:rsidP="0029473C">
      <w:pPr>
        <w:pStyle w:val="ListParagraph"/>
        <w:widowControl w:val="0"/>
        <w:numPr>
          <w:ilvl w:val="0"/>
          <w:numId w:val="4"/>
        </w:numPr>
        <w:autoSpaceDE w:val="0"/>
        <w:autoSpaceDN w:val="0"/>
        <w:adjustRightInd w:val="0"/>
        <w:spacing w:after="0" w:line="240" w:lineRule="auto"/>
        <w:jc w:val="both"/>
        <w:rPr>
          <w:rFonts w:ascii="Times New Roman" w:hAnsi="Times New Roman"/>
          <w:noProof/>
          <w:color w:val="000000" w:themeColor="text1"/>
          <w:sz w:val="24"/>
        </w:rPr>
      </w:pPr>
      <w:r w:rsidRPr="00D54138">
        <w:rPr>
          <w:rFonts w:ascii="Times New Roman" w:hAnsi="Times New Roman"/>
          <w:noProof/>
          <w:color w:val="000000" w:themeColor="text1"/>
          <w:sz w:val="24"/>
        </w:rPr>
        <w:t xml:space="preserve">Schaltegger, S. (2018). Linking Environmental Management Accounting: A Reflection on (Missing) Links to Sustainability and Planetary Boundaries. </w:t>
      </w:r>
      <w:r w:rsidRPr="00D54138">
        <w:rPr>
          <w:rFonts w:ascii="Times New Roman" w:hAnsi="Times New Roman"/>
          <w:i/>
          <w:iCs/>
          <w:noProof/>
          <w:color w:val="000000" w:themeColor="text1"/>
          <w:sz w:val="24"/>
        </w:rPr>
        <w:t>Social and Environmental Accountability Journal</w:t>
      </w:r>
      <w:r w:rsidRPr="00D54138">
        <w:rPr>
          <w:rFonts w:ascii="Times New Roman" w:hAnsi="Times New Roman"/>
          <w:noProof/>
          <w:color w:val="000000" w:themeColor="text1"/>
          <w:sz w:val="24"/>
        </w:rPr>
        <w:t xml:space="preserve">, </w:t>
      </w:r>
      <w:r w:rsidRPr="00D54138">
        <w:rPr>
          <w:rFonts w:ascii="Times New Roman" w:hAnsi="Times New Roman"/>
          <w:i/>
          <w:iCs/>
          <w:noProof/>
          <w:color w:val="000000" w:themeColor="text1"/>
          <w:sz w:val="24"/>
        </w:rPr>
        <w:t>38</w:t>
      </w:r>
      <w:r w:rsidRPr="00D54138">
        <w:rPr>
          <w:rFonts w:ascii="Times New Roman" w:hAnsi="Times New Roman"/>
          <w:noProof/>
          <w:color w:val="000000" w:themeColor="text1"/>
          <w:sz w:val="24"/>
        </w:rPr>
        <w:t>(1), 19–29. https://doi.org/10.1080/0969160X.2017.1395351</w:t>
      </w:r>
    </w:p>
    <w:p w14:paraId="4FE924CC" w14:textId="77777777" w:rsidR="005E5542" w:rsidRPr="00D54138" w:rsidRDefault="005E5542" w:rsidP="0029473C">
      <w:pPr>
        <w:pStyle w:val="ListParagraph"/>
        <w:widowControl w:val="0"/>
        <w:numPr>
          <w:ilvl w:val="0"/>
          <w:numId w:val="4"/>
        </w:numPr>
        <w:autoSpaceDE w:val="0"/>
        <w:autoSpaceDN w:val="0"/>
        <w:adjustRightInd w:val="0"/>
        <w:spacing w:after="0" w:line="240" w:lineRule="auto"/>
        <w:jc w:val="both"/>
        <w:rPr>
          <w:rFonts w:ascii="Times New Roman" w:hAnsi="Times New Roman"/>
          <w:noProof/>
          <w:color w:val="000000" w:themeColor="text1"/>
          <w:sz w:val="24"/>
        </w:rPr>
      </w:pPr>
      <w:r w:rsidRPr="00D54138">
        <w:rPr>
          <w:rFonts w:ascii="Times New Roman" w:hAnsi="Times New Roman"/>
          <w:noProof/>
          <w:color w:val="000000" w:themeColor="text1"/>
          <w:sz w:val="24"/>
        </w:rPr>
        <w:t xml:space="preserve">Setiawan, D., Rahmawati, I. P., &amp; Santoso, A. (2023). A bibliometric analysis of evolving trends in climate change and accounting research. </w:t>
      </w:r>
      <w:r w:rsidRPr="00D54138">
        <w:rPr>
          <w:rFonts w:ascii="Times New Roman" w:hAnsi="Times New Roman"/>
          <w:i/>
          <w:iCs/>
          <w:noProof/>
          <w:color w:val="000000" w:themeColor="text1"/>
          <w:sz w:val="24"/>
        </w:rPr>
        <w:t>Cogent Business and Management</w:t>
      </w:r>
      <w:r w:rsidRPr="00D54138">
        <w:rPr>
          <w:rFonts w:ascii="Times New Roman" w:hAnsi="Times New Roman"/>
          <w:noProof/>
          <w:color w:val="000000" w:themeColor="text1"/>
          <w:sz w:val="24"/>
        </w:rPr>
        <w:t xml:space="preserve">, </w:t>
      </w:r>
      <w:r w:rsidRPr="00D54138">
        <w:rPr>
          <w:rFonts w:ascii="Times New Roman" w:hAnsi="Times New Roman"/>
          <w:i/>
          <w:iCs/>
          <w:noProof/>
          <w:color w:val="000000" w:themeColor="text1"/>
          <w:sz w:val="24"/>
        </w:rPr>
        <w:t>10</w:t>
      </w:r>
      <w:r w:rsidRPr="00D54138">
        <w:rPr>
          <w:rFonts w:ascii="Times New Roman" w:hAnsi="Times New Roman"/>
          <w:noProof/>
          <w:color w:val="000000" w:themeColor="text1"/>
          <w:sz w:val="24"/>
        </w:rPr>
        <w:t>(3). https://doi.org/10.1080/23311975.2023.2267233</w:t>
      </w:r>
    </w:p>
    <w:p w14:paraId="3E357443" w14:textId="77777777" w:rsidR="005E5542" w:rsidRPr="00D54138" w:rsidRDefault="005E5542" w:rsidP="0029473C">
      <w:pPr>
        <w:pStyle w:val="ListParagraph"/>
        <w:widowControl w:val="0"/>
        <w:numPr>
          <w:ilvl w:val="0"/>
          <w:numId w:val="4"/>
        </w:numPr>
        <w:autoSpaceDE w:val="0"/>
        <w:autoSpaceDN w:val="0"/>
        <w:adjustRightInd w:val="0"/>
        <w:spacing w:after="0" w:line="240" w:lineRule="auto"/>
        <w:jc w:val="both"/>
        <w:rPr>
          <w:rFonts w:ascii="Times New Roman" w:hAnsi="Times New Roman"/>
          <w:noProof/>
          <w:color w:val="000000" w:themeColor="text1"/>
          <w:sz w:val="24"/>
        </w:rPr>
      </w:pPr>
      <w:r w:rsidRPr="00D54138">
        <w:rPr>
          <w:rFonts w:ascii="Times New Roman" w:hAnsi="Times New Roman"/>
          <w:noProof/>
          <w:color w:val="000000" w:themeColor="text1"/>
          <w:sz w:val="24"/>
        </w:rPr>
        <w:t xml:space="preserve">Sidik, M. H. J., Yadiati, W., Lee, H., &amp; Khalid, N. (2019). The dynamic association of energy, environmental management accounting and green intellectual capital with corporate environmental performance and competitive advantages. </w:t>
      </w:r>
      <w:r w:rsidRPr="00D54138">
        <w:rPr>
          <w:rFonts w:ascii="Times New Roman" w:hAnsi="Times New Roman"/>
          <w:i/>
          <w:iCs/>
          <w:noProof/>
          <w:color w:val="000000" w:themeColor="text1"/>
          <w:sz w:val="24"/>
        </w:rPr>
        <w:t>International Journal of Energy Economics and Policy</w:t>
      </w:r>
      <w:r w:rsidRPr="00D54138">
        <w:rPr>
          <w:rFonts w:ascii="Times New Roman" w:hAnsi="Times New Roman"/>
          <w:noProof/>
          <w:color w:val="000000" w:themeColor="text1"/>
          <w:sz w:val="24"/>
        </w:rPr>
        <w:t xml:space="preserve">, </w:t>
      </w:r>
      <w:r w:rsidRPr="00D54138">
        <w:rPr>
          <w:rFonts w:ascii="Times New Roman" w:hAnsi="Times New Roman"/>
          <w:i/>
          <w:iCs/>
          <w:noProof/>
          <w:color w:val="000000" w:themeColor="text1"/>
          <w:sz w:val="24"/>
        </w:rPr>
        <w:t>9</w:t>
      </w:r>
      <w:r w:rsidRPr="00D54138">
        <w:rPr>
          <w:rFonts w:ascii="Times New Roman" w:hAnsi="Times New Roman"/>
          <w:noProof/>
          <w:color w:val="000000" w:themeColor="text1"/>
          <w:sz w:val="24"/>
        </w:rPr>
        <w:t>(5), 379–386. https://doi.org/10.32479/ijeep.8283</w:t>
      </w:r>
    </w:p>
    <w:p w14:paraId="23B9F320" w14:textId="77777777" w:rsidR="005E5542" w:rsidRPr="00D54138" w:rsidRDefault="005E5542" w:rsidP="0029473C">
      <w:pPr>
        <w:pStyle w:val="ListParagraph"/>
        <w:widowControl w:val="0"/>
        <w:numPr>
          <w:ilvl w:val="0"/>
          <w:numId w:val="4"/>
        </w:numPr>
        <w:autoSpaceDE w:val="0"/>
        <w:autoSpaceDN w:val="0"/>
        <w:adjustRightInd w:val="0"/>
        <w:spacing w:after="0" w:line="240" w:lineRule="auto"/>
        <w:jc w:val="both"/>
        <w:rPr>
          <w:rFonts w:ascii="Times New Roman" w:hAnsi="Times New Roman"/>
          <w:noProof/>
          <w:color w:val="000000" w:themeColor="text1"/>
          <w:sz w:val="24"/>
        </w:rPr>
      </w:pPr>
      <w:r w:rsidRPr="00D54138">
        <w:rPr>
          <w:rFonts w:ascii="Times New Roman" w:hAnsi="Times New Roman"/>
          <w:noProof/>
          <w:color w:val="000000" w:themeColor="text1"/>
          <w:sz w:val="24"/>
        </w:rPr>
        <w:t xml:space="preserve">Solovida, G. T., &amp; Latan, H. (2017). Linking environmental strategy to environmental performance: Mediation role of environmental management accounting. </w:t>
      </w:r>
      <w:r w:rsidRPr="00D54138">
        <w:rPr>
          <w:rFonts w:ascii="Times New Roman" w:hAnsi="Times New Roman"/>
          <w:i/>
          <w:iCs/>
          <w:noProof/>
          <w:color w:val="000000" w:themeColor="text1"/>
          <w:sz w:val="24"/>
        </w:rPr>
        <w:t>Sustainability Accounting, Management and Policy Journal</w:t>
      </w:r>
      <w:r w:rsidRPr="00D54138">
        <w:rPr>
          <w:rFonts w:ascii="Times New Roman" w:hAnsi="Times New Roman"/>
          <w:noProof/>
          <w:color w:val="000000" w:themeColor="text1"/>
          <w:sz w:val="24"/>
        </w:rPr>
        <w:t xml:space="preserve">, </w:t>
      </w:r>
      <w:r w:rsidRPr="00D54138">
        <w:rPr>
          <w:rFonts w:ascii="Times New Roman" w:hAnsi="Times New Roman"/>
          <w:i/>
          <w:iCs/>
          <w:noProof/>
          <w:color w:val="000000" w:themeColor="text1"/>
          <w:sz w:val="24"/>
        </w:rPr>
        <w:t>8</w:t>
      </w:r>
      <w:r w:rsidRPr="00D54138">
        <w:rPr>
          <w:rFonts w:ascii="Times New Roman" w:hAnsi="Times New Roman"/>
          <w:noProof/>
          <w:color w:val="000000" w:themeColor="text1"/>
          <w:sz w:val="24"/>
        </w:rPr>
        <w:t>(5), 595–619. https://doi.org/10.1108/SAMPJ-08-2016-0046</w:t>
      </w:r>
    </w:p>
    <w:p w14:paraId="2FB0E2BA" w14:textId="77777777" w:rsidR="005E5542" w:rsidRPr="00D54138" w:rsidRDefault="005E5542" w:rsidP="0029473C">
      <w:pPr>
        <w:pStyle w:val="ListParagraph"/>
        <w:widowControl w:val="0"/>
        <w:numPr>
          <w:ilvl w:val="0"/>
          <w:numId w:val="4"/>
        </w:numPr>
        <w:autoSpaceDE w:val="0"/>
        <w:autoSpaceDN w:val="0"/>
        <w:adjustRightInd w:val="0"/>
        <w:spacing w:after="0" w:line="240" w:lineRule="auto"/>
        <w:jc w:val="both"/>
        <w:rPr>
          <w:rFonts w:ascii="Times New Roman" w:hAnsi="Times New Roman"/>
          <w:noProof/>
          <w:color w:val="000000" w:themeColor="text1"/>
          <w:sz w:val="24"/>
        </w:rPr>
      </w:pPr>
      <w:r w:rsidRPr="00D54138">
        <w:rPr>
          <w:rFonts w:ascii="Times New Roman" w:hAnsi="Times New Roman"/>
          <w:noProof/>
          <w:color w:val="000000" w:themeColor="text1"/>
          <w:sz w:val="24"/>
        </w:rPr>
        <w:t xml:space="preserve">Somjai, S., Fongtanakit, R., &amp; Laosillapacharoen, K. (2020). Impact of environmental commitment, environmental management accounting and green innovation on firm performance: An empirical investigation. </w:t>
      </w:r>
      <w:r w:rsidRPr="00D54138">
        <w:rPr>
          <w:rFonts w:ascii="Times New Roman" w:hAnsi="Times New Roman"/>
          <w:i/>
          <w:iCs/>
          <w:noProof/>
          <w:color w:val="000000" w:themeColor="text1"/>
          <w:sz w:val="24"/>
        </w:rPr>
        <w:t>International Journal of Energy Economics and Policy</w:t>
      </w:r>
      <w:r w:rsidRPr="00D54138">
        <w:rPr>
          <w:rFonts w:ascii="Times New Roman" w:hAnsi="Times New Roman"/>
          <w:noProof/>
          <w:color w:val="000000" w:themeColor="text1"/>
          <w:sz w:val="24"/>
        </w:rPr>
        <w:t xml:space="preserve">, </w:t>
      </w:r>
      <w:r w:rsidRPr="00D54138">
        <w:rPr>
          <w:rFonts w:ascii="Times New Roman" w:hAnsi="Times New Roman"/>
          <w:i/>
          <w:iCs/>
          <w:noProof/>
          <w:color w:val="000000" w:themeColor="text1"/>
          <w:sz w:val="24"/>
        </w:rPr>
        <w:t>10</w:t>
      </w:r>
      <w:r w:rsidRPr="00D54138">
        <w:rPr>
          <w:rFonts w:ascii="Times New Roman" w:hAnsi="Times New Roman"/>
          <w:noProof/>
          <w:color w:val="000000" w:themeColor="text1"/>
          <w:sz w:val="24"/>
        </w:rPr>
        <w:t>(3), 204–210. https://doi.org/10.32479/ijeep.9174</w:t>
      </w:r>
    </w:p>
    <w:p w14:paraId="2FF6B3B7" w14:textId="77777777" w:rsidR="005E5542" w:rsidRPr="00D54138" w:rsidRDefault="005E5542" w:rsidP="0029473C">
      <w:pPr>
        <w:pStyle w:val="ListParagraph"/>
        <w:widowControl w:val="0"/>
        <w:numPr>
          <w:ilvl w:val="0"/>
          <w:numId w:val="4"/>
        </w:numPr>
        <w:autoSpaceDE w:val="0"/>
        <w:autoSpaceDN w:val="0"/>
        <w:adjustRightInd w:val="0"/>
        <w:spacing w:after="0" w:line="240" w:lineRule="auto"/>
        <w:jc w:val="both"/>
        <w:rPr>
          <w:rFonts w:ascii="Times New Roman" w:hAnsi="Times New Roman"/>
          <w:noProof/>
          <w:color w:val="000000" w:themeColor="text1"/>
          <w:sz w:val="24"/>
        </w:rPr>
      </w:pPr>
      <w:r w:rsidRPr="00D54138">
        <w:rPr>
          <w:rFonts w:ascii="Times New Roman" w:hAnsi="Times New Roman"/>
          <w:noProof/>
          <w:color w:val="000000" w:themeColor="text1"/>
          <w:sz w:val="24"/>
        </w:rPr>
        <w:t xml:space="preserve">Susanto, A., &amp; Meiryani, M. (2019). Antecedents of environmental management accounting and environmental performance: Evidence from Indonesian small and medium enterprises. </w:t>
      </w:r>
      <w:r w:rsidRPr="00D54138">
        <w:rPr>
          <w:rFonts w:ascii="Times New Roman" w:hAnsi="Times New Roman"/>
          <w:i/>
          <w:iCs/>
          <w:noProof/>
          <w:color w:val="000000" w:themeColor="text1"/>
          <w:sz w:val="24"/>
        </w:rPr>
        <w:t>International Journal of Energy Economics and Policy</w:t>
      </w:r>
      <w:r w:rsidRPr="00D54138">
        <w:rPr>
          <w:rFonts w:ascii="Times New Roman" w:hAnsi="Times New Roman"/>
          <w:noProof/>
          <w:color w:val="000000" w:themeColor="text1"/>
          <w:sz w:val="24"/>
        </w:rPr>
        <w:t xml:space="preserve">, </w:t>
      </w:r>
      <w:r w:rsidRPr="00D54138">
        <w:rPr>
          <w:rFonts w:ascii="Times New Roman" w:hAnsi="Times New Roman"/>
          <w:i/>
          <w:iCs/>
          <w:noProof/>
          <w:color w:val="000000" w:themeColor="text1"/>
          <w:sz w:val="24"/>
        </w:rPr>
        <w:t>9</w:t>
      </w:r>
      <w:r w:rsidRPr="00D54138">
        <w:rPr>
          <w:rFonts w:ascii="Times New Roman" w:hAnsi="Times New Roman"/>
          <w:noProof/>
          <w:color w:val="000000" w:themeColor="text1"/>
          <w:sz w:val="24"/>
        </w:rPr>
        <w:t>(6), 401–407. https://doi.org/10.32479/ijeep.8366</w:t>
      </w:r>
    </w:p>
    <w:p w14:paraId="26594B86" w14:textId="77777777" w:rsidR="005E5542" w:rsidRPr="00D54138" w:rsidRDefault="005E5542" w:rsidP="0029473C">
      <w:pPr>
        <w:pStyle w:val="ListParagraph"/>
        <w:widowControl w:val="0"/>
        <w:numPr>
          <w:ilvl w:val="0"/>
          <w:numId w:val="4"/>
        </w:numPr>
        <w:autoSpaceDE w:val="0"/>
        <w:autoSpaceDN w:val="0"/>
        <w:adjustRightInd w:val="0"/>
        <w:spacing w:after="0" w:line="240" w:lineRule="auto"/>
        <w:jc w:val="both"/>
        <w:rPr>
          <w:rFonts w:ascii="Times New Roman" w:hAnsi="Times New Roman"/>
          <w:noProof/>
          <w:color w:val="000000" w:themeColor="text1"/>
          <w:sz w:val="24"/>
        </w:rPr>
      </w:pPr>
      <w:r w:rsidRPr="00D54138">
        <w:rPr>
          <w:rFonts w:ascii="Times New Roman" w:hAnsi="Times New Roman"/>
          <w:noProof/>
          <w:color w:val="000000" w:themeColor="text1"/>
          <w:sz w:val="24"/>
        </w:rPr>
        <w:t xml:space="preserve">Tashakor, S., Appuhami, R., &amp; Munir, R. (2019). Environmental management accounting practices in Australian cotton farming: The use of the theory of planned behaviour. </w:t>
      </w:r>
      <w:r w:rsidRPr="00D54138">
        <w:rPr>
          <w:rFonts w:ascii="Times New Roman" w:hAnsi="Times New Roman"/>
          <w:i/>
          <w:iCs/>
          <w:noProof/>
          <w:color w:val="000000" w:themeColor="text1"/>
          <w:sz w:val="24"/>
        </w:rPr>
        <w:t>Accounting, Auditing and Accountability Journal</w:t>
      </w:r>
      <w:r w:rsidRPr="00D54138">
        <w:rPr>
          <w:rFonts w:ascii="Times New Roman" w:hAnsi="Times New Roman"/>
          <w:noProof/>
          <w:color w:val="000000" w:themeColor="text1"/>
          <w:sz w:val="24"/>
        </w:rPr>
        <w:t xml:space="preserve">, </w:t>
      </w:r>
      <w:r w:rsidRPr="00D54138">
        <w:rPr>
          <w:rFonts w:ascii="Times New Roman" w:hAnsi="Times New Roman"/>
          <w:i/>
          <w:iCs/>
          <w:noProof/>
          <w:color w:val="000000" w:themeColor="text1"/>
          <w:sz w:val="24"/>
        </w:rPr>
        <w:t>32</w:t>
      </w:r>
      <w:r w:rsidRPr="00D54138">
        <w:rPr>
          <w:rFonts w:ascii="Times New Roman" w:hAnsi="Times New Roman"/>
          <w:noProof/>
          <w:color w:val="000000" w:themeColor="text1"/>
          <w:sz w:val="24"/>
        </w:rPr>
        <w:t>(4), 1175–1202. https://doi.org/10.1108/AAAJ-04-2018-3465</w:t>
      </w:r>
    </w:p>
    <w:p w14:paraId="4AB31790" w14:textId="77777777" w:rsidR="005E5542" w:rsidRPr="00D54138" w:rsidRDefault="005E5542" w:rsidP="0029473C">
      <w:pPr>
        <w:pStyle w:val="ListParagraph"/>
        <w:widowControl w:val="0"/>
        <w:numPr>
          <w:ilvl w:val="0"/>
          <w:numId w:val="4"/>
        </w:numPr>
        <w:autoSpaceDE w:val="0"/>
        <w:autoSpaceDN w:val="0"/>
        <w:adjustRightInd w:val="0"/>
        <w:spacing w:after="0" w:line="240" w:lineRule="auto"/>
        <w:jc w:val="both"/>
        <w:rPr>
          <w:rFonts w:ascii="Times New Roman" w:hAnsi="Times New Roman"/>
          <w:noProof/>
          <w:color w:val="000000" w:themeColor="text1"/>
          <w:sz w:val="24"/>
        </w:rPr>
      </w:pPr>
      <w:r w:rsidRPr="00D54138">
        <w:rPr>
          <w:rFonts w:ascii="Times New Roman" w:hAnsi="Times New Roman"/>
          <w:noProof/>
          <w:color w:val="000000" w:themeColor="text1"/>
          <w:sz w:val="24"/>
        </w:rPr>
        <w:t xml:space="preserve">Teece, D. J. (2007). Explicating dynamic capabilities: the nature and microfoundations of (sustainable) enterprise performance. </w:t>
      </w:r>
      <w:r w:rsidRPr="00D54138">
        <w:rPr>
          <w:rFonts w:ascii="Times New Roman" w:hAnsi="Times New Roman"/>
          <w:i/>
          <w:iCs/>
          <w:noProof/>
          <w:color w:val="000000" w:themeColor="text1"/>
          <w:sz w:val="24"/>
        </w:rPr>
        <w:t>Strategic Management Journal</w:t>
      </w:r>
      <w:r w:rsidRPr="00D54138">
        <w:rPr>
          <w:rFonts w:ascii="Times New Roman" w:hAnsi="Times New Roman"/>
          <w:noProof/>
          <w:color w:val="000000" w:themeColor="text1"/>
          <w:sz w:val="24"/>
        </w:rPr>
        <w:t xml:space="preserve">, </w:t>
      </w:r>
      <w:r w:rsidRPr="00D54138">
        <w:rPr>
          <w:rFonts w:ascii="Times New Roman" w:hAnsi="Times New Roman"/>
          <w:i/>
          <w:iCs/>
          <w:noProof/>
          <w:color w:val="000000" w:themeColor="text1"/>
          <w:sz w:val="24"/>
        </w:rPr>
        <w:t>28</w:t>
      </w:r>
      <w:r w:rsidRPr="00D54138">
        <w:rPr>
          <w:rFonts w:ascii="Times New Roman" w:hAnsi="Times New Roman"/>
          <w:noProof/>
          <w:color w:val="000000" w:themeColor="text1"/>
          <w:sz w:val="24"/>
        </w:rPr>
        <w:t>(13), 1319–1350.</w:t>
      </w:r>
    </w:p>
    <w:p w14:paraId="539BDEE1" w14:textId="77777777" w:rsidR="005E5542" w:rsidRPr="00D54138" w:rsidRDefault="005E5542" w:rsidP="0029473C">
      <w:pPr>
        <w:pStyle w:val="ListParagraph"/>
        <w:widowControl w:val="0"/>
        <w:numPr>
          <w:ilvl w:val="0"/>
          <w:numId w:val="4"/>
        </w:numPr>
        <w:autoSpaceDE w:val="0"/>
        <w:autoSpaceDN w:val="0"/>
        <w:adjustRightInd w:val="0"/>
        <w:spacing w:after="0" w:line="240" w:lineRule="auto"/>
        <w:jc w:val="both"/>
        <w:rPr>
          <w:rFonts w:ascii="Times New Roman" w:hAnsi="Times New Roman"/>
          <w:noProof/>
          <w:color w:val="000000" w:themeColor="text1"/>
          <w:sz w:val="24"/>
        </w:rPr>
      </w:pPr>
      <w:r w:rsidRPr="00D54138">
        <w:rPr>
          <w:rFonts w:ascii="Times New Roman" w:hAnsi="Times New Roman"/>
          <w:noProof/>
          <w:color w:val="000000" w:themeColor="text1"/>
          <w:sz w:val="24"/>
        </w:rPr>
        <w:t xml:space="preserve">Wachira, M. M., &amp; Wang’Ombe, D. (2019). the Application of Environmental Management Accounting Techniques By Manufacturing Firms in Kenya. </w:t>
      </w:r>
      <w:r w:rsidRPr="00D54138">
        <w:rPr>
          <w:rFonts w:ascii="Times New Roman" w:hAnsi="Times New Roman"/>
          <w:i/>
          <w:iCs/>
          <w:noProof/>
          <w:color w:val="000000" w:themeColor="text1"/>
          <w:sz w:val="24"/>
        </w:rPr>
        <w:t>Advances in Environmental Accounting and Management</w:t>
      </w:r>
      <w:r w:rsidRPr="00D54138">
        <w:rPr>
          <w:rFonts w:ascii="Times New Roman" w:hAnsi="Times New Roman"/>
          <w:noProof/>
          <w:color w:val="000000" w:themeColor="text1"/>
          <w:sz w:val="24"/>
        </w:rPr>
        <w:t xml:space="preserve">, </w:t>
      </w:r>
      <w:r w:rsidRPr="00D54138">
        <w:rPr>
          <w:rFonts w:ascii="Times New Roman" w:hAnsi="Times New Roman"/>
          <w:i/>
          <w:iCs/>
          <w:noProof/>
          <w:color w:val="000000" w:themeColor="text1"/>
          <w:sz w:val="24"/>
        </w:rPr>
        <w:t>8</w:t>
      </w:r>
      <w:r w:rsidRPr="00D54138">
        <w:rPr>
          <w:rFonts w:ascii="Times New Roman" w:hAnsi="Times New Roman"/>
          <w:noProof/>
          <w:color w:val="000000" w:themeColor="text1"/>
          <w:sz w:val="24"/>
        </w:rPr>
        <w:t>, 69–89. https://doi.org/10.1108/S1479-359820190000008004</w:t>
      </w:r>
    </w:p>
    <w:p w14:paraId="1DC24956" w14:textId="77777777" w:rsidR="005E5542" w:rsidRPr="00D54138" w:rsidRDefault="005E5542" w:rsidP="0029473C">
      <w:pPr>
        <w:pStyle w:val="ListParagraph"/>
        <w:widowControl w:val="0"/>
        <w:numPr>
          <w:ilvl w:val="0"/>
          <w:numId w:val="4"/>
        </w:numPr>
        <w:autoSpaceDE w:val="0"/>
        <w:autoSpaceDN w:val="0"/>
        <w:adjustRightInd w:val="0"/>
        <w:spacing w:after="0" w:line="240" w:lineRule="auto"/>
        <w:jc w:val="both"/>
        <w:rPr>
          <w:rFonts w:ascii="Times New Roman" w:hAnsi="Times New Roman"/>
          <w:noProof/>
          <w:color w:val="000000" w:themeColor="text1"/>
          <w:sz w:val="24"/>
        </w:rPr>
      </w:pPr>
      <w:r w:rsidRPr="00D54138">
        <w:rPr>
          <w:rFonts w:ascii="Times New Roman" w:hAnsi="Times New Roman"/>
          <w:noProof/>
          <w:color w:val="000000" w:themeColor="text1"/>
          <w:sz w:val="24"/>
        </w:rPr>
        <w:t xml:space="preserve">Wang, S., Wang, H., &amp; Wang, J. (2019). Exploring the effects of institutional pressures on the implementation of environmental management accounting: Do top management support and perceived benefit work? </w:t>
      </w:r>
      <w:r w:rsidRPr="00D54138">
        <w:rPr>
          <w:rFonts w:ascii="Times New Roman" w:hAnsi="Times New Roman"/>
          <w:i/>
          <w:iCs/>
          <w:noProof/>
          <w:color w:val="000000" w:themeColor="text1"/>
          <w:sz w:val="24"/>
        </w:rPr>
        <w:t>Business Strategy and the Environment</w:t>
      </w:r>
      <w:r w:rsidRPr="00D54138">
        <w:rPr>
          <w:rFonts w:ascii="Times New Roman" w:hAnsi="Times New Roman"/>
          <w:noProof/>
          <w:color w:val="000000" w:themeColor="text1"/>
          <w:sz w:val="24"/>
        </w:rPr>
        <w:t xml:space="preserve">, </w:t>
      </w:r>
      <w:r w:rsidRPr="00D54138">
        <w:rPr>
          <w:rFonts w:ascii="Times New Roman" w:hAnsi="Times New Roman"/>
          <w:i/>
          <w:iCs/>
          <w:noProof/>
          <w:color w:val="000000" w:themeColor="text1"/>
          <w:sz w:val="24"/>
        </w:rPr>
        <w:t>28</w:t>
      </w:r>
      <w:r w:rsidRPr="00D54138">
        <w:rPr>
          <w:rFonts w:ascii="Times New Roman" w:hAnsi="Times New Roman"/>
          <w:noProof/>
          <w:color w:val="000000" w:themeColor="text1"/>
          <w:sz w:val="24"/>
        </w:rPr>
        <w:t>(1), 233–243. https://doi.org/10.1002/bse.2252</w:t>
      </w:r>
    </w:p>
    <w:p w14:paraId="41843BCA" w14:textId="77777777" w:rsidR="005E5542" w:rsidRPr="00D54138" w:rsidRDefault="005E5542" w:rsidP="0029473C">
      <w:pPr>
        <w:pStyle w:val="ListParagraph"/>
        <w:widowControl w:val="0"/>
        <w:numPr>
          <w:ilvl w:val="0"/>
          <w:numId w:val="4"/>
        </w:numPr>
        <w:autoSpaceDE w:val="0"/>
        <w:autoSpaceDN w:val="0"/>
        <w:adjustRightInd w:val="0"/>
        <w:spacing w:after="0" w:line="240" w:lineRule="auto"/>
        <w:jc w:val="both"/>
        <w:rPr>
          <w:rFonts w:ascii="Times New Roman" w:hAnsi="Times New Roman"/>
          <w:noProof/>
          <w:color w:val="000000" w:themeColor="text1"/>
          <w:sz w:val="24"/>
        </w:rPr>
      </w:pPr>
      <w:r w:rsidRPr="00D54138">
        <w:rPr>
          <w:rFonts w:ascii="Times New Roman" w:hAnsi="Times New Roman"/>
          <w:noProof/>
          <w:color w:val="000000" w:themeColor="text1"/>
          <w:sz w:val="24"/>
        </w:rPr>
        <w:t xml:space="preserve">Zandi, G. R., Khalid, N., &amp; Islam, D. M. Z. (2019). Nexus of knowledge transfer, green innovation and environmental performance: impact of environmental management accounting. </w:t>
      </w:r>
      <w:r w:rsidRPr="00D54138">
        <w:rPr>
          <w:rFonts w:ascii="Times New Roman" w:hAnsi="Times New Roman"/>
          <w:i/>
          <w:iCs/>
          <w:noProof/>
          <w:color w:val="000000" w:themeColor="text1"/>
          <w:sz w:val="24"/>
        </w:rPr>
        <w:t>International Journal of Energy Economics and Policy</w:t>
      </w:r>
      <w:r w:rsidRPr="00D54138">
        <w:rPr>
          <w:rFonts w:ascii="Times New Roman" w:hAnsi="Times New Roman"/>
          <w:noProof/>
          <w:color w:val="000000" w:themeColor="text1"/>
          <w:sz w:val="24"/>
        </w:rPr>
        <w:t xml:space="preserve">, </w:t>
      </w:r>
      <w:r w:rsidRPr="00D54138">
        <w:rPr>
          <w:rFonts w:ascii="Times New Roman" w:hAnsi="Times New Roman"/>
          <w:i/>
          <w:iCs/>
          <w:noProof/>
          <w:color w:val="000000" w:themeColor="text1"/>
          <w:sz w:val="24"/>
        </w:rPr>
        <w:t>9</w:t>
      </w:r>
      <w:r w:rsidRPr="00D54138">
        <w:rPr>
          <w:rFonts w:ascii="Times New Roman" w:hAnsi="Times New Roman"/>
          <w:noProof/>
          <w:color w:val="000000" w:themeColor="text1"/>
          <w:sz w:val="24"/>
        </w:rPr>
        <w:t>(5), 387–393. https://doi.org/10.32479/ijeep.8285</w:t>
      </w:r>
    </w:p>
    <w:p w14:paraId="08F67C2B" w14:textId="77777777" w:rsidR="005E5542" w:rsidRPr="00D54138" w:rsidRDefault="005E5542" w:rsidP="0029473C">
      <w:pPr>
        <w:pStyle w:val="ListParagraph"/>
        <w:widowControl w:val="0"/>
        <w:numPr>
          <w:ilvl w:val="0"/>
          <w:numId w:val="4"/>
        </w:numPr>
        <w:autoSpaceDE w:val="0"/>
        <w:autoSpaceDN w:val="0"/>
        <w:adjustRightInd w:val="0"/>
        <w:spacing w:after="0" w:line="240" w:lineRule="auto"/>
        <w:jc w:val="both"/>
        <w:rPr>
          <w:rFonts w:ascii="Times New Roman" w:hAnsi="Times New Roman"/>
          <w:noProof/>
          <w:color w:val="000000" w:themeColor="text1"/>
          <w:sz w:val="24"/>
        </w:rPr>
      </w:pPr>
      <w:r w:rsidRPr="00D54138">
        <w:rPr>
          <w:rFonts w:ascii="Times New Roman" w:hAnsi="Times New Roman"/>
          <w:noProof/>
          <w:color w:val="000000" w:themeColor="text1"/>
          <w:sz w:val="24"/>
        </w:rPr>
        <w:t xml:space="preserve">Zou, T., Zeng, H., Zhou, Z., &amp; Xiao, X. (2019). A three-dimensional model featuring material flow, value flow and organization for environmental management accounting. </w:t>
      </w:r>
      <w:r w:rsidRPr="00D54138">
        <w:rPr>
          <w:rFonts w:ascii="Times New Roman" w:hAnsi="Times New Roman"/>
          <w:i/>
          <w:iCs/>
          <w:noProof/>
          <w:color w:val="000000" w:themeColor="text1"/>
          <w:sz w:val="24"/>
        </w:rPr>
        <w:t>Journal of Cleaner Production</w:t>
      </w:r>
      <w:r w:rsidRPr="00D54138">
        <w:rPr>
          <w:rFonts w:ascii="Times New Roman" w:hAnsi="Times New Roman"/>
          <w:noProof/>
          <w:color w:val="000000" w:themeColor="text1"/>
          <w:sz w:val="24"/>
        </w:rPr>
        <w:t xml:space="preserve">, </w:t>
      </w:r>
      <w:r w:rsidRPr="00D54138">
        <w:rPr>
          <w:rFonts w:ascii="Times New Roman" w:hAnsi="Times New Roman"/>
          <w:i/>
          <w:iCs/>
          <w:noProof/>
          <w:color w:val="000000" w:themeColor="text1"/>
          <w:sz w:val="24"/>
        </w:rPr>
        <w:t>228</w:t>
      </w:r>
      <w:r w:rsidRPr="00D54138">
        <w:rPr>
          <w:rFonts w:ascii="Times New Roman" w:hAnsi="Times New Roman"/>
          <w:noProof/>
          <w:color w:val="000000" w:themeColor="text1"/>
          <w:sz w:val="24"/>
        </w:rPr>
        <w:t>, 619–633. https://doi.org/10.1016/j.jclepro.2019.04.309</w:t>
      </w:r>
    </w:p>
    <w:p w14:paraId="4887F511" w14:textId="7306318B" w:rsidR="00004376" w:rsidRPr="00D54138" w:rsidRDefault="00907B46" w:rsidP="008B44D2">
      <w:pPr>
        <w:widowControl w:val="0"/>
        <w:autoSpaceDE w:val="0"/>
        <w:autoSpaceDN w:val="0"/>
        <w:adjustRightInd w:val="0"/>
        <w:spacing w:after="0" w:line="240" w:lineRule="auto"/>
        <w:ind w:left="480" w:hanging="480"/>
        <w:jc w:val="both"/>
        <w:rPr>
          <w:rFonts w:ascii="Times New Roman" w:hAnsi="Times New Roman"/>
          <w:sz w:val="24"/>
          <w:szCs w:val="24"/>
        </w:rPr>
      </w:pPr>
      <w:r w:rsidRPr="00D54138">
        <w:rPr>
          <w:rFonts w:ascii="Times New Roman" w:hAnsi="Times New Roman"/>
          <w:sz w:val="24"/>
          <w:szCs w:val="24"/>
        </w:rPr>
        <w:fldChar w:fldCharType="end"/>
      </w:r>
    </w:p>
    <w:sectPr w:rsidR="00004376" w:rsidRPr="00D54138" w:rsidSect="00610F65">
      <w:headerReference w:type="default" r:id="rId12"/>
      <w:pgSz w:w="11900" w:h="16840"/>
      <w:pgMar w:top="1077" w:right="607" w:bottom="816" w:left="607" w:header="346" w:footer="403"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endnote w:type="separator" w:id="-1">
    <w:p w14:paraId="1CE32E30" w14:textId="77777777" w:rsidR="00C67072" w:rsidRDefault="00C67072">
      <w:pPr>
        <w:spacing w:after="0" w:line="240" w:lineRule="auto"/>
      </w:pPr>
      <w:r>
        <w:separator/>
      </w:r>
    </w:p>
  </w:endnote>
  <w:endnote w:type="continuationSeparator" w:id="0">
    <w:p w14:paraId="21263732" w14:textId="77777777" w:rsidR="00C67072" w:rsidRDefault="00C670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Noto Sans Symbols">
    <w:altName w:val="Times New Roman"/>
    <w:panose1 w:val="020B0604020202020204"/>
    <w:charset w:val="00"/>
    <w:family w:val="auto"/>
    <w:pitch w:val="default"/>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Lucida Grande">
    <w:panose1 w:val="020B0600040502020204"/>
    <w:charset w:val="00"/>
    <w:family w:val="swiss"/>
    <w:pitch w:val="variable"/>
    <w:sig w:usb0="E1000AEF" w:usb1="5000A1FF" w:usb2="00000000" w:usb3="00000000" w:csb0="000001B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footnote w:type="separator" w:id="-1">
    <w:p w14:paraId="280C117D" w14:textId="77777777" w:rsidR="00C67072" w:rsidRDefault="00C67072">
      <w:pPr>
        <w:spacing w:after="0" w:line="240" w:lineRule="auto"/>
      </w:pPr>
      <w:r>
        <w:separator/>
      </w:r>
    </w:p>
  </w:footnote>
  <w:footnote w:type="continuationSeparator" w:id="0">
    <w:p w14:paraId="29CE9B4F" w14:textId="77777777" w:rsidR="00C67072" w:rsidRDefault="00C6707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656591B2" w14:textId="3AF1D27E" w:rsidR="00004376" w:rsidRDefault="00004376">
    <w:pPr>
      <w:pBdr>
        <w:top w:val="nil"/>
        <w:left w:val="nil"/>
        <w:bottom w:val="nil"/>
        <w:right w:val="nil"/>
        <w:between w:val="nil"/>
      </w:pBdr>
      <w:tabs>
        <w:tab w:val="center" w:pos="4680"/>
        <w:tab w:val="right" w:pos="9360"/>
      </w:tabs>
      <w:spacing w:after="0" w:line="240" w:lineRule="auto"/>
      <w:jc w:val="right"/>
      <w:rPr>
        <w:rFonts w:cs="Calibri"/>
        <w:b/>
        <w:i/>
        <w:color w:val="000000"/>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abstractNum w:abstractNumId="0" w15:restartNumberingAfterBreak="0">
    <w:nsid w:val="0FDA5A91"/>
    <w:multiLevelType w:val="multilevel"/>
    <w:tmpl w:val="840EAC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9B02C5E"/>
    <w:multiLevelType w:val="hybridMultilevel"/>
    <w:tmpl w:val="79901606"/>
    <w:lvl w:ilvl="0" w:tplc="99E433F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D995B96"/>
    <w:multiLevelType w:val="multilevel"/>
    <w:tmpl w:val="8F80B0C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73431E60"/>
    <w:multiLevelType w:val="multilevel"/>
    <w:tmpl w:val="1EF2B1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19187210">
    <w:abstractNumId w:val="2"/>
  </w:num>
  <w:num w:numId="2" w16cid:durableId="1105732142">
    <w:abstractNumId w:val="3"/>
  </w:num>
  <w:num w:numId="3" w16cid:durableId="1878276484">
    <w:abstractNumId w:val="0"/>
  </w:num>
  <w:num w:numId="4" w16cid:durableId="1128819570">
    <w:abstractNumId w:val="1"/>
  </w:num>
</w:numbering>
</file>

<file path=word/settings.xml><?xml version="1.0" encoding="utf-8"?>
<w:settings xmlns:mc="http://schemas.openxmlformats.org/markup-compatibility/2006" xmlns:m="http://schemas.openxmlformats.org/officeDocument/2006/math" xmlns:r="http://schemas.openxmlformats.org/officeDocument/2006/relationships" xmlns:sl="http://schemas.openxmlformats.org/schemaLibrary/2006/main"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zoom w:percent="139"/>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4376"/>
    <w:rsid w:val="000001F4"/>
    <w:rsid w:val="0000303C"/>
    <w:rsid w:val="00004376"/>
    <w:rsid w:val="00026858"/>
    <w:rsid w:val="000659A1"/>
    <w:rsid w:val="00067F63"/>
    <w:rsid w:val="000764D4"/>
    <w:rsid w:val="0009075D"/>
    <w:rsid w:val="000951EA"/>
    <w:rsid w:val="00095CA0"/>
    <w:rsid w:val="000A6AC8"/>
    <w:rsid w:val="000B0E45"/>
    <w:rsid w:val="000C5ABC"/>
    <w:rsid w:val="000D0236"/>
    <w:rsid w:val="000E1AEF"/>
    <w:rsid w:val="000E4001"/>
    <w:rsid w:val="00103990"/>
    <w:rsid w:val="00104471"/>
    <w:rsid w:val="00116701"/>
    <w:rsid w:val="00120D60"/>
    <w:rsid w:val="00121E91"/>
    <w:rsid w:val="00124AA5"/>
    <w:rsid w:val="00132EA5"/>
    <w:rsid w:val="001557DE"/>
    <w:rsid w:val="00174C1B"/>
    <w:rsid w:val="001777DF"/>
    <w:rsid w:val="001861E1"/>
    <w:rsid w:val="001945C9"/>
    <w:rsid w:val="001A0AE1"/>
    <w:rsid w:val="001A4B8B"/>
    <w:rsid w:val="001B4138"/>
    <w:rsid w:val="001B57F6"/>
    <w:rsid w:val="001C2BE0"/>
    <w:rsid w:val="001D4474"/>
    <w:rsid w:val="001D4E54"/>
    <w:rsid w:val="002054A9"/>
    <w:rsid w:val="00220161"/>
    <w:rsid w:val="00245DE7"/>
    <w:rsid w:val="00276F3A"/>
    <w:rsid w:val="00287776"/>
    <w:rsid w:val="00291633"/>
    <w:rsid w:val="0029426B"/>
    <w:rsid w:val="0029473C"/>
    <w:rsid w:val="002A697E"/>
    <w:rsid w:val="002B68B8"/>
    <w:rsid w:val="002C112C"/>
    <w:rsid w:val="002C1DCE"/>
    <w:rsid w:val="002C5862"/>
    <w:rsid w:val="002D048C"/>
    <w:rsid w:val="003045AB"/>
    <w:rsid w:val="00315FA5"/>
    <w:rsid w:val="0032018D"/>
    <w:rsid w:val="003235ED"/>
    <w:rsid w:val="00326024"/>
    <w:rsid w:val="00333CE1"/>
    <w:rsid w:val="003344A0"/>
    <w:rsid w:val="00352F18"/>
    <w:rsid w:val="003670E5"/>
    <w:rsid w:val="00371DCC"/>
    <w:rsid w:val="003723ED"/>
    <w:rsid w:val="0038267F"/>
    <w:rsid w:val="0038588C"/>
    <w:rsid w:val="00391D75"/>
    <w:rsid w:val="00395DBC"/>
    <w:rsid w:val="003B13DE"/>
    <w:rsid w:val="003B46F4"/>
    <w:rsid w:val="003D2F36"/>
    <w:rsid w:val="003D4C95"/>
    <w:rsid w:val="003E5288"/>
    <w:rsid w:val="003F3612"/>
    <w:rsid w:val="003F796C"/>
    <w:rsid w:val="00430486"/>
    <w:rsid w:val="00436AFA"/>
    <w:rsid w:val="00437A4E"/>
    <w:rsid w:val="00441A3F"/>
    <w:rsid w:val="00454640"/>
    <w:rsid w:val="00483A62"/>
    <w:rsid w:val="004A1E15"/>
    <w:rsid w:val="004B24B5"/>
    <w:rsid w:val="004B7803"/>
    <w:rsid w:val="004C682F"/>
    <w:rsid w:val="004D3B90"/>
    <w:rsid w:val="004E4E2F"/>
    <w:rsid w:val="004F3680"/>
    <w:rsid w:val="00501A0E"/>
    <w:rsid w:val="00505262"/>
    <w:rsid w:val="00506A61"/>
    <w:rsid w:val="00507061"/>
    <w:rsid w:val="00517576"/>
    <w:rsid w:val="00521AC5"/>
    <w:rsid w:val="00524F21"/>
    <w:rsid w:val="0053070E"/>
    <w:rsid w:val="00537B50"/>
    <w:rsid w:val="005406D6"/>
    <w:rsid w:val="005409B2"/>
    <w:rsid w:val="00555F8E"/>
    <w:rsid w:val="00563AC3"/>
    <w:rsid w:val="00565BFE"/>
    <w:rsid w:val="005B0681"/>
    <w:rsid w:val="005B42EC"/>
    <w:rsid w:val="005C5795"/>
    <w:rsid w:val="005E3B3B"/>
    <w:rsid w:val="005E5542"/>
    <w:rsid w:val="005E61C3"/>
    <w:rsid w:val="00603815"/>
    <w:rsid w:val="00610F65"/>
    <w:rsid w:val="00612D1F"/>
    <w:rsid w:val="0061424F"/>
    <w:rsid w:val="00614E1F"/>
    <w:rsid w:val="00620D43"/>
    <w:rsid w:val="006270D5"/>
    <w:rsid w:val="00642656"/>
    <w:rsid w:val="00646BF3"/>
    <w:rsid w:val="006522BF"/>
    <w:rsid w:val="00673EAF"/>
    <w:rsid w:val="0068175D"/>
    <w:rsid w:val="00690857"/>
    <w:rsid w:val="00692546"/>
    <w:rsid w:val="0069718D"/>
    <w:rsid w:val="006972A2"/>
    <w:rsid w:val="006B7300"/>
    <w:rsid w:val="006C06F0"/>
    <w:rsid w:val="006C2D46"/>
    <w:rsid w:val="006E7545"/>
    <w:rsid w:val="006F38F3"/>
    <w:rsid w:val="006F61E9"/>
    <w:rsid w:val="00720260"/>
    <w:rsid w:val="00737600"/>
    <w:rsid w:val="007425C8"/>
    <w:rsid w:val="00743D10"/>
    <w:rsid w:val="00743D3A"/>
    <w:rsid w:val="0075264B"/>
    <w:rsid w:val="00762089"/>
    <w:rsid w:val="00792A27"/>
    <w:rsid w:val="007A33B5"/>
    <w:rsid w:val="007A3592"/>
    <w:rsid w:val="007C33E3"/>
    <w:rsid w:val="007C4E3C"/>
    <w:rsid w:val="007C5043"/>
    <w:rsid w:val="007C7FF5"/>
    <w:rsid w:val="007E73AF"/>
    <w:rsid w:val="007F4DEC"/>
    <w:rsid w:val="0081681D"/>
    <w:rsid w:val="00827015"/>
    <w:rsid w:val="00837659"/>
    <w:rsid w:val="0086118B"/>
    <w:rsid w:val="008A4D39"/>
    <w:rsid w:val="008B44D2"/>
    <w:rsid w:val="008B6ADC"/>
    <w:rsid w:val="008D6D1D"/>
    <w:rsid w:val="008F4A14"/>
    <w:rsid w:val="008F668A"/>
    <w:rsid w:val="00907B46"/>
    <w:rsid w:val="00925B38"/>
    <w:rsid w:val="009263E5"/>
    <w:rsid w:val="009318C9"/>
    <w:rsid w:val="00987556"/>
    <w:rsid w:val="009A0CF8"/>
    <w:rsid w:val="009A1864"/>
    <w:rsid w:val="009A2EAD"/>
    <w:rsid w:val="009B61FF"/>
    <w:rsid w:val="009D74C3"/>
    <w:rsid w:val="009E1624"/>
    <w:rsid w:val="009E18C4"/>
    <w:rsid w:val="009E30BD"/>
    <w:rsid w:val="00A016AB"/>
    <w:rsid w:val="00A10A7A"/>
    <w:rsid w:val="00A30EB2"/>
    <w:rsid w:val="00A52900"/>
    <w:rsid w:val="00A571B8"/>
    <w:rsid w:val="00A73786"/>
    <w:rsid w:val="00A862C2"/>
    <w:rsid w:val="00A87949"/>
    <w:rsid w:val="00A922A6"/>
    <w:rsid w:val="00AB070B"/>
    <w:rsid w:val="00AC4D0A"/>
    <w:rsid w:val="00AC63DF"/>
    <w:rsid w:val="00AD05D0"/>
    <w:rsid w:val="00AD197E"/>
    <w:rsid w:val="00AD4DE8"/>
    <w:rsid w:val="00AD5862"/>
    <w:rsid w:val="00AF5364"/>
    <w:rsid w:val="00B06491"/>
    <w:rsid w:val="00B13732"/>
    <w:rsid w:val="00B2003E"/>
    <w:rsid w:val="00B2608B"/>
    <w:rsid w:val="00B81EAD"/>
    <w:rsid w:val="00B81F1B"/>
    <w:rsid w:val="00B962A4"/>
    <w:rsid w:val="00BA6507"/>
    <w:rsid w:val="00BB3B9F"/>
    <w:rsid w:val="00BB4430"/>
    <w:rsid w:val="00BB61A6"/>
    <w:rsid w:val="00BC49A9"/>
    <w:rsid w:val="00BC621A"/>
    <w:rsid w:val="00BD1097"/>
    <w:rsid w:val="00BD58FF"/>
    <w:rsid w:val="00BE3FB0"/>
    <w:rsid w:val="00BE55F7"/>
    <w:rsid w:val="00BF18C5"/>
    <w:rsid w:val="00C1525E"/>
    <w:rsid w:val="00C33307"/>
    <w:rsid w:val="00C35D33"/>
    <w:rsid w:val="00C507B0"/>
    <w:rsid w:val="00C65E8F"/>
    <w:rsid w:val="00C67072"/>
    <w:rsid w:val="00C724BE"/>
    <w:rsid w:val="00C750A2"/>
    <w:rsid w:val="00C8106A"/>
    <w:rsid w:val="00C90B66"/>
    <w:rsid w:val="00CB08E2"/>
    <w:rsid w:val="00CC3B88"/>
    <w:rsid w:val="00CD029A"/>
    <w:rsid w:val="00D21AF5"/>
    <w:rsid w:val="00D240CE"/>
    <w:rsid w:val="00D2442B"/>
    <w:rsid w:val="00D370AC"/>
    <w:rsid w:val="00D46D10"/>
    <w:rsid w:val="00D504B1"/>
    <w:rsid w:val="00D539D4"/>
    <w:rsid w:val="00D54138"/>
    <w:rsid w:val="00D74AE6"/>
    <w:rsid w:val="00D75A79"/>
    <w:rsid w:val="00D76DAC"/>
    <w:rsid w:val="00D9251E"/>
    <w:rsid w:val="00D93691"/>
    <w:rsid w:val="00DA043A"/>
    <w:rsid w:val="00DA3BF1"/>
    <w:rsid w:val="00DA7A37"/>
    <w:rsid w:val="00DB2094"/>
    <w:rsid w:val="00DB64BD"/>
    <w:rsid w:val="00DC63EA"/>
    <w:rsid w:val="00DD54AF"/>
    <w:rsid w:val="00DD7457"/>
    <w:rsid w:val="00DE0D40"/>
    <w:rsid w:val="00DF0BCD"/>
    <w:rsid w:val="00E01CD8"/>
    <w:rsid w:val="00E13F58"/>
    <w:rsid w:val="00E17BAB"/>
    <w:rsid w:val="00E3226A"/>
    <w:rsid w:val="00E35A1C"/>
    <w:rsid w:val="00E37365"/>
    <w:rsid w:val="00E404C6"/>
    <w:rsid w:val="00E55B4F"/>
    <w:rsid w:val="00E7114B"/>
    <w:rsid w:val="00E72038"/>
    <w:rsid w:val="00E85CB9"/>
    <w:rsid w:val="00EB593B"/>
    <w:rsid w:val="00EC2A37"/>
    <w:rsid w:val="00EE233D"/>
    <w:rsid w:val="00F22A1A"/>
    <w:rsid w:val="00F24FB1"/>
    <w:rsid w:val="00F46348"/>
    <w:rsid w:val="00F57E3E"/>
    <w:rsid w:val="00F74F74"/>
    <w:rsid w:val="00F91BED"/>
    <w:rsid w:val="00F92ECB"/>
    <w:rsid w:val="00F93075"/>
    <w:rsid w:val="00FB0B21"/>
    <w:rsid w:val="00FB3E65"/>
    <w:rsid w:val="00FB3F38"/>
    <w:rsid w:val="00FB4067"/>
    <w:rsid w:val="00FB5887"/>
    <w:rsid w:val="00FB70DA"/>
    <w:rsid w:val="00FC04F2"/>
    <w:rsid w:val="00FC37A2"/>
    <w:rsid w:val="00FC4DB6"/>
    <w:rsid w:val="00FC555A"/>
    <w:rsid w:val="00FD0CF3"/>
    <w:rsid w:val="00FD4597"/>
    <w:rsid w:val="00FD578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4497AD7"/>
  <w15:docId w15:val="{992AC85E-FD3F-494A-AFD5-138D341D9E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A66BE"/>
    <w:rPr>
      <w:rFonts w:cs="Times New Roman"/>
    </w:rPr>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FootnoteText">
    <w:name w:val="footnote text"/>
    <w:basedOn w:val="Normal"/>
    <w:link w:val="FootnoteTextChar"/>
    <w:uiPriority w:val="99"/>
    <w:unhideWhenUsed/>
    <w:rsid w:val="001A66BE"/>
    <w:pPr>
      <w:spacing w:after="0" w:line="240" w:lineRule="auto"/>
    </w:pPr>
    <w:rPr>
      <w:sz w:val="20"/>
      <w:szCs w:val="20"/>
    </w:rPr>
  </w:style>
  <w:style w:type="character" w:customStyle="1" w:styleId="FootnoteTextChar">
    <w:name w:val="Footnote Text Char"/>
    <w:basedOn w:val="DefaultParagraphFont"/>
    <w:link w:val="FootnoteText"/>
    <w:uiPriority w:val="99"/>
    <w:rsid w:val="001A66BE"/>
    <w:rPr>
      <w:rFonts w:ascii="Calibri" w:eastAsia="Calibri" w:hAnsi="Calibri" w:cs="Times New Roman"/>
      <w:sz w:val="20"/>
      <w:szCs w:val="20"/>
    </w:rPr>
  </w:style>
  <w:style w:type="character" w:styleId="FootnoteReference">
    <w:name w:val="footnote reference"/>
    <w:uiPriority w:val="99"/>
    <w:semiHidden/>
    <w:unhideWhenUsed/>
    <w:rsid w:val="001A66BE"/>
    <w:rPr>
      <w:vertAlign w:val="superscript"/>
    </w:rPr>
  </w:style>
  <w:style w:type="character" w:styleId="Hyperlink">
    <w:name w:val="Hyperlink"/>
    <w:uiPriority w:val="99"/>
    <w:unhideWhenUsed/>
    <w:rsid w:val="001A66BE"/>
    <w:rPr>
      <w:color w:val="0563C1"/>
      <w:u w:val="single"/>
    </w:rPr>
  </w:style>
  <w:style w:type="paragraph" w:styleId="BodyText">
    <w:name w:val="Body Text"/>
    <w:basedOn w:val="Normal"/>
    <w:link w:val="BodyTextChar"/>
    <w:uiPriority w:val="99"/>
    <w:rsid w:val="001A66BE"/>
    <w:pPr>
      <w:tabs>
        <w:tab w:val="left" w:pos="288"/>
      </w:tabs>
      <w:spacing w:after="120" w:line="228" w:lineRule="auto"/>
      <w:ind w:firstLine="288"/>
      <w:jc w:val="both"/>
    </w:pPr>
    <w:rPr>
      <w:rFonts w:ascii="Times New Roman" w:eastAsia="MS Mincho" w:hAnsi="Times New Roman"/>
      <w:sz w:val="20"/>
      <w:szCs w:val="20"/>
      <w:lang w:val="id-ID"/>
    </w:rPr>
  </w:style>
  <w:style w:type="character" w:customStyle="1" w:styleId="BodyTextChar">
    <w:name w:val="Body Text Char"/>
    <w:basedOn w:val="DefaultParagraphFont"/>
    <w:link w:val="BodyText"/>
    <w:uiPriority w:val="99"/>
    <w:rsid w:val="001A66BE"/>
    <w:rPr>
      <w:rFonts w:ascii="Times New Roman" w:eastAsia="MS Mincho" w:hAnsi="Times New Roman" w:cs="Times New Roman"/>
      <w:sz w:val="20"/>
      <w:szCs w:val="20"/>
      <w:lang w:val="id-ID"/>
    </w:rPr>
  </w:style>
  <w:style w:type="paragraph" w:customStyle="1" w:styleId="Els-equation">
    <w:name w:val="Els-equation"/>
    <w:next w:val="Normal"/>
    <w:rsid w:val="001A66BE"/>
    <w:pPr>
      <w:widowControl w:val="0"/>
      <w:tabs>
        <w:tab w:val="right" w:pos="4320"/>
        <w:tab w:val="right" w:pos="9120"/>
      </w:tabs>
      <w:spacing w:before="240" w:after="240" w:line="240" w:lineRule="auto"/>
      <w:ind w:left="482"/>
    </w:pPr>
    <w:rPr>
      <w:rFonts w:ascii="Times New Roman" w:eastAsia="SimSun" w:hAnsi="Times New Roman" w:cs="Times New Roman"/>
      <w:i/>
      <w:noProof/>
      <w:sz w:val="20"/>
      <w:szCs w:val="20"/>
    </w:rPr>
  </w:style>
  <w:style w:type="paragraph" w:styleId="Header">
    <w:name w:val="header"/>
    <w:basedOn w:val="Normal"/>
    <w:link w:val="HeaderChar"/>
    <w:uiPriority w:val="99"/>
    <w:unhideWhenUsed/>
    <w:rsid w:val="001A66BE"/>
    <w:pPr>
      <w:tabs>
        <w:tab w:val="center" w:pos="4680"/>
        <w:tab w:val="right" w:pos="9360"/>
      </w:tabs>
      <w:spacing w:after="0" w:line="240" w:lineRule="auto"/>
    </w:pPr>
  </w:style>
  <w:style w:type="character" w:customStyle="1" w:styleId="HeaderChar">
    <w:name w:val="Header Char"/>
    <w:basedOn w:val="DefaultParagraphFont"/>
    <w:link w:val="Header"/>
    <w:uiPriority w:val="99"/>
    <w:rsid w:val="001A66BE"/>
    <w:rPr>
      <w:rFonts w:ascii="Calibri" w:eastAsia="Calibri" w:hAnsi="Calibri" w:cs="Times New Roman"/>
    </w:rPr>
  </w:style>
  <w:style w:type="paragraph" w:styleId="Footer">
    <w:name w:val="footer"/>
    <w:basedOn w:val="Normal"/>
    <w:link w:val="FooterChar"/>
    <w:uiPriority w:val="99"/>
    <w:unhideWhenUsed/>
    <w:rsid w:val="001A66BE"/>
    <w:pPr>
      <w:tabs>
        <w:tab w:val="center" w:pos="4680"/>
        <w:tab w:val="right" w:pos="9360"/>
      </w:tabs>
      <w:spacing w:after="0" w:line="240" w:lineRule="auto"/>
    </w:pPr>
  </w:style>
  <w:style w:type="character" w:customStyle="1" w:styleId="FooterChar">
    <w:name w:val="Footer Char"/>
    <w:basedOn w:val="DefaultParagraphFont"/>
    <w:link w:val="Footer"/>
    <w:uiPriority w:val="99"/>
    <w:rsid w:val="001A66BE"/>
    <w:rPr>
      <w:rFonts w:ascii="Calibri" w:eastAsia="Calibri" w:hAnsi="Calibri" w:cs="Times New Roman"/>
    </w:rPr>
  </w:style>
  <w:style w:type="paragraph" w:styleId="BalloonText">
    <w:name w:val="Balloon Text"/>
    <w:basedOn w:val="Normal"/>
    <w:link w:val="BalloonTextChar"/>
    <w:uiPriority w:val="99"/>
    <w:semiHidden/>
    <w:unhideWhenUsed/>
    <w:rsid w:val="002A265C"/>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A265C"/>
    <w:rPr>
      <w:rFonts w:ascii="Lucida Grande" w:eastAsia="Calibri" w:hAnsi="Lucida Grande" w:cs="Lucida Grande"/>
      <w:sz w:val="18"/>
      <w:szCs w:val="18"/>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character" w:styleId="UnresolvedMention">
    <w:name w:val="Unresolved Mention"/>
    <w:basedOn w:val="DefaultParagraphFont"/>
    <w:uiPriority w:val="99"/>
    <w:semiHidden/>
    <w:unhideWhenUsed/>
    <w:rsid w:val="007C4E3C"/>
    <w:rPr>
      <w:color w:val="605E5C"/>
      <w:shd w:val="clear" w:color="auto" w:fill="E1DFDD"/>
    </w:rPr>
  </w:style>
  <w:style w:type="paragraph" w:styleId="NormalWeb">
    <w:name w:val="Normal (Web)"/>
    <w:basedOn w:val="Normal"/>
    <w:uiPriority w:val="99"/>
    <w:unhideWhenUsed/>
    <w:rsid w:val="000764D4"/>
    <w:pPr>
      <w:spacing w:before="100" w:beforeAutospacing="1" w:after="100" w:afterAutospacing="1" w:line="240" w:lineRule="auto"/>
    </w:pPr>
    <w:rPr>
      <w:rFonts w:ascii="Times New Roman" w:eastAsia="Times New Roman" w:hAnsi="Times New Roman"/>
      <w:sz w:val="24"/>
      <w:szCs w:val="24"/>
      <w:lang w:val="en-ID"/>
    </w:rPr>
  </w:style>
  <w:style w:type="table" w:styleId="TableGrid">
    <w:name w:val="Table Grid"/>
    <w:basedOn w:val="TableNormal"/>
    <w:uiPriority w:val="39"/>
    <w:rsid w:val="000764D4"/>
    <w:pPr>
      <w:spacing w:after="0" w:line="240" w:lineRule="auto"/>
    </w:pPr>
    <w:rPr>
      <w:rFonts w:asciiTheme="minorHAnsi" w:eastAsiaTheme="minorHAnsi" w:hAnsiTheme="minorHAnsi" w:cstheme="minorBidi"/>
      <w:sz w:val="24"/>
      <w:szCs w:val="24"/>
      <w:lang w:val="en-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CB08E2"/>
  </w:style>
  <w:style w:type="character" w:styleId="CommentReference">
    <w:name w:val="annotation reference"/>
    <w:basedOn w:val="DefaultParagraphFont"/>
    <w:uiPriority w:val="99"/>
    <w:semiHidden/>
    <w:unhideWhenUsed/>
    <w:rsid w:val="0075264B"/>
    <w:rPr>
      <w:sz w:val="16"/>
      <w:szCs w:val="16"/>
    </w:rPr>
  </w:style>
  <w:style w:type="paragraph" w:styleId="CommentText">
    <w:name w:val="annotation text"/>
    <w:basedOn w:val="Normal"/>
    <w:link w:val="CommentTextChar"/>
    <w:uiPriority w:val="99"/>
    <w:semiHidden/>
    <w:unhideWhenUsed/>
    <w:rsid w:val="0075264B"/>
    <w:pPr>
      <w:spacing w:line="240" w:lineRule="auto"/>
    </w:pPr>
    <w:rPr>
      <w:sz w:val="20"/>
      <w:szCs w:val="20"/>
    </w:rPr>
  </w:style>
  <w:style w:type="character" w:customStyle="1" w:styleId="CommentTextChar">
    <w:name w:val="Comment Text Char"/>
    <w:basedOn w:val="DefaultParagraphFont"/>
    <w:link w:val="CommentText"/>
    <w:uiPriority w:val="99"/>
    <w:semiHidden/>
    <w:rsid w:val="0075264B"/>
    <w:rPr>
      <w:rFonts w:cs="Times New Roman"/>
      <w:sz w:val="20"/>
      <w:szCs w:val="20"/>
    </w:rPr>
  </w:style>
  <w:style w:type="paragraph" w:styleId="CommentSubject">
    <w:name w:val="annotation subject"/>
    <w:basedOn w:val="CommentText"/>
    <w:next w:val="CommentText"/>
    <w:link w:val="CommentSubjectChar"/>
    <w:uiPriority w:val="99"/>
    <w:semiHidden/>
    <w:unhideWhenUsed/>
    <w:rsid w:val="0075264B"/>
    <w:rPr>
      <w:b/>
      <w:bCs/>
    </w:rPr>
  </w:style>
  <w:style w:type="character" w:customStyle="1" w:styleId="CommentSubjectChar">
    <w:name w:val="Comment Subject Char"/>
    <w:basedOn w:val="CommentTextChar"/>
    <w:link w:val="CommentSubject"/>
    <w:uiPriority w:val="99"/>
    <w:semiHidden/>
    <w:rsid w:val="0075264B"/>
    <w:rPr>
      <w:rFonts w:cs="Times New Roman"/>
      <w:b/>
      <w:bCs/>
      <w:sz w:val="20"/>
      <w:szCs w:val="20"/>
    </w:rPr>
  </w:style>
  <w:style w:type="paragraph" w:styleId="ListParagraph">
    <w:name w:val="List Paragraph"/>
    <w:basedOn w:val="Normal"/>
    <w:uiPriority w:val="34"/>
    <w:qFormat/>
    <w:rsid w:val="0029473C"/>
    <w:pPr>
      <w:ind w:left="720"/>
      <w:contextualSpacing/>
    </w:pPr>
  </w:style>
  <w:style w:type="character" w:styleId="FollowedHyperlink">
    <w:name w:val="FollowedHyperlink"/>
    <w:basedOn w:val="DefaultParagraphFont"/>
    <w:uiPriority w:val="99"/>
    <w:semiHidden/>
    <w:unhideWhenUsed/>
    <w:rsid w:val="00D5413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divs>
    <w:div w:id="42141730">
      <w:bodyDiv w:val="1"/>
      <w:marLeft w:val="0"/>
      <w:marRight w:val="0"/>
      <w:marTop w:val="0"/>
      <w:marBottom w:val="0"/>
      <w:divBdr>
        <w:top w:val="none" w:sz="0" w:space="0" w:color="auto"/>
        <w:left w:val="none" w:sz="0" w:space="0" w:color="auto"/>
        <w:bottom w:val="none" w:sz="0" w:space="0" w:color="auto"/>
        <w:right w:val="none" w:sz="0" w:space="0" w:color="auto"/>
      </w:divBdr>
    </w:div>
    <w:div w:id="203300820">
      <w:bodyDiv w:val="1"/>
      <w:marLeft w:val="0"/>
      <w:marRight w:val="0"/>
      <w:marTop w:val="0"/>
      <w:marBottom w:val="0"/>
      <w:divBdr>
        <w:top w:val="none" w:sz="0" w:space="0" w:color="auto"/>
        <w:left w:val="none" w:sz="0" w:space="0" w:color="auto"/>
        <w:bottom w:val="none" w:sz="0" w:space="0" w:color="auto"/>
        <w:right w:val="none" w:sz="0" w:space="0" w:color="auto"/>
      </w:divBdr>
    </w:div>
    <w:div w:id="1105921543">
      <w:bodyDiv w:val="1"/>
      <w:marLeft w:val="0"/>
      <w:marRight w:val="0"/>
      <w:marTop w:val="0"/>
      <w:marBottom w:val="0"/>
      <w:divBdr>
        <w:top w:val="none" w:sz="0" w:space="0" w:color="auto"/>
        <w:left w:val="none" w:sz="0" w:space="0" w:color="auto"/>
        <w:bottom w:val="none" w:sz="0" w:space="0" w:color="auto"/>
        <w:right w:val="none" w:sz="0" w:space="0" w:color="auto"/>
      </w:divBdr>
    </w:div>
    <w:div w:id="1777358724">
      <w:bodyDiv w:val="1"/>
      <w:marLeft w:val="0"/>
      <w:marRight w:val="0"/>
      <w:marTop w:val="0"/>
      <w:marBottom w:val="0"/>
      <w:divBdr>
        <w:top w:val="none" w:sz="0" w:space="0" w:color="auto"/>
        <w:left w:val="none" w:sz="0" w:space="0" w:color="auto"/>
        <w:bottom w:val="none" w:sz="0" w:space="0" w:color="auto"/>
        <w:right w:val="none" w:sz="0" w:space="0" w:color="auto"/>
      </w:divBdr>
    </w:div>
    <w:div w:id="196885090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1.xml"/><Relationship Id="rId5" Type="http://schemas.openxmlformats.org/officeDocument/2006/relationships/settings" Target="settings.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latin typeface="Times New Roman" panose="02020603050405020304" pitchFamily="18" charset="0"/>
                <a:cs typeface="Times New Roman" panose="02020603050405020304" pitchFamily="18" charset="0"/>
              </a:rPr>
              <a:t>Journal Publications</a:t>
            </a:r>
            <a:r>
              <a:rPr lang="en-ID">
                <a:latin typeface="Times New Roman" panose="02020603050405020304" pitchFamily="18" charset="0"/>
                <a:cs typeface="Times New Roman" panose="02020603050405020304" pitchFamily="18" charset="0"/>
              </a:rPr>
              <a:t> </a:t>
            </a:r>
            <a:endParaRPr lang="en-US">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barChart>
        <c:barDir val="bar"/>
        <c:grouping val="clustered"/>
        <c:varyColors val="0"/>
        <c:ser>
          <c:idx val="0"/>
          <c:order val="0"/>
          <c:spPr>
            <a:solidFill>
              <a:schemeClr val="accent6">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Sheet1!$A$1:$A$42</c:f>
              <c:strCache>
                <c:ptCount val="42"/>
                <c:pt idx="0">
                  <c:v>Journal of Cleaner Production </c:v>
                </c:pt>
                <c:pt idx="1">
                  <c:v>International Journal of Energy Economics and Policy </c:v>
                </c:pt>
                <c:pt idx="2">
                  <c:v>Sustainability (Switzerland) </c:v>
                </c:pt>
                <c:pt idx="3">
                  <c:v>Business Strategy and the Environment </c:v>
                </c:pt>
                <c:pt idx="4">
                  <c:v>Social and Environmental Accountability Journal </c:v>
                </c:pt>
                <c:pt idx="5">
                  <c:v>Accounting, Auditing and Accountability Journal</c:v>
                </c:pt>
                <c:pt idx="6">
                  <c:v>Sustainability Accounting, Management and Policy Journal</c:v>
                </c:pt>
                <c:pt idx="7">
                  <c:v>Journal of Environmental Management</c:v>
                </c:pt>
                <c:pt idx="8">
                  <c:v>Journal of Environmental Accounting and Management</c:v>
                </c:pt>
                <c:pt idx="9">
                  <c:v>Pakistan Journal of Commerce and Social Science</c:v>
                </c:pt>
                <c:pt idx="10">
                  <c:v>Advances in Environmental Accounting and Management</c:v>
                </c:pt>
                <c:pt idx="11">
                  <c:v>Journal of Environmental Planning and Management</c:v>
                </c:pt>
                <c:pt idx="12">
                  <c:v>Critical Perspectives on Accounting</c:v>
                </c:pt>
                <c:pt idx="13">
                  <c:v>Australasian Journal of Environmental Management</c:v>
                </c:pt>
                <c:pt idx="14">
                  <c:v>International Journal of Business Performance Management</c:v>
                </c:pt>
                <c:pt idx="15">
                  <c:v>International Journal of Business Excellence</c:v>
                </c:pt>
                <c:pt idx="16">
                  <c:v>Financial Accountability and Management</c:v>
                </c:pt>
                <c:pt idx="17">
                  <c:v>British Accounting Review</c:v>
                </c:pt>
                <c:pt idx="18">
                  <c:v>Measuring Business Excellence</c:v>
                </c:pt>
                <c:pt idx="19">
                  <c:v>Meditari Accountancy Research</c:v>
                </c:pt>
                <c:pt idx="20">
                  <c:v>South African Journal of Accounting Research</c:v>
                </c:pt>
                <c:pt idx="21">
                  <c:v>International Journal of Business Innovation and Research</c:v>
                </c:pt>
                <c:pt idx="22">
                  <c:v>International Journal of Quality and Reliability Management</c:v>
                </c:pt>
                <c:pt idx="23">
                  <c:v>Journal of Industrial Ecology</c:v>
                </c:pt>
                <c:pt idx="24">
                  <c:v>Uncertain Supply Chain Management</c:v>
                </c:pt>
                <c:pt idx="25">
                  <c:v>Journal of Accounting and Organizational Change</c:v>
                </c:pt>
                <c:pt idx="26">
                  <c:v>Sustainable Measures: Evaluation and Reporting of Environmental and Social Performance</c:v>
                </c:pt>
                <c:pt idx="27">
                  <c:v>Journal of Management Control</c:v>
                </c:pt>
                <c:pt idx="28">
                  <c:v>The Green Bottom Line: Environmental Accounting for Management: Current Practice and Future Trends</c:v>
                </c:pt>
                <c:pt idx="29">
                  <c:v>Business Process Management Journal</c:v>
                </c:pt>
                <c:pt idx="30">
                  <c:v>Energies</c:v>
                </c:pt>
                <c:pt idx="31">
                  <c:v>International Journal of Economics and Management</c:v>
                </c:pt>
                <c:pt idx="32">
                  <c:v>Sustainable Development</c:v>
                </c:pt>
                <c:pt idx="33">
                  <c:v>Environment, Development and Sustainability</c:v>
                </c:pt>
                <c:pt idx="34">
                  <c:v>Environmental Monitoring and Assessment</c:v>
                </c:pt>
                <c:pt idx="35">
                  <c:v>Journal of Business Economics and Management</c:v>
                </c:pt>
                <c:pt idx="36">
                  <c:v>Journal of Security and Sustainability Issues</c:v>
                </c:pt>
                <c:pt idx="37">
                  <c:v>African Journal of Hospitality, Tourism and Leisure</c:v>
                </c:pt>
                <c:pt idx="38">
                  <c:v>International Journal of Environment and Sustainable Development</c:v>
                </c:pt>
                <c:pt idx="39">
                  <c:v>International Journal of Environmental Research and Public Health</c:v>
                </c:pt>
                <c:pt idx="40">
                  <c:v>Journal of Knowledge Management</c:v>
                </c:pt>
                <c:pt idx="41">
                  <c:v>Procedia Environmental Science, Engineering and Management</c:v>
                </c:pt>
              </c:strCache>
            </c:strRef>
          </c:cat>
          <c:val>
            <c:numRef>
              <c:f>Sheet1!$B$1:$B$42</c:f>
              <c:numCache>
                <c:formatCode>General</c:formatCode>
                <c:ptCount val="42"/>
                <c:pt idx="0">
                  <c:v>10</c:v>
                </c:pt>
                <c:pt idx="1">
                  <c:v>10</c:v>
                </c:pt>
                <c:pt idx="2">
                  <c:v>6</c:v>
                </c:pt>
                <c:pt idx="3">
                  <c:v>4</c:v>
                </c:pt>
                <c:pt idx="4">
                  <c:v>3</c:v>
                </c:pt>
                <c:pt idx="5">
                  <c:v>3</c:v>
                </c:pt>
                <c:pt idx="6">
                  <c:v>2</c:v>
                </c:pt>
                <c:pt idx="7">
                  <c:v>2</c:v>
                </c:pt>
                <c:pt idx="8">
                  <c:v>2</c:v>
                </c:pt>
                <c:pt idx="9">
                  <c:v>2</c:v>
                </c:pt>
                <c:pt idx="10">
                  <c:v>1</c:v>
                </c:pt>
                <c:pt idx="11">
                  <c:v>1</c:v>
                </c:pt>
                <c:pt idx="12">
                  <c:v>1</c:v>
                </c:pt>
                <c:pt idx="13">
                  <c:v>1</c:v>
                </c:pt>
                <c:pt idx="14">
                  <c:v>1</c:v>
                </c:pt>
                <c:pt idx="15">
                  <c:v>1</c:v>
                </c:pt>
                <c:pt idx="16">
                  <c:v>1</c:v>
                </c:pt>
                <c:pt idx="17">
                  <c:v>1</c:v>
                </c:pt>
                <c:pt idx="18">
                  <c:v>1</c:v>
                </c:pt>
                <c:pt idx="19">
                  <c:v>1</c:v>
                </c:pt>
                <c:pt idx="20">
                  <c:v>1</c:v>
                </c:pt>
                <c:pt idx="21">
                  <c:v>1</c:v>
                </c:pt>
                <c:pt idx="22">
                  <c:v>1</c:v>
                </c:pt>
                <c:pt idx="23">
                  <c:v>1</c:v>
                </c:pt>
                <c:pt idx="24">
                  <c:v>1</c:v>
                </c:pt>
                <c:pt idx="25">
                  <c:v>1</c:v>
                </c:pt>
                <c:pt idx="26">
                  <c:v>1</c:v>
                </c:pt>
                <c:pt idx="27">
                  <c:v>1</c:v>
                </c:pt>
                <c:pt idx="28">
                  <c:v>1</c:v>
                </c:pt>
                <c:pt idx="29">
                  <c:v>1</c:v>
                </c:pt>
                <c:pt idx="30">
                  <c:v>1</c:v>
                </c:pt>
                <c:pt idx="31">
                  <c:v>1</c:v>
                </c:pt>
                <c:pt idx="32">
                  <c:v>1</c:v>
                </c:pt>
                <c:pt idx="33">
                  <c:v>1</c:v>
                </c:pt>
                <c:pt idx="34">
                  <c:v>1</c:v>
                </c:pt>
                <c:pt idx="35">
                  <c:v>1</c:v>
                </c:pt>
                <c:pt idx="36">
                  <c:v>1</c:v>
                </c:pt>
                <c:pt idx="37">
                  <c:v>1</c:v>
                </c:pt>
                <c:pt idx="38">
                  <c:v>1</c:v>
                </c:pt>
                <c:pt idx="39">
                  <c:v>1</c:v>
                </c:pt>
                <c:pt idx="40">
                  <c:v>1</c:v>
                </c:pt>
                <c:pt idx="41">
                  <c:v>1</c:v>
                </c:pt>
              </c:numCache>
            </c:numRef>
          </c:val>
          <c:extLst>
            <c:ext xmlns:c16="http://schemas.microsoft.com/office/drawing/2014/chart" uri="{C3380CC4-5D6E-409C-BE32-E72D297353CC}">
              <c16:uniqueId val="{00000000-5C8B-BA43-96B8-29D8F01CF8EF}"/>
            </c:ext>
          </c:extLst>
        </c:ser>
        <c:dLbls>
          <c:dLblPos val="inEnd"/>
          <c:showLegendKey val="0"/>
          <c:showVal val="1"/>
          <c:showCatName val="0"/>
          <c:showSerName val="0"/>
          <c:showPercent val="0"/>
          <c:showBubbleSize val="0"/>
        </c:dLbls>
        <c:gapWidth val="65"/>
        <c:axId val="613746719"/>
        <c:axId val="614199311"/>
      </c:barChart>
      <c:catAx>
        <c:axId val="613746719"/>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none"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n-US"/>
          </a:p>
        </c:txPr>
        <c:crossAx val="614199311"/>
        <c:crosses val="autoZero"/>
        <c:auto val="1"/>
        <c:lblAlgn val="ctr"/>
        <c:lblOffset val="100"/>
        <c:noMultiLvlLbl val="0"/>
      </c:catAx>
      <c:valAx>
        <c:axId val="614199311"/>
        <c:scaling>
          <c:orientation val="minMax"/>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crossAx val="613746719"/>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xmlns:go="http://customooxmlschemas.google.com/" roundtripDataSignature="AMtx7mjgAZBZHyPrT+ngSOwQV6NryPb+EA==">AMUW2mVQb5ZeVztPkEfeinT+hMH6oIvDphZfTCg/bXyzn4jed2PqH9dO4QcDvHiNl+t1HoYIQgIyPg/hHsJfrgo4qUYv7NNwBvB7ynzhvL1va3/Ss27RnzTsio5hsDMusZy3ww2c7zZd</go:docsCustomData>
</go:gDocsCustomXmlDataStorage>
</file>

<file path=customXml/itemProps1.xml><?xml version="1.0" encoding="utf-8"?>
<ds:datastoreItem xmlns:ds="http://schemas.openxmlformats.org/officeDocument/2006/customXml" ds:itemID="{75254B80-8A88-2346-87E4-D1A76A24DF50}">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37750</Words>
  <Characters>215181</Characters>
  <Application>Microsoft Office Word</Application>
  <DocSecurity>0</DocSecurity>
  <Lines>1793</Lines>
  <Paragraphs>504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252427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monica</dc:creator>
  <cp:lastModifiedBy>hijroh akt</cp:lastModifiedBy>
  <cp:revision>2</cp:revision>
  <dcterms:created xsi:type="dcterms:W3CDTF">2026-06-23T12:43:00Z</dcterms:created>
  <dcterms:modified xsi:type="dcterms:W3CDTF">2026-06-23T12:43:00Z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0deb720f-1b05-38a3-9fc5-d4f2a15fd984</vt:lpwstr>
  </property>
  <property fmtid="{D5CDD505-2E9C-101B-9397-08002B2CF9AE}" pid="24" name="Mendeley Citation Style_1">
    <vt:lpwstr>http://www.zotero.org/styles/apa</vt:lpwstr>
  </property>
</Properties>
</file>