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widowControl w:val="false"/>
        <w:pBdr>
          <w:left w:val="nil"/>
          <w:right w:val="nil"/>
          <w:top w:val="nil"/>
          <w:bottom w:val="nil"/>
          <w:between w:val="nil"/>
        </w:pBdr>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CONTRIBUTING </w:t>
      </w:r>
      <w:r>
        <w:rPr>
          <w:rFonts w:ascii="Times New Roman" w:cs="Times New Roman" w:hAnsi="Times New Roman"/>
          <w:b/>
          <w:bCs/>
          <w:color w:val="000000"/>
          <w:sz w:val="24"/>
          <w:szCs w:val="24"/>
        </w:rPr>
        <w:t>RISK FACTORS</w:t>
      </w:r>
      <w:r>
        <w:rPr>
          <w:rFonts w:ascii="Times New Roman" w:cs="Times New Roman" w:hAnsi="Times New Roman"/>
          <w:b/>
          <w:bCs/>
          <w:color w:val="000000"/>
          <w:sz w:val="24"/>
          <w:szCs w:val="24"/>
        </w:rPr>
        <w:t xml:space="preserve"> </w:t>
      </w:r>
      <w:r>
        <w:rPr>
          <w:rFonts w:ascii="Times New Roman" w:cs="Times New Roman" w:hAnsi="Times New Roman"/>
          <w:b/>
          <w:bCs/>
          <w:color w:val="000000"/>
          <w:sz w:val="24"/>
          <w:szCs w:val="24"/>
        </w:rPr>
        <w:t>FOR CHRONIC HEALTH CONDITIONS AMONG OIL DRILLING WORKERS: A PREDICTIVE MODELING APPROACH.</w:t>
      </w: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jc w:val="center"/>
        <w:rPr>
          <w:rFonts w:ascii="Times New Roman" w:cs="Times New Roman" w:hAnsi="Times New Roman"/>
          <w:color w:val="000000"/>
          <w:sz w:val="24"/>
          <w:szCs w:val="24"/>
        </w:rPr>
      </w:pPr>
      <w:r>
        <w:rPr>
          <w:rFonts w:ascii="Times New Roman" w:cs="Times New Roman" w:hAnsi="Times New Roman"/>
          <w:color w:val="000000"/>
          <w:sz w:val="24"/>
          <w:szCs w:val="24"/>
        </w:rPr>
        <w:t>Odocha</w:t>
      </w:r>
      <w:r>
        <w:rPr>
          <w:rFonts w:ascii="Times New Roman" w:cs="Times New Roman" w:hAnsi="Times New Roman"/>
          <w:color w:val="000000"/>
          <w:sz w:val="24"/>
          <w:szCs w:val="24"/>
        </w:rPr>
        <w:t xml:space="preserve">, E.C.¹*, Joel, O.F.¹, </w:t>
      </w:r>
      <w:r>
        <w:rPr>
          <w:rFonts w:ascii="Times New Roman" w:cs="Times New Roman" w:hAnsi="Times New Roman"/>
          <w:color w:val="000000"/>
          <w:sz w:val="24"/>
          <w:szCs w:val="24"/>
        </w:rPr>
        <w:t>Iwuanyanwu</w:t>
      </w:r>
      <w:r>
        <w:rPr>
          <w:rFonts w:ascii="Times New Roman" w:cs="Times New Roman" w:hAnsi="Times New Roman"/>
          <w:color w:val="000000"/>
          <w:sz w:val="24"/>
          <w:szCs w:val="24"/>
        </w:rPr>
        <w:t>, P.¹</w:t>
      </w:r>
      <w:r>
        <w:rPr>
          <w:rFonts w:ascii="Times New Roman" w:cs="Times New Roman" w:hAnsi="Times New Roman"/>
          <w:color w:val="000000"/>
          <w:sz w:val="24"/>
          <w:szCs w:val="24"/>
          <w:lang w:val="en-US"/>
        </w:rPr>
        <w:t>,Omehoma, O.C,Dr  Mgbowaji Zacchaeus,Dr Kenner N. Okafor</w:t>
      </w:r>
    </w:p>
    <w:p>
      <w:pPr>
        <w:pStyle w:val="style0"/>
        <w:widowControl w:val="false"/>
        <w:pBdr>
          <w:left w:val="nil"/>
          <w:right w:val="nil"/>
          <w:top w:val="nil"/>
          <w:bottom w:val="nil"/>
          <w:between w:val="nil"/>
        </w:pBdr>
        <w:jc w:val="center"/>
        <w:rPr>
          <w:rFonts w:ascii="Times New Roman" w:cs="Times New Roman" w:hAnsi="Times New Roman"/>
          <w:color w:val="000000"/>
          <w:sz w:val="24"/>
          <w:szCs w:val="24"/>
        </w:rPr>
      </w:pPr>
    </w:p>
    <w:p>
      <w:pPr>
        <w:pStyle w:val="style0"/>
        <w:widowControl w:val="false"/>
        <w:pBdr>
          <w:left w:val="nil"/>
          <w:right w:val="nil"/>
          <w:top w:val="nil"/>
          <w:bottom w:val="nil"/>
          <w:between w:val="nil"/>
        </w:pBdr>
        <w:jc w:val="center"/>
        <w:rPr>
          <w:rFonts w:ascii="Times New Roman" w:cs="Times New Roman" w:hAnsi="Times New Roman"/>
          <w:color w:val="000000"/>
          <w:sz w:val="24"/>
          <w:szCs w:val="24"/>
        </w:rPr>
      </w:pPr>
      <w:r>
        <w:rPr>
          <w:rFonts w:ascii="Times New Roman" w:cs="Times New Roman" w:hAnsi="Times New Roman"/>
          <w:color w:val="000000"/>
          <w:sz w:val="24"/>
          <w:szCs w:val="24"/>
        </w:rPr>
        <w:t>¹World Bank Africa Centre of Excellence in Oilfield Chemicals Research, Department of Occupational Health and Safety, Faculty of Engineering, University of Port Harcourt, Port Harcourt, Nigeria</w:t>
      </w: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ABSTRACT</w:t>
      </w: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Chronic health conditions among oil drilling workers represent a significant occupational health challenge in the </w:t>
      </w:r>
      <w:r>
        <w:rPr>
          <w:rFonts w:ascii="Times New Roman" w:cs="Times New Roman" w:hAnsi="Times New Roman"/>
          <w:color w:val="000000"/>
          <w:sz w:val="24"/>
          <w:szCs w:val="24"/>
        </w:rPr>
        <w:t>oil and gas industry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Previous studies have described</w:t>
      </w:r>
      <w:r>
        <w:rPr>
          <w:rFonts w:ascii="Times New Roman" w:cs="Times New Roman" w:hAnsi="Times New Roman"/>
          <w:color w:val="000000"/>
          <w:sz w:val="24"/>
          <w:szCs w:val="24"/>
        </w:rPr>
        <w:t xml:space="preserve"> the prevalence of </w:t>
      </w:r>
      <w:r>
        <w:rPr>
          <w:rFonts w:ascii="Times New Roman" w:cs="Times New Roman" w:hAnsi="Times New Roman"/>
          <w:color w:val="000000"/>
          <w:sz w:val="24"/>
          <w:szCs w:val="24"/>
        </w:rPr>
        <w:t>occupational health outcomes</w:t>
      </w:r>
      <w:r>
        <w:rPr>
          <w:rFonts w:ascii="Times New Roman" w:cs="Times New Roman" w:hAnsi="Times New Roman"/>
          <w:color w:val="000000"/>
          <w:sz w:val="24"/>
          <w:szCs w:val="24"/>
        </w:rPr>
        <w:t>, but the</w:t>
      </w:r>
      <w:r>
        <w:rPr>
          <w:rFonts w:ascii="Times New Roman" w:cs="Times New Roman" w:hAnsi="Times New Roman"/>
          <w:color w:val="000000"/>
          <w:sz w:val="24"/>
          <w:szCs w:val="24"/>
        </w:rPr>
        <w:t>re is a</w:t>
      </w:r>
      <w:r>
        <w:rPr>
          <w:rFonts w:ascii="Times New Roman" w:cs="Times New Roman" w:hAnsi="Times New Roman"/>
          <w:color w:val="000000"/>
          <w:sz w:val="24"/>
          <w:szCs w:val="24"/>
        </w:rPr>
        <w:t xml:space="preserve"> need to understand how contributing factors affect chronic health outcomes. </w:t>
      </w:r>
      <w:r>
        <w:rPr>
          <w:rFonts w:ascii="Times New Roman" w:cs="Times New Roman" w:hAnsi="Times New Roman"/>
          <w:color w:val="000000"/>
          <w:sz w:val="24"/>
          <w:szCs w:val="24"/>
        </w:rPr>
        <w:t>This</w:t>
      </w:r>
      <w:r>
        <w:rPr>
          <w:rFonts w:ascii="Times New Roman" w:cs="Times New Roman" w:hAnsi="Times New Roman"/>
          <w:color w:val="000000"/>
          <w:sz w:val="24"/>
          <w:szCs w:val="24"/>
        </w:rPr>
        <w:t xml:space="preserve"> study adopted a </w:t>
      </w:r>
      <w:r>
        <w:rPr>
          <w:rFonts w:ascii="Times New Roman" w:cs="Times New Roman" w:hAnsi="Times New Roman"/>
          <w:color w:val="000000"/>
          <w:sz w:val="24"/>
          <w:szCs w:val="24"/>
        </w:rPr>
        <w:t xml:space="preserve">cross-sectional </w:t>
      </w:r>
      <w:r>
        <w:rPr>
          <w:rFonts w:ascii="Times New Roman" w:cs="Times New Roman" w:hAnsi="Times New Roman"/>
          <w:color w:val="000000"/>
          <w:sz w:val="24"/>
          <w:szCs w:val="24"/>
        </w:rPr>
        <w:t>design</w:t>
      </w:r>
      <w:r>
        <w:rPr>
          <w:rFonts w:ascii="Times New Roman" w:cs="Times New Roman" w:hAnsi="Times New Roman"/>
          <w:color w:val="000000"/>
          <w:sz w:val="24"/>
          <w:szCs w:val="24"/>
        </w:rPr>
        <w:t xml:space="preserve"> aimed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at</w:t>
      </w:r>
      <w:r>
        <w:rPr>
          <w:rFonts w:ascii="Times New Roman" w:cs="Times New Roman" w:hAnsi="Times New Roman"/>
          <w:color w:val="000000"/>
          <w:sz w:val="24"/>
          <w:szCs w:val="24"/>
        </w:rPr>
        <w:t xml:space="preserve"> identifying</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quantifying</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contributing </w:t>
      </w:r>
      <w:r>
        <w:rPr>
          <w:rFonts w:ascii="Times New Roman" w:cs="Times New Roman" w:hAnsi="Times New Roman"/>
          <w:color w:val="000000"/>
          <w:sz w:val="24"/>
          <w:szCs w:val="24"/>
        </w:rPr>
        <w:t xml:space="preserve">risk factors associated with chronic health conditions among oil drilling workers using logistic regression </w:t>
      </w:r>
      <w:r>
        <w:rPr>
          <w:rFonts w:ascii="Times New Roman" w:cs="Times New Roman" w:hAnsi="Times New Roman"/>
          <w:color w:val="000000"/>
          <w:sz w:val="24"/>
          <w:szCs w:val="24"/>
        </w:rPr>
        <w:t>modelling</w:t>
      </w:r>
      <w:r>
        <w:rPr>
          <w:rFonts w:ascii="Times New Roman" w:cs="Times New Roman" w:hAnsi="Times New Roman"/>
          <w:color w:val="000000"/>
          <w:sz w:val="24"/>
          <w:szCs w:val="24"/>
        </w:rPr>
        <w:t xml:space="preserve">. A total of 350 oil drilling workers across the Niger Delta region participated in the study. Structured questionnaires captured data on work-related factors (physical job demands, work control/autonomy, exposure frequency), </w:t>
      </w:r>
      <w:r>
        <w:rPr>
          <w:rFonts w:ascii="Times New Roman" w:cs="Times New Roman" w:hAnsi="Times New Roman"/>
          <w:color w:val="000000"/>
          <w:sz w:val="24"/>
          <w:szCs w:val="24"/>
        </w:rPr>
        <w:t>organisational</w:t>
      </w:r>
      <w:r>
        <w:rPr>
          <w:rFonts w:ascii="Times New Roman" w:cs="Times New Roman" w:hAnsi="Times New Roman"/>
          <w:color w:val="000000"/>
          <w:sz w:val="24"/>
          <w:szCs w:val="24"/>
        </w:rPr>
        <w:t xml:space="preserve"> factors (supervisor support, </w:t>
      </w:r>
      <w:r>
        <w:rPr>
          <w:rFonts w:ascii="Times New Roman" w:cs="Times New Roman" w:hAnsi="Times New Roman"/>
          <w:color w:val="000000"/>
          <w:sz w:val="24"/>
          <w:szCs w:val="24"/>
        </w:rPr>
        <w:t>organisational</w:t>
      </w:r>
      <w:r>
        <w:rPr>
          <w:rFonts w:ascii="Times New Roman" w:cs="Times New Roman" w:hAnsi="Times New Roman"/>
          <w:color w:val="000000"/>
          <w:sz w:val="24"/>
          <w:szCs w:val="24"/>
        </w:rPr>
        <w:t xml:space="preserve"> stress support, PPE usage), personal factors (smoking status, exercise frequency), and demographic characteristics (age, years of experience). Logistic regression analysis was employed to examine associations between predictor variables and chronic health outcomes. Results revealed that exposure frequency emerged as the strongest work-related predictor (OR = 2.11, 95% CI: 2.10-2.13, p &lt; 0.001), with each unit increase associated with 111.4% increased odds of chronic health conditions. </w:t>
      </w:r>
      <w:r>
        <w:rPr>
          <w:rFonts w:ascii="Times New Roman" w:cs="Times New Roman" w:hAnsi="Times New Roman"/>
          <w:color w:val="000000"/>
          <w:sz w:val="24"/>
          <w:szCs w:val="24"/>
        </w:rPr>
        <w:t>Organisational</w:t>
      </w:r>
      <w:r>
        <w:rPr>
          <w:rFonts w:ascii="Times New Roman" w:cs="Times New Roman" w:hAnsi="Times New Roman"/>
          <w:color w:val="000000"/>
          <w:sz w:val="24"/>
          <w:szCs w:val="24"/>
        </w:rPr>
        <w:t xml:space="preserve"> stress support demonstrated substantial protective effects (OR = 0.51, 95% CI: 0.50-0.51, p &lt; 0.001), reducing health risk odds by 49.4%. Personal factors showed that smoking increased risk by 29.1% (OR = 1.29, p &lt; 0.001), while exercise frequency decreased risk by 29.4% (OR = 0.71, p &lt; 0.001). Age group emerged as the strongest demographic predictor, with each unit increase associated with 64.9% increased odds (OR = 1.65, 95% CI: 1.63-1.66, p &lt; 0.001). These findings provide evidence that chronic health conditions among oil drilling workers are influenced by multiple interacting factors across work-related, </w:t>
      </w:r>
      <w:r>
        <w:rPr>
          <w:rFonts w:ascii="Times New Roman" w:cs="Times New Roman" w:hAnsi="Times New Roman"/>
          <w:color w:val="000000"/>
          <w:sz w:val="24"/>
          <w:szCs w:val="24"/>
        </w:rPr>
        <w:t>organisational</w:t>
      </w:r>
      <w:r>
        <w:rPr>
          <w:rFonts w:ascii="Times New Roman" w:cs="Times New Roman" w:hAnsi="Times New Roman"/>
          <w:color w:val="000000"/>
          <w:sz w:val="24"/>
          <w:szCs w:val="24"/>
        </w:rPr>
        <w:t>, personal, and demographic domains, supporting the necessity of</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multifaceted approaches to occupational health management.</w:t>
      </w: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r>
        <w:rPr>
          <w:rFonts w:ascii="Times New Roman" w:cs="Times New Roman" w:hAnsi="Times New Roman"/>
          <w:b/>
          <w:bCs/>
          <w:color w:val="000000"/>
          <w:sz w:val="24"/>
          <w:szCs w:val="24"/>
        </w:rPr>
        <w:t>Keywords</w:t>
      </w:r>
      <w:r>
        <w:rPr>
          <w:rFonts w:ascii="Times New Roman" w:cs="Times New Roman" w:hAnsi="Times New Roman"/>
          <w:color w:val="000000"/>
          <w:sz w:val="24"/>
          <w:szCs w:val="24"/>
        </w:rPr>
        <w:t xml:space="preserve">: Risk factors, protective measures, logistic regression, occupational health surveillance, oil drilling workers, predictive </w:t>
      </w:r>
      <w:r>
        <w:rPr>
          <w:rFonts w:ascii="Times New Roman" w:cs="Times New Roman" w:hAnsi="Times New Roman"/>
          <w:color w:val="000000"/>
          <w:sz w:val="24"/>
          <w:szCs w:val="24"/>
        </w:rPr>
        <w:t>modelling</w:t>
      </w: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1.0 Introduction</w:t>
      </w: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Occupational health issues amongst oil drilling workers are a critical occupational health problem that </w:t>
      </w:r>
      <w:r>
        <w:rPr>
          <w:rFonts w:ascii="Times New Roman" w:cs="Times New Roman" w:hAnsi="Times New Roman"/>
          <w:color w:val="000000"/>
          <w:sz w:val="24"/>
          <w:szCs w:val="24"/>
        </w:rPr>
        <w:t>affects</w:t>
      </w:r>
      <w:r>
        <w:rPr>
          <w:rFonts w:ascii="Times New Roman" w:cs="Times New Roman" w:hAnsi="Times New Roman"/>
          <w:color w:val="000000"/>
          <w:sz w:val="24"/>
          <w:szCs w:val="24"/>
        </w:rPr>
        <w:t xml:space="preserve"> the well-being of workers, their performance</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as well as organisational performance. </w:t>
      </w:r>
      <w:r>
        <w:rPr>
          <w:rFonts w:ascii="Times New Roman" w:cs="Times New Roman" w:hAnsi="Times New Roman"/>
          <w:color w:val="000000"/>
          <w:sz w:val="24"/>
          <w:szCs w:val="24"/>
        </w:rPr>
        <w:t>Oil drilling operations</w:t>
      </w:r>
      <w:r>
        <w:rPr>
          <w:rFonts w:ascii="Times New Roman" w:cs="Times New Roman" w:hAnsi="Times New Roman"/>
          <w:color w:val="000000"/>
          <w:sz w:val="24"/>
          <w:szCs w:val="24"/>
        </w:rPr>
        <w:t xml:space="preserve"> subject workers to several occupational </w:t>
      </w:r>
      <w:r>
        <w:rPr>
          <w:rFonts w:ascii="Times New Roman" w:cs="Times New Roman" w:hAnsi="Times New Roman"/>
          <w:color w:val="000000"/>
          <w:sz w:val="24"/>
          <w:szCs w:val="24"/>
        </w:rPr>
        <w:t>hazard</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 such as </w:t>
      </w:r>
      <w:r>
        <w:rPr>
          <w:rFonts w:ascii="Times New Roman" w:cs="Times New Roman" w:hAnsi="Times New Roman"/>
          <w:color w:val="000000"/>
          <w:sz w:val="24"/>
          <w:szCs w:val="24"/>
        </w:rPr>
        <w:t>physical demands, chemical exposures, noise, heat stress, and psychosocial stressors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(Benson et al., 2021)</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Recent studies have sh</w:t>
      </w:r>
      <w:r>
        <w:rPr>
          <w:rFonts w:ascii="Times New Roman" w:cs="Times New Roman" w:hAnsi="Times New Roman"/>
          <w:color w:val="000000"/>
          <w:sz w:val="24"/>
          <w:szCs w:val="24"/>
        </w:rPr>
        <w:t>own that the prevalent occupational hazards in the oil and gas industry are</w:t>
      </w:r>
      <w:r>
        <w:rPr>
          <w:rFonts w:ascii="Times New Roman" w:cs="Times New Roman" w:hAnsi="Times New Roman"/>
          <w:color w:val="000000"/>
          <w:sz w:val="24"/>
          <w:szCs w:val="24"/>
        </w:rPr>
        <w:t xml:space="preserve"> ergonomic hazards, physical hazards, and chemical hazards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(Benson et al., 2021; </w:t>
      </w:r>
      <w:r>
        <w:rPr>
          <w:rFonts w:ascii="Times New Roman" w:cs="Times New Roman" w:hAnsi="Times New Roman"/>
          <w:color w:val="000000"/>
          <w:sz w:val="24"/>
          <w:szCs w:val="24"/>
        </w:rPr>
        <w:t>Eyayo</w:t>
      </w:r>
      <w:r>
        <w:rPr>
          <w:rFonts w:ascii="Times New Roman" w:cs="Times New Roman" w:hAnsi="Times New Roman"/>
          <w:color w:val="000000"/>
          <w:sz w:val="24"/>
          <w:szCs w:val="24"/>
        </w:rPr>
        <w:t xml:space="preserve">, 2014).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Prolonged exposure to these occupational hazard</w:t>
      </w:r>
      <w:r>
        <w:rPr>
          <w:rFonts w:ascii="Times New Roman" w:cs="Times New Roman" w:hAnsi="Times New Roman"/>
          <w:color w:val="000000"/>
          <w:sz w:val="24"/>
          <w:szCs w:val="24"/>
        </w:rPr>
        <w:t>s could lead to chronic health issues</w:t>
      </w:r>
      <w:r>
        <w:rPr>
          <w:rFonts w:ascii="Times New Roman" w:cs="Times New Roman" w:hAnsi="Times New Roman"/>
          <w:color w:val="000000"/>
          <w:sz w:val="24"/>
          <w:szCs w:val="24"/>
        </w:rPr>
        <w:t xml:space="preserve"> and diseases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Toxicological </w:t>
      </w:r>
      <w:r>
        <w:rPr>
          <w:rFonts w:ascii="Times New Roman" w:cs="Times New Roman" w:hAnsi="Times New Roman"/>
          <w:color w:val="000000"/>
          <w:sz w:val="24"/>
          <w:szCs w:val="24"/>
        </w:rPr>
        <w:t>study</w:t>
      </w:r>
      <w:r>
        <w:rPr>
          <w:rFonts w:ascii="Times New Roman" w:cs="Times New Roman" w:hAnsi="Times New Roman"/>
          <w:color w:val="000000"/>
          <w:sz w:val="24"/>
          <w:szCs w:val="24"/>
        </w:rPr>
        <w:t xml:space="preserve"> ha</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 shown that drilling fluids are highly toxic to the skin and </w:t>
      </w:r>
      <w:r>
        <w:rPr>
          <w:rFonts w:ascii="Times New Roman" w:cs="Times New Roman" w:hAnsi="Times New Roman"/>
          <w:color w:val="000000"/>
          <w:sz w:val="24"/>
          <w:szCs w:val="24"/>
        </w:rPr>
        <w:t>cause</w:t>
      </w:r>
      <w:r>
        <w:rPr>
          <w:rFonts w:ascii="Times New Roman" w:cs="Times New Roman" w:hAnsi="Times New Roman"/>
          <w:color w:val="000000"/>
          <w:sz w:val="24"/>
          <w:szCs w:val="24"/>
        </w:rPr>
        <w:t xml:space="preserve"> skin irritation, contact dermatitis, epidermal keratinisation, pronounced proliferation of germinative layer cells, and changes in haematological parameters (</w:t>
      </w:r>
      <w:r>
        <w:rPr>
          <w:rFonts w:ascii="Times New Roman" w:cs="Times New Roman" w:hAnsi="Times New Roman"/>
          <w:color w:val="000000"/>
          <w:sz w:val="24"/>
          <w:szCs w:val="24"/>
        </w:rPr>
        <w:t>Mamyrbayev</w:t>
      </w:r>
      <w:r>
        <w:rPr>
          <w:rFonts w:ascii="Times New Roman" w:cs="Times New Roman" w:hAnsi="Times New Roman"/>
          <w:color w:val="000000"/>
          <w:sz w:val="24"/>
          <w:szCs w:val="24"/>
        </w:rPr>
        <w:t xml:space="preserve"> et al., 2025).</w:t>
      </w:r>
      <w:r>
        <w:rPr>
          <w:rFonts w:ascii="Times New Roman" w:cs="Times New Roman" w:hAnsi="Times New Roman"/>
          <w:color w:val="000000"/>
          <w:sz w:val="24"/>
          <w:szCs w:val="24"/>
        </w:rPr>
        <w:t xml:space="preserve"> However, certain contributing factors increase or </w:t>
      </w:r>
      <w:r>
        <w:rPr>
          <w:rFonts w:ascii="Times New Roman" w:cs="Times New Roman" w:hAnsi="Times New Roman"/>
          <w:color w:val="000000"/>
          <w:sz w:val="24"/>
          <w:szCs w:val="24"/>
        </w:rPr>
        <w:t>reduce</w:t>
      </w:r>
      <w:r>
        <w:rPr>
          <w:rFonts w:ascii="Times New Roman" w:cs="Times New Roman" w:hAnsi="Times New Roman"/>
          <w:color w:val="000000"/>
          <w:sz w:val="24"/>
          <w:szCs w:val="24"/>
        </w:rPr>
        <w:t xml:space="preserve"> the </w:t>
      </w:r>
      <w:r>
        <w:rPr>
          <w:rFonts w:ascii="Times New Roman" w:cs="Times New Roman" w:hAnsi="Times New Roman"/>
          <w:color w:val="000000"/>
          <w:sz w:val="24"/>
          <w:szCs w:val="24"/>
        </w:rPr>
        <w:t>chances of</w:t>
      </w:r>
      <w:r>
        <w:rPr>
          <w:rFonts w:ascii="Times New Roman" w:cs="Times New Roman" w:hAnsi="Times New Roman"/>
          <w:color w:val="000000"/>
          <w:sz w:val="24"/>
          <w:szCs w:val="24"/>
        </w:rPr>
        <w:t xml:space="preserve"> developing chronic heal</w:t>
      </w:r>
      <w:r>
        <w:rPr>
          <w:rFonts w:ascii="Times New Roman" w:cs="Times New Roman" w:hAnsi="Times New Roman"/>
          <w:color w:val="000000"/>
          <w:sz w:val="24"/>
          <w:szCs w:val="24"/>
        </w:rPr>
        <w:t>th issues.</w:t>
      </w:r>
      <w:r>
        <w:rPr>
          <w:rFonts w:ascii="Times New Roman" w:cs="Times New Roman" w:hAnsi="Times New Roman"/>
          <w:color w:val="000000"/>
          <w:sz w:val="24"/>
          <w:szCs w:val="24"/>
        </w:rPr>
        <w:t xml:space="preserve"> Studies done in</w:t>
      </w:r>
      <w:r>
        <w:rPr>
          <w:rFonts w:ascii="Times New Roman" w:cs="Times New Roman" w:hAnsi="Times New Roman"/>
          <w:color w:val="000000"/>
          <w:sz w:val="24"/>
          <w:szCs w:val="24"/>
        </w:rPr>
        <w:t xml:space="preserve"> mining industries, which have similar occupational risk profiles to </w:t>
      </w:r>
      <w:r>
        <w:rPr>
          <w:rFonts w:ascii="Times New Roman" w:cs="Times New Roman" w:hAnsi="Times New Roman"/>
          <w:color w:val="000000"/>
          <w:sz w:val="24"/>
          <w:szCs w:val="24"/>
        </w:rPr>
        <w:t>those</w:t>
      </w:r>
      <w:r>
        <w:rPr>
          <w:rFonts w:ascii="Times New Roman" w:cs="Times New Roman" w:hAnsi="Times New Roman"/>
          <w:color w:val="000000"/>
          <w:sz w:val="24"/>
          <w:szCs w:val="24"/>
        </w:rPr>
        <w:t xml:space="preserve"> of the drilling operations, </w:t>
      </w:r>
      <w:r>
        <w:rPr>
          <w:rFonts w:ascii="Times New Roman" w:cs="Times New Roman" w:hAnsi="Times New Roman"/>
          <w:color w:val="000000"/>
          <w:sz w:val="24"/>
          <w:szCs w:val="24"/>
        </w:rPr>
        <w:t>have</w:t>
      </w:r>
      <w:r>
        <w:rPr>
          <w:rFonts w:ascii="Times New Roman" w:cs="Times New Roman" w:hAnsi="Times New Roman"/>
          <w:color w:val="000000"/>
          <w:sz w:val="24"/>
          <w:szCs w:val="24"/>
        </w:rPr>
        <w:t xml:space="preserve"> provided evidence that the outcomes of work injury depend on both the personal (age, negative affectivity, job dissatisfaction) and the sociotechnical (physical hazards, safety climate) factors (Paul, 200</w:t>
      </w:r>
      <w:r>
        <w:rPr>
          <w:rFonts w:ascii="Times New Roman" w:cs="Times New Roman" w:hAnsi="Times New Roman"/>
          <w:color w:val="000000"/>
          <w:sz w:val="24"/>
          <w:szCs w:val="24"/>
        </w:rPr>
        <w:t xml:space="preserve">9; </w:t>
      </w:r>
      <w:r>
        <w:rPr>
          <w:rFonts w:ascii="Times New Roman" w:cs="Times New Roman" w:hAnsi="Times New Roman"/>
          <w:color w:val="000000"/>
          <w:sz w:val="24"/>
          <w:szCs w:val="24"/>
        </w:rPr>
        <w:t>Onder, 2013</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Understanding how the</w:t>
      </w:r>
      <w:r>
        <w:rPr>
          <w:rFonts w:ascii="Times New Roman" w:cs="Times New Roman" w:hAnsi="Times New Roman"/>
          <w:color w:val="000000"/>
          <w:sz w:val="24"/>
          <w:szCs w:val="24"/>
        </w:rPr>
        <w:t xml:space="preserve"> contribution of factors </w:t>
      </w:r>
      <w:r>
        <w:rPr>
          <w:rFonts w:ascii="Times New Roman" w:cs="Times New Roman" w:hAnsi="Times New Roman"/>
          <w:color w:val="000000"/>
          <w:sz w:val="24"/>
          <w:szCs w:val="24"/>
        </w:rPr>
        <w:t xml:space="preserve">influences the chronic health outcome </w:t>
      </w:r>
      <w:r>
        <w:rPr>
          <w:rFonts w:ascii="Times New Roman" w:cs="Times New Roman" w:hAnsi="Times New Roman"/>
          <w:color w:val="000000"/>
          <w:sz w:val="24"/>
          <w:szCs w:val="24"/>
        </w:rPr>
        <w:t>provides comprehensive strategies of health protection that would be effective in reducing both the workplace and individual determinants.</w:t>
      </w:r>
    </w:p>
    <w:p>
      <w:pPr>
        <w:pStyle w:val="style0"/>
        <w:widowControl w:val="false"/>
        <w:pBdr>
          <w:left w:val="nil"/>
          <w:right w:val="nil"/>
          <w:top w:val="nil"/>
          <w:bottom w:val="nil"/>
          <w:between w:val="nil"/>
        </w:pBd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Previous</w:t>
      </w:r>
      <w:r>
        <w:rPr>
          <w:rFonts w:ascii="Times New Roman" w:cs="Times New Roman" w:hAnsi="Times New Roman"/>
          <w:color w:val="000000"/>
          <w:sz w:val="24"/>
          <w:szCs w:val="24"/>
        </w:rPr>
        <w:t xml:space="preserve"> research investigating occupational health in </w:t>
      </w:r>
      <w:r>
        <w:rPr>
          <w:rFonts w:ascii="Times New Roman" w:cs="Times New Roman" w:hAnsi="Times New Roman"/>
          <w:color w:val="000000"/>
          <w:sz w:val="24"/>
          <w:szCs w:val="24"/>
        </w:rPr>
        <w:t xml:space="preserve">the </w:t>
      </w:r>
      <w:r>
        <w:rPr>
          <w:rFonts w:ascii="Times New Roman" w:cs="Times New Roman" w:hAnsi="Times New Roman"/>
          <w:color w:val="000000"/>
          <w:sz w:val="24"/>
          <w:szCs w:val="24"/>
        </w:rPr>
        <w:t>oil and gas industry</w:t>
      </w:r>
      <w:r>
        <w:rPr>
          <w:rFonts w:ascii="Times New Roman" w:cs="Times New Roman" w:hAnsi="Times New Roman"/>
          <w:color w:val="000000"/>
          <w:sz w:val="24"/>
          <w:szCs w:val="24"/>
        </w:rPr>
        <w:t xml:space="preserve"> has usually been concerned with the description of the prevalence of </w:t>
      </w:r>
      <w:r>
        <w:rPr>
          <w:rFonts w:ascii="Times New Roman" w:cs="Times New Roman" w:hAnsi="Times New Roman"/>
          <w:color w:val="000000"/>
          <w:sz w:val="24"/>
          <w:szCs w:val="24"/>
        </w:rPr>
        <w:t xml:space="preserve">occupational health outcomes </w:t>
      </w:r>
      <w:r>
        <w:rPr>
          <w:rFonts w:ascii="Times New Roman" w:cs="Times New Roman" w:hAnsi="Times New Roman"/>
          <w:color w:val="000000"/>
          <w:sz w:val="24"/>
          <w:szCs w:val="24"/>
        </w:rPr>
        <w:t xml:space="preserve">or </w:t>
      </w:r>
      <w:r>
        <w:rPr>
          <w:rFonts w:ascii="Times New Roman" w:cs="Times New Roman" w:hAnsi="Times New Roman"/>
          <w:color w:val="000000"/>
          <w:sz w:val="24"/>
          <w:szCs w:val="24"/>
        </w:rPr>
        <w:t>discovering</w:t>
      </w:r>
      <w:r>
        <w:rPr>
          <w:rFonts w:ascii="Times New Roman" w:cs="Times New Roman" w:hAnsi="Times New Roman"/>
          <w:color w:val="000000"/>
          <w:sz w:val="24"/>
          <w:szCs w:val="24"/>
        </w:rPr>
        <w:t xml:space="preserve"> the relationship between single exposures and outcomes (D'Andrea and Reddy, 2018; Benson et al., 2021; </w:t>
      </w:r>
      <w:r>
        <w:rPr>
          <w:rFonts w:ascii="Times New Roman" w:cs="Times New Roman" w:hAnsi="Times New Roman"/>
          <w:color w:val="000000"/>
          <w:sz w:val="24"/>
          <w:szCs w:val="24"/>
        </w:rPr>
        <w:t>Oyamienlen</w:t>
      </w:r>
      <w:r>
        <w:rPr>
          <w:rFonts w:ascii="Times New Roman" w:cs="Times New Roman" w:hAnsi="Times New Roman"/>
          <w:color w:val="000000"/>
          <w:sz w:val="24"/>
          <w:szCs w:val="24"/>
        </w:rPr>
        <w:t xml:space="preserve"> et al., 2023)</w:t>
      </w:r>
      <w:r>
        <w:rPr>
          <w:rFonts w:ascii="Times New Roman" w:cs="Times New Roman" w:hAnsi="Times New Roman"/>
          <w:color w:val="000000"/>
          <w:sz w:val="24"/>
          <w:szCs w:val="24"/>
        </w:rPr>
        <w:t xml:space="preserve">. </w:t>
      </w:r>
      <w:r>
        <w:rPr>
          <w:rFonts w:ascii="Times New Roman" w:cs="Times New Roman" w:hAnsi="Times New Roman"/>
          <w:sz w:val="24"/>
          <w:szCs w:val="24"/>
        </w:rPr>
        <w:t xml:space="preserve">While previous research has documented the prevalence of various health issues in </w:t>
      </w:r>
      <w:r>
        <w:rPr>
          <w:rFonts w:ascii="Times New Roman" w:cs="Times New Roman" w:hAnsi="Times New Roman"/>
          <w:sz w:val="24"/>
          <w:szCs w:val="24"/>
        </w:rPr>
        <w:t xml:space="preserve">the </w:t>
      </w:r>
      <w:r>
        <w:rPr>
          <w:rFonts w:ascii="Times New Roman" w:cs="Times New Roman" w:hAnsi="Times New Roman"/>
          <w:sz w:val="24"/>
          <w:szCs w:val="24"/>
        </w:rPr>
        <w:t>oil and gas industry</w:t>
      </w:r>
      <w:r>
        <w:rPr>
          <w:rFonts w:ascii="Times New Roman" w:cs="Times New Roman" w:hAnsi="Times New Roman"/>
          <w:sz w:val="24"/>
          <w:szCs w:val="24"/>
        </w:rPr>
        <w:t>, a quantitative understanding of modifiable risk factors and protective measures remains limited</w:t>
      </w:r>
      <w:r>
        <w:rPr>
          <w:rFonts w:ascii="Times New Roman" w:cs="Times New Roman" w:hAnsi="Times New Roman"/>
          <w:color w:val="ee0000"/>
          <w:sz w:val="24"/>
          <w:szCs w:val="24"/>
        </w:rPr>
        <w:t>.</w:t>
      </w:r>
      <w:r>
        <w:rPr>
          <w:rFonts w:ascii="Times New Roman" w:cs="Times New Roman" w:hAnsi="Times New Roman"/>
          <w:color w:val="ee0000"/>
          <w:sz w:val="24"/>
          <w:szCs w:val="24"/>
        </w:rPr>
        <w:t xml:space="preserve"> </w:t>
      </w:r>
      <w:r>
        <w:rPr>
          <w:rFonts w:ascii="Times New Roman" w:cs="Times New Roman" w:hAnsi="Times New Roman"/>
          <w:color w:val="000000"/>
          <w:sz w:val="24"/>
          <w:szCs w:val="24"/>
        </w:rPr>
        <w:t>Few studies have employed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multivariate </w:t>
      </w:r>
      <w:r>
        <w:rPr>
          <w:rFonts w:ascii="Times New Roman" w:cs="Times New Roman" w:hAnsi="Times New Roman"/>
          <w:color w:val="000000"/>
          <w:sz w:val="24"/>
          <w:szCs w:val="24"/>
        </w:rPr>
        <w:t>modelling</w:t>
      </w:r>
      <w:r>
        <w:rPr>
          <w:rFonts w:ascii="Times New Roman" w:cs="Times New Roman" w:hAnsi="Times New Roman"/>
          <w:color w:val="000000"/>
          <w:sz w:val="24"/>
          <w:szCs w:val="24"/>
        </w:rPr>
        <w:t xml:space="preserve"> approaches, such as logistic regression analysis</w:t>
      </w:r>
      <w:r>
        <w:rPr>
          <w:rFonts w:ascii="Times New Roman" w:cs="Times New Roman" w:hAnsi="Times New Roman"/>
          <w:color w:val="000000"/>
          <w:sz w:val="24"/>
          <w:szCs w:val="24"/>
        </w:rPr>
        <w:t xml:space="preserve">, to </w:t>
      </w:r>
      <w:r>
        <w:rPr>
          <w:rFonts w:ascii="Times New Roman" w:cs="Times New Roman" w:hAnsi="Times New Roman"/>
          <w:color w:val="000000"/>
          <w:sz w:val="24"/>
          <w:szCs w:val="24"/>
        </w:rPr>
        <w:t>understand</w:t>
      </w:r>
      <w:r>
        <w:rPr>
          <w:rFonts w:ascii="Times New Roman" w:cs="Times New Roman" w:hAnsi="Times New Roman"/>
          <w:color w:val="000000"/>
          <w:sz w:val="24"/>
          <w:szCs w:val="24"/>
        </w:rPr>
        <w:t xml:space="preserve"> the contributing factors that </w:t>
      </w:r>
      <w:r>
        <w:rPr>
          <w:rFonts w:ascii="Times New Roman" w:cs="Times New Roman" w:hAnsi="Times New Roman"/>
          <w:color w:val="000000"/>
          <w:sz w:val="24"/>
          <w:szCs w:val="24"/>
        </w:rPr>
        <w:t>influence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injuries and accidents in the mining </w:t>
      </w:r>
      <w:r>
        <w:rPr>
          <w:rFonts w:ascii="Times New Roman" w:cs="Times New Roman" w:hAnsi="Times New Roman"/>
          <w:color w:val="000000"/>
          <w:sz w:val="24"/>
          <w:szCs w:val="24"/>
        </w:rPr>
        <w:t xml:space="preserve">and construction </w:t>
      </w:r>
      <w:r>
        <w:rPr>
          <w:rFonts w:ascii="Times New Roman" w:cs="Times New Roman" w:hAnsi="Times New Roman"/>
          <w:color w:val="000000"/>
          <w:sz w:val="24"/>
          <w:szCs w:val="24"/>
        </w:rPr>
        <w:t>industry</w:t>
      </w:r>
      <w:r>
        <w:rPr>
          <w:rFonts w:ascii="Times New Roman" w:cs="Times New Roman" w:hAnsi="Times New Roman"/>
          <w:color w:val="000000"/>
          <w:sz w:val="24"/>
          <w:szCs w:val="24"/>
        </w:rPr>
        <w:t xml:space="preserve"> (Pau</w:t>
      </w:r>
      <w:r>
        <w:rPr>
          <w:rFonts w:ascii="Times New Roman" w:cs="Times New Roman" w:hAnsi="Times New Roman"/>
          <w:color w:val="000000"/>
          <w:sz w:val="24"/>
          <w:szCs w:val="24"/>
        </w:rPr>
        <w:t>l</w:t>
      </w:r>
      <w:r>
        <w:rPr>
          <w:rFonts w:ascii="Times New Roman" w:cs="Times New Roman" w:hAnsi="Times New Roman"/>
          <w:color w:val="000000"/>
          <w:sz w:val="24"/>
          <w:szCs w:val="24"/>
        </w:rPr>
        <w:t>, 200</w:t>
      </w:r>
      <w:r>
        <w:rPr>
          <w:rFonts w:ascii="Times New Roman" w:cs="Times New Roman" w:hAnsi="Times New Roman"/>
          <w:color w:val="000000"/>
          <w:sz w:val="24"/>
          <w:szCs w:val="24"/>
        </w:rPr>
        <w:t>9</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Onder, </w:t>
      </w:r>
      <w:r>
        <w:rPr>
          <w:rFonts w:ascii="Times New Roman" w:cs="Times New Roman" w:hAnsi="Times New Roman"/>
          <w:color w:val="000000"/>
          <w:sz w:val="24"/>
          <w:szCs w:val="24"/>
        </w:rPr>
        <w:t xml:space="preserve">2013; </w:t>
      </w:r>
      <w:r>
        <w:rPr>
          <w:rFonts w:ascii="Times New Roman" w:cs="Times New Roman" w:hAnsi="Times New Roman"/>
          <w:color w:val="000000"/>
          <w:sz w:val="24"/>
          <w:szCs w:val="24"/>
        </w:rPr>
        <w:t xml:space="preserve">Kale &amp; </w:t>
      </w:r>
      <w:r>
        <w:rPr>
          <w:rFonts w:ascii="Times New Roman" w:cs="Times New Roman" w:hAnsi="Times New Roman"/>
          <w:color w:val="000000"/>
          <w:sz w:val="24"/>
          <w:szCs w:val="24"/>
        </w:rPr>
        <w:t>Baradan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2020</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However, such </w:t>
      </w:r>
      <w:r>
        <w:rPr>
          <w:rFonts w:ascii="Times New Roman" w:cs="Times New Roman" w:hAnsi="Times New Roman"/>
          <w:color w:val="000000"/>
          <w:sz w:val="24"/>
          <w:szCs w:val="24"/>
        </w:rPr>
        <w:t xml:space="preserve">an </w:t>
      </w:r>
      <w:r>
        <w:rPr>
          <w:rFonts w:ascii="Times New Roman" w:cs="Times New Roman" w:hAnsi="Times New Roman"/>
          <w:color w:val="000000"/>
          <w:sz w:val="24"/>
          <w:szCs w:val="24"/>
        </w:rPr>
        <w:t xml:space="preserve">approach </w:t>
      </w:r>
      <w:r>
        <w:rPr>
          <w:rFonts w:ascii="Times New Roman" w:cs="Times New Roman" w:hAnsi="Times New Roman"/>
          <w:color w:val="000000"/>
          <w:sz w:val="24"/>
          <w:szCs w:val="24"/>
        </w:rPr>
        <w:t>has</w:t>
      </w:r>
      <w:r>
        <w:rPr>
          <w:rFonts w:ascii="Times New Roman" w:cs="Times New Roman" w:hAnsi="Times New Roman"/>
          <w:color w:val="000000"/>
          <w:sz w:val="24"/>
          <w:szCs w:val="24"/>
        </w:rPr>
        <w:t xml:space="preserve"> rarely been </w:t>
      </w:r>
      <w:r>
        <w:rPr>
          <w:rFonts w:ascii="Times New Roman" w:cs="Times New Roman" w:hAnsi="Times New Roman"/>
          <w:color w:val="000000"/>
          <w:sz w:val="24"/>
          <w:szCs w:val="24"/>
        </w:rPr>
        <w:t>adopted</w:t>
      </w:r>
      <w:r>
        <w:rPr>
          <w:rFonts w:ascii="Times New Roman" w:cs="Times New Roman" w:hAnsi="Times New Roman"/>
          <w:color w:val="000000"/>
          <w:sz w:val="24"/>
          <w:szCs w:val="24"/>
        </w:rPr>
        <w:t xml:space="preserve"> in the oil and gas industry</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especially</w:t>
      </w:r>
      <w:r>
        <w:rPr>
          <w:rFonts w:ascii="Times New Roman" w:cs="Times New Roman" w:hAnsi="Times New Roman"/>
          <w:color w:val="000000"/>
          <w:sz w:val="24"/>
          <w:szCs w:val="24"/>
        </w:rPr>
        <w:t xml:space="preserve"> for drilling operations. </w:t>
      </w:r>
      <w:r>
        <w:rPr>
          <w:rFonts w:ascii="Times New Roman" w:cs="Times New Roman" w:hAnsi="Times New Roman"/>
          <w:color w:val="000000"/>
          <w:sz w:val="24"/>
          <w:szCs w:val="24"/>
        </w:rPr>
        <w:t>Such analytical approaches are necessary to identify independent predictors and to develop integrated predictive models that can inform risk stratification and targeted interventions.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This study aimed to comprehensively identify and quantify risk factors and protective measures associated with chronic health conditions among oil drilling workers in the Niger Delta. </w:t>
      </w:r>
    </w:p>
    <w:p>
      <w:pPr>
        <w:pStyle w:val="style0"/>
        <w:widowControl w:val="false"/>
        <w:pBdr>
          <w:left w:val="nil"/>
          <w:right w:val="nil"/>
          <w:top w:val="nil"/>
          <w:bottom w:val="nil"/>
          <w:between w:val="nil"/>
        </w:pBdr>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2.0 Materials and Methods</w:t>
      </w: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2.1 Study Area</w:t>
      </w: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study was conducted in the Niger Delta region, where most of the drilling operations occur in Nigeria. The study area is in the Southern region of Nigeria, as shown in Figure 1. Oil companies in the nine states in the Niger Delta region participated in the study. The region is characterised by a network of rivers, mangroves, swamps, and tributaries with a land area of about 70,000Km2. About 90% of the country earning is from the export of petroleum production obtained in the region. However, extensive oil exploration activities have led to severe environmental challenges, including oil spills, gas flaring, and land degradation, which have adversely impacted both the ecosystem and public health. The region's unique environmental and socioeconomic challenges, combined with the high prevalence of occupational health issues among oil field workers, make it an appropriate focus for investigating the chronic effects of oil drilling exposure on worker health</w:t>
      </w:r>
      <w:r>
        <w:rPr>
          <w:rFonts w:ascii="Times New Roman" w:cs="Times New Roman" w:hAnsi="Times New Roman"/>
          <w:color w:val="000000"/>
          <w:sz w:val="24"/>
          <w:szCs w:val="24"/>
        </w:rPr>
        <w:t>.</w:t>
      </w:r>
    </w:p>
    <w:p>
      <w:pPr>
        <w:pStyle w:val="style0"/>
        <w:widowControl w:val="false"/>
        <w:pBdr>
          <w:left w:val="nil"/>
          <w:right w:val="nil"/>
          <w:top w:val="nil"/>
          <w:bottom w:val="nil"/>
          <w:between w:val="nil"/>
        </w:pBdr>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w:t>
      </w:r>
      <w:r>
        <w:rPr>
          <w:rFonts w:ascii="Times New Roman" w:cs="Times New Roman" w:hAnsi="Times New Roman"/>
          <w:b/>
          <w:bCs/>
          <w:color w:val="000000"/>
          <w:sz w:val="24"/>
          <w:szCs w:val="24"/>
        </w:rPr>
        <w:t>2</w:t>
      </w:r>
      <w:r>
        <w:rPr>
          <w:rFonts w:ascii="Times New Roman" w:cs="Times New Roman" w:hAnsi="Times New Roman"/>
          <w:b/>
          <w:bCs/>
          <w:color w:val="000000"/>
          <w:sz w:val="24"/>
          <w:szCs w:val="24"/>
        </w:rPr>
        <w:t xml:space="preserve"> Data Collection</w:t>
      </w:r>
    </w:p>
    <w:p>
      <w:pPr>
        <w:pStyle w:val="style0"/>
        <w:widowControl w:val="false"/>
        <w:pBdr>
          <w:left w:val="nil"/>
          <w:right w:val="nil"/>
          <w:top w:val="nil"/>
          <w:bottom w:val="nil"/>
          <w:between w:val="nil"/>
        </w:pBd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study adopted a quantitative research approach using a cross-sectional study design. It involved the distribution of questionnaires on a one-time basis to workers in the drilling department in the oil and gas companies. A total of 385 questionnaires were distributed to oil and gas workers in drilling operations across the Niger Delta region. The sampling technique utilised </w:t>
      </w:r>
      <w:r>
        <w:rPr>
          <w:rFonts w:ascii="Times New Roman" w:cs="Times New Roman" w:hAnsi="Times New Roman"/>
          <w:color w:val="000000"/>
          <w:sz w:val="24"/>
          <w:szCs w:val="24"/>
        </w:rPr>
        <w:t>for the study was a purposive sampling method. The inclusion criteria were that workers must be in a drilling operation department and they must have been on the job for more than three years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The structured questionnaire was developed to capture information across various contributing factors that could influence the chronic health outcome. The contributing factors measured were (1) demographic characteristics (age, gender, educational level, employment type, years of experience); (2) work-related factors (physical job demands, work control/autonomy, exposure frequency, working hours); (3) organizational factors (supervisor support, organizational stress support, PPE usage frequency); (4) personal factors (smoking status, exercise frequency). Also, respondents reported whether they experienced health outcomes due to exposure to the drilling hazards. The outcome was then categorised as chronic if the respondent stated that the health outcome had been persistent for more than 6 months. </w:t>
      </w: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spacing w:lineRule="auto" w:line="360"/>
        <w:jc w:val="both"/>
        <w:rPr>
          <w:rFonts w:ascii="Times New Roman" w:cs="Times New Roman" w:hAnsi="Times New Roman"/>
          <w:color w:val="000000"/>
          <w:sz w:val="24"/>
          <w:szCs w:val="24"/>
        </w:rPr>
      </w:pPr>
      <w:r>
        <w:rPr>
          <w:rFonts w:ascii="Times New Roman" w:cs="Times New Roman" w:hAnsi="Times New Roman"/>
          <w:noProof/>
          <w:color w:val="000000"/>
          <w:sz w:val="24"/>
          <w:szCs w:val="24"/>
        </w:rPr>
        <w:drawing>
          <wp:inline distL="0" distT="0" distB="0" distR="0">
            <wp:extent cx="6409764" cy="3143250"/>
            <wp:effectExtent l="19050" t="19050" r="10160" b="19050"/>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16322" r="0" b="14313"/>
                    <a:stretch/>
                  </pic:blipFill>
                  <pic:spPr>
                    <a:xfrm rot="0">
                      <a:off x="0" y="0"/>
                      <a:ext cx="6409764" cy="3143250"/>
                    </a:xfrm>
                    <a:prstGeom prst="rect"/>
                    <a:ln cmpd="sng" cap="flat" w="9525">
                      <a:solidFill>
                        <a:srgbClr val="d8d8d8"/>
                      </a:solidFill>
                      <a:prstDash val="solid"/>
                      <a:round/>
                      <a:headEnd len="med" w="med" type="none"/>
                      <a:tailEnd len="med" w="med" type="none"/>
                    </a:ln>
                  </pic:spPr>
                </pic:pic>
              </a:graphicData>
            </a:graphic>
          </wp:inline>
        </w:drawing>
      </w:r>
    </w:p>
    <w:p>
      <w:pPr>
        <w:pStyle w:val="style0"/>
        <w:widowControl w:val="false"/>
        <w:pBdr>
          <w:left w:val="nil"/>
          <w:right w:val="nil"/>
          <w:top w:val="nil"/>
          <w:bottom w:val="nil"/>
          <w:between w:val="nil"/>
        </w:pBdr>
        <w:spacing w:lineRule="auto" w:line="3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Figure 1</w:t>
      </w:r>
      <w:r>
        <w:rPr>
          <w:rFonts w:ascii="Times New Roman" w:cs="Times New Roman" w:hAnsi="Times New Roman"/>
          <w:color w:val="000000"/>
          <w:sz w:val="24"/>
          <w:szCs w:val="24"/>
        </w:rPr>
        <w:t>: Map of the study area where survey sampling took place</w:t>
      </w: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w:t>
      </w:r>
      <w:r>
        <w:rPr>
          <w:rFonts w:ascii="Times New Roman" w:cs="Times New Roman" w:hAnsi="Times New Roman"/>
          <w:b/>
          <w:bCs/>
          <w:color w:val="000000"/>
          <w:sz w:val="24"/>
          <w:szCs w:val="24"/>
        </w:rPr>
        <w:t>3</w:t>
      </w:r>
      <w:r>
        <w:rPr>
          <w:rFonts w:ascii="Times New Roman" w:cs="Times New Roman" w:hAnsi="Times New Roman"/>
          <w:b/>
          <w:bCs/>
          <w:color w:val="000000"/>
          <w:sz w:val="24"/>
          <w:szCs w:val="24"/>
        </w:rPr>
        <w:t xml:space="preserve"> Data Analyses</w:t>
      </w:r>
    </w:p>
    <w:p>
      <w:pPr>
        <w:pStyle w:val="style0"/>
        <w:widowControl w:val="false"/>
        <w:pBdr>
          <w:left w:val="nil"/>
          <w:right w:val="nil"/>
          <w:top w:val="nil"/>
          <w:bottom w:val="nil"/>
          <w:between w:val="nil"/>
        </w:pBd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Data were </w:t>
      </w:r>
      <w:r>
        <w:rPr>
          <w:rFonts w:ascii="Times New Roman" w:cs="Times New Roman" w:hAnsi="Times New Roman"/>
          <w:color w:val="000000"/>
          <w:sz w:val="24"/>
          <w:szCs w:val="24"/>
        </w:rPr>
        <w:t>analysed</w:t>
      </w:r>
      <w:r>
        <w:rPr>
          <w:rFonts w:ascii="Times New Roman" w:cs="Times New Roman" w:hAnsi="Times New Roman"/>
          <w:color w:val="000000"/>
          <w:sz w:val="24"/>
          <w:szCs w:val="24"/>
        </w:rPr>
        <w:t xml:space="preserve"> using SPSS Statistics (version 26.0). </w:t>
      </w:r>
      <w:r>
        <w:rPr>
          <w:rFonts w:ascii="Times New Roman" w:cs="Times New Roman" w:hAnsi="Times New Roman"/>
          <w:color w:val="000000"/>
          <w:sz w:val="24"/>
          <w:szCs w:val="24"/>
        </w:rPr>
        <w:t xml:space="preserve">Logistic regression analysis </w:t>
      </w:r>
      <w:r>
        <w:rPr>
          <w:rFonts w:ascii="Times New Roman" w:cs="Times New Roman" w:hAnsi="Times New Roman"/>
          <w:color w:val="000000"/>
          <w:sz w:val="24"/>
          <w:szCs w:val="24"/>
        </w:rPr>
        <w:t xml:space="preserve">was used to </w:t>
      </w:r>
      <w:r>
        <w:rPr>
          <w:rFonts w:ascii="Times New Roman" w:cs="Times New Roman" w:hAnsi="Times New Roman"/>
          <w:color w:val="000000"/>
          <w:sz w:val="24"/>
          <w:szCs w:val="24"/>
        </w:rPr>
        <w:t>understand the magnitude of the contributing factors in predicting the chronic health outcome</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as shown in Eq</w:t>
      </w:r>
      <w:r>
        <w:rPr>
          <w:rFonts w:ascii="Times New Roman" w:cs="Times New Roman" w:hAnsi="Times New Roman"/>
          <w:color w:val="000000"/>
          <w:sz w:val="24"/>
          <w:szCs w:val="24"/>
        </w:rPr>
        <w:t>uation 1</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The chronic health outcome was the </w:t>
      </w:r>
      <w:r>
        <w:rPr>
          <w:rFonts w:ascii="Times New Roman" w:cs="Times New Roman" w:hAnsi="Times New Roman"/>
          <w:color w:val="000000"/>
          <w:sz w:val="24"/>
          <w:szCs w:val="24"/>
        </w:rPr>
        <w:t>binary outcome, while the contributing factors were the predictor variables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Individual models of the contributing factors </w:t>
      </w:r>
      <w:r>
        <w:rPr>
          <w:rFonts w:ascii="Times New Roman" w:cs="Times New Roman" w:hAnsi="Times New Roman"/>
          <w:color w:val="000000"/>
          <w:sz w:val="24"/>
          <w:szCs w:val="24"/>
        </w:rPr>
        <w:t>were modelled against the outcomes</w:t>
      </w:r>
      <w:r>
        <w:rPr>
          <w:rFonts w:ascii="Times New Roman" w:cs="Times New Roman" w:hAnsi="Times New Roman"/>
          <w:color w:val="000000"/>
          <w:sz w:val="24"/>
          <w:szCs w:val="24"/>
        </w:rPr>
        <w:t xml:space="preserve"> as </w:t>
      </w:r>
      <w:r>
        <w:rPr>
          <w:rFonts w:ascii="Times New Roman" w:cs="Times New Roman" w:hAnsi="Times New Roman"/>
          <w:color w:val="000000"/>
          <w:sz w:val="24"/>
          <w:szCs w:val="24"/>
        </w:rPr>
        <w:t xml:space="preserve">shown in Table 1. </w:t>
      </w:r>
    </w:p>
    <w:p>
      <w:pPr>
        <w:pStyle w:val="style0"/>
        <w:widowControl w:val="false"/>
        <w:pBdr>
          <w:left w:val="nil"/>
          <w:right w:val="nil"/>
          <w:top w:val="nil"/>
          <w:bottom w:val="nil"/>
          <w:between w:val="nil"/>
        </w:pBdr>
        <w:jc w:val="right"/>
        <w:rPr>
          <w:rFonts w:ascii="Times New Roman" w:cs="Times New Roman" w:hAnsi="Times New Roman"/>
          <w:color w:val="000000"/>
          <w:sz w:val="24"/>
          <w:szCs w:val="24"/>
        </w:rPr>
      </w:pPr>
      <m:oMath>
        <m:r>
          <m:rPr>
            <m:nor m:val="on"/>
          </m:rPr>
          <w:rPr>
            <w:rFonts w:ascii="Times New Roman" w:cs="Times New Roman" w:hAnsi="Times New Roman"/>
            <w:color w:val="000000"/>
            <w:sz w:val="24"/>
            <w:szCs w:val="24"/>
          </w:rPr>
          <m:t>logit</m:t>
        </m:r>
        <m:r>
          <w:rPr>
            <w:rFonts w:ascii="Cambria Math" w:cs="Times New Roman" w:hAnsi="Cambria Math"/>
            <w:color w:val="000000"/>
            <w:sz w:val="24"/>
            <w:szCs w:val="24"/>
          </w:rPr>
          <m:t>(p)=</m:t>
        </m:r>
        <m:r>
          <m:rPr>
            <m:sty m:val="p"/>
          </m:rPr>
          <w:rPr>
            <w:rFonts w:ascii="Cambria Math" w:cs="Times New Roman" w:hAnsi="Cambria Math"/>
            <w:color w:val="000000"/>
            <w:sz w:val="24"/>
            <w:szCs w:val="24"/>
          </w:rPr>
          <m:t>ln</m:t>
        </m:r>
        <m:r>
          <w:rPr>
            <w:rFonts w:ascii="Cambria Math" w:cs="Times New Roman" w:hAnsi="Cambria Math"/>
            <w:color w:val="000000"/>
            <w:sz w:val="24"/>
            <w:szCs w:val="24"/>
          </w:rPr>
          <m:t>⁡</m:t>
        </m:r>
        <m:d>
          <m:dPr>
            <m:endChr m:val=")"/>
            <m:ctrlPr>
              <w:rPr>
                <w:rFonts w:ascii="Cambria Math" w:cs="Times New Roman" w:hAnsi="Cambria Math"/>
                <w:color w:val="000000"/>
                <w:sz w:val="24"/>
                <w:szCs w:val="24"/>
              </w:rPr>
            </m:ctrlPr>
          </m:dPr>
          <m:e>
            <m:f>
              <m:fPr>
                <m:ctrlPr>
                  <w:rPr>
                    <w:rFonts w:ascii="Cambria Math" w:cs="Times New Roman" w:hAnsi="Cambria Math"/>
                    <w:color w:val="000000"/>
                    <w:sz w:val="24"/>
                    <w:szCs w:val="24"/>
                  </w:rPr>
                </m:ctrlPr>
              </m:fPr>
              <m:num>
                <m:r>
                  <w:rPr>
                    <w:rFonts w:ascii="Cambria Math" w:cs="Times New Roman" w:hAnsi="Cambria Math"/>
                    <w:color w:val="000000"/>
                    <w:sz w:val="24"/>
                    <w:szCs w:val="24"/>
                  </w:rPr>
                  <m:t>p</m:t>
                </m:r>
              </m:num>
              <m:den>
                <m:r>
                  <w:rPr>
                    <w:rFonts w:ascii="Cambria Math" w:cs="Times New Roman" w:hAnsi="Cambria Math"/>
                    <w:color w:val="000000"/>
                    <w:sz w:val="24"/>
                    <w:szCs w:val="24"/>
                  </w:rPr>
                  <m:t>1-p</m:t>
                </m:r>
              </m:den>
            </m:f>
          </m:e>
        </m:d>
        <m:r>
          <w:rPr>
            <w:rFonts w:ascii="Cambria Math" w:cs="Times New Roman" w:hAnsi="Cambria Math"/>
            <w:color w:val="000000"/>
            <w:sz w:val="24"/>
            <w:szCs w:val="24"/>
          </w:rPr>
          <m:t>=</m:t>
        </m:r>
        <m:sSub>
          <m:sSubPr>
            <m:ctrlPr>
              <w:rPr>
                <w:rFonts w:ascii="Cambria Math" w:cs="Times New Roman" w:hAnsi="Cambria Math"/>
                <w:color w:val="000000"/>
                <w:sz w:val="24"/>
                <w:szCs w:val="24"/>
              </w:rPr>
            </m:ctrlPr>
          </m:sSubPr>
          <m:e>
            <m:r>
              <w:rPr>
                <w:rFonts w:ascii="Cambria Math" w:cs="Times New Roman" w:hAnsi="Cambria Math"/>
                <w:color w:val="000000"/>
                <w:sz w:val="24"/>
                <w:szCs w:val="24"/>
              </w:rPr>
              <m:t>β</m:t>
            </m:r>
          </m:e>
          <m:sub>
            <m:r>
              <w:rPr>
                <w:rFonts w:ascii="Cambria Math" w:cs="Times New Roman" w:hAnsi="Cambria Math"/>
                <w:color w:val="000000"/>
                <w:sz w:val="24"/>
                <w:szCs w:val="24"/>
              </w:rPr>
              <m:t>0</m:t>
            </m:r>
          </m:sub>
        </m:sSub>
        <m:r>
          <w:rPr>
            <w:rFonts w:ascii="Cambria Math" w:cs="Times New Roman" w:hAnsi="Cambria Math"/>
            <w:color w:val="000000"/>
            <w:sz w:val="24"/>
            <w:szCs w:val="24"/>
          </w:rPr>
          <m:t>+</m:t>
        </m:r>
        <m:sSub>
          <m:sSubPr>
            <m:ctrlPr>
              <w:rPr>
                <w:rFonts w:ascii="Cambria Math" w:cs="Times New Roman" w:hAnsi="Cambria Math"/>
                <w:color w:val="000000"/>
                <w:sz w:val="24"/>
                <w:szCs w:val="24"/>
              </w:rPr>
            </m:ctrlPr>
          </m:sSubPr>
          <m:e>
            <m:r>
              <w:rPr>
                <w:rFonts w:ascii="Cambria Math" w:cs="Times New Roman" w:hAnsi="Cambria Math"/>
                <w:color w:val="000000"/>
                <w:sz w:val="24"/>
                <w:szCs w:val="24"/>
              </w:rPr>
              <m:t>β</m:t>
            </m:r>
          </m:e>
          <m:sub>
            <m:r>
              <w:rPr>
                <w:rFonts w:ascii="Cambria Math" w:cs="Times New Roman" w:hAnsi="Cambria Math"/>
                <w:color w:val="000000"/>
                <w:sz w:val="24"/>
                <w:szCs w:val="24"/>
              </w:rPr>
              <m:t>1</m:t>
            </m:r>
          </m:sub>
        </m:sSub>
        <m:sSub>
          <m:sSubPr>
            <m:ctrlPr>
              <w:rPr>
                <w:rFonts w:ascii="Cambria Math" w:cs="Times New Roman" w:hAnsi="Cambria Math"/>
                <w:color w:val="000000"/>
                <w:sz w:val="24"/>
                <w:szCs w:val="24"/>
              </w:rPr>
            </m:ctrlPr>
          </m:sSubPr>
          <m:e>
            <m:r>
              <w:rPr>
                <w:rFonts w:ascii="Cambria Math" w:cs="Times New Roman" w:hAnsi="Cambria Math"/>
                <w:color w:val="000000"/>
                <w:sz w:val="24"/>
                <w:szCs w:val="24"/>
              </w:rPr>
              <m:t>X</m:t>
            </m:r>
          </m:e>
          <m:sub>
            <m:r>
              <w:rPr>
                <w:rFonts w:ascii="Cambria Math" w:cs="Times New Roman" w:hAnsi="Cambria Math"/>
                <w:color w:val="000000"/>
                <w:sz w:val="24"/>
                <w:szCs w:val="24"/>
              </w:rPr>
              <m:t>1</m:t>
            </m:r>
          </m:sub>
        </m:sSub>
        <m:r>
          <w:rPr>
            <w:rFonts w:ascii="Cambria Math" w:cs="Times New Roman" w:hAnsi="Cambria Math"/>
            <w:color w:val="000000"/>
            <w:sz w:val="24"/>
            <w:szCs w:val="24"/>
          </w:rPr>
          <m:t>+</m:t>
        </m:r>
        <m:sSub>
          <m:sSubPr>
            <m:ctrlPr>
              <w:rPr>
                <w:rFonts w:ascii="Cambria Math" w:cs="Times New Roman" w:hAnsi="Cambria Math"/>
                <w:color w:val="000000"/>
                <w:sz w:val="24"/>
                <w:szCs w:val="24"/>
              </w:rPr>
            </m:ctrlPr>
          </m:sSubPr>
          <m:e>
            <m:r>
              <w:rPr>
                <w:rFonts w:ascii="Cambria Math" w:cs="Times New Roman" w:hAnsi="Cambria Math"/>
                <w:color w:val="000000"/>
                <w:sz w:val="24"/>
                <w:szCs w:val="24"/>
              </w:rPr>
              <m:t>β</m:t>
            </m:r>
          </m:e>
          <m:sub>
            <m:r>
              <w:rPr>
                <w:rFonts w:ascii="Cambria Math" w:cs="Times New Roman" w:hAnsi="Cambria Math"/>
                <w:color w:val="000000"/>
                <w:sz w:val="24"/>
                <w:szCs w:val="24"/>
              </w:rPr>
              <m:t>2</m:t>
            </m:r>
          </m:sub>
        </m:sSub>
        <m:sSub>
          <m:sSubPr>
            <m:ctrlPr>
              <w:rPr>
                <w:rFonts w:ascii="Cambria Math" w:cs="Times New Roman" w:hAnsi="Cambria Math"/>
                <w:color w:val="000000"/>
                <w:sz w:val="24"/>
                <w:szCs w:val="24"/>
              </w:rPr>
            </m:ctrlPr>
          </m:sSubPr>
          <m:e>
            <m:r>
              <w:rPr>
                <w:rFonts w:ascii="Cambria Math" w:cs="Times New Roman" w:hAnsi="Cambria Math"/>
                <w:color w:val="000000"/>
                <w:sz w:val="24"/>
                <w:szCs w:val="24"/>
              </w:rPr>
              <m:t>X</m:t>
            </m:r>
          </m:e>
          <m:sub>
            <m:r>
              <w:rPr>
                <w:rFonts w:ascii="Cambria Math" w:cs="Times New Roman" w:hAnsi="Cambria Math"/>
                <w:color w:val="000000"/>
                <w:sz w:val="24"/>
                <w:szCs w:val="24"/>
              </w:rPr>
              <m:t>2</m:t>
            </m:r>
          </m:sub>
        </m:sSub>
        <m:r>
          <w:rPr>
            <w:rFonts w:ascii="Cambria Math" w:cs="Times New Roman" w:hAnsi="Cambria Math"/>
            <w:color w:val="000000"/>
            <w:sz w:val="24"/>
            <w:szCs w:val="24"/>
          </w:rPr>
          <m:t>+⋯+</m:t>
        </m:r>
        <m:sSub>
          <m:sSubPr>
            <m:ctrlPr>
              <w:rPr>
                <w:rFonts w:ascii="Cambria Math" w:cs="Times New Roman" w:hAnsi="Cambria Math"/>
                <w:color w:val="000000"/>
                <w:sz w:val="24"/>
                <w:szCs w:val="24"/>
              </w:rPr>
            </m:ctrlPr>
          </m:sSubPr>
          <m:e>
            <m:r>
              <w:rPr>
                <w:rFonts w:ascii="Cambria Math" w:cs="Times New Roman" w:hAnsi="Cambria Math"/>
                <w:color w:val="000000"/>
                <w:sz w:val="24"/>
                <w:szCs w:val="24"/>
              </w:rPr>
              <m:t>β</m:t>
            </m:r>
          </m:e>
          <m:sub>
            <m:r>
              <w:rPr>
                <w:rFonts w:ascii="Cambria Math" w:cs="Times New Roman" w:hAnsi="Cambria Math"/>
                <w:color w:val="000000"/>
                <w:sz w:val="24"/>
                <w:szCs w:val="24"/>
              </w:rPr>
              <m:t>n</m:t>
            </m:r>
          </m:sub>
        </m:sSub>
        <m:sSub>
          <m:sSubPr>
            <m:ctrlPr>
              <w:rPr>
                <w:rFonts w:ascii="Cambria Math" w:cs="Times New Roman" w:hAnsi="Cambria Math"/>
                <w:color w:val="000000"/>
                <w:sz w:val="24"/>
                <w:szCs w:val="24"/>
              </w:rPr>
            </m:ctrlPr>
          </m:sSubPr>
          <m:e>
            <m:r>
              <w:rPr>
                <w:rFonts w:ascii="Cambria Math" w:cs="Times New Roman" w:hAnsi="Cambria Math"/>
                <w:color w:val="000000"/>
                <w:sz w:val="24"/>
                <w:szCs w:val="24"/>
              </w:rPr>
              <m:t>X</m:t>
            </m:r>
          </m:e>
          <m:sub>
            <m:r>
              <w:rPr>
                <w:rFonts w:ascii="Cambria Math" w:cs="Times New Roman" w:hAnsi="Cambria Math"/>
                <w:color w:val="000000"/>
                <w:sz w:val="24"/>
                <w:szCs w:val="24"/>
              </w:rPr>
              <m:t>n</m:t>
            </m:r>
          </m:sub>
        </m:sSub>
      </m:oMath>
      <w:r>
        <w:rPr>
          <w:rFonts w:ascii="Times New Roman" w:cs="Times New Roman" w:hAnsi="Times New Roman"/>
          <w:color w:val="000000"/>
          <w:sz w:val="24"/>
          <w:szCs w:val="24"/>
        </w:rPr>
        <w:t xml:space="preserve">                           1</w:t>
      </w:r>
      <m:oMath>
        <m:r>
          <m:rPr>
            <m:sty m:val="p"/>
          </m:rPr>
          <w:rPr>
            <w:rFonts w:ascii="Times New Roman" w:cs="Times New Roman" w:hAnsi="Times New Roman"/>
            <w:color w:val="000000"/>
            <w:sz w:val="24"/>
            <w:szCs w:val="24"/>
          </w:rPr>
          <w:br/>
        </m:r>
      </m:oMath>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where </w:t>
      </w:r>
      <m:oMath>
        <m:r>
          <w:rPr>
            <w:rFonts w:ascii="Cambria Math" w:cs="Times New Roman" w:hAnsi="Cambria Math"/>
            <w:color w:val="000000"/>
            <w:sz w:val="24"/>
            <w:szCs w:val="24"/>
          </w:rPr>
          <m:t>p</m:t>
        </m:r>
      </m:oMath>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denotes the probability of developing chronic health issues, </w:t>
      </w:r>
      <m:oMath>
        <m:sSub>
          <m:sSubPr>
            <m:ctrlPr>
              <w:rPr>
                <w:rFonts w:ascii="Cambria Math" w:cs="Times New Roman" w:hAnsi="Cambria Math"/>
                <w:color w:val="000000"/>
                <w:sz w:val="24"/>
                <w:szCs w:val="24"/>
              </w:rPr>
            </m:ctrlPr>
          </m:sSubPr>
          <m:e>
            <m:r>
              <w:rPr>
                <w:rFonts w:ascii="Cambria Math" w:cs="Times New Roman" w:hAnsi="Cambria Math"/>
                <w:color w:val="000000"/>
                <w:sz w:val="24"/>
                <w:szCs w:val="24"/>
              </w:rPr>
              <m:t>β</m:t>
            </m:r>
          </m:e>
          <m:sub>
            <m:r>
              <w:rPr>
                <w:rFonts w:ascii="Cambria Math" w:cs="Times New Roman" w:hAnsi="Cambria Math"/>
                <w:color w:val="000000"/>
                <w:sz w:val="24"/>
                <w:szCs w:val="24"/>
              </w:rPr>
              <m:t>0</m:t>
            </m:r>
          </m:sub>
        </m:sSub>
      </m:oMath>
      <w:r>
        <w:rPr>
          <w:rFonts w:ascii="Times New Roman" w:cs="Times New Roman" w:hAnsi="Times New Roman"/>
          <w:color w:val="000000"/>
          <w:sz w:val="24"/>
          <w:szCs w:val="24"/>
        </w:rPr>
        <w:t xml:space="preserve">is the intercept term, </w:t>
      </w:r>
      <m:oMath>
        <m:sSub>
          <m:sSubPr>
            <m:ctrlPr>
              <w:rPr>
                <w:rFonts w:ascii="Cambria Math" w:cs="Times New Roman" w:hAnsi="Cambria Math"/>
                <w:color w:val="000000"/>
                <w:sz w:val="24"/>
                <w:szCs w:val="24"/>
              </w:rPr>
            </m:ctrlPr>
          </m:sSubPr>
          <m:e>
            <m:r>
              <w:rPr>
                <w:rFonts w:ascii="Cambria Math" w:cs="Times New Roman" w:hAnsi="Cambria Math"/>
                <w:color w:val="000000"/>
                <w:sz w:val="24"/>
                <w:szCs w:val="24"/>
              </w:rPr>
              <m:t>β</m:t>
            </m:r>
          </m:e>
          <m:sub>
            <m:r>
              <w:rPr>
                <w:rFonts w:ascii="Cambria Math" w:cs="Times New Roman" w:hAnsi="Cambria Math"/>
                <w:color w:val="000000"/>
                <w:sz w:val="24"/>
                <w:szCs w:val="24"/>
              </w:rPr>
              <m:t>1</m:t>
            </m:r>
          </m:sub>
        </m:sSub>
        <m:r>
          <w:rPr>
            <w:rFonts w:ascii="Cambria Math" w:cs="Times New Roman" w:hAnsi="Cambria Math"/>
            <w:color w:val="000000"/>
            <w:sz w:val="24"/>
            <w:szCs w:val="24"/>
          </w:rPr>
          <m:t>,…,</m:t>
        </m:r>
        <m:sSub>
          <m:sSubPr>
            <m:ctrlPr>
              <w:rPr>
                <w:rFonts w:ascii="Cambria Math" w:cs="Times New Roman" w:hAnsi="Cambria Math"/>
                <w:color w:val="000000"/>
                <w:sz w:val="24"/>
                <w:szCs w:val="24"/>
              </w:rPr>
            </m:ctrlPr>
          </m:sSubPr>
          <m:e>
            <m:r>
              <w:rPr>
                <w:rFonts w:ascii="Cambria Math" w:cs="Times New Roman" w:hAnsi="Cambria Math"/>
                <w:color w:val="000000"/>
                <w:sz w:val="24"/>
                <w:szCs w:val="24"/>
              </w:rPr>
              <m:t>β</m:t>
            </m:r>
          </m:e>
          <m:sub>
            <m:r>
              <w:rPr>
                <w:rFonts w:ascii="Cambria Math" w:cs="Times New Roman" w:hAnsi="Cambria Math"/>
                <w:color w:val="000000"/>
                <w:sz w:val="24"/>
                <w:szCs w:val="24"/>
              </w:rPr>
              <m:t>n</m:t>
            </m:r>
          </m:sub>
        </m:sSub>
      </m:oMath>
      <w:r>
        <w:rPr>
          <w:rFonts w:ascii="Times New Roman" w:cs="Times New Roman" w:hAnsi="Times New Roman"/>
          <w:color w:val="000000"/>
          <w:sz w:val="24"/>
          <w:szCs w:val="24"/>
        </w:rPr>
        <w:t xml:space="preserve">are the regression coefficients, and </w:t>
      </w:r>
      <m:oMath>
        <m:sSub>
          <m:sSubPr>
            <m:ctrlPr>
              <w:rPr>
                <w:rFonts w:ascii="Cambria Math" w:cs="Times New Roman" w:hAnsi="Cambria Math"/>
                <w:color w:val="000000"/>
                <w:sz w:val="24"/>
                <w:szCs w:val="24"/>
              </w:rPr>
            </m:ctrlPr>
          </m:sSubPr>
          <m:e>
            <m:r>
              <w:rPr>
                <w:rFonts w:ascii="Cambria Math" w:cs="Times New Roman" w:hAnsi="Cambria Math"/>
                <w:color w:val="000000"/>
                <w:sz w:val="24"/>
                <w:szCs w:val="24"/>
              </w:rPr>
              <m:t>X</m:t>
            </m:r>
          </m:e>
          <m:sub>
            <m:r>
              <w:rPr>
                <w:rFonts w:ascii="Cambria Math" w:cs="Times New Roman" w:hAnsi="Cambria Math"/>
                <w:color w:val="000000"/>
                <w:sz w:val="24"/>
                <w:szCs w:val="24"/>
              </w:rPr>
              <m:t>1</m:t>
            </m:r>
          </m:sub>
        </m:sSub>
        <m:r>
          <w:rPr>
            <w:rFonts w:ascii="Cambria Math" w:cs="Times New Roman" w:hAnsi="Cambria Math"/>
            <w:color w:val="000000"/>
            <w:sz w:val="24"/>
            <w:szCs w:val="24"/>
          </w:rPr>
          <m:t>,…,</m:t>
        </m:r>
        <m:sSub>
          <m:sSubPr>
            <m:ctrlPr>
              <w:rPr>
                <w:rFonts w:ascii="Cambria Math" w:cs="Times New Roman" w:hAnsi="Cambria Math"/>
                <w:color w:val="000000"/>
                <w:sz w:val="24"/>
                <w:szCs w:val="24"/>
              </w:rPr>
            </m:ctrlPr>
          </m:sSubPr>
          <m:e>
            <m:r>
              <w:rPr>
                <w:rFonts w:ascii="Cambria Math" w:cs="Times New Roman" w:hAnsi="Cambria Math"/>
                <w:color w:val="000000"/>
                <w:sz w:val="24"/>
                <w:szCs w:val="24"/>
              </w:rPr>
              <m:t>X</m:t>
            </m:r>
          </m:e>
          <m:sub>
            <m:r>
              <w:rPr>
                <w:rFonts w:ascii="Cambria Math" w:cs="Times New Roman" w:hAnsi="Cambria Math"/>
                <w:color w:val="000000"/>
                <w:sz w:val="24"/>
                <w:szCs w:val="24"/>
              </w:rPr>
              <m:t>n</m:t>
            </m:r>
          </m:sub>
        </m:sSub>
      </m:oMath>
      <w:r>
        <w:rPr>
          <w:rFonts w:ascii="Times New Roman" w:cs="Times New Roman" w:hAnsi="Times New Roman"/>
          <w:color w:val="000000"/>
          <w:sz w:val="24"/>
          <w:szCs w:val="24"/>
        </w:rPr>
        <w:t>represent the predictor variables.</w:t>
      </w: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spacing w:lineRule="auto" w:line="360"/>
        <w:ind w:left="990" w:hanging="99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Table </w:t>
      </w:r>
      <w:r>
        <w:rPr>
          <w:rFonts w:ascii="Times New Roman" w:cs="Times New Roman" w:hAnsi="Times New Roman"/>
          <w:b/>
          <w:bCs/>
          <w:color w:val="000000"/>
          <w:sz w:val="24"/>
          <w:szCs w:val="24"/>
        </w:rPr>
        <w:t>1</w:t>
      </w:r>
      <w:r>
        <w:rPr>
          <w:rFonts w:ascii="Times New Roman" w:cs="Times New Roman" w:hAnsi="Times New Roman"/>
          <w:color w:val="000000"/>
          <w:sz w:val="24"/>
          <w:szCs w:val="24"/>
        </w:rPr>
        <w:t>: Logistic Regression Models Examining Factors Associated with the Development of Chronic Health Issues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
        <w:gridCol w:w="1950"/>
        <w:gridCol w:w="4020"/>
        <w:gridCol w:w="2295"/>
      </w:tblGrid>
      <w:tr>
        <w:trPr>
          <w:tblHeader/>
          <w:tblCellSpacing w:w="15" w:type="dxa"/>
        </w:trPr>
        <w:tc>
          <w:tcPr>
            <w:tcW w:w="945" w:type="dxa"/>
            <w:tcBorders>
              <w:top w:val="single" w:sz="4" w:space="0" w:color="auto"/>
              <w:bottom w:val="single" w:sz="4" w:space="0" w:color="auto"/>
            </w:tcBorders>
            <w:vAlign w:val="center"/>
            <w:hideMark/>
          </w:tcPr>
          <w:p>
            <w:pPr>
              <w:pStyle w:val="style0"/>
              <w:widowControl w:val="false"/>
              <w:pBdr>
                <w:left w:val="nil"/>
                <w:right w:val="nil"/>
                <w:top w:val="nil"/>
                <w:bottom w:val="nil"/>
                <w:between w:val="nil"/>
              </w:pBdr>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Model</w:t>
            </w:r>
          </w:p>
        </w:tc>
        <w:tc>
          <w:tcPr>
            <w:tcW w:w="1950" w:type="dxa"/>
            <w:tcBorders>
              <w:top w:val="single" w:sz="4" w:space="0" w:color="auto"/>
              <w:bottom w:val="single" w:sz="4" w:space="0" w:color="auto"/>
            </w:tcBorders>
            <w:vAlign w:val="center"/>
            <w:hideMark/>
          </w:tcPr>
          <w:p>
            <w:pPr>
              <w:pStyle w:val="style0"/>
              <w:widowControl w:val="false"/>
              <w:pBdr>
                <w:left w:val="nil"/>
                <w:right w:val="nil"/>
                <w:top w:val="nil"/>
                <w:bottom w:val="nil"/>
                <w:between w:val="nil"/>
              </w:pBdr>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Contributing factors</w:t>
            </w:r>
          </w:p>
        </w:tc>
        <w:tc>
          <w:tcPr>
            <w:tcW w:w="4020" w:type="dxa"/>
            <w:tcBorders>
              <w:top w:val="single" w:sz="4" w:space="0" w:color="auto"/>
              <w:bottom w:val="single" w:sz="4" w:space="0" w:color="auto"/>
            </w:tcBorders>
            <w:vAlign w:val="center"/>
            <w:hideMark/>
          </w:tcPr>
          <w:p>
            <w:pPr>
              <w:pStyle w:val="style0"/>
              <w:widowControl w:val="false"/>
              <w:pBdr>
                <w:left w:val="nil"/>
                <w:right w:val="nil"/>
                <w:top w:val="nil"/>
                <w:bottom w:val="nil"/>
                <w:between w:val="nil"/>
              </w:pBdr>
              <w:rPr>
                <w:rFonts w:ascii="Times New Roman" w:cs="Times New Roman" w:hAnsi="Times New Roman"/>
                <w:b/>
                <w:bCs/>
                <w:color w:val="000000"/>
                <w:sz w:val="24"/>
                <w:szCs w:val="24"/>
              </w:rPr>
            </w:pPr>
            <w:r>
              <w:rPr>
                <w:rFonts w:ascii="Times New Roman" w:cs="Times New Roman" w:hAnsi="Times New Roman"/>
                <w:b/>
                <w:bCs/>
                <w:color w:val="000000"/>
                <w:sz w:val="24"/>
                <w:szCs w:val="24"/>
              </w:rPr>
              <w:t>Predictor Variables</w:t>
            </w:r>
          </w:p>
        </w:tc>
        <w:tc>
          <w:tcPr>
            <w:tcW w:w="2295" w:type="dxa"/>
            <w:tcBorders>
              <w:top w:val="single" w:sz="4" w:space="0" w:color="auto"/>
              <w:bottom w:val="single" w:sz="4" w:space="0" w:color="auto"/>
            </w:tcBorders>
            <w:vAlign w:val="center"/>
            <w:hideMark/>
          </w:tcPr>
          <w:p>
            <w:pPr>
              <w:pStyle w:val="style0"/>
              <w:widowControl w:val="false"/>
              <w:pBdr>
                <w:left w:val="nil"/>
                <w:right w:val="nil"/>
                <w:top w:val="nil"/>
                <w:bottom w:val="nil"/>
                <w:between w:val="nil"/>
              </w:pBdr>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Outcome Variable</w:t>
            </w:r>
          </w:p>
        </w:tc>
      </w:tr>
      <w:tr>
        <w:tblPrEx/>
        <w:trPr>
          <w:tblCellSpacing w:w="15" w:type="dxa"/>
        </w:trPr>
        <w:tc>
          <w:tcPr>
            <w:tcW w:w="945" w:type="dxa"/>
            <w:tcBorders/>
            <w:vAlign w:val="center"/>
            <w:hideMark/>
          </w:tcPr>
          <w:p>
            <w:pPr>
              <w:pStyle w:val="style0"/>
              <w:widowControl w:val="false"/>
              <w:pBdr>
                <w:left w:val="nil"/>
                <w:right w:val="nil"/>
                <w:top w:val="nil"/>
                <w:bottom w:val="nil"/>
                <w:between w:val="nil"/>
              </w:pBdr>
              <w:jc w:val="center"/>
              <w:rPr>
                <w:rFonts w:ascii="Times New Roman" w:cs="Times New Roman" w:hAnsi="Times New Roman"/>
                <w:color w:val="000000"/>
                <w:sz w:val="24"/>
                <w:szCs w:val="24"/>
              </w:rPr>
            </w:pPr>
            <w:r>
              <w:rPr>
                <w:rFonts w:ascii="Times New Roman" w:cs="Times New Roman" w:hAnsi="Times New Roman"/>
                <w:color w:val="000000"/>
                <w:sz w:val="24"/>
                <w:szCs w:val="24"/>
              </w:rPr>
              <w:t>Model 1</w:t>
            </w:r>
          </w:p>
        </w:tc>
        <w:tc>
          <w:tcPr>
            <w:tcW w:w="1950" w:type="dxa"/>
            <w:tcBorders/>
            <w:vAlign w:val="center"/>
            <w:hideMark/>
          </w:tcPr>
          <w:p>
            <w:pPr>
              <w:pStyle w:val="style0"/>
              <w:widowControl w:val="false"/>
              <w:pBdr>
                <w:left w:val="nil"/>
                <w:right w:val="nil"/>
                <w:top w:val="nil"/>
                <w:bottom w:val="nil"/>
                <w:between w:val="nil"/>
              </w:pBdr>
              <w:jc w:val="center"/>
              <w:rPr>
                <w:rFonts w:ascii="Times New Roman" w:cs="Times New Roman" w:hAnsi="Times New Roman"/>
                <w:color w:val="000000"/>
                <w:sz w:val="24"/>
                <w:szCs w:val="24"/>
              </w:rPr>
            </w:pPr>
            <w:r>
              <w:rPr>
                <w:rFonts w:ascii="Times New Roman" w:cs="Times New Roman" w:hAnsi="Times New Roman"/>
                <w:color w:val="000000"/>
                <w:sz w:val="24"/>
                <w:szCs w:val="24"/>
              </w:rPr>
              <w:t>Work-related factors</w:t>
            </w:r>
          </w:p>
        </w:tc>
        <w:tc>
          <w:tcPr>
            <w:tcW w:w="4020" w:type="dxa"/>
            <w:tcBorders/>
            <w:vAlign w:val="center"/>
            <w:hideMark/>
          </w:tcPr>
          <w:p>
            <w:pPr>
              <w:pStyle w:val="style0"/>
              <w:widowControl w:val="false"/>
              <w:pBdr>
                <w:left w:val="nil"/>
                <w:right w:val="nil"/>
                <w:top w:val="nil"/>
                <w:bottom w:val="nil"/>
                <w:between w:val="nil"/>
              </w:pBdr>
              <w:rPr>
                <w:rFonts w:ascii="Times New Roman" w:cs="Times New Roman" w:hAnsi="Times New Roman"/>
                <w:color w:val="000000"/>
                <w:sz w:val="24"/>
                <w:szCs w:val="24"/>
              </w:rPr>
            </w:pPr>
            <w:r>
              <w:rPr>
                <w:rFonts w:ascii="Times New Roman" w:cs="Times New Roman" w:hAnsi="Times New Roman"/>
                <w:color w:val="000000"/>
                <w:sz w:val="24"/>
                <w:szCs w:val="24"/>
              </w:rPr>
              <w:t>Physical job demands; Work control/autonomy; Exposure frequency</w:t>
            </w:r>
          </w:p>
        </w:tc>
        <w:tc>
          <w:tcPr>
            <w:tcW w:w="2295" w:type="dxa"/>
            <w:tcBorders/>
            <w:vAlign w:val="center"/>
            <w:hideMark/>
          </w:tcPr>
          <w:p>
            <w:pPr>
              <w:pStyle w:val="style0"/>
              <w:widowControl w:val="false"/>
              <w:pBdr>
                <w:left w:val="nil"/>
                <w:right w:val="nil"/>
                <w:top w:val="nil"/>
                <w:bottom w:val="nil"/>
                <w:between w:val="nil"/>
              </w:pBdr>
              <w:jc w:val="center"/>
              <w:rPr>
                <w:rFonts w:ascii="Times New Roman" w:cs="Times New Roman" w:hAnsi="Times New Roman"/>
                <w:color w:val="000000"/>
                <w:sz w:val="24"/>
                <w:szCs w:val="24"/>
              </w:rPr>
            </w:pPr>
            <w:r>
              <w:rPr>
                <w:rFonts w:ascii="Times New Roman" w:cs="Times New Roman" w:hAnsi="Times New Roman"/>
                <w:color w:val="000000"/>
                <w:sz w:val="24"/>
                <w:szCs w:val="24"/>
              </w:rPr>
              <w:t>Developing a chronic health issue (Yes/No)</w:t>
            </w:r>
          </w:p>
        </w:tc>
      </w:tr>
      <w:tr>
        <w:tblPrEx/>
        <w:trPr>
          <w:tblCellSpacing w:w="15" w:type="dxa"/>
        </w:trPr>
        <w:tc>
          <w:tcPr>
            <w:tcW w:w="945" w:type="dxa"/>
            <w:tcBorders/>
            <w:vAlign w:val="center"/>
            <w:hideMark/>
          </w:tcPr>
          <w:p>
            <w:pPr>
              <w:pStyle w:val="style0"/>
              <w:widowControl w:val="false"/>
              <w:pBdr>
                <w:left w:val="nil"/>
                <w:right w:val="nil"/>
                <w:top w:val="nil"/>
                <w:bottom w:val="nil"/>
                <w:between w:val="nil"/>
              </w:pBdr>
              <w:jc w:val="center"/>
              <w:rPr>
                <w:rFonts w:ascii="Times New Roman" w:cs="Times New Roman" w:hAnsi="Times New Roman"/>
                <w:color w:val="000000"/>
                <w:sz w:val="24"/>
                <w:szCs w:val="24"/>
              </w:rPr>
            </w:pPr>
            <w:r>
              <w:rPr>
                <w:rFonts w:ascii="Times New Roman" w:cs="Times New Roman" w:hAnsi="Times New Roman"/>
                <w:color w:val="000000"/>
                <w:sz w:val="24"/>
                <w:szCs w:val="24"/>
              </w:rPr>
              <w:t>Model 2</w:t>
            </w:r>
          </w:p>
        </w:tc>
        <w:tc>
          <w:tcPr>
            <w:tcW w:w="1950" w:type="dxa"/>
            <w:tcBorders/>
            <w:vAlign w:val="center"/>
            <w:hideMark/>
          </w:tcPr>
          <w:p>
            <w:pPr>
              <w:pStyle w:val="style0"/>
              <w:widowControl w:val="false"/>
              <w:pBdr>
                <w:left w:val="nil"/>
                <w:right w:val="nil"/>
                <w:top w:val="nil"/>
                <w:bottom w:val="nil"/>
                <w:between w:val="nil"/>
              </w:pBdr>
              <w:jc w:val="center"/>
              <w:rPr>
                <w:rFonts w:ascii="Times New Roman" w:cs="Times New Roman" w:hAnsi="Times New Roman"/>
                <w:color w:val="000000"/>
                <w:sz w:val="24"/>
                <w:szCs w:val="24"/>
              </w:rPr>
            </w:pPr>
            <w:r>
              <w:rPr>
                <w:rFonts w:ascii="Times New Roman" w:cs="Times New Roman" w:hAnsi="Times New Roman"/>
                <w:color w:val="000000"/>
                <w:sz w:val="24"/>
                <w:szCs w:val="24"/>
              </w:rPr>
              <w:t>Organizational factors</w:t>
            </w:r>
          </w:p>
        </w:tc>
        <w:tc>
          <w:tcPr>
            <w:tcW w:w="4020" w:type="dxa"/>
            <w:tcBorders/>
            <w:vAlign w:val="center"/>
            <w:hideMark/>
          </w:tcPr>
          <w:p>
            <w:pPr>
              <w:pStyle w:val="style0"/>
              <w:widowControl w:val="false"/>
              <w:pBdr>
                <w:left w:val="nil"/>
                <w:right w:val="nil"/>
                <w:top w:val="nil"/>
                <w:bottom w:val="nil"/>
                <w:between w:val="nil"/>
              </w:pBdr>
              <w:rPr>
                <w:rFonts w:ascii="Times New Roman" w:cs="Times New Roman" w:hAnsi="Times New Roman"/>
                <w:color w:val="000000"/>
                <w:sz w:val="24"/>
                <w:szCs w:val="24"/>
              </w:rPr>
            </w:pPr>
            <w:r>
              <w:rPr>
                <w:rFonts w:ascii="Times New Roman" w:cs="Times New Roman" w:hAnsi="Times New Roman"/>
                <w:color w:val="000000"/>
                <w:sz w:val="24"/>
                <w:szCs w:val="24"/>
              </w:rPr>
              <w:t xml:space="preserve">Supervisor support; </w:t>
            </w:r>
            <w:r>
              <w:rPr>
                <w:rFonts w:ascii="Times New Roman" w:cs="Times New Roman" w:hAnsi="Times New Roman"/>
                <w:color w:val="000000"/>
                <w:sz w:val="24"/>
                <w:szCs w:val="24"/>
              </w:rPr>
              <w:t>Organisational</w:t>
            </w:r>
            <w:r>
              <w:rPr>
                <w:rFonts w:ascii="Times New Roman" w:cs="Times New Roman" w:hAnsi="Times New Roman"/>
                <w:color w:val="000000"/>
                <w:sz w:val="24"/>
                <w:szCs w:val="24"/>
              </w:rPr>
              <w:t xml:space="preserve"> stress support; PPE usage frequency</w:t>
            </w:r>
          </w:p>
        </w:tc>
        <w:tc>
          <w:tcPr>
            <w:tcW w:w="2295" w:type="dxa"/>
            <w:tcBorders/>
            <w:vAlign w:val="center"/>
            <w:hideMark/>
          </w:tcPr>
          <w:p>
            <w:pPr>
              <w:pStyle w:val="style0"/>
              <w:widowControl w:val="false"/>
              <w:pBdr>
                <w:left w:val="nil"/>
                <w:right w:val="nil"/>
                <w:top w:val="nil"/>
                <w:bottom w:val="nil"/>
                <w:between w:val="nil"/>
              </w:pBdr>
              <w:jc w:val="center"/>
              <w:rPr>
                <w:rFonts w:ascii="Times New Roman" w:cs="Times New Roman" w:hAnsi="Times New Roman"/>
                <w:color w:val="000000"/>
                <w:sz w:val="24"/>
                <w:szCs w:val="24"/>
              </w:rPr>
            </w:pPr>
            <w:r>
              <w:rPr>
                <w:rFonts w:ascii="Times New Roman" w:cs="Times New Roman" w:hAnsi="Times New Roman"/>
                <w:color w:val="000000"/>
                <w:sz w:val="24"/>
                <w:szCs w:val="24"/>
              </w:rPr>
              <w:t>Developing a chronic health issue (Yes/No)</w:t>
            </w:r>
          </w:p>
        </w:tc>
      </w:tr>
      <w:tr>
        <w:tblPrEx/>
        <w:trPr>
          <w:tblCellSpacing w:w="15" w:type="dxa"/>
        </w:trPr>
        <w:tc>
          <w:tcPr>
            <w:tcW w:w="945" w:type="dxa"/>
            <w:tcBorders/>
            <w:vAlign w:val="center"/>
            <w:hideMark/>
          </w:tcPr>
          <w:p>
            <w:pPr>
              <w:pStyle w:val="style0"/>
              <w:widowControl w:val="false"/>
              <w:pBdr>
                <w:left w:val="nil"/>
                <w:right w:val="nil"/>
                <w:top w:val="nil"/>
                <w:bottom w:val="nil"/>
                <w:between w:val="nil"/>
              </w:pBdr>
              <w:jc w:val="center"/>
              <w:rPr>
                <w:rFonts w:ascii="Times New Roman" w:cs="Times New Roman" w:hAnsi="Times New Roman"/>
                <w:color w:val="000000"/>
                <w:sz w:val="24"/>
                <w:szCs w:val="24"/>
              </w:rPr>
            </w:pPr>
            <w:r>
              <w:rPr>
                <w:rFonts w:ascii="Times New Roman" w:cs="Times New Roman" w:hAnsi="Times New Roman"/>
                <w:color w:val="000000"/>
                <w:sz w:val="24"/>
                <w:szCs w:val="24"/>
              </w:rPr>
              <w:t>Model 3</w:t>
            </w:r>
          </w:p>
        </w:tc>
        <w:tc>
          <w:tcPr>
            <w:tcW w:w="1950" w:type="dxa"/>
            <w:tcBorders/>
            <w:vAlign w:val="center"/>
            <w:hideMark/>
          </w:tcPr>
          <w:p>
            <w:pPr>
              <w:pStyle w:val="style0"/>
              <w:widowControl w:val="false"/>
              <w:pBdr>
                <w:left w:val="nil"/>
                <w:right w:val="nil"/>
                <w:top w:val="nil"/>
                <w:bottom w:val="nil"/>
                <w:between w:val="nil"/>
              </w:pBdr>
              <w:jc w:val="center"/>
              <w:rPr>
                <w:rFonts w:ascii="Times New Roman" w:cs="Times New Roman" w:hAnsi="Times New Roman"/>
                <w:color w:val="000000"/>
                <w:sz w:val="24"/>
                <w:szCs w:val="24"/>
              </w:rPr>
            </w:pPr>
            <w:r>
              <w:rPr>
                <w:rFonts w:ascii="Times New Roman" w:cs="Times New Roman" w:hAnsi="Times New Roman"/>
                <w:color w:val="000000"/>
                <w:sz w:val="24"/>
                <w:szCs w:val="24"/>
              </w:rPr>
              <w:t>Personal factors</w:t>
            </w:r>
          </w:p>
        </w:tc>
        <w:tc>
          <w:tcPr>
            <w:tcW w:w="4020" w:type="dxa"/>
            <w:tcBorders/>
            <w:vAlign w:val="center"/>
            <w:hideMark/>
          </w:tcPr>
          <w:p>
            <w:pPr>
              <w:pStyle w:val="style0"/>
              <w:widowControl w:val="false"/>
              <w:pBdr>
                <w:left w:val="nil"/>
                <w:right w:val="nil"/>
                <w:top w:val="nil"/>
                <w:bottom w:val="nil"/>
                <w:between w:val="nil"/>
              </w:pBdr>
              <w:rPr>
                <w:rFonts w:ascii="Times New Roman" w:cs="Times New Roman" w:hAnsi="Times New Roman"/>
                <w:color w:val="000000"/>
                <w:sz w:val="24"/>
                <w:szCs w:val="24"/>
              </w:rPr>
            </w:pPr>
            <w:r>
              <w:rPr>
                <w:rFonts w:ascii="Times New Roman" w:cs="Times New Roman" w:hAnsi="Times New Roman"/>
                <w:color w:val="000000"/>
                <w:sz w:val="24"/>
                <w:szCs w:val="24"/>
              </w:rPr>
              <w:t>Smoking status; Exercise frequency</w:t>
            </w:r>
          </w:p>
        </w:tc>
        <w:tc>
          <w:tcPr>
            <w:tcW w:w="2295" w:type="dxa"/>
            <w:tcBorders/>
            <w:vAlign w:val="center"/>
            <w:hideMark/>
          </w:tcPr>
          <w:p>
            <w:pPr>
              <w:pStyle w:val="style0"/>
              <w:widowControl w:val="false"/>
              <w:pBdr>
                <w:left w:val="nil"/>
                <w:right w:val="nil"/>
                <w:top w:val="nil"/>
                <w:bottom w:val="nil"/>
                <w:between w:val="nil"/>
              </w:pBdr>
              <w:jc w:val="center"/>
              <w:rPr>
                <w:rFonts w:ascii="Times New Roman" w:cs="Times New Roman" w:hAnsi="Times New Roman"/>
                <w:color w:val="000000"/>
                <w:sz w:val="24"/>
                <w:szCs w:val="24"/>
              </w:rPr>
            </w:pPr>
            <w:r>
              <w:rPr>
                <w:rFonts w:ascii="Times New Roman" w:cs="Times New Roman" w:hAnsi="Times New Roman"/>
                <w:color w:val="000000"/>
                <w:sz w:val="24"/>
                <w:szCs w:val="24"/>
              </w:rPr>
              <w:t>Developing a chronic health issue (Yes/No)</w:t>
            </w:r>
          </w:p>
        </w:tc>
      </w:tr>
      <w:tr>
        <w:tblPrEx/>
        <w:trPr>
          <w:tblCellSpacing w:w="15" w:type="dxa"/>
        </w:trPr>
        <w:tc>
          <w:tcPr>
            <w:tcW w:w="945" w:type="dxa"/>
            <w:tcBorders>
              <w:bottom w:val="single" w:sz="4" w:space="0" w:color="auto"/>
            </w:tcBorders>
            <w:vAlign w:val="center"/>
            <w:hideMark/>
          </w:tcPr>
          <w:p>
            <w:pPr>
              <w:pStyle w:val="style0"/>
              <w:widowControl w:val="false"/>
              <w:pBdr>
                <w:left w:val="nil"/>
                <w:right w:val="nil"/>
                <w:top w:val="nil"/>
                <w:bottom w:val="nil"/>
                <w:between w:val="nil"/>
              </w:pBdr>
              <w:jc w:val="center"/>
              <w:rPr>
                <w:rFonts w:ascii="Times New Roman" w:cs="Times New Roman" w:hAnsi="Times New Roman"/>
                <w:color w:val="000000"/>
                <w:sz w:val="24"/>
                <w:szCs w:val="24"/>
              </w:rPr>
            </w:pPr>
            <w:r>
              <w:rPr>
                <w:rFonts w:ascii="Times New Roman" w:cs="Times New Roman" w:hAnsi="Times New Roman"/>
                <w:color w:val="000000"/>
                <w:sz w:val="24"/>
                <w:szCs w:val="24"/>
              </w:rPr>
              <w:t>Model 4</w:t>
            </w:r>
          </w:p>
        </w:tc>
        <w:tc>
          <w:tcPr>
            <w:tcW w:w="1950" w:type="dxa"/>
            <w:tcBorders>
              <w:bottom w:val="single" w:sz="4" w:space="0" w:color="auto"/>
            </w:tcBorders>
            <w:vAlign w:val="center"/>
            <w:hideMark/>
          </w:tcPr>
          <w:p>
            <w:pPr>
              <w:pStyle w:val="style0"/>
              <w:widowControl w:val="false"/>
              <w:pBdr>
                <w:left w:val="nil"/>
                <w:right w:val="nil"/>
                <w:top w:val="nil"/>
                <w:bottom w:val="nil"/>
                <w:between w:val="nil"/>
              </w:pBdr>
              <w:jc w:val="center"/>
              <w:rPr>
                <w:rFonts w:ascii="Times New Roman" w:cs="Times New Roman" w:hAnsi="Times New Roman"/>
                <w:color w:val="000000"/>
                <w:sz w:val="24"/>
                <w:szCs w:val="24"/>
              </w:rPr>
            </w:pPr>
            <w:r>
              <w:rPr>
                <w:rFonts w:ascii="Times New Roman" w:cs="Times New Roman" w:hAnsi="Times New Roman"/>
                <w:color w:val="000000"/>
                <w:sz w:val="24"/>
                <w:szCs w:val="24"/>
              </w:rPr>
              <w:t>Demographic factors</w:t>
            </w:r>
          </w:p>
        </w:tc>
        <w:tc>
          <w:tcPr>
            <w:tcW w:w="4020" w:type="dxa"/>
            <w:tcBorders>
              <w:bottom w:val="single" w:sz="4" w:space="0" w:color="auto"/>
            </w:tcBorders>
            <w:vAlign w:val="center"/>
            <w:hideMark/>
          </w:tcPr>
          <w:p>
            <w:pPr>
              <w:pStyle w:val="style0"/>
              <w:widowControl w:val="false"/>
              <w:pBdr>
                <w:left w:val="nil"/>
                <w:right w:val="nil"/>
                <w:top w:val="nil"/>
                <w:bottom w:val="nil"/>
                <w:between w:val="nil"/>
              </w:pBdr>
              <w:rPr>
                <w:rFonts w:ascii="Times New Roman" w:cs="Times New Roman" w:hAnsi="Times New Roman"/>
                <w:color w:val="000000"/>
                <w:sz w:val="24"/>
                <w:szCs w:val="24"/>
              </w:rPr>
            </w:pPr>
            <w:r>
              <w:rPr>
                <w:rFonts w:ascii="Times New Roman" w:cs="Times New Roman" w:hAnsi="Times New Roman"/>
                <w:color w:val="000000"/>
                <w:sz w:val="24"/>
                <w:szCs w:val="24"/>
              </w:rPr>
              <w:t>Age group; Years of experience</w:t>
            </w:r>
          </w:p>
        </w:tc>
        <w:tc>
          <w:tcPr>
            <w:tcW w:w="2295" w:type="dxa"/>
            <w:tcBorders>
              <w:bottom w:val="single" w:sz="4" w:space="0" w:color="auto"/>
            </w:tcBorders>
            <w:vAlign w:val="center"/>
            <w:hideMark/>
          </w:tcPr>
          <w:p>
            <w:pPr>
              <w:pStyle w:val="style0"/>
              <w:widowControl w:val="false"/>
              <w:pBdr>
                <w:left w:val="nil"/>
                <w:right w:val="nil"/>
                <w:top w:val="nil"/>
                <w:bottom w:val="nil"/>
                <w:between w:val="nil"/>
              </w:pBdr>
              <w:jc w:val="center"/>
              <w:rPr>
                <w:rFonts w:ascii="Times New Roman" w:cs="Times New Roman" w:hAnsi="Times New Roman"/>
                <w:color w:val="000000"/>
                <w:sz w:val="24"/>
                <w:szCs w:val="24"/>
              </w:rPr>
            </w:pPr>
            <w:r>
              <w:rPr>
                <w:rFonts w:ascii="Times New Roman" w:cs="Times New Roman" w:hAnsi="Times New Roman"/>
                <w:color w:val="000000"/>
                <w:sz w:val="24"/>
                <w:szCs w:val="24"/>
              </w:rPr>
              <w:t>Developing a chronic health issue (Yes/No)</w:t>
            </w:r>
          </w:p>
        </w:tc>
      </w:tr>
    </w:tbl>
    <w:p>
      <w:pPr>
        <w:pStyle w:val="style0"/>
        <w:widowControl w:val="false"/>
        <w:pBdr>
          <w:left w:val="nil"/>
          <w:right w:val="nil"/>
          <w:top w:val="nil"/>
          <w:bottom w:val="nil"/>
          <w:between w:val="nil"/>
        </w:pBdr>
        <w:jc w:val="both"/>
        <w:rPr>
          <w:rFonts w:ascii="Times New Roman" w:cs="Times New Roman" w:hAnsi="Times New Roman"/>
          <w:b/>
          <w:bCs/>
          <w:color w:val="000000"/>
          <w:sz w:val="24"/>
          <w:szCs w:val="24"/>
        </w:rPr>
      </w:pPr>
    </w:p>
    <w:p>
      <w:pPr>
        <w:pStyle w:val="style0"/>
        <w:widowControl w:val="false"/>
        <w:pBdr>
          <w:left w:val="nil"/>
          <w:right w:val="nil"/>
          <w:top w:val="nil"/>
          <w:bottom w:val="nil"/>
          <w:between w:val="nil"/>
        </w:pBdr>
        <w:jc w:val="both"/>
        <w:rPr>
          <w:rFonts w:ascii="Times New Roman" w:cs="Times New Roman" w:hAnsi="Times New Roman"/>
          <w:b/>
          <w:bCs/>
          <w:color w:val="000000"/>
          <w:sz w:val="24"/>
          <w:szCs w:val="24"/>
        </w:rPr>
      </w:pPr>
    </w:p>
    <w:p>
      <w:pPr>
        <w:pStyle w:val="style0"/>
        <w:widowControl w:val="false"/>
        <w:pBdr>
          <w:left w:val="nil"/>
          <w:right w:val="nil"/>
          <w:top w:val="nil"/>
          <w:bottom w:val="nil"/>
          <w:between w:val="nil"/>
        </w:pBdr>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3.0 </w:t>
      </w:r>
      <w:r>
        <w:rPr>
          <w:rFonts w:ascii="Times New Roman" w:cs="Times New Roman" w:hAnsi="Times New Roman"/>
          <w:b/>
          <w:bCs/>
          <w:color w:val="000000"/>
          <w:sz w:val="24"/>
          <w:szCs w:val="24"/>
        </w:rPr>
        <w:t>Results</w:t>
      </w:r>
    </w:p>
    <w:p>
      <w:pPr>
        <w:pStyle w:val="style0"/>
        <w:widowControl w:val="false"/>
        <w:pBdr>
          <w:left w:val="nil"/>
          <w:right w:val="nil"/>
          <w:top w:val="nil"/>
          <w:bottom w:val="nil"/>
          <w:between w:val="nil"/>
        </w:pBdr>
        <w:jc w:val="both"/>
        <w:rPr>
          <w:rFonts w:ascii="Times New Roman" w:cs="Times New Roman" w:hAnsi="Times New Roman"/>
          <w:b/>
          <w:bCs/>
          <w:color w:val="000000"/>
          <w:sz w:val="24"/>
          <w:szCs w:val="24"/>
        </w:rPr>
      </w:pPr>
    </w:p>
    <w:p>
      <w:pPr>
        <w:pStyle w:val="style0"/>
        <w:widowControl w:val="false"/>
        <w:pBdr>
          <w:left w:val="nil"/>
          <w:right w:val="nil"/>
          <w:top w:val="nil"/>
          <w:bottom w:val="nil"/>
          <w:between w:val="nil"/>
        </w:pBdr>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3.1 Work-Related Contributing Factors</w:t>
      </w:r>
    </w:p>
    <w:p>
      <w:pPr>
        <w:pStyle w:val="style0"/>
        <w:widowControl w:val="false"/>
        <w:pBdr>
          <w:left w:val="nil"/>
          <w:right w:val="nil"/>
          <w:top w:val="nil"/>
          <w:bottom w:val="nil"/>
          <w:between w:val="nil"/>
        </w:pBd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Table </w:t>
      </w:r>
      <w:r>
        <w:rPr>
          <w:rFonts w:ascii="Times New Roman" w:cs="Times New Roman" w:hAnsi="Times New Roman"/>
          <w:color w:val="000000"/>
          <w:sz w:val="24"/>
          <w:szCs w:val="24"/>
        </w:rPr>
        <w:t>2</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presents</w:t>
      </w:r>
      <w:r>
        <w:rPr>
          <w:rFonts w:ascii="Times New Roman" w:cs="Times New Roman" w:hAnsi="Times New Roman"/>
          <w:color w:val="000000"/>
          <w:sz w:val="24"/>
          <w:szCs w:val="24"/>
        </w:rPr>
        <w:t xml:space="preserve"> the logistic regression analysis</w:t>
      </w:r>
      <w:r>
        <w:rPr>
          <w:rFonts w:ascii="Times New Roman" w:cs="Times New Roman" w:hAnsi="Times New Roman"/>
          <w:color w:val="000000"/>
          <w:sz w:val="24"/>
          <w:szCs w:val="24"/>
        </w:rPr>
        <w:t xml:space="preserve"> results</w:t>
      </w:r>
      <w:r>
        <w:rPr>
          <w:rFonts w:ascii="Times New Roman" w:cs="Times New Roman" w:hAnsi="Times New Roman"/>
          <w:color w:val="000000"/>
          <w:sz w:val="24"/>
          <w:szCs w:val="24"/>
        </w:rPr>
        <w:t xml:space="preserve"> of work-related factors. </w:t>
      </w:r>
      <w:r>
        <w:rPr>
          <w:rFonts w:ascii="Times New Roman" w:cs="Times New Roman" w:hAnsi="Times New Roman"/>
          <w:color w:val="000000"/>
          <w:sz w:val="24"/>
          <w:szCs w:val="24"/>
        </w:rPr>
        <w:t>Three work-related variables were evaluated: physical job demands, work control/autonomy, and exposure frequency</w:t>
      </w:r>
      <w:r>
        <w:rPr>
          <w:rFonts w:ascii="Times New Roman" w:cs="Times New Roman" w:hAnsi="Times New Roman"/>
          <w:color w:val="000000"/>
          <w:sz w:val="24"/>
          <w:szCs w:val="24"/>
        </w:rPr>
        <w:t xml:space="preserve">.  </w:t>
      </w:r>
    </w:p>
    <w:p>
      <w:pPr>
        <w:pStyle w:val="style0"/>
        <w:widowControl w:val="false"/>
        <w:pBdr>
          <w:left w:val="nil"/>
          <w:right w:val="nil"/>
          <w:top w:val="nil"/>
          <w:bottom w:val="nil"/>
          <w:between w:val="nil"/>
        </w:pBd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Physical job demands </w:t>
      </w:r>
      <w:r>
        <w:rPr>
          <w:rFonts w:ascii="Times New Roman" w:cs="Times New Roman" w:hAnsi="Times New Roman"/>
          <w:color w:val="000000"/>
          <w:sz w:val="24"/>
          <w:szCs w:val="24"/>
        </w:rPr>
        <w:t xml:space="preserve">showed </w:t>
      </w:r>
      <w:r>
        <w:rPr>
          <w:rFonts w:ascii="Times New Roman" w:cs="Times New Roman" w:hAnsi="Times New Roman"/>
          <w:color w:val="000000"/>
          <w:sz w:val="24"/>
          <w:szCs w:val="24"/>
        </w:rPr>
        <w:t xml:space="preserve">a significant positive association with chronic health issues, with </w:t>
      </w:r>
      <w:r>
        <w:rPr>
          <w:rFonts w:ascii="Times New Roman" w:cs="Times New Roman" w:hAnsi="Times New Roman"/>
          <w:color w:val="000000"/>
          <w:sz w:val="24"/>
          <w:szCs w:val="24"/>
        </w:rPr>
        <w:t>each unit increase in job demands associated with 17.9% increased odds of developing chronic health conditions (OR = 1.18, 95% CI: 1.17-1.19, p &lt; 0.001). This finding confirms that higher physical workload contributes independently to chronic health risks.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Work control/autonomy showed a significant protective effect, with each unit increase in worker autonomy associated with 7.6% decreased odds of developing chronic health issues (OR = 0.92</w:t>
      </w:r>
      <w:r>
        <w:rPr>
          <w:rFonts w:ascii="Times New Roman" w:cs="Times New Roman" w:hAnsi="Times New Roman"/>
          <w:color w:val="000000"/>
          <w:sz w:val="24"/>
          <w:szCs w:val="24"/>
        </w:rPr>
        <w:t>, 95% CI: 0.92-0.93, p &lt; 0.001). This suggests that workers with greater decision-making authority and task control experience reduced health risks, possibly through better ability to manage work pace and methods.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Exposure frequency emerged as the strongest work-related predictor, with each unit increase in exposure frequency associated with 111.4% increased odds of developing chronic health issues (OR = 2.11, 95% CI: 2.10-2.13, p &lt; 0.001). This substantial effect size highlights the critical importance of </w:t>
      </w:r>
      <w:r>
        <w:rPr>
          <w:rFonts w:ascii="Times New Roman" w:cs="Times New Roman" w:hAnsi="Times New Roman"/>
          <w:color w:val="000000"/>
          <w:sz w:val="24"/>
          <w:szCs w:val="24"/>
        </w:rPr>
        <w:t xml:space="preserve">exposure frequency in determining health outcomes and </w:t>
      </w:r>
      <w:r>
        <w:rPr>
          <w:rFonts w:ascii="Times New Roman" w:cs="Times New Roman" w:hAnsi="Times New Roman"/>
          <w:color w:val="000000"/>
          <w:sz w:val="24"/>
          <w:szCs w:val="24"/>
        </w:rPr>
        <w:t>emphasises</w:t>
      </w:r>
      <w:r>
        <w:rPr>
          <w:rFonts w:ascii="Times New Roman" w:cs="Times New Roman" w:hAnsi="Times New Roman"/>
          <w:color w:val="000000"/>
          <w:sz w:val="24"/>
          <w:szCs w:val="24"/>
        </w:rPr>
        <w:t xml:space="preserve"> the need for interventions </w:t>
      </w:r>
      <w:r>
        <w:rPr>
          <w:rFonts w:ascii="Times New Roman" w:cs="Times New Roman" w:hAnsi="Times New Roman"/>
          <w:color w:val="000000"/>
          <w:sz w:val="24"/>
          <w:szCs w:val="24"/>
        </w:rPr>
        <w:t>to reduce</w:t>
      </w:r>
      <w:r>
        <w:rPr>
          <w:rFonts w:ascii="Times New Roman" w:cs="Times New Roman" w:hAnsi="Times New Roman"/>
          <w:color w:val="000000"/>
          <w:sz w:val="24"/>
          <w:szCs w:val="24"/>
        </w:rPr>
        <w:t xml:space="preserve"> exposure frequency.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The work-related factors model achieved 74.49% classification accuracy with three variables, demonstrating good predictive performance. Exposure frequency was identified as the most influential factor based on the magnitude of its odds ratio.</w:t>
      </w: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Table </w:t>
      </w:r>
      <w:r>
        <w:rPr>
          <w:rFonts w:ascii="Times New Roman" w:cs="Times New Roman" w:hAnsi="Times New Roman"/>
          <w:b/>
          <w:bCs/>
          <w:color w:val="000000"/>
          <w:sz w:val="24"/>
          <w:szCs w:val="24"/>
        </w:rPr>
        <w:t>2</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Logistic Regression Results for Work-Related Contributing Factors (N=350)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75"/>
        <w:gridCol w:w="1337"/>
        <w:gridCol w:w="1337"/>
        <w:gridCol w:w="1671"/>
        <w:gridCol w:w="1337"/>
        <w:gridCol w:w="1003"/>
      </w:tblGrid>
      <w:tr>
        <w:trPr/>
        <w:tc>
          <w:tcPr>
            <w:tcW w:w="2675"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rPr>
                <w:sz w:val="24"/>
                <w:szCs w:val="24"/>
              </w:rPr>
            </w:pPr>
            <w:r>
              <w:rPr>
                <w:rFonts w:ascii="Times New Roman" w:cs="Times New Roman" w:eastAsia="Times New Roman" w:hAnsi="Times New Roman"/>
                <w:b/>
                <w:bCs/>
                <w:sz w:val="24"/>
                <w:szCs w:val="24"/>
              </w:rPr>
              <w:t>Variable</w:t>
            </w:r>
          </w:p>
        </w:tc>
        <w:tc>
          <w:tcPr>
            <w:tcW w:w="1337"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jc w:val="center"/>
              <w:rPr>
                <w:sz w:val="24"/>
                <w:szCs w:val="24"/>
              </w:rPr>
            </w:pPr>
            <w:r>
              <w:rPr>
                <w:rFonts w:ascii="Times New Roman" w:cs="Times New Roman" w:eastAsia="Times New Roman" w:hAnsi="Times New Roman"/>
                <w:b/>
                <w:bCs/>
                <w:sz w:val="24"/>
                <w:szCs w:val="24"/>
              </w:rPr>
              <w:t>β</w:t>
            </w:r>
          </w:p>
        </w:tc>
        <w:tc>
          <w:tcPr>
            <w:tcW w:w="1337"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jc w:val="center"/>
              <w:rPr>
                <w:sz w:val="24"/>
                <w:szCs w:val="24"/>
              </w:rPr>
            </w:pPr>
            <w:r>
              <w:rPr>
                <w:rFonts w:ascii="Times New Roman" w:cs="Times New Roman" w:eastAsia="Times New Roman" w:hAnsi="Times New Roman"/>
                <w:b/>
                <w:bCs/>
                <w:sz w:val="24"/>
                <w:szCs w:val="24"/>
              </w:rPr>
              <w:t>OR</w:t>
            </w:r>
          </w:p>
        </w:tc>
        <w:tc>
          <w:tcPr>
            <w:tcW w:w="1671"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jc w:val="center"/>
              <w:rPr>
                <w:sz w:val="24"/>
                <w:szCs w:val="24"/>
              </w:rPr>
            </w:pPr>
            <w:r>
              <w:rPr>
                <w:rFonts w:ascii="Times New Roman" w:cs="Times New Roman" w:eastAsia="Times New Roman" w:hAnsi="Times New Roman"/>
                <w:b/>
                <w:bCs/>
                <w:sz w:val="24"/>
                <w:szCs w:val="24"/>
              </w:rPr>
              <w:t>95% CI</w:t>
            </w:r>
          </w:p>
        </w:tc>
        <w:tc>
          <w:tcPr>
            <w:tcW w:w="1337"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jc w:val="center"/>
              <w:rPr>
                <w:sz w:val="24"/>
                <w:szCs w:val="24"/>
              </w:rPr>
            </w:pPr>
            <w:r>
              <w:rPr>
                <w:rFonts w:ascii="Times New Roman" w:cs="Times New Roman" w:eastAsia="Times New Roman" w:hAnsi="Times New Roman"/>
                <w:b/>
                <w:bCs/>
                <w:sz w:val="24"/>
                <w:szCs w:val="24"/>
              </w:rPr>
              <w:t>p-value</w:t>
            </w:r>
          </w:p>
        </w:tc>
        <w:tc>
          <w:tcPr>
            <w:tcW w:w="1003"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jc w:val="center"/>
              <w:rPr>
                <w:sz w:val="24"/>
                <w:szCs w:val="24"/>
              </w:rPr>
            </w:pPr>
            <w:r>
              <w:rPr>
                <w:rFonts w:ascii="Times New Roman" w:cs="Times New Roman" w:eastAsia="Times New Roman" w:hAnsi="Times New Roman"/>
                <w:b/>
                <w:bCs/>
                <w:sz w:val="24"/>
                <w:szCs w:val="24"/>
              </w:rPr>
              <w:t>Sig.</w:t>
            </w:r>
          </w:p>
        </w:tc>
      </w:tr>
      <w:tr>
        <w:tblPrEx/>
        <w:trPr/>
        <w:tc>
          <w:tcPr>
            <w:tcW w:w="267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rPr>
                <w:sz w:val="24"/>
                <w:szCs w:val="24"/>
              </w:rPr>
            </w:pPr>
            <w:r>
              <w:rPr>
                <w:rFonts w:ascii="Times New Roman" w:cs="Times New Roman" w:eastAsia="Times New Roman" w:hAnsi="Times New Roman"/>
                <w:sz w:val="24"/>
                <w:szCs w:val="24"/>
              </w:rPr>
              <w:t>Physical Job Demands</w:t>
            </w:r>
          </w:p>
        </w:tc>
        <w:tc>
          <w:tcPr>
            <w:tcW w:w="1337"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jc w:val="center"/>
              <w:rPr>
                <w:sz w:val="24"/>
                <w:szCs w:val="24"/>
              </w:rPr>
            </w:pPr>
            <w:r>
              <w:rPr>
                <w:rFonts w:ascii="Times New Roman" w:cs="Times New Roman" w:eastAsia="Times New Roman" w:hAnsi="Times New Roman"/>
                <w:sz w:val="24"/>
                <w:szCs w:val="24"/>
              </w:rPr>
              <w:t>0.164</w:t>
            </w:r>
          </w:p>
        </w:tc>
        <w:tc>
          <w:tcPr>
            <w:tcW w:w="1337"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jc w:val="center"/>
              <w:rPr>
                <w:sz w:val="24"/>
                <w:szCs w:val="24"/>
              </w:rPr>
            </w:pPr>
            <w:r>
              <w:rPr>
                <w:rFonts w:ascii="Times New Roman" w:cs="Times New Roman" w:eastAsia="Times New Roman" w:hAnsi="Times New Roman"/>
                <w:sz w:val="24"/>
                <w:szCs w:val="24"/>
              </w:rPr>
              <w:t>1.179</w:t>
            </w:r>
          </w:p>
        </w:tc>
        <w:tc>
          <w:tcPr>
            <w:tcW w:w="1671"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jc w:val="center"/>
              <w:rPr>
                <w:sz w:val="24"/>
                <w:szCs w:val="24"/>
              </w:rPr>
            </w:pPr>
            <w:r>
              <w:rPr>
                <w:rFonts w:ascii="Times New Roman" w:cs="Times New Roman" w:eastAsia="Times New Roman" w:hAnsi="Times New Roman"/>
                <w:sz w:val="24"/>
                <w:szCs w:val="24"/>
              </w:rPr>
              <w:t>[1.172, 1.185]</w:t>
            </w:r>
          </w:p>
        </w:tc>
        <w:tc>
          <w:tcPr>
            <w:tcW w:w="1337"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jc w:val="center"/>
              <w:rPr>
                <w:sz w:val="24"/>
                <w:szCs w:val="24"/>
              </w:rPr>
            </w:pPr>
            <w:r>
              <w:rPr>
                <w:rFonts w:ascii="Times New Roman" w:cs="Times New Roman" w:eastAsia="Times New Roman" w:hAnsi="Times New Roman"/>
                <w:sz w:val="24"/>
                <w:szCs w:val="24"/>
              </w:rPr>
              <w:t>&lt;.001</w:t>
            </w:r>
          </w:p>
        </w:tc>
        <w:tc>
          <w:tcPr>
            <w:tcW w:w="1003"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jc w:val="center"/>
              <w:rPr>
                <w:sz w:val="24"/>
                <w:szCs w:val="24"/>
              </w:rPr>
            </w:pPr>
            <w:r>
              <w:rPr>
                <w:rFonts w:ascii="Times New Roman" w:cs="Times New Roman" w:eastAsia="Times New Roman" w:hAnsi="Times New Roman"/>
                <w:sz w:val="24"/>
                <w:szCs w:val="24"/>
              </w:rPr>
              <w:t>***</w:t>
            </w:r>
          </w:p>
        </w:tc>
      </w:tr>
      <w:tr>
        <w:tblPrEx/>
        <w:trPr/>
        <w:tc>
          <w:tcPr>
            <w:tcW w:w="267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rPr>
                <w:sz w:val="24"/>
                <w:szCs w:val="24"/>
              </w:rPr>
            </w:pPr>
            <w:r>
              <w:rPr>
                <w:rFonts w:ascii="Times New Roman" w:cs="Times New Roman" w:eastAsia="Times New Roman" w:hAnsi="Times New Roman"/>
                <w:sz w:val="24"/>
                <w:szCs w:val="24"/>
              </w:rPr>
              <w:t>Work Control/Autonomy</w:t>
            </w:r>
          </w:p>
        </w:tc>
        <w:tc>
          <w:tcPr>
            <w:tcW w:w="1337"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jc w:val="center"/>
              <w:rPr>
                <w:sz w:val="24"/>
                <w:szCs w:val="24"/>
              </w:rPr>
            </w:pPr>
            <w:r>
              <w:rPr>
                <w:rFonts w:ascii="Times New Roman" w:cs="Times New Roman" w:eastAsia="Times New Roman" w:hAnsi="Times New Roman"/>
                <w:sz w:val="24"/>
                <w:szCs w:val="24"/>
              </w:rPr>
              <w:t>-0.079</w:t>
            </w:r>
          </w:p>
        </w:tc>
        <w:tc>
          <w:tcPr>
            <w:tcW w:w="1337"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jc w:val="center"/>
              <w:rPr>
                <w:sz w:val="24"/>
                <w:szCs w:val="24"/>
              </w:rPr>
            </w:pPr>
            <w:r>
              <w:rPr>
                <w:rFonts w:ascii="Times New Roman" w:cs="Times New Roman" w:eastAsia="Times New Roman" w:hAnsi="Times New Roman"/>
                <w:sz w:val="24"/>
                <w:szCs w:val="24"/>
              </w:rPr>
              <w:t>0.924</w:t>
            </w:r>
          </w:p>
        </w:tc>
        <w:tc>
          <w:tcPr>
            <w:tcW w:w="1671"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jc w:val="center"/>
              <w:rPr>
                <w:sz w:val="24"/>
                <w:szCs w:val="24"/>
              </w:rPr>
            </w:pPr>
            <w:r>
              <w:rPr>
                <w:rFonts w:ascii="Times New Roman" w:cs="Times New Roman" w:eastAsia="Times New Roman" w:hAnsi="Times New Roman"/>
                <w:sz w:val="24"/>
                <w:szCs w:val="24"/>
              </w:rPr>
              <w:t>[0.920, 0.929]</w:t>
            </w:r>
          </w:p>
        </w:tc>
        <w:tc>
          <w:tcPr>
            <w:tcW w:w="1337"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jc w:val="center"/>
              <w:rPr>
                <w:sz w:val="24"/>
                <w:szCs w:val="24"/>
              </w:rPr>
            </w:pPr>
            <w:r>
              <w:rPr>
                <w:rFonts w:ascii="Times New Roman" w:cs="Times New Roman" w:eastAsia="Times New Roman" w:hAnsi="Times New Roman"/>
                <w:sz w:val="24"/>
                <w:szCs w:val="24"/>
              </w:rPr>
              <w:t>&lt;.001</w:t>
            </w:r>
          </w:p>
        </w:tc>
        <w:tc>
          <w:tcPr>
            <w:tcW w:w="1003"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jc w:val="center"/>
              <w:rPr>
                <w:sz w:val="24"/>
                <w:szCs w:val="24"/>
              </w:rPr>
            </w:pPr>
            <w:r>
              <w:rPr>
                <w:rFonts w:ascii="Times New Roman" w:cs="Times New Roman" w:eastAsia="Times New Roman" w:hAnsi="Times New Roman"/>
                <w:sz w:val="24"/>
                <w:szCs w:val="24"/>
              </w:rPr>
              <w:t>***</w:t>
            </w:r>
          </w:p>
        </w:tc>
      </w:tr>
      <w:tr>
        <w:tblPrEx/>
        <w:trPr/>
        <w:tc>
          <w:tcPr>
            <w:tcW w:w="2675"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rPr>
                <w:sz w:val="24"/>
                <w:szCs w:val="24"/>
              </w:rPr>
            </w:pPr>
            <w:r>
              <w:rPr>
                <w:rFonts w:ascii="Times New Roman" w:cs="Times New Roman" w:eastAsia="Times New Roman" w:hAnsi="Times New Roman"/>
                <w:sz w:val="24"/>
                <w:szCs w:val="24"/>
              </w:rPr>
              <w:t>Exposure Frequency</w:t>
            </w:r>
          </w:p>
        </w:tc>
        <w:tc>
          <w:tcPr>
            <w:tcW w:w="1337"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jc w:val="center"/>
              <w:rPr>
                <w:sz w:val="24"/>
                <w:szCs w:val="24"/>
              </w:rPr>
            </w:pPr>
            <w:r>
              <w:rPr>
                <w:rFonts w:ascii="Times New Roman" w:cs="Times New Roman" w:eastAsia="Times New Roman" w:hAnsi="Times New Roman"/>
                <w:sz w:val="24"/>
                <w:szCs w:val="24"/>
              </w:rPr>
              <w:t>0.749</w:t>
            </w:r>
          </w:p>
        </w:tc>
        <w:tc>
          <w:tcPr>
            <w:tcW w:w="1337"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jc w:val="center"/>
              <w:rPr>
                <w:sz w:val="24"/>
                <w:szCs w:val="24"/>
              </w:rPr>
            </w:pPr>
            <w:r>
              <w:rPr>
                <w:rFonts w:ascii="Times New Roman" w:cs="Times New Roman" w:eastAsia="Times New Roman" w:hAnsi="Times New Roman"/>
                <w:sz w:val="24"/>
                <w:szCs w:val="24"/>
              </w:rPr>
              <w:t>2.114</w:t>
            </w:r>
          </w:p>
        </w:tc>
        <w:tc>
          <w:tcPr>
            <w:tcW w:w="1671"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jc w:val="center"/>
              <w:rPr>
                <w:sz w:val="24"/>
                <w:szCs w:val="24"/>
              </w:rPr>
            </w:pPr>
            <w:r>
              <w:rPr>
                <w:rFonts w:ascii="Times New Roman" w:cs="Times New Roman" w:eastAsia="Times New Roman" w:hAnsi="Times New Roman"/>
                <w:sz w:val="24"/>
                <w:szCs w:val="24"/>
              </w:rPr>
              <w:t>[2.102, 2.127]</w:t>
            </w:r>
          </w:p>
        </w:tc>
        <w:tc>
          <w:tcPr>
            <w:tcW w:w="1337"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jc w:val="center"/>
              <w:rPr>
                <w:sz w:val="24"/>
                <w:szCs w:val="24"/>
              </w:rPr>
            </w:pPr>
            <w:r>
              <w:rPr>
                <w:rFonts w:ascii="Times New Roman" w:cs="Times New Roman" w:eastAsia="Times New Roman" w:hAnsi="Times New Roman"/>
                <w:sz w:val="24"/>
                <w:szCs w:val="24"/>
              </w:rPr>
              <w:t>&lt;.001</w:t>
            </w:r>
          </w:p>
        </w:tc>
        <w:tc>
          <w:tcPr>
            <w:tcW w:w="1003"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jc w:val="center"/>
              <w:rPr>
                <w:sz w:val="24"/>
                <w:szCs w:val="24"/>
              </w:rPr>
            </w:pPr>
            <w:r>
              <w:rPr>
                <w:rFonts w:ascii="Times New Roman" w:cs="Times New Roman" w:eastAsia="Times New Roman" w:hAnsi="Times New Roman"/>
                <w:sz w:val="24"/>
                <w:szCs w:val="24"/>
              </w:rPr>
              <w:t>***</w:t>
            </w:r>
          </w:p>
        </w:tc>
      </w:tr>
    </w:tbl>
    <w:p>
      <w:pPr>
        <w:pStyle w:val="style0"/>
        <w:widowControl w:val="false"/>
        <w:pBdr>
          <w:left w:val="nil"/>
          <w:right w:val="nil"/>
          <w:top w:val="nil"/>
          <w:bottom w:val="nil"/>
          <w:between w:val="nil"/>
        </w:pBdr>
        <w:spacing w:lineRule="auto" w:line="240"/>
        <w:jc w:val="both"/>
        <w:rPr>
          <w:rFonts w:ascii="Times New Roman" w:cs="Times New Roman" w:hAnsi="Times New Roman"/>
          <w:i/>
          <w:iCs/>
          <w:color w:val="000000"/>
        </w:rPr>
      </w:pPr>
      <w:r>
        <w:rPr>
          <w:rFonts w:ascii="Times New Roman" w:cs="Times New Roman" w:hAnsi="Times New Roman"/>
          <w:i/>
          <w:iCs/>
          <w:color w:val="000000"/>
        </w:rPr>
        <w:t>Note. β = unstandardized coefficient; OR = odds ratio; CI = confidence interval; Sig. = significance level. ***p &lt; .001. Interpretation: Physical Job Demands increases risk by 17.9% per unit increase; Work Control/Autonomy decreases risk by 7.6% per unit increase; Exposure Frequency increases risk by 111.4% per unit increase.</w:t>
      </w:r>
    </w:p>
    <w:p>
      <w:pPr>
        <w:pStyle w:val="style0"/>
        <w:widowControl w:val="false"/>
        <w:pBdr>
          <w:left w:val="nil"/>
          <w:right w:val="nil"/>
          <w:top w:val="nil"/>
          <w:bottom w:val="nil"/>
          <w:between w:val="nil"/>
        </w:pBdr>
        <w:spacing w:lineRule="auto" w:line="240"/>
        <w:jc w:val="both"/>
        <w:rPr>
          <w:rFonts w:ascii="Times New Roman" w:cs="Times New Roman" w:hAnsi="Times New Roman"/>
          <w:b/>
          <w:bCs/>
          <w:color w:val="000000"/>
          <w:sz w:val="24"/>
          <w:szCs w:val="24"/>
        </w:rPr>
      </w:pPr>
    </w:p>
    <w:p>
      <w:pPr>
        <w:pStyle w:val="style0"/>
        <w:widowControl w:val="false"/>
        <w:pBdr>
          <w:left w:val="nil"/>
          <w:right w:val="nil"/>
          <w:top w:val="nil"/>
          <w:bottom w:val="nil"/>
          <w:between w:val="nil"/>
        </w:pBdr>
        <w:spacing w:lineRule="auto" w:line="240"/>
        <w:jc w:val="both"/>
        <w:rPr>
          <w:rFonts w:ascii="Times New Roman" w:cs="Times New Roman" w:hAnsi="Times New Roman"/>
          <w:i/>
          <w:iCs/>
          <w:color w:val="000000"/>
        </w:rPr>
      </w:pPr>
      <w:r>
        <w:rPr>
          <w:rFonts w:ascii="Times New Roman" w:cs="Times New Roman" w:hAnsi="Times New Roman"/>
          <w:b/>
          <w:bCs/>
          <w:color w:val="000000"/>
          <w:sz w:val="24"/>
          <w:szCs w:val="24"/>
        </w:rPr>
        <w:t xml:space="preserve">3.2 </w:t>
      </w:r>
      <w:r>
        <w:rPr>
          <w:rFonts w:ascii="Times New Roman" w:cs="Times New Roman" w:hAnsi="Times New Roman"/>
          <w:b/>
          <w:bCs/>
          <w:color w:val="000000"/>
          <w:sz w:val="24"/>
          <w:szCs w:val="24"/>
        </w:rPr>
        <w:t>Organisational</w:t>
      </w:r>
      <w:r>
        <w:rPr>
          <w:rFonts w:ascii="Times New Roman" w:cs="Times New Roman" w:hAnsi="Times New Roman"/>
          <w:b/>
          <w:bCs/>
          <w:color w:val="000000"/>
          <w:sz w:val="24"/>
          <w:szCs w:val="24"/>
        </w:rPr>
        <w:t xml:space="preserve"> Contributing Factors</w:t>
      </w: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results of </w:t>
      </w:r>
      <w:r>
        <w:rPr>
          <w:rFonts w:ascii="Times New Roman" w:cs="Times New Roman" w:hAnsi="Times New Roman"/>
          <w:color w:val="000000"/>
          <w:sz w:val="24"/>
          <w:szCs w:val="24"/>
        </w:rPr>
        <w:t xml:space="preserve">the </w:t>
      </w:r>
      <w:r>
        <w:rPr>
          <w:rFonts w:ascii="Times New Roman" w:cs="Times New Roman" w:hAnsi="Times New Roman"/>
          <w:color w:val="000000"/>
          <w:sz w:val="24"/>
          <w:szCs w:val="24"/>
        </w:rPr>
        <w:t xml:space="preserve">logistic regression of </w:t>
      </w:r>
      <w:r>
        <w:rPr>
          <w:rFonts w:ascii="Times New Roman" w:cs="Times New Roman" w:hAnsi="Times New Roman"/>
          <w:color w:val="000000"/>
          <w:sz w:val="24"/>
          <w:szCs w:val="24"/>
        </w:rPr>
        <w:t>organisational</w:t>
      </w:r>
      <w:r>
        <w:rPr>
          <w:rFonts w:ascii="Times New Roman" w:cs="Times New Roman" w:hAnsi="Times New Roman"/>
          <w:color w:val="000000"/>
          <w:sz w:val="24"/>
          <w:szCs w:val="24"/>
        </w:rPr>
        <w:t xml:space="preserve"> factors are given in Table </w:t>
      </w:r>
      <w:r>
        <w:rPr>
          <w:rFonts w:ascii="Times New Roman" w:cs="Times New Roman" w:hAnsi="Times New Roman"/>
          <w:color w:val="000000"/>
          <w:sz w:val="24"/>
          <w:szCs w:val="24"/>
        </w:rPr>
        <w:t>3</w:t>
      </w:r>
      <w:r>
        <w:rPr>
          <w:rFonts w:ascii="Times New Roman" w:cs="Times New Roman" w:hAnsi="Times New Roman"/>
          <w:color w:val="000000"/>
          <w:sz w:val="24"/>
          <w:szCs w:val="24"/>
        </w:rPr>
        <w:t xml:space="preserve">. Three </w:t>
      </w:r>
      <w:r>
        <w:rPr>
          <w:rFonts w:ascii="Times New Roman" w:cs="Times New Roman" w:hAnsi="Times New Roman"/>
          <w:color w:val="000000"/>
          <w:sz w:val="24"/>
          <w:szCs w:val="24"/>
        </w:rPr>
        <w:t xml:space="preserve">predictor </w:t>
      </w:r>
      <w:r>
        <w:rPr>
          <w:rFonts w:ascii="Times New Roman" w:cs="Times New Roman" w:hAnsi="Times New Roman"/>
          <w:color w:val="000000"/>
          <w:sz w:val="24"/>
          <w:szCs w:val="24"/>
        </w:rPr>
        <w:t xml:space="preserve">variables of the </w:t>
      </w:r>
      <w:r>
        <w:rPr>
          <w:rFonts w:ascii="Times New Roman" w:cs="Times New Roman" w:hAnsi="Times New Roman"/>
          <w:color w:val="000000"/>
          <w:sz w:val="24"/>
          <w:szCs w:val="24"/>
        </w:rPr>
        <w:t>organisation</w:t>
      </w:r>
      <w:r>
        <w:rPr>
          <w:rFonts w:ascii="Times New Roman" w:cs="Times New Roman" w:hAnsi="Times New Roman"/>
          <w:color w:val="000000"/>
          <w:sz w:val="24"/>
          <w:szCs w:val="24"/>
        </w:rPr>
        <w:t xml:space="preserve"> were measured</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namely</w:t>
      </w:r>
      <w:r>
        <w:rPr>
          <w:rFonts w:ascii="Times New Roman" w:cs="Times New Roman" w:hAnsi="Times New Roman"/>
          <w:color w:val="000000"/>
          <w:sz w:val="24"/>
          <w:szCs w:val="24"/>
        </w:rPr>
        <w:t xml:space="preserve"> supervisor support, </w:t>
      </w:r>
      <w:r>
        <w:rPr>
          <w:rFonts w:ascii="Times New Roman" w:cs="Times New Roman" w:hAnsi="Times New Roman"/>
          <w:color w:val="000000"/>
          <w:sz w:val="24"/>
          <w:szCs w:val="24"/>
        </w:rPr>
        <w:t>organisational</w:t>
      </w:r>
      <w:r>
        <w:rPr>
          <w:rFonts w:ascii="Times New Roman" w:cs="Times New Roman" w:hAnsi="Times New Roman"/>
          <w:color w:val="000000"/>
          <w:sz w:val="24"/>
          <w:szCs w:val="24"/>
        </w:rPr>
        <w:t xml:space="preserve"> stress </w:t>
      </w:r>
      <w:r>
        <w:rPr>
          <w:rFonts w:ascii="Times New Roman" w:cs="Times New Roman" w:hAnsi="Times New Roman"/>
          <w:color w:val="000000"/>
          <w:sz w:val="24"/>
          <w:szCs w:val="24"/>
        </w:rPr>
        <w:t xml:space="preserve">support, and the frequency of using PPE. Supervisor support showed a strong protective factor </w:t>
      </w:r>
      <w:r>
        <w:rPr>
          <w:rFonts w:ascii="Times New Roman" w:cs="Times New Roman" w:hAnsi="Times New Roman"/>
          <w:color w:val="000000"/>
          <w:sz w:val="24"/>
          <w:szCs w:val="24"/>
        </w:rPr>
        <w:t>as</w:t>
      </w:r>
      <w:r>
        <w:rPr>
          <w:rFonts w:ascii="Times New Roman" w:cs="Times New Roman" w:hAnsi="Times New Roman"/>
          <w:color w:val="000000"/>
          <w:sz w:val="24"/>
          <w:szCs w:val="24"/>
        </w:rPr>
        <w:t xml:space="preserve"> one unit increase in supervisor support </w:t>
      </w:r>
      <w:r>
        <w:rPr>
          <w:rFonts w:ascii="Times New Roman" w:cs="Times New Roman" w:hAnsi="Times New Roman"/>
          <w:color w:val="000000"/>
          <w:sz w:val="24"/>
          <w:szCs w:val="24"/>
        </w:rPr>
        <w:t xml:space="preserve">resulted in </w:t>
      </w:r>
      <w:r>
        <w:rPr>
          <w:rFonts w:ascii="Times New Roman" w:cs="Times New Roman" w:hAnsi="Times New Roman"/>
          <w:color w:val="000000"/>
          <w:sz w:val="24"/>
          <w:szCs w:val="24"/>
        </w:rPr>
        <w:t xml:space="preserve">a reduction in the </w:t>
      </w:r>
      <w:r>
        <w:rPr>
          <w:rFonts w:ascii="Times New Roman" w:cs="Times New Roman" w:hAnsi="Times New Roman"/>
          <w:color w:val="000000"/>
          <w:sz w:val="24"/>
          <w:szCs w:val="24"/>
        </w:rPr>
        <w:t>odds of developing chronic health problems by 38.2</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(OR = 0.62, 95% CI: 0.61-0.62, p &lt; 0.001). This result may indicate that supportive supervision contributes to reducing the health risk potentially by increasing safety implementation, responding to hazard control </w:t>
      </w:r>
      <w:r>
        <w:rPr>
          <w:rFonts w:ascii="Times New Roman" w:cs="Times New Roman" w:hAnsi="Times New Roman"/>
          <w:color w:val="000000"/>
          <w:sz w:val="24"/>
          <w:szCs w:val="24"/>
        </w:rPr>
        <w:t>promptly</w:t>
      </w:r>
      <w:r>
        <w:rPr>
          <w:rFonts w:ascii="Times New Roman" w:cs="Times New Roman" w:hAnsi="Times New Roman"/>
          <w:color w:val="000000"/>
          <w:sz w:val="24"/>
          <w:szCs w:val="24"/>
        </w:rPr>
        <w:t xml:space="preserve">, providing resources and assistance, and increasing worker morale and psychological health. The protective effect of </w:t>
      </w:r>
      <w:r>
        <w:rPr>
          <w:rFonts w:ascii="Times New Roman" w:cs="Times New Roman" w:hAnsi="Times New Roman"/>
          <w:color w:val="000000"/>
          <w:sz w:val="24"/>
          <w:szCs w:val="24"/>
        </w:rPr>
        <w:t>organisational</w:t>
      </w:r>
      <w:r>
        <w:rPr>
          <w:rFonts w:ascii="Times New Roman" w:cs="Times New Roman" w:hAnsi="Times New Roman"/>
          <w:color w:val="000000"/>
          <w:sz w:val="24"/>
          <w:szCs w:val="24"/>
        </w:rPr>
        <w:t xml:space="preserve"> stress support was even greater, with every </w:t>
      </w:r>
      <w:r>
        <w:rPr>
          <w:rFonts w:ascii="Times New Roman" w:cs="Times New Roman" w:hAnsi="Times New Roman"/>
          <w:color w:val="000000"/>
          <w:sz w:val="24"/>
          <w:szCs w:val="24"/>
        </w:rPr>
        <w:t>one-unit</w:t>
      </w:r>
      <w:r>
        <w:rPr>
          <w:rFonts w:ascii="Times New Roman" w:cs="Times New Roman" w:hAnsi="Times New Roman"/>
          <w:color w:val="000000"/>
          <w:sz w:val="24"/>
          <w:szCs w:val="24"/>
        </w:rPr>
        <w:t xml:space="preserve"> increment of </w:t>
      </w:r>
      <w:r>
        <w:rPr>
          <w:rFonts w:ascii="Times New Roman" w:cs="Times New Roman" w:hAnsi="Times New Roman"/>
          <w:color w:val="000000"/>
          <w:sz w:val="24"/>
          <w:szCs w:val="24"/>
        </w:rPr>
        <w:t>organisational</w:t>
      </w:r>
      <w:r>
        <w:rPr>
          <w:rFonts w:ascii="Times New Roman" w:cs="Times New Roman" w:hAnsi="Times New Roman"/>
          <w:color w:val="000000"/>
          <w:sz w:val="24"/>
          <w:szCs w:val="24"/>
        </w:rPr>
        <w:t xml:space="preserve"> support in coping with work-related stress being linked with 49.4% reduced odds of acquiring chronic health problems </w:t>
      </w:r>
      <w:r>
        <w:rPr>
          <w:rFonts w:ascii="Times New Roman" w:cs="Times New Roman" w:hAnsi="Times New Roman"/>
          <w:color w:val="000000"/>
          <w:sz w:val="24"/>
          <w:szCs w:val="24"/>
        </w:rPr>
        <w:t>(OR</w:t>
      </w:r>
      <w:r>
        <w:rPr>
          <w:rFonts w:ascii="Times New Roman" w:cs="Times New Roman" w:hAnsi="Times New Roman"/>
          <w:color w:val="000000"/>
          <w:sz w:val="24"/>
          <w:szCs w:val="24"/>
        </w:rPr>
        <w:t xml:space="preserve"> = 0.51, 95% CI: 0.50-0.51, p &lt; 0.001). This high level of protective effect outlines the paramount role that institutional mechanisms play in managing workplace stress in alleviating chronic health effects. Companies that offer stress management programs, </w:t>
      </w:r>
      <w:r>
        <w:rPr>
          <w:rFonts w:ascii="Times New Roman" w:cs="Times New Roman" w:hAnsi="Times New Roman"/>
          <w:color w:val="000000"/>
          <w:sz w:val="24"/>
          <w:szCs w:val="24"/>
        </w:rPr>
        <w:t>counselling</w:t>
      </w:r>
      <w:r>
        <w:rPr>
          <w:rFonts w:ascii="Times New Roman" w:cs="Times New Roman" w:hAnsi="Times New Roman"/>
          <w:color w:val="000000"/>
          <w:sz w:val="24"/>
          <w:szCs w:val="24"/>
        </w:rPr>
        <w:t xml:space="preserve"> services, effective workloads management, and amiable working conditions seem to offer substantial safeguards to the wellbeing of workers. The frequency of use of PPE exhibited an inverse positive relationship with chronic health problems where the frequency of use of PPE in 1 unit was linked to 42.1% increment in the probability of a health problem development (OR = 1.42, 95% CI: 1.41-1.43, p &lt; 0.001). This is a surprising result, but it could be the reality of reverse causality, in which employees who are more inclined to believe that they are at higher risk of health or who have already contracted health problems wear PPE more often. Alternatively, it can also point towards the fact that the use of PPE will not work to prevent chronic health issues by itself, and the use of PPE without other measures to ensure that hazards are controlled, or that the workers in the professions where the wearing of PPE is a regular topic are by virtue more frequently exposed. Using three variables, the organizational factors model classified 69.05%. The strongest factor was found to be organizational stress support in terms of the magnitude of odds ratio, which means that </w:t>
      </w:r>
      <w:r>
        <w:rPr>
          <w:rFonts w:ascii="Times New Roman" w:cs="Times New Roman" w:hAnsi="Times New Roman"/>
          <w:color w:val="000000"/>
          <w:sz w:val="24"/>
          <w:szCs w:val="24"/>
        </w:rPr>
        <w:t>it is extremely important to health protection.</w:t>
      </w: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Table </w:t>
      </w:r>
      <w:r>
        <w:rPr>
          <w:rFonts w:ascii="Times New Roman" w:cs="Times New Roman" w:hAnsi="Times New Roman"/>
          <w:b/>
          <w:bCs/>
          <w:color w:val="000000"/>
          <w:sz w:val="24"/>
          <w:szCs w:val="24"/>
        </w:rPr>
        <w:t>3</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Logistic Regression Results for Organizational Contributing Factors (N=350)</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1349"/>
        <w:gridCol w:w="1349"/>
        <w:gridCol w:w="1687"/>
        <w:gridCol w:w="1349"/>
        <w:gridCol w:w="1012"/>
      </w:tblGrid>
      <w:tr>
        <w:trPr>
          <w:trHeight w:val="256" w:hRule="atLeast"/>
        </w:trPr>
        <w:tc>
          <w:tcPr>
            <w:tcW w:w="27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rPr>
                <w:sz w:val="24"/>
                <w:szCs w:val="24"/>
              </w:rPr>
            </w:pPr>
            <w:r>
              <w:rPr>
                <w:rFonts w:ascii="Times New Roman" w:cs="Times New Roman" w:eastAsia="Times New Roman" w:hAnsi="Times New Roman"/>
                <w:b/>
                <w:bCs/>
                <w:sz w:val="24"/>
                <w:szCs w:val="24"/>
              </w:rPr>
              <w:t>Variable</w:t>
            </w:r>
          </w:p>
        </w:tc>
        <w:tc>
          <w:tcPr>
            <w:tcW w:w="1349"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b/>
                <w:bCs/>
                <w:sz w:val="24"/>
                <w:szCs w:val="24"/>
              </w:rPr>
              <w:t>β</w:t>
            </w:r>
          </w:p>
        </w:tc>
        <w:tc>
          <w:tcPr>
            <w:tcW w:w="1349"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b/>
                <w:bCs/>
                <w:sz w:val="24"/>
                <w:szCs w:val="24"/>
              </w:rPr>
              <w:t>OR</w:t>
            </w:r>
          </w:p>
        </w:tc>
        <w:tc>
          <w:tcPr>
            <w:tcW w:w="1687"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b/>
                <w:bCs/>
                <w:sz w:val="24"/>
                <w:szCs w:val="24"/>
              </w:rPr>
              <w:t>95% CI</w:t>
            </w:r>
          </w:p>
        </w:tc>
        <w:tc>
          <w:tcPr>
            <w:tcW w:w="1349"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b/>
                <w:bCs/>
                <w:sz w:val="24"/>
                <w:szCs w:val="24"/>
              </w:rPr>
              <w:t>p-value</w:t>
            </w:r>
          </w:p>
        </w:tc>
        <w:tc>
          <w:tcPr>
            <w:tcW w:w="1012"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b/>
                <w:bCs/>
                <w:sz w:val="24"/>
                <w:szCs w:val="24"/>
              </w:rPr>
              <w:t>Sig.</w:t>
            </w:r>
          </w:p>
        </w:tc>
      </w:tr>
      <w:tr>
        <w:tblPrEx/>
        <w:trPr>
          <w:trHeight w:val="256" w:hRule="atLeast"/>
        </w:trPr>
        <w:tc>
          <w:tcPr>
            <w:tcW w:w="2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rPr>
                <w:sz w:val="24"/>
                <w:szCs w:val="24"/>
              </w:rPr>
            </w:pPr>
            <w:r>
              <w:rPr>
                <w:rFonts w:ascii="Times New Roman" w:cs="Times New Roman" w:eastAsia="Times New Roman" w:hAnsi="Times New Roman"/>
                <w:sz w:val="24"/>
                <w:szCs w:val="24"/>
              </w:rPr>
              <w:t>Supervisor Support</w:t>
            </w:r>
          </w:p>
        </w:tc>
        <w:tc>
          <w:tcPr>
            <w:tcW w:w="1349"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-0.482</w:t>
            </w:r>
          </w:p>
        </w:tc>
        <w:tc>
          <w:tcPr>
            <w:tcW w:w="1349"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0.618</w:t>
            </w:r>
          </w:p>
        </w:tc>
        <w:tc>
          <w:tcPr>
            <w:tcW w:w="1687"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[0.611, 0.624]</w:t>
            </w:r>
          </w:p>
        </w:tc>
        <w:tc>
          <w:tcPr>
            <w:tcW w:w="1349"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&lt;.001</w:t>
            </w:r>
          </w:p>
        </w:tc>
        <w:tc>
          <w:tcPr>
            <w:tcW w:w="101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w:t>
            </w:r>
          </w:p>
        </w:tc>
      </w:tr>
      <w:tr>
        <w:tblPrEx/>
        <w:trPr>
          <w:trHeight w:val="502" w:hRule="atLeast"/>
        </w:trPr>
        <w:tc>
          <w:tcPr>
            <w:tcW w:w="2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rPr>
                <w:sz w:val="24"/>
                <w:szCs w:val="24"/>
              </w:rPr>
            </w:pPr>
            <w:r>
              <w:rPr>
                <w:rFonts w:ascii="Times New Roman" w:cs="Times New Roman" w:eastAsia="Times New Roman" w:hAnsi="Times New Roman"/>
                <w:sz w:val="24"/>
                <w:szCs w:val="24"/>
              </w:rPr>
              <w:t>Organisational Stress Support</w:t>
            </w:r>
          </w:p>
        </w:tc>
        <w:tc>
          <w:tcPr>
            <w:tcW w:w="1349"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-0.681</w:t>
            </w:r>
          </w:p>
        </w:tc>
        <w:tc>
          <w:tcPr>
            <w:tcW w:w="1349"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0.506</w:t>
            </w:r>
          </w:p>
        </w:tc>
        <w:tc>
          <w:tcPr>
            <w:tcW w:w="1687"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[0.503, 0.509]</w:t>
            </w:r>
          </w:p>
        </w:tc>
        <w:tc>
          <w:tcPr>
            <w:tcW w:w="1349"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&lt;.001</w:t>
            </w:r>
          </w:p>
        </w:tc>
        <w:tc>
          <w:tcPr>
            <w:tcW w:w="101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w:t>
            </w:r>
          </w:p>
        </w:tc>
      </w:tr>
      <w:tr>
        <w:tblPrEx/>
        <w:trPr>
          <w:trHeight w:val="245" w:hRule="atLeast"/>
        </w:trPr>
        <w:tc>
          <w:tcPr>
            <w:tcW w:w="270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rPr>
                <w:sz w:val="24"/>
                <w:szCs w:val="24"/>
              </w:rPr>
            </w:pPr>
            <w:r>
              <w:rPr>
                <w:rFonts w:ascii="Times New Roman" w:cs="Times New Roman" w:eastAsia="Times New Roman" w:hAnsi="Times New Roman"/>
                <w:sz w:val="24"/>
                <w:szCs w:val="24"/>
              </w:rPr>
              <w:t>PPE Usage Frequency</w:t>
            </w:r>
          </w:p>
        </w:tc>
        <w:tc>
          <w:tcPr>
            <w:tcW w:w="1349"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0.351</w:t>
            </w:r>
          </w:p>
        </w:tc>
        <w:tc>
          <w:tcPr>
            <w:tcW w:w="1349"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1.421</w:t>
            </w:r>
          </w:p>
        </w:tc>
        <w:tc>
          <w:tcPr>
            <w:tcW w:w="1687"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[1.410, 1.432]</w:t>
            </w:r>
          </w:p>
        </w:tc>
        <w:tc>
          <w:tcPr>
            <w:tcW w:w="1349"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&lt;.001</w:t>
            </w:r>
          </w:p>
        </w:tc>
        <w:tc>
          <w:tcPr>
            <w:tcW w:w="1012"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w:t>
            </w:r>
          </w:p>
        </w:tc>
      </w:tr>
    </w:tbl>
    <w:p>
      <w:pPr>
        <w:pStyle w:val="style0"/>
        <w:spacing w:before="120" w:after="480" w:lineRule="auto" w:line="240"/>
        <w:jc w:val="both"/>
        <w:rPr>
          <w:rFonts w:ascii="Times New Roman" w:cs="Times New Roman" w:eastAsia="Times New Roman" w:hAnsi="Times New Roman"/>
          <w:i/>
          <w:iCs/>
        </w:rPr>
      </w:pPr>
      <w:r>
        <w:rPr>
          <w:rFonts w:ascii="Times New Roman" w:cs="Times New Roman" w:eastAsia="Times New Roman" w:hAnsi="Times New Roman"/>
          <w:i/>
          <w:iCs/>
        </w:rPr>
        <w:t>Note. β = unstandardized coefficient; OR = odds ratio; CI = confidence interval; Sig. = significance level. ***p &lt; .001. Interpretation: Supervisor Support decreases risk by 38.2% per unit increase; Organisational Stress Support decreases risk by 49.4% per unit increase</w:t>
      </w:r>
    </w:p>
    <w:p>
      <w:pPr>
        <w:pStyle w:val="style0"/>
        <w:spacing w:before="120" w:after="48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3.3 Personal Contributing Factors</w:t>
      </w:r>
    </w:p>
    <w:p>
      <w:pPr>
        <w:pStyle w:val="style0"/>
        <w:widowControl w:val="false"/>
        <w:pBdr>
          <w:left w:val="nil"/>
          <w:right w:val="nil"/>
          <w:top w:val="nil"/>
          <w:bottom w:val="nil"/>
          <w:between w:val="nil"/>
        </w:pBd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Logistic regression analysis examining personal lifestyle factors is presented in Table </w:t>
      </w:r>
      <w:r>
        <w:rPr>
          <w:rFonts w:ascii="Times New Roman" w:cs="Times New Roman" w:hAnsi="Times New Roman"/>
          <w:color w:val="000000"/>
          <w:sz w:val="24"/>
          <w:szCs w:val="24"/>
        </w:rPr>
        <w:t>4</w:t>
      </w:r>
      <w:r>
        <w:rPr>
          <w:rFonts w:ascii="Times New Roman" w:cs="Times New Roman" w:hAnsi="Times New Roman"/>
          <w:color w:val="000000"/>
          <w:sz w:val="24"/>
          <w:szCs w:val="24"/>
        </w:rPr>
        <w:t>. Two personal factors were evaluated: smoking status and exercise frequency.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Smoking status demonstrated a significant positive association with chronic health issues, with each unit increase in smoking status associated with 29.1% increased odds of developing chronic health conditions (OR = 1.29, 95% CI: 1.23-1.35, p &lt; 0.001). This finding confirms the well-established link between tobacco use and adverse health outcomes, suggesting that smoking compounds the occupational health risks already faced by oil</w:t>
      </w:r>
      <w:r>
        <w:rPr>
          <w:rFonts w:ascii="Times New Roman" w:cs="Times New Roman" w:hAnsi="Times New Roman"/>
          <w:color w:val="000000"/>
          <w:sz w:val="24"/>
          <w:szCs w:val="24"/>
        </w:rPr>
        <w:t xml:space="preserve"> drilling workers. The combination of smoking-related health effects and occupational exposures may have synergistic impacts on chronic disease development.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Exercise frequency showed a substantial protective effect, with each unit increase in physical exercise frequency associated with 29.4% decreased odds of developing chronic health issues (OR = 0.71, 95% CI: 0.70-0.71, p &lt; 0.001). This protective effect is comparable in magnitude to the risk increase from smoking, highlighting the importance of regular p</w:t>
      </w:r>
      <w:r>
        <w:rPr>
          <w:rFonts w:ascii="Times New Roman" w:cs="Times New Roman" w:hAnsi="Times New Roman"/>
          <w:color w:val="000000"/>
          <w:sz w:val="24"/>
          <w:szCs w:val="24"/>
        </w:rPr>
        <w:t xml:space="preserve">hysical activity in mitigating chronic health risks. Exercise likely provides multiple protective mechanisms including improved cardiovascular health, enhanced immune function, stress reduction, better </w:t>
      </w:r>
      <w:r>
        <w:rPr>
          <w:rFonts w:ascii="Times New Roman" w:cs="Times New Roman" w:hAnsi="Times New Roman"/>
          <w:color w:val="000000"/>
          <w:sz w:val="24"/>
          <w:szCs w:val="24"/>
        </w:rPr>
        <w:t>sleep quality, and increased overall physical resilience that may buffer against occupational hazards.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The personal factors model achieved 64.63% classification accuracy with two variables. Exercise frequency was identified as the most influential protective factor based on odds ratio magnitude, suggesting th</w:t>
      </w:r>
      <w:r>
        <w:rPr>
          <w:rFonts w:ascii="Times New Roman" w:cs="Times New Roman" w:hAnsi="Times New Roman"/>
          <w:color w:val="000000"/>
          <w:sz w:val="24"/>
          <w:szCs w:val="24"/>
        </w:rPr>
        <w:t>at promoting physical activity among oil drilling workers represents a valuable intervention strategy.</w:t>
      </w: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Table </w:t>
      </w:r>
      <w:r>
        <w:rPr>
          <w:rFonts w:ascii="Times New Roman" w:cs="Times New Roman" w:hAnsi="Times New Roman"/>
          <w:b/>
          <w:bCs/>
          <w:color w:val="000000"/>
          <w:sz w:val="24"/>
          <w:szCs w:val="24"/>
        </w:rPr>
        <w:t>4</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Logistic Regression Results for Personal Contributing Factors (N=350)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75"/>
        <w:gridCol w:w="1337"/>
        <w:gridCol w:w="1337"/>
        <w:gridCol w:w="1671"/>
        <w:gridCol w:w="1337"/>
        <w:gridCol w:w="1003"/>
      </w:tblGrid>
      <w:tr>
        <w:trPr/>
        <w:tc>
          <w:tcPr>
            <w:tcW w:w="24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rPr>
                <w:sz w:val="24"/>
                <w:szCs w:val="24"/>
              </w:rPr>
            </w:pPr>
            <w:r>
              <w:rPr>
                <w:rFonts w:ascii="Times New Roman" w:cs="Times New Roman" w:eastAsia="Times New Roman" w:hAnsi="Times New Roman"/>
                <w:b/>
                <w:bCs/>
                <w:sz w:val="24"/>
                <w:szCs w:val="24"/>
              </w:rPr>
              <w:t>Variable</w:t>
            </w:r>
          </w:p>
        </w:tc>
        <w:tc>
          <w:tcPr>
            <w:tcW w:w="12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b/>
                <w:bCs/>
                <w:sz w:val="24"/>
                <w:szCs w:val="24"/>
              </w:rPr>
              <w:t>β</w:t>
            </w:r>
          </w:p>
        </w:tc>
        <w:tc>
          <w:tcPr>
            <w:tcW w:w="12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b/>
                <w:bCs/>
                <w:sz w:val="24"/>
                <w:szCs w:val="24"/>
              </w:rPr>
              <w:t>OR</w:t>
            </w:r>
          </w:p>
        </w:tc>
        <w:tc>
          <w:tcPr>
            <w:tcW w:w="15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b/>
                <w:bCs/>
                <w:sz w:val="24"/>
                <w:szCs w:val="24"/>
              </w:rPr>
              <w:t>95% CI</w:t>
            </w:r>
          </w:p>
        </w:tc>
        <w:tc>
          <w:tcPr>
            <w:tcW w:w="12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b/>
                <w:bCs/>
                <w:sz w:val="24"/>
                <w:szCs w:val="24"/>
              </w:rPr>
              <w:t>p-value</w:t>
            </w:r>
          </w:p>
        </w:tc>
        <w:tc>
          <w:tcPr>
            <w:tcW w:w="9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b/>
                <w:bCs/>
                <w:sz w:val="24"/>
                <w:szCs w:val="24"/>
              </w:rPr>
              <w:t>Sig.</w:t>
            </w:r>
          </w:p>
        </w:tc>
      </w:tr>
      <w:tr>
        <w:tblPrEx/>
        <w:trPr/>
        <w:tc>
          <w:tcPr>
            <w:tcW w:w="2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rPr>
                <w:sz w:val="24"/>
                <w:szCs w:val="24"/>
              </w:rPr>
            </w:pPr>
            <w:r>
              <w:rPr>
                <w:rFonts w:ascii="Times New Roman" w:cs="Times New Roman" w:eastAsia="Times New Roman" w:hAnsi="Times New Roman"/>
                <w:sz w:val="24"/>
                <w:szCs w:val="24"/>
              </w:rPr>
              <w:t>Smoking Status</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0.256</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1.291</w:t>
            </w:r>
          </w:p>
        </w:tc>
        <w:tc>
          <w:tcPr>
            <w:tcW w:w="15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[1.231, 1.354]</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&lt;.001</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w:t>
            </w:r>
          </w:p>
        </w:tc>
      </w:tr>
      <w:tr>
        <w:tblPrEx/>
        <w:trPr/>
        <w:tc>
          <w:tcPr>
            <w:tcW w:w="240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rPr>
                <w:sz w:val="24"/>
                <w:szCs w:val="24"/>
              </w:rPr>
            </w:pPr>
            <w:r>
              <w:rPr>
                <w:rFonts w:ascii="Times New Roman" w:cs="Times New Roman" w:eastAsia="Times New Roman" w:hAnsi="Times New Roman"/>
                <w:sz w:val="24"/>
                <w:szCs w:val="24"/>
              </w:rPr>
              <w:t>Exercise Frequency</w:t>
            </w:r>
          </w:p>
        </w:tc>
        <w:tc>
          <w:tcPr>
            <w:tcW w:w="120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-0.348</w:t>
            </w:r>
          </w:p>
        </w:tc>
        <w:tc>
          <w:tcPr>
            <w:tcW w:w="120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0.706</w:t>
            </w:r>
          </w:p>
        </w:tc>
        <w:tc>
          <w:tcPr>
            <w:tcW w:w="150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[0.704, 0.708]</w:t>
            </w:r>
          </w:p>
        </w:tc>
        <w:tc>
          <w:tcPr>
            <w:tcW w:w="120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&lt;.001</w:t>
            </w:r>
          </w:p>
        </w:tc>
        <w:tc>
          <w:tcPr>
            <w:tcW w:w="90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w:t>
            </w:r>
          </w:p>
        </w:tc>
      </w:tr>
    </w:tbl>
    <w:p>
      <w:pPr>
        <w:pStyle w:val="style0"/>
        <w:spacing w:before="120" w:after="480" w:lineRule="auto" w:line="240"/>
        <w:jc w:val="both"/>
        <w:rPr>
          <w:i/>
          <w:iCs/>
          <w:sz w:val="24"/>
          <w:szCs w:val="24"/>
        </w:rPr>
      </w:pPr>
      <w:r>
        <w:rPr>
          <w:rFonts w:ascii="Times New Roman" w:cs="Times New Roman" w:eastAsia="Times New Roman" w:hAnsi="Times New Roman"/>
          <w:i/>
          <w:iCs/>
        </w:rPr>
        <w:t>Note. β = unstandardized coefficient; OR = odds ratio; CI = confidence interval; Sig. = significance level. ***p &lt; .001. Interpretation: Smoking Status increases risk by 29.1% per unit increase; Exercise Frequency decreases risk by 29.4% per unit increase.</w:t>
      </w:r>
    </w:p>
    <w:p>
      <w:pPr>
        <w:pStyle w:val="style0"/>
        <w:widowControl w:val="false"/>
        <w:pBdr>
          <w:left w:val="nil"/>
          <w:right w:val="nil"/>
          <w:top w:val="nil"/>
          <w:bottom w:val="nil"/>
          <w:between w:val="nil"/>
        </w:pBdr>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 Demographic Contributing Factors</w:t>
      </w: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Table 5 shows the outcome of the logistic regression of the demographics. Two direct variables were tested; they were age group and years of experience. The age group showed strong positive correlation with the chronic health issue with the difference in odds of developing chronic health issues increased by 64.9 with one unit rise in the age group (OR = 1.65, 95% CI: 1.63-1.66, p &lt; 0.001). This effect size is large, meaning that the elderly workers are at a relatively high risk of developing chronic health issues. The association is probably a combination of several processes such as accumulation of exposure to occupational stress with age, age-related physiological alterations making individuals more exposed to environmental stressors, possible cohort influence, and natural age-associated growth of chronic illness in populations in general. Experience also demonstrated a positive association with chronic health problems with a one unit increase in the category of experience increasing odds of having chronic health problems by 9.0 percent (OR = 1.09, 95% CI: 1.08-1.10, p = 0.001). Though the difference in effect size with age is not as high, </w:t>
      </w:r>
      <w:r>
        <w:rPr>
          <w:rFonts w:ascii="Times New Roman" w:cs="Times New Roman" w:hAnsi="Times New Roman"/>
          <w:color w:val="000000"/>
          <w:sz w:val="24"/>
          <w:szCs w:val="24"/>
        </w:rPr>
        <w:t>this result supports the hypothesis that longer time of service in oil drilling operations is positively related to the risk of health problems even after adjusting for the age. This implies that there is a contribution of long-term occupational exposure to the development of chronic conditions, which is independent of the role of aging, and these relationships are cumulative, as the hypothesis of cumulative exposure-response relationships suggests. With two variables, the demographic factors model had an accuracy of 63.27 in classification. The most significant demographic characteristic that turned out was an age group, which indicates the significance of age-stratified health monitoring and age-specific interventions</w:t>
      </w:r>
      <w:r>
        <w:rPr>
          <w:rFonts w:ascii="Times New Roman" w:cs="Times New Roman" w:hAnsi="Times New Roman"/>
          <w:color w:val="000000"/>
          <w:sz w:val="24"/>
          <w:szCs w:val="24"/>
        </w:rPr>
        <w:t>.</w:t>
      </w:r>
    </w:p>
    <w:p>
      <w:pPr>
        <w:pStyle w:val="style0"/>
        <w:widowControl w:val="false"/>
        <w:pBdr>
          <w:left w:val="nil"/>
          <w:right w:val="nil"/>
          <w:top w:val="nil"/>
          <w:bottom w:val="nil"/>
          <w:between w:val="nil"/>
        </w:pBdr>
        <w:spacing w:lineRule="auto" w:line="360"/>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spacing w:lineRule="auto" w:line="3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Table </w:t>
      </w:r>
      <w:r>
        <w:rPr>
          <w:rFonts w:ascii="Times New Roman" w:cs="Times New Roman" w:hAnsi="Times New Roman"/>
          <w:b/>
          <w:bCs/>
          <w:color w:val="000000"/>
          <w:sz w:val="24"/>
          <w:szCs w:val="24"/>
        </w:rPr>
        <w:t>5</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Logistic Regression Results for Demographic Contributing Factors (N=350)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75"/>
        <w:gridCol w:w="1337"/>
        <w:gridCol w:w="1337"/>
        <w:gridCol w:w="1671"/>
        <w:gridCol w:w="1337"/>
        <w:gridCol w:w="1003"/>
      </w:tblGrid>
      <w:tr>
        <w:trPr/>
        <w:tc>
          <w:tcPr>
            <w:tcW w:w="24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rPr>
                <w:sz w:val="24"/>
                <w:szCs w:val="24"/>
              </w:rPr>
            </w:pPr>
            <w:r>
              <w:rPr>
                <w:rFonts w:ascii="Times New Roman" w:cs="Times New Roman" w:eastAsia="Times New Roman" w:hAnsi="Times New Roman"/>
                <w:b/>
                <w:bCs/>
                <w:sz w:val="24"/>
                <w:szCs w:val="24"/>
              </w:rPr>
              <w:t>Variable</w:t>
            </w:r>
          </w:p>
        </w:tc>
        <w:tc>
          <w:tcPr>
            <w:tcW w:w="12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b/>
                <w:bCs/>
                <w:sz w:val="24"/>
                <w:szCs w:val="24"/>
              </w:rPr>
              <w:t>β</w:t>
            </w:r>
          </w:p>
        </w:tc>
        <w:tc>
          <w:tcPr>
            <w:tcW w:w="12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b/>
                <w:bCs/>
                <w:sz w:val="24"/>
                <w:szCs w:val="24"/>
              </w:rPr>
              <w:t>OR</w:t>
            </w:r>
          </w:p>
        </w:tc>
        <w:tc>
          <w:tcPr>
            <w:tcW w:w="15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b/>
                <w:bCs/>
                <w:sz w:val="24"/>
                <w:szCs w:val="24"/>
              </w:rPr>
              <w:t>95% CI</w:t>
            </w:r>
          </w:p>
        </w:tc>
        <w:tc>
          <w:tcPr>
            <w:tcW w:w="12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b/>
                <w:bCs/>
                <w:sz w:val="24"/>
                <w:szCs w:val="24"/>
              </w:rPr>
              <w:t>p-value</w:t>
            </w:r>
          </w:p>
        </w:tc>
        <w:tc>
          <w:tcPr>
            <w:tcW w:w="9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b/>
                <w:bCs/>
                <w:sz w:val="24"/>
                <w:szCs w:val="24"/>
              </w:rPr>
              <w:t>Sig.</w:t>
            </w:r>
          </w:p>
        </w:tc>
      </w:tr>
      <w:tr>
        <w:tblPrEx/>
        <w:trPr/>
        <w:tc>
          <w:tcPr>
            <w:tcW w:w="2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rPr>
                <w:sz w:val="24"/>
                <w:szCs w:val="24"/>
              </w:rPr>
            </w:pPr>
            <w:r>
              <w:rPr>
                <w:rFonts w:ascii="Times New Roman" w:cs="Times New Roman" w:eastAsia="Times New Roman" w:hAnsi="Times New Roman"/>
                <w:sz w:val="24"/>
                <w:szCs w:val="24"/>
              </w:rPr>
              <w:t>Age Group</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0.500</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1.649</w:t>
            </w:r>
          </w:p>
        </w:tc>
        <w:tc>
          <w:tcPr>
            <w:tcW w:w="15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[1.635, 1.664]</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&lt;.001</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w:t>
            </w:r>
          </w:p>
        </w:tc>
      </w:tr>
      <w:tr>
        <w:tblPrEx/>
        <w:trPr/>
        <w:tc>
          <w:tcPr>
            <w:tcW w:w="240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rPr>
                <w:sz w:val="24"/>
                <w:szCs w:val="24"/>
              </w:rPr>
            </w:pPr>
            <w:r>
              <w:rPr>
                <w:rFonts w:ascii="Times New Roman" w:cs="Times New Roman" w:eastAsia="Times New Roman" w:hAnsi="Times New Roman"/>
                <w:sz w:val="24"/>
                <w:szCs w:val="24"/>
              </w:rPr>
              <w:t>Years of Experience</w:t>
            </w:r>
          </w:p>
        </w:tc>
        <w:tc>
          <w:tcPr>
            <w:tcW w:w="120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0.086</w:t>
            </w:r>
          </w:p>
        </w:tc>
        <w:tc>
          <w:tcPr>
            <w:tcW w:w="120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1.090</w:t>
            </w:r>
          </w:p>
        </w:tc>
        <w:tc>
          <w:tcPr>
            <w:tcW w:w="150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[1.081, 1.099]</w:t>
            </w:r>
          </w:p>
        </w:tc>
        <w:tc>
          <w:tcPr>
            <w:tcW w:w="120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&lt;.001</w:t>
            </w:r>
          </w:p>
        </w:tc>
        <w:tc>
          <w:tcPr>
            <w:tcW w:w="90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w:t>
            </w:r>
          </w:p>
        </w:tc>
      </w:tr>
    </w:tbl>
    <w:p>
      <w:pPr>
        <w:pStyle w:val="style0"/>
        <w:spacing w:before="120" w:after="480" w:lineRule="auto" w:line="240"/>
        <w:jc w:val="both"/>
        <w:rPr>
          <w:rFonts w:ascii="Times New Roman" w:cs="Times New Roman" w:eastAsia="Times New Roman" w:hAnsi="Times New Roman"/>
          <w:i/>
          <w:iCs/>
        </w:rPr>
      </w:pPr>
      <w:r>
        <w:rPr>
          <w:rFonts w:ascii="Times New Roman" w:cs="Times New Roman" w:eastAsia="Times New Roman" w:hAnsi="Times New Roman"/>
          <w:i/>
          <w:iCs/>
        </w:rPr>
        <w:t>Note. β = unstandardized coefficient; OR = odds ratio; CI = confidence interval; Sig. = significance level. ***p &lt; .001. Interpretation: Age Group increases risk by 64.9% per unit increase; Years of Experience increases risk by 9.0% per unit increase.</w:t>
      </w:r>
    </w:p>
    <w:p>
      <w:pPr>
        <w:pStyle w:val="style0"/>
        <w:spacing w:after="120"/>
        <w:rPr/>
      </w:pPr>
      <w:r>
        <w:rPr>
          <w:rFonts w:ascii="Times New Roman" w:cs="Times New Roman" w:eastAsia="Times New Roman" w:hAnsi="Times New Roman"/>
          <w:b/>
          <w:bCs/>
        </w:rPr>
        <w:t xml:space="preserve">Table </w:t>
      </w:r>
      <w:r>
        <w:rPr>
          <w:rFonts w:ascii="Times New Roman" w:cs="Times New Roman" w:eastAsia="Times New Roman" w:hAnsi="Times New Roman"/>
          <w:b/>
          <w:bCs/>
        </w:rPr>
        <w:t>6</w:t>
      </w:r>
      <w:r>
        <w:t xml:space="preserve">: </w:t>
      </w:r>
      <w:r>
        <w:rPr>
          <w:rFonts w:ascii="Times New Roman" w:cs="Times New Roman" w:eastAsia="Times New Roman" w:hAnsi="Times New Roman"/>
        </w:rPr>
        <w:t>Model Summary of Contributing Factors</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99"/>
        <w:gridCol w:w="1450"/>
        <w:gridCol w:w="1434"/>
        <w:gridCol w:w="2601"/>
        <w:gridCol w:w="1435"/>
      </w:tblGrid>
      <w:tr>
        <w:trPr>
          <w:trHeight w:val="170" w:hRule="atLeast"/>
        </w:trPr>
        <w:tc>
          <w:tcPr>
            <w:tcW w:w="260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rPr>
                <w:sz w:val="24"/>
                <w:szCs w:val="24"/>
              </w:rPr>
            </w:pPr>
            <w:r>
              <w:rPr>
                <w:rFonts w:ascii="Times New Roman" w:cs="Times New Roman" w:eastAsia="Times New Roman" w:hAnsi="Times New Roman"/>
                <w:b/>
                <w:bCs/>
                <w:sz w:val="24"/>
                <w:szCs w:val="24"/>
              </w:rPr>
              <w:t>Model</w:t>
            </w:r>
          </w:p>
        </w:tc>
        <w:tc>
          <w:tcPr>
            <w:tcW w:w="1450"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b/>
                <w:bCs/>
                <w:sz w:val="24"/>
                <w:szCs w:val="24"/>
              </w:rPr>
              <w:t>Number of Variables</w:t>
            </w:r>
          </w:p>
        </w:tc>
        <w:tc>
          <w:tcPr>
            <w:tcW w:w="1434"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b/>
                <w:bCs/>
                <w:sz w:val="24"/>
                <w:szCs w:val="24"/>
              </w:rPr>
              <w:t>Accuracy (%)</w:t>
            </w:r>
          </w:p>
        </w:tc>
        <w:tc>
          <w:tcPr>
            <w:tcW w:w="2601"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b/>
                <w:bCs/>
                <w:sz w:val="24"/>
                <w:szCs w:val="24"/>
              </w:rPr>
              <w:t>Most Influential Factor</w:t>
            </w:r>
          </w:p>
        </w:tc>
        <w:tc>
          <w:tcPr>
            <w:tcW w:w="1435" w:type="dxa"/>
            <w:tcBorders>
              <w:top w:val="single" w:sz="6" w:space="0" w:color="000000"/>
              <w:left w:val="none" w:sz="0" w:space="0" w:color="ffffff"/>
              <w:bottom w:val="single" w:sz="6" w:space="0" w:color="000000"/>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b/>
                <w:bCs/>
                <w:sz w:val="24"/>
                <w:szCs w:val="24"/>
              </w:rPr>
              <w:t>Strongest OR</w:t>
            </w:r>
          </w:p>
        </w:tc>
      </w:tr>
      <w:tr>
        <w:tblPrEx/>
        <w:trPr>
          <w:trHeight w:val="92" w:hRule="atLeast"/>
        </w:trPr>
        <w:tc>
          <w:tcPr>
            <w:tcW w:w="26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rPr>
                <w:sz w:val="24"/>
                <w:szCs w:val="24"/>
              </w:rPr>
            </w:pPr>
            <w:r>
              <w:rPr>
                <w:rFonts w:ascii="Times New Roman" w:cs="Times New Roman" w:eastAsia="Times New Roman" w:hAnsi="Times New Roman"/>
                <w:sz w:val="24"/>
                <w:szCs w:val="24"/>
              </w:rPr>
              <w:t>Work-Related Factors</w:t>
            </w:r>
          </w:p>
        </w:tc>
        <w:tc>
          <w:tcPr>
            <w:tcW w:w="14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3</w:t>
            </w:r>
          </w:p>
        </w:tc>
        <w:tc>
          <w:tcPr>
            <w:tcW w:w="1434"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74.49</w:t>
            </w:r>
          </w:p>
        </w:tc>
        <w:tc>
          <w:tcPr>
            <w:tcW w:w="2601"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Exposure Frequency</w:t>
            </w:r>
          </w:p>
        </w:tc>
        <w:tc>
          <w:tcPr>
            <w:tcW w:w="143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2.114</w:t>
            </w:r>
          </w:p>
        </w:tc>
      </w:tr>
      <w:tr>
        <w:tblPrEx/>
        <w:trPr>
          <w:trHeight w:val="170" w:hRule="atLeast"/>
        </w:trPr>
        <w:tc>
          <w:tcPr>
            <w:tcW w:w="26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rPr>
                <w:sz w:val="24"/>
                <w:szCs w:val="24"/>
              </w:rPr>
            </w:pPr>
            <w:r>
              <w:rPr>
                <w:rFonts w:ascii="Times New Roman" w:cs="Times New Roman" w:eastAsia="Times New Roman" w:hAnsi="Times New Roman"/>
                <w:sz w:val="24"/>
                <w:szCs w:val="24"/>
              </w:rPr>
              <w:t>Organizational Factors</w:t>
            </w:r>
          </w:p>
        </w:tc>
        <w:tc>
          <w:tcPr>
            <w:tcW w:w="14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3</w:t>
            </w:r>
          </w:p>
        </w:tc>
        <w:tc>
          <w:tcPr>
            <w:tcW w:w="1434"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69.05</w:t>
            </w:r>
          </w:p>
        </w:tc>
        <w:tc>
          <w:tcPr>
            <w:tcW w:w="2601"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Organizational Stress Support</w:t>
            </w:r>
          </w:p>
        </w:tc>
        <w:tc>
          <w:tcPr>
            <w:tcW w:w="143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0.506</w:t>
            </w:r>
          </w:p>
        </w:tc>
      </w:tr>
      <w:tr>
        <w:tblPrEx/>
        <w:trPr>
          <w:trHeight w:val="87" w:hRule="atLeast"/>
        </w:trPr>
        <w:tc>
          <w:tcPr>
            <w:tcW w:w="26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rPr>
                <w:sz w:val="24"/>
                <w:szCs w:val="24"/>
              </w:rPr>
            </w:pPr>
            <w:r>
              <w:rPr>
                <w:rFonts w:ascii="Times New Roman" w:cs="Times New Roman" w:eastAsia="Times New Roman" w:hAnsi="Times New Roman"/>
                <w:sz w:val="24"/>
                <w:szCs w:val="24"/>
              </w:rPr>
              <w:t>Personal Factors</w:t>
            </w:r>
          </w:p>
        </w:tc>
        <w:tc>
          <w:tcPr>
            <w:tcW w:w="14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2</w:t>
            </w:r>
          </w:p>
        </w:tc>
        <w:tc>
          <w:tcPr>
            <w:tcW w:w="1434"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64.63</w:t>
            </w:r>
          </w:p>
        </w:tc>
        <w:tc>
          <w:tcPr>
            <w:tcW w:w="2601"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Exercise Frequency</w:t>
            </w:r>
          </w:p>
        </w:tc>
        <w:tc>
          <w:tcPr>
            <w:tcW w:w="143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0.706</w:t>
            </w:r>
          </w:p>
        </w:tc>
      </w:tr>
      <w:tr>
        <w:tblPrEx/>
        <w:trPr>
          <w:trHeight w:val="87" w:hRule="atLeast"/>
        </w:trPr>
        <w:tc>
          <w:tcPr>
            <w:tcW w:w="2600" w:type="dxa"/>
            <w:tcBorders>
              <w:top w:val="none" w:sz="0" w:space="0" w:color="ffffff"/>
              <w:left w:val="none" w:sz="0" w:space="0" w:color="ffffff"/>
              <w:bottom w:val="single" w:sz="4" w:space="0" w:color="auto"/>
              <w:right w:val="none" w:sz="0" w:space="0" w:color="ffffff"/>
            </w:tcBorders>
            <w:tcMar>
              <w:top w:w="80" w:type="dxa"/>
              <w:left w:w="120" w:type="dxa"/>
              <w:bottom w:w="80" w:type="dxa"/>
              <w:right w:w="120" w:type="dxa"/>
            </w:tcMar>
            <w:vAlign w:val="center"/>
          </w:tcPr>
          <w:p>
            <w:pPr>
              <w:pStyle w:val="style0"/>
              <w:spacing w:lineRule="auto" w:line="240"/>
              <w:rPr>
                <w:sz w:val="24"/>
                <w:szCs w:val="24"/>
              </w:rPr>
            </w:pPr>
            <w:r>
              <w:rPr>
                <w:rFonts w:ascii="Times New Roman" w:cs="Times New Roman" w:eastAsia="Times New Roman" w:hAnsi="Times New Roman"/>
                <w:sz w:val="24"/>
                <w:szCs w:val="24"/>
              </w:rPr>
              <w:t>Demographics</w:t>
            </w:r>
          </w:p>
        </w:tc>
        <w:tc>
          <w:tcPr>
            <w:tcW w:w="1450" w:type="dxa"/>
            <w:tcBorders>
              <w:top w:val="none" w:sz="0" w:space="0" w:color="ffffff"/>
              <w:left w:val="none" w:sz="0" w:space="0" w:color="ffffff"/>
              <w:bottom w:val="single" w:sz="4" w:space="0" w:color="auto"/>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2</w:t>
            </w:r>
          </w:p>
        </w:tc>
        <w:tc>
          <w:tcPr>
            <w:tcW w:w="1434" w:type="dxa"/>
            <w:tcBorders>
              <w:top w:val="none" w:sz="0" w:space="0" w:color="ffffff"/>
              <w:left w:val="none" w:sz="0" w:space="0" w:color="ffffff"/>
              <w:bottom w:val="single" w:sz="4" w:space="0" w:color="auto"/>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63.27</w:t>
            </w:r>
          </w:p>
        </w:tc>
        <w:tc>
          <w:tcPr>
            <w:tcW w:w="2601" w:type="dxa"/>
            <w:tcBorders>
              <w:top w:val="none" w:sz="0" w:space="0" w:color="ffffff"/>
              <w:left w:val="none" w:sz="0" w:space="0" w:color="ffffff"/>
              <w:bottom w:val="single" w:sz="4" w:space="0" w:color="auto"/>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Age Group</w:t>
            </w:r>
          </w:p>
        </w:tc>
        <w:tc>
          <w:tcPr>
            <w:tcW w:w="1435" w:type="dxa"/>
            <w:tcBorders>
              <w:top w:val="none" w:sz="0" w:space="0" w:color="ffffff"/>
              <w:left w:val="none" w:sz="0" w:space="0" w:color="ffffff"/>
              <w:bottom w:val="single" w:sz="4" w:space="0" w:color="auto"/>
              <w:right w:val="none" w:sz="0" w:space="0" w:color="ffffff"/>
            </w:tcBorders>
            <w:tcMar>
              <w:top w:w="80" w:type="dxa"/>
              <w:left w:w="120" w:type="dxa"/>
              <w:bottom w:w="80" w:type="dxa"/>
              <w:right w:w="120" w:type="dxa"/>
            </w:tcMar>
            <w:vAlign w:val="center"/>
          </w:tcPr>
          <w:p>
            <w:pPr>
              <w:pStyle w:val="style0"/>
              <w:spacing w:lineRule="auto" w:line="240"/>
              <w:jc w:val="center"/>
              <w:rPr>
                <w:sz w:val="24"/>
                <w:szCs w:val="24"/>
              </w:rPr>
            </w:pPr>
            <w:r>
              <w:rPr>
                <w:rFonts w:ascii="Times New Roman" w:cs="Times New Roman" w:eastAsia="Times New Roman" w:hAnsi="Times New Roman"/>
                <w:sz w:val="24"/>
                <w:szCs w:val="24"/>
              </w:rPr>
              <w:t>1.649</w:t>
            </w:r>
          </w:p>
        </w:tc>
      </w:tr>
    </w:tbl>
    <w:p>
      <w:pPr>
        <w:pStyle w:val="style0"/>
        <w:spacing w:before="120" w:lineRule="auto" w:line="240"/>
        <w:jc w:val="both"/>
        <w:rPr>
          <w:i/>
          <w:iCs/>
          <w:sz w:val="24"/>
          <w:szCs w:val="24"/>
        </w:rPr>
      </w:pPr>
      <w:r>
        <w:rPr>
          <w:rFonts w:ascii="Times New Roman" w:cs="Times New Roman" w:eastAsia="Times New Roman" w:hAnsi="Times New Roman"/>
          <w:i/>
          <w:iCs/>
        </w:rPr>
        <w:t>Note. OR = odds ratio. Each model was evaluated using logistic regression. The Full Model combines all predictor categories and achieves the highest classification accuracy (77.55%).</w:t>
      </w: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tabs>
          <w:tab w:val="left" w:leader="none" w:pos="8445"/>
        </w:tab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4.0 Discussion</w:t>
      </w:r>
      <w:r>
        <w:rPr>
          <w:rFonts w:ascii="Times New Roman" w:cs="Times New Roman" w:hAnsi="Times New Roman"/>
          <w:b/>
          <w:bCs/>
          <w:color w:val="000000"/>
          <w:sz w:val="24"/>
          <w:szCs w:val="24"/>
        </w:rPr>
        <w:tab/>
      </w: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exposure frequency </w:t>
      </w:r>
      <w:r>
        <w:rPr>
          <w:rFonts w:ascii="Times New Roman" w:cs="Times New Roman" w:hAnsi="Times New Roman"/>
          <w:color w:val="000000"/>
          <w:sz w:val="24"/>
          <w:szCs w:val="24"/>
        </w:rPr>
        <w:t>was</w:t>
      </w:r>
      <w:r>
        <w:rPr>
          <w:rFonts w:ascii="Times New Roman" w:cs="Times New Roman" w:hAnsi="Times New Roman"/>
          <w:color w:val="000000"/>
          <w:sz w:val="24"/>
          <w:szCs w:val="24"/>
        </w:rPr>
        <w:t xml:space="preserve"> identified as the strongest </w:t>
      </w:r>
      <w:r>
        <w:rPr>
          <w:rFonts w:ascii="Times New Roman" w:cs="Times New Roman" w:hAnsi="Times New Roman"/>
          <w:color w:val="000000"/>
          <w:sz w:val="24"/>
          <w:szCs w:val="24"/>
        </w:rPr>
        <w:t>contributing</w:t>
      </w:r>
      <w:r>
        <w:rPr>
          <w:rFonts w:ascii="Times New Roman" w:cs="Times New Roman" w:hAnsi="Times New Roman"/>
          <w:color w:val="000000"/>
          <w:sz w:val="24"/>
          <w:szCs w:val="24"/>
        </w:rPr>
        <w:t xml:space="preserve"> predictor</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which indicate</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 that the duration that a drilling worker is exposed to the drilling</w:t>
      </w:r>
      <w:r>
        <w:rPr>
          <w:rFonts w:ascii="Times New Roman" w:cs="Times New Roman" w:hAnsi="Times New Roman"/>
          <w:color w:val="000000"/>
          <w:sz w:val="24"/>
          <w:szCs w:val="24"/>
        </w:rPr>
        <w:t xml:space="preserve"> hazard</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 can seriously </w:t>
      </w:r>
      <w:r>
        <w:rPr>
          <w:rFonts w:ascii="Times New Roman" w:cs="Times New Roman" w:hAnsi="Times New Roman"/>
          <w:color w:val="000000"/>
          <w:sz w:val="24"/>
          <w:szCs w:val="24"/>
        </w:rPr>
        <w:t>result in the worker developing chronic health issues.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Mamyrbayev</w:t>
      </w:r>
      <w:r>
        <w:rPr>
          <w:rFonts w:ascii="Times New Roman" w:cs="Times New Roman" w:hAnsi="Times New Roman"/>
          <w:color w:val="000000"/>
          <w:sz w:val="24"/>
          <w:szCs w:val="24"/>
        </w:rPr>
        <w:t xml:space="preserve"> et al. </w:t>
      </w:r>
      <w:r>
        <w:rPr>
          <w:rFonts w:ascii="Times New Roman" w:cs="Times New Roman" w:hAnsi="Times New Roman"/>
          <w:color w:val="000000"/>
          <w:sz w:val="24"/>
          <w:szCs w:val="24"/>
        </w:rPr>
        <w:t>(</w:t>
      </w:r>
      <w:r>
        <w:rPr>
          <w:rFonts w:ascii="Times New Roman" w:cs="Times New Roman" w:hAnsi="Times New Roman"/>
          <w:color w:val="000000"/>
          <w:sz w:val="24"/>
          <w:szCs w:val="24"/>
        </w:rPr>
        <w:t>2025</w:t>
      </w:r>
      <w:r>
        <w:rPr>
          <w:rFonts w:ascii="Times New Roman" w:cs="Times New Roman" w:hAnsi="Times New Roman"/>
          <w:color w:val="000000"/>
          <w:sz w:val="24"/>
          <w:szCs w:val="24"/>
        </w:rPr>
        <w:t xml:space="preserve">) in </w:t>
      </w:r>
      <w:r>
        <w:rPr>
          <w:rFonts w:ascii="Times New Roman" w:cs="Times New Roman" w:hAnsi="Times New Roman"/>
          <w:color w:val="000000"/>
          <w:sz w:val="24"/>
          <w:szCs w:val="24"/>
        </w:rPr>
        <w:t>their</w:t>
      </w:r>
      <w:r>
        <w:rPr>
          <w:rFonts w:ascii="Times New Roman" w:cs="Times New Roman" w:hAnsi="Times New Roman"/>
          <w:color w:val="000000"/>
          <w:sz w:val="24"/>
          <w:szCs w:val="24"/>
        </w:rPr>
        <w:t xml:space="preserve"> study found that exposing </w:t>
      </w:r>
      <w:r>
        <w:rPr>
          <w:rFonts w:ascii="Times New Roman" w:cs="Times New Roman" w:hAnsi="Times New Roman"/>
          <w:color w:val="000000"/>
          <w:sz w:val="24"/>
          <w:szCs w:val="24"/>
        </w:rPr>
        <w:t>rats</w:t>
      </w:r>
      <w:r>
        <w:rPr>
          <w:rFonts w:ascii="Times New Roman" w:cs="Times New Roman" w:hAnsi="Times New Roman"/>
          <w:color w:val="000000"/>
          <w:sz w:val="24"/>
          <w:szCs w:val="24"/>
        </w:rPr>
        <w:t xml:space="preserve"> multiple times to drilling fluid resulted in </w:t>
      </w:r>
      <w:r>
        <w:rPr>
          <w:rFonts w:ascii="Times New Roman" w:cs="Times New Roman" w:hAnsi="Times New Roman"/>
          <w:color w:val="000000"/>
          <w:sz w:val="24"/>
          <w:szCs w:val="24"/>
        </w:rPr>
        <w:t xml:space="preserve">dermal health issues. They found that </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ubacute dermal exposure to drilling fluids </w:t>
      </w:r>
      <w:r>
        <w:rPr>
          <w:rFonts w:ascii="Times New Roman" w:cs="Times New Roman" w:hAnsi="Times New Roman"/>
          <w:color w:val="000000"/>
          <w:sz w:val="24"/>
          <w:szCs w:val="24"/>
        </w:rPr>
        <w:t xml:space="preserve">to rat </w:t>
      </w:r>
      <w:r>
        <w:rPr>
          <w:rFonts w:ascii="Times New Roman" w:cs="Times New Roman" w:hAnsi="Times New Roman"/>
          <w:color w:val="000000"/>
          <w:sz w:val="24"/>
          <w:szCs w:val="24"/>
        </w:rPr>
        <w:t xml:space="preserve">resulted in lower consumption of food and water by the rats. It was also observed that </w:t>
      </w:r>
      <w:r>
        <w:rPr>
          <w:rFonts w:ascii="Times New Roman" w:cs="Times New Roman" w:hAnsi="Times New Roman"/>
          <w:color w:val="000000"/>
          <w:sz w:val="24"/>
          <w:szCs w:val="24"/>
        </w:rPr>
        <w:t>haematological</w:t>
      </w:r>
      <w:r>
        <w:rPr>
          <w:rFonts w:ascii="Times New Roman" w:cs="Times New Roman" w:hAnsi="Times New Roman"/>
          <w:color w:val="000000"/>
          <w:sz w:val="24"/>
          <w:szCs w:val="24"/>
        </w:rPr>
        <w:t xml:space="preserve"> parameters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such as </w:t>
      </w:r>
      <w:r>
        <w:rPr>
          <w:rFonts w:ascii="Times New Roman" w:cs="Times New Roman" w:hAnsi="Times New Roman"/>
          <w:color w:val="000000"/>
          <w:sz w:val="24"/>
          <w:szCs w:val="24"/>
        </w:rPr>
        <w:t>eosinophilic counts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increased.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The drilling fluid also impacted </w:t>
      </w:r>
      <w:r>
        <w:rPr>
          <w:rFonts w:ascii="Times New Roman" w:cs="Times New Roman" w:hAnsi="Times New Roman"/>
          <w:color w:val="000000"/>
          <w:sz w:val="24"/>
          <w:szCs w:val="24"/>
        </w:rPr>
        <w:t>serum enzyme levels (ALT, AST, ALP, GGT, and LDH)</w:t>
      </w:r>
      <w:r>
        <w:rPr>
          <w:rFonts w:ascii="Times New Roman" w:cs="Times New Roman" w:hAnsi="Times New Roman"/>
          <w:color w:val="000000"/>
          <w:sz w:val="24"/>
          <w:szCs w:val="24"/>
        </w:rPr>
        <w:t xml:space="preserve"> in the rat</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Similarly, work demand was found to </w:t>
      </w:r>
      <w:r>
        <w:rPr>
          <w:rFonts w:ascii="Times New Roman" w:cs="Times New Roman" w:hAnsi="Times New Roman"/>
          <w:color w:val="000000"/>
          <w:sz w:val="24"/>
          <w:szCs w:val="24"/>
        </w:rPr>
        <w:t>impact the outcome of chronic health issues among the drilling workers. Increased work demand resulted in more chronic health issues faced by the workers</w:t>
      </w:r>
      <w:r>
        <w:rPr>
          <w:rFonts w:ascii="Times New Roman" w:cs="Times New Roman" w:hAnsi="Times New Roman"/>
          <w:color w:val="000000"/>
          <w:sz w:val="24"/>
          <w:szCs w:val="24"/>
        </w:rPr>
        <w:t>. W</w:t>
      </w:r>
      <w:r>
        <w:rPr>
          <w:rFonts w:ascii="Times New Roman" w:cs="Times New Roman" w:hAnsi="Times New Roman"/>
          <w:color w:val="000000"/>
          <w:sz w:val="24"/>
          <w:szCs w:val="24"/>
        </w:rPr>
        <w:t xml:space="preserve">orkload requirements, excessive working hours, and emotional labour have been linked to anxiety disorder, depression, hypertension, and cardiovascular disease (Benson et al., 2021; </w:t>
      </w:r>
      <w:r>
        <w:rPr>
          <w:rFonts w:ascii="Times New Roman" w:cs="Times New Roman" w:hAnsi="Times New Roman"/>
          <w:color w:val="000000"/>
          <w:sz w:val="24"/>
          <w:szCs w:val="24"/>
        </w:rPr>
        <w:t>Eyayo</w:t>
      </w:r>
      <w:r>
        <w:rPr>
          <w:rFonts w:ascii="Times New Roman" w:cs="Times New Roman" w:hAnsi="Times New Roman"/>
          <w:color w:val="000000"/>
          <w:sz w:val="24"/>
          <w:szCs w:val="24"/>
        </w:rPr>
        <w:t>, 2014)</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The substantial protective effects of </w:t>
      </w:r>
      <w:r>
        <w:rPr>
          <w:rFonts w:ascii="Times New Roman" w:cs="Times New Roman" w:hAnsi="Times New Roman"/>
          <w:color w:val="000000"/>
          <w:sz w:val="24"/>
          <w:szCs w:val="24"/>
        </w:rPr>
        <w:t>organisational</w:t>
      </w:r>
      <w:r>
        <w:rPr>
          <w:rFonts w:ascii="Times New Roman" w:cs="Times New Roman" w:hAnsi="Times New Roman"/>
          <w:color w:val="000000"/>
          <w:sz w:val="24"/>
          <w:szCs w:val="24"/>
        </w:rPr>
        <w:t xml:space="preserve"> stress support identified in this study reflect broader evidence of psychosocial factors as important determinants of occupational health outcomes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Mearns &amp; Reader (2008)</w:t>
      </w:r>
      <w:r>
        <w:rPr>
          <w:rFonts w:ascii="Times New Roman" w:cs="Times New Roman" w:hAnsi="Times New Roman"/>
          <w:color w:val="000000"/>
          <w:sz w:val="24"/>
          <w:szCs w:val="24"/>
        </w:rPr>
        <w:t xml:space="preserve"> in their study reported that a higher social support </w:t>
      </w:r>
      <w:r>
        <w:rPr>
          <w:rFonts w:ascii="Times New Roman" w:cs="Times New Roman" w:hAnsi="Times New Roman"/>
          <w:color w:val="000000"/>
          <w:sz w:val="24"/>
          <w:szCs w:val="24"/>
        </w:rPr>
        <w:t xml:space="preserve">resulted in workers developing a </w:t>
      </w:r>
      <w:r>
        <w:rPr>
          <w:rFonts w:ascii="Times New Roman" w:cs="Times New Roman" w:hAnsi="Times New Roman"/>
          <w:color w:val="000000"/>
          <w:sz w:val="24"/>
          <w:szCs w:val="24"/>
        </w:rPr>
        <w:t>positive</w:t>
      </w:r>
      <w:r>
        <w:rPr>
          <w:rFonts w:ascii="Times New Roman" w:cs="Times New Roman" w:hAnsi="Times New Roman"/>
          <w:color w:val="000000"/>
          <w:sz w:val="24"/>
          <w:szCs w:val="24"/>
        </w:rPr>
        <w:t xml:space="preserve"> safety behaviour. </w:t>
      </w:r>
      <w:r>
        <w:rPr>
          <w:rFonts w:ascii="Times New Roman" w:cs="Times New Roman" w:hAnsi="Times New Roman"/>
          <w:color w:val="000000"/>
          <w:sz w:val="24"/>
          <w:szCs w:val="24"/>
        </w:rPr>
        <w:t xml:space="preserve">Better safety </w:t>
      </w:r>
      <w:r>
        <w:rPr>
          <w:rFonts w:ascii="Times New Roman" w:cs="Times New Roman" w:hAnsi="Times New Roman"/>
          <w:color w:val="000000"/>
          <w:sz w:val="24"/>
          <w:szCs w:val="24"/>
        </w:rPr>
        <w:t>behaviour</w:t>
      </w:r>
      <w:r>
        <w:rPr>
          <w:rFonts w:ascii="Times New Roman" w:cs="Times New Roman" w:hAnsi="Times New Roman"/>
          <w:color w:val="000000"/>
          <w:sz w:val="24"/>
          <w:szCs w:val="24"/>
        </w:rPr>
        <w:t xml:space="preserve"> by workers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tends to lead to fewer </w:t>
      </w:r>
      <w:r>
        <w:rPr>
          <w:rFonts w:ascii="Times New Roman" w:cs="Times New Roman" w:hAnsi="Times New Roman"/>
          <w:color w:val="000000"/>
          <w:sz w:val="24"/>
          <w:szCs w:val="24"/>
        </w:rPr>
        <w:t>accidents</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 xml:space="preserve">health </w:t>
      </w:r>
      <w:r>
        <w:rPr>
          <w:rFonts w:ascii="Times New Roman" w:cs="Times New Roman" w:hAnsi="Times New Roman"/>
          <w:color w:val="000000"/>
          <w:sz w:val="24"/>
          <w:szCs w:val="24"/>
        </w:rPr>
        <w:t xml:space="preserve">issues, showing the need </w:t>
      </w:r>
      <w:r>
        <w:rPr>
          <w:rFonts w:ascii="Times New Roman" w:cs="Times New Roman" w:hAnsi="Times New Roman"/>
          <w:color w:val="000000"/>
          <w:sz w:val="24"/>
          <w:szCs w:val="24"/>
        </w:rPr>
        <w:t>for</w:t>
      </w:r>
      <w:r>
        <w:rPr>
          <w:rFonts w:ascii="Times New Roman" w:cs="Times New Roman" w:hAnsi="Times New Roman"/>
          <w:color w:val="000000"/>
          <w:sz w:val="24"/>
          <w:szCs w:val="24"/>
        </w:rPr>
        <w:t xml:space="preserve"> good </w:t>
      </w:r>
      <w:r>
        <w:rPr>
          <w:rFonts w:ascii="Times New Roman" w:cs="Times New Roman" w:hAnsi="Times New Roman"/>
          <w:color w:val="000000"/>
          <w:sz w:val="24"/>
          <w:szCs w:val="24"/>
        </w:rPr>
        <w:t>organisational</w:t>
      </w:r>
      <w:r>
        <w:rPr>
          <w:rFonts w:ascii="Times New Roman" w:cs="Times New Roman" w:hAnsi="Times New Roman"/>
          <w:color w:val="000000"/>
          <w:sz w:val="24"/>
          <w:szCs w:val="24"/>
        </w:rPr>
        <w:t xml:space="preserve"> support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Gadalla</w:t>
      </w:r>
      <w:r>
        <w:rPr>
          <w:rFonts w:ascii="Times New Roman" w:cs="Times New Roman" w:hAnsi="Times New Roman"/>
          <w:color w:val="000000"/>
          <w:sz w:val="24"/>
          <w:szCs w:val="24"/>
        </w:rPr>
        <w:t xml:space="preserve"> et al., 2024)</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Companies with strong stress management advocacy in terms of supervisor assistance, employee assistance programs, and workplace social support can cushion employees not only against the psychological effects of work stressors but also against </w:t>
      </w:r>
      <w:r>
        <w:rPr>
          <w:rFonts w:ascii="Times New Roman" w:cs="Times New Roman" w:hAnsi="Times New Roman"/>
          <w:color w:val="000000"/>
          <w:sz w:val="24"/>
          <w:szCs w:val="24"/>
        </w:rPr>
        <w:t>their</w:t>
      </w:r>
      <w:r>
        <w:rPr>
          <w:rFonts w:ascii="Times New Roman" w:cs="Times New Roman" w:hAnsi="Times New Roman"/>
          <w:color w:val="000000"/>
          <w:sz w:val="24"/>
          <w:szCs w:val="24"/>
        </w:rPr>
        <w:t xml:space="preserve"> physical effects, which will lessen the overall impact of chronic diseases. </w:t>
      </w:r>
    </w:p>
    <w:p>
      <w:pPr>
        <w:pStyle w:val="style0"/>
        <w:widowControl w:val="false"/>
        <w:pBdr>
          <w:left w:val="nil"/>
          <w:right w:val="nil"/>
          <w:top w:val="nil"/>
          <w:bottom w:val="nil"/>
          <w:between w:val="nil"/>
        </w:pBd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emergence of age as the strongest demographic predictor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shows</w:t>
      </w:r>
      <w:r>
        <w:rPr>
          <w:rFonts w:ascii="Times New Roman" w:cs="Times New Roman" w:hAnsi="Times New Roman"/>
          <w:color w:val="000000"/>
          <w:sz w:val="24"/>
          <w:szCs w:val="24"/>
        </w:rPr>
        <w:t xml:space="preserve"> the important </w:t>
      </w:r>
      <w:r>
        <w:rPr>
          <w:rFonts w:ascii="Times New Roman" w:cs="Times New Roman" w:hAnsi="Times New Roman"/>
          <w:color w:val="000000"/>
          <w:sz w:val="24"/>
          <w:szCs w:val="24"/>
        </w:rPr>
        <w:t xml:space="preserve">of worker age </w:t>
      </w:r>
      <w:r>
        <w:rPr>
          <w:rFonts w:ascii="Times New Roman" w:cs="Times New Roman" w:hAnsi="Times New Roman"/>
          <w:color w:val="000000"/>
          <w:sz w:val="24"/>
          <w:szCs w:val="24"/>
        </w:rPr>
        <w:t>as contributing</w:t>
      </w:r>
      <w:r>
        <w:rPr>
          <w:rFonts w:ascii="Times New Roman" w:cs="Times New Roman" w:hAnsi="Times New Roman"/>
          <w:color w:val="000000"/>
          <w:sz w:val="24"/>
          <w:szCs w:val="24"/>
        </w:rPr>
        <w:t xml:space="preserve"> factor.</w:t>
      </w:r>
      <w:r>
        <w:rPr>
          <w:rFonts w:ascii="Times New Roman" w:cs="Times New Roman" w:hAnsi="Times New Roman"/>
          <w:color w:val="000000"/>
          <w:sz w:val="24"/>
          <w:szCs w:val="24"/>
        </w:rPr>
        <w:t xml:space="preserve"> Older drilling workers have </w:t>
      </w:r>
      <w:r>
        <w:rPr>
          <w:rFonts w:ascii="Times New Roman" w:cs="Times New Roman" w:hAnsi="Times New Roman"/>
          <w:color w:val="000000"/>
          <w:sz w:val="24"/>
          <w:szCs w:val="24"/>
        </w:rPr>
        <w:t>27.50 times higher odds</w:t>
      </w:r>
      <w:r>
        <w:rPr>
          <w:rFonts w:ascii="Times New Roman" w:cs="Times New Roman" w:hAnsi="Times New Roman"/>
          <w:color w:val="000000"/>
          <w:sz w:val="24"/>
          <w:szCs w:val="24"/>
        </w:rPr>
        <w:t xml:space="preserve"> of </w:t>
      </w:r>
      <w:r>
        <w:rPr>
          <w:rFonts w:ascii="Times New Roman" w:cs="Times New Roman" w:hAnsi="Times New Roman"/>
          <w:color w:val="000000"/>
          <w:sz w:val="24"/>
          <w:szCs w:val="24"/>
        </w:rPr>
        <w:t xml:space="preserve">developing </w:t>
      </w:r>
      <w:r>
        <w:rPr>
          <w:rFonts w:ascii="Times New Roman" w:cs="Times New Roman" w:hAnsi="Times New Roman"/>
          <w:color w:val="000000"/>
          <w:sz w:val="24"/>
          <w:szCs w:val="24"/>
        </w:rPr>
        <w:t xml:space="preserve">chronic </w:t>
      </w:r>
      <w:r>
        <w:rPr>
          <w:rFonts w:ascii="Times New Roman" w:cs="Times New Roman" w:hAnsi="Times New Roman"/>
          <w:color w:val="000000"/>
          <w:sz w:val="24"/>
          <w:szCs w:val="24"/>
        </w:rPr>
        <w:t>health conditions compared to younger workers.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The observation that smoking status was found to be the strongest predictor </w:t>
      </w:r>
      <w:r>
        <w:rPr>
          <w:rFonts w:ascii="Times New Roman" w:cs="Times New Roman" w:hAnsi="Times New Roman"/>
          <w:color w:val="000000"/>
          <w:sz w:val="24"/>
          <w:szCs w:val="24"/>
        </w:rPr>
        <w:t xml:space="preserve">of personal contributing factor </w:t>
      </w:r>
      <w:r>
        <w:rPr>
          <w:rFonts w:ascii="Times New Roman" w:cs="Times New Roman" w:hAnsi="Times New Roman"/>
          <w:color w:val="000000"/>
          <w:sz w:val="24"/>
          <w:szCs w:val="24"/>
        </w:rPr>
        <w:t>highlights</w:t>
      </w:r>
      <w:r>
        <w:rPr>
          <w:rFonts w:ascii="Times New Roman" w:cs="Times New Roman" w:hAnsi="Times New Roman"/>
          <w:color w:val="000000"/>
          <w:sz w:val="24"/>
          <w:szCs w:val="24"/>
        </w:rPr>
        <w:t xml:space="preserve"> the importance of </w:t>
      </w:r>
      <w:r>
        <w:rPr>
          <w:rFonts w:ascii="Times New Roman" w:cs="Times New Roman" w:hAnsi="Times New Roman"/>
          <w:color w:val="000000"/>
          <w:sz w:val="24"/>
          <w:szCs w:val="24"/>
        </w:rPr>
        <w:t xml:space="preserve">workers having a good personal lifestyle. </w:t>
      </w:r>
    </w:p>
    <w:p>
      <w:pPr>
        <w:pStyle w:val="style0"/>
        <w:widowControl w:val="false"/>
        <w:pBdr>
          <w:left w:val="nil"/>
          <w:right w:val="nil"/>
          <w:top w:val="nil"/>
          <w:bottom w:val="nil"/>
          <w:between w:val="nil"/>
        </w:pBdr>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5.0 Conclusion</w:t>
      </w:r>
    </w:p>
    <w:p>
      <w:pPr>
        <w:pStyle w:val="style0"/>
        <w:widowControl w:val="false"/>
        <w:pBdr>
          <w:left w:val="nil"/>
          <w:right w:val="nil"/>
          <w:top w:val="nil"/>
          <w:bottom w:val="nil"/>
          <w:between w:val="nil"/>
        </w:pBdr>
        <w:jc w:val="both"/>
        <w:rPr>
          <w:rFonts w:ascii="Times New Roman" w:cs="Times New Roman" w:hAnsi="Times New Roman"/>
          <w:b/>
          <w:bCs/>
          <w:color w:val="000000"/>
          <w:sz w:val="24"/>
          <w:szCs w:val="24"/>
        </w:rPr>
      </w:pPr>
    </w:p>
    <w:p>
      <w:pPr>
        <w:pStyle w:val="style0"/>
        <w:widowControl w:val="false"/>
        <w:pBdr>
          <w:left w:val="nil"/>
          <w:right w:val="nil"/>
          <w:top w:val="nil"/>
          <w:bottom w:val="nil"/>
          <w:between w:val="nil"/>
        </w:pBd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This study provides</w:t>
      </w:r>
      <w:r>
        <w:rPr>
          <w:rFonts w:ascii="Times New Roman" w:cs="Times New Roman" w:hAnsi="Times New Roman"/>
          <w:color w:val="000000"/>
          <w:sz w:val="24"/>
          <w:szCs w:val="24"/>
        </w:rPr>
        <w:t xml:space="preserve"> quantitative evidence on </w:t>
      </w:r>
      <w:r>
        <w:rPr>
          <w:rFonts w:ascii="Times New Roman" w:cs="Times New Roman" w:hAnsi="Times New Roman"/>
          <w:color w:val="000000"/>
          <w:sz w:val="24"/>
          <w:szCs w:val="24"/>
        </w:rPr>
        <w:t xml:space="preserve">contributing </w:t>
      </w:r>
      <w:r>
        <w:rPr>
          <w:rFonts w:ascii="Times New Roman" w:cs="Times New Roman" w:hAnsi="Times New Roman"/>
          <w:color w:val="000000"/>
          <w:sz w:val="24"/>
          <w:szCs w:val="24"/>
        </w:rPr>
        <w:t xml:space="preserve">risk factors </w:t>
      </w:r>
      <w:r>
        <w:rPr>
          <w:rFonts w:ascii="Times New Roman" w:cs="Times New Roman" w:hAnsi="Times New Roman"/>
          <w:color w:val="000000"/>
          <w:sz w:val="24"/>
          <w:szCs w:val="24"/>
        </w:rPr>
        <w:t xml:space="preserve">for chronic health conditions among oil drilling workers. Work-related factors, particularly exposure frequency, emerged as primary determinants of </w:t>
      </w:r>
      <w:r>
        <w:rPr>
          <w:rFonts w:ascii="Times New Roman" w:cs="Times New Roman" w:hAnsi="Times New Roman"/>
          <w:color w:val="000000"/>
          <w:sz w:val="24"/>
          <w:szCs w:val="24"/>
        </w:rPr>
        <w:t xml:space="preserve">chronic </w:t>
      </w:r>
      <w:r>
        <w:rPr>
          <w:rFonts w:ascii="Times New Roman" w:cs="Times New Roman" w:hAnsi="Times New Roman"/>
          <w:color w:val="000000"/>
          <w:sz w:val="24"/>
          <w:szCs w:val="24"/>
        </w:rPr>
        <w:t xml:space="preserve">health outcomes. </w:t>
      </w:r>
      <w:r>
        <w:rPr>
          <w:rFonts w:ascii="Times New Roman" w:cs="Times New Roman" w:hAnsi="Times New Roman"/>
          <w:color w:val="000000"/>
          <w:sz w:val="24"/>
          <w:szCs w:val="24"/>
        </w:rPr>
        <w:t>Organisational</w:t>
      </w:r>
      <w:r>
        <w:rPr>
          <w:rFonts w:ascii="Times New Roman" w:cs="Times New Roman" w:hAnsi="Times New Roman"/>
          <w:color w:val="000000"/>
          <w:sz w:val="24"/>
          <w:szCs w:val="24"/>
        </w:rPr>
        <w:t xml:space="preserve"> factors, especially stress management support, demonstrated substantial protective effects. Personal lifestyle factors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including smoking and exercise</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showed comparable effects to some occupational factors, highlighting the importance of </w:t>
      </w:r>
      <w:r>
        <w:rPr>
          <w:rFonts w:ascii="Times New Roman" w:cs="Times New Roman" w:hAnsi="Times New Roman"/>
          <w:color w:val="000000"/>
          <w:sz w:val="24"/>
          <w:szCs w:val="24"/>
        </w:rPr>
        <w:t xml:space="preserve">personal </w:t>
      </w:r>
      <w:r>
        <w:rPr>
          <w:rFonts w:ascii="Times New Roman" w:cs="Times New Roman" w:hAnsi="Times New Roman"/>
          <w:color w:val="000000"/>
          <w:sz w:val="24"/>
          <w:szCs w:val="24"/>
        </w:rPr>
        <w:t>health promotion. Demographic factors, particularly age, identified high-risk populations requiring enhanced surveillance and protection.</w:t>
      </w: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References</w:t>
      </w:r>
    </w:p>
    <w:p>
      <w:pPr>
        <w:pStyle w:val="style0"/>
        <w:widowControl w:val="false"/>
        <w:pBdr>
          <w:left w:val="nil"/>
          <w:right w:val="nil"/>
          <w:top w:val="nil"/>
          <w:bottom w:val="nil"/>
          <w:between w:val="nil"/>
        </w:pBdr>
        <w:jc w:val="both"/>
        <w:rPr>
          <w:rFonts w:ascii="Times New Roman" w:cs="Times New Roman" w:hAnsi="Times New Roman"/>
          <w:color w:val="000000"/>
          <w:sz w:val="24"/>
          <w:szCs w:val="24"/>
        </w:rPr>
      </w:pP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Baker, M. G., Peckham, T. K., &amp; Seixas, N. S. (2020). Estimating the burden of United States workers exposed to infection or disease: A key factor in containing risk of COVID-19 infection. </w:t>
      </w:r>
      <w:r>
        <w:rPr>
          <w:rFonts w:ascii="Times New Roman" w:cs="Times New Roman" w:hAnsi="Times New Roman"/>
          <w:color w:val="000000"/>
          <w:sz w:val="24"/>
          <w:szCs w:val="24"/>
        </w:rPr>
        <w:t>PLoS</w:t>
      </w:r>
      <w:r>
        <w:rPr>
          <w:rFonts w:ascii="Times New Roman" w:cs="Times New Roman" w:hAnsi="Times New Roman"/>
          <w:color w:val="000000"/>
          <w:sz w:val="24"/>
          <w:szCs w:val="24"/>
        </w:rPr>
        <w:t xml:space="preserve"> ONE, 15(4), e0232452.</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Benson, C., Dimopoulos, C., Argyropoulos, C. D., </w:t>
      </w:r>
      <w:r>
        <w:rPr>
          <w:rFonts w:ascii="Times New Roman" w:cs="Times New Roman" w:hAnsi="Times New Roman"/>
          <w:color w:val="000000"/>
          <w:sz w:val="24"/>
          <w:szCs w:val="24"/>
        </w:rPr>
        <w:t>Mikellidou</w:t>
      </w:r>
      <w:r>
        <w:rPr>
          <w:rFonts w:ascii="Times New Roman" w:cs="Times New Roman" w:hAnsi="Times New Roman"/>
          <w:color w:val="000000"/>
          <w:sz w:val="24"/>
          <w:szCs w:val="24"/>
        </w:rPr>
        <w:t xml:space="preserve">, C. V., &amp; </w:t>
      </w:r>
      <w:r>
        <w:rPr>
          <w:rFonts w:ascii="Times New Roman" w:cs="Times New Roman" w:hAnsi="Times New Roman"/>
          <w:color w:val="000000"/>
          <w:sz w:val="24"/>
          <w:szCs w:val="24"/>
        </w:rPr>
        <w:t>Boustras</w:t>
      </w:r>
      <w:r>
        <w:rPr>
          <w:rFonts w:ascii="Times New Roman" w:cs="Times New Roman" w:hAnsi="Times New Roman"/>
          <w:color w:val="000000"/>
          <w:sz w:val="24"/>
          <w:szCs w:val="24"/>
        </w:rPr>
        <w:t>, G. (2021). Assessing the common occupational health hazards and their health risks among oil and gas workers. Safety Science, 140, 105284. https://doi.org/10.1016/j.ssci.2021.105284</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Case, A., &amp; Deaton, A. (2005). Broken down by work and sex: How our health declines. In D. A. Wise (Ed.), Analyses in the economics of aging (pp. 185-212). University of Chicago Press.</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Checkoway</w:t>
      </w:r>
      <w:r>
        <w:rPr>
          <w:rFonts w:ascii="Times New Roman" w:cs="Times New Roman" w:hAnsi="Times New Roman"/>
          <w:color w:val="000000"/>
          <w:sz w:val="24"/>
          <w:szCs w:val="24"/>
        </w:rPr>
        <w:t>, H., Pearce, N., &amp; Kriebel, D. (2007). Exposure and dose modelling in occupational epidemiology. Occupational and Environmental Medicine, 64(7), 492-498.</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Creswell, J. W., &amp; Creswell, J. D. (2018). Research design: Qualitative, quantitative, and mixed methods </w:t>
      </w:r>
      <w:r>
        <w:rPr>
          <w:rFonts w:ascii="Times New Roman" w:cs="Times New Roman" w:hAnsi="Times New Roman"/>
          <w:color w:val="000000"/>
          <w:sz w:val="24"/>
          <w:szCs w:val="24"/>
        </w:rPr>
        <w:t>approaches</w:t>
      </w:r>
      <w:r>
        <w:rPr>
          <w:rFonts w:ascii="Times New Roman" w:cs="Times New Roman" w:hAnsi="Times New Roman"/>
          <w:color w:val="000000"/>
          <w:sz w:val="24"/>
          <w:szCs w:val="24"/>
        </w:rPr>
        <w:t xml:space="preserve"> (5th ed.). Sage Publications.</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D'Andrea, M. A., &amp; Reddy, G. K. (2018). Long-term health effects of the Gulf oil spill exposure among oil spill clean-up workers seven years post-disaster. Frontiers in Public Health, 6, 117. https://doi.org/10.3389/fpubh.2018.00117</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Eyayo</w:t>
      </w:r>
      <w:r>
        <w:rPr>
          <w:rFonts w:ascii="Times New Roman" w:cs="Times New Roman" w:hAnsi="Times New Roman"/>
          <w:color w:val="000000"/>
          <w:sz w:val="24"/>
          <w:szCs w:val="24"/>
        </w:rPr>
        <w:t>, F. (2014). Evaluation of occupational health hazards among oil industry workers: A case study of refinery workers. IOSR Journal of Environmental Science, Toxicology and Food Technology, 8(12), 22-53.</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Gadalla, H. E., Helal, H., &amp; Nofal, A. S. (2024). Impact of the Offshore Oil and Gas Working Environment on the Mental Health and Safety Behaviour of Workers. AIN Journal, (47).</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Hosmer, D. W., </w:t>
      </w:r>
      <w:r>
        <w:rPr>
          <w:rFonts w:ascii="Times New Roman" w:cs="Times New Roman" w:hAnsi="Times New Roman"/>
          <w:color w:val="000000"/>
          <w:sz w:val="24"/>
          <w:szCs w:val="24"/>
        </w:rPr>
        <w:t>Lemeshow</w:t>
      </w:r>
      <w:r>
        <w:rPr>
          <w:rFonts w:ascii="Times New Roman" w:cs="Times New Roman" w:hAnsi="Times New Roman"/>
          <w:color w:val="000000"/>
          <w:sz w:val="24"/>
          <w:szCs w:val="24"/>
        </w:rPr>
        <w:t>, S., &amp; Sturdivant, R. X. (2013). Applied logistic regression (3rd ed.). John Wiley &amp; Sons.</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Ilmarinen, J. (2006). Towards a longer </w:t>
      </w:r>
      <w:r>
        <w:rPr>
          <w:rFonts w:ascii="Times New Roman" w:cs="Times New Roman" w:hAnsi="Times New Roman"/>
          <w:color w:val="000000"/>
          <w:sz w:val="24"/>
          <w:szCs w:val="24"/>
        </w:rPr>
        <w:t>worklife</w:t>
      </w:r>
      <w:r>
        <w:rPr>
          <w:rFonts w:ascii="Times New Roman" w:cs="Times New Roman" w:hAnsi="Times New Roman"/>
          <w:color w:val="000000"/>
          <w:sz w:val="24"/>
          <w:szCs w:val="24"/>
        </w:rPr>
        <w:t xml:space="preserve">: Ageing and the quality of </w:t>
      </w:r>
      <w:r>
        <w:rPr>
          <w:rFonts w:ascii="Times New Roman" w:cs="Times New Roman" w:hAnsi="Times New Roman"/>
          <w:color w:val="000000"/>
          <w:sz w:val="24"/>
          <w:szCs w:val="24"/>
        </w:rPr>
        <w:t>worklife</w:t>
      </w:r>
      <w:r>
        <w:rPr>
          <w:rFonts w:ascii="Times New Roman" w:cs="Times New Roman" w:hAnsi="Times New Roman"/>
          <w:color w:val="000000"/>
          <w:sz w:val="24"/>
          <w:szCs w:val="24"/>
        </w:rPr>
        <w:t xml:space="preserve"> in the European Union. Finnish Institute of Occupational Health.</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Kale, Ö. A., &amp; </w:t>
      </w:r>
      <w:r>
        <w:rPr>
          <w:rFonts w:ascii="Times New Roman" w:cs="Times New Roman" w:hAnsi="Times New Roman"/>
          <w:color w:val="000000"/>
          <w:sz w:val="24"/>
          <w:szCs w:val="24"/>
        </w:rPr>
        <w:t>Baradan</w:t>
      </w:r>
      <w:r>
        <w:rPr>
          <w:rFonts w:ascii="Times New Roman" w:cs="Times New Roman" w:hAnsi="Times New Roman"/>
          <w:color w:val="000000"/>
          <w:sz w:val="24"/>
          <w:szCs w:val="24"/>
        </w:rPr>
        <w:t xml:space="preserve">, S. (2020). Identifying factors that contribute to severity of construction injuries using logistic regression model. Teknik </w:t>
      </w:r>
      <w:r>
        <w:rPr>
          <w:rFonts w:ascii="Times New Roman" w:cs="Times New Roman" w:hAnsi="Times New Roman"/>
          <w:color w:val="000000"/>
          <w:sz w:val="24"/>
          <w:szCs w:val="24"/>
        </w:rPr>
        <w:t>Dergi</w:t>
      </w:r>
      <w:r>
        <w:rPr>
          <w:rFonts w:ascii="Times New Roman" w:cs="Times New Roman" w:hAnsi="Times New Roman"/>
          <w:color w:val="000000"/>
          <w:sz w:val="24"/>
          <w:szCs w:val="24"/>
        </w:rPr>
        <w:t>, 31(2), 9919-9940.</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Karasek, R. A., &amp; Theorell, T. (1990). Healthy work: Stress, productivity, and the reconstruction of working life. Basic Books.</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Mearns, K. J., &amp; Reader, T. (2008). Organizational support and safety outcomes: An un-investigated </w:t>
      </w:r>
      <w:r>
        <w:rPr>
          <w:rFonts w:ascii="Times New Roman" w:cs="Times New Roman" w:hAnsi="Times New Roman"/>
          <w:color w:val="000000"/>
          <w:sz w:val="24"/>
          <w:szCs w:val="24"/>
        </w:rPr>
        <w:t>relationship?.</w:t>
      </w:r>
      <w:r>
        <w:rPr>
          <w:rFonts w:ascii="Times New Roman" w:cs="Times New Roman" w:hAnsi="Times New Roman"/>
          <w:color w:val="000000"/>
          <w:sz w:val="24"/>
          <w:szCs w:val="24"/>
        </w:rPr>
        <w:t xml:space="preserve"> Safety science, 46(3), 388-397.</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LaMontagne, A. D., </w:t>
      </w:r>
      <w:r>
        <w:rPr>
          <w:rFonts w:ascii="Times New Roman" w:cs="Times New Roman" w:hAnsi="Times New Roman"/>
          <w:color w:val="000000"/>
          <w:sz w:val="24"/>
          <w:szCs w:val="24"/>
        </w:rPr>
        <w:t>Keegel</w:t>
      </w:r>
      <w:r>
        <w:rPr>
          <w:rFonts w:ascii="Times New Roman" w:cs="Times New Roman" w:hAnsi="Times New Roman"/>
          <w:color w:val="000000"/>
          <w:sz w:val="24"/>
          <w:szCs w:val="24"/>
        </w:rPr>
        <w:t>, T., Louie, A. M., Ostry, A., &amp; Landsbergis, P. A. (2007). A systematic review of the job-stress intervention evaluation literature, 1990-2005. International Journal of Occupational and Environmental Health, 13(3), 268-280.</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Levy, B. S., Wegman, D. H., Baron, S. L., &amp; </w:t>
      </w:r>
      <w:r>
        <w:rPr>
          <w:rFonts w:ascii="Times New Roman" w:cs="Times New Roman" w:hAnsi="Times New Roman"/>
          <w:color w:val="000000"/>
          <w:sz w:val="24"/>
          <w:szCs w:val="24"/>
        </w:rPr>
        <w:t>Sokas</w:t>
      </w:r>
      <w:r>
        <w:rPr>
          <w:rFonts w:ascii="Times New Roman" w:cs="Times New Roman" w:hAnsi="Times New Roman"/>
          <w:color w:val="000000"/>
          <w:sz w:val="24"/>
          <w:szCs w:val="24"/>
        </w:rPr>
        <w:t>, R. K. (2018). Occupational and environmental health: Recognizing and preventing disease and injury (7th ed.). Oxford University Press.</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Mamyrbayev, A., </w:t>
      </w:r>
      <w:r>
        <w:rPr>
          <w:rFonts w:ascii="Times New Roman" w:cs="Times New Roman" w:hAnsi="Times New Roman"/>
          <w:color w:val="000000"/>
          <w:sz w:val="24"/>
          <w:szCs w:val="24"/>
        </w:rPr>
        <w:t>Zhurgenova</w:t>
      </w:r>
      <w:r>
        <w:rPr>
          <w:rFonts w:ascii="Times New Roman" w:cs="Times New Roman" w:hAnsi="Times New Roman"/>
          <w:color w:val="000000"/>
          <w:sz w:val="24"/>
          <w:szCs w:val="24"/>
        </w:rPr>
        <w:t xml:space="preserve">, A., </w:t>
      </w:r>
      <w:r>
        <w:rPr>
          <w:rFonts w:ascii="Times New Roman" w:cs="Times New Roman" w:hAnsi="Times New Roman"/>
          <w:color w:val="000000"/>
          <w:sz w:val="24"/>
          <w:szCs w:val="24"/>
        </w:rPr>
        <w:t>Komekbay</w:t>
      </w:r>
      <w:r>
        <w:rPr>
          <w:rFonts w:ascii="Times New Roman" w:cs="Times New Roman" w:hAnsi="Times New Roman"/>
          <w:color w:val="000000"/>
          <w:sz w:val="24"/>
          <w:szCs w:val="24"/>
        </w:rPr>
        <w:t xml:space="preserve">, Z., </w:t>
      </w:r>
      <w:r>
        <w:rPr>
          <w:rFonts w:ascii="Times New Roman" w:cs="Times New Roman" w:hAnsi="Times New Roman"/>
          <w:color w:val="000000"/>
          <w:sz w:val="24"/>
          <w:szCs w:val="24"/>
        </w:rPr>
        <w:t>Kaliev</w:t>
      </w:r>
      <w:r>
        <w:rPr>
          <w:rFonts w:ascii="Times New Roman" w:cs="Times New Roman" w:hAnsi="Times New Roman"/>
          <w:color w:val="000000"/>
          <w:sz w:val="24"/>
          <w:szCs w:val="24"/>
        </w:rPr>
        <w:t xml:space="preserve">, A., </w:t>
      </w:r>
      <w:r>
        <w:rPr>
          <w:rFonts w:ascii="Times New Roman" w:cs="Times New Roman" w:hAnsi="Times New Roman"/>
          <w:color w:val="000000"/>
          <w:sz w:val="24"/>
          <w:szCs w:val="24"/>
        </w:rPr>
        <w:t>Zhilisbayeva</w:t>
      </w:r>
      <w:r>
        <w:rPr>
          <w:rFonts w:ascii="Times New Roman" w:cs="Times New Roman" w:hAnsi="Times New Roman"/>
          <w:color w:val="000000"/>
          <w:sz w:val="24"/>
          <w:szCs w:val="24"/>
        </w:rPr>
        <w:t xml:space="preserve">, K., </w:t>
      </w:r>
      <w:r>
        <w:rPr>
          <w:rFonts w:ascii="Times New Roman" w:cs="Times New Roman" w:hAnsi="Times New Roman"/>
          <w:color w:val="000000"/>
          <w:sz w:val="24"/>
          <w:szCs w:val="24"/>
        </w:rPr>
        <w:t>Yerimbetova</w:t>
      </w:r>
      <w:r>
        <w:rPr>
          <w:rFonts w:ascii="Times New Roman" w:cs="Times New Roman" w:hAnsi="Times New Roman"/>
          <w:color w:val="000000"/>
          <w:sz w:val="24"/>
          <w:szCs w:val="24"/>
        </w:rPr>
        <w:t xml:space="preserve">, G., Satybaldiyeva, U., </w:t>
      </w:r>
      <w:r>
        <w:rPr>
          <w:rFonts w:ascii="Times New Roman" w:cs="Times New Roman" w:hAnsi="Times New Roman"/>
          <w:color w:val="000000"/>
          <w:sz w:val="24"/>
          <w:szCs w:val="24"/>
        </w:rPr>
        <w:t>Bermagambetova</w:t>
      </w:r>
      <w:r>
        <w:rPr>
          <w:rFonts w:ascii="Times New Roman" w:cs="Times New Roman" w:hAnsi="Times New Roman"/>
          <w:color w:val="000000"/>
          <w:sz w:val="24"/>
          <w:szCs w:val="24"/>
        </w:rPr>
        <w:t xml:space="preserve">, S., &amp; </w:t>
      </w:r>
      <w:r>
        <w:rPr>
          <w:rFonts w:ascii="Times New Roman" w:cs="Times New Roman" w:hAnsi="Times New Roman"/>
          <w:color w:val="000000"/>
          <w:sz w:val="24"/>
          <w:szCs w:val="24"/>
        </w:rPr>
        <w:t>Sakhanova</w:t>
      </w:r>
      <w:r>
        <w:rPr>
          <w:rFonts w:ascii="Times New Roman" w:cs="Times New Roman" w:hAnsi="Times New Roman"/>
          <w:color w:val="000000"/>
          <w:sz w:val="24"/>
          <w:szCs w:val="24"/>
        </w:rPr>
        <w:t xml:space="preserve">, S. (2025). Assessment of acute and </w:t>
      </w:r>
      <w:r>
        <w:rPr>
          <w:rFonts w:ascii="Times New Roman" w:cs="Times New Roman" w:hAnsi="Times New Roman"/>
          <w:color w:val="000000"/>
          <w:sz w:val="24"/>
          <w:szCs w:val="24"/>
        </w:rPr>
        <w:t>subchronic</w:t>
      </w:r>
      <w:r>
        <w:rPr>
          <w:rFonts w:ascii="Times New Roman" w:cs="Times New Roman" w:hAnsi="Times New Roman"/>
          <w:color w:val="000000"/>
          <w:sz w:val="24"/>
          <w:szCs w:val="24"/>
        </w:rPr>
        <w:t xml:space="preserve"> skin toxicity of drilling fluids. Human and Experimental Toxicology, 44, 1-16. https://doi.org/10.1177/09603271251379839</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McEwen, B. S. (2000). Allostasis and allostatic load: Implications for neuropsychopharmacology. Neuropsychopharmacology, 22(2), 108-124.</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McNamee, R. (2003). Confounding and exposure measurement error. Occupational and Environmental Medicine, 60(3), 227-234.</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Menard, S. (2010). Logistic regression: From introductory to advanced concepts and applications. Sage Publications.</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Nwankwo, C., Ogwu, F., &amp; </w:t>
      </w:r>
      <w:r>
        <w:rPr>
          <w:rFonts w:ascii="Times New Roman" w:cs="Times New Roman" w:hAnsi="Times New Roman"/>
          <w:color w:val="000000"/>
          <w:sz w:val="24"/>
          <w:szCs w:val="24"/>
        </w:rPr>
        <w:t>Ijioma</w:t>
      </w:r>
      <w:r>
        <w:rPr>
          <w:rFonts w:ascii="Times New Roman" w:cs="Times New Roman" w:hAnsi="Times New Roman"/>
          <w:color w:val="000000"/>
          <w:sz w:val="24"/>
          <w:szCs w:val="24"/>
        </w:rPr>
        <w:t>, C. (2021). Environmental and occupational health impacts of oil exploration in Nigeria's Niger Delta. Environmental Health Perspectives, 18(2), 145-162.</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Onder, S. (2013). Evaluation of occupational injuries with lost days among opencast coal mine workers through logistic regression models. Safety Science, 59, 86-92. </w:t>
      </w:r>
      <w:r>
        <w:rPr/>
        <w:fldChar w:fldCharType="begin"/>
      </w:r>
      <w:r>
        <w:instrText xml:space="preserve"> HYPERLINK "https://doi.org/10.1016/j.ssci.2013.05.002" </w:instrText>
      </w:r>
      <w:r>
        <w:rPr/>
        <w:fldChar w:fldCharType="separate"/>
      </w:r>
      <w:r>
        <w:rPr>
          <w:rStyle w:val="style85"/>
          <w:rFonts w:ascii="Times New Roman" w:cs="Times New Roman" w:hAnsi="Times New Roman"/>
          <w:sz w:val="24"/>
          <w:szCs w:val="24"/>
        </w:rPr>
        <w:t>https://doi.org/10.1016/j.ssci.2013.05.002</w:t>
      </w:r>
      <w:r>
        <w:rPr/>
        <w:fldChar w:fldCharType="end"/>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Oyamienlen</w:t>
      </w:r>
      <w:r>
        <w:rPr>
          <w:rFonts w:ascii="Times New Roman" w:cs="Times New Roman" w:hAnsi="Times New Roman"/>
          <w:color w:val="000000"/>
          <w:sz w:val="24"/>
          <w:szCs w:val="24"/>
        </w:rPr>
        <w:t xml:space="preserve">, O., </w:t>
      </w:r>
      <w:r>
        <w:rPr>
          <w:rFonts w:ascii="Times New Roman" w:cs="Times New Roman" w:hAnsi="Times New Roman"/>
          <w:color w:val="000000"/>
          <w:sz w:val="24"/>
          <w:szCs w:val="24"/>
        </w:rPr>
        <w:t>Nwaogazie</w:t>
      </w:r>
      <w:r>
        <w:rPr>
          <w:rFonts w:ascii="Times New Roman" w:cs="Times New Roman" w:hAnsi="Times New Roman"/>
          <w:color w:val="000000"/>
          <w:sz w:val="24"/>
          <w:szCs w:val="24"/>
        </w:rPr>
        <w:t>, I. L., &amp; Patricks, C.</w:t>
      </w:r>
      <w:r>
        <w:rPr>
          <w:rFonts w:ascii="Times New Roman" w:cs="Times New Roman" w:hAnsi="Times New Roman"/>
          <w:color w:val="000000"/>
          <w:sz w:val="24"/>
          <w:szCs w:val="24"/>
        </w:rPr>
        <w:t xml:space="preserve"> (2023)</w:t>
      </w:r>
      <w:r>
        <w:rPr>
          <w:rFonts w:ascii="Times New Roman" w:cs="Times New Roman" w:hAnsi="Times New Roman"/>
          <w:color w:val="000000"/>
          <w:sz w:val="24"/>
          <w:szCs w:val="24"/>
        </w:rPr>
        <w:t xml:space="preserve"> The Effect of Demographic Factors on Work-related Injuries in the Oil and Gas Industry in the Niger Delta Region in Nigeria.</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Paul, P. S. (2009). Predictors of work injury in underground mines—an application of a logistic regression model. Mining Science and Technology (China), 19(3), 282-289.</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Rajamaki, B., Grosch, J. W., &amp; Burnett, L. R. (2018). Workplace intervention effects on sleep quality: A systematic review. Journal of Occupational Health Psychology, 23(3), 291-304.</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Rappaport, S. M., &amp; Smith, T. J. (1991). Exposure assessment for epidemiology and hazard control. Lewis Publishers.</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Retzer, K. D., Hill, R. D., &amp; Pratt, S. G. (2019). Health risk factors among male workers in mining and other manual </w:t>
      </w:r>
      <w:r>
        <w:rPr>
          <w:rFonts w:ascii="Times New Roman" w:cs="Times New Roman" w:hAnsi="Times New Roman"/>
          <w:color w:val="000000"/>
          <w:sz w:val="24"/>
          <w:szCs w:val="24"/>
        </w:rPr>
        <w:t>labor</w:t>
      </w:r>
      <w:r>
        <w:rPr>
          <w:rFonts w:ascii="Times New Roman" w:cs="Times New Roman" w:hAnsi="Times New Roman"/>
          <w:color w:val="000000"/>
          <w:sz w:val="24"/>
          <w:szCs w:val="24"/>
        </w:rPr>
        <w:t xml:space="preserve"> occupations. American Journal of Men's Health, 13(3), 1557988319850950.</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Robroek, S. J., van Lenthe, F. J., van </w:t>
      </w:r>
      <w:r>
        <w:rPr>
          <w:rFonts w:ascii="Times New Roman" w:cs="Times New Roman" w:hAnsi="Times New Roman"/>
          <w:color w:val="000000"/>
          <w:sz w:val="24"/>
          <w:szCs w:val="24"/>
        </w:rPr>
        <w:t>Empelen</w:t>
      </w:r>
      <w:r>
        <w:rPr>
          <w:rFonts w:ascii="Times New Roman" w:cs="Times New Roman" w:hAnsi="Times New Roman"/>
          <w:color w:val="000000"/>
          <w:sz w:val="24"/>
          <w:szCs w:val="24"/>
        </w:rPr>
        <w:t xml:space="preserve">, P., &amp; Burdorf, A. (2009). Determinants of participation in worksite health promotion programmes: A systematic review. International Journal of </w:t>
      </w:r>
      <w:r>
        <w:rPr>
          <w:rFonts w:ascii="Times New Roman" w:cs="Times New Roman" w:hAnsi="Times New Roman"/>
          <w:color w:val="000000"/>
          <w:sz w:val="24"/>
          <w:szCs w:val="24"/>
        </w:rPr>
        <w:t>Behavioral</w:t>
      </w:r>
      <w:r>
        <w:rPr>
          <w:rFonts w:ascii="Times New Roman" w:cs="Times New Roman" w:hAnsi="Times New Roman"/>
          <w:color w:val="000000"/>
          <w:sz w:val="24"/>
          <w:szCs w:val="24"/>
        </w:rPr>
        <w:t xml:space="preserve"> Nutrition and Physical Activity, 6, 26.</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Setia, M. S. (2016). Methodology series module 3: Cross-sectional studies. Indian Journal of Dermatology, 61(3), 261-264.</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Siegrist, J., &amp; Marmot, M. (2004). Health inequalities and the psychosocial environment. Social Science &amp; Medicine, 58(8), 1463-1473.</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Tabachnick, B. G., &amp; Fidell, L. S. (2019). Using multivariate statistics (7th ed.). Pearson.</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Verbeek, J. H., Ijaz, S., Mischke, C., Ruotsalainen, J. H., Mäkelä, E., Neuvonen, K., et al. (2020). </w:t>
      </w:r>
      <w:r>
        <w:rPr>
          <w:rFonts w:ascii="Times New Roman" w:cs="Times New Roman" w:hAnsi="Times New Roman"/>
          <w:color w:val="000000"/>
          <w:sz w:val="24"/>
          <w:szCs w:val="24"/>
        </w:rPr>
        <w:t>Personal protective equipment for preventing highly infectious diseases due to exposure to contaminated body fluids in healthcare staff. Cochrane Database of Systematic Reviews, 4, CD011621.</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Verbeek, J. H., Ijaz, S., Tikka, C., Ruotsalainen, J. H., Mischke, C., &amp; Sauni, R. (2021). Personal protective equipment for preventing highly infectious diseases due to exposure to contaminated body fluids in healthcare staff. Cochrane Database of Systematic Reviews, 5, CD011621.</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World Health Organization. (2017). Protecting workers' health. WHO Fact Sheet. World Health Organization.</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World Health Organization. (2020). Healthy workplaces: A model for action for employers, workers, </w:t>
      </w:r>
      <w:r>
        <w:rPr>
          <w:rFonts w:ascii="Times New Roman" w:cs="Times New Roman" w:hAnsi="Times New Roman"/>
          <w:color w:val="000000"/>
          <w:sz w:val="24"/>
          <w:szCs w:val="24"/>
        </w:rPr>
        <w:t>policy-makers</w:t>
      </w:r>
      <w:r>
        <w:rPr>
          <w:rFonts w:ascii="Times New Roman" w:cs="Times New Roman" w:hAnsi="Times New Roman"/>
          <w:color w:val="000000"/>
          <w:sz w:val="24"/>
          <w:szCs w:val="24"/>
        </w:rPr>
        <w:t xml:space="preserve"> and practitioners. World Health </w:t>
      </w:r>
      <w:r>
        <w:rPr>
          <w:rFonts w:ascii="Times New Roman" w:cs="Times New Roman" w:hAnsi="Times New Roman"/>
          <w:color w:val="000000"/>
          <w:sz w:val="24"/>
          <w:szCs w:val="24"/>
        </w:rPr>
        <w:t>Organization.</w:t>
      </w:r>
      <w:r>
        <w:rPr>
          <w:rFonts w:ascii="Times New Roman" w:cs="Times New Roman" w:hAnsi="Times New Roman"/>
          <w:color w:val="000000"/>
          <w:sz w:val="24"/>
          <w:szCs w:val="24"/>
        </w:rPr>
        <w:t>.</w:t>
      </w:r>
    </w:p>
    <w:p>
      <w:pPr>
        <w:pStyle w:val="style0"/>
        <w:widowControl w:val="false"/>
        <w:pBdr>
          <w:left w:val="nil"/>
          <w:right w:val="nil"/>
          <w:top w:val="nil"/>
          <w:bottom w:val="nil"/>
          <w:between w:val="nil"/>
        </w:pBdr>
        <w:spacing w:lineRule="auto" w:line="360"/>
        <w:ind w:left="1080" w:hanging="1080"/>
        <w:jc w:val="both"/>
        <w:rPr>
          <w:rFonts w:ascii="Times New Roman" w:cs="Times New Roman" w:hAnsi="Times New Roman"/>
          <w:color w:val="000000"/>
          <w:sz w:val="24"/>
          <w:szCs w:val="24"/>
        </w:rPr>
      </w:pPr>
    </w:p>
    <w:sectPr>
      <w:pgSz w:w="12240" w:h="15840" w:orient="portrait"/>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0020204"/>
    <w:charset w:val="00"/>
    <w:family w:val="swiss"/>
    <w:pitch w:val="variable"/>
    <w:sig w:usb0="E0002EFF" w:usb1="C000785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Georgia">
    <w:altName w:val="Georgia"/>
    <w:panose1 w:val="02040502050000020303"/>
    <w:charset w:val="00"/>
    <w:family w:val="roman"/>
    <w:pitch w:val="variable"/>
    <w:sig w:usb0="00000287" w:usb1="00000000" w:usb2="00000000" w:usb3="00000000" w:csb0="0000009F" w:csb1="00000000"/>
  </w:font>
  <w:font w:name="Cambria Math">
    <w:altName w:val="Cambria Math"/>
    <w:panose1 w:val="02040503050000030204"/>
    <w:charset w:val="00"/>
    <w:family w:val="roman"/>
    <w:pitch w:val="variable"/>
    <w:sig w:usb0="E00006FF" w:usb1="420024FF" w:usb2="02000000" w:usb3="00000000" w:csb0="0000019F" w:csb1="00000000"/>
  </w:font>
  <w:font w:name="Calibri">
    <w:altName w:val="Calibri"/>
    <w:panose1 w:val="020f0502020000030204"/>
    <w:charset w:val="00"/>
    <w:family w:val="swiss"/>
    <w:pitch w:val="variable"/>
    <w:sig w:usb0="E4002EFF" w:usb1="C2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TrueTypeFont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val="en-GB" w:bidi="ar-SA" w:eastAsia="en-GB"/>
      </w:rPr>
    </w:rPrDefault>
    <w:pPrDefault>
      <w:pPr>
        <w:spacing w:lineRule="auto" w:line="276"/>
      </w:pPr>
    </w:pPrDefault>
  </w:docDefaults>
  <w:style w:type="paragraph" w:default="1" w:styleId="style0">
    <w:name w:val="Normal"/>
    <w:next w:val="style0"/>
    <w:qFormat/>
    <w:pPr/>
  </w:style>
  <w:style w:type="paragraph" w:styleId="style1">
    <w:name w:val="heading 1"/>
    <w:basedOn w:val="style0"/>
    <w:next w:val="style0"/>
    <w:qFormat/>
    <w:uiPriority w:val="9"/>
    <w:pPr>
      <w:keepNext/>
      <w:keepLines/>
      <w:spacing w:before="480" w:after="120"/>
      <w:outlineLvl w:val="0"/>
    </w:pPr>
    <w:rPr>
      <w:b/>
      <w:bCs/>
      <w:sz w:val="48"/>
      <w:szCs w:val="48"/>
    </w:rPr>
  </w:style>
  <w:style w:type="paragraph" w:styleId="style2">
    <w:name w:val="heading 2"/>
    <w:basedOn w:val="style0"/>
    <w:next w:val="style0"/>
    <w:qFormat/>
    <w:uiPriority w:val="9"/>
    <w:pPr>
      <w:keepNext/>
      <w:keepLines/>
      <w:spacing w:before="360" w:after="80"/>
      <w:outlineLvl w:val="1"/>
    </w:pPr>
    <w:rPr>
      <w:b/>
      <w:bCs/>
      <w:sz w:val="36"/>
      <w:szCs w:val="36"/>
    </w:rPr>
  </w:style>
  <w:style w:type="paragraph" w:styleId="style3">
    <w:name w:val="heading 3"/>
    <w:basedOn w:val="style0"/>
    <w:next w:val="style0"/>
    <w:qFormat/>
    <w:uiPriority w:val="9"/>
    <w:pPr>
      <w:keepNext/>
      <w:keepLines/>
      <w:spacing w:before="280" w:after="80"/>
      <w:outlineLvl w:val="2"/>
    </w:pPr>
    <w:rPr>
      <w:b/>
      <w:bCs/>
      <w:sz w:val="28"/>
      <w:szCs w:val="28"/>
    </w:rPr>
  </w:style>
  <w:style w:type="paragraph" w:styleId="style4">
    <w:name w:val="heading 4"/>
    <w:basedOn w:val="style0"/>
    <w:next w:val="style0"/>
    <w:qFormat/>
    <w:uiPriority w:val="9"/>
    <w:pPr>
      <w:keepNext/>
      <w:keepLines/>
      <w:spacing w:before="240" w:after="40"/>
      <w:outlineLvl w:val="3"/>
    </w:pPr>
    <w:rPr>
      <w:b/>
      <w:bCs/>
      <w:sz w:val="24"/>
      <w:szCs w:val="24"/>
    </w:rPr>
  </w:style>
  <w:style w:type="paragraph" w:styleId="style5">
    <w:name w:val="heading 5"/>
    <w:basedOn w:val="style0"/>
    <w:next w:val="style0"/>
    <w:qFormat/>
    <w:uiPriority w:val="9"/>
    <w:pPr>
      <w:keepNext/>
      <w:keepLines/>
      <w:spacing w:before="220" w:after="40"/>
      <w:outlineLvl w:val="4"/>
    </w:pPr>
    <w:rPr>
      <w:b/>
      <w:bCs/>
    </w:rPr>
  </w:style>
  <w:style w:type="paragraph" w:styleId="style6">
    <w:name w:val="heading 6"/>
    <w:basedOn w:val="style0"/>
    <w:next w:val="style0"/>
    <w:qFormat/>
    <w:uiPriority w:val="9"/>
    <w:pPr>
      <w:keepNext/>
      <w:keepLines/>
      <w:spacing w:before="200" w:after="40"/>
      <w:outlineLvl w:val="5"/>
    </w:pPr>
    <w:rPr>
      <w:b/>
      <w:bCs/>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Normal"/>
    <w:next w:val="style4097"/>
    <w:pPr/>
    <w:rPr/>
    <w:tblPr>
      <w:tblCellMar>
        <w:top w:w="100" w:type="dxa"/>
        <w:left w:w="100" w:type="dxa"/>
        <w:bottom w:w="100" w:type="dxa"/>
        <w:right w:w="100" w:type="dxa"/>
      </w:tblCellMar>
    </w:tblPr>
    <w:tcPr>
      <w:tcBorders/>
    </w:tcPr>
  </w:style>
  <w:style w:type="paragraph" w:styleId="style62">
    <w:name w:val="Title"/>
    <w:basedOn w:val="style0"/>
    <w:next w:val="style0"/>
    <w:qFormat/>
    <w:uiPriority w:val="10"/>
    <w:pPr>
      <w:keepNext/>
      <w:keepLines/>
      <w:spacing w:before="480" w:after="120"/>
    </w:pPr>
    <w:rPr>
      <w:b/>
      <w:bCs/>
      <w:sz w:val="72"/>
      <w:szCs w:val="72"/>
    </w:rPr>
  </w:style>
  <w:style w:type="paragraph" w:styleId="style74">
    <w:name w:val="Subtitle"/>
    <w:basedOn w:val="style0"/>
    <w:next w:val="style0"/>
    <w:qFormat/>
    <w:uiPriority w:val="11"/>
    <w:pPr>
      <w:keepNext/>
      <w:keepLines/>
      <w:spacing w:before="360" w:after="80"/>
    </w:pPr>
    <w:rPr>
      <w:rFonts w:ascii="Georgia" w:cs="Georgia" w:eastAsia="Georgia" w:hAnsi="Georgia"/>
      <w:i/>
      <w:iCs/>
      <w:color w:val="666666"/>
      <w:sz w:val="48"/>
      <w:szCs w:val="48"/>
    </w:rPr>
  </w:style>
  <w:style w:type="character" w:styleId="style85">
    <w:name w:val="Hyperlink"/>
    <w:basedOn w:val="style65"/>
    <w:next w:val="style85"/>
    <w:uiPriority w:val="99"/>
    <w:rPr>
      <w:color w:val="0000ff"/>
      <w:u w:val="single"/>
    </w:rPr>
  </w:style>
  <w:style w:type="character" w:customStyle="1" w:styleId="style4098">
    <w:name w:val="Unresolved Mention"/>
    <w:basedOn w:val="style65"/>
    <w:next w:val="style4098"/>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2080</TotalTime>
  <Words>4103</Words>
  <Pages>15</Pages>
  <Characters>24866</Characters>
  <Application>WPS Office</Application>
  <DocSecurity>0</DocSecurity>
  <Paragraphs>263</Paragraphs>
  <ScaleCrop>false</ScaleCrop>
  <LinksUpToDate>false</LinksUpToDate>
  <CharactersWithSpaces>28798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2026-01-07T17:19:00Z</dcterms:created>
  <dc:creator>WPS Office</dc:creator>
  <lastModifiedBy>itel P651W</lastModifiedBy>
  <dcterms:modified xsi:type="dcterms:W3CDTF">2026-03-11T03:01:11Z</dcterms:modified>
  <revision>176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b935d910-8f90-481b-a2f0-f7c78c404e6d</vt:lpwstr>
  </property>
  <property fmtid="{D5CDD505-2E9C-101B-9397-08002B2CF9AE}" pid="3" name="ICV">
    <vt:lpwstr>6427e696076146d8b1dcc7b6a6864af0</vt:lpwstr>
  </property>
</Properties>
</file>