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35DB9" w14:textId="77777777" w:rsidR="00617305" w:rsidRPr="00966FED" w:rsidRDefault="00617305" w:rsidP="00E93491">
      <w:pPr>
        <w:spacing w:line="240" w:lineRule="auto"/>
        <w:jc w:val="center"/>
        <w:rPr>
          <w:rFonts w:ascii="Times New Roman" w:hAnsi="Times New Roman" w:cs="Times New Roman"/>
          <w:b/>
          <w:bCs/>
          <w:sz w:val="36"/>
          <w:szCs w:val="36"/>
        </w:rPr>
      </w:pPr>
      <w:r w:rsidRPr="00966FED">
        <w:rPr>
          <w:rFonts w:ascii="Times New Roman" w:hAnsi="Times New Roman" w:cs="Times New Roman"/>
          <w:b/>
          <w:bCs/>
          <w:sz w:val="36"/>
          <w:szCs w:val="36"/>
        </w:rPr>
        <w:t xml:space="preserve">Optimization of </w:t>
      </w:r>
      <w:proofErr w:type="spellStart"/>
      <w:r w:rsidRPr="00966FED">
        <w:rPr>
          <w:rFonts w:ascii="Times New Roman" w:hAnsi="Times New Roman" w:cs="Times New Roman"/>
          <w:b/>
          <w:bCs/>
          <w:sz w:val="36"/>
          <w:szCs w:val="36"/>
        </w:rPr>
        <w:t>Nanosilica</w:t>
      </w:r>
      <w:proofErr w:type="spellEnd"/>
      <w:r w:rsidRPr="00966FED">
        <w:rPr>
          <w:rFonts w:ascii="Times New Roman" w:hAnsi="Times New Roman" w:cs="Times New Roman"/>
          <w:b/>
          <w:bCs/>
          <w:sz w:val="36"/>
          <w:szCs w:val="36"/>
        </w:rPr>
        <w:t xml:space="preserve">-Enhanced Geopolymer-Based </w:t>
      </w:r>
      <w:proofErr w:type="gramStart"/>
      <w:r w:rsidRPr="00966FED">
        <w:rPr>
          <w:rFonts w:ascii="Times New Roman" w:hAnsi="Times New Roman" w:cs="Times New Roman"/>
          <w:b/>
          <w:bCs/>
          <w:sz w:val="36"/>
          <w:szCs w:val="36"/>
        </w:rPr>
        <w:t>Fire Retardant</w:t>
      </w:r>
      <w:proofErr w:type="gramEnd"/>
      <w:r w:rsidRPr="00966FED">
        <w:rPr>
          <w:rFonts w:ascii="Times New Roman" w:hAnsi="Times New Roman" w:cs="Times New Roman"/>
          <w:b/>
          <w:bCs/>
          <w:sz w:val="36"/>
          <w:szCs w:val="36"/>
        </w:rPr>
        <w:t xml:space="preserve"> Coating (GFC) derived from Sugarcane Bagasse Ash and </w:t>
      </w:r>
      <w:proofErr w:type="spellStart"/>
      <w:r w:rsidRPr="00966FED">
        <w:rPr>
          <w:rFonts w:ascii="Times New Roman" w:hAnsi="Times New Roman" w:cs="Times New Roman"/>
          <w:b/>
          <w:bCs/>
          <w:sz w:val="36"/>
          <w:szCs w:val="36"/>
        </w:rPr>
        <w:t>Kauswagan</w:t>
      </w:r>
      <w:proofErr w:type="spellEnd"/>
      <w:r w:rsidRPr="00966FED">
        <w:rPr>
          <w:rFonts w:ascii="Times New Roman" w:hAnsi="Times New Roman" w:cs="Times New Roman"/>
          <w:b/>
          <w:bCs/>
          <w:sz w:val="36"/>
          <w:szCs w:val="36"/>
        </w:rPr>
        <w:t xml:space="preserve"> Red Clay for Steel Application</w:t>
      </w:r>
    </w:p>
    <w:p w14:paraId="74B1B601" w14:textId="77777777" w:rsidR="00E67EEA" w:rsidRPr="00E67EEA" w:rsidRDefault="00E67EEA" w:rsidP="00E93491">
      <w:pPr>
        <w:spacing w:line="240" w:lineRule="auto"/>
        <w:jc w:val="center"/>
        <w:rPr>
          <w:rFonts w:ascii="Times New Roman" w:hAnsi="Times New Roman" w:cs="Times New Roman"/>
          <w:b/>
          <w:bCs/>
          <w:lang w:val="en-US"/>
        </w:rPr>
      </w:pPr>
      <w:r w:rsidRPr="00E67EEA">
        <w:rPr>
          <w:rFonts w:ascii="Times New Roman" w:hAnsi="Times New Roman" w:cs="Times New Roman"/>
          <w:b/>
          <w:bCs/>
          <w:lang w:val="en-US"/>
        </w:rPr>
        <w:t>Al Niño P. Bura-</w:t>
      </w:r>
      <w:proofErr w:type="spellStart"/>
      <w:proofErr w:type="gramStart"/>
      <w:r w:rsidRPr="00E67EEA">
        <w:rPr>
          <w:rFonts w:ascii="Times New Roman" w:hAnsi="Times New Roman" w:cs="Times New Roman"/>
          <w:b/>
          <w:bCs/>
          <w:lang w:val="en-US"/>
        </w:rPr>
        <w:t>ay</w:t>
      </w:r>
      <w:r w:rsidRPr="00E67EEA">
        <w:rPr>
          <w:rFonts w:ascii="Times New Roman" w:hAnsi="Times New Roman" w:cs="Times New Roman"/>
          <w:b/>
          <w:bCs/>
          <w:vertAlign w:val="superscript"/>
          <w:lang w:val="en-US"/>
        </w:rPr>
        <w:t>a,b</w:t>
      </w:r>
      <w:proofErr w:type="spellEnd"/>
      <w:proofErr w:type="gramEnd"/>
      <w:r w:rsidRPr="00E67EEA">
        <w:rPr>
          <w:rFonts w:ascii="Times New Roman" w:hAnsi="Times New Roman" w:cs="Times New Roman"/>
          <w:b/>
          <w:bCs/>
          <w:lang w:val="en-US"/>
        </w:rPr>
        <w:t xml:space="preserve">, Maria Sheila K. </w:t>
      </w:r>
      <w:proofErr w:type="spellStart"/>
      <w:proofErr w:type="gramStart"/>
      <w:r w:rsidRPr="00E67EEA">
        <w:rPr>
          <w:rFonts w:ascii="Times New Roman" w:hAnsi="Times New Roman" w:cs="Times New Roman"/>
          <w:b/>
          <w:bCs/>
          <w:lang w:val="en-US"/>
        </w:rPr>
        <w:t>Ramos</w:t>
      </w:r>
      <w:r w:rsidRPr="00E67EEA">
        <w:rPr>
          <w:rFonts w:ascii="Times New Roman" w:hAnsi="Times New Roman" w:cs="Times New Roman"/>
          <w:b/>
          <w:bCs/>
          <w:vertAlign w:val="superscript"/>
          <w:lang w:val="en-US"/>
        </w:rPr>
        <w:t>a,d</w:t>
      </w:r>
      <w:proofErr w:type="spellEnd"/>
      <w:proofErr w:type="gramEnd"/>
      <w:r w:rsidRPr="00E67EEA">
        <w:rPr>
          <w:rFonts w:ascii="Times New Roman" w:hAnsi="Times New Roman" w:cs="Times New Roman"/>
          <w:b/>
          <w:bCs/>
          <w:vertAlign w:val="superscript"/>
          <w:lang w:val="en-US"/>
        </w:rPr>
        <w:t>*</w:t>
      </w:r>
      <w:r w:rsidRPr="00E67EEA">
        <w:rPr>
          <w:rFonts w:ascii="Times New Roman" w:hAnsi="Times New Roman" w:cs="Times New Roman"/>
          <w:b/>
          <w:bCs/>
          <w:lang w:val="en-US"/>
        </w:rPr>
        <w:t xml:space="preserve">, </w:t>
      </w:r>
      <w:proofErr w:type="spellStart"/>
      <w:r w:rsidRPr="00E67EEA">
        <w:rPr>
          <w:rFonts w:ascii="Times New Roman" w:hAnsi="Times New Roman" w:cs="Times New Roman"/>
          <w:b/>
          <w:bCs/>
          <w:lang w:val="en-US"/>
        </w:rPr>
        <w:t>Fortia</w:t>
      </w:r>
      <w:proofErr w:type="spellEnd"/>
      <w:r w:rsidRPr="00E67EEA">
        <w:rPr>
          <w:rFonts w:ascii="Times New Roman" w:hAnsi="Times New Roman" w:cs="Times New Roman"/>
          <w:b/>
          <w:bCs/>
          <w:lang w:val="en-US"/>
        </w:rPr>
        <w:t xml:space="preserve"> Louise Adeliene M. </w:t>
      </w:r>
      <w:proofErr w:type="spellStart"/>
      <w:proofErr w:type="gramStart"/>
      <w:r w:rsidRPr="00E67EEA">
        <w:rPr>
          <w:rFonts w:ascii="Times New Roman" w:hAnsi="Times New Roman" w:cs="Times New Roman"/>
          <w:b/>
          <w:bCs/>
          <w:lang w:val="en-US"/>
        </w:rPr>
        <w:t>Alfeche</w:t>
      </w:r>
      <w:r w:rsidRPr="00E67EEA">
        <w:rPr>
          <w:rFonts w:ascii="Times New Roman" w:hAnsi="Times New Roman" w:cs="Times New Roman"/>
          <w:b/>
          <w:bCs/>
          <w:vertAlign w:val="superscript"/>
          <w:lang w:val="en-US"/>
        </w:rPr>
        <w:t>a,b</w:t>
      </w:r>
      <w:proofErr w:type="spellEnd"/>
      <w:proofErr w:type="gramEnd"/>
      <w:r w:rsidRPr="00E67EEA">
        <w:rPr>
          <w:rFonts w:ascii="Times New Roman" w:hAnsi="Times New Roman" w:cs="Times New Roman"/>
          <w:b/>
          <w:bCs/>
          <w:lang w:val="en-US"/>
        </w:rPr>
        <w:t xml:space="preserve">, Brian Christian G. </w:t>
      </w:r>
      <w:proofErr w:type="spellStart"/>
      <w:r w:rsidRPr="00E67EEA">
        <w:rPr>
          <w:rFonts w:ascii="Times New Roman" w:hAnsi="Times New Roman" w:cs="Times New Roman"/>
          <w:b/>
          <w:bCs/>
          <w:lang w:val="en-US"/>
        </w:rPr>
        <w:t>Magalong</w:t>
      </w:r>
      <w:r w:rsidRPr="00E67EEA">
        <w:rPr>
          <w:rFonts w:ascii="Times New Roman" w:hAnsi="Times New Roman" w:cs="Times New Roman"/>
          <w:b/>
          <w:bCs/>
          <w:vertAlign w:val="superscript"/>
          <w:lang w:val="en-US"/>
        </w:rPr>
        <w:t>a</w:t>
      </w:r>
      <w:proofErr w:type="spellEnd"/>
      <w:r w:rsidRPr="00E67EEA">
        <w:rPr>
          <w:rFonts w:ascii="Times New Roman" w:hAnsi="Times New Roman" w:cs="Times New Roman"/>
          <w:b/>
          <w:bCs/>
          <w:lang w:val="en-US"/>
        </w:rPr>
        <w:t xml:space="preserve">, Ariel G. </w:t>
      </w:r>
      <w:proofErr w:type="spellStart"/>
      <w:proofErr w:type="gramStart"/>
      <w:r w:rsidRPr="00E67EEA">
        <w:rPr>
          <w:rFonts w:ascii="Times New Roman" w:hAnsi="Times New Roman" w:cs="Times New Roman"/>
          <w:b/>
          <w:bCs/>
          <w:lang w:val="en-US"/>
        </w:rPr>
        <w:t>Bongabong</w:t>
      </w:r>
      <w:r w:rsidRPr="00E67EEA">
        <w:rPr>
          <w:rFonts w:ascii="Times New Roman" w:hAnsi="Times New Roman" w:cs="Times New Roman"/>
          <w:b/>
          <w:bCs/>
          <w:vertAlign w:val="superscript"/>
          <w:lang w:val="en-US"/>
        </w:rPr>
        <w:t>a,b</w:t>
      </w:r>
      <w:proofErr w:type="spellEnd"/>
      <w:proofErr w:type="gramEnd"/>
      <w:r w:rsidRPr="00E67EEA">
        <w:rPr>
          <w:rFonts w:ascii="Times New Roman" w:hAnsi="Times New Roman" w:cs="Times New Roman"/>
          <w:b/>
          <w:bCs/>
          <w:lang w:val="en-US"/>
        </w:rPr>
        <w:t xml:space="preserve">, and Nicholas L. </w:t>
      </w:r>
      <w:proofErr w:type="spellStart"/>
      <w:proofErr w:type="gramStart"/>
      <w:r w:rsidRPr="00E67EEA">
        <w:rPr>
          <w:rFonts w:ascii="Times New Roman" w:hAnsi="Times New Roman" w:cs="Times New Roman"/>
          <w:b/>
          <w:bCs/>
          <w:lang w:val="en-US"/>
        </w:rPr>
        <w:t>Lasquite</w:t>
      </w:r>
      <w:r w:rsidRPr="00E67EEA">
        <w:rPr>
          <w:rFonts w:ascii="Times New Roman" w:hAnsi="Times New Roman" w:cs="Times New Roman"/>
          <w:b/>
          <w:bCs/>
          <w:vertAlign w:val="superscript"/>
          <w:lang w:val="en-US"/>
        </w:rPr>
        <w:t>a,b</w:t>
      </w:r>
      <w:proofErr w:type="spellEnd"/>
      <w:proofErr w:type="gramEnd"/>
    </w:p>
    <w:p w14:paraId="0CFE8DDB" w14:textId="77777777" w:rsidR="00FE2437" w:rsidRPr="00966FED" w:rsidRDefault="00FE2437" w:rsidP="00E93491">
      <w:pPr>
        <w:spacing w:line="240" w:lineRule="auto"/>
        <w:jc w:val="center"/>
        <w:rPr>
          <w:rFonts w:ascii="Times New Roman" w:hAnsi="Times New Roman" w:cs="Times New Roman"/>
        </w:rPr>
      </w:pPr>
      <w:proofErr w:type="spellStart"/>
      <w:r w:rsidRPr="00966FED">
        <w:rPr>
          <w:rFonts w:ascii="Times New Roman" w:hAnsi="Times New Roman" w:cs="Times New Roman"/>
          <w:vertAlign w:val="superscript"/>
        </w:rPr>
        <w:t>a</w:t>
      </w:r>
      <w:r w:rsidRPr="00966FED">
        <w:rPr>
          <w:rFonts w:ascii="Times New Roman" w:hAnsi="Times New Roman" w:cs="Times New Roman"/>
        </w:rPr>
        <w:t>Sustainable</w:t>
      </w:r>
      <w:proofErr w:type="spellEnd"/>
      <w:r w:rsidRPr="00966FED">
        <w:rPr>
          <w:rFonts w:ascii="Times New Roman" w:hAnsi="Times New Roman" w:cs="Times New Roman"/>
        </w:rPr>
        <w:t xml:space="preserve"> Resource Engineering Research for Construction Technologies Center, Mindanao State University—Iligan Institute of Technology, Iligan City 9200, Philippines</w:t>
      </w:r>
    </w:p>
    <w:p w14:paraId="1C94B798" w14:textId="25664E48" w:rsidR="00FE2437" w:rsidRPr="00966FED" w:rsidRDefault="00FE2437" w:rsidP="00E93491">
      <w:pPr>
        <w:spacing w:line="240" w:lineRule="auto"/>
        <w:jc w:val="center"/>
        <w:rPr>
          <w:rFonts w:ascii="Times New Roman" w:hAnsi="Times New Roman" w:cs="Times New Roman"/>
        </w:rPr>
      </w:pPr>
      <w:proofErr w:type="spellStart"/>
      <w:r w:rsidRPr="00966FED">
        <w:rPr>
          <w:rFonts w:ascii="Times New Roman" w:hAnsi="Times New Roman" w:cs="Times New Roman"/>
          <w:vertAlign w:val="superscript"/>
        </w:rPr>
        <w:t>b</w:t>
      </w:r>
      <w:r w:rsidRPr="00966FED">
        <w:rPr>
          <w:rFonts w:ascii="Times New Roman" w:hAnsi="Times New Roman" w:cs="Times New Roman"/>
        </w:rPr>
        <w:t>Department</w:t>
      </w:r>
      <w:proofErr w:type="spellEnd"/>
      <w:r w:rsidRPr="00966FED">
        <w:rPr>
          <w:rFonts w:ascii="Times New Roman" w:hAnsi="Times New Roman" w:cs="Times New Roman"/>
        </w:rPr>
        <w:t xml:space="preserve"> of Materials and Resources Engineering and Technology, Mindanao State University—Iligan Institute of Technology, Iligan City 9200, Philippines</w:t>
      </w:r>
    </w:p>
    <w:p w14:paraId="1053FC11" w14:textId="77777777" w:rsidR="00FE2437" w:rsidRPr="00966FED" w:rsidRDefault="00FE2437" w:rsidP="00E93491">
      <w:pPr>
        <w:spacing w:line="240" w:lineRule="auto"/>
        <w:jc w:val="center"/>
        <w:rPr>
          <w:rFonts w:ascii="Times New Roman" w:hAnsi="Times New Roman" w:cs="Times New Roman"/>
        </w:rPr>
      </w:pPr>
      <w:proofErr w:type="spellStart"/>
      <w:r w:rsidRPr="00966FED">
        <w:rPr>
          <w:rFonts w:ascii="Times New Roman" w:hAnsi="Times New Roman" w:cs="Times New Roman"/>
          <w:vertAlign w:val="superscript"/>
        </w:rPr>
        <w:t>c</w:t>
      </w:r>
      <w:r w:rsidRPr="00966FED">
        <w:rPr>
          <w:rFonts w:ascii="Times New Roman" w:hAnsi="Times New Roman" w:cs="Times New Roman"/>
        </w:rPr>
        <w:t>Center</w:t>
      </w:r>
      <w:proofErr w:type="spellEnd"/>
      <w:r w:rsidRPr="00966FED">
        <w:rPr>
          <w:rFonts w:ascii="Times New Roman" w:hAnsi="Times New Roman" w:cs="Times New Roman"/>
        </w:rPr>
        <w:t xml:space="preserve"> for Sustainable Polymers, Mindanao State University—Iligan Institute of Technology, Iligan City 9200, Philippines</w:t>
      </w:r>
    </w:p>
    <w:p w14:paraId="114DCA32" w14:textId="77777777" w:rsidR="00FE2437" w:rsidRPr="00966FED" w:rsidRDefault="00FE2437" w:rsidP="00E93491">
      <w:pPr>
        <w:spacing w:line="240" w:lineRule="auto"/>
        <w:jc w:val="center"/>
        <w:rPr>
          <w:rFonts w:ascii="Times New Roman" w:hAnsi="Times New Roman" w:cs="Times New Roman"/>
        </w:rPr>
      </w:pPr>
      <w:proofErr w:type="spellStart"/>
      <w:r w:rsidRPr="00966FED">
        <w:rPr>
          <w:rFonts w:ascii="Times New Roman" w:hAnsi="Times New Roman" w:cs="Times New Roman"/>
          <w:vertAlign w:val="superscript"/>
        </w:rPr>
        <w:t>d</w:t>
      </w:r>
      <w:r w:rsidRPr="00966FED">
        <w:rPr>
          <w:rFonts w:ascii="Times New Roman" w:hAnsi="Times New Roman" w:cs="Times New Roman"/>
        </w:rPr>
        <w:t>Department</w:t>
      </w:r>
      <w:proofErr w:type="spellEnd"/>
      <w:r w:rsidRPr="00966FED">
        <w:rPr>
          <w:rFonts w:ascii="Times New Roman" w:hAnsi="Times New Roman" w:cs="Times New Roman"/>
        </w:rPr>
        <w:t xml:space="preserve"> of Chemical Engineering and Technology, Mindanao State University – Iligan Institute of Technology, Andres Bonifacio Ave, Iligan City, 9200 Lanao del Norte</w:t>
      </w:r>
    </w:p>
    <w:p w14:paraId="5F104CEC" w14:textId="0AC0F126" w:rsidR="000C11D6" w:rsidRPr="00966FED" w:rsidRDefault="000C11D6" w:rsidP="000E4A76">
      <w:pPr>
        <w:spacing w:line="240" w:lineRule="auto"/>
        <w:jc w:val="center"/>
        <w:rPr>
          <w:rFonts w:ascii="Times New Roman" w:hAnsi="Times New Roman" w:cs="Times New Roman"/>
        </w:rPr>
      </w:pPr>
      <w:r w:rsidRPr="00966FED">
        <w:rPr>
          <w:rFonts w:ascii="Times New Roman" w:hAnsi="Times New Roman" w:cs="Times New Roman"/>
        </w:rPr>
        <w:t>*</w:t>
      </w:r>
      <w:r w:rsidR="00064269" w:rsidRPr="00966FED">
        <w:rPr>
          <w:rFonts w:ascii="Times New Roman" w:hAnsi="Times New Roman" w:cs="Times New Roman"/>
        </w:rPr>
        <w:t>Corresponding</w:t>
      </w:r>
      <w:r w:rsidRPr="00966FED">
        <w:rPr>
          <w:rFonts w:ascii="Times New Roman" w:hAnsi="Times New Roman" w:cs="Times New Roman"/>
        </w:rPr>
        <w:t xml:space="preserve"> </w:t>
      </w:r>
      <w:r w:rsidR="00064269" w:rsidRPr="00966FED">
        <w:rPr>
          <w:rFonts w:ascii="Times New Roman" w:hAnsi="Times New Roman" w:cs="Times New Roman"/>
        </w:rPr>
        <w:t>A</w:t>
      </w:r>
      <w:r w:rsidRPr="00966FED">
        <w:rPr>
          <w:rFonts w:ascii="Times New Roman" w:hAnsi="Times New Roman" w:cs="Times New Roman"/>
        </w:rPr>
        <w:t xml:space="preserve">uthor: </w:t>
      </w:r>
      <w:r w:rsidR="00160312" w:rsidRPr="00966FED">
        <w:rPr>
          <w:rFonts w:ascii="Times New Roman" w:hAnsi="Times New Roman" w:cs="Times New Roman"/>
        </w:rPr>
        <w:t>mariasheila.ramos@g.msuiit.edu.ph</w:t>
      </w:r>
    </w:p>
    <w:p w14:paraId="69B10A45" w14:textId="77777777" w:rsidR="00160312" w:rsidRPr="00966FED" w:rsidRDefault="000C11D6" w:rsidP="00E93491">
      <w:pPr>
        <w:spacing w:line="240" w:lineRule="auto"/>
        <w:rPr>
          <w:rFonts w:ascii="Times New Roman" w:hAnsi="Times New Roman" w:cs="Times New Roman"/>
        </w:rPr>
      </w:pPr>
      <w:r w:rsidRPr="00966FED">
        <w:rPr>
          <w:rFonts w:ascii="Times New Roman" w:hAnsi="Times New Roman" w:cs="Times New Roman"/>
          <w:b/>
          <w:bCs/>
          <w:sz w:val="28"/>
          <w:szCs w:val="28"/>
        </w:rPr>
        <w:t>ABSTRACT</w:t>
      </w:r>
    </w:p>
    <w:p w14:paraId="2DDEB4D4" w14:textId="10F387E5" w:rsidR="00160312" w:rsidRPr="00966FED" w:rsidRDefault="00160312" w:rsidP="00E93491">
      <w:pPr>
        <w:spacing w:line="240" w:lineRule="auto"/>
        <w:ind w:firstLine="720"/>
        <w:jc w:val="both"/>
        <w:rPr>
          <w:rFonts w:ascii="Times New Roman" w:hAnsi="Times New Roman" w:cs="Times New Roman"/>
          <w:lang w:val="en-US"/>
        </w:rPr>
      </w:pPr>
      <w:r w:rsidRPr="00966FED">
        <w:rPr>
          <w:rFonts w:ascii="Times New Roman" w:hAnsi="Times New Roman" w:cs="Times New Roman"/>
          <w:lang w:val="en-US"/>
        </w:rPr>
        <w:t xml:space="preserve">Developing a sustainable and environmentally friendly fire-retardant coating has become a critical focus on reducing reliance on non-renewable raw materials in the production of conventional coatings, specifically for steel structure applications. While steel offers flexibility in design and high strength-to-weight ratio, it loses mechanical integrity at elevated temperatures, which may result in structural collapse. This study focuses on optimizing a </w:t>
      </w:r>
      <w:proofErr w:type="spellStart"/>
      <w:r w:rsidRPr="00966FED">
        <w:rPr>
          <w:rFonts w:ascii="Times New Roman" w:hAnsi="Times New Roman" w:cs="Times New Roman"/>
          <w:lang w:val="en-US"/>
        </w:rPr>
        <w:t>nanosilica</w:t>
      </w:r>
      <w:proofErr w:type="spellEnd"/>
      <w:r w:rsidRPr="00966FED">
        <w:rPr>
          <w:rFonts w:ascii="Times New Roman" w:hAnsi="Times New Roman" w:cs="Times New Roman"/>
          <w:lang w:val="en-US"/>
        </w:rPr>
        <w:t xml:space="preserve">-enhanced geopolymer fire-retardant coating (GFC) derived from sugarcane bagasse ash (SCBA) and </w:t>
      </w:r>
      <w:proofErr w:type="spellStart"/>
      <w:r w:rsidRPr="00966FED">
        <w:rPr>
          <w:rFonts w:ascii="Times New Roman" w:hAnsi="Times New Roman" w:cs="Times New Roman"/>
          <w:lang w:val="en-US"/>
        </w:rPr>
        <w:t>Kauswagan</w:t>
      </w:r>
      <w:proofErr w:type="spellEnd"/>
      <w:r w:rsidRPr="00966FED">
        <w:rPr>
          <w:rFonts w:ascii="Times New Roman" w:hAnsi="Times New Roman" w:cs="Times New Roman"/>
          <w:lang w:val="en-US"/>
        </w:rPr>
        <w:t xml:space="preserve"> Red Clay (KRC) using response surface methodology (RSM). The effects of Si/Al ratio, </w:t>
      </w:r>
      <w:proofErr w:type="spellStart"/>
      <w:r w:rsidRPr="00966FED">
        <w:rPr>
          <w:rFonts w:ascii="Times New Roman" w:hAnsi="Times New Roman" w:cs="Times New Roman"/>
          <w:lang w:val="en-US"/>
        </w:rPr>
        <w:t>nanosilica</w:t>
      </w:r>
      <w:proofErr w:type="spellEnd"/>
      <w:r w:rsidRPr="00966FED">
        <w:rPr>
          <w:rFonts w:ascii="Times New Roman" w:hAnsi="Times New Roman" w:cs="Times New Roman"/>
          <w:lang w:val="en-US"/>
        </w:rPr>
        <w:t xml:space="preserve"> </w:t>
      </w:r>
      <w:proofErr w:type="spellStart"/>
      <w:r w:rsidRPr="00966FED">
        <w:rPr>
          <w:rFonts w:ascii="Times New Roman" w:hAnsi="Times New Roman" w:cs="Times New Roman"/>
          <w:lang w:val="en-US"/>
        </w:rPr>
        <w:t>wt</w:t>
      </w:r>
      <w:proofErr w:type="spellEnd"/>
      <w:r w:rsidRPr="00966FED">
        <w:rPr>
          <w:rFonts w:ascii="Times New Roman" w:hAnsi="Times New Roman" w:cs="Times New Roman"/>
          <w:lang w:val="en-US"/>
        </w:rPr>
        <w:t xml:space="preserve">%, and geopolymer-binder-coating-to-alkyd paint (GBC/AP) ratio on the fire-resistance properties were evaluated. Experimental results that the increase in Si/Al ratio, </w:t>
      </w:r>
      <w:proofErr w:type="spellStart"/>
      <w:r w:rsidRPr="00966FED">
        <w:rPr>
          <w:rFonts w:ascii="Times New Roman" w:hAnsi="Times New Roman" w:cs="Times New Roman"/>
          <w:lang w:val="en-US"/>
        </w:rPr>
        <w:t>nanosilica</w:t>
      </w:r>
      <w:proofErr w:type="spellEnd"/>
      <w:r w:rsidRPr="00966FED">
        <w:rPr>
          <w:rFonts w:ascii="Times New Roman" w:hAnsi="Times New Roman" w:cs="Times New Roman"/>
          <w:lang w:val="en-US"/>
        </w:rPr>
        <w:t xml:space="preserve"> </w:t>
      </w:r>
      <w:proofErr w:type="spellStart"/>
      <w:r w:rsidRPr="00966FED">
        <w:rPr>
          <w:rFonts w:ascii="Times New Roman" w:hAnsi="Times New Roman" w:cs="Times New Roman"/>
          <w:lang w:val="en-US"/>
        </w:rPr>
        <w:t>wt</w:t>
      </w:r>
      <w:proofErr w:type="spellEnd"/>
      <w:r w:rsidRPr="00966FED">
        <w:rPr>
          <w:rFonts w:ascii="Times New Roman" w:hAnsi="Times New Roman" w:cs="Times New Roman"/>
          <w:lang w:val="en-US"/>
        </w:rPr>
        <w:t xml:space="preserve">%, and GBC/AP ratio significantly improved the thermal performance. The optimized GFC formulation (Si/Al ratio = 4.728 ±0.001, </w:t>
      </w:r>
      <w:proofErr w:type="spellStart"/>
      <w:r w:rsidRPr="00966FED">
        <w:rPr>
          <w:rFonts w:ascii="Times New Roman" w:hAnsi="Times New Roman" w:cs="Times New Roman"/>
          <w:lang w:val="en-US"/>
        </w:rPr>
        <w:t>nanosilica</w:t>
      </w:r>
      <w:proofErr w:type="spellEnd"/>
      <w:r w:rsidRPr="00966FED">
        <w:rPr>
          <w:rFonts w:ascii="Times New Roman" w:hAnsi="Times New Roman" w:cs="Times New Roman"/>
          <w:lang w:val="en-US"/>
        </w:rPr>
        <w:t xml:space="preserve"> </w:t>
      </w:r>
      <w:proofErr w:type="spellStart"/>
      <w:r w:rsidRPr="00966FED">
        <w:rPr>
          <w:rFonts w:ascii="Times New Roman" w:hAnsi="Times New Roman" w:cs="Times New Roman"/>
          <w:lang w:val="en-US"/>
        </w:rPr>
        <w:t>wt</w:t>
      </w:r>
      <w:proofErr w:type="spellEnd"/>
      <w:r w:rsidRPr="00966FED">
        <w:rPr>
          <w:rFonts w:ascii="Times New Roman" w:hAnsi="Times New Roman" w:cs="Times New Roman"/>
          <w:lang w:val="en-US"/>
        </w:rPr>
        <w:t xml:space="preserve"> % = 0.583 ±0.001, GBC/AP = 0.497 ±0.001) took 326 s to reach 300 °C (TT300), which outperforms the AP without the GBC (TT300 = 82 s). Adhesion test results showed that the incorporation of GBC does not compromise the adhesion of the coating. Thermogravimetric analysis (TGA) further supported that the best sample has higher residual weight and better thermal stability. Scanning Electron Microscopy (SEM) analysis revealed that lower Si/Al ratios led to severe cracking while excessive Si/Al ratio resulted to more unreacted particles. Higher </w:t>
      </w:r>
      <w:proofErr w:type="spellStart"/>
      <w:r w:rsidRPr="00966FED">
        <w:rPr>
          <w:rFonts w:ascii="Times New Roman" w:hAnsi="Times New Roman" w:cs="Times New Roman"/>
          <w:lang w:val="en-US"/>
        </w:rPr>
        <w:t>nanosilica</w:t>
      </w:r>
      <w:proofErr w:type="spellEnd"/>
      <w:r w:rsidRPr="00966FED">
        <w:rPr>
          <w:rFonts w:ascii="Times New Roman" w:hAnsi="Times New Roman" w:cs="Times New Roman"/>
          <w:lang w:val="en-US"/>
        </w:rPr>
        <w:t xml:space="preserve"> and lower GBC/AP ratio enhance the homogeneity of the coating. Results highlight the potential of GFC as an eco-friendly alternative to conventional coatings for steel protection.</w:t>
      </w:r>
    </w:p>
    <w:p w14:paraId="0DFE2686" w14:textId="6AD70128" w:rsidR="00694BC7" w:rsidRPr="00966FED" w:rsidRDefault="000C11D6" w:rsidP="00E93491">
      <w:pPr>
        <w:spacing w:line="240" w:lineRule="auto"/>
        <w:jc w:val="both"/>
        <w:rPr>
          <w:rFonts w:ascii="Times New Roman" w:hAnsi="Times New Roman" w:cs="Times New Roman"/>
          <w:b/>
          <w:bCs/>
        </w:rPr>
      </w:pPr>
      <w:r w:rsidRPr="00966FED">
        <w:rPr>
          <w:rFonts w:ascii="Times New Roman" w:hAnsi="Times New Roman" w:cs="Times New Roman"/>
          <w:b/>
          <w:bCs/>
        </w:rPr>
        <w:t xml:space="preserve">Keywords: </w:t>
      </w:r>
      <w:r w:rsidR="001D16BD" w:rsidRPr="00966FED">
        <w:rPr>
          <w:rFonts w:ascii="Times New Roman" w:hAnsi="Times New Roman" w:cs="Times New Roman"/>
          <w:b/>
          <w:bCs/>
        </w:rPr>
        <w:t xml:space="preserve">sugarcane bagasse ash, </w:t>
      </w:r>
      <w:proofErr w:type="spellStart"/>
      <w:r w:rsidR="001D16BD" w:rsidRPr="00966FED">
        <w:rPr>
          <w:rFonts w:ascii="Times New Roman" w:hAnsi="Times New Roman" w:cs="Times New Roman"/>
          <w:b/>
          <w:bCs/>
        </w:rPr>
        <w:t>kauswagan</w:t>
      </w:r>
      <w:proofErr w:type="spellEnd"/>
      <w:r w:rsidR="001D16BD" w:rsidRPr="00966FED">
        <w:rPr>
          <w:rFonts w:ascii="Times New Roman" w:hAnsi="Times New Roman" w:cs="Times New Roman"/>
          <w:b/>
          <w:bCs/>
        </w:rPr>
        <w:t xml:space="preserve"> red clay, </w:t>
      </w:r>
      <w:proofErr w:type="spellStart"/>
      <w:r w:rsidR="001D16BD" w:rsidRPr="00966FED">
        <w:rPr>
          <w:rFonts w:ascii="Times New Roman" w:hAnsi="Times New Roman" w:cs="Times New Roman"/>
          <w:b/>
          <w:bCs/>
        </w:rPr>
        <w:t>nanosilica</w:t>
      </w:r>
      <w:proofErr w:type="spellEnd"/>
      <w:r w:rsidR="001D16BD" w:rsidRPr="00966FED">
        <w:rPr>
          <w:rFonts w:ascii="Times New Roman" w:hAnsi="Times New Roman" w:cs="Times New Roman"/>
          <w:b/>
          <w:bCs/>
        </w:rPr>
        <w:t>; response surface methodology, geopolymer, coating, paint</w:t>
      </w:r>
    </w:p>
    <w:p w14:paraId="4E3F3771" w14:textId="640CC485" w:rsidR="00694BC7" w:rsidRPr="00966FED" w:rsidRDefault="00694BC7"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INTRODUCTION</w:t>
      </w:r>
    </w:p>
    <w:p w14:paraId="5D14BF74"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Rapid technological progress has significantly contributed to the advancement of more efficient construction methods, especially within structural applications. In the construction industry, steel has been widely used mainly due to its relatively optimal cost, great flexibility in design, and high strength-to-weight ratio, which allows construction to save a significant amount of time and money without compromising the structure's durability. Common applications of steel are in the construction of infrastructures and high-rise steel structures. However, one disadvantage of steel is that during fire incidents in which it is exposed to extreme temperatures and heat, the structural steel begins to soften when the temperature reaches 425 °C and the steel starts to lose its strength and stiffness  when the temperature reaches between 600 °C and 650 °C, which may cause the structure to collapse that could result in damages to properties, injuries, or even death [1]. The Bureau of Fire and Protection (BFP) reported an average of 15,713 fire incidents, 855 fire-related injuries, 253 fire-related deaths, and P4.599 billion pesos worth of asset losses in the Philippines for the year 2013-2018. Additionally, it was emphasized that the Philippines ranked 3rd for the highest fire and fire-related incidents in Asia for the year 2018 [2].</w:t>
      </w:r>
    </w:p>
    <w:p w14:paraId="0001A4AE"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lastRenderedPageBreak/>
        <w:t xml:space="preserve">To address this issue, a range of strategies has been developed, among which passive fire protection (PFP) methods are prominent. PFP systems function by limiting fire propagation through the implementation of physical barriers designed to compartmentalize and contain the spread of flames and heat. An example of passive fire protection methods is intumescent coatings. Intumescent coatings react to heat by swelling in a controlled manner up to a hundred times its original thickness. This process generates a carbonaceous char composed of numerous microbubbles, which form an effective insulating layer. This barrier mitigates thermal and mass transport by limiting the transfer of heat and volatiles between the condensed and vapor phases, thereby protecting the underlying substrate [3]. Most intumescent coatings are based on a conventional system comprising three primary components: an acid source (typically ammonium polyphosphate, APP), a carbon source (pentaerythritol, PER), and a blowing agent (melamine, MEL), all integrated within an organic polymer binder. The APP-PER-MEL system is widely utilized due to its effective intumescence and char-forming capabilities. The performance characteristics of intumescent coatings are largely influenced by the specific formulation and ratios of these components [4]. To further improve the fire resistance performance of coatings, researchers explored the use of additives. Yan et al. incorporated </w:t>
      </w:r>
      <w:proofErr w:type="spellStart"/>
      <w:r w:rsidRPr="00C24AE6">
        <w:rPr>
          <w:rFonts w:ascii="Times New Roman" w:hAnsi="Times New Roman" w:cs="Times New Roman"/>
          <w:lang w:val="en-US"/>
        </w:rPr>
        <w:t>nanosilica</w:t>
      </w:r>
      <w:proofErr w:type="spellEnd"/>
      <w:r w:rsidRPr="00C24AE6">
        <w:rPr>
          <w:rFonts w:ascii="Times New Roman" w:hAnsi="Times New Roman" w:cs="Times New Roman"/>
          <w:lang w:val="en-US"/>
        </w:rPr>
        <w:t xml:space="preserve"> as an additive to the conventional key components to synthesize a silica-modified cyclic polyphosphate (SPEA) coating. Results show that the addition of </w:t>
      </w:r>
      <w:proofErr w:type="spellStart"/>
      <w:r w:rsidRPr="00C24AE6">
        <w:rPr>
          <w:rFonts w:ascii="Times New Roman" w:hAnsi="Times New Roman" w:cs="Times New Roman"/>
          <w:lang w:val="en-US"/>
        </w:rPr>
        <w:t>nanosilica</w:t>
      </w:r>
      <w:proofErr w:type="spellEnd"/>
      <w:r w:rsidRPr="00C24AE6">
        <w:rPr>
          <w:rFonts w:ascii="Times New Roman" w:hAnsi="Times New Roman" w:cs="Times New Roman"/>
          <w:lang w:val="en-US"/>
        </w:rPr>
        <w:t xml:space="preserve"> has a significant improvement in the thermal properties and performance of the intumescent coating. It reduces weight loss, flame speed rating, heat and smoke release, and creates a more stable intumescent char layer during combustion [5]. Wang et al. investigated the combined effect of </w:t>
      </w:r>
      <w:proofErr w:type="spellStart"/>
      <w:r w:rsidRPr="00C24AE6">
        <w:rPr>
          <w:rFonts w:ascii="Times New Roman" w:hAnsi="Times New Roman" w:cs="Times New Roman"/>
          <w:lang w:val="en-US"/>
        </w:rPr>
        <w:t>nanosilica</w:t>
      </w:r>
      <w:proofErr w:type="spellEnd"/>
      <w:r w:rsidRPr="00C24AE6">
        <w:rPr>
          <w:rFonts w:ascii="Times New Roman" w:hAnsi="Times New Roman" w:cs="Times New Roman"/>
          <w:lang w:val="en-US"/>
        </w:rPr>
        <w:t xml:space="preserve"> and intumescent flame retardant on polypropylene composites. It was found that the addition of </w:t>
      </w:r>
      <w:proofErr w:type="spellStart"/>
      <w:r w:rsidRPr="00C24AE6">
        <w:rPr>
          <w:rFonts w:ascii="Times New Roman" w:hAnsi="Times New Roman" w:cs="Times New Roman"/>
          <w:lang w:val="en-US"/>
        </w:rPr>
        <w:t>nanosilica</w:t>
      </w:r>
      <w:proofErr w:type="spellEnd"/>
      <w:r w:rsidRPr="00C24AE6">
        <w:rPr>
          <w:rFonts w:ascii="Times New Roman" w:hAnsi="Times New Roman" w:cs="Times New Roman"/>
          <w:lang w:val="en-US"/>
        </w:rPr>
        <w:t xml:space="preserve">, for as low as 1 </w:t>
      </w:r>
      <w:proofErr w:type="spellStart"/>
      <w:r w:rsidRPr="00C24AE6">
        <w:rPr>
          <w:rFonts w:ascii="Times New Roman" w:hAnsi="Times New Roman" w:cs="Times New Roman"/>
          <w:lang w:val="en-US"/>
        </w:rPr>
        <w:t>wt</w:t>
      </w:r>
      <w:proofErr w:type="spellEnd"/>
      <w:r w:rsidRPr="00C24AE6">
        <w:rPr>
          <w:rFonts w:ascii="Times New Roman" w:hAnsi="Times New Roman" w:cs="Times New Roman"/>
          <w:lang w:val="en-US"/>
        </w:rPr>
        <w:t xml:space="preserve"> %, enhances the fire-resistant properties of the polypropylene composites [6]. </w:t>
      </w:r>
    </w:p>
    <w:p w14:paraId="5A174B07"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Although intumescent coatings possess good fire ratings and a high-quality finish, they also have their disadvantages. A disadvantage of intumescent coatings is their dependence on environmental conditions, which may cause unnecessary reaction between the APP and MEL. Additionally, intumescent coatings have poor corrosion resistance when applied outdoors due to the presence of water-sensitive ingredients in the formulation [7]. Moreover, another disadvantage is their reliance on non-renewable raw materials as the carbon source, such as pentaerythritol [8]. This led to the development of a greener and more sustainable way of synthesizing coatings, which is geopolymers. The advantage of geopolymers is they can retain their structure without significant decomposition even when subjected to temperatures relative to refractory applications due to their excellent fire resistance properties, durability, and mechanical strength [9], [10], [11], [12], [13]. </w:t>
      </w:r>
    </w:p>
    <w:p w14:paraId="4AA61EA4"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 xml:space="preserve">Geopolymers are synthesized by polymerization of aluminosilicate-rich minerals such as fly ash, metakaolin, mine tailings, slag, and red mud in an alkaline environment. However, using different raw materials results in varying physical and chemical properties of geopolymers [14], [15]. This led to a rise in interest in exploring different raw materials and several factors to ensure the effectiveness of geopolymers in fire-resistant coating applications. Temuujin et al. investigated the Si/Al ratios (1, 2, and 2.5) on the developed metakaolin-based geopolymer coating as a thermal barrier coating for application on stainless and mild steel substrates. It was observed that a Si/Al ratio of 2.5 provided the highest adhesive strength, exceeding 3.5 MPa, whereas ratios of 1 and 2 showed poor adhesion to the metal substrate. Furthermore, when exposed to 800 °C, the geopolymer coating with a Si/Al ratio of 2.5 expanded by 6%, while those with ratios of 1 and 2 experienced a 4% shrinkage [16]. A study by Mustafa Al Bakri et al. formulated geopolymer-based protective coatings by mixing fly ash with an alkaline activator (AA) solution for applications on high-temperature fire-resistant panels. The influence of varying </w:t>
      </w:r>
      <w:proofErr w:type="spellStart"/>
      <w:r w:rsidRPr="00C24AE6">
        <w:rPr>
          <w:rFonts w:ascii="Times New Roman" w:hAnsi="Times New Roman" w:cs="Times New Roman"/>
          <w:lang w:val="en-US"/>
        </w:rPr>
        <w:t>Na₂SiO</w:t>
      </w:r>
      <w:proofErr w:type="spellEnd"/>
      <w:r w:rsidRPr="00C24AE6">
        <w:rPr>
          <w:rFonts w:ascii="Times New Roman" w:hAnsi="Times New Roman" w:cs="Times New Roman"/>
          <w:lang w:val="en-US"/>
        </w:rPr>
        <w:t xml:space="preserve">₃/NaOH ratios and fly ash-to-alkaline activator (AA) ratios was examined. The highest compressive strength, 73.86 MPa, was achieved with a </w:t>
      </w:r>
      <w:proofErr w:type="spellStart"/>
      <w:r w:rsidRPr="00C24AE6">
        <w:rPr>
          <w:rFonts w:ascii="Times New Roman" w:hAnsi="Times New Roman" w:cs="Times New Roman"/>
          <w:lang w:val="en-US"/>
        </w:rPr>
        <w:t>Na₂SiO</w:t>
      </w:r>
      <w:proofErr w:type="spellEnd"/>
      <w:r w:rsidRPr="00C24AE6">
        <w:rPr>
          <w:rFonts w:ascii="Times New Roman" w:hAnsi="Times New Roman" w:cs="Times New Roman"/>
          <w:lang w:val="en-US"/>
        </w:rPr>
        <w:t xml:space="preserve">₃/NaOH ratio of 2.0 and a fly ash-to-AA ratio of 2.5 [17]. A recent study by Abdullah et al. developed a geopolymer-based coating using rice husk ash (RHA) as the source of aluminosilicate material mixed with alkyd paint (AP) for refractory coating application. The impact of varying aluminosilicate and AP ratios on the thermal performance of the coating was evaluated. The optimal formulation for the geopolymer coating was found to be 50 </w:t>
      </w:r>
      <w:proofErr w:type="spellStart"/>
      <w:r w:rsidRPr="00C24AE6">
        <w:rPr>
          <w:rFonts w:ascii="Times New Roman" w:hAnsi="Times New Roman" w:cs="Times New Roman"/>
          <w:lang w:val="en-US"/>
        </w:rPr>
        <w:t>wt</w:t>
      </w:r>
      <w:proofErr w:type="spellEnd"/>
      <w:r w:rsidRPr="00C24AE6">
        <w:rPr>
          <w:rFonts w:ascii="Times New Roman" w:hAnsi="Times New Roman" w:cs="Times New Roman"/>
          <w:lang w:val="en-US"/>
        </w:rPr>
        <w:t xml:space="preserve">% RHA-based geopolymer fire retardant combined with 82.628 </w:t>
      </w:r>
      <w:proofErr w:type="spellStart"/>
      <w:r w:rsidRPr="00C24AE6">
        <w:rPr>
          <w:rFonts w:ascii="Times New Roman" w:hAnsi="Times New Roman" w:cs="Times New Roman"/>
          <w:lang w:val="en-US"/>
        </w:rPr>
        <w:t>wt</w:t>
      </w:r>
      <w:proofErr w:type="spellEnd"/>
      <w:r w:rsidRPr="00C24AE6">
        <w:rPr>
          <w:rFonts w:ascii="Times New Roman" w:hAnsi="Times New Roman" w:cs="Times New Roman"/>
          <w:lang w:val="en-US"/>
        </w:rPr>
        <w:t xml:space="preserve">% paint [18]. It was evident that geopolymers using different industrial and agricultural wastes as sources of aluminosilicate showed an excellent fire-resistant performance. However, research on sugarcane bagasse ash (SCBA) and </w:t>
      </w:r>
      <w:proofErr w:type="spellStart"/>
      <w:r w:rsidRPr="00C24AE6">
        <w:rPr>
          <w:rFonts w:ascii="Times New Roman" w:hAnsi="Times New Roman" w:cs="Times New Roman"/>
          <w:lang w:val="en-US"/>
        </w:rPr>
        <w:t>Kauswagan</w:t>
      </w:r>
      <w:proofErr w:type="spellEnd"/>
      <w:r w:rsidRPr="00C24AE6">
        <w:rPr>
          <w:rFonts w:ascii="Times New Roman" w:hAnsi="Times New Roman" w:cs="Times New Roman"/>
          <w:lang w:val="en-US"/>
        </w:rPr>
        <w:t xml:space="preserve"> red clay (KRC) as sources of aluminosilicate for the synthesis of geopolymer coating remained unexplored. </w:t>
      </w:r>
    </w:p>
    <w:p w14:paraId="61F24BC6"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 xml:space="preserve">Sugarcane bagasse ash (SCBA) and clay-based materials can provide complementary advantages when used together as aluminosilicate precursors in geopolymer synthesis. SCBA is typically rich in amorphous silica </w:t>
      </w:r>
      <w:r w:rsidRPr="00C24AE6">
        <w:rPr>
          <w:rFonts w:ascii="Times New Roman" w:hAnsi="Times New Roman" w:cs="Times New Roman"/>
          <w:lang w:val="en-US"/>
        </w:rPr>
        <w:lastRenderedPageBreak/>
        <w:t>(</w:t>
      </w:r>
      <w:proofErr w:type="spellStart"/>
      <w:r w:rsidRPr="00C24AE6">
        <w:rPr>
          <w:rFonts w:ascii="Times New Roman" w:hAnsi="Times New Roman" w:cs="Times New Roman"/>
          <w:lang w:val="en-US"/>
        </w:rPr>
        <w:t>SiO</w:t>
      </w:r>
      <w:proofErr w:type="spellEnd"/>
      <w:r w:rsidRPr="00C24AE6">
        <w:rPr>
          <w:rFonts w:ascii="Times New Roman" w:hAnsi="Times New Roman" w:cs="Times New Roman"/>
          <w:lang w:val="en-US"/>
        </w:rPr>
        <w:t xml:space="preserve">₂), which contributes to improved thermal stability and promotes the formation of a more extensive silicate network during </w:t>
      </w:r>
      <w:proofErr w:type="spellStart"/>
      <w:r w:rsidRPr="00C24AE6">
        <w:rPr>
          <w:rFonts w:ascii="Times New Roman" w:hAnsi="Times New Roman" w:cs="Times New Roman"/>
          <w:lang w:val="en-US"/>
        </w:rPr>
        <w:t>geopolymerization</w:t>
      </w:r>
      <w:proofErr w:type="spellEnd"/>
      <w:r w:rsidRPr="00C24AE6">
        <w:rPr>
          <w:rFonts w:ascii="Times New Roman" w:hAnsi="Times New Roman" w:cs="Times New Roman"/>
          <w:lang w:val="en-US"/>
        </w:rPr>
        <w:t>. However, SCBA generally contains relatively lower amounts of alumina (</w:t>
      </w:r>
      <w:proofErr w:type="spellStart"/>
      <w:r w:rsidRPr="00C24AE6">
        <w:rPr>
          <w:rFonts w:ascii="Times New Roman" w:hAnsi="Times New Roman" w:cs="Times New Roman"/>
          <w:lang w:val="en-US"/>
        </w:rPr>
        <w:t>Al₂O</w:t>
      </w:r>
      <w:proofErr w:type="spellEnd"/>
      <w:r w:rsidRPr="00C24AE6">
        <w:rPr>
          <w:rFonts w:ascii="Times New Roman" w:hAnsi="Times New Roman" w:cs="Times New Roman"/>
          <w:lang w:val="en-US"/>
        </w:rPr>
        <w:t xml:space="preserve">₃), which may limit the formation of a balanced aluminosilicate framework when used alone. In contrast, red clays such as </w:t>
      </w:r>
      <w:proofErr w:type="spellStart"/>
      <w:r w:rsidRPr="00C24AE6">
        <w:rPr>
          <w:rFonts w:ascii="Times New Roman" w:hAnsi="Times New Roman" w:cs="Times New Roman"/>
          <w:lang w:val="en-US"/>
        </w:rPr>
        <w:t>Kauswagan</w:t>
      </w:r>
      <w:proofErr w:type="spellEnd"/>
      <w:r w:rsidRPr="00C24AE6">
        <w:rPr>
          <w:rFonts w:ascii="Times New Roman" w:hAnsi="Times New Roman" w:cs="Times New Roman"/>
          <w:lang w:val="en-US"/>
        </w:rPr>
        <w:t xml:space="preserve"> Red Clay (KRC) contain significantly higher alumina content that can enhance the formation of a stronger geopolymer network through increased Si–O–Al linkages within the matrix. By combining SCBA and KRC, a more balanced Si/Al ratio can be achieved, which is a critical parameter influencing the mechanical strength, thermal stability, and microstructural integrity of geopolymer materials [14], [16]. The silica-rich SCBA contributes to the formation of thermally stable silicate structures, while the alumina-rich KRC promotes cross-linking within the geopolymer framework, resulting in a denser and more stable matrix. This complementary interaction is expected to improve structural stability and enhance the fire-resistant performance of the developed coating compared to formulations utilizing a single precursor source.</w:t>
      </w:r>
    </w:p>
    <w:p w14:paraId="2751CEBC"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Sugarcane bagasse ash is produced through the high-temperature combustion of sugarcane bagasse (SCB), a by-product of sugar manufacturing. Sugarcane is among the most extensively cultivated crops globally, particularly in Asia and Southeast Asia. In the Philippines, sugarcane is currently grown in eight regions. Western Visayas is considered the largest producer of sugarcane, with 1.44 million metric tons, which is 55% of the country’s production. Northern Mindanao ranks second and contributes 14.9% of the national production [19]. On average, the Philippines produced 23 million tons of sugarcane from 1990-2017 [20]. Following the extraction of sugar, 29% of the sugarcane becomes SCB, a substantial fibrous waste material. Sugar mills and bio-ethanol distilleries then valorize the waste SCB by burning it to generate energy for plant-related operations. However, 30-50% of the generated bagasse remains unused and poses a problem as it requires space for proper disposal. Excess bagasse often accumulates in open areas, leading to "bagasse storms" where loose fibers are carried by the wind, posing environmental and health hazards. Additionally, the seasonal nature of sugar mill operations contributes to the buildup of unused SCB, raising growing environmental concerns over the disposal of these unutilized agricultural residues [21], [22]. Rising concerns over sugarcane bagasse (SCB) have prompted researchers to explore methods for maximizing its use while creating eco-friendly materials. One proposed solution is the combustion of SCB to produce sugarcane bagasse ash (SCBA). This process yields about 2–3% of the original SCB's mass as SCBA, which is rich in aluminosilicates and can serve as a valuable raw material for geopolymer production [23]. </w:t>
      </w:r>
    </w:p>
    <w:p w14:paraId="0874DA0B"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 xml:space="preserve">On the other hand, clays are naturally occurring soils formed through the long-term weathering of rocks and minerals. They are abundant in aluminosilicates, making them essential for geopolymer synthesis. Thanks to their chemical makeup, clays are considered valuable precursor materials for producing geopolymer binders and coatings. However, in their natural state, most clays have low reactivity, which limits their direct use in </w:t>
      </w:r>
      <w:proofErr w:type="spellStart"/>
      <w:r w:rsidRPr="00C24AE6">
        <w:rPr>
          <w:rFonts w:ascii="Times New Roman" w:hAnsi="Times New Roman" w:cs="Times New Roman"/>
          <w:lang w:val="en-US"/>
        </w:rPr>
        <w:t>geopolymerization</w:t>
      </w:r>
      <w:proofErr w:type="spellEnd"/>
      <w:r w:rsidRPr="00C24AE6">
        <w:rPr>
          <w:rFonts w:ascii="Times New Roman" w:hAnsi="Times New Roman" w:cs="Times New Roman"/>
          <w:lang w:val="en-US"/>
        </w:rPr>
        <w:t>. To improve their reactivity, thermal activation is applied to remove structural water from the clay [24]. Researchers have explored various types of clays as precursor sources for geopolymer synthesis, including natural clay, metakaolin, and red clay. Natural clays are widely available but often require processing to improve their reactivity. Metakaolin, derived from thermally activated kaolinite, is among the most effective geopolymer precursors due to its high purity and reactivity. Red clay, which contains significant amounts of iron oxide (</w:t>
      </w:r>
      <w:proofErr w:type="spellStart"/>
      <w:r w:rsidRPr="00C24AE6">
        <w:rPr>
          <w:rFonts w:ascii="Times New Roman" w:hAnsi="Times New Roman" w:cs="Times New Roman"/>
          <w:lang w:val="en-US"/>
        </w:rPr>
        <w:t>Fe₂O</w:t>
      </w:r>
      <w:proofErr w:type="spellEnd"/>
      <w:r w:rsidRPr="00C24AE6">
        <w:rPr>
          <w:rFonts w:ascii="Times New Roman" w:hAnsi="Times New Roman" w:cs="Times New Roman"/>
          <w:lang w:val="en-US"/>
        </w:rPr>
        <w:t xml:space="preserve">₃), has also been investigated, although its role in </w:t>
      </w:r>
      <w:proofErr w:type="spellStart"/>
      <w:r w:rsidRPr="00C24AE6">
        <w:rPr>
          <w:rFonts w:ascii="Times New Roman" w:hAnsi="Times New Roman" w:cs="Times New Roman"/>
          <w:lang w:val="en-US"/>
        </w:rPr>
        <w:t>geopolymerization</w:t>
      </w:r>
      <w:proofErr w:type="spellEnd"/>
      <w:r w:rsidRPr="00C24AE6">
        <w:rPr>
          <w:rFonts w:ascii="Times New Roman" w:hAnsi="Times New Roman" w:cs="Times New Roman"/>
          <w:lang w:val="en-US"/>
        </w:rPr>
        <w:t xml:space="preserve"> is still being studied due to potential effects on structural and thermal properties [25], [26], [27]. </w:t>
      </w:r>
    </w:p>
    <w:p w14:paraId="05DD8003"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 xml:space="preserve">Despite extensive research on various clay-based precursors, KRC has remained largely unexplored for geopolymer coating applications. This fine-grained soil is locally abundant and readily available in the municipality of </w:t>
      </w:r>
      <w:proofErr w:type="spellStart"/>
      <w:r w:rsidRPr="00C24AE6">
        <w:rPr>
          <w:rFonts w:ascii="Times New Roman" w:hAnsi="Times New Roman" w:cs="Times New Roman"/>
          <w:lang w:val="en-US"/>
        </w:rPr>
        <w:t>Kauswagan</w:t>
      </w:r>
      <w:proofErr w:type="spellEnd"/>
      <w:r w:rsidRPr="00C24AE6">
        <w:rPr>
          <w:rFonts w:ascii="Times New Roman" w:hAnsi="Times New Roman" w:cs="Times New Roman"/>
          <w:lang w:val="en-US"/>
        </w:rPr>
        <w:t>, Lanao del Norte, Philippines, yet it remains an untapped resource [28]. Its potential as a geopolymer precursor is of particular interest due to its availability and chemical composition, which could make it a cost-effective and sustainable alternative to conventional geopolymer materials. Exploring the potential of KRC for geopolymer coatings could offer a new strategy for improving fire resistance, mechanical strength, and environmental sustainability. This investigation may also yield valuable insights into the effective use of locally available resources for advanced material applications.</w:t>
      </w:r>
    </w:p>
    <w:p w14:paraId="1D84A66B" w14:textId="77777777" w:rsidR="00C24AE6" w:rsidRPr="00C24AE6" w:rsidRDefault="00C24AE6" w:rsidP="00E93491">
      <w:pPr>
        <w:spacing w:before="240" w:after="240" w:line="240" w:lineRule="auto"/>
        <w:jc w:val="both"/>
        <w:rPr>
          <w:rFonts w:ascii="Times New Roman" w:hAnsi="Times New Roman" w:cs="Times New Roman"/>
          <w:lang w:val="en-US"/>
        </w:rPr>
      </w:pPr>
      <w:r w:rsidRPr="00C24AE6">
        <w:rPr>
          <w:rFonts w:ascii="Times New Roman" w:hAnsi="Times New Roman" w:cs="Times New Roman"/>
          <w:lang w:val="en-US"/>
        </w:rPr>
        <w:t xml:space="preserve">In this study, sugarcane bagasse ash (SCBA) and </w:t>
      </w:r>
      <w:proofErr w:type="spellStart"/>
      <w:r w:rsidRPr="00C24AE6">
        <w:rPr>
          <w:rFonts w:ascii="Times New Roman" w:hAnsi="Times New Roman" w:cs="Times New Roman"/>
          <w:lang w:val="en-US"/>
        </w:rPr>
        <w:t>Kauswagan</w:t>
      </w:r>
      <w:proofErr w:type="spellEnd"/>
      <w:r w:rsidRPr="00C24AE6">
        <w:rPr>
          <w:rFonts w:ascii="Times New Roman" w:hAnsi="Times New Roman" w:cs="Times New Roman"/>
          <w:lang w:val="en-US"/>
        </w:rPr>
        <w:t xml:space="preserve"> Red Clay (KRC) are explored as alternative aluminosilicate precursors for the development of a geopolymer-based fire-retardant coating for steel applications. By utilizing these locally available waste materials, the research aims to contribute to the advancement of sustainable, cost-effective, and environmentally friendly fire protection solutions. To optimize </w:t>
      </w:r>
      <w:r w:rsidRPr="00C24AE6">
        <w:rPr>
          <w:rFonts w:ascii="Times New Roman" w:hAnsi="Times New Roman" w:cs="Times New Roman"/>
          <w:lang w:val="en-US"/>
        </w:rPr>
        <w:lastRenderedPageBreak/>
        <w:t xml:space="preserve">the coating’s formulation, response surface methodology (RSM), specifically the Box-Behnken design model, is employed to investigate the effects of key parameters, including the Si/Al ratio, </w:t>
      </w:r>
      <w:proofErr w:type="spellStart"/>
      <w:r w:rsidRPr="00C24AE6">
        <w:rPr>
          <w:rFonts w:ascii="Times New Roman" w:hAnsi="Times New Roman" w:cs="Times New Roman"/>
          <w:lang w:val="en-US"/>
        </w:rPr>
        <w:t>nanosilica</w:t>
      </w:r>
      <w:proofErr w:type="spellEnd"/>
      <w:r w:rsidRPr="00C24AE6">
        <w:rPr>
          <w:rFonts w:ascii="Times New Roman" w:hAnsi="Times New Roman" w:cs="Times New Roman"/>
          <w:lang w:val="en-US"/>
        </w:rPr>
        <w:t xml:space="preserve"> </w:t>
      </w:r>
      <w:proofErr w:type="spellStart"/>
      <w:r w:rsidRPr="00C24AE6">
        <w:rPr>
          <w:rFonts w:ascii="Times New Roman" w:hAnsi="Times New Roman" w:cs="Times New Roman"/>
          <w:lang w:val="en-US"/>
        </w:rPr>
        <w:t>wt</w:t>
      </w:r>
      <w:proofErr w:type="spellEnd"/>
      <w:r w:rsidRPr="00C24AE6">
        <w:rPr>
          <w:rFonts w:ascii="Times New Roman" w:hAnsi="Times New Roman" w:cs="Times New Roman"/>
          <w:lang w:val="en-US"/>
        </w:rPr>
        <w:t xml:space="preserve"> %, and geopolymer-binder-coating-to-alkyd paint (GBC/AP) ratio. The developed geopolymer fire retardant coating (GFC) is then applied to steel substrates and subjected to mechanical and thermal performance evaluations, including adhesion tests, fire resistance tests, and thermogravimetric analysis (TGA). The surface morphology of the coating is characterized using scanning electron microscopy (SEM). Through this approach, the study aims to establish the feasibility of SCBA and KRC as viable geopolymer precursors while addressing the challenges associated with waste valorization and fire safety in industrial and structural applications. The findings are expected to contribute to the ongoing development of eco-efficient fireproofing technologies, paving the way for sustainable advancements in construction and materials engineering.</w:t>
      </w:r>
    </w:p>
    <w:p w14:paraId="46602B9F" w14:textId="5CEDDB60" w:rsidR="00064269" w:rsidRPr="00966FED" w:rsidRDefault="00064269"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METHODOLOGY</w:t>
      </w:r>
    </w:p>
    <w:p w14:paraId="7975C053" w14:textId="77777777" w:rsidR="004343C1" w:rsidRPr="00966FED" w:rsidRDefault="004343C1" w:rsidP="00E93491">
      <w:pPr>
        <w:spacing w:line="240" w:lineRule="auto"/>
        <w:jc w:val="both"/>
        <w:rPr>
          <w:rFonts w:ascii="Times New Roman" w:hAnsi="Times New Roman" w:cs="Times New Roman"/>
        </w:rPr>
      </w:pPr>
      <w:r w:rsidRPr="00966FED">
        <w:rPr>
          <w:rFonts w:ascii="Times New Roman" w:hAnsi="Times New Roman" w:cs="Times New Roman"/>
        </w:rPr>
        <w:t xml:space="preserve">The Box–Behnken design with five center points was used to optimize and evaluate the effects of the Si/Al ratio,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w:t>
      </w:r>
      <w:proofErr w:type="spellStart"/>
      <w:r w:rsidRPr="00966FED">
        <w:rPr>
          <w:rFonts w:ascii="Times New Roman" w:hAnsi="Times New Roman" w:cs="Times New Roman"/>
        </w:rPr>
        <w:t>wt</w:t>
      </w:r>
      <w:proofErr w:type="spellEnd"/>
      <w:r w:rsidRPr="00966FED">
        <w:rPr>
          <w:rFonts w:ascii="Times New Roman" w:hAnsi="Times New Roman" w:cs="Times New Roman"/>
        </w:rPr>
        <w:t xml:space="preserve"> percentage (</w:t>
      </w:r>
      <w:proofErr w:type="spellStart"/>
      <w:r w:rsidRPr="00966FED">
        <w:rPr>
          <w:rFonts w:ascii="Times New Roman" w:hAnsi="Times New Roman" w:cs="Times New Roman"/>
        </w:rPr>
        <w:t>wt</w:t>
      </w:r>
      <w:proofErr w:type="spellEnd"/>
      <w:r w:rsidRPr="00966FED">
        <w:rPr>
          <w:rFonts w:ascii="Times New Roman" w:hAnsi="Times New Roman" w:cs="Times New Roman"/>
        </w:rPr>
        <w:t>%), and geopolymer-binder-coating-to-alkyd paint (GBC/AP) ratio on the fire performance of the developed coating system. The design was employed as the response surface methodology (RSM) to investigate the interactions among these three formulation variables and their influence on the time required for the backside of the coated steel sheet to reach 300°C (TT300). The Box–Behnken Design was selected because it is one of the most commonly used experimental designs in RSM [29] and has demonstrated greater efficiency in response outcomes compared to the Central Composite Design and Full Factorial Design [30].</w:t>
      </w:r>
    </w:p>
    <w:p w14:paraId="35602651" w14:textId="77777777" w:rsidR="004343C1" w:rsidRPr="00966FED" w:rsidRDefault="004343C1" w:rsidP="00E93491">
      <w:pPr>
        <w:spacing w:line="240" w:lineRule="auto"/>
        <w:jc w:val="both"/>
        <w:rPr>
          <w:rFonts w:ascii="Times New Roman" w:hAnsi="Times New Roman" w:cs="Times New Roman"/>
        </w:rPr>
      </w:pPr>
      <w:r w:rsidRPr="00966FED">
        <w:rPr>
          <w:rFonts w:ascii="Times New Roman" w:hAnsi="Times New Roman" w:cs="Times New Roman"/>
        </w:rPr>
        <w:t xml:space="preserve">Three experimental factors were investigated in the experiment, the Si/Al ratio,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weight percentage (</w:t>
      </w:r>
      <w:proofErr w:type="spellStart"/>
      <w:r w:rsidRPr="00966FED">
        <w:rPr>
          <w:rFonts w:ascii="Times New Roman" w:hAnsi="Times New Roman" w:cs="Times New Roman"/>
        </w:rPr>
        <w:t>wt</w:t>
      </w:r>
      <w:proofErr w:type="spellEnd"/>
      <w:r w:rsidRPr="00966FED">
        <w:rPr>
          <w:rFonts w:ascii="Times New Roman" w:hAnsi="Times New Roman" w:cs="Times New Roman"/>
        </w:rPr>
        <w:t xml:space="preserve">%), and geopolymer-binder-coating-to-alkyd paint (GBC/AP) ratio which were designated as A, B, and C, respectively. The selected ranges of the formulation parameters were determined based on previous studies on geopolymer coatings and preliminary laboratory trials conducted prior to the experimental design. The Si/Al ratio range of 3–5 was selected because previous studies have shown that geopolymer systems within this range generally exhibit improved mechanical strength, thermal stability, and adhesion when used for high-temperature applications [16]. Ratios lower than this range tend to produce more rigid structures prone to cracking, while excessively high ratios may lead to incomplete dissolution of aluminosilicate precursors and reduced structural homogeneity. The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content range of 0.3–0.6 </w:t>
      </w:r>
      <w:proofErr w:type="spellStart"/>
      <w:r w:rsidRPr="00966FED">
        <w:rPr>
          <w:rFonts w:ascii="Times New Roman" w:hAnsi="Times New Roman" w:cs="Times New Roman"/>
        </w:rPr>
        <w:t>wt</w:t>
      </w:r>
      <w:proofErr w:type="spellEnd"/>
      <w:r w:rsidRPr="00966FED">
        <w:rPr>
          <w:rFonts w:ascii="Times New Roman" w:hAnsi="Times New Roman" w:cs="Times New Roman"/>
        </w:rPr>
        <w:t xml:space="preserve">% was selected based on studies demonstrating that small additions of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can significantly enhance the compactness of the geopolymer matrix and improve the formation of a stable char layer during fire exposure, while excessive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may lead to particle agglomeration and reduced dispersion within the coating system [5], [6]. The selected GBC/AP ratio range (0.3–0.5) was determined through preliminary mixing trials to ensure sufficient geopolymer incorporation while maintaining the workability, coating uniformity, and adhesion of the paint-based system.</w:t>
      </w:r>
    </w:p>
    <w:p w14:paraId="44AAB623" w14:textId="77777777" w:rsidR="004343C1" w:rsidRPr="00966FED" w:rsidRDefault="004343C1" w:rsidP="00E93491">
      <w:pPr>
        <w:spacing w:line="240" w:lineRule="auto"/>
        <w:jc w:val="both"/>
        <w:rPr>
          <w:rFonts w:ascii="Times New Roman" w:hAnsi="Times New Roman" w:cs="Times New Roman"/>
        </w:rPr>
      </w:pPr>
      <w:r w:rsidRPr="00966FED">
        <w:rPr>
          <w:rFonts w:ascii="Times New Roman" w:hAnsi="Times New Roman" w:cs="Times New Roman"/>
        </w:rPr>
        <w:t>The three levels and ranges of these factors are shown in Table 1. The main response in the experiment is the time taken for the backside of the steel sheet to reach 300°C (TT300). Design Expert software version 13 (Stat-Ease Inc., Minneapolis, MN, USA) was utilized to create the design matrix and serve as the statistical tool for data analysis. Analysis of variance (ANOVA) was conducted to assess the significance and interactions of the main factors, with a confidence level set at 95% and an alpha value of 0.05. Regression models were applied to examine the effects of different factors on fire performance, and contour plots were generated for clearer visualization. Additionally, the fire performance of the steel sheet coated with pure AP was evaluated as the positive control.</w:t>
      </w:r>
    </w:p>
    <w:p w14:paraId="0EE12898" w14:textId="77777777" w:rsidR="004343C1" w:rsidRPr="00966FED" w:rsidRDefault="004343C1" w:rsidP="00E93491">
      <w:pPr>
        <w:spacing w:line="240" w:lineRule="auto"/>
        <w:jc w:val="both"/>
        <w:rPr>
          <w:rFonts w:ascii="Times New Roman" w:eastAsiaTheme="minorEastAsia" w:hAnsi="Times New Roman" w:cs="Times New Roman"/>
          <w:b/>
          <w:bCs/>
          <w:color w:val="000000"/>
        </w:rPr>
      </w:pPr>
      <w:r w:rsidRPr="00966FED">
        <w:rPr>
          <w:rFonts w:ascii="Times New Roman" w:hAnsi="Times New Roman" w:cs="Times New Roman"/>
        </w:rPr>
        <w:t>The sugarcane bagasse (SCB) used in this study was sourced from Crystal Sugar Milling Company in Maramag, Bukidnon, Philippines. It was initially washed with running water to remove surface impurities and then oven-dried at 105°C for 24 hours. Following this, the dried SCB underwent a chemical pretreatment process involving soaking in 0.1 M HCl to eliminate residual minerals, metal ions, and other impurities. The pretreated SCB was then thoroughly rinsed with running water until the pH was neutralized, ensuring the removal of excess acid [31], [32]. After washing, the pretreated SCB was oven-dried at 105°C for 24 hours. The dried, pretreated SCB was subsequently subjected to controlled combustion in a furnace at 700°C for 3 hours [33]</w:t>
      </w:r>
      <w:r w:rsidRPr="00966FED">
        <w:rPr>
          <w:rFonts w:ascii="Times New Roman" w:eastAsiaTheme="minorEastAsia" w:hAnsi="Times New Roman" w:cs="Times New Roman"/>
          <w:b/>
          <w:bCs/>
          <w:color w:val="000000"/>
        </w:rPr>
        <w:t xml:space="preserve"> </w:t>
      </w:r>
    </w:p>
    <w:p w14:paraId="2685EEE4" w14:textId="77777777" w:rsidR="00041570" w:rsidRPr="00966FED" w:rsidRDefault="00041570" w:rsidP="00E93491">
      <w:pPr>
        <w:spacing w:line="240" w:lineRule="auto"/>
        <w:jc w:val="both"/>
        <w:rPr>
          <w:rFonts w:ascii="Times New Roman" w:eastAsiaTheme="minorEastAsia" w:hAnsi="Times New Roman" w:cs="Times New Roman"/>
          <w:b/>
          <w:bCs/>
          <w:color w:val="000000"/>
        </w:rPr>
      </w:pPr>
    </w:p>
    <w:p w14:paraId="52494425" w14:textId="77777777" w:rsidR="00F84AA5" w:rsidRPr="00966FED" w:rsidRDefault="00F84AA5" w:rsidP="00E93491">
      <w:pPr>
        <w:spacing w:line="240" w:lineRule="auto"/>
        <w:jc w:val="both"/>
        <w:rPr>
          <w:rFonts w:ascii="Times New Roman" w:eastAsiaTheme="minorEastAsia" w:hAnsi="Times New Roman" w:cs="Times New Roman"/>
          <w:b/>
          <w:bCs/>
          <w:color w:val="000000"/>
        </w:rPr>
      </w:pPr>
    </w:p>
    <w:p w14:paraId="777D34F1" w14:textId="79544B9D" w:rsidR="00041570" w:rsidRPr="00041570" w:rsidRDefault="00041570" w:rsidP="00E93491">
      <w:pPr>
        <w:spacing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lastRenderedPageBreak/>
        <w:t xml:space="preserve">Table 1. </w:t>
      </w:r>
      <w:r w:rsidR="00533486" w:rsidRPr="00966FED">
        <w:rPr>
          <w:rFonts w:ascii="Times New Roman" w:eastAsiaTheme="minorEastAsia" w:hAnsi="Times New Roman" w:cs="Times New Roman"/>
          <w:b/>
          <w:bCs/>
          <w:color w:val="000000"/>
          <w:lang w:val="en-US"/>
        </w:rPr>
        <w:t>Factors and levels for the mixed design.</w:t>
      </w:r>
    </w:p>
    <w:tbl>
      <w:tblPr>
        <w:tblW w:w="5000" w:type="pct"/>
        <w:tblCellMar>
          <w:top w:w="15" w:type="dxa"/>
          <w:left w:w="15" w:type="dxa"/>
          <w:bottom w:w="15" w:type="dxa"/>
          <w:right w:w="15" w:type="dxa"/>
        </w:tblCellMar>
        <w:tblLook w:val="04A0" w:firstRow="1" w:lastRow="0" w:firstColumn="1" w:lastColumn="0" w:noHBand="0" w:noVBand="1"/>
      </w:tblPr>
      <w:tblGrid>
        <w:gridCol w:w="2071"/>
        <w:gridCol w:w="1258"/>
        <w:gridCol w:w="2456"/>
        <w:gridCol w:w="2456"/>
        <w:gridCol w:w="2456"/>
      </w:tblGrid>
      <w:tr w:rsidR="00670346" w:rsidRPr="00966FED" w14:paraId="00C9D433" w14:textId="77777777" w:rsidTr="00F84AA5">
        <w:tc>
          <w:tcPr>
            <w:tcW w:w="968" w:type="pct"/>
            <w:vMerge w:val="restart"/>
            <w:tcBorders>
              <w:top w:val="single" w:sz="8" w:space="0" w:color="000000"/>
            </w:tcBorders>
            <w:vAlign w:val="center"/>
            <w:hideMark/>
          </w:tcPr>
          <w:p w14:paraId="1964F52B"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Factor</w:t>
            </w:r>
          </w:p>
        </w:tc>
        <w:tc>
          <w:tcPr>
            <w:tcW w:w="588" w:type="pct"/>
            <w:vMerge w:val="restart"/>
            <w:tcBorders>
              <w:top w:val="single" w:sz="8" w:space="0" w:color="000000"/>
            </w:tcBorders>
            <w:vAlign w:val="center"/>
            <w:hideMark/>
          </w:tcPr>
          <w:p w14:paraId="511E3096"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Symbol</w:t>
            </w:r>
          </w:p>
        </w:tc>
        <w:tc>
          <w:tcPr>
            <w:tcW w:w="3444" w:type="pct"/>
            <w:gridSpan w:val="3"/>
            <w:tcBorders>
              <w:top w:val="single" w:sz="8" w:space="0" w:color="000000"/>
              <w:bottom w:val="single" w:sz="4" w:space="0" w:color="000000"/>
            </w:tcBorders>
            <w:vAlign w:val="center"/>
            <w:hideMark/>
          </w:tcPr>
          <w:p w14:paraId="0E3ACCA7" w14:textId="77777777" w:rsidR="00041570" w:rsidRPr="00041570" w:rsidRDefault="00041570" w:rsidP="00E93491">
            <w:pPr>
              <w:spacing w:after="0" w:line="240" w:lineRule="auto"/>
              <w:jc w:val="center"/>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Levels</w:t>
            </w:r>
          </w:p>
        </w:tc>
      </w:tr>
      <w:tr w:rsidR="00F84AA5" w:rsidRPr="00966FED" w14:paraId="73462C9B" w14:textId="77777777" w:rsidTr="00F84AA5">
        <w:trPr>
          <w:trHeight w:val="136"/>
        </w:trPr>
        <w:tc>
          <w:tcPr>
            <w:tcW w:w="968" w:type="pct"/>
            <w:vMerge/>
            <w:tcBorders>
              <w:top w:val="single" w:sz="8" w:space="0" w:color="000000"/>
            </w:tcBorders>
            <w:vAlign w:val="center"/>
            <w:hideMark/>
          </w:tcPr>
          <w:p w14:paraId="59DE5E79"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p>
        </w:tc>
        <w:tc>
          <w:tcPr>
            <w:tcW w:w="588" w:type="pct"/>
            <w:vMerge/>
            <w:tcBorders>
              <w:top w:val="single" w:sz="8" w:space="0" w:color="000000"/>
            </w:tcBorders>
            <w:vAlign w:val="center"/>
            <w:hideMark/>
          </w:tcPr>
          <w:p w14:paraId="42DB3FC5"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p>
        </w:tc>
        <w:tc>
          <w:tcPr>
            <w:tcW w:w="1148" w:type="pct"/>
            <w:tcBorders>
              <w:top w:val="single" w:sz="4" w:space="0" w:color="000000"/>
              <w:bottom w:val="single" w:sz="4" w:space="0" w:color="000000"/>
            </w:tcBorders>
            <w:vAlign w:val="center"/>
            <w:hideMark/>
          </w:tcPr>
          <w:p w14:paraId="702A388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-1</w:t>
            </w:r>
          </w:p>
        </w:tc>
        <w:tc>
          <w:tcPr>
            <w:tcW w:w="1148" w:type="pct"/>
            <w:tcBorders>
              <w:top w:val="single" w:sz="4" w:space="0" w:color="000000"/>
              <w:bottom w:val="single" w:sz="4" w:space="0" w:color="000000"/>
            </w:tcBorders>
            <w:vAlign w:val="center"/>
            <w:hideMark/>
          </w:tcPr>
          <w:p w14:paraId="1EC6F287"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w:t>
            </w:r>
          </w:p>
        </w:tc>
        <w:tc>
          <w:tcPr>
            <w:tcW w:w="1148" w:type="pct"/>
            <w:tcBorders>
              <w:top w:val="single" w:sz="4" w:space="0" w:color="000000"/>
              <w:bottom w:val="single" w:sz="4" w:space="0" w:color="000000"/>
            </w:tcBorders>
            <w:vAlign w:val="center"/>
            <w:hideMark/>
          </w:tcPr>
          <w:p w14:paraId="5152DF1D"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1</w:t>
            </w:r>
          </w:p>
        </w:tc>
      </w:tr>
      <w:tr w:rsidR="00F84AA5" w:rsidRPr="00966FED" w14:paraId="7A1423C9" w14:textId="77777777" w:rsidTr="00F84AA5">
        <w:tc>
          <w:tcPr>
            <w:tcW w:w="968" w:type="pct"/>
            <w:vAlign w:val="center"/>
            <w:hideMark/>
          </w:tcPr>
          <w:p w14:paraId="662A24AD"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Si/Al ratio</w:t>
            </w:r>
          </w:p>
        </w:tc>
        <w:tc>
          <w:tcPr>
            <w:tcW w:w="588" w:type="pct"/>
            <w:vAlign w:val="center"/>
            <w:hideMark/>
          </w:tcPr>
          <w:p w14:paraId="79CDF01D"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A</w:t>
            </w:r>
          </w:p>
        </w:tc>
        <w:tc>
          <w:tcPr>
            <w:tcW w:w="1148" w:type="pct"/>
            <w:tcBorders>
              <w:top w:val="single" w:sz="4" w:space="0" w:color="000000"/>
            </w:tcBorders>
            <w:vAlign w:val="center"/>
            <w:hideMark/>
          </w:tcPr>
          <w:p w14:paraId="6C817E9F"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3</w:t>
            </w:r>
          </w:p>
        </w:tc>
        <w:tc>
          <w:tcPr>
            <w:tcW w:w="1148" w:type="pct"/>
            <w:tcBorders>
              <w:top w:val="single" w:sz="4" w:space="0" w:color="000000"/>
            </w:tcBorders>
            <w:vAlign w:val="center"/>
            <w:hideMark/>
          </w:tcPr>
          <w:p w14:paraId="3EE37DCB"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4</w:t>
            </w:r>
          </w:p>
        </w:tc>
        <w:tc>
          <w:tcPr>
            <w:tcW w:w="1148" w:type="pct"/>
            <w:tcBorders>
              <w:top w:val="single" w:sz="4" w:space="0" w:color="000000"/>
            </w:tcBorders>
            <w:vAlign w:val="center"/>
            <w:hideMark/>
          </w:tcPr>
          <w:p w14:paraId="385D9B1B"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5</w:t>
            </w:r>
          </w:p>
        </w:tc>
      </w:tr>
      <w:tr w:rsidR="00F84AA5" w:rsidRPr="00966FED" w14:paraId="0181515B" w14:textId="77777777" w:rsidTr="00F84AA5">
        <w:tc>
          <w:tcPr>
            <w:tcW w:w="968" w:type="pct"/>
            <w:vAlign w:val="center"/>
            <w:hideMark/>
          </w:tcPr>
          <w:p w14:paraId="71ADD312"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proofErr w:type="spellStart"/>
            <w:r w:rsidRPr="00041570">
              <w:rPr>
                <w:rFonts w:ascii="Times New Roman" w:eastAsiaTheme="minorEastAsia" w:hAnsi="Times New Roman" w:cs="Times New Roman"/>
                <w:b/>
                <w:bCs/>
                <w:color w:val="000000"/>
                <w:lang w:val="en-US"/>
              </w:rPr>
              <w:t>nanosilica</w:t>
            </w:r>
            <w:proofErr w:type="spellEnd"/>
            <w:r w:rsidRPr="00041570">
              <w:rPr>
                <w:rFonts w:ascii="Times New Roman" w:eastAsiaTheme="minorEastAsia" w:hAnsi="Times New Roman" w:cs="Times New Roman"/>
                <w:b/>
                <w:bCs/>
                <w:color w:val="000000"/>
                <w:lang w:val="en-US"/>
              </w:rPr>
              <w:t xml:space="preserve"> </w:t>
            </w:r>
            <w:proofErr w:type="spellStart"/>
            <w:r w:rsidRPr="00041570">
              <w:rPr>
                <w:rFonts w:ascii="Times New Roman" w:eastAsiaTheme="minorEastAsia" w:hAnsi="Times New Roman" w:cs="Times New Roman"/>
                <w:b/>
                <w:bCs/>
                <w:color w:val="000000"/>
                <w:lang w:val="en-US"/>
              </w:rPr>
              <w:t>wt</w:t>
            </w:r>
            <w:proofErr w:type="spellEnd"/>
            <w:r w:rsidRPr="00041570">
              <w:rPr>
                <w:rFonts w:ascii="Times New Roman" w:eastAsiaTheme="minorEastAsia" w:hAnsi="Times New Roman" w:cs="Times New Roman"/>
                <w:b/>
                <w:bCs/>
                <w:color w:val="000000"/>
                <w:lang w:val="en-US"/>
              </w:rPr>
              <w:t>%</w:t>
            </w:r>
          </w:p>
        </w:tc>
        <w:tc>
          <w:tcPr>
            <w:tcW w:w="588" w:type="pct"/>
            <w:vAlign w:val="center"/>
            <w:hideMark/>
          </w:tcPr>
          <w:p w14:paraId="34875FE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B</w:t>
            </w:r>
          </w:p>
        </w:tc>
        <w:tc>
          <w:tcPr>
            <w:tcW w:w="1148" w:type="pct"/>
            <w:vAlign w:val="center"/>
            <w:hideMark/>
          </w:tcPr>
          <w:p w14:paraId="4876552A"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0.3</w:t>
            </w:r>
          </w:p>
        </w:tc>
        <w:tc>
          <w:tcPr>
            <w:tcW w:w="1148" w:type="pct"/>
            <w:vAlign w:val="center"/>
            <w:hideMark/>
          </w:tcPr>
          <w:p w14:paraId="7EAE13F4"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0.45</w:t>
            </w:r>
          </w:p>
        </w:tc>
        <w:tc>
          <w:tcPr>
            <w:tcW w:w="1148" w:type="pct"/>
            <w:vAlign w:val="center"/>
            <w:hideMark/>
          </w:tcPr>
          <w:p w14:paraId="774086D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0.6</w:t>
            </w:r>
          </w:p>
        </w:tc>
      </w:tr>
      <w:tr w:rsidR="00F84AA5" w:rsidRPr="00966FED" w14:paraId="4818889C" w14:textId="77777777" w:rsidTr="00F84AA5">
        <w:tc>
          <w:tcPr>
            <w:tcW w:w="968" w:type="pct"/>
            <w:tcBorders>
              <w:bottom w:val="single" w:sz="8" w:space="0" w:color="000000"/>
            </w:tcBorders>
            <w:vAlign w:val="center"/>
            <w:hideMark/>
          </w:tcPr>
          <w:p w14:paraId="591AB78B" w14:textId="77777777" w:rsidR="00041570" w:rsidRPr="00041570" w:rsidRDefault="00041570" w:rsidP="00E93491">
            <w:pPr>
              <w:spacing w:after="0" w:line="240" w:lineRule="auto"/>
              <w:jc w:val="both"/>
              <w:rPr>
                <w:rFonts w:ascii="Times New Roman" w:eastAsiaTheme="minorEastAsia" w:hAnsi="Times New Roman" w:cs="Times New Roman"/>
                <w:b/>
                <w:bCs/>
                <w:color w:val="000000"/>
                <w:lang w:val="en-US"/>
              </w:rPr>
            </w:pPr>
            <w:r w:rsidRPr="00041570">
              <w:rPr>
                <w:rFonts w:ascii="Times New Roman" w:eastAsiaTheme="minorEastAsia" w:hAnsi="Times New Roman" w:cs="Times New Roman"/>
                <w:b/>
                <w:bCs/>
                <w:color w:val="000000"/>
                <w:lang w:val="en-US"/>
              </w:rPr>
              <w:t>GBC/AP ratio</w:t>
            </w:r>
          </w:p>
        </w:tc>
        <w:tc>
          <w:tcPr>
            <w:tcW w:w="588" w:type="pct"/>
            <w:tcBorders>
              <w:bottom w:val="single" w:sz="8" w:space="0" w:color="000000"/>
            </w:tcBorders>
            <w:vAlign w:val="center"/>
            <w:hideMark/>
          </w:tcPr>
          <w:p w14:paraId="71004522"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C</w:t>
            </w:r>
          </w:p>
        </w:tc>
        <w:tc>
          <w:tcPr>
            <w:tcW w:w="1148" w:type="pct"/>
            <w:tcBorders>
              <w:bottom w:val="single" w:sz="8" w:space="0" w:color="000000"/>
            </w:tcBorders>
            <w:vAlign w:val="center"/>
            <w:hideMark/>
          </w:tcPr>
          <w:p w14:paraId="32691566"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0.3</w:t>
            </w:r>
          </w:p>
        </w:tc>
        <w:tc>
          <w:tcPr>
            <w:tcW w:w="1148" w:type="pct"/>
            <w:tcBorders>
              <w:bottom w:val="single" w:sz="8" w:space="0" w:color="000000"/>
            </w:tcBorders>
            <w:vAlign w:val="center"/>
            <w:hideMark/>
          </w:tcPr>
          <w:p w14:paraId="0466C133"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0.4</w:t>
            </w:r>
          </w:p>
        </w:tc>
        <w:tc>
          <w:tcPr>
            <w:tcW w:w="1148" w:type="pct"/>
            <w:tcBorders>
              <w:bottom w:val="single" w:sz="8" w:space="0" w:color="000000"/>
            </w:tcBorders>
            <w:vAlign w:val="center"/>
            <w:hideMark/>
          </w:tcPr>
          <w:p w14:paraId="750E7E84" w14:textId="77777777" w:rsidR="00041570" w:rsidRPr="00041570" w:rsidRDefault="00041570" w:rsidP="00E93491">
            <w:pPr>
              <w:spacing w:after="0" w:line="240" w:lineRule="auto"/>
              <w:jc w:val="both"/>
              <w:rPr>
                <w:rFonts w:ascii="Times New Roman" w:eastAsiaTheme="minorEastAsia" w:hAnsi="Times New Roman" w:cs="Times New Roman"/>
                <w:color w:val="000000"/>
                <w:lang w:val="en-US"/>
              </w:rPr>
            </w:pPr>
            <w:r w:rsidRPr="00041570">
              <w:rPr>
                <w:rFonts w:ascii="Times New Roman" w:eastAsiaTheme="minorEastAsia" w:hAnsi="Times New Roman" w:cs="Times New Roman"/>
                <w:color w:val="000000"/>
                <w:lang w:val="en-US"/>
              </w:rPr>
              <w:t>0.5</w:t>
            </w:r>
          </w:p>
        </w:tc>
      </w:tr>
    </w:tbl>
    <w:p w14:paraId="161F51D8" w14:textId="77777777" w:rsidR="00533486" w:rsidRPr="00966FED" w:rsidRDefault="00533486" w:rsidP="00E93491">
      <w:pPr>
        <w:spacing w:before="240" w:after="240" w:line="240" w:lineRule="auto"/>
        <w:jc w:val="both"/>
        <w:rPr>
          <w:rFonts w:ascii="Times New Roman" w:hAnsi="Times New Roman" w:cs="Times New Roman"/>
        </w:rPr>
      </w:pPr>
      <w:proofErr w:type="spellStart"/>
      <w:r w:rsidRPr="00966FED">
        <w:rPr>
          <w:rFonts w:ascii="Times New Roman" w:hAnsi="Times New Roman" w:cs="Times New Roman"/>
        </w:rPr>
        <w:t>Kauswagan</w:t>
      </w:r>
      <w:proofErr w:type="spellEnd"/>
      <w:r w:rsidRPr="00966FED">
        <w:rPr>
          <w:rFonts w:ascii="Times New Roman" w:hAnsi="Times New Roman" w:cs="Times New Roman"/>
        </w:rPr>
        <w:t xml:space="preserve"> Red Clay (KRC) was sourced from the municipality of </w:t>
      </w:r>
      <w:proofErr w:type="spellStart"/>
      <w:r w:rsidRPr="00966FED">
        <w:rPr>
          <w:rFonts w:ascii="Times New Roman" w:hAnsi="Times New Roman" w:cs="Times New Roman"/>
        </w:rPr>
        <w:t>Kauswagan</w:t>
      </w:r>
      <w:proofErr w:type="spellEnd"/>
      <w:r w:rsidRPr="00966FED">
        <w:rPr>
          <w:rFonts w:ascii="Times New Roman" w:hAnsi="Times New Roman" w:cs="Times New Roman"/>
        </w:rPr>
        <w:t xml:space="preserve">, Lanao del Norte, Philippines. The raw KRC was washed with running water to remove surface contaminants and then oven-dried at 105°C for 24 hours. The dried KRC was then pulverized using a mortar grinder to achieve a fine and uniform particle size. The ground KRC was then subjected to calcination at 750 °C for 2 hours to enhance its </w:t>
      </w:r>
      <w:proofErr w:type="gramStart"/>
      <w:r w:rsidRPr="00966FED">
        <w:rPr>
          <w:rFonts w:ascii="Times New Roman" w:hAnsi="Times New Roman" w:cs="Times New Roman"/>
        </w:rPr>
        <w:t>reactivity[</w:t>
      </w:r>
      <w:proofErr w:type="gramEnd"/>
      <w:r w:rsidRPr="00966FED">
        <w:rPr>
          <w:rFonts w:ascii="Times New Roman" w:hAnsi="Times New Roman" w:cs="Times New Roman"/>
        </w:rPr>
        <w:t>24], [34].</w:t>
      </w:r>
    </w:p>
    <w:p w14:paraId="1529CE19" w14:textId="77777777" w:rsidR="00533486" w:rsidRPr="00966FED" w:rsidRDefault="00533486"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rPr>
        <w:t xml:space="preserve">Both SCBA and KRC were further pulverized using a mortar grinder and sieved through a 250-mesh sieve to achieve a uniform particle size, ensuring better dispersion and increased surface area for enhanced reactivity [35]. Subsequently, X-ray Fluorescence (XRF) analysis (Rigaku NEX CG II) was performed to determine their elemental composition, as presented in Table 2. The chemicals used in this study were HCl, NaOH, and </w:t>
      </w:r>
      <w:proofErr w:type="spellStart"/>
      <w:r w:rsidRPr="00966FED">
        <w:rPr>
          <w:rFonts w:ascii="Times New Roman" w:hAnsi="Times New Roman" w:cs="Times New Roman"/>
        </w:rPr>
        <w:t>Na₂SiO</w:t>
      </w:r>
      <w:proofErr w:type="spellEnd"/>
      <w:r w:rsidRPr="00966FED">
        <w:rPr>
          <w:rFonts w:ascii="Times New Roman" w:hAnsi="Times New Roman" w:cs="Times New Roman"/>
        </w:rPr>
        <w:t>₃. These were sourced from the Sustainable Resource Engineering Research for Construction Technologies Center (</w:t>
      </w:r>
      <w:proofErr w:type="spellStart"/>
      <w:r w:rsidRPr="00966FED">
        <w:rPr>
          <w:rFonts w:ascii="Times New Roman" w:hAnsi="Times New Roman" w:cs="Times New Roman"/>
        </w:rPr>
        <w:t>SuRER</w:t>
      </w:r>
      <w:proofErr w:type="spellEnd"/>
      <w:r w:rsidRPr="00966FED">
        <w:rPr>
          <w:rFonts w:ascii="Times New Roman" w:hAnsi="Times New Roman" w:cs="Times New Roman"/>
        </w:rPr>
        <w:t xml:space="preserve"> CT) at Mindanao State University – Iligan Institute of Technology. The AP used in the experiment was Davies Gloss-It Quick Dry Enamel Paint DV-300 White.</w:t>
      </w:r>
      <w:r w:rsidRPr="00966FED">
        <w:rPr>
          <w:rFonts w:ascii="Times New Roman" w:hAnsi="Times New Roman" w:cs="Times New Roman"/>
          <w:b/>
          <w:bCs/>
          <w:sz w:val="28"/>
          <w:szCs w:val="28"/>
        </w:rPr>
        <w:t xml:space="preserve"> </w:t>
      </w:r>
    </w:p>
    <w:p w14:paraId="265D955B" w14:textId="77CA4771" w:rsidR="00173F38" w:rsidRPr="00173F38" w:rsidRDefault="00173F38" w:rsidP="00E93491">
      <w:pPr>
        <w:spacing w:before="240" w:after="240" w:line="240" w:lineRule="auto"/>
        <w:jc w:val="both"/>
        <w:rPr>
          <w:rFonts w:ascii="Times New Roman" w:hAnsi="Times New Roman" w:cs="Times New Roman"/>
          <w:b/>
          <w:bCs/>
          <w:lang w:val="en-US"/>
        </w:rPr>
      </w:pPr>
      <w:r w:rsidRPr="00173F38">
        <w:rPr>
          <w:rFonts w:ascii="Times New Roman" w:hAnsi="Times New Roman" w:cs="Times New Roman"/>
          <w:b/>
          <w:bCs/>
          <w:lang w:val="en-US"/>
        </w:rPr>
        <w:t>Table 2. X-ray Fluorescence (XRF) Analysis of SCBA and KRC.</w:t>
      </w:r>
    </w:p>
    <w:tbl>
      <w:tblPr>
        <w:tblW w:w="5000" w:type="pct"/>
        <w:jc w:val="center"/>
        <w:tblCellMar>
          <w:top w:w="15" w:type="dxa"/>
          <w:left w:w="15" w:type="dxa"/>
          <w:bottom w:w="15" w:type="dxa"/>
          <w:right w:w="15" w:type="dxa"/>
        </w:tblCellMar>
        <w:tblLook w:val="04A0" w:firstRow="1" w:lastRow="0" w:firstColumn="1" w:lastColumn="0" w:noHBand="0" w:noVBand="1"/>
      </w:tblPr>
      <w:tblGrid>
        <w:gridCol w:w="3937"/>
        <w:gridCol w:w="3596"/>
        <w:gridCol w:w="3164"/>
      </w:tblGrid>
      <w:tr w:rsidR="00173F38" w:rsidRPr="00173F38" w14:paraId="3BDF181C" w14:textId="77777777" w:rsidTr="00173F38">
        <w:trPr>
          <w:trHeight w:val="20"/>
          <w:jc w:val="center"/>
        </w:trPr>
        <w:tc>
          <w:tcPr>
            <w:tcW w:w="1840" w:type="pct"/>
            <w:vMerge w:val="restart"/>
            <w:tcBorders>
              <w:top w:val="single" w:sz="4" w:space="0" w:color="000000"/>
              <w:bottom w:val="single" w:sz="4" w:space="0" w:color="000000"/>
            </w:tcBorders>
            <w:tcMar>
              <w:top w:w="0" w:type="dxa"/>
              <w:left w:w="115" w:type="dxa"/>
              <w:bottom w:w="0" w:type="dxa"/>
              <w:right w:w="115" w:type="dxa"/>
            </w:tcMar>
            <w:vAlign w:val="center"/>
            <w:hideMark/>
          </w:tcPr>
          <w:p w14:paraId="6F379B7F" w14:textId="77777777" w:rsidR="00173F38" w:rsidRPr="00173F38" w:rsidRDefault="00173F38" w:rsidP="00E93491">
            <w:pPr>
              <w:spacing w:after="0" w:line="240" w:lineRule="auto"/>
              <w:jc w:val="both"/>
              <w:rPr>
                <w:rFonts w:ascii="Times New Roman" w:hAnsi="Times New Roman" w:cs="Times New Roman"/>
                <w:b/>
                <w:bCs/>
                <w:lang w:val="en-US"/>
              </w:rPr>
            </w:pPr>
            <w:r w:rsidRPr="00173F38">
              <w:rPr>
                <w:rFonts w:ascii="Times New Roman" w:hAnsi="Times New Roman" w:cs="Times New Roman"/>
                <w:b/>
                <w:bCs/>
                <w:lang w:val="en-US"/>
              </w:rPr>
              <w:t>Element</w:t>
            </w:r>
          </w:p>
        </w:tc>
        <w:tc>
          <w:tcPr>
            <w:tcW w:w="3160" w:type="pct"/>
            <w:gridSpan w:val="2"/>
            <w:tcBorders>
              <w:top w:val="single" w:sz="4" w:space="0" w:color="000000"/>
              <w:bottom w:val="single" w:sz="4" w:space="0" w:color="000000"/>
            </w:tcBorders>
            <w:tcMar>
              <w:top w:w="0" w:type="dxa"/>
              <w:left w:w="115" w:type="dxa"/>
              <w:bottom w:w="0" w:type="dxa"/>
              <w:right w:w="115" w:type="dxa"/>
            </w:tcMar>
            <w:hideMark/>
          </w:tcPr>
          <w:p w14:paraId="4355565D" w14:textId="77777777" w:rsidR="00173F38" w:rsidRPr="00173F38" w:rsidRDefault="00173F38" w:rsidP="00E93491">
            <w:pPr>
              <w:spacing w:after="0" w:line="240" w:lineRule="auto"/>
              <w:jc w:val="center"/>
              <w:rPr>
                <w:rFonts w:ascii="Times New Roman" w:hAnsi="Times New Roman" w:cs="Times New Roman"/>
                <w:b/>
                <w:bCs/>
                <w:lang w:val="en-US"/>
              </w:rPr>
            </w:pPr>
            <w:r w:rsidRPr="00173F38">
              <w:rPr>
                <w:rFonts w:ascii="Times New Roman" w:hAnsi="Times New Roman" w:cs="Times New Roman"/>
                <w:b/>
                <w:bCs/>
                <w:lang w:val="en-US"/>
              </w:rPr>
              <w:t>% Composition</w:t>
            </w:r>
          </w:p>
        </w:tc>
      </w:tr>
      <w:tr w:rsidR="00286616" w:rsidRPr="00966FED" w14:paraId="33B6DD60" w14:textId="77777777" w:rsidTr="00173F38">
        <w:trPr>
          <w:trHeight w:val="43"/>
          <w:jc w:val="center"/>
        </w:trPr>
        <w:tc>
          <w:tcPr>
            <w:tcW w:w="1840" w:type="pct"/>
            <w:vMerge/>
            <w:tcBorders>
              <w:top w:val="single" w:sz="4" w:space="0" w:color="000000"/>
              <w:bottom w:val="single" w:sz="4" w:space="0" w:color="000000"/>
            </w:tcBorders>
            <w:vAlign w:val="center"/>
            <w:hideMark/>
          </w:tcPr>
          <w:p w14:paraId="78ACBA58" w14:textId="77777777" w:rsidR="00173F38" w:rsidRPr="00173F38" w:rsidRDefault="00173F38" w:rsidP="00E93491">
            <w:pPr>
              <w:spacing w:after="0" w:line="240" w:lineRule="auto"/>
              <w:jc w:val="both"/>
              <w:rPr>
                <w:rFonts w:ascii="Times New Roman" w:hAnsi="Times New Roman" w:cs="Times New Roman"/>
                <w:b/>
                <w:bCs/>
                <w:lang w:val="en-US"/>
              </w:rPr>
            </w:pPr>
          </w:p>
        </w:tc>
        <w:tc>
          <w:tcPr>
            <w:tcW w:w="1681" w:type="pct"/>
            <w:tcBorders>
              <w:top w:val="single" w:sz="4" w:space="0" w:color="000000"/>
              <w:bottom w:val="single" w:sz="4" w:space="0" w:color="000000"/>
            </w:tcBorders>
            <w:tcMar>
              <w:top w:w="0" w:type="dxa"/>
              <w:left w:w="115" w:type="dxa"/>
              <w:bottom w:w="0" w:type="dxa"/>
              <w:right w:w="115" w:type="dxa"/>
            </w:tcMar>
            <w:hideMark/>
          </w:tcPr>
          <w:p w14:paraId="1575A97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SCBA</w:t>
            </w:r>
          </w:p>
        </w:tc>
        <w:tc>
          <w:tcPr>
            <w:tcW w:w="1479" w:type="pct"/>
            <w:tcBorders>
              <w:top w:val="single" w:sz="4" w:space="0" w:color="000000"/>
              <w:bottom w:val="single" w:sz="4" w:space="0" w:color="000000"/>
            </w:tcBorders>
            <w:tcMar>
              <w:top w:w="0" w:type="dxa"/>
              <w:left w:w="115" w:type="dxa"/>
              <w:bottom w:w="0" w:type="dxa"/>
              <w:right w:w="115" w:type="dxa"/>
            </w:tcMar>
            <w:hideMark/>
          </w:tcPr>
          <w:p w14:paraId="5DF24E68"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KRC</w:t>
            </w:r>
          </w:p>
        </w:tc>
      </w:tr>
      <w:tr w:rsidR="00286616" w:rsidRPr="00966FED" w14:paraId="02994E8F" w14:textId="77777777" w:rsidTr="00173F38">
        <w:trPr>
          <w:trHeight w:val="20"/>
          <w:jc w:val="center"/>
        </w:trPr>
        <w:tc>
          <w:tcPr>
            <w:tcW w:w="1840" w:type="pct"/>
            <w:tcBorders>
              <w:top w:val="single" w:sz="4" w:space="0" w:color="000000"/>
            </w:tcBorders>
            <w:tcMar>
              <w:top w:w="0" w:type="dxa"/>
              <w:left w:w="115" w:type="dxa"/>
              <w:bottom w:w="0" w:type="dxa"/>
              <w:right w:w="115" w:type="dxa"/>
            </w:tcMar>
            <w:hideMark/>
          </w:tcPr>
          <w:p w14:paraId="09576D71"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SiO</w:t>
            </w:r>
            <w:r w:rsidRPr="00173F38">
              <w:rPr>
                <w:rFonts w:ascii="Times New Roman" w:hAnsi="Times New Roman" w:cs="Times New Roman"/>
                <w:vertAlign w:val="subscript"/>
                <w:lang w:val="en-US"/>
              </w:rPr>
              <w:t>2</w:t>
            </w:r>
          </w:p>
        </w:tc>
        <w:tc>
          <w:tcPr>
            <w:tcW w:w="1681" w:type="pct"/>
            <w:tcBorders>
              <w:top w:val="single" w:sz="4" w:space="0" w:color="000000"/>
            </w:tcBorders>
            <w:tcMar>
              <w:top w:w="0" w:type="dxa"/>
              <w:left w:w="115" w:type="dxa"/>
              <w:bottom w:w="0" w:type="dxa"/>
              <w:right w:w="115" w:type="dxa"/>
            </w:tcMar>
            <w:hideMark/>
          </w:tcPr>
          <w:p w14:paraId="7A0E390D"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75.05</w:t>
            </w:r>
          </w:p>
        </w:tc>
        <w:tc>
          <w:tcPr>
            <w:tcW w:w="1479" w:type="pct"/>
            <w:tcBorders>
              <w:top w:val="single" w:sz="4" w:space="0" w:color="000000"/>
            </w:tcBorders>
            <w:tcMar>
              <w:top w:w="0" w:type="dxa"/>
              <w:left w:w="115" w:type="dxa"/>
              <w:bottom w:w="0" w:type="dxa"/>
              <w:right w:w="115" w:type="dxa"/>
            </w:tcMar>
            <w:hideMark/>
          </w:tcPr>
          <w:p w14:paraId="0EAF9FFC"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44.42</w:t>
            </w:r>
          </w:p>
        </w:tc>
      </w:tr>
      <w:tr w:rsidR="00286616" w:rsidRPr="00966FED" w14:paraId="551E1312" w14:textId="77777777" w:rsidTr="00173F38">
        <w:trPr>
          <w:trHeight w:val="20"/>
          <w:jc w:val="center"/>
        </w:trPr>
        <w:tc>
          <w:tcPr>
            <w:tcW w:w="1840" w:type="pct"/>
            <w:tcMar>
              <w:top w:w="0" w:type="dxa"/>
              <w:left w:w="115" w:type="dxa"/>
              <w:bottom w:w="0" w:type="dxa"/>
              <w:right w:w="115" w:type="dxa"/>
            </w:tcMar>
            <w:hideMark/>
          </w:tcPr>
          <w:p w14:paraId="4E67666A"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Al</w:t>
            </w:r>
            <w:r w:rsidRPr="00173F38">
              <w:rPr>
                <w:rFonts w:ascii="Times New Roman" w:hAnsi="Times New Roman" w:cs="Times New Roman"/>
                <w:vertAlign w:val="subscript"/>
                <w:lang w:val="en-US"/>
              </w:rPr>
              <w:t>2</w:t>
            </w:r>
            <w:r w:rsidRPr="00173F38">
              <w:rPr>
                <w:rFonts w:ascii="Times New Roman" w:hAnsi="Times New Roman" w:cs="Times New Roman"/>
                <w:lang w:val="en-US"/>
              </w:rPr>
              <w:t>O</w:t>
            </w:r>
            <w:r w:rsidRPr="00173F38">
              <w:rPr>
                <w:rFonts w:ascii="Times New Roman" w:hAnsi="Times New Roman" w:cs="Times New Roman"/>
                <w:vertAlign w:val="subscript"/>
                <w:lang w:val="en-US"/>
              </w:rPr>
              <w:t>3</w:t>
            </w:r>
          </w:p>
        </w:tc>
        <w:tc>
          <w:tcPr>
            <w:tcW w:w="1681" w:type="pct"/>
            <w:tcMar>
              <w:top w:w="0" w:type="dxa"/>
              <w:left w:w="115" w:type="dxa"/>
              <w:bottom w:w="0" w:type="dxa"/>
              <w:right w:w="115" w:type="dxa"/>
            </w:tcMar>
            <w:hideMark/>
          </w:tcPr>
          <w:p w14:paraId="6FD0DFA0"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6.25</w:t>
            </w:r>
          </w:p>
        </w:tc>
        <w:tc>
          <w:tcPr>
            <w:tcW w:w="1479" w:type="pct"/>
            <w:tcMar>
              <w:top w:w="0" w:type="dxa"/>
              <w:left w:w="115" w:type="dxa"/>
              <w:bottom w:w="0" w:type="dxa"/>
              <w:right w:w="115" w:type="dxa"/>
            </w:tcMar>
            <w:hideMark/>
          </w:tcPr>
          <w:p w14:paraId="3B1FFC47"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36.11</w:t>
            </w:r>
          </w:p>
        </w:tc>
      </w:tr>
      <w:tr w:rsidR="00286616" w:rsidRPr="00966FED" w14:paraId="2C273A65" w14:textId="77777777" w:rsidTr="00173F38">
        <w:trPr>
          <w:trHeight w:val="20"/>
          <w:jc w:val="center"/>
        </w:trPr>
        <w:tc>
          <w:tcPr>
            <w:tcW w:w="1840" w:type="pct"/>
            <w:tcMar>
              <w:top w:w="0" w:type="dxa"/>
              <w:left w:w="115" w:type="dxa"/>
              <w:bottom w:w="0" w:type="dxa"/>
              <w:right w:w="115" w:type="dxa"/>
            </w:tcMar>
            <w:hideMark/>
          </w:tcPr>
          <w:p w14:paraId="7DCE8D3A"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Fe</w:t>
            </w:r>
            <w:r w:rsidRPr="00173F38">
              <w:rPr>
                <w:rFonts w:ascii="Times New Roman" w:hAnsi="Times New Roman" w:cs="Times New Roman"/>
                <w:vertAlign w:val="subscript"/>
                <w:lang w:val="en-US"/>
              </w:rPr>
              <w:t>2</w:t>
            </w:r>
            <w:r w:rsidRPr="00173F38">
              <w:rPr>
                <w:rFonts w:ascii="Times New Roman" w:hAnsi="Times New Roman" w:cs="Times New Roman"/>
                <w:lang w:val="en-US"/>
              </w:rPr>
              <w:t>O</w:t>
            </w:r>
            <w:r w:rsidRPr="00173F38">
              <w:rPr>
                <w:rFonts w:ascii="Times New Roman" w:hAnsi="Times New Roman" w:cs="Times New Roman"/>
                <w:vertAlign w:val="subscript"/>
                <w:lang w:val="en-US"/>
              </w:rPr>
              <w:t>3</w:t>
            </w:r>
          </w:p>
        </w:tc>
        <w:tc>
          <w:tcPr>
            <w:tcW w:w="1681" w:type="pct"/>
            <w:tcMar>
              <w:top w:w="0" w:type="dxa"/>
              <w:left w:w="115" w:type="dxa"/>
              <w:bottom w:w="0" w:type="dxa"/>
              <w:right w:w="115" w:type="dxa"/>
            </w:tcMar>
            <w:hideMark/>
          </w:tcPr>
          <w:p w14:paraId="780CD54A"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3.10</w:t>
            </w:r>
          </w:p>
        </w:tc>
        <w:tc>
          <w:tcPr>
            <w:tcW w:w="1479" w:type="pct"/>
            <w:tcMar>
              <w:top w:w="0" w:type="dxa"/>
              <w:left w:w="115" w:type="dxa"/>
              <w:bottom w:w="0" w:type="dxa"/>
              <w:right w:w="115" w:type="dxa"/>
            </w:tcMar>
            <w:hideMark/>
          </w:tcPr>
          <w:p w14:paraId="1F5F7564"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16.27</w:t>
            </w:r>
          </w:p>
        </w:tc>
      </w:tr>
      <w:tr w:rsidR="00286616" w:rsidRPr="00966FED" w14:paraId="122497FC" w14:textId="77777777" w:rsidTr="00173F38">
        <w:trPr>
          <w:trHeight w:val="20"/>
          <w:jc w:val="center"/>
        </w:trPr>
        <w:tc>
          <w:tcPr>
            <w:tcW w:w="1840" w:type="pct"/>
            <w:tcMar>
              <w:top w:w="0" w:type="dxa"/>
              <w:left w:w="115" w:type="dxa"/>
              <w:bottom w:w="0" w:type="dxa"/>
              <w:right w:w="115" w:type="dxa"/>
            </w:tcMar>
            <w:hideMark/>
          </w:tcPr>
          <w:p w14:paraId="77F80FF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CaO</w:t>
            </w:r>
          </w:p>
        </w:tc>
        <w:tc>
          <w:tcPr>
            <w:tcW w:w="1681" w:type="pct"/>
            <w:tcMar>
              <w:top w:w="0" w:type="dxa"/>
              <w:left w:w="115" w:type="dxa"/>
              <w:bottom w:w="0" w:type="dxa"/>
              <w:right w:w="115" w:type="dxa"/>
            </w:tcMar>
            <w:hideMark/>
          </w:tcPr>
          <w:p w14:paraId="0288E6A0"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5.61</w:t>
            </w:r>
          </w:p>
        </w:tc>
        <w:tc>
          <w:tcPr>
            <w:tcW w:w="1479" w:type="pct"/>
            <w:tcMar>
              <w:top w:w="0" w:type="dxa"/>
              <w:left w:w="115" w:type="dxa"/>
              <w:bottom w:w="0" w:type="dxa"/>
              <w:right w:w="115" w:type="dxa"/>
            </w:tcMar>
            <w:hideMark/>
          </w:tcPr>
          <w:p w14:paraId="590439A7"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0.19</w:t>
            </w:r>
          </w:p>
        </w:tc>
      </w:tr>
      <w:tr w:rsidR="00286616" w:rsidRPr="00966FED" w14:paraId="18D99D42" w14:textId="77777777" w:rsidTr="00173F38">
        <w:trPr>
          <w:trHeight w:val="20"/>
          <w:jc w:val="center"/>
        </w:trPr>
        <w:tc>
          <w:tcPr>
            <w:tcW w:w="1840" w:type="pct"/>
            <w:tcMar>
              <w:top w:w="0" w:type="dxa"/>
              <w:left w:w="115" w:type="dxa"/>
              <w:bottom w:w="0" w:type="dxa"/>
              <w:right w:w="115" w:type="dxa"/>
            </w:tcMar>
            <w:hideMark/>
          </w:tcPr>
          <w:p w14:paraId="20E760A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MgO</w:t>
            </w:r>
          </w:p>
        </w:tc>
        <w:tc>
          <w:tcPr>
            <w:tcW w:w="1681" w:type="pct"/>
            <w:tcMar>
              <w:top w:w="0" w:type="dxa"/>
              <w:left w:w="115" w:type="dxa"/>
              <w:bottom w:w="0" w:type="dxa"/>
              <w:right w:w="115" w:type="dxa"/>
            </w:tcMar>
            <w:hideMark/>
          </w:tcPr>
          <w:p w14:paraId="677308A2"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2.99</w:t>
            </w:r>
          </w:p>
        </w:tc>
        <w:tc>
          <w:tcPr>
            <w:tcW w:w="1479" w:type="pct"/>
            <w:tcMar>
              <w:top w:w="0" w:type="dxa"/>
              <w:left w:w="115" w:type="dxa"/>
              <w:bottom w:w="0" w:type="dxa"/>
              <w:right w:w="115" w:type="dxa"/>
            </w:tcMar>
            <w:hideMark/>
          </w:tcPr>
          <w:p w14:paraId="431F0A44"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0.10</w:t>
            </w:r>
          </w:p>
        </w:tc>
      </w:tr>
      <w:tr w:rsidR="00286616" w:rsidRPr="00966FED" w14:paraId="152D59C7" w14:textId="77777777" w:rsidTr="00173F38">
        <w:trPr>
          <w:trHeight w:val="20"/>
          <w:jc w:val="center"/>
        </w:trPr>
        <w:tc>
          <w:tcPr>
            <w:tcW w:w="1840" w:type="pct"/>
            <w:tcMar>
              <w:top w:w="0" w:type="dxa"/>
              <w:left w:w="115" w:type="dxa"/>
              <w:bottom w:w="0" w:type="dxa"/>
              <w:right w:w="115" w:type="dxa"/>
            </w:tcMar>
            <w:hideMark/>
          </w:tcPr>
          <w:p w14:paraId="6F72BC8C"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Others</w:t>
            </w:r>
          </w:p>
        </w:tc>
        <w:tc>
          <w:tcPr>
            <w:tcW w:w="1681" w:type="pct"/>
            <w:tcMar>
              <w:top w:w="0" w:type="dxa"/>
              <w:left w:w="115" w:type="dxa"/>
              <w:bottom w:w="0" w:type="dxa"/>
              <w:right w:w="115" w:type="dxa"/>
            </w:tcMar>
            <w:hideMark/>
          </w:tcPr>
          <w:p w14:paraId="1FB84351"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1.23</w:t>
            </w:r>
          </w:p>
        </w:tc>
        <w:tc>
          <w:tcPr>
            <w:tcW w:w="1479" w:type="pct"/>
            <w:tcMar>
              <w:top w:w="0" w:type="dxa"/>
              <w:left w:w="115" w:type="dxa"/>
              <w:bottom w:w="0" w:type="dxa"/>
              <w:right w:w="115" w:type="dxa"/>
            </w:tcMar>
            <w:hideMark/>
          </w:tcPr>
          <w:p w14:paraId="7AFB4906"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1.60</w:t>
            </w:r>
          </w:p>
        </w:tc>
      </w:tr>
      <w:tr w:rsidR="00286616" w:rsidRPr="00966FED" w14:paraId="6837B3FD" w14:textId="77777777" w:rsidTr="00173F38">
        <w:trPr>
          <w:trHeight w:val="20"/>
          <w:jc w:val="center"/>
        </w:trPr>
        <w:tc>
          <w:tcPr>
            <w:tcW w:w="1840" w:type="pct"/>
            <w:tcBorders>
              <w:bottom w:val="single" w:sz="4" w:space="0" w:color="000000"/>
            </w:tcBorders>
            <w:tcMar>
              <w:top w:w="0" w:type="dxa"/>
              <w:left w:w="115" w:type="dxa"/>
              <w:bottom w:w="0" w:type="dxa"/>
              <w:right w:w="115" w:type="dxa"/>
            </w:tcMar>
            <w:hideMark/>
          </w:tcPr>
          <w:p w14:paraId="07D9DEAB"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LOI</w:t>
            </w:r>
          </w:p>
        </w:tc>
        <w:tc>
          <w:tcPr>
            <w:tcW w:w="1681" w:type="pct"/>
            <w:tcBorders>
              <w:bottom w:val="single" w:sz="4" w:space="0" w:color="000000"/>
            </w:tcBorders>
            <w:tcMar>
              <w:top w:w="0" w:type="dxa"/>
              <w:left w:w="115" w:type="dxa"/>
              <w:bottom w:w="0" w:type="dxa"/>
              <w:right w:w="115" w:type="dxa"/>
            </w:tcMar>
            <w:hideMark/>
          </w:tcPr>
          <w:p w14:paraId="4C400283"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4.31</w:t>
            </w:r>
          </w:p>
        </w:tc>
        <w:tc>
          <w:tcPr>
            <w:tcW w:w="1479" w:type="pct"/>
            <w:tcBorders>
              <w:bottom w:val="single" w:sz="4" w:space="0" w:color="000000"/>
            </w:tcBorders>
            <w:tcMar>
              <w:top w:w="0" w:type="dxa"/>
              <w:left w:w="115" w:type="dxa"/>
              <w:bottom w:w="0" w:type="dxa"/>
              <w:right w:w="115" w:type="dxa"/>
            </w:tcMar>
            <w:hideMark/>
          </w:tcPr>
          <w:p w14:paraId="4EAD44DD" w14:textId="77777777" w:rsidR="00173F38" w:rsidRPr="00173F38" w:rsidRDefault="00173F38" w:rsidP="00E93491">
            <w:pPr>
              <w:spacing w:after="0" w:line="240" w:lineRule="auto"/>
              <w:jc w:val="both"/>
              <w:rPr>
                <w:rFonts w:ascii="Times New Roman" w:hAnsi="Times New Roman" w:cs="Times New Roman"/>
                <w:lang w:val="en-US"/>
              </w:rPr>
            </w:pPr>
            <w:r w:rsidRPr="00173F38">
              <w:rPr>
                <w:rFonts w:ascii="Times New Roman" w:hAnsi="Times New Roman" w:cs="Times New Roman"/>
                <w:lang w:val="en-US"/>
              </w:rPr>
              <w:t>0.93</w:t>
            </w:r>
          </w:p>
        </w:tc>
      </w:tr>
      <w:tr w:rsidR="00173F38" w:rsidRPr="00173F38" w14:paraId="16697D85" w14:textId="77777777" w:rsidTr="00173F38">
        <w:trPr>
          <w:jc w:val="center"/>
        </w:trPr>
        <w:tc>
          <w:tcPr>
            <w:tcW w:w="1840" w:type="pct"/>
            <w:tcBorders>
              <w:top w:val="single" w:sz="4" w:space="0" w:color="000000"/>
            </w:tcBorders>
            <w:tcMar>
              <w:top w:w="0" w:type="dxa"/>
              <w:left w:w="115" w:type="dxa"/>
              <w:bottom w:w="0" w:type="dxa"/>
              <w:right w:w="115" w:type="dxa"/>
            </w:tcMar>
            <w:hideMark/>
          </w:tcPr>
          <w:p w14:paraId="3C00EBB8" w14:textId="77777777" w:rsidR="00173F38" w:rsidRPr="00173F38" w:rsidRDefault="00173F38" w:rsidP="00E93491">
            <w:pPr>
              <w:spacing w:before="240" w:after="240" w:line="240" w:lineRule="auto"/>
              <w:jc w:val="both"/>
              <w:rPr>
                <w:rFonts w:ascii="Times New Roman" w:hAnsi="Times New Roman" w:cs="Times New Roman"/>
                <w:b/>
                <w:bCs/>
                <w:lang w:val="en-US"/>
              </w:rPr>
            </w:pPr>
          </w:p>
        </w:tc>
        <w:tc>
          <w:tcPr>
            <w:tcW w:w="3160" w:type="pct"/>
            <w:gridSpan w:val="2"/>
            <w:tcBorders>
              <w:top w:val="single" w:sz="4" w:space="0" w:color="000000"/>
            </w:tcBorders>
            <w:tcMar>
              <w:top w:w="0" w:type="dxa"/>
              <w:left w:w="115" w:type="dxa"/>
              <w:bottom w:w="0" w:type="dxa"/>
              <w:right w:w="115" w:type="dxa"/>
            </w:tcMar>
            <w:hideMark/>
          </w:tcPr>
          <w:p w14:paraId="0A5FC086" w14:textId="77777777" w:rsidR="00173F38" w:rsidRPr="00173F38" w:rsidRDefault="00173F38" w:rsidP="00E93491">
            <w:pPr>
              <w:spacing w:before="240" w:after="240" w:line="240" w:lineRule="auto"/>
              <w:jc w:val="both"/>
              <w:rPr>
                <w:rFonts w:ascii="Times New Roman" w:hAnsi="Times New Roman" w:cs="Times New Roman"/>
                <w:b/>
                <w:bCs/>
                <w:lang w:val="en-US"/>
              </w:rPr>
            </w:pPr>
          </w:p>
        </w:tc>
      </w:tr>
    </w:tbl>
    <w:p w14:paraId="0CBCD576" w14:textId="6BC1F59F" w:rsidR="00533486" w:rsidRPr="00966FED" w:rsidRDefault="00173F38" w:rsidP="00E93491">
      <w:pPr>
        <w:spacing w:before="240" w:after="240" w:line="240" w:lineRule="auto"/>
        <w:jc w:val="center"/>
        <w:rPr>
          <w:rFonts w:ascii="Times New Roman" w:hAnsi="Times New Roman" w:cs="Times New Roman"/>
          <w:lang w:val="en-US"/>
        </w:rPr>
      </w:pPr>
      <w:r w:rsidRPr="00173F38">
        <w:rPr>
          <w:rFonts w:ascii="Times New Roman" w:hAnsi="Times New Roman" w:cs="Times New Roman"/>
          <w:lang w:val="en-US"/>
        </w:rPr>
        <w:t>LOI = Loss on ignition, Others = K</w:t>
      </w:r>
      <w:r w:rsidRPr="00173F38">
        <w:rPr>
          <w:rFonts w:ascii="Times New Roman" w:hAnsi="Times New Roman" w:cs="Times New Roman"/>
          <w:vertAlign w:val="subscript"/>
          <w:lang w:val="en-US"/>
        </w:rPr>
        <w:t>2</w:t>
      </w:r>
      <w:r w:rsidRPr="00173F38">
        <w:rPr>
          <w:rFonts w:ascii="Times New Roman" w:hAnsi="Times New Roman" w:cs="Times New Roman"/>
          <w:lang w:val="en-US"/>
        </w:rPr>
        <w:t>O, Na</w:t>
      </w:r>
      <w:r w:rsidRPr="00173F38">
        <w:rPr>
          <w:rFonts w:ascii="Times New Roman" w:hAnsi="Times New Roman" w:cs="Times New Roman"/>
          <w:vertAlign w:val="subscript"/>
          <w:lang w:val="en-US"/>
        </w:rPr>
        <w:t>2</w:t>
      </w:r>
      <w:r w:rsidRPr="00173F38">
        <w:rPr>
          <w:rFonts w:ascii="Times New Roman" w:hAnsi="Times New Roman" w:cs="Times New Roman"/>
          <w:lang w:val="en-US"/>
        </w:rPr>
        <w:t>O, TiO</w:t>
      </w:r>
      <w:r w:rsidRPr="00173F38">
        <w:rPr>
          <w:rFonts w:ascii="Times New Roman" w:hAnsi="Times New Roman" w:cs="Times New Roman"/>
          <w:vertAlign w:val="subscript"/>
          <w:lang w:val="en-US"/>
        </w:rPr>
        <w:t>2</w:t>
      </w:r>
      <w:r w:rsidRPr="00173F38">
        <w:rPr>
          <w:rFonts w:ascii="Times New Roman" w:hAnsi="Times New Roman" w:cs="Times New Roman"/>
          <w:lang w:val="en-US"/>
        </w:rPr>
        <w:t>, P</w:t>
      </w:r>
      <w:r w:rsidRPr="00173F38">
        <w:rPr>
          <w:rFonts w:ascii="Times New Roman" w:hAnsi="Times New Roman" w:cs="Times New Roman"/>
          <w:vertAlign w:val="subscript"/>
          <w:lang w:val="en-US"/>
        </w:rPr>
        <w:t>2</w:t>
      </w:r>
      <w:r w:rsidRPr="00173F38">
        <w:rPr>
          <w:rFonts w:ascii="Times New Roman" w:hAnsi="Times New Roman" w:cs="Times New Roman"/>
          <w:lang w:val="en-US"/>
        </w:rPr>
        <w:t>O</w:t>
      </w:r>
      <w:r w:rsidRPr="00173F38">
        <w:rPr>
          <w:rFonts w:ascii="Times New Roman" w:hAnsi="Times New Roman" w:cs="Times New Roman"/>
          <w:vertAlign w:val="subscript"/>
          <w:lang w:val="en-US"/>
        </w:rPr>
        <w:t>5</w:t>
      </w:r>
    </w:p>
    <w:p w14:paraId="404E757F" w14:textId="00817F6D" w:rsidR="00F273A3" w:rsidRPr="00966FED" w:rsidRDefault="00F273A3" w:rsidP="00E93491">
      <w:pPr>
        <w:spacing w:before="240" w:after="240" w:line="240" w:lineRule="auto"/>
        <w:jc w:val="both"/>
        <w:rPr>
          <w:rFonts w:ascii="Times New Roman" w:hAnsi="Times New Roman" w:cs="Times New Roman"/>
        </w:rPr>
      </w:pPr>
      <w:r w:rsidRPr="00966FED">
        <w:rPr>
          <w:rFonts w:ascii="Times New Roman" w:hAnsi="Times New Roman" w:cs="Times New Roman"/>
        </w:rPr>
        <w:t xml:space="preserve">The synthesis of the geopolymer-based fire-retardant coating (GFC) involved two main steps: (1) the preparation of the Alkaline Activator (AA) solution and (2) the synthesis of the GFC. The flowchart of the synthesis is shown in Figure 1. The AA solution was prepared by directly adding Na2SiO3 into 8 M NaOH solution at a 5.5 ratio, the solution was prepared 24 hours prior to the production of the GFC. This facilitates the formation of reactive silicate species, improves its reactivity, and ensures a consistent </w:t>
      </w:r>
      <w:proofErr w:type="spellStart"/>
      <w:r w:rsidRPr="00966FED">
        <w:rPr>
          <w:rFonts w:ascii="Times New Roman" w:hAnsi="Times New Roman" w:cs="Times New Roman"/>
        </w:rPr>
        <w:t>geopolymerization</w:t>
      </w:r>
      <w:proofErr w:type="spellEnd"/>
      <w:r w:rsidRPr="00966FED">
        <w:rPr>
          <w:rFonts w:ascii="Times New Roman" w:hAnsi="Times New Roman" w:cs="Times New Roman"/>
        </w:rPr>
        <w:t xml:space="preserve"> process [11], [18]. The geopolymer binder coating was prepared by first blending the dry raw materials—SCBA, KRC, and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—using a mechanical stirrer for 5 minutes. The alkaline activator (AA) solution was then added to the mixture, maintaining a constant </w:t>
      </w:r>
      <w:proofErr w:type="spellStart"/>
      <w:r w:rsidRPr="00966FED">
        <w:rPr>
          <w:rFonts w:ascii="Times New Roman" w:hAnsi="Times New Roman" w:cs="Times New Roman"/>
        </w:rPr>
        <w:t>Na₂O</w:t>
      </w:r>
      <w:proofErr w:type="spellEnd"/>
      <w:r w:rsidRPr="00966FED">
        <w:rPr>
          <w:rFonts w:ascii="Times New Roman" w:hAnsi="Times New Roman" w:cs="Times New Roman"/>
        </w:rPr>
        <w:t>/</w:t>
      </w:r>
      <w:proofErr w:type="spellStart"/>
      <w:r w:rsidRPr="00966FED">
        <w:rPr>
          <w:rFonts w:ascii="Times New Roman" w:hAnsi="Times New Roman" w:cs="Times New Roman"/>
        </w:rPr>
        <w:t>Al₂O</w:t>
      </w:r>
      <w:proofErr w:type="spellEnd"/>
      <w:r w:rsidRPr="00966FED">
        <w:rPr>
          <w:rFonts w:ascii="Times New Roman" w:hAnsi="Times New Roman" w:cs="Times New Roman"/>
        </w:rPr>
        <w:t>₃ ratio of 0.8. Water was introduced at a fixed water-to-geopolymer binder coating ratio of 0.30. The entire mixture was then mechanically stirred for an additional 15 minutes to ensure uniform consistency.</w:t>
      </w:r>
    </w:p>
    <w:p w14:paraId="1CFE5005" w14:textId="77777777" w:rsidR="00F273A3" w:rsidRPr="00966FED" w:rsidRDefault="00F273A3"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prepared GBC was then mixed with the AP and mixed thoroughly for 15 minutes producing the homogeneous GFC. The developed GFC was applied on stainless steel sheets with dimensions of 100 mm x 150 mm x 0.4 mm and with a coating thickness of 0.8 ± 0.1 mm. The stainless-steel sheets were cleaned using sandpaper and washed with acetone before application to ensure the removal of grease and oil on the surface. The coated metal sheets were then cured for 14 days at room temperature [18], [36]. A sample of the developed GFC applied on a steel sheet is shown in Figure 2.</w:t>
      </w:r>
    </w:p>
    <w:p w14:paraId="055FACE1" w14:textId="77777777" w:rsidR="00412DF6" w:rsidRPr="00966FED" w:rsidRDefault="00412DF6" w:rsidP="00E93491">
      <w:pPr>
        <w:spacing w:before="240" w:after="240" w:line="240" w:lineRule="auto"/>
        <w:jc w:val="both"/>
        <w:rPr>
          <w:rFonts w:ascii="Times New Roman" w:hAnsi="Times New Roman" w:cs="Times New Roman"/>
        </w:rPr>
      </w:pPr>
    </w:p>
    <w:p w14:paraId="69BE38BF" w14:textId="77777777" w:rsidR="0032420F" w:rsidRPr="00966FED" w:rsidRDefault="0032420F" w:rsidP="00E93491">
      <w:pPr>
        <w:spacing w:before="240" w:after="240" w:line="240" w:lineRule="auto"/>
        <w:rPr>
          <w:rFonts w:ascii="Times New Roman" w:hAnsi="Times New Roman" w:cs="Times New Roman"/>
          <w:b/>
          <w:bCs/>
          <w:lang w:val="en-US"/>
        </w:rPr>
      </w:pPr>
      <w:r w:rsidRPr="00966FED">
        <w:rPr>
          <w:rFonts w:ascii="Times New Roman" w:hAnsi="Times New Roman" w:cs="Times New Roman"/>
          <w:b/>
          <w:bCs/>
          <w:lang w:val="en-US"/>
        </w:rPr>
        <w:lastRenderedPageBreak/>
        <w:t xml:space="preserve">Figure 1. The flow chart of the synthesis of GFC. </w:t>
      </w:r>
    </w:p>
    <w:p w14:paraId="7AEC7E9A" w14:textId="3095467F" w:rsidR="00533486" w:rsidRPr="00966FED" w:rsidRDefault="00F273A3" w:rsidP="00E93491">
      <w:pPr>
        <w:spacing w:before="240" w:after="240" w:line="240" w:lineRule="auto"/>
        <w:rPr>
          <w:rFonts w:ascii="Times New Roman" w:hAnsi="Times New Roman" w:cs="Times New Roman"/>
          <w:b/>
          <w:bCs/>
          <w:sz w:val="28"/>
          <w:szCs w:val="28"/>
        </w:rPr>
      </w:pPr>
      <w:r w:rsidRPr="00966FED">
        <w:rPr>
          <w:rFonts w:ascii="Times New Roman" w:hAnsi="Times New Roman" w:cs="Times New Roman"/>
          <w:noProof/>
          <w:color w:val="000000"/>
          <w:sz w:val="22"/>
          <w:szCs w:val="22"/>
          <w:bdr w:val="none" w:sz="0" w:space="0" w:color="auto" w:frame="1"/>
        </w:rPr>
        <w:drawing>
          <wp:inline distT="0" distB="0" distL="0" distR="0" wp14:anchorId="3A7E1FAA" wp14:editId="30FD1D11">
            <wp:extent cx="4946073" cy="4439911"/>
            <wp:effectExtent l="0" t="0" r="0" b="0"/>
            <wp:docPr id="365922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755" cy="4440524"/>
                    </a:xfrm>
                    <a:prstGeom prst="rect">
                      <a:avLst/>
                    </a:prstGeom>
                    <a:noFill/>
                    <a:ln>
                      <a:noFill/>
                    </a:ln>
                  </pic:spPr>
                </pic:pic>
              </a:graphicData>
            </a:graphic>
          </wp:inline>
        </w:drawing>
      </w:r>
    </w:p>
    <w:p w14:paraId="456AC6C8" w14:textId="51A691ED" w:rsidR="00537DBD" w:rsidRPr="00966FED" w:rsidRDefault="0013238B" w:rsidP="00E93491">
      <w:pPr>
        <w:spacing w:before="240" w:after="240" w:line="240" w:lineRule="auto"/>
        <w:rPr>
          <w:rFonts w:ascii="Times New Roman" w:hAnsi="Times New Roman" w:cs="Times New Roman"/>
          <w:b/>
          <w:bCs/>
          <w:lang w:val="en-US"/>
        </w:rPr>
      </w:pPr>
      <w:r w:rsidRPr="00966FED">
        <w:rPr>
          <w:rFonts w:ascii="Times New Roman" w:hAnsi="Times New Roman" w:cs="Times New Roman"/>
          <w:b/>
          <w:bCs/>
          <w:lang w:val="en-US"/>
        </w:rPr>
        <w:t xml:space="preserve">Figure 1. The flow chart of the synthesis of GFC. </w:t>
      </w:r>
    </w:p>
    <w:p w14:paraId="7608BA3A" w14:textId="5457BFED" w:rsidR="00F273A3" w:rsidRPr="00966FED" w:rsidRDefault="00D81256" w:rsidP="00E93491">
      <w:pPr>
        <w:spacing w:before="240" w:after="240" w:line="240" w:lineRule="auto"/>
        <w:rPr>
          <w:rFonts w:ascii="Times New Roman" w:hAnsi="Times New Roman" w:cs="Times New Roman"/>
          <w:b/>
          <w:bCs/>
          <w:sz w:val="28"/>
          <w:szCs w:val="28"/>
        </w:rPr>
      </w:pPr>
      <w:r w:rsidRPr="00966FED">
        <w:rPr>
          <w:rFonts w:ascii="Times New Roman" w:hAnsi="Times New Roman" w:cs="Times New Roman"/>
          <w:noProof/>
          <w:color w:val="000000"/>
          <w:sz w:val="22"/>
          <w:szCs w:val="22"/>
          <w:bdr w:val="none" w:sz="0" w:space="0" w:color="auto" w:frame="1"/>
        </w:rPr>
        <w:drawing>
          <wp:inline distT="0" distB="0" distL="0" distR="0" wp14:anchorId="27D8F90B" wp14:editId="3645CA1D">
            <wp:extent cx="2860358" cy="2794215"/>
            <wp:effectExtent l="0" t="0" r="0" b="6350"/>
            <wp:docPr id="1743898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28" t="14123" r="19266" b="11706"/>
                    <a:stretch>
                      <a:fillRect/>
                    </a:stretch>
                  </pic:blipFill>
                  <pic:spPr bwMode="auto">
                    <a:xfrm>
                      <a:off x="0" y="0"/>
                      <a:ext cx="2871680" cy="2805275"/>
                    </a:xfrm>
                    <a:prstGeom prst="rect">
                      <a:avLst/>
                    </a:prstGeom>
                    <a:noFill/>
                    <a:ln>
                      <a:noFill/>
                    </a:ln>
                    <a:extLst>
                      <a:ext uri="{53640926-AAD7-44D8-BBD7-CCE9431645EC}">
                        <a14:shadowObscured xmlns:a14="http://schemas.microsoft.com/office/drawing/2010/main"/>
                      </a:ext>
                    </a:extLst>
                  </pic:spPr>
                </pic:pic>
              </a:graphicData>
            </a:graphic>
          </wp:inline>
        </w:drawing>
      </w:r>
    </w:p>
    <w:p w14:paraId="20FA895A" w14:textId="77777777" w:rsidR="00A23FE7" w:rsidRPr="00A23FE7" w:rsidRDefault="00A23FE7" w:rsidP="00E93491">
      <w:pPr>
        <w:spacing w:before="240" w:after="240" w:line="240" w:lineRule="auto"/>
        <w:jc w:val="both"/>
        <w:rPr>
          <w:rFonts w:ascii="Times New Roman" w:hAnsi="Times New Roman" w:cs="Times New Roman"/>
          <w:lang w:val="en-US"/>
        </w:rPr>
      </w:pPr>
      <w:r w:rsidRPr="00A23FE7">
        <w:rPr>
          <w:rFonts w:ascii="Times New Roman" w:hAnsi="Times New Roman" w:cs="Times New Roman"/>
          <w:lang w:val="en-US"/>
        </w:rPr>
        <w:t>The fire resistance test setup was adapted from the methods reported by Abdullah et al. (2021) and Basri et al. (2021) [18], [36], both of which follow established standard fire testing procedures. The adapted configuration enabled the generation of comparative thermal performance data necessary for material optimization at the laboratory scale. Accordingly, the test setup was considered suitable for preliminary evaluation during the developmental stage prior to conducting full-scale fire tests.</w:t>
      </w:r>
    </w:p>
    <w:p w14:paraId="4674061B" w14:textId="77777777" w:rsidR="00A23FE7" w:rsidRPr="00966FED" w:rsidRDefault="00A23FE7" w:rsidP="00E93491">
      <w:pPr>
        <w:spacing w:before="240" w:after="240" w:line="240" w:lineRule="auto"/>
        <w:jc w:val="both"/>
        <w:rPr>
          <w:rFonts w:ascii="Times New Roman" w:hAnsi="Times New Roman" w:cs="Times New Roman"/>
          <w:lang w:val="en-US"/>
        </w:rPr>
      </w:pPr>
      <w:r w:rsidRPr="00A23FE7">
        <w:rPr>
          <w:rFonts w:ascii="Times New Roman" w:hAnsi="Times New Roman" w:cs="Times New Roman"/>
          <w:lang w:val="en-US"/>
        </w:rPr>
        <w:t xml:space="preserve">A blow torch was set up at a distance of 7 cm from the painted surface and directly fired at the center of the steel plate. A thermocouple is attached at the back side of the coated steel plate where no coating was applied and the </w:t>
      </w:r>
      <w:r w:rsidRPr="00A23FE7">
        <w:rPr>
          <w:rFonts w:ascii="Times New Roman" w:hAnsi="Times New Roman" w:cs="Times New Roman"/>
          <w:lang w:val="en-US"/>
        </w:rPr>
        <w:lastRenderedPageBreak/>
        <w:t>temperature against time data was gathered using a data acquisition device. The test continued until a backside temperature of 300 °C was reached. A bare mild steel plate and a steel plate coated with AP only were used as the control samples. The fire resistance setup is shown in Figures 3a and 3b.</w:t>
      </w:r>
    </w:p>
    <w:p w14:paraId="19362389" w14:textId="77777777" w:rsidR="00A23FE7" w:rsidRPr="00A23FE7" w:rsidRDefault="00A23FE7" w:rsidP="00E93491">
      <w:pPr>
        <w:spacing w:before="240" w:after="240" w:line="240" w:lineRule="auto"/>
        <w:jc w:val="both"/>
        <w:rPr>
          <w:rFonts w:ascii="Times New Roman" w:hAnsi="Times New Roman" w:cs="Times New Roman"/>
          <w:b/>
          <w:bCs/>
          <w:lang w:val="en-US"/>
        </w:rPr>
      </w:pPr>
      <w:r w:rsidRPr="00A23FE7">
        <w:rPr>
          <w:rFonts w:ascii="Times New Roman" w:hAnsi="Times New Roman" w:cs="Times New Roman"/>
          <w:b/>
          <w:bCs/>
          <w:lang w:val="en-US"/>
        </w:rPr>
        <w:t>Figure 3. The fire resistance test (a) setup (b) during testing.</w:t>
      </w:r>
    </w:p>
    <w:tbl>
      <w:tblPr>
        <w:tblW w:w="8448" w:type="dxa"/>
        <w:jc w:val="center"/>
        <w:tblLayout w:type="fixed"/>
        <w:tblLook w:val="0000" w:firstRow="0" w:lastRow="0" w:firstColumn="0" w:lastColumn="0" w:noHBand="0" w:noVBand="0"/>
      </w:tblPr>
      <w:tblGrid>
        <w:gridCol w:w="4180"/>
        <w:gridCol w:w="4268"/>
      </w:tblGrid>
      <w:tr w:rsidR="00925511" w:rsidRPr="00966FED" w14:paraId="51393734" w14:textId="77777777" w:rsidTr="00AC0ED3">
        <w:trPr>
          <w:jc w:val="center"/>
        </w:trPr>
        <w:tc>
          <w:tcPr>
            <w:tcW w:w="4180" w:type="dxa"/>
            <w:vAlign w:val="center"/>
          </w:tcPr>
          <w:p w14:paraId="15A12B40" w14:textId="77777777" w:rsidR="00925511" w:rsidRPr="00966FED" w:rsidRDefault="00925511" w:rsidP="00E93491">
            <w:pPr>
              <w:pBdr>
                <w:top w:val="nil"/>
                <w:left w:val="nil"/>
                <w:bottom w:val="nil"/>
                <w:right w:val="nil"/>
                <w:between w:val="nil"/>
              </w:pBdr>
              <w:spacing w:after="120" w:line="240" w:lineRule="auto"/>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1B07A7AD" wp14:editId="0FB84CE6">
                  <wp:extent cx="2479747" cy="2551177"/>
                  <wp:effectExtent l="0" t="0" r="0" b="0"/>
                  <wp:docPr id="213836813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
                          <a:srcRect l="23388" r="3708"/>
                          <a:stretch>
                            <a:fillRect/>
                          </a:stretch>
                        </pic:blipFill>
                        <pic:spPr>
                          <a:xfrm rot="5400000">
                            <a:off x="0" y="0"/>
                            <a:ext cx="2479747" cy="2551177"/>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59264" behindDoc="0" locked="0" layoutInCell="1" hidden="0" allowOverlap="1" wp14:anchorId="2C6ADE1C" wp14:editId="1AD7A7C0">
                      <wp:simplePos x="0" y="0"/>
                      <wp:positionH relativeFrom="column">
                        <wp:posOffset>-11111</wp:posOffset>
                      </wp:positionH>
                      <wp:positionV relativeFrom="paragraph">
                        <wp:posOffset>-7301</wp:posOffset>
                      </wp:positionV>
                      <wp:extent cx="337185" cy="1414145"/>
                      <wp:effectExtent l="0" t="0" r="0" b="0"/>
                      <wp:wrapNone/>
                      <wp:docPr id="2138368121" name="Rectangle 2138368121"/>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139FF9D6" w14:textId="77777777" w:rsidR="00925511" w:rsidRDefault="00925511" w:rsidP="00925511">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2C6ADE1C" id="Rectangle 2138368121" o:spid="_x0000_s1026" style="position:absolute;margin-left:-.85pt;margin-top:-.55pt;width:26.5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" stroked="f">
                      <v:textbox inset="2.53958mm,1.2694mm,2.53958mm,1.2694mm">
                        <w:txbxContent>
                          <w:p w14:paraId="139FF9D6" w14:textId="77777777" w:rsidR="00925511" w:rsidRDefault="00925511" w:rsidP="00925511">
                            <w:pPr>
                              <w:textDirection w:val="btLr"/>
                            </w:pPr>
                            <w:r>
                              <w:rPr>
                                <w:rFonts w:ascii="Calibri" w:eastAsia="Calibri" w:hAnsi="Calibri" w:cs="Calibri"/>
                                <w:color w:val="000000"/>
                                <w:sz w:val="18"/>
                              </w:rPr>
                              <w:t>(a)</w:t>
                            </w:r>
                          </w:p>
                        </w:txbxContent>
                      </v:textbox>
                    </v:rect>
                  </w:pict>
                </mc:Fallback>
              </mc:AlternateContent>
            </w:r>
          </w:p>
        </w:tc>
        <w:tc>
          <w:tcPr>
            <w:tcW w:w="4268" w:type="dxa"/>
            <w:vAlign w:val="center"/>
          </w:tcPr>
          <w:p w14:paraId="6304FBB5" w14:textId="77777777" w:rsidR="00925511" w:rsidRPr="00966FED" w:rsidRDefault="00925511" w:rsidP="00E93491">
            <w:pPr>
              <w:pBdr>
                <w:top w:val="nil"/>
                <w:left w:val="nil"/>
                <w:bottom w:val="nil"/>
                <w:right w:val="nil"/>
                <w:between w:val="nil"/>
              </w:pBdr>
              <w:spacing w:after="120" w:line="240" w:lineRule="auto"/>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5E4B207A" wp14:editId="0329DD36">
                  <wp:extent cx="2456363" cy="2429663"/>
                  <wp:effectExtent l="0" t="0" r="0" b="0"/>
                  <wp:docPr id="213836813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
                          <a:srcRect l="24171"/>
                          <a:stretch>
                            <a:fillRect/>
                          </a:stretch>
                        </pic:blipFill>
                        <pic:spPr>
                          <a:xfrm rot="5400000">
                            <a:off x="0" y="0"/>
                            <a:ext cx="2456363" cy="2429663"/>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0288" behindDoc="0" locked="0" layoutInCell="1" hidden="0" allowOverlap="1" wp14:anchorId="781821E0" wp14:editId="50D89699">
                      <wp:simplePos x="0" y="0"/>
                      <wp:positionH relativeFrom="column">
                        <wp:posOffset>68899</wp:posOffset>
                      </wp:positionH>
                      <wp:positionV relativeFrom="paragraph">
                        <wp:posOffset>-35241</wp:posOffset>
                      </wp:positionV>
                      <wp:extent cx="337185" cy="1414145"/>
                      <wp:effectExtent l="0" t="0" r="0" b="0"/>
                      <wp:wrapNone/>
                      <wp:docPr id="2138368080" name="Rectangle 2138368080"/>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7B404501" w14:textId="77777777" w:rsidR="00925511" w:rsidRDefault="00925511" w:rsidP="00925511">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781821E0" id="Rectangle 2138368080" o:spid="_x0000_s1027" style="position:absolute;left:0;text-align:left;margin-left:5.45pt;margin-top:-2.75pt;width:26.5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" stroked="f">
                      <v:textbox inset="2.53958mm,1.2694mm,2.53958mm,1.2694mm">
                        <w:txbxContent>
                          <w:p w14:paraId="7B404501" w14:textId="77777777" w:rsidR="00925511" w:rsidRDefault="00925511" w:rsidP="00925511">
                            <w:pPr>
                              <w:textDirection w:val="btLr"/>
                            </w:pPr>
                            <w:r>
                              <w:rPr>
                                <w:rFonts w:ascii="Calibri" w:eastAsia="Calibri" w:hAnsi="Calibri" w:cs="Calibri"/>
                                <w:color w:val="000000"/>
                                <w:sz w:val="18"/>
                              </w:rPr>
                              <w:t>(b)</w:t>
                            </w:r>
                          </w:p>
                        </w:txbxContent>
                      </v:textbox>
                    </v:rect>
                  </w:pict>
                </mc:Fallback>
              </mc:AlternateContent>
            </w:r>
          </w:p>
        </w:tc>
      </w:tr>
    </w:tbl>
    <w:p w14:paraId="6CA719A3" w14:textId="77777777" w:rsidR="006616F7"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adhesion test is a critical evaluation for the GFC, ensuring its durability, performance, and long-term stability when applied to metal surfaces. Strong adhesion is essential to prevent peeling, flaking, or delamination, which could compromise the coating’s fire-retardant and protective properties over time.</w:t>
      </w:r>
    </w:p>
    <w:p w14:paraId="618F86B0" w14:textId="77777777" w:rsidR="006616F7"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To assess adhesion strength, the ASTM D3359-17 standard test was performed. In this test, the coated steel surface was incised using a blade to create a crosshatch pattern. A strip of paper tape was then firmly applied over the incised area, pressed down to ensure contact, and quickly pulled off. The extent of coating detachment was then compared against the ASTM classification standards to determine adhesion quality. The ASTM D3359-17 rating system is shown in Table 3. According to the ASTM standard, a coating is considered to have acceptable adhesion if the detached area is less than 50% of the incised pattern (1B to 5B).</w:t>
      </w:r>
    </w:p>
    <w:p w14:paraId="5A2EED2C" w14:textId="77777777" w:rsidR="006616F7"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Thermogravimetric Analysis (TGA) was employed to assess the thermal decomposition and stability of the GFC, particularly for high-temperature applications, by tracking the sample's weight loss as a function of temperature. The analysis was conducted using a TGA 4000 (PerkinElmer Inc., U.K.). For the test, 5–10 grams of the sample were placed in alumina crucibles and loaded into the TGA chamber. The samples were then heated from 30 °C to 900 °C at a controlled rate of 20 °C/min under a nitrogen atmosphere, maintained at a constant flow rate of 20 mL/min [27]. The use of nitrogen prevents unwanted oxidation, ensuring that the observed weight loss is due to thermal degradation alone rather than combustion.</w:t>
      </w:r>
    </w:p>
    <w:p w14:paraId="079291FD" w14:textId="11404F40" w:rsidR="00F74FC6" w:rsidRPr="00966FED" w:rsidRDefault="006616F7"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surface morphology of the GFC samples before and after the fire resistance test was examined using Scanning Electron Microscopy (JEOL JSM-IT200) at magnifications of x1000 and x8000. The pre-test SEM analysis helps assess the initial surface structure and uniformity of the GFC. Meanwhile, the post-test analysis provides insights into thermal degradation effects, crack formation, and structural integrity after exposure to high temperatures.</w:t>
      </w:r>
    </w:p>
    <w:p w14:paraId="0B11B2A6" w14:textId="77777777" w:rsidR="00F74FC6" w:rsidRPr="00966FED" w:rsidRDefault="00F74FC6" w:rsidP="00E93491">
      <w:pPr>
        <w:pBdr>
          <w:top w:val="nil"/>
          <w:left w:val="nil"/>
          <w:bottom w:val="nil"/>
          <w:right w:val="nil"/>
          <w:between w:val="nil"/>
        </w:pBdr>
        <w:spacing w:line="240" w:lineRule="auto"/>
        <w:rPr>
          <w:rFonts w:ascii="Times New Roman" w:eastAsia="Calibri" w:hAnsi="Times New Roman" w:cs="Times New Roman"/>
          <w:color w:val="000000"/>
        </w:rPr>
      </w:pPr>
      <w:r w:rsidRPr="00966FED">
        <w:rPr>
          <w:rFonts w:ascii="Times New Roman" w:eastAsia="Calibri" w:hAnsi="Times New Roman" w:cs="Times New Roman"/>
          <w:b/>
          <w:bCs/>
          <w:color w:val="000000"/>
        </w:rPr>
        <w:t xml:space="preserve">Table 3. </w:t>
      </w:r>
      <w:r w:rsidRPr="00966FED">
        <w:rPr>
          <w:rFonts w:ascii="Times New Roman" w:eastAsia="Calibri" w:hAnsi="Times New Roman" w:cs="Times New Roman"/>
          <w:color w:val="000000"/>
        </w:rPr>
        <w:t>Classification for adhesion test.</w:t>
      </w:r>
    </w:p>
    <w:tbl>
      <w:tblPr>
        <w:tblW w:w="10052" w:type="dxa"/>
        <w:tblBorders>
          <w:top w:val="single" w:sz="8" w:space="0" w:color="000000"/>
          <w:bottom w:val="single" w:sz="8" w:space="0" w:color="000000"/>
        </w:tblBorders>
        <w:tblLayout w:type="fixed"/>
        <w:tblLook w:val="0400" w:firstRow="0" w:lastRow="0" w:firstColumn="0" w:lastColumn="0" w:noHBand="0" w:noVBand="1"/>
      </w:tblPr>
      <w:tblGrid>
        <w:gridCol w:w="2070"/>
        <w:gridCol w:w="5580"/>
        <w:gridCol w:w="2402"/>
      </w:tblGrid>
      <w:tr w:rsidR="00F74FC6" w:rsidRPr="00966FED" w14:paraId="3E1C22C5" w14:textId="77777777" w:rsidTr="00AC0ED3">
        <w:tc>
          <w:tcPr>
            <w:tcW w:w="2070" w:type="dxa"/>
            <w:tcBorders>
              <w:bottom w:val="single" w:sz="4" w:space="0" w:color="000000"/>
            </w:tcBorders>
            <w:vAlign w:val="center"/>
          </w:tcPr>
          <w:p w14:paraId="40FF510A" w14:textId="77777777" w:rsidR="00F74FC6" w:rsidRPr="00966FED" w:rsidRDefault="00F74FC6"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Classification</w:t>
            </w:r>
          </w:p>
        </w:tc>
        <w:tc>
          <w:tcPr>
            <w:tcW w:w="5580" w:type="dxa"/>
            <w:tcBorders>
              <w:bottom w:val="single" w:sz="4" w:space="0" w:color="000000"/>
            </w:tcBorders>
            <w:vAlign w:val="center"/>
          </w:tcPr>
          <w:p w14:paraId="1DD4BD98" w14:textId="77777777" w:rsidR="00F74FC6" w:rsidRPr="00966FED" w:rsidRDefault="00F74FC6"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Definition</w:t>
            </w:r>
          </w:p>
        </w:tc>
        <w:tc>
          <w:tcPr>
            <w:tcW w:w="2402" w:type="dxa"/>
            <w:tcBorders>
              <w:bottom w:val="single" w:sz="4" w:space="0" w:color="000000"/>
            </w:tcBorders>
            <w:vAlign w:val="center"/>
          </w:tcPr>
          <w:p w14:paraId="057A40FF" w14:textId="77777777" w:rsidR="00F74FC6" w:rsidRPr="00966FED" w:rsidRDefault="00F74FC6"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 Area Removed</w:t>
            </w:r>
          </w:p>
        </w:tc>
      </w:tr>
      <w:tr w:rsidR="00F74FC6" w:rsidRPr="00966FED" w14:paraId="2AD1E937" w14:textId="77777777" w:rsidTr="00AC0ED3">
        <w:tc>
          <w:tcPr>
            <w:tcW w:w="2070" w:type="dxa"/>
          </w:tcPr>
          <w:p w14:paraId="586EB8E1"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5580" w:type="dxa"/>
          </w:tcPr>
          <w:p w14:paraId="2AB77D5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The edges of the cuts are completely smooth, and none of the squares in the lattice is detached.</w:t>
            </w:r>
          </w:p>
        </w:tc>
        <w:tc>
          <w:tcPr>
            <w:tcW w:w="2402" w:type="dxa"/>
          </w:tcPr>
          <w:p w14:paraId="5C51024B"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w:t>
            </w:r>
          </w:p>
        </w:tc>
      </w:tr>
      <w:tr w:rsidR="00F74FC6" w:rsidRPr="00966FED" w14:paraId="14CEC0A1" w14:textId="77777777" w:rsidTr="00AC0ED3">
        <w:tc>
          <w:tcPr>
            <w:tcW w:w="2070" w:type="dxa"/>
          </w:tcPr>
          <w:p w14:paraId="51ECA105"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4B</w:t>
            </w:r>
          </w:p>
        </w:tc>
        <w:tc>
          <w:tcPr>
            <w:tcW w:w="5580" w:type="dxa"/>
          </w:tcPr>
          <w:p w14:paraId="7DEA25F0"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Small flakes of the coating detach at the intersection.</w:t>
            </w:r>
          </w:p>
        </w:tc>
        <w:tc>
          <w:tcPr>
            <w:tcW w:w="2402" w:type="dxa"/>
          </w:tcPr>
          <w:p w14:paraId="1ABE6253"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&lt;5%</w:t>
            </w:r>
          </w:p>
        </w:tc>
      </w:tr>
      <w:tr w:rsidR="00F74FC6" w:rsidRPr="00966FED" w14:paraId="712A8CE5" w14:textId="77777777" w:rsidTr="00AC0ED3">
        <w:tc>
          <w:tcPr>
            <w:tcW w:w="2070" w:type="dxa"/>
          </w:tcPr>
          <w:p w14:paraId="5AC095F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3B</w:t>
            </w:r>
          </w:p>
        </w:tc>
        <w:tc>
          <w:tcPr>
            <w:tcW w:w="5580" w:type="dxa"/>
          </w:tcPr>
          <w:p w14:paraId="2946D8EA"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Small flakes detach along the edges and intersections of cuts.</w:t>
            </w:r>
          </w:p>
        </w:tc>
        <w:tc>
          <w:tcPr>
            <w:tcW w:w="2402" w:type="dxa"/>
          </w:tcPr>
          <w:p w14:paraId="1DFC3FD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5-15%</w:t>
            </w:r>
          </w:p>
        </w:tc>
      </w:tr>
      <w:tr w:rsidR="00F74FC6" w:rsidRPr="00966FED" w14:paraId="0B199A60" w14:textId="77777777" w:rsidTr="00AC0ED3">
        <w:tc>
          <w:tcPr>
            <w:tcW w:w="2070" w:type="dxa"/>
          </w:tcPr>
          <w:p w14:paraId="086C3351"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lastRenderedPageBreak/>
              <w:t>2B</w:t>
            </w:r>
          </w:p>
        </w:tc>
        <w:tc>
          <w:tcPr>
            <w:tcW w:w="5580" w:type="dxa"/>
          </w:tcPr>
          <w:p w14:paraId="39F9634C"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The coating flakes along the edges and parts of the squares.</w:t>
            </w:r>
          </w:p>
        </w:tc>
        <w:tc>
          <w:tcPr>
            <w:tcW w:w="2402" w:type="dxa"/>
          </w:tcPr>
          <w:p w14:paraId="2F632F48"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15-35%</w:t>
            </w:r>
          </w:p>
        </w:tc>
      </w:tr>
      <w:tr w:rsidR="00F74FC6" w:rsidRPr="00966FED" w14:paraId="6C54CEDE" w14:textId="77777777" w:rsidTr="00F74FC6">
        <w:trPr>
          <w:trHeight w:val="64"/>
        </w:trPr>
        <w:tc>
          <w:tcPr>
            <w:tcW w:w="2070" w:type="dxa"/>
          </w:tcPr>
          <w:p w14:paraId="704417B5"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1B</w:t>
            </w:r>
          </w:p>
        </w:tc>
        <w:tc>
          <w:tcPr>
            <w:tcW w:w="5580" w:type="dxa"/>
          </w:tcPr>
          <w:p w14:paraId="7F4E7BDA"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Large sections of the coating detach along the cuts.</w:t>
            </w:r>
          </w:p>
        </w:tc>
        <w:tc>
          <w:tcPr>
            <w:tcW w:w="2402" w:type="dxa"/>
          </w:tcPr>
          <w:p w14:paraId="00F25934"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35-65%</w:t>
            </w:r>
          </w:p>
        </w:tc>
      </w:tr>
      <w:tr w:rsidR="00F74FC6" w:rsidRPr="00966FED" w14:paraId="6608E976" w14:textId="77777777" w:rsidTr="00AC0ED3">
        <w:tc>
          <w:tcPr>
            <w:tcW w:w="2070" w:type="dxa"/>
          </w:tcPr>
          <w:p w14:paraId="0C911696"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0B</w:t>
            </w:r>
          </w:p>
        </w:tc>
        <w:tc>
          <w:tcPr>
            <w:tcW w:w="5580" w:type="dxa"/>
          </w:tcPr>
          <w:p w14:paraId="351C21C7"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Severe flaking and detachment occur.</w:t>
            </w:r>
          </w:p>
        </w:tc>
        <w:tc>
          <w:tcPr>
            <w:tcW w:w="2402" w:type="dxa"/>
          </w:tcPr>
          <w:p w14:paraId="1348AC5B" w14:textId="77777777" w:rsidR="00F74FC6" w:rsidRPr="00966FED" w:rsidRDefault="00F74FC6"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&gt;65%</w:t>
            </w:r>
          </w:p>
        </w:tc>
      </w:tr>
    </w:tbl>
    <w:p w14:paraId="3F675CD7" w14:textId="068DF692" w:rsidR="00443393" w:rsidRPr="00966FED" w:rsidRDefault="00443393" w:rsidP="00E93491">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RESULTS AND DISCUSSION</w:t>
      </w:r>
    </w:p>
    <w:p w14:paraId="7D5F833F" w14:textId="77777777" w:rsidR="00670346" w:rsidRPr="00966FED" w:rsidRDefault="00670346"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complete design matrix with two replications and their respective response value for TT300 is shown in Table 4. The uncoated steel sheet reached 300 °C in 58 s, while the control sample, which contained no geopolymer additive, took 82 s.</w:t>
      </w:r>
    </w:p>
    <w:p w14:paraId="543B035E" w14:textId="77777777" w:rsidR="00670346" w:rsidRPr="00966FED" w:rsidRDefault="00670346" w:rsidP="00E93491">
      <w:pPr>
        <w:spacing w:before="240" w:after="240" w:line="240" w:lineRule="auto"/>
        <w:jc w:val="both"/>
        <w:rPr>
          <w:rFonts w:ascii="Times New Roman" w:hAnsi="Times New Roman" w:cs="Times New Roman"/>
        </w:rPr>
      </w:pPr>
      <w:r w:rsidRPr="00966FED">
        <w:rPr>
          <w:rFonts w:ascii="Times New Roman" w:hAnsi="Times New Roman" w:cs="Times New Roman"/>
        </w:rPr>
        <w:t>The experimental data were analyzed using Design-Expert software, and a two-factor interaction (2-FI) model was found to best fit the data. The significance of the overall model and its individual terms was evaluated through a sequential F-test, Lack-of-Fit test, and ANOVA.</w:t>
      </w:r>
    </w:p>
    <w:p w14:paraId="080E1E45" w14:textId="39EC9882" w:rsidR="00670346" w:rsidRPr="00966FED" w:rsidRDefault="00670346" w:rsidP="00E93491">
      <w:pPr>
        <w:spacing w:before="240" w:after="240" w:line="240" w:lineRule="auto"/>
        <w:jc w:val="both"/>
        <w:rPr>
          <w:rFonts w:ascii="Times New Roman" w:hAnsi="Times New Roman" w:cs="Times New Roman"/>
        </w:rPr>
      </w:pPr>
      <w:r w:rsidRPr="00966FED">
        <w:rPr>
          <w:rFonts w:ascii="Times New Roman" w:hAnsi="Times New Roman" w:cs="Times New Roman"/>
        </w:rPr>
        <w:t xml:space="preserve">Table 5 summarizes the statistical analysis for TT300, revealing that factors A, B, and C are highly significant, with p-values less than 0.0001. Additionally, interaction terms AB, AC, and BC were found to be significant, having p-values below 0.0500. The Lack of Fit F-value of 1.00 and its 45.02% probability of occurrence due to noise (p-value) indicate that the lack of fit is non-significant, which is desirable. This suggests that the model closely fits the experimental data, with minimal </w:t>
      </w:r>
      <w:r w:rsidR="007856FF" w:rsidRPr="00966FED">
        <w:rPr>
          <w:rFonts w:ascii="Times New Roman" w:hAnsi="Times New Roman" w:cs="Times New Roman"/>
        </w:rPr>
        <w:t>unexplained variability.</w:t>
      </w:r>
    </w:p>
    <w:p w14:paraId="1B559BBA" w14:textId="77777777" w:rsidR="00FE0BB8" w:rsidRPr="00966FED" w:rsidRDefault="00FE0BB8" w:rsidP="00E93491">
      <w:pPr>
        <w:spacing w:line="240" w:lineRule="auto"/>
        <w:jc w:val="center"/>
        <w:rPr>
          <w:rFonts w:ascii="Times New Roman" w:eastAsia="Calibri" w:hAnsi="Times New Roman" w:cs="Times New Roman"/>
        </w:rPr>
      </w:pPr>
      <w:r w:rsidRPr="00966FED">
        <w:rPr>
          <w:rFonts w:ascii="Times New Roman" w:eastAsia="Calibri" w:hAnsi="Times New Roman" w:cs="Times New Roman"/>
          <w:b/>
          <w:bCs/>
        </w:rPr>
        <w:t xml:space="preserve">Table 4. </w:t>
      </w:r>
      <w:r w:rsidRPr="00966FED">
        <w:rPr>
          <w:rFonts w:ascii="Times New Roman" w:eastAsia="Calibri" w:hAnsi="Times New Roman" w:cs="Times New Roman"/>
        </w:rPr>
        <w:t>Design matrix and response value for the time taken to reach the backside temperature of 300 °C</w:t>
      </w:r>
    </w:p>
    <w:tbl>
      <w:tblPr>
        <w:tblW w:w="10052" w:type="dxa"/>
        <w:jc w:val="center"/>
        <w:tblBorders>
          <w:top w:val="single" w:sz="4" w:space="0" w:color="000000"/>
          <w:bottom w:val="single" w:sz="4" w:space="0" w:color="000000"/>
        </w:tblBorders>
        <w:tblLayout w:type="fixed"/>
        <w:tblLook w:val="0400" w:firstRow="0" w:lastRow="0" w:firstColumn="0" w:lastColumn="0" w:noHBand="0" w:noVBand="1"/>
      </w:tblPr>
      <w:tblGrid>
        <w:gridCol w:w="1006"/>
        <w:gridCol w:w="1006"/>
        <w:gridCol w:w="1005"/>
        <w:gridCol w:w="1005"/>
        <w:gridCol w:w="1005"/>
        <w:gridCol w:w="1005"/>
        <w:gridCol w:w="1005"/>
        <w:gridCol w:w="1005"/>
        <w:gridCol w:w="1007"/>
        <w:gridCol w:w="1003"/>
      </w:tblGrid>
      <w:tr w:rsidR="00FE0BB8" w:rsidRPr="00966FED" w14:paraId="32FEB93B" w14:textId="77777777" w:rsidTr="00AC0ED3">
        <w:trPr>
          <w:trHeight w:val="208"/>
          <w:jc w:val="center"/>
        </w:trPr>
        <w:tc>
          <w:tcPr>
            <w:tcW w:w="1006" w:type="dxa"/>
            <w:vMerge w:val="restart"/>
            <w:tcBorders>
              <w:top w:val="single" w:sz="8" w:space="0" w:color="000000"/>
            </w:tcBorders>
            <w:vAlign w:val="center"/>
          </w:tcPr>
          <w:p w14:paraId="3E43F082"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Sample</w:t>
            </w:r>
          </w:p>
        </w:tc>
        <w:tc>
          <w:tcPr>
            <w:tcW w:w="3016" w:type="dxa"/>
            <w:gridSpan w:val="3"/>
            <w:tcBorders>
              <w:top w:val="single" w:sz="8" w:space="0" w:color="000000"/>
              <w:bottom w:val="nil"/>
            </w:tcBorders>
            <w:vAlign w:val="center"/>
          </w:tcPr>
          <w:p w14:paraId="4F6E7F12"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Coded Factors</w:t>
            </w:r>
          </w:p>
        </w:tc>
        <w:tc>
          <w:tcPr>
            <w:tcW w:w="1005" w:type="dxa"/>
            <w:vMerge w:val="restart"/>
            <w:tcBorders>
              <w:top w:val="single" w:sz="8" w:space="0" w:color="000000"/>
            </w:tcBorders>
            <w:vAlign w:val="center"/>
          </w:tcPr>
          <w:p w14:paraId="5D0DB931"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TT300</w:t>
            </w:r>
          </w:p>
        </w:tc>
        <w:tc>
          <w:tcPr>
            <w:tcW w:w="1005" w:type="dxa"/>
            <w:vMerge w:val="restart"/>
            <w:tcBorders>
              <w:top w:val="single" w:sz="8" w:space="0" w:color="000000"/>
            </w:tcBorders>
            <w:vAlign w:val="center"/>
          </w:tcPr>
          <w:p w14:paraId="72867CF7"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Sample</w:t>
            </w:r>
          </w:p>
        </w:tc>
        <w:tc>
          <w:tcPr>
            <w:tcW w:w="3017" w:type="dxa"/>
            <w:gridSpan w:val="3"/>
            <w:tcBorders>
              <w:top w:val="single" w:sz="8" w:space="0" w:color="000000"/>
            </w:tcBorders>
            <w:vAlign w:val="center"/>
          </w:tcPr>
          <w:p w14:paraId="2C750CB6"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Coded Factors</w:t>
            </w:r>
          </w:p>
        </w:tc>
        <w:tc>
          <w:tcPr>
            <w:tcW w:w="1003" w:type="dxa"/>
            <w:vMerge w:val="restart"/>
            <w:tcBorders>
              <w:top w:val="single" w:sz="8" w:space="0" w:color="000000"/>
            </w:tcBorders>
            <w:vAlign w:val="center"/>
          </w:tcPr>
          <w:p w14:paraId="21757B0F"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TT300</w:t>
            </w:r>
          </w:p>
        </w:tc>
      </w:tr>
      <w:tr w:rsidR="00FE0BB8" w:rsidRPr="00966FED" w14:paraId="30266B26" w14:textId="77777777" w:rsidTr="00AC0ED3">
        <w:trPr>
          <w:trHeight w:val="207"/>
          <w:jc w:val="center"/>
        </w:trPr>
        <w:tc>
          <w:tcPr>
            <w:tcW w:w="1006" w:type="dxa"/>
            <w:vMerge/>
            <w:tcBorders>
              <w:top w:val="single" w:sz="8" w:space="0" w:color="000000"/>
            </w:tcBorders>
            <w:vAlign w:val="center"/>
          </w:tcPr>
          <w:p w14:paraId="7114CA8C"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c>
          <w:tcPr>
            <w:tcW w:w="1006" w:type="dxa"/>
            <w:tcBorders>
              <w:top w:val="nil"/>
              <w:bottom w:val="single" w:sz="4" w:space="0" w:color="000000"/>
            </w:tcBorders>
            <w:vAlign w:val="center"/>
          </w:tcPr>
          <w:p w14:paraId="45AB4CF4"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A</w:t>
            </w:r>
          </w:p>
        </w:tc>
        <w:tc>
          <w:tcPr>
            <w:tcW w:w="1005" w:type="dxa"/>
            <w:tcBorders>
              <w:bottom w:val="single" w:sz="4" w:space="0" w:color="000000"/>
            </w:tcBorders>
            <w:vAlign w:val="center"/>
          </w:tcPr>
          <w:p w14:paraId="57B3FC4A"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B</w:t>
            </w:r>
          </w:p>
        </w:tc>
        <w:tc>
          <w:tcPr>
            <w:tcW w:w="1005" w:type="dxa"/>
            <w:tcBorders>
              <w:bottom w:val="single" w:sz="4" w:space="0" w:color="000000"/>
            </w:tcBorders>
            <w:vAlign w:val="center"/>
          </w:tcPr>
          <w:p w14:paraId="2EE27FF2"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w:t>
            </w:r>
          </w:p>
        </w:tc>
        <w:tc>
          <w:tcPr>
            <w:tcW w:w="1005" w:type="dxa"/>
            <w:vMerge/>
            <w:tcBorders>
              <w:top w:val="single" w:sz="8" w:space="0" w:color="000000"/>
            </w:tcBorders>
            <w:vAlign w:val="center"/>
          </w:tcPr>
          <w:p w14:paraId="42533151"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c>
          <w:tcPr>
            <w:tcW w:w="1005" w:type="dxa"/>
            <w:vMerge/>
            <w:tcBorders>
              <w:top w:val="single" w:sz="8" w:space="0" w:color="000000"/>
            </w:tcBorders>
            <w:vAlign w:val="center"/>
          </w:tcPr>
          <w:p w14:paraId="0C97D86E"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c>
          <w:tcPr>
            <w:tcW w:w="1005" w:type="dxa"/>
            <w:tcBorders>
              <w:bottom w:val="single" w:sz="4" w:space="0" w:color="000000"/>
            </w:tcBorders>
            <w:vAlign w:val="center"/>
          </w:tcPr>
          <w:p w14:paraId="3856ABEF"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A</w:t>
            </w:r>
          </w:p>
        </w:tc>
        <w:tc>
          <w:tcPr>
            <w:tcW w:w="1005" w:type="dxa"/>
            <w:tcBorders>
              <w:bottom w:val="single" w:sz="4" w:space="0" w:color="000000"/>
            </w:tcBorders>
            <w:vAlign w:val="center"/>
          </w:tcPr>
          <w:p w14:paraId="700EBD99"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B</w:t>
            </w:r>
          </w:p>
        </w:tc>
        <w:tc>
          <w:tcPr>
            <w:tcW w:w="1007" w:type="dxa"/>
            <w:tcBorders>
              <w:bottom w:val="single" w:sz="4" w:space="0" w:color="000000"/>
            </w:tcBorders>
            <w:vAlign w:val="center"/>
          </w:tcPr>
          <w:p w14:paraId="008C8541" w14:textId="77777777" w:rsidR="00FE0BB8" w:rsidRPr="00966FED" w:rsidRDefault="00FE0BB8"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C</w:t>
            </w:r>
          </w:p>
        </w:tc>
        <w:tc>
          <w:tcPr>
            <w:tcW w:w="1003" w:type="dxa"/>
            <w:vMerge/>
            <w:tcBorders>
              <w:top w:val="single" w:sz="8" w:space="0" w:color="000000"/>
            </w:tcBorders>
            <w:vAlign w:val="center"/>
          </w:tcPr>
          <w:p w14:paraId="29E0CD08" w14:textId="77777777" w:rsidR="00FE0BB8" w:rsidRPr="00966FED" w:rsidRDefault="00FE0BB8" w:rsidP="00E93491">
            <w:pPr>
              <w:widowControl w:val="0"/>
              <w:pBdr>
                <w:top w:val="nil"/>
                <w:left w:val="nil"/>
                <w:bottom w:val="nil"/>
                <w:right w:val="nil"/>
                <w:between w:val="nil"/>
              </w:pBdr>
              <w:spacing w:after="0" w:line="240" w:lineRule="auto"/>
              <w:rPr>
                <w:rFonts w:ascii="Times New Roman" w:eastAsia="Calibri" w:hAnsi="Times New Roman" w:cs="Times New Roman"/>
                <w:b/>
                <w:bCs/>
              </w:rPr>
            </w:pPr>
          </w:p>
        </w:tc>
      </w:tr>
      <w:tr w:rsidR="00FE0BB8" w:rsidRPr="00966FED" w14:paraId="35E7243D" w14:textId="77777777" w:rsidTr="00AC0ED3">
        <w:trPr>
          <w:trHeight w:val="270"/>
          <w:jc w:val="center"/>
        </w:trPr>
        <w:tc>
          <w:tcPr>
            <w:tcW w:w="1006" w:type="dxa"/>
            <w:tcBorders>
              <w:top w:val="single" w:sz="4" w:space="0" w:color="000000"/>
              <w:bottom w:val="nil"/>
            </w:tcBorders>
            <w:vAlign w:val="center"/>
          </w:tcPr>
          <w:p w14:paraId="4CE95B7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w:t>
            </w:r>
          </w:p>
        </w:tc>
        <w:tc>
          <w:tcPr>
            <w:tcW w:w="1006" w:type="dxa"/>
            <w:tcBorders>
              <w:top w:val="single" w:sz="4" w:space="0" w:color="000000"/>
              <w:bottom w:val="nil"/>
            </w:tcBorders>
            <w:vAlign w:val="center"/>
          </w:tcPr>
          <w:p w14:paraId="2F66F7C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single" w:sz="4" w:space="0" w:color="000000"/>
              <w:bottom w:val="nil"/>
            </w:tcBorders>
            <w:vAlign w:val="center"/>
          </w:tcPr>
          <w:p w14:paraId="1C3D568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single" w:sz="4" w:space="0" w:color="000000"/>
              <w:bottom w:val="nil"/>
            </w:tcBorders>
            <w:vAlign w:val="center"/>
          </w:tcPr>
          <w:p w14:paraId="782D57D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single" w:sz="4" w:space="0" w:color="000000"/>
              <w:bottom w:val="nil"/>
            </w:tcBorders>
            <w:vAlign w:val="center"/>
          </w:tcPr>
          <w:p w14:paraId="7E8F313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95</w:t>
            </w:r>
          </w:p>
        </w:tc>
        <w:tc>
          <w:tcPr>
            <w:tcW w:w="1005" w:type="dxa"/>
            <w:tcBorders>
              <w:top w:val="single" w:sz="4" w:space="0" w:color="000000"/>
              <w:bottom w:val="nil"/>
            </w:tcBorders>
            <w:vAlign w:val="center"/>
          </w:tcPr>
          <w:p w14:paraId="5660C71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S18</w:t>
            </w:r>
          </w:p>
        </w:tc>
        <w:tc>
          <w:tcPr>
            <w:tcW w:w="1005" w:type="dxa"/>
            <w:tcBorders>
              <w:top w:val="single" w:sz="4" w:space="0" w:color="000000"/>
              <w:bottom w:val="nil"/>
            </w:tcBorders>
            <w:vAlign w:val="center"/>
          </w:tcPr>
          <w:p w14:paraId="59C3177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single" w:sz="4" w:space="0" w:color="000000"/>
              <w:bottom w:val="nil"/>
            </w:tcBorders>
            <w:vAlign w:val="center"/>
          </w:tcPr>
          <w:p w14:paraId="2C684D6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single" w:sz="4" w:space="0" w:color="000000"/>
              <w:bottom w:val="nil"/>
            </w:tcBorders>
            <w:vAlign w:val="center"/>
          </w:tcPr>
          <w:p w14:paraId="386F51F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single" w:sz="4" w:space="0" w:color="000000"/>
              <w:bottom w:val="nil"/>
            </w:tcBorders>
            <w:vAlign w:val="center"/>
          </w:tcPr>
          <w:p w14:paraId="21A79AB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92</w:t>
            </w:r>
          </w:p>
        </w:tc>
      </w:tr>
      <w:tr w:rsidR="00FE0BB8" w:rsidRPr="00966FED" w14:paraId="34FBB1F9" w14:textId="77777777" w:rsidTr="00AC0ED3">
        <w:trPr>
          <w:trHeight w:val="270"/>
          <w:jc w:val="center"/>
        </w:trPr>
        <w:tc>
          <w:tcPr>
            <w:tcW w:w="1006" w:type="dxa"/>
            <w:tcBorders>
              <w:top w:val="nil"/>
              <w:bottom w:val="nil"/>
            </w:tcBorders>
            <w:vAlign w:val="center"/>
          </w:tcPr>
          <w:p w14:paraId="7F66161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w:t>
            </w:r>
          </w:p>
        </w:tc>
        <w:tc>
          <w:tcPr>
            <w:tcW w:w="1006" w:type="dxa"/>
            <w:tcBorders>
              <w:top w:val="nil"/>
              <w:bottom w:val="nil"/>
            </w:tcBorders>
            <w:vAlign w:val="center"/>
          </w:tcPr>
          <w:p w14:paraId="0A6B749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57636EE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1CA3B0A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4EBBAFE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178</w:t>
            </w:r>
          </w:p>
        </w:tc>
        <w:tc>
          <w:tcPr>
            <w:tcW w:w="1005" w:type="dxa"/>
            <w:tcBorders>
              <w:top w:val="nil"/>
              <w:bottom w:val="nil"/>
            </w:tcBorders>
            <w:vAlign w:val="center"/>
          </w:tcPr>
          <w:p w14:paraId="11574F1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S19</w:t>
            </w:r>
          </w:p>
        </w:tc>
        <w:tc>
          <w:tcPr>
            <w:tcW w:w="1005" w:type="dxa"/>
            <w:tcBorders>
              <w:top w:val="nil"/>
              <w:bottom w:val="nil"/>
            </w:tcBorders>
            <w:vAlign w:val="center"/>
          </w:tcPr>
          <w:p w14:paraId="5D80EA1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35A2111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2576357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42EDB9B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201</w:t>
            </w:r>
          </w:p>
        </w:tc>
      </w:tr>
      <w:tr w:rsidR="00FE0BB8" w:rsidRPr="00966FED" w14:paraId="7997B19E" w14:textId="77777777" w:rsidTr="00AC0ED3">
        <w:trPr>
          <w:trHeight w:val="270"/>
          <w:jc w:val="center"/>
        </w:trPr>
        <w:tc>
          <w:tcPr>
            <w:tcW w:w="1006" w:type="dxa"/>
            <w:tcBorders>
              <w:top w:val="nil"/>
              <w:bottom w:val="nil"/>
            </w:tcBorders>
            <w:vAlign w:val="center"/>
          </w:tcPr>
          <w:p w14:paraId="36E7724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w:t>
            </w:r>
          </w:p>
        </w:tc>
        <w:tc>
          <w:tcPr>
            <w:tcW w:w="1006" w:type="dxa"/>
            <w:tcBorders>
              <w:top w:val="nil"/>
              <w:bottom w:val="nil"/>
            </w:tcBorders>
            <w:vAlign w:val="center"/>
          </w:tcPr>
          <w:p w14:paraId="6817D8F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5EA9CD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4490F28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07B3EA1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177</w:t>
            </w:r>
          </w:p>
        </w:tc>
        <w:tc>
          <w:tcPr>
            <w:tcW w:w="1005" w:type="dxa"/>
            <w:tcBorders>
              <w:top w:val="nil"/>
              <w:bottom w:val="nil"/>
            </w:tcBorders>
            <w:vAlign w:val="center"/>
          </w:tcPr>
          <w:p w14:paraId="1C28938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S20</w:t>
            </w:r>
          </w:p>
        </w:tc>
        <w:tc>
          <w:tcPr>
            <w:tcW w:w="1005" w:type="dxa"/>
            <w:tcBorders>
              <w:top w:val="nil"/>
              <w:bottom w:val="nil"/>
            </w:tcBorders>
            <w:vAlign w:val="center"/>
          </w:tcPr>
          <w:p w14:paraId="5BAF8E3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8EF78F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16019E2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571C73E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113</w:t>
            </w:r>
          </w:p>
        </w:tc>
      </w:tr>
      <w:tr w:rsidR="00FE0BB8" w:rsidRPr="00966FED" w14:paraId="2417F3FA" w14:textId="77777777" w:rsidTr="00AC0ED3">
        <w:trPr>
          <w:trHeight w:val="270"/>
          <w:jc w:val="center"/>
        </w:trPr>
        <w:tc>
          <w:tcPr>
            <w:tcW w:w="1006" w:type="dxa"/>
            <w:tcBorders>
              <w:top w:val="nil"/>
              <w:bottom w:val="nil"/>
            </w:tcBorders>
            <w:vAlign w:val="center"/>
          </w:tcPr>
          <w:p w14:paraId="4B8603E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w:t>
            </w:r>
          </w:p>
        </w:tc>
        <w:tc>
          <w:tcPr>
            <w:tcW w:w="1006" w:type="dxa"/>
            <w:tcBorders>
              <w:top w:val="nil"/>
              <w:bottom w:val="nil"/>
            </w:tcBorders>
            <w:vAlign w:val="center"/>
          </w:tcPr>
          <w:p w14:paraId="6F5027A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710E2C1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47BEB3C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7A043E3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165</w:t>
            </w:r>
          </w:p>
        </w:tc>
        <w:tc>
          <w:tcPr>
            <w:tcW w:w="1005" w:type="dxa"/>
            <w:tcBorders>
              <w:top w:val="nil"/>
              <w:bottom w:val="nil"/>
            </w:tcBorders>
            <w:vAlign w:val="center"/>
          </w:tcPr>
          <w:p w14:paraId="0FD300F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S21</w:t>
            </w:r>
          </w:p>
        </w:tc>
        <w:tc>
          <w:tcPr>
            <w:tcW w:w="1005" w:type="dxa"/>
            <w:tcBorders>
              <w:top w:val="nil"/>
              <w:bottom w:val="nil"/>
            </w:tcBorders>
            <w:vAlign w:val="center"/>
          </w:tcPr>
          <w:p w14:paraId="2CDA01C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4283835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4A527C1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nil"/>
              <w:bottom w:val="nil"/>
            </w:tcBorders>
            <w:vAlign w:val="center"/>
          </w:tcPr>
          <w:p w14:paraId="596F763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178</w:t>
            </w:r>
          </w:p>
        </w:tc>
      </w:tr>
      <w:tr w:rsidR="00FE0BB8" w:rsidRPr="00966FED" w14:paraId="1E6AF9EA" w14:textId="77777777" w:rsidTr="00AC0ED3">
        <w:trPr>
          <w:trHeight w:val="270"/>
          <w:jc w:val="center"/>
        </w:trPr>
        <w:tc>
          <w:tcPr>
            <w:tcW w:w="1006" w:type="dxa"/>
            <w:tcBorders>
              <w:top w:val="nil"/>
              <w:bottom w:val="nil"/>
            </w:tcBorders>
            <w:vAlign w:val="center"/>
          </w:tcPr>
          <w:p w14:paraId="45F7944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S5</w:t>
            </w:r>
          </w:p>
        </w:tc>
        <w:tc>
          <w:tcPr>
            <w:tcW w:w="1006" w:type="dxa"/>
            <w:tcBorders>
              <w:top w:val="nil"/>
              <w:bottom w:val="nil"/>
            </w:tcBorders>
            <w:vAlign w:val="center"/>
          </w:tcPr>
          <w:p w14:paraId="4600A5E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21E8C87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7A6020C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54D6431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125</w:t>
            </w:r>
          </w:p>
        </w:tc>
        <w:tc>
          <w:tcPr>
            <w:tcW w:w="1005" w:type="dxa"/>
            <w:tcBorders>
              <w:top w:val="nil"/>
              <w:bottom w:val="nil"/>
            </w:tcBorders>
            <w:vAlign w:val="center"/>
          </w:tcPr>
          <w:p w14:paraId="3AD7B5D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S22</w:t>
            </w:r>
          </w:p>
        </w:tc>
        <w:tc>
          <w:tcPr>
            <w:tcW w:w="1005" w:type="dxa"/>
            <w:tcBorders>
              <w:top w:val="nil"/>
              <w:bottom w:val="nil"/>
            </w:tcBorders>
            <w:vAlign w:val="center"/>
          </w:tcPr>
          <w:p w14:paraId="0067208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0F58338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45BCF93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nil"/>
              <w:bottom w:val="nil"/>
            </w:tcBorders>
            <w:vAlign w:val="center"/>
          </w:tcPr>
          <w:p w14:paraId="7DB185E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146</w:t>
            </w:r>
          </w:p>
        </w:tc>
      </w:tr>
      <w:tr w:rsidR="00FE0BB8" w:rsidRPr="00966FED" w14:paraId="2A6C26BA" w14:textId="77777777" w:rsidTr="00AC0ED3">
        <w:trPr>
          <w:trHeight w:val="270"/>
          <w:jc w:val="center"/>
        </w:trPr>
        <w:tc>
          <w:tcPr>
            <w:tcW w:w="1006" w:type="dxa"/>
            <w:tcBorders>
              <w:top w:val="nil"/>
              <w:bottom w:val="nil"/>
            </w:tcBorders>
            <w:vAlign w:val="center"/>
          </w:tcPr>
          <w:p w14:paraId="0902376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S6</w:t>
            </w:r>
          </w:p>
        </w:tc>
        <w:tc>
          <w:tcPr>
            <w:tcW w:w="1006" w:type="dxa"/>
            <w:tcBorders>
              <w:top w:val="nil"/>
              <w:bottom w:val="nil"/>
            </w:tcBorders>
            <w:vAlign w:val="center"/>
          </w:tcPr>
          <w:p w14:paraId="35139F5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4CD4A64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14FC755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342E929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105</w:t>
            </w:r>
          </w:p>
        </w:tc>
        <w:tc>
          <w:tcPr>
            <w:tcW w:w="1005" w:type="dxa"/>
            <w:tcBorders>
              <w:top w:val="nil"/>
              <w:bottom w:val="nil"/>
            </w:tcBorders>
            <w:vAlign w:val="center"/>
          </w:tcPr>
          <w:p w14:paraId="79BAEB6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S23</w:t>
            </w:r>
          </w:p>
        </w:tc>
        <w:tc>
          <w:tcPr>
            <w:tcW w:w="1005" w:type="dxa"/>
            <w:tcBorders>
              <w:top w:val="nil"/>
              <w:bottom w:val="nil"/>
            </w:tcBorders>
            <w:vAlign w:val="center"/>
          </w:tcPr>
          <w:p w14:paraId="12E6610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2B253EC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4EE748F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19E612C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111</w:t>
            </w:r>
          </w:p>
        </w:tc>
      </w:tr>
      <w:tr w:rsidR="00FE0BB8" w:rsidRPr="00966FED" w14:paraId="3C3D7EC4" w14:textId="77777777" w:rsidTr="00AC0ED3">
        <w:trPr>
          <w:trHeight w:val="270"/>
          <w:jc w:val="center"/>
        </w:trPr>
        <w:tc>
          <w:tcPr>
            <w:tcW w:w="1006" w:type="dxa"/>
            <w:tcBorders>
              <w:top w:val="nil"/>
              <w:bottom w:val="nil"/>
            </w:tcBorders>
            <w:vAlign w:val="center"/>
          </w:tcPr>
          <w:p w14:paraId="121688C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S7</w:t>
            </w:r>
          </w:p>
        </w:tc>
        <w:tc>
          <w:tcPr>
            <w:tcW w:w="1006" w:type="dxa"/>
            <w:tcBorders>
              <w:top w:val="nil"/>
              <w:bottom w:val="nil"/>
            </w:tcBorders>
            <w:vAlign w:val="center"/>
          </w:tcPr>
          <w:p w14:paraId="0589567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00C7D55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0D508C4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66233F1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309</w:t>
            </w:r>
          </w:p>
        </w:tc>
        <w:tc>
          <w:tcPr>
            <w:tcW w:w="1005" w:type="dxa"/>
            <w:tcBorders>
              <w:top w:val="nil"/>
              <w:bottom w:val="nil"/>
            </w:tcBorders>
            <w:vAlign w:val="center"/>
          </w:tcPr>
          <w:p w14:paraId="71372D0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S24</w:t>
            </w:r>
          </w:p>
        </w:tc>
        <w:tc>
          <w:tcPr>
            <w:tcW w:w="1005" w:type="dxa"/>
            <w:tcBorders>
              <w:top w:val="nil"/>
              <w:bottom w:val="nil"/>
            </w:tcBorders>
            <w:vAlign w:val="center"/>
          </w:tcPr>
          <w:p w14:paraId="6CC7506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3563E71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54A44FD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3E96DA3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291</w:t>
            </w:r>
          </w:p>
        </w:tc>
      </w:tr>
      <w:tr w:rsidR="00FE0BB8" w:rsidRPr="00966FED" w14:paraId="58DF3F6C" w14:textId="77777777" w:rsidTr="00AC0ED3">
        <w:trPr>
          <w:trHeight w:val="270"/>
          <w:jc w:val="center"/>
        </w:trPr>
        <w:tc>
          <w:tcPr>
            <w:tcW w:w="1006" w:type="dxa"/>
            <w:tcBorders>
              <w:top w:val="nil"/>
              <w:bottom w:val="nil"/>
            </w:tcBorders>
            <w:vAlign w:val="center"/>
          </w:tcPr>
          <w:p w14:paraId="1E34ED7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S8</w:t>
            </w:r>
          </w:p>
        </w:tc>
        <w:tc>
          <w:tcPr>
            <w:tcW w:w="1006" w:type="dxa"/>
            <w:tcBorders>
              <w:top w:val="nil"/>
              <w:bottom w:val="nil"/>
            </w:tcBorders>
            <w:vAlign w:val="center"/>
          </w:tcPr>
          <w:p w14:paraId="6F85990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34DB73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077A2F5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7575FFC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126</w:t>
            </w:r>
          </w:p>
        </w:tc>
        <w:tc>
          <w:tcPr>
            <w:tcW w:w="1005" w:type="dxa"/>
            <w:tcBorders>
              <w:top w:val="nil"/>
              <w:bottom w:val="nil"/>
            </w:tcBorders>
            <w:vAlign w:val="center"/>
          </w:tcPr>
          <w:p w14:paraId="4AE26ED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S25</w:t>
            </w:r>
          </w:p>
        </w:tc>
        <w:tc>
          <w:tcPr>
            <w:tcW w:w="1005" w:type="dxa"/>
            <w:tcBorders>
              <w:top w:val="nil"/>
              <w:bottom w:val="nil"/>
            </w:tcBorders>
            <w:vAlign w:val="center"/>
          </w:tcPr>
          <w:p w14:paraId="6BC2867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20AD801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3B16B0F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708FD4A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157</w:t>
            </w:r>
          </w:p>
        </w:tc>
      </w:tr>
      <w:tr w:rsidR="00FE0BB8" w:rsidRPr="00966FED" w14:paraId="4C3D6C68" w14:textId="77777777" w:rsidTr="00AC0ED3">
        <w:trPr>
          <w:trHeight w:val="270"/>
          <w:jc w:val="center"/>
        </w:trPr>
        <w:tc>
          <w:tcPr>
            <w:tcW w:w="1006" w:type="dxa"/>
            <w:tcBorders>
              <w:top w:val="nil"/>
              <w:bottom w:val="nil"/>
            </w:tcBorders>
            <w:vAlign w:val="center"/>
          </w:tcPr>
          <w:p w14:paraId="07910A3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S9</w:t>
            </w:r>
          </w:p>
        </w:tc>
        <w:tc>
          <w:tcPr>
            <w:tcW w:w="1006" w:type="dxa"/>
            <w:tcBorders>
              <w:top w:val="nil"/>
              <w:bottom w:val="nil"/>
            </w:tcBorders>
            <w:vAlign w:val="center"/>
          </w:tcPr>
          <w:p w14:paraId="6240F29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70A736D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59EFA17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5912E1B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337</w:t>
            </w:r>
          </w:p>
        </w:tc>
        <w:tc>
          <w:tcPr>
            <w:tcW w:w="1005" w:type="dxa"/>
            <w:tcBorders>
              <w:top w:val="nil"/>
              <w:bottom w:val="nil"/>
            </w:tcBorders>
            <w:vAlign w:val="center"/>
          </w:tcPr>
          <w:p w14:paraId="446946B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S26</w:t>
            </w:r>
          </w:p>
        </w:tc>
        <w:tc>
          <w:tcPr>
            <w:tcW w:w="1005" w:type="dxa"/>
            <w:tcBorders>
              <w:top w:val="nil"/>
              <w:bottom w:val="nil"/>
            </w:tcBorders>
            <w:vAlign w:val="center"/>
          </w:tcPr>
          <w:p w14:paraId="15CB17F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2B63937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261CCDD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3A117EE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293</w:t>
            </w:r>
          </w:p>
        </w:tc>
      </w:tr>
      <w:tr w:rsidR="00FE0BB8" w:rsidRPr="00966FED" w14:paraId="57232177" w14:textId="77777777" w:rsidTr="00AC0ED3">
        <w:trPr>
          <w:trHeight w:val="270"/>
          <w:jc w:val="center"/>
        </w:trPr>
        <w:tc>
          <w:tcPr>
            <w:tcW w:w="1006" w:type="dxa"/>
            <w:tcBorders>
              <w:top w:val="nil"/>
              <w:bottom w:val="nil"/>
            </w:tcBorders>
            <w:vAlign w:val="center"/>
          </w:tcPr>
          <w:p w14:paraId="6B74B67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S10</w:t>
            </w:r>
          </w:p>
        </w:tc>
        <w:tc>
          <w:tcPr>
            <w:tcW w:w="1006" w:type="dxa"/>
            <w:tcBorders>
              <w:top w:val="nil"/>
              <w:bottom w:val="nil"/>
            </w:tcBorders>
            <w:vAlign w:val="center"/>
          </w:tcPr>
          <w:p w14:paraId="778991A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73A6A9E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5BD21B0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2664AAD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176</w:t>
            </w:r>
          </w:p>
        </w:tc>
        <w:tc>
          <w:tcPr>
            <w:tcW w:w="1005" w:type="dxa"/>
            <w:tcBorders>
              <w:top w:val="nil"/>
              <w:bottom w:val="nil"/>
            </w:tcBorders>
            <w:vAlign w:val="center"/>
          </w:tcPr>
          <w:p w14:paraId="7EFB1A9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S27</w:t>
            </w:r>
          </w:p>
        </w:tc>
        <w:tc>
          <w:tcPr>
            <w:tcW w:w="1005" w:type="dxa"/>
            <w:tcBorders>
              <w:top w:val="nil"/>
              <w:bottom w:val="nil"/>
            </w:tcBorders>
            <w:vAlign w:val="center"/>
          </w:tcPr>
          <w:p w14:paraId="023862A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5.00</w:t>
            </w:r>
          </w:p>
        </w:tc>
        <w:tc>
          <w:tcPr>
            <w:tcW w:w="1005" w:type="dxa"/>
            <w:tcBorders>
              <w:top w:val="nil"/>
              <w:bottom w:val="nil"/>
            </w:tcBorders>
            <w:vAlign w:val="center"/>
          </w:tcPr>
          <w:p w14:paraId="482CAED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753CBE6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36618B2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213</w:t>
            </w:r>
          </w:p>
        </w:tc>
      </w:tr>
      <w:tr w:rsidR="00FE0BB8" w:rsidRPr="00966FED" w14:paraId="09B8E69B" w14:textId="77777777" w:rsidTr="00AC0ED3">
        <w:trPr>
          <w:trHeight w:val="270"/>
          <w:jc w:val="center"/>
        </w:trPr>
        <w:tc>
          <w:tcPr>
            <w:tcW w:w="1006" w:type="dxa"/>
            <w:tcBorders>
              <w:top w:val="nil"/>
              <w:bottom w:val="nil"/>
            </w:tcBorders>
            <w:vAlign w:val="center"/>
          </w:tcPr>
          <w:p w14:paraId="79C7C01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S11</w:t>
            </w:r>
          </w:p>
        </w:tc>
        <w:tc>
          <w:tcPr>
            <w:tcW w:w="1006" w:type="dxa"/>
            <w:tcBorders>
              <w:top w:val="nil"/>
              <w:bottom w:val="nil"/>
            </w:tcBorders>
            <w:vAlign w:val="center"/>
          </w:tcPr>
          <w:p w14:paraId="7F207DA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1C8261E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50F22E0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75DCF0A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153</w:t>
            </w:r>
          </w:p>
        </w:tc>
        <w:tc>
          <w:tcPr>
            <w:tcW w:w="1005" w:type="dxa"/>
            <w:tcBorders>
              <w:top w:val="nil"/>
              <w:bottom w:val="nil"/>
            </w:tcBorders>
            <w:vAlign w:val="center"/>
          </w:tcPr>
          <w:p w14:paraId="3809FBC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S28</w:t>
            </w:r>
          </w:p>
        </w:tc>
        <w:tc>
          <w:tcPr>
            <w:tcW w:w="1005" w:type="dxa"/>
            <w:tcBorders>
              <w:top w:val="nil"/>
              <w:bottom w:val="nil"/>
            </w:tcBorders>
            <w:vAlign w:val="center"/>
          </w:tcPr>
          <w:p w14:paraId="720D06E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8CE2D7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18B444D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56C2C97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163</w:t>
            </w:r>
          </w:p>
        </w:tc>
      </w:tr>
      <w:tr w:rsidR="00FE0BB8" w:rsidRPr="00966FED" w14:paraId="4A0B892D" w14:textId="77777777" w:rsidTr="00AC0ED3">
        <w:trPr>
          <w:trHeight w:val="270"/>
          <w:jc w:val="center"/>
        </w:trPr>
        <w:tc>
          <w:tcPr>
            <w:tcW w:w="1006" w:type="dxa"/>
            <w:tcBorders>
              <w:top w:val="nil"/>
              <w:bottom w:val="nil"/>
            </w:tcBorders>
            <w:vAlign w:val="center"/>
          </w:tcPr>
          <w:p w14:paraId="1573772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S12</w:t>
            </w:r>
          </w:p>
        </w:tc>
        <w:tc>
          <w:tcPr>
            <w:tcW w:w="1006" w:type="dxa"/>
            <w:tcBorders>
              <w:top w:val="nil"/>
              <w:bottom w:val="nil"/>
            </w:tcBorders>
            <w:vAlign w:val="center"/>
          </w:tcPr>
          <w:p w14:paraId="09AE67B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02CD7D7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205341F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351613E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129</w:t>
            </w:r>
          </w:p>
        </w:tc>
        <w:tc>
          <w:tcPr>
            <w:tcW w:w="1005" w:type="dxa"/>
            <w:tcBorders>
              <w:top w:val="nil"/>
              <w:bottom w:val="nil"/>
            </w:tcBorders>
            <w:vAlign w:val="center"/>
          </w:tcPr>
          <w:p w14:paraId="2B070CE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S29</w:t>
            </w:r>
          </w:p>
        </w:tc>
        <w:tc>
          <w:tcPr>
            <w:tcW w:w="1005" w:type="dxa"/>
            <w:tcBorders>
              <w:top w:val="nil"/>
              <w:bottom w:val="nil"/>
            </w:tcBorders>
            <w:vAlign w:val="center"/>
          </w:tcPr>
          <w:p w14:paraId="48865D9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65C1771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4A02BC9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660ADEA0"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107</w:t>
            </w:r>
          </w:p>
        </w:tc>
      </w:tr>
      <w:tr w:rsidR="00FE0BB8" w:rsidRPr="00966FED" w14:paraId="272B14C4" w14:textId="77777777" w:rsidTr="00AC0ED3">
        <w:trPr>
          <w:trHeight w:val="270"/>
          <w:jc w:val="center"/>
        </w:trPr>
        <w:tc>
          <w:tcPr>
            <w:tcW w:w="1006" w:type="dxa"/>
            <w:tcBorders>
              <w:top w:val="nil"/>
              <w:bottom w:val="nil"/>
            </w:tcBorders>
            <w:vAlign w:val="center"/>
          </w:tcPr>
          <w:p w14:paraId="379A502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S13</w:t>
            </w:r>
          </w:p>
        </w:tc>
        <w:tc>
          <w:tcPr>
            <w:tcW w:w="1006" w:type="dxa"/>
            <w:tcBorders>
              <w:top w:val="nil"/>
              <w:bottom w:val="nil"/>
            </w:tcBorders>
            <w:vAlign w:val="center"/>
          </w:tcPr>
          <w:p w14:paraId="3601A29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77C82E9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55B00A4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5D8650D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186</w:t>
            </w:r>
          </w:p>
        </w:tc>
        <w:tc>
          <w:tcPr>
            <w:tcW w:w="1005" w:type="dxa"/>
            <w:tcBorders>
              <w:top w:val="nil"/>
              <w:bottom w:val="nil"/>
            </w:tcBorders>
            <w:vAlign w:val="center"/>
          </w:tcPr>
          <w:p w14:paraId="04D7C07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S30</w:t>
            </w:r>
          </w:p>
        </w:tc>
        <w:tc>
          <w:tcPr>
            <w:tcW w:w="1005" w:type="dxa"/>
            <w:tcBorders>
              <w:top w:val="nil"/>
              <w:bottom w:val="nil"/>
            </w:tcBorders>
            <w:vAlign w:val="center"/>
          </w:tcPr>
          <w:p w14:paraId="63FF5AD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564CBA2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588D5D8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4249E03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138</w:t>
            </w:r>
          </w:p>
        </w:tc>
      </w:tr>
      <w:tr w:rsidR="00FE0BB8" w:rsidRPr="00966FED" w14:paraId="1D9F04A5" w14:textId="77777777" w:rsidTr="00AC0ED3">
        <w:trPr>
          <w:trHeight w:val="270"/>
          <w:jc w:val="center"/>
        </w:trPr>
        <w:tc>
          <w:tcPr>
            <w:tcW w:w="1006" w:type="dxa"/>
            <w:tcBorders>
              <w:top w:val="nil"/>
              <w:bottom w:val="nil"/>
            </w:tcBorders>
            <w:vAlign w:val="center"/>
          </w:tcPr>
          <w:p w14:paraId="3AC86FE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S14</w:t>
            </w:r>
          </w:p>
        </w:tc>
        <w:tc>
          <w:tcPr>
            <w:tcW w:w="1006" w:type="dxa"/>
            <w:tcBorders>
              <w:top w:val="nil"/>
              <w:bottom w:val="nil"/>
            </w:tcBorders>
            <w:vAlign w:val="center"/>
          </w:tcPr>
          <w:p w14:paraId="367AD74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21A276A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70AE715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6F3E981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107</w:t>
            </w:r>
          </w:p>
        </w:tc>
        <w:tc>
          <w:tcPr>
            <w:tcW w:w="1005" w:type="dxa"/>
            <w:tcBorders>
              <w:top w:val="nil"/>
              <w:bottom w:val="nil"/>
            </w:tcBorders>
            <w:vAlign w:val="center"/>
          </w:tcPr>
          <w:p w14:paraId="4F5E0F8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S31</w:t>
            </w:r>
          </w:p>
        </w:tc>
        <w:tc>
          <w:tcPr>
            <w:tcW w:w="1005" w:type="dxa"/>
            <w:tcBorders>
              <w:top w:val="nil"/>
              <w:bottom w:val="nil"/>
            </w:tcBorders>
            <w:vAlign w:val="center"/>
          </w:tcPr>
          <w:p w14:paraId="6687D35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03C47EA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243B039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3" w:type="dxa"/>
            <w:tcBorders>
              <w:top w:val="nil"/>
              <w:bottom w:val="nil"/>
            </w:tcBorders>
            <w:vAlign w:val="center"/>
          </w:tcPr>
          <w:p w14:paraId="0706740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128</w:t>
            </w:r>
          </w:p>
        </w:tc>
      </w:tr>
      <w:tr w:rsidR="00FE0BB8" w:rsidRPr="00966FED" w14:paraId="18B64EFE" w14:textId="77777777" w:rsidTr="00AC0ED3">
        <w:trPr>
          <w:trHeight w:val="270"/>
          <w:jc w:val="center"/>
        </w:trPr>
        <w:tc>
          <w:tcPr>
            <w:tcW w:w="1006" w:type="dxa"/>
            <w:tcBorders>
              <w:top w:val="nil"/>
              <w:bottom w:val="nil"/>
            </w:tcBorders>
            <w:vAlign w:val="center"/>
          </w:tcPr>
          <w:p w14:paraId="7881F35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S15</w:t>
            </w:r>
          </w:p>
        </w:tc>
        <w:tc>
          <w:tcPr>
            <w:tcW w:w="1006" w:type="dxa"/>
            <w:tcBorders>
              <w:top w:val="nil"/>
              <w:bottom w:val="nil"/>
            </w:tcBorders>
            <w:vAlign w:val="center"/>
          </w:tcPr>
          <w:p w14:paraId="2C6098A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10CC64D5"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5" w:type="dxa"/>
            <w:tcBorders>
              <w:top w:val="nil"/>
              <w:bottom w:val="nil"/>
            </w:tcBorders>
            <w:vAlign w:val="center"/>
          </w:tcPr>
          <w:p w14:paraId="0C44FB0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4D5EDF2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167</w:t>
            </w:r>
          </w:p>
        </w:tc>
        <w:tc>
          <w:tcPr>
            <w:tcW w:w="1005" w:type="dxa"/>
            <w:tcBorders>
              <w:top w:val="nil"/>
              <w:bottom w:val="nil"/>
            </w:tcBorders>
            <w:vAlign w:val="center"/>
          </w:tcPr>
          <w:p w14:paraId="4BA2FFE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S32</w:t>
            </w:r>
          </w:p>
        </w:tc>
        <w:tc>
          <w:tcPr>
            <w:tcW w:w="1005" w:type="dxa"/>
            <w:tcBorders>
              <w:top w:val="nil"/>
              <w:bottom w:val="nil"/>
            </w:tcBorders>
            <w:vAlign w:val="center"/>
          </w:tcPr>
          <w:p w14:paraId="474037FB"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05B063B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w:t>
            </w:r>
          </w:p>
        </w:tc>
        <w:tc>
          <w:tcPr>
            <w:tcW w:w="1007" w:type="dxa"/>
            <w:tcBorders>
              <w:top w:val="nil"/>
              <w:bottom w:val="nil"/>
            </w:tcBorders>
            <w:vAlign w:val="center"/>
          </w:tcPr>
          <w:p w14:paraId="5AEE1A8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7B7D807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131</w:t>
            </w:r>
          </w:p>
        </w:tc>
      </w:tr>
      <w:tr w:rsidR="00FE0BB8" w:rsidRPr="00966FED" w14:paraId="32DD4A63" w14:textId="77777777" w:rsidTr="00AC0ED3">
        <w:trPr>
          <w:trHeight w:val="270"/>
          <w:jc w:val="center"/>
        </w:trPr>
        <w:tc>
          <w:tcPr>
            <w:tcW w:w="1006" w:type="dxa"/>
            <w:tcBorders>
              <w:top w:val="nil"/>
              <w:bottom w:val="nil"/>
            </w:tcBorders>
            <w:vAlign w:val="center"/>
          </w:tcPr>
          <w:p w14:paraId="2501203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S16</w:t>
            </w:r>
          </w:p>
        </w:tc>
        <w:tc>
          <w:tcPr>
            <w:tcW w:w="1006" w:type="dxa"/>
            <w:tcBorders>
              <w:top w:val="nil"/>
              <w:bottom w:val="nil"/>
            </w:tcBorders>
            <w:vAlign w:val="center"/>
          </w:tcPr>
          <w:p w14:paraId="373CE14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359C1739"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5" w:type="dxa"/>
            <w:tcBorders>
              <w:top w:val="nil"/>
              <w:bottom w:val="nil"/>
            </w:tcBorders>
            <w:vAlign w:val="center"/>
          </w:tcPr>
          <w:p w14:paraId="4033ADCA"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5" w:type="dxa"/>
            <w:tcBorders>
              <w:top w:val="nil"/>
              <w:bottom w:val="nil"/>
            </w:tcBorders>
            <w:vAlign w:val="center"/>
          </w:tcPr>
          <w:p w14:paraId="199EEE2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102</w:t>
            </w:r>
          </w:p>
        </w:tc>
        <w:tc>
          <w:tcPr>
            <w:tcW w:w="1005" w:type="dxa"/>
            <w:tcBorders>
              <w:top w:val="nil"/>
              <w:bottom w:val="nil"/>
            </w:tcBorders>
            <w:vAlign w:val="center"/>
          </w:tcPr>
          <w:p w14:paraId="012445B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S33</w:t>
            </w:r>
          </w:p>
        </w:tc>
        <w:tc>
          <w:tcPr>
            <w:tcW w:w="1005" w:type="dxa"/>
            <w:tcBorders>
              <w:top w:val="nil"/>
              <w:bottom w:val="nil"/>
            </w:tcBorders>
            <w:vAlign w:val="center"/>
          </w:tcPr>
          <w:p w14:paraId="6793194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3.00</w:t>
            </w:r>
          </w:p>
        </w:tc>
        <w:tc>
          <w:tcPr>
            <w:tcW w:w="1005" w:type="dxa"/>
            <w:tcBorders>
              <w:top w:val="nil"/>
              <w:bottom w:val="nil"/>
            </w:tcBorders>
            <w:vAlign w:val="center"/>
          </w:tcPr>
          <w:p w14:paraId="113DA18C"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0.3</w:t>
            </w:r>
          </w:p>
        </w:tc>
        <w:tc>
          <w:tcPr>
            <w:tcW w:w="1007" w:type="dxa"/>
            <w:tcBorders>
              <w:top w:val="nil"/>
              <w:bottom w:val="nil"/>
            </w:tcBorders>
            <w:vAlign w:val="center"/>
          </w:tcPr>
          <w:p w14:paraId="046B3441"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w:t>
            </w:r>
          </w:p>
        </w:tc>
        <w:tc>
          <w:tcPr>
            <w:tcW w:w="1003" w:type="dxa"/>
            <w:tcBorders>
              <w:top w:val="nil"/>
              <w:bottom w:val="nil"/>
            </w:tcBorders>
            <w:vAlign w:val="center"/>
          </w:tcPr>
          <w:p w14:paraId="1FC0648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127</w:t>
            </w:r>
          </w:p>
        </w:tc>
      </w:tr>
      <w:tr w:rsidR="00FE0BB8" w:rsidRPr="00966FED" w14:paraId="49A4CFF6" w14:textId="77777777" w:rsidTr="00AC0ED3">
        <w:trPr>
          <w:trHeight w:val="270"/>
          <w:jc w:val="center"/>
        </w:trPr>
        <w:tc>
          <w:tcPr>
            <w:tcW w:w="1006" w:type="dxa"/>
            <w:tcBorders>
              <w:top w:val="nil"/>
              <w:bottom w:val="nil"/>
            </w:tcBorders>
            <w:vAlign w:val="center"/>
          </w:tcPr>
          <w:p w14:paraId="6E7B8C68"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S17</w:t>
            </w:r>
          </w:p>
        </w:tc>
        <w:tc>
          <w:tcPr>
            <w:tcW w:w="1006" w:type="dxa"/>
            <w:tcBorders>
              <w:top w:val="nil"/>
              <w:bottom w:val="nil"/>
            </w:tcBorders>
            <w:vAlign w:val="center"/>
          </w:tcPr>
          <w:p w14:paraId="14C666D2"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1A6355A4"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5" w:type="dxa"/>
            <w:tcBorders>
              <w:top w:val="nil"/>
              <w:bottom w:val="nil"/>
            </w:tcBorders>
            <w:vAlign w:val="center"/>
          </w:tcPr>
          <w:p w14:paraId="6FD935C3"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5" w:type="dxa"/>
            <w:tcBorders>
              <w:top w:val="nil"/>
              <w:bottom w:val="nil"/>
            </w:tcBorders>
            <w:vAlign w:val="center"/>
          </w:tcPr>
          <w:p w14:paraId="7AF07B16"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260</w:t>
            </w:r>
          </w:p>
        </w:tc>
        <w:tc>
          <w:tcPr>
            <w:tcW w:w="1005" w:type="dxa"/>
            <w:tcBorders>
              <w:top w:val="nil"/>
              <w:bottom w:val="nil"/>
            </w:tcBorders>
            <w:vAlign w:val="center"/>
          </w:tcPr>
          <w:p w14:paraId="76AF07EE"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S34</w:t>
            </w:r>
          </w:p>
        </w:tc>
        <w:tc>
          <w:tcPr>
            <w:tcW w:w="1005" w:type="dxa"/>
            <w:tcBorders>
              <w:top w:val="nil"/>
              <w:bottom w:val="nil"/>
            </w:tcBorders>
            <w:vAlign w:val="center"/>
          </w:tcPr>
          <w:p w14:paraId="33D028E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4.00</w:t>
            </w:r>
          </w:p>
        </w:tc>
        <w:tc>
          <w:tcPr>
            <w:tcW w:w="1005" w:type="dxa"/>
            <w:tcBorders>
              <w:top w:val="nil"/>
              <w:bottom w:val="nil"/>
            </w:tcBorders>
            <w:vAlign w:val="center"/>
          </w:tcPr>
          <w:p w14:paraId="53BEE27D"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0.6</w:t>
            </w:r>
          </w:p>
        </w:tc>
        <w:tc>
          <w:tcPr>
            <w:tcW w:w="1007" w:type="dxa"/>
            <w:tcBorders>
              <w:top w:val="nil"/>
              <w:bottom w:val="nil"/>
            </w:tcBorders>
            <w:vAlign w:val="center"/>
          </w:tcPr>
          <w:p w14:paraId="5D03BFCF"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0.5</w:t>
            </w:r>
          </w:p>
        </w:tc>
        <w:tc>
          <w:tcPr>
            <w:tcW w:w="1003" w:type="dxa"/>
            <w:tcBorders>
              <w:top w:val="nil"/>
              <w:bottom w:val="nil"/>
            </w:tcBorders>
            <w:vAlign w:val="center"/>
          </w:tcPr>
          <w:p w14:paraId="73E23F57" w14:textId="77777777" w:rsidR="00FE0BB8" w:rsidRPr="00966FED" w:rsidRDefault="00FE0BB8"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251</w:t>
            </w:r>
          </w:p>
        </w:tc>
      </w:tr>
    </w:tbl>
    <w:p w14:paraId="38C886C9" w14:textId="2D1EA8B0" w:rsidR="00AD56EC" w:rsidRPr="00966FED" w:rsidRDefault="00AD56EC" w:rsidP="001D0AFA">
      <w:pPr>
        <w:widowControl w:val="0"/>
        <w:pBdr>
          <w:top w:val="nil"/>
          <w:left w:val="nil"/>
          <w:bottom w:val="nil"/>
          <w:right w:val="nil"/>
          <w:between w:val="nil"/>
        </w:pBdr>
        <w:spacing w:after="0" w:line="240" w:lineRule="auto"/>
        <w:jc w:val="center"/>
        <w:rPr>
          <w:rFonts w:ascii="Times New Roman" w:hAnsi="Times New Roman" w:cs="Times New Roman"/>
        </w:rPr>
      </w:pPr>
      <w:r w:rsidRPr="00966FED">
        <w:rPr>
          <w:rFonts w:ascii="Times New Roman" w:hAnsi="Times New Roman" w:cs="Times New Roman"/>
        </w:rPr>
        <w:t>TT300 = Time taken to reach backside temperature of 300 °C (in seconds).</w:t>
      </w:r>
    </w:p>
    <w:p w14:paraId="2F7C1DAD" w14:textId="77777777" w:rsidR="001D0AFA" w:rsidRPr="00966FED" w:rsidRDefault="001D0AFA" w:rsidP="001D0AFA">
      <w:pPr>
        <w:widowControl w:val="0"/>
        <w:pBdr>
          <w:top w:val="nil"/>
          <w:left w:val="nil"/>
          <w:bottom w:val="nil"/>
          <w:right w:val="nil"/>
          <w:between w:val="nil"/>
        </w:pBdr>
        <w:spacing w:after="0" w:line="240" w:lineRule="auto"/>
        <w:jc w:val="center"/>
        <w:rPr>
          <w:rFonts w:ascii="Times New Roman" w:hAnsi="Times New Roman" w:cs="Times New Roman"/>
        </w:rPr>
      </w:pPr>
    </w:p>
    <w:p w14:paraId="4D3686FF" w14:textId="77777777" w:rsidR="00B355B2" w:rsidRPr="00966FED" w:rsidRDefault="00B355B2" w:rsidP="00E93491">
      <w:pPr>
        <w:spacing w:line="240" w:lineRule="auto"/>
        <w:ind w:firstLine="284"/>
        <w:rPr>
          <w:rFonts w:ascii="Times New Roman" w:eastAsia="Calibri" w:hAnsi="Times New Roman" w:cs="Times New Roman"/>
          <w:b/>
          <w:bCs/>
        </w:rPr>
      </w:pPr>
      <w:r w:rsidRPr="00966FED">
        <w:rPr>
          <w:rFonts w:ascii="Times New Roman" w:eastAsia="Calibri" w:hAnsi="Times New Roman" w:cs="Times New Roman"/>
          <w:b/>
          <w:bCs/>
        </w:rPr>
        <w:t xml:space="preserve">Table 5. </w:t>
      </w:r>
      <w:r w:rsidRPr="00966FED">
        <w:rPr>
          <w:rFonts w:ascii="Times New Roman" w:eastAsia="Calibri" w:hAnsi="Times New Roman" w:cs="Times New Roman"/>
        </w:rPr>
        <w:t>ANOVA for TT300.</w:t>
      </w:r>
    </w:p>
    <w:tbl>
      <w:tblPr>
        <w:tblW w:w="5000" w:type="pct"/>
        <w:jc w:val="center"/>
        <w:tblBorders>
          <w:top w:val="single" w:sz="4" w:space="0" w:color="000000"/>
          <w:bottom w:val="single" w:sz="4" w:space="0" w:color="000000"/>
        </w:tblBorders>
        <w:tblLook w:val="0400" w:firstRow="0" w:lastRow="0" w:firstColumn="0" w:lastColumn="0" w:noHBand="0" w:noVBand="1"/>
      </w:tblPr>
      <w:tblGrid>
        <w:gridCol w:w="1688"/>
        <w:gridCol w:w="2024"/>
        <w:gridCol w:w="727"/>
        <w:gridCol w:w="1763"/>
        <w:gridCol w:w="1098"/>
        <w:gridCol w:w="1187"/>
        <w:gridCol w:w="2210"/>
      </w:tblGrid>
      <w:tr w:rsidR="00B355B2" w:rsidRPr="00966FED" w14:paraId="3A51A67D" w14:textId="77777777" w:rsidTr="00B355B2">
        <w:trPr>
          <w:jc w:val="center"/>
        </w:trPr>
        <w:tc>
          <w:tcPr>
            <w:tcW w:w="789" w:type="pct"/>
            <w:tcBorders>
              <w:top w:val="single" w:sz="8" w:space="0" w:color="000000"/>
              <w:bottom w:val="single" w:sz="4" w:space="0" w:color="000000"/>
            </w:tcBorders>
            <w:vAlign w:val="center"/>
          </w:tcPr>
          <w:p w14:paraId="3FE5BA81"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Source</w:t>
            </w:r>
          </w:p>
        </w:tc>
        <w:tc>
          <w:tcPr>
            <w:tcW w:w="946" w:type="pct"/>
            <w:tcBorders>
              <w:top w:val="single" w:sz="8" w:space="0" w:color="000000"/>
              <w:bottom w:val="single" w:sz="4" w:space="0" w:color="000000"/>
            </w:tcBorders>
            <w:vAlign w:val="center"/>
          </w:tcPr>
          <w:p w14:paraId="6B30C6D8"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Sum of Squares</w:t>
            </w:r>
          </w:p>
        </w:tc>
        <w:tc>
          <w:tcPr>
            <w:tcW w:w="340" w:type="pct"/>
            <w:tcBorders>
              <w:top w:val="single" w:sz="8" w:space="0" w:color="000000"/>
              <w:bottom w:val="single" w:sz="4" w:space="0" w:color="000000"/>
            </w:tcBorders>
            <w:vAlign w:val="center"/>
          </w:tcPr>
          <w:p w14:paraId="49494075" w14:textId="77777777" w:rsidR="00B355B2" w:rsidRPr="00966FED" w:rsidRDefault="00B355B2" w:rsidP="00E93491">
            <w:pPr>
              <w:spacing w:after="0" w:line="240" w:lineRule="auto"/>
              <w:jc w:val="center"/>
              <w:rPr>
                <w:rFonts w:ascii="Times New Roman" w:eastAsia="Calibri" w:hAnsi="Times New Roman" w:cs="Times New Roman"/>
                <w:b/>
                <w:bCs/>
              </w:rPr>
            </w:pPr>
            <w:proofErr w:type="spellStart"/>
            <w:r w:rsidRPr="00966FED">
              <w:rPr>
                <w:rFonts w:ascii="Times New Roman" w:eastAsia="Calibri" w:hAnsi="Times New Roman" w:cs="Times New Roman"/>
                <w:b/>
                <w:bCs/>
              </w:rPr>
              <w:t>DoF</w:t>
            </w:r>
            <w:proofErr w:type="spellEnd"/>
          </w:p>
        </w:tc>
        <w:tc>
          <w:tcPr>
            <w:tcW w:w="824" w:type="pct"/>
            <w:tcBorders>
              <w:top w:val="single" w:sz="8" w:space="0" w:color="000000"/>
              <w:bottom w:val="single" w:sz="4" w:space="0" w:color="000000"/>
            </w:tcBorders>
            <w:vAlign w:val="center"/>
          </w:tcPr>
          <w:p w14:paraId="1A3AA93D"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Mean Square</w:t>
            </w:r>
          </w:p>
        </w:tc>
        <w:tc>
          <w:tcPr>
            <w:tcW w:w="513" w:type="pct"/>
            <w:tcBorders>
              <w:top w:val="single" w:sz="8" w:space="0" w:color="000000"/>
              <w:bottom w:val="single" w:sz="4" w:space="0" w:color="000000"/>
            </w:tcBorders>
            <w:vAlign w:val="center"/>
          </w:tcPr>
          <w:p w14:paraId="577B4FBE"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F-value</w:t>
            </w:r>
          </w:p>
        </w:tc>
        <w:tc>
          <w:tcPr>
            <w:tcW w:w="555" w:type="pct"/>
            <w:tcBorders>
              <w:top w:val="single" w:sz="8" w:space="0" w:color="000000"/>
              <w:bottom w:val="single" w:sz="4" w:space="0" w:color="000000"/>
            </w:tcBorders>
            <w:vAlign w:val="center"/>
          </w:tcPr>
          <w:p w14:paraId="30AF09E9"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p-value</w:t>
            </w:r>
          </w:p>
        </w:tc>
        <w:tc>
          <w:tcPr>
            <w:tcW w:w="1034" w:type="pct"/>
            <w:tcBorders>
              <w:top w:val="single" w:sz="8" w:space="0" w:color="000000"/>
              <w:bottom w:val="single" w:sz="4" w:space="0" w:color="000000"/>
            </w:tcBorders>
            <w:vAlign w:val="center"/>
          </w:tcPr>
          <w:p w14:paraId="461BF9F9" w14:textId="77777777" w:rsidR="00B355B2" w:rsidRPr="00966FED" w:rsidRDefault="00B355B2" w:rsidP="00E93491">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Remarks</w:t>
            </w:r>
          </w:p>
        </w:tc>
      </w:tr>
      <w:tr w:rsidR="00B355B2" w:rsidRPr="00966FED" w14:paraId="320A3FD0" w14:textId="77777777" w:rsidTr="00B355B2">
        <w:trPr>
          <w:jc w:val="center"/>
        </w:trPr>
        <w:tc>
          <w:tcPr>
            <w:tcW w:w="789" w:type="pct"/>
            <w:tcBorders>
              <w:top w:val="single" w:sz="4" w:space="0" w:color="000000"/>
              <w:bottom w:val="nil"/>
            </w:tcBorders>
            <w:vAlign w:val="center"/>
          </w:tcPr>
          <w:p w14:paraId="696CEBD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Model</w:t>
            </w:r>
          </w:p>
        </w:tc>
        <w:tc>
          <w:tcPr>
            <w:tcW w:w="946" w:type="pct"/>
            <w:tcBorders>
              <w:top w:val="single" w:sz="4" w:space="0" w:color="000000"/>
              <w:bottom w:val="nil"/>
            </w:tcBorders>
            <w:vAlign w:val="center"/>
          </w:tcPr>
          <w:p w14:paraId="12A1710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1.31E+05</w:t>
            </w:r>
          </w:p>
        </w:tc>
        <w:tc>
          <w:tcPr>
            <w:tcW w:w="340" w:type="pct"/>
            <w:tcBorders>
              <w:top w:val="single" w:sz="4" w:space="0" w:color="000000"/>
              <w:bottom w:val="nil"/>
            </w:tcBorders>
            <w:vAlign w:val="center"/>
          </w:tcPr>
          <w:p w14:paraId="567ACB8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6</w:t>
            </w:r>
          </w:p>
        </w:tc>
        <w:tc>
          <w:tcPr>
            <w:tcW w:w="824" w:type="pct"/>
            <w:tcBorders>
              <w:top w:val="single" w:sz="4" w:space="0" w:color="000000"/>
              <w:bottom w:val="nil"/>
            </w:tcBorders>
            <w:vAlign w:val="center"/>
          </w:tcPr>
          <w:p w14:paraId="3FDFB32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21835.02</w:t>
            </w:r>
          </w:p>
        </w:tc>
        <w:tc>
          <w:tcPr>
            <w:tcW w:w="513" w:type="pct"/>
            <w:tcBorders>
              <w:top w:val="single" w:sz="4" w:space="0" w:color="000000"/>
              <w:bottom w:val="nil"/>
            </w:tcBorders>
            <w:vAlign w:val="center"/>
          </w:tcPr>
          <w:p w14:paraId="03E95563"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39.78</w:t>
            </w:r>
          </w:p>
        </w:tc>
        <w:tc>
          <w:tcPr>
            <w:tcW w:w="555" w:type="pct"/>
            <w:tcBorders>
              <w:top w:val="single" w:sz="4" w:space="0" w:color="000000"/>
              <w:bottom w:val="nil"/>
            </w:tcBorders>
            <w:vAlign w:val="center"/>
          </w:tcPr>
          <w:p w14:paraId="297D657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single" w:sz="4" w:space="0" w:color="000000"/>
              <w:bottom w:val="nil"/>
            </w:tcBorders>
            <w:vAlign w:val="center"/>
          </w:tcPr>
          <w:p w14:paraId="4AAB8B42"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Highly Significant</w:t>
            </w:r>
          </w:p>
        </w:tc>
      </w:tr>
      <w:tr w:rsidR="00B355B2" w:rsidRPr="00966FED" w14:paraId="4BFB23A6" w14:textId="77777777" w:rsidTr="00B355B2">
        <w:trPr>
          <w:jc w:val="center"/>
        </w:trPr>
        <w:tc>
          <w:tcPr>
            <w:tcW w:w="789" w:type="pct"/>
            <w:tcBorders>
              <w:top w:val="nil"/>
              <w:bottom w:val="nil"/>
            </w:tcBorders>
            <w:vAlign w:val="center"/>
          </w:tcPr>
          <w:p w14:paraId="4E3EEA6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A-Si/Al</w:t>
            </w:r>
          </w:p>
        </w:tc>
        <w:tc>
          <w:tcPr>
            <w:tcW w:w="946" w:type="pct"/>
            <w:tcBorders>
              <w:top w:val="nil"/>
              <w:bottom w:val="nil"/>
            </w:tcBorders>
            <w:vAlign w:val="center"/>
          </w:tcPr>
          <w:p w14:paraId="5EB42599"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78260.06</w:t>
            </w:r>
          </w:p>
        </w:tc>
        <w:tc>
          <w:tcPr>
            <w:tcW w:w="340" w:type="pct"/>
            <w:tcBorders>
              <w:top w:val="nil"/>
              <w:bottom w:val="nil"/>
            </w:tcBorders>
            <w:vAlign w:val="center"/>
          </w:tcPr>
          <w:p w14:paraId="40133BC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3CE9B316"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78260.06</w:t>
            </w:r>
          </w:p>
        </w:tc>
        <w:tc>
          <w:tcPr>
            <w:tcW w:w="513" w:type="pct"/>
            <w:tcBorders>
              <w:top w:val="nil"/>
              <w:bottom w:val="nil"/>
            </w:tcBorders>
            <w:vAlign w:val="center"/>
          </w:tcPr>
          <w:p w14:paraId="6C8832C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142.59</w:t>
            </w:r>
          </w:p>
        </w:tc>
        <w:tc>
          <w:tcPr>
            <w:tcW w:w="555" w:type="pct"/>
            <w:tcBorders>
              <w:top w:val="nil"/>
              <w:bottom w:val="nil"/>
            </w:tcBorders>
            <w:vAlign w:val="center"/>
          </w:tcPr>
          <w:p w14:paraId="400FCED6"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nil"/>
              <w:bottom w:val="nil"/>
            </w:tcBorders>
          </w:tcPr>
          <w:p w14:paraId="397EAE8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Highly Significant</w:t>
            </w:r>
          </w:p>
        </w:tc>
      </w:tr>
      <w:tr w:rsidR="00B355B2" w:rsidRPr="00966FED" w14:paraId="356A97E5" w14:textId="77777777" w:rsidTr="00B355B2">
        <w:trPr>
          <w:jc w:val="center"/>
        </w:trPr>
        <w:tc>
          <w:tcPr>
            <w:tcW w:w="789" w:type="pct"/>
            <w:tcBorders>
              <w:top w:val="nil"/>
              <w:bottom w:val="nil"/>
            </w:tcBorders>
            <w:vAlign w:val="center"/>
          </w:tcPr>
          <w:p w14:paraId="7C937BA1"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B-</w:t>
            </w:r>
            <w:proofErr w:type="spellStart"/>
            <w:r w:rsidRPr="00966FED">
              <w:rPr>
                <w:rFonts w:ascii="Times New Roman" w:eastAsia="Calibri" w:hAnsi="Times New Roman" w:cs="Times New Roman"/>
              </w:rPr>
              <w:t>Nanosilica</w:t>
            </w:r>
            <w:proofErr w:type="spellEnd"/>
          </w:p>
        </w:tc>
        <w:tc>
          <w:tcPr>
            <w:tcW w:w="946" w:type="pct"/>
            <w:tcBorders>
              <w:top w:val="nil"/>
              <w:bottom w:val="nil"/>
            </w:tcBorders>
            <w:vAlign w:val="center"/>
          </w:tcPr>
          <w:p w14:paraId="40FAD802"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11556.25</w:t>
            </w:r>
          </w:p>
        </w:tc>
        <w:tc>
          <w:tcPr>
            <w:tcW w:w="340" w:type="pct"/>
            <w:tcBorders>
              <w:top w:val="nil"/>
              <w:bottom w:val="nil"/>
            </w:tcBorders>
            <w:vAlign w:val="center"/>
          </w:tcPr>
          <w:p w14:paraId="723D9CC4"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40B3F574"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11556.25</w:t>
            </w:r>
          </w:p>
        </w:tc>
        <w:tc>
          <w:tcPr>
            <w:tcW w:w="513" w:type="pct"/>
            <w:tcBorders>
              <w:top w:val="nil"/>
              <w:bottom w:val="nil"/>
            </w:tcBorders>
            <w:vAlign w:val="center"/>
          </w:tcPr>
          <w:p w14:paraId="52DC2C7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21.06</w:t>
            </w:r>
          </w:p>
        </w:tc>
        <w:tc>
          <w:tcPr>
            <w:tcW w:w="555" w:type="pct"/>
            <w:tcBorders>
              <w:top w:val="nil"/>
              <w:bottom w:val="nil"/>
            </w:tcBorders>
            <w:vAlign w:val="center"/>
          </w:tcPr>
          <w:p w14:paraId="63A3D74E"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nil"/>
              <w:bottom w:val="nil"/>
            </w:tcBorders>
          </w:tcPr>
          <w:p w14:paraId="1F87BD01"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Highly Significant</w:t>
            </w:r>
          </w:p>
        </w:tc>
      </w:tr>
      <w:tr w:rsidR="00B355B2" w:rsidRPr="00966FED" w14:paraId="2823B2D5" w14:textId="77777777" w:rsidTr="00B355B2">
        <w:trPr>
          <w:jc w:val="center"/>
        </w:trPr>
        <w:tc>
          <w:tcPr>
            <w:tcW w:w="789" w:type="pct"/>
            <w:tcBorders>
              <w:top w:val="nil"/>
              <w:bottom w:val="nil"/>
            </w:tcBorders>
            <w:vAlign w:val="center"/>
          </w:tcPr>
          <w:p w14:paraId="5551FF7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C-GBC/AP</w:t>
            </w:r>
          </w:p>
        </w:tc>
        <w:tc>
          <w:tcPr>
            <w:tcW w:w="946" w:type="pct"/>
            <w:tcBorders>
              <w:top w:val="nil"/>
              <w:bottom w:val="nil"/>
            </w:tcBorders>
            <w:vAlign w:val="center"/>
          </w:tcPr>
          <w:p w14:paraId="45C13DF5"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24885.06</w:t>
            </w:r>
          </w:p>
        </w:tc>
        <w:tc>
          <w:tcPr>
            <w:tcW w:w="340" w:type="pct"/>
            <w:tcBorders>
              <w:top w:val="nil"/>
              <w:bottom w:val="nil"/>
            </w:tcBorders>
            <w:vAlign w:val="center"/>
          </w:tcPr>
          <w:p w14:paraId="2172CAC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4BDA07E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24885.06</w:t>
            </w:r>
          </w:p>
        </w:tc>
        <w:tc>
          <w:tcPr>
            <w:tcW w:w="513" w:type="pct"/>
            <w:tcBorders>
              <w:top w:val="nil"/>
              <w:bottom w:val="nil"/>
            </w:tcBorders>
            <w:vAlign w:val="center"/>
          </w:tcPr>
          <w:p w14:paraId="066E6AC3"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45.34</w:t>
            </w:r>
          </w:p>
        </w:tc>
        <w:tc>
          <w:tcPr>
            <w:tcW w:w="555" w:type="pct"/>
            <w:tcBorders>
              <w:top w:val="nil"/>
              <w:bottom w:val="nil"/>
            </w:tcBorders>
            <w:vAlign w:val="center"/>
          </w:tcPr>
          <w:p w14:paraId="55026AA5"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&lt; 0.0001</w:t>
            </w:r>
          </w:p>
        </w:tc>
        <w:tc>
          <w:tcPr>
            <w:tcW w:w="1034" w:type="pct"/>
            <w:tcBorders>
              <w:top w:val="nil"/>
              <w:bottom w:val="nil"/>
            </w:tcBorders>
          </w:tcPr>
          <w:p w14:paraId="58C2116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0069E9A6" w14:textId="77777777" w:rsidTr="00B355B2">
        <w:trPr>
          <w:jc w:val="center"/>
        </w:trPr>
        <w:tc>
          <w:tcPr>
            <w:tcW w:w="789" w:type="pct"/>
            <w:tcBorders>
              <w:top w:val="nil"/>
              <w:bottom w:val="nil"/>
            </w:tcBorders>
            <w:vAlign w:val="center"/>
          </w:tcPr>
          <w:p w14:paraId="7C90513E"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AB</w:t>
            </w:r>
          </w:p>
        </w:tc>
        <w:tc>
          <w:tcPr>
            <w:tcW w:w="946" w:type="pct"/>
            <w:tcBorders>
              <w:top w:val="nil"/>
              <w:bottom w:val="nil"/>
            </w:tcBorders>
            <w:vAlign w:val="center"/>
          </w:tcPr>
          <w:p w14:paraId="4789BCB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4950.13</w:t>
            </w:r>
          </w:p>
        </w:tc>
        <w:tc>
          <w:tcPr>
            <w:tcW w:w="340" w:type="pct"/>
            <w:tcBorders>
              <w:top w:val="nil"/>
              <w:bottom w:val="nil"/>
            </w:tcBorders>
            <w:vAlign w:val="center"/>
          </w:tcPr>
          <w:p w14:paraId="0A1AC3B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3FD39654"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4950.13</w:t>
            </w:r>
          </w:p>
        </w:tc>
        <w:tc>
          <w:tcPr>
            <w:tcW w:w="513" w:type="pct"/>
            <w:tcBorders>
              <w:top w:val="nil"/>
              <w:bottom w:val="nil"/>
            </w:tcBorders>
            <w:vAlign w:val="center"/>
          </w:tcPr>
          <w:p w14:paraId="333AF39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9.02</w:t>
            </w:r>
          </w:p>
        </w:tc>
        <w:tc>
          <w:tcPr>
            <w:tcW w:w="555" w:type="pct"/>
            <w:tcBorders>
              <w:top w:val="nil"/>
              <w:bottom w:val="nil"/>
            </w:tcBorders>
            <w:vAlign w:val="center"/>
          </w:tcPr>
          <w:p w14:paraId="77A021A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0.0057</w:t>
            </w:r>
          </w:p>
        </w:tc>
        <w:tc>
          <w:tcPr>
            <w:tcW w:w="1034" w:type="pct"/>
            <w:tcBorders>
              <w:top w:val="nil"/>
              <w:bottom w:val="nil"/>
            </w:tcBorders>
            <w:vAlign w:val="center"/>
          </w:tcPr>
          <w:p w14:paraId="5538D5AB"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271B6A74" w14:textId="77777777" w:rsidTr="00B355B2">
        <w:trPr>
          <w:jc w:val="center"/>
        </w:trPr>
        <w:tc>
          <w:tcPr>
            <w:tcW w:w="789" w:type="pct"/>
            <w:tcBorders>
              <w:top w:val="nil"/>
              <w:bottom w:val="nil"/>
            </w:tcBorders>
            <w:vAlign w:val="center"/>
          </w:tcPr>
          <w:p w14:paraId="7A3547B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AC</w:t>
            </w:r>
          </w:p>
        </w:tc>
        <w:tc>
          <w:tcPr>
            <w:tcW w:w="946" w:type="pct"/>
            <w:tcBorders>
              <w:top w:val="nil"/>
              <w:bottom w:val="nil"/>
            </w:tcBorders>
            <w:vAlign w:val="center"/>
          </w:tcPr>
          <w:p w14:paraId="690C289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7080.5</w:t>
            </w:r>
          </w:p>
        </w:tc>
        <w:tc>
          <w:tcPr>
            <w:tcW w:w="340" w:type="pct"/>
            <w:tcBorders>
              <w:top w:val="nil"/>
              <w:bottom w:val="nil"/>
            </w:tcBorders>
            <w:vAlign w:val="center"/>
          </w:tcPr>
          <w:p w14:paraId="127E289C"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0CE8B6E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7080.5</w:t>
            </w:r>
          </w:p>
        </w:tc>
        <w:tc>
          <w:tcPr>
            <w:tcW w:w="513" w:type="pct"/>
            <w:tcBorders>
              <w:top w:val="nil"/>
              <w:bottom w:val="nil"/>
            </w:tcBorders>
            <w:vAlign w:val="center"/>
          </w:tcPr>
          <w:p w14:paraId="56BD614E"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12.9</w:t>
            </w:r>
          </w:p>
        </w:tc>
        <w:tc>
          <w:tcPr>
            <w:tcW w:w="555" w:type="pct"/>
            <w:tcBorders>
              <w:top w:val="nil"/>
              <w:bottom w:val="nil"/>
            </w:tcBorders>
            <w:vAlign w:val="center"/>
          </w:tcPr>
          <w:p w14:paraId="3A4ADFAD"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0.0013</w:t>
            </w:r>
          </w:p>
        </w:tc>
        <w:tc>
          <w:tcPr>
            <w:tcW w:w="1034" w:type="pct"/>
            <w:tcBorders>
              <w:top w:val="nil"/>
              <w:bottom w:val="nil"/>
            </w:tcBorders>
            <w:vAlign w:val="center"/>
          </w:tcPr>
          <w:p w14:paraId="6573D0B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474E3BD2" w14:textId="77777777" w:rsidTr="00B355B2">
        <w:trPr>
          <w:jc w:val="center"/>
        </w:trPr>
        <w:tc>
          <w:tcPr>
            <w:tcW w:w="789" w:type="pct"/>
            <w:tcBorders>
              <w:top w:val="nil"/>
              <w:bottom w:val="nil"/>
            </w:tcBorders>
            <w:vAlign w:val="center"/>
          </w:tcPr>
          <w:p w14:paraId="61CFB9C8"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BC</w:t>
            </w:r>
          </w:p>
        </w:tc>
        <w:tc>
          <w:tcPr>
            <w:tcW w:w="946" w:type="pct"/>
            <w:tcBorders>
              <w:top w:val="nil"/>
              <w:bottom w:val="nil"/>
            </w:tcBorders>
            <w:vAlign w:val="center"/>
          </w:tcPr>
          <w:p w14:paraId="79171F18"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4278.13</w:t>
            </w:r>
          </w:p>
        </w:tc>
        <w:tc>
          <w:tcPr>
            <w:tcW w:w="340" w:type="pct"/>
            <w:tcBorders>
              <w:top w:val="nil"/>
              <w:bottom w:val="nil"/>
            </w:tcBorders>
            <w:vAlign w:val="center"/>
          </w:tcPr>
          <w:p w14:paraId="0710DC13"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824" w:type="pct"/>
            <w:tcBorders>
              <w:top w:val="nil"/>
              <w:bottom w:val="nil"/>
            </w:tcBorders>
            <w:vAlign w:val="center"/>
          </w:tcPr>
          <w:p w14:paraId="2CD77E39"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4278.13</w:t>
            </w:r>
          </w:p>
        </w:tc>
        <w:tc>
          <w:tcPr>
            <w:tcW w:w="513" w:type="pct"/>
            <w:tcBorders>
              <w:top w:val="nil"/>
              <w:bottom w:val="nil"/>
            </w:tcBorders>
            <w:vAlign w:val="center"/>
          </w:tcPr>
          <w:p w14:paraId="621228D2"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7.8</w:t>
            </w:r>
          </w:p>
        </w:tc>
        <w:tc>
          <w:tcPr>
            <w:tcW w:w="555" w:type="pct"/>
            <w:tcBorders>
              <w:top w:val="nil"/>
              <w:bottom w:val="nil"/>
            </w:tcBorders>
            <w:vAlign w:val="center"/>
          </w:tcPr>
          <w:p w14:paraId="6DB4F181"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0.0095</w:t>
            </w:r>
          </w:p>
        </w:tc>
        <w:tc>
          <w:tcPr>
            <w:tcW w:w="1034" w:type="pct"/>
            <w:tcBorders>
              <w:top w:val="nil"/>
              <w:bottom w:val="nil"/>
            </w:tcBorders>
            <w:vAlign w:val="center"/>
          </w:tcPr>
          <w:p w14:paraId="51A1CD4F"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Significant</w:t>
            </w:r>
          </w:p>
        </w:tc>
      </w:tr>
      <w:tr w:rsidR="00B355B2" w:rsidRPr="00966FED" w14:paraId="1A7D9709" w14:textId="77777777" w:rsidTr="00B355B2">
        <w:trPr>
          <w:jc w:val="center"/>
        </w:trPr>
        <w:tc>
          <w:tcPr>
            <w:tcW w:w="789" w:type="pct"/>
            <w:tcBorders>
              <w:top w:val="nil"/>
              <w:bottom w:val="single" w:sz="4" w:space="0" w:color="000000"/>
            </w:tcBorders>
            <w:vAlign w:val="center"/>
          </w:tcPr>
          <w:p w14:paraId="1F59C54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Lack of Fit</w:t>
            </w:r>
          </w:p>
        </w:tc>
        <w:tc>
          <w:tcPr>
            <w:tcW w:w="946" w:type="pct"/>
            <w:tcBorders>
              <w:top w:val="nil"/>
              <w:bottom w:val="single" w:sz="4" w:space="0" w:color="000000"/>
            </w:tcBorders>
            <w:vAlign w:val="center"/>
          </w:tcPr>
          <w:p w14:paraId="51F0F98C"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3297.35</w:t>
            </w:r>
          </w:p>
        </w:tc>
        <w:tc>
          <w:tcPr>
            <w:tcW w:w="340" w:type="pct"/>
            <w:tcBorders>
              <w:top w:val="nil"/>
              <w:bottom w:val="single" w:sz="4" w:space="0" w:color="000000"/>
            </w:tcBorders>
            <w:vAlign w:val="center"/>
          </w:tcPr>
          <w:p w14:paraId="24A24CC6"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6</w:t>
            </w:r>
          </w:p>
        </w:tc>
        <w:tc>
          <w:tcPr>
            <w:tcW w:w="824" w:type="pct"/>
            <w:tcBorders>
              <w:top w:val="nil"/>
              <w:bottom w:val="single" w:sz="4" w:space="0" w:color="000000"/>
            </w:tcBorders>
            <w:vAlign w:val="center"/>
          </w:tcPr>
          <w:p w14:paraId="0168046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549.56</w:t>
            </w:r>
          </w:p>
        </w:tc>
        <w:tc>
          <w:tcPr>
            <w:tcW w:w="513" w:type="pct"/>
            <w:tcBorders>
              <w:top w:val="nil"/>
              <w:bottom w:val="single" w:sz="4" w:space="0" w:color="000000"/>
            </w:tcBorders>
            <w:vAlign w:val="center"/>
          </w:tcPr>
          <w:p w14:paraId="0E7D86F0"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1</w:t>
            </w:r>
          </w:p>
        </w:tc>
        <w:tc>
          <w:tcPr>
            <w:tcW w:w="555" w:type="pct"/>
            <w:tcBorders>
              <w:top w:val="nil"/>
              <w:bottom w:val="single" w:sz="4" w:space="0" w:color="000000"/>
            </w:tcBorders>
            <w:vAlign w:val="center"/>
          </w:tcPr>
          <w:p w14:paraId="00AE5C6A"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0.4502</w:t>
            </w:r>
          </w:p>
        </w:tc>
        <w:tc>
          <w:tcPr>
            <w:tcW w:w="1034" w:type="pct"/>
            <w:tcBorders>
              <w:top w:val="nil"/>
              <w:bottom w:val="single" w:sz="4" w:space="0" w:color="000000"/>
            </w:tcBorders>
            <w:vAlign w:val="center"/>
          </w:tcPr>
          <w:p w14:paraId="3C1C0877" w14:textId="77777777" w:rsidR="00B355B2" w:rsidRPr="00966FED" w:rsidRDefault="00B355B2" w:rsidP="00E93491">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Not Significant</w:t>
            </w:r>
          </w:p>
        </w:tc>
      </w:tr>
    </w:tbl>
    <w:p w14:paraId="360BA517" w14:textId="77777777" w:rsidR="001D0AFA" w:rsidRPr="00966FED" w:rsidRDefault="001D0AFA" w:rsidP="001D0AFA">
      <w:pPr>
        <w:spacing w:line="240" w:lineRule="auto"/>
        <w:jc w:val="both"/>
        <w:rPr>
          <w:rFonts w:ascii="Times New Roman" w:eastAsia="Calibri" w:hAnsi="Times New Roman" w:cs="Times New Roman"/>
        </w:rPr>
      </w:pPr>
      <w:r w:rsidRPr="00966FED">
        <w:rPr>
          <w:rFonts w:ascii="Times New Roman" w:eastAsia="Calibri" w:hAnsi="Times New Roman" w:cs="Times New Roman"/>
        </w:rPr>
        <w:lastRenderedPageBreak/>
        <w:t>Furthermore, the predicted R² of 0.8409 and the adjusted R² of 0.8758 indicate that the selected factors account for 84.09% of the total response variation. The small difference between the predicted and adjusted R</w:t>
      </w:r>
      <w:r w:rsidRPr="00966FED">
        <w:rPr>
          <w:rFonts w:ascii="Times New Roman" w:eastAsia="Calibri" w:hAnsi="Times New Roman" w:cs="Times New Roman"/>
          <w:vertAlign w:val="superscript"/>
        </w:rPr>
        <w:t>2</w:t>
      </w:r>
      <w:r w:rsidRPr="00966FED">
        <w:rPr>
          <w:rFonts w:ascii="Times New Roman" w:eastAsia="Calibri" w:hAnsi="Times New Roman" w:cs="Times New Roman"/>
        </w:rPr>
        <w:t xml:space="preserve"> suggests minimal overfitting and ensures reasonable accuracy on new data findings. The model also has an Adequate Precision ratio of 20.579, which is well above the threshold of 4, confirming a strong signal-to-noise ratio. This high value signifies that the model is statistically reliable and can be effectively used for predicting responses, optimizing process parameters, and navigating the design space with confidence.</w:t>
      </w:r>
    </w:p>
    <w:p w14:paraId="77C939F8"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effects of the factors on the fire resistance performance (TT300) of the geopolymer-based is quantitatively described by the regression model presented in equation </w:t>
      </w:r>
      <w:r w:rsidRPr="00966FED">
        <w:rPr>
          <w:rFonts w:ascii="Times New Roman" w:eastAsia="Calibri" w:hAnsi="Times New Roman" w:cs="Times New Roman"/>
          <w:b/>
          <w:bCs/>
        </w:rPr>
        <w:t>(1)</w:t>
      </w:r>
      <w:r w:rsidRPr="00966FED">
        <w:rPr>
          <w:rFonts w:ascii="Times New Roman" w:eastAsia="Calibri" w:hAnsi="Times New Roman" w:cs="Times New Roman"/>
        </w:rPr>
        <w:t xml:space="preserve">. It can be observed that all factors were found to positively affect TT300. That is, an increase in A, B, or C results in an increase of TT300. Moreover, this model can be used to predict the value of the response. </w:t>
      </w:r>
    </w:p>
    <w:tbl>
      <w:tblPr>
        <w:tblpPr w:leftFromText="180" w:rightFromText="180" w:vertAnchor="text" w:tblpY="17"/>
        <w:tblW w:w="5000" w:type="pct"/>
        <w:tblLook w:val="0400" w:firstRow="0" w:lastRow="0" w:firstColumn="0" w:lastColumn="0" w:noHBand="0" w:noVBand="1"/>
      </w:tblPr>
      <w:tblGrid>
        <w:gridCol w:w="8881"/>
        <w:gridCol w:w="1816"/>
      </w:tblGrid>
      <w:tr w:rsidR="001D0AFA" w:rsidRPr="00966FED" w14:paraId="1F51E4CE" w14:textId="77777777" w:rsidTr="00AC0ED3">
        <w:tc>
          <w:tcPr>
            <w:tcW w:w="4151" w:type="pct"/>
          </w:tcPr>
          <w:p w14:paraId="7DC1DE65" w14:textId="77777777" w:rsidR="001D0AFA" w:rsidRPr="00966FED" w:rsidRDefault="001D0AFA" w:rsidP="00AC0ED3">
            <w:pPr>
              <w:spacing w:line="240" w:lineRule="auto"/>
              <w:jc w:val="both"/>
              <w:rPr>
                <w:rFonts w:ascii="Times New Roman" w:hAnsi="Times New Roman" w:cs="Times New Roman"/>
              </w:rPr>
            </w:pPr>
            <w:r w:rsidRPr="00966FED">
              <w:rPr>
                <w:rFonts w:ascii="Times New Roman" w:hAnsi="Times New Roman" w:cs="Times New Roman"/>
                <w:b/>
                <w:bCs/>
                <w:i/>
                <w:iCs/>
              </w:rPr>
              <w:t>Y</w:t>
            </w:r>
            <w:r w:rsidRPr="00966FED">
              <w:rPr>
                <w:rFonts w:ascii="Times New Roman" w:hAnsi="Times New Roman" w:cs="Times New Roman"/>
                <w:b/>
                <w:bCs/>
                <w:i/>
                <w:iCs/>
                <w:vertAlign w:val="subscript"/>
              </w:rPr>
              <w:t>TT300</w:t>
            </w:r>
            <w:r w:rsidRPr="00966FED">
              <w:rPr>
                <w:rFonts w:ascii="Times New Roman" w:hAnsi="Times New Roman" w:cs="Times New Roman"/>
                <w:i/>
                <w:iCs/>
              </w:rPr>
              <w:t xml:space="preserve"> = </w:t>
            </w:r>
            <w:r w:rsidRPr="00966FED">
              <w:rPr>
                <w:rFonts w:ascii="Times New Roman" w:hAnsi="Times New Roman" w:cs="Times New Roman"/>
              </w:rPr>
              <w:t>169.47 + 69.94A + 26.88B + 39.44C +24.87AB + 29.75AC + 23.13BC</w:t>
            </w:r>
          </w:p>
        </w:tc>
        <w:tc>
          <w:tcPr>
            <w:tcW w:w="849" w:type="pct"/>
            <w:vAlign w:val="center"/>
          </w:tcPr>
          <w:p w14:paraId="117DB9E9" w14:textId="77777777" w:rsidR="001D0AFA" w:rsidRPr="00966FED" w:rsidRDefault="001D0AFA" w:rsidP="00AC0ED3">
            <w:pPr>
              <w:spacing w:line="240" w:lineRule="auto"/>
              <w:jc w:val="both"/>
              <w:rPr>
                <w:rFonts w:ascii="Times New Roman" w:hAnsi="Times New Roman" w:cs="Times New Roman"/>
                <w:b/>
                <w:bCs/>
              </w:rPr>
            </w:pPr>
            <w:r w:rsidRPr="00966FED">
              <w:rPr>
                <w:rFonts w:ascii="Times New Roman" w:hAnsi="Times New Roman" w:cs="Times New Roman"/>
                <w:b/>
                <w:bCs/>
              </w:rPr>
              <w:t>(1)</w:t>
            </w:r>
          </w:p>
        </w:tc>
      </w:tr>
    </w:tbl>
    <w:p w14:paraId="23C37F6A" w14:textId="77777777" w:rsidR="001D0AFA" w:rsidRPr="00966FED" w:rsidRDefault="001D0AFA" w:rsidP="001D0AFA">
      <w:pPr>
        <w:spacing w:line="240" w:lineRule="auto"/>
        <w:ind w:firstLine="284"/>
        <w:jc w:val="both"/>
        <w:rPr>
          <w:rFonts w:ascii="Times New Roman" w:eastAsia="Calibri" w:hAnsi="Times New Roman" w:cs="Times New Roman"/>
          <w:i/>
          <w:iCs/>
        </w:rPr>
      </w:pPr>
      <w:r w:rsidRPr="00966FED">
        <w:rPr>
          <w:rFonts w:ascii="Times New Roman" w:eastAsia="Calibri" w:hAnsi="Times New Roman" w:cs="Times New Roman"/>
        </w:rPr>
        <w:t xml:space="preserve">Aside from equation </w:t>
      </w:r>
      <w:r w:rsidRPr="00966FED">
        <w:rPr>
          <w:rFonts w:ascii="Times New Roman" w:eastAsia="Calibri" w:hAnsi="Times New Roman" w:cs="Times New Roman"/>
          <w:b/>
          <w:bCs/>
        </w:rPr>
        <w:t xml:space="preserve">(1), </w:t>
      </w:r>
      <w:r w:rsidRPr="00966FED">
        <w:rPr>
          <w:rFonts w:ascii="Times New Roman" w:eastAsia="Calibri" w:hAnsi="Times New Roman" w:cs="Times New Roman"/>
        </w:rPr>
        <w:t xml:space="preserve">Figures 4-6 illustrate the interaction between the factors and the time taken to reach the backside temperature of 300 °C (TT300). Figures 4a and 4b, show that the increase in both Si/Al ratio (A) and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w:t>
      </w:r>
      <w:proofErr w:type="spellStart"/>
      <w:r w:rsidRPr="00966FED">
        <w:rPr>
          <w:rFonts w:ascii="Times New Roman" w:eastAsia="Calibri" w:hAnsi="Times New Roman" w:cs="Times New Roman"/>
        </w:rPr>
        <w:t>wt</w:t>
      </w:r>
      <w:proofErr w:type="spellEnd"/>
      <w:r w:rsidRPr="00966FED">
        <w:rPr>
          <w:rFonts w:ascii="Times New Roman" w:eastAsia="Calibri" w:hAnsi="Times New Roman" w:cs="Times New Roman"/>
        </w:rPr>
        <w:t xml:space="preserve">% (B) increases the time taken to reach 300 °C above 250 s. Figures 5a and 5b, indicate that the increase in both Si/Al ratio (A) and GBC/AP ratio (C) increases the time taken to reach 300 °C above 300 s. Finally, in Figures 6a and 6b, it can be observed that the increase in both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w:t>
      </w:r>
      <w:proofErr w:type="spellStart"/>
      <w:r w:rsidRPr="00966FED">
        <w:rPr>
          <w:rFonts w:ascii="Times New Roman" w:eastAsia="Calibri" w:hAnsi="Times New Roman" w:cs="Times New Roman"/>
        </w:rPr>
        <w:t>wt</w:t>
      </w:r>
      <w:proofErr w:type="spellEnd"/>
      <w:r w:rsidRPr="00966FED">
        <w:rPr>
          <w:rFonts w:ascii="Times New Roman" w:eastAsia="Calibri" w:hAnsi="Times New Roman" w:cs="Times New Roman"/>
        </w:rPr>
        <w:t xml:space="preserve">% (B) and GBC/AP ratio (C) increase the time taken to reach 300 °C above 240 s. </w:t>
      </w:r>
    </w:p>
    <w:p w14:paraId="1DFBD16A"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improved thermal performance at higher Si/Al ratios is attributed to the increased presence of amorphous silica, which enhances the thermal stability of the geopolymer matrix. Amorphous silica contributes to the formation of a more rigid and thermally resistant geopolymer network, reducing thermal degradation and enhancing fire resistance </w:t>
      </w:r>
      <w:r w:rsidRPr="00966FED">
        <w:rPr>
          <w:rFonts w:ascii="Times New Roman" w:eastAsia="Calibri" w:hAnsi="Times New Roman" w:cs="Times New Roman"/>
          <w:color w:val="000000"/>
        </w:rPr>
        <w:t>[36], [37], [38], [39]</w:t>
      </w:r>
      <w:r w:rsidRPr="00966FED">
        <w:rPr>
          <w:rFonts w:ascii="Times New Roman" w:eastAsia="Calibri" w:hAnsi="Times New Roman" w:cs="Times New Roman"/>
        </w:rPr>
        <w:t xml:space="preserve">. This improvement is also associated with the increased formation of thermally stable Si–O–Si </w:t>
      </w:r>
      <w:proofErr w:type="spellStart"/>
      <w:proofErr w:type="gramStart"/>
      <w:r w:rsidRPr="00966FED">
        <w:rPr>
          <w:rFonts w:ascii="Times New Roman" w:eastAsia="Calibri" w:hAnsi="Times New Roman" w:cs="Times New Roman"/>
        </w:rPr>
        <w:t>bonds.These</w:t>
      </w:r>
      <w:proofErr w:type="spellEnd"/>
      <w:proofErr w:type="gramEnd"/>
      <w:r w:rsidRPr="00966FED">
        <w:rPr>
          <w:rFonts w:ascii="Times New Roman" w:eastAsia="Calibri" w:hAnsi="Times New Roman" w:cs="Times New Roman"/>
        </w:rPr>
        <w:t xml:space="preserve"> bonds are stronger and more thermally stable than Si–O–Al bonds due to their higher bond dissociation </w:t>
      </w:r>
      <w:proofErr w:type="gramStart"/>
      <w:r w:rsidRPr="00966FED">
        <w:rPr>
          <w:rFonts w:ascii="Times New Roman" w:eastAsia="Calibri" w:hAnsi="Times New Roman" w:cs="Times New Roman"/>
        </w:rPr>
        <w:t xml:space="preserve">energy  </w:t>
      </w:r>
      <w:r w:rsidRPr="00966FED">
        <w:rPr>
          <w:rFonts w:ascii="Times New Roman" w:eastAsia="Calibri" w:hAnsi="Times New Roman" w:cs="Times New Roman"/>
          <w:color w:val="000000"/>
        </w:rPr>
        <w:t>[</w:t>
      </w:r>
      <w:proofErr w:type="gramEnd"/>
      <w:r w:rsidRPr="00966FED">
        <w:rPr>
          <w:rFonts w:ascii="Times New Roman" w:eastAsia="Calibri" w:hAnsi="Times New Roman" w:cs="Times New Roman"/>
          <w:color w:val="000000"/>
        </w:rPr>
        <w:t>40], [41]</w:t>
      </w:r>
      <w:r w:rsidRPr="00966FED">
        <w:rPr>
          <w:rFonts w:ascii="Times New Roman" w:eastAsia="Calibri" w:hAnsi="Times New Roman" w:cs="Times New Roman"/>
        </w:rPr>
        <w:t xml:space="preserve">. </w:t>
      </w:r>
    </w:p>
    <w:p w14:paraId="609D830F"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Higher Si/Al ratios promote the formation of an expanded intumescent char layer that acts as an insulating barrier, limiting heat transfer to the substrate </w:t>
      </w:r>
      <w:r w:rsidRPr="00966FED">
        <w:rPr>
          <w:rFonts w:ascii="Times New Roman" w:eastAsia="Calibri" w:hAnsi="Times New Roman" w:cs="Times New Roman"/>
          <w:color w:val="000000"/>
        </w:rPr>
        <w:t>[42]</w:t>
      </w:r>
      <w:r w:rsidRPr="00966FED">
        <w:rPr>
          <w:rFonts w:ascii="Times New Roman" w:eastAsia="Calibri" w:hAnsi="Times New Roman" w:cs="Times New Roman"/>
        </w:rPr>
        <w:t xml:space="preserve">. On the other hand, lower Si/Al ratios increase the likelihood of cracking within the geopolymer matrix </w:t>
      </w:r>
      <w:r w:rsidRPr="00966FED">
        <w:rPr>
          <w:rFonts w:ascii="Times New Roman" w:eastAsia="Calibri" w:hAnsi="Times New Roman" w:cs="Times New Roman"/>
          <w:color w:val="000000"/>
        </w:rPr>
        <w:t>[43]</w:t>
      </w:r>
      <w:r w:rsidRPr="00966FED">
        <w:rPr>
          <w:rFonts w:ascii="Times New Roman" w:eastAsia="Calibri" w:hAnsi="Times New Roman" w:cs="Times New Roman"/>
        </w:rPr>
        <w:t xml:space="preserve">. This behavior is associated with increased shrinkage of the geopolymer matrix during high-temperature exposure </w:t>
      </w:r>
      <w:r w:rsidRPr="00966FED">
        <w:rPr>
          <w:rFonts w:ascii="Times New Roman" w:eastAsia="Calibri" w:hAnsi="Times New Roman" w:cs="Times New Roman"/>
          <w:color w:val="000000"/>
        </w:rPr>
        <w:t>[44], [45]</w:t>
      </w:r>
      <w:r w:rsidRPr="00966FED">
        <w:rPr>
          <w:rFonts w:ascii="Times New Roman" w:eastAsia="Calibri" w:hAnsi="Times New Roman" w:cs="Times New Roman"/>
        </w:rPr>
        <w:t xml:space="preserve"> As a result, the coating with a higher Si/Al ratio demonstrates superior fire resistance, making it a more effective thermal protective barrier </w:t>
      </w:r>
      <w:r w:rsidRPr="00966FED">
        <w:rPr>
          <w:rFonts w:ascii="Times New Roman" w:eastAsia="Calibri" w:hAnsi="Times New Roman" w:cs="Times New Roman"/>
          <w:color w:val="000000"/>
        </w:rPr>
        <w:t>[16]</w:t>
      </w:r>
      <w:r w:rsidRPr="00966FED">
        <w:rPr>
          <w:rFonts w:ascii="Times New Roman" w:eastAsia="Calibri" w:hAnsi="Times New Roman" w:cs="Times New Roman"/>
        </w:rPr>
        <w:t>. This improved expansion behavior is essential for maintaining the protective properties of the coating over prolonged exposure to heat.</w:t>
      </w:r>
    </w:p>
    <w:p w14:paraId="15B9AF18"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Moreover, the incorporation of the GBC into the AP has significantly enhanced its thermal performance. This improvement can be attributed to the presence of a GBC, which increases the coating’s resistance to combustion and effectively delays heat penetration. As a result, the underlying substrate remains protected for a longer duration, reducing its direct exposure to the fire source. Additionally, a higher GBC/AP ratio results in greater thermal stability and lower weight loss. This is because a lower proportion of paint in the mixture reduces the presence of volatile components, which are more prone to thermal degradation. As a result, the coating maintains its structural integrity more effectively under high temperatures, enhancing its fire-retardant properties </w:t>
      </w:r>
      <w:r w:rsidRPr="00966FED">
        <w:rPr>
          <w:rFonts w:ascii="Times New Roman" w:eastAsia="Calibri" w:hAnsi="Times New Roman" w:cs="Times New Roman"/>
          <w:color w:val="000000"/>
        </w:rPr>
        <w:t>[46]</w:t>
      </w:r>
      <w:r w:rsidRPr="00966FED">
        <w:rPr>
          <w:rFonts w:ascii="Times New Roman" w:eastAsia="Calibri" w:hAnsi="Times New Roman" w:cs="Times New Roman"/>
        </w:rPr>
        <w:t>.</w:t>
      </w:r>
    </w:p>
    <w:p w14:paraId="0F7EDAA1"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Furthermore, the improved fire resistance performance observed can also be attributed to the denser and more compact structure of the GFC with the addition of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This results in a stronger char layer formed upon exposure to high temperatures. This protective char acts as an insulating barrier, significantly reducing heat transfer between the fire and the underlying substrate. </w:t>
      </w:r>
      <w:r w:rsidRPr="00966FED">
        <w:rPr>
          <w:rFonts w:ascii="Times New Roman" w:hAnsi="Times New Roman" w:cs="Times New Roman"/>
          <w:color w:val="000000"/>
        </w:rPr>
        <w:t>[3], [47], [48]</w:t>
      </w:r>
      <w:r w:rsidRPr="00966FED">
        <w:rPr>
          <w:rFonts w:ascii="Times New Roman" w:eastAsia="Calibri" w:hAnsi="Times New Roman" w:cs="Times New Roman"/>
        </w:rPr>
        <w:t xml:space="preserve">. </w:t>
      </w:r>
    </w:p>
    <w:p w14:paraId="1095FABA"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parameters were optimized to maximize the time taken to reach 300 °C by setting the minimum and maximum values for TT300 to 92 s and 337 s, respectively. In range was chosen as the constraint for factors Si/Al ratio,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w:t>
      </w:r>
      <w:proofErr w:type="spellStart"/>
      <w:r w:rsidRPr="00966FED">
        <w:rPr>
          <w:rFonts w:ascii="Times New Roman" w:eastAsia="Calibri" w:hAnsi="Times New Roman" w:cs="Times New Roman"/>
        </w:rPr>
        <w:t>wt</w:t>
      </w:r>
      <w:proofErr w:type="spellEnd"/>
      <w:r w:rsidRPr="00966FED">
        <w:rPr>
          <w:rFonts w:ascii="Times New Roman" w:eastAsia="Calibri" w:hAnsi="Times New Roman" w:cs="Times New Roman"/>
        </w:rPr>
        <w:t xml:space="preserve">%, and GBC/AP. While maximizing the response, TT300. The value of parameters required to achieve the optimum thermal performance of the geopolymer coating is shown in Figure 7. The values of the optimum parameters are Si/Al ratio of 4.728 ±0.001,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w:t>
      </w:r>
      <w:proofErr w:type="spellStart"/>
      <w:r w:rsidRPr="00966FED">
        <w:rPr>
          <w:rFonts w:ascii="Times New Roman" w:eastAsia="Calibri" w:hAnsi="Times New Roman" w:cs="Times New Roman"/>
        </w:rPr>
        <w:t>wt</w:t>
      </w:r>
      <w:proofErr w:type="spellEnd"/>
      <w:r w:rsidRPr="00966FED">
        <w:rPr>
          <w:rFonts w:ascii="Times New Roman" w:eastAsia="Calibri" w:hAnsi="Times New Roman" w:cs="Times New Roman"/>
        </w:rPr>
        <w:t xml:space="preserve">% of 0.583 ±0.001, and GBC/AP ratio of 0.497 ±0.001, which is predicted to obtain a value for TT300 of 340 s. The optimization yielded a desirability value of 1.000, confirming that all parameters met the criteria for achieving maximum thermal performance. </w:t>
      </w:r>
    </w:p>
    <w:p w14:paraId="64C079CD"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lastRenderedPageBreak/>
        <w:t>The optimized parameters were validated by calculating the percent error between the predicted value and the experimental value. The validation requires an acceptable error value of below 15.00% [18], [49]. To verify the reproducibility of the regression model and RSM model, three replicates of the optimized GFC were subjected to validation. Table 6 shows the result of the experimental validation of the optimized parameters for the fire resistance test. Compared to the predicted value of 340 s, an average percent error of 6.67% of the experimental value was obtained, which falls within the acceptable range of below 15.00%. Thus, it can be concluded that the developed regression and RSM models effectively optimized the response values</w:t>
      </w:r>
    </w:p>
    <w:p w14:paraId="470D8B35"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Figure 4. </w:t>
      </w:r>
      <w:r w:rsidRPr="00966FED">
        <w:rPr>
          <w:rFonts w:ascii="Times New Roman" w:eastAsia="Calibri" w:hAnsi="Times New Roman" w:cs="Times New Roman"/>
        </w:rPr>
        <w:t xml:space="preserve">Effect of Si/Al ratio and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w:t>
      </w:r>
      <w:proofErr w:type="spellStart"/>
      <w:r w:rsidRPr="00966FED">
        <w:rPr>
          <w:rFonts w:ascii="Times New Roman" w:eastAsia="Calibri" w:hAnsi="Times New Roman" w:cs="Times New Roman"/>
        </w:rPr>
        <w:t>wt</w:t>
      </w:r>
      <w:proofErr w:type="spellEnd"/>
      <w:r w:rsidRPr="00966FED">
        <w:rPr>
          <w:rFonts w:ascii="Times New Roman" w:eastAsia="Calibri" w:hAnsi="Times New Roman" w:cs="Times New Roman"/>
        </w:rPr>
        <w:t xml:space="preserve">% on TT300 in the fire resistance test </w:t>
      </w:r>
      <w:r w:rsidRPr="00966FED">
        <w:rPr>
          <w:rFonts w:ascii="Times New Roman" w:eastAsia="Calibri" w:hAnsi="Times New Roman" w:cs="Times New Roman"/>
          <w:b/>
          <w:bCs/>
        </w:rPr>
        <w:t>(a)</w:t>
      </w:r>
      <w:r w:rsidRPr="00966FED">
        <w:rPr>
          <w:rFonts w:ascii="Times New Roman" w:eastAsia="Calibri" w:hAnsi="Times New Roman" w:cs="Times New Roman"/>
        </w:rPr>
        <w:t xml:space="preserve"> contour plot </w:t>
      </w:r>
      <w:r w:rsidRPr="00966FED">
        <w:rPr>
          <w:rFonts w:ascii="Times New Roman" w:eastAsia="Calibri" w:hAnsi="Times New Roman" w:cs="Times New Roman"/>
          <w:b/>
          <w:bCs/>
        </w:rPr>
        <w:t>(b)</w:t>
      </w:r>
      <w:r w:rsidRPr="00966FED">
        <w:rPr>
          <w:rFonts w:ascii="Times New Roman" w:eastAsia="Calibri" w:hAnsi="Times New Roman" w:cs="Times New Roman"/>
        </w:rPr>
        <w:t xml:space="preserve"> 3D surface.</w:t>
      </w:r>
    </w:p>
    <w:tbl>
      <w:tblPr>
        <w:tblW w:w="8563" w:type="dxa"/>
        <w:jc w:val="center"/>
        <w:tblLayout w:type="fixed"/>
        <w:tblLook w:val="0000" w:firstRow="0" w:lastRow="0" w:firstColumn="0" w:lastColumn="0" w:noHBand="0" w:noVBand="0"/>
      </w:tblPr>
      <w:tblGrid>
        <w:gridCol w:w="4057"/>
        <w:gridCol w:w="4506"/>
      </w:tblGrid>
      <w:tr w:rsidR="001D0AFA" w:rsidRPr="00966FED" w14:paraId="3D97AAC8" w14:textId="77777777" w:rsidTr="00AC0ED3">
        <w:trPr>
          <w:jc w:val="center"/>
        </w:trPr>
        <w:tc>
          <w:tcPr>
            <w:tcW w:w="4057" w:type="dxa"/>
            <w:vAlign w:val="center"/>
          </w:tcPr>
          <w:p w14:paraId="6DA25302"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2D57CFA6" wp14:editId="1CC5E401">
                  <wp:extent cx="2133600" cy="2008909"/>
                  <wp:effectExtent l="0" t="0" r="0" b="0"/>
                  <wp:docPr id="21383681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2141460" cy="2016309"/>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2336" behindDoc="0" locked="0" layoutInCell="1" hidden="0" allowOverlap="1" wp14:anchorId="6EC8C5E3" wp14:editId="275C9944">
                      <wp:simplePos x="0" y="0"/>
                      <wp:positionH relativeFrom="column">
                        <wp:posOffset>-81596</wp:posOffset>
                      </wp:positionH>
                      <wp:positionV relativeFrom="paragraph">
                        <wp:posOffset>-69530</wp:posOffset>
                      </wp:positionV>
                      <wp:extent cx="337185" cy="1414145"/>
                      <wp:effectExtent l="0" t="0" r="0" b="0"/>
                      <wp:wrapNone/>
                      <wp:docPr id="2138368113" name="Rectangle 2138368113"/>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73EAF1D1"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6EC8C5E3" id="Rectangle 2138368113" o:spid="_x0000_s1028" style="position:absolute;margin-left:-6.4pt;margin-top:-5.45pt;width:26.55pt;height:111.3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" stroked="f">
                      <v:textbox inset="2.53958mm,1.2694mm,2.53958mm,1.2694mm">
                        <w:txbxContent>
                          <w:p w14:paraId="73EAF1D1"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p>
        </w:tc>
        <w:tc>
          <w:tcPr>
            <w:tcW w:w="4506" w:type="dxa"/>
            <w:vAlign w:val="center"/>
          </w:tcPr>
          <w:p w14:paraId="07575D01"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26708CA9" wp14:editId="46D109C2">
                  <wp:extent cx="2209800" cy="1933171"/>
                  <wp:effectExtent l="0" t="0" r="0" b="0"/>
                  <wp:docPr id="21383681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l="3164" t="4033"/>
                          <a:stretch>
                            <a:fillRect/>
                          </a:stretch>
                        </pic:blipFill>
                        <pic:spPr>
                          <a:xfrm>
                            <a:off x="0" y="0"/>
                            <a:ext cx="2216127" cy="1938706"/>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3360" behindDoc="0" locked="0" layoutInCell="1" hidden="0" allowOverlap="1" wp14:anchorId="5C703390" wp14:editId="5776FE37">
                      <wp:simplePos x="0" y="0"/>
                      <wp:positionH relativeFrom="column">
                        <wp:posOffset>-66356</wp:posOffset>
                      </wp:positionH>
                      <wp:positionV relativeFrom="paragraph">
                        <wp:posOffset>-18096</wp:posOffset>
                      </wp:positionV>
                      <wp:extent cx="337185" cy="1414145"/>
                      <wp:effectExtent l="0" t="0" r="0" b="0"/>
                      <wp:wrapNone/>
                      <wp:docPr id="2138368107" name="Rectangle 2138368107"/>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174BC821"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5C703390" id="Rectangle 2138368107" o:spid="_x0000_s1029" style="position:absolute;margin-left:-5.2pt;margin-top:-1.4pt;width:26.55pt;height:111.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" stroked="f">
                      <v:textbox inset="2.53958mm,1.2694mm,2.53958mm,1.2694mm">
                        <w:txbxContent>
                          <w:p w14:paraId="174BC821"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p>
        </w:tc>
      </w:tr>
    </w:tbl>
    <w:p w14:paraId="7E7F9611" w14:textId="77777777" w:rsidR="001D0AFA" w:rsidRPr="00966FED" w:rsidRDefault="001D0AFA" w:rsidP="001D0AFA">
      <w:pPr>
        <w:widowControl w:val="0"/>
        <w:pBdr>
          <w:top w:val="nil"/>
          <w:left w:val="nil"/>
          <w:bottom w:val="nil"/>
          <w:right w:val="nil"/>
          <w:between w:val="nil"/>
        </w:pBdr>
        <w:spacing w:line="240" w:lineRule="auto"/>
        <w:rPr>
          <w:rFonts w:ascii="Times New Roman" w:eastAsia="Calibri" w:hAnsi="Times New Roman" w:cs="Times New Roman"/>
          <w:sz w:val="16"/>
          <w:szCs w:val="16"/>
        </w:rPr>
      </w:pPr>
      <w:r w:rsidRPr="00966FED">
        <w:rPr>
          <w:rFonts w:ascii="Times New Roman" w:eastAsia="Calibri" w:hAnsi="Times New Roman" w:cs="Times New Roman"/>
          <w:b/>
          <w:bCs/>
        </w:rPr>
        <w:t xml:space="preserve">Figure 5. </w:t>
      </w:r>
      <w:r w:rsidRPr="00966FED">
        <w:rPr>
          <w:rFonts w:ascii="Times New Roman" w:eastAsia="Calibri" w:hAnsi="Times New Roman" w:cs="Times New Roman"/>
        </w:rPr>
        <w:t>Effect of Si/Al ratio and GBC/AP ratio on TT300 in the fire resistance test (a) contour plot (b) 3D surface.</w:t>
      </w:r>
    </w:p>
    <w:tbl>
      <w:tblPr>
        <w:tblW w:w="9132" w:type="dxa"/>
        <w:jc w:val="center"/>
        <w:tblLayout w:type="fixed"/>
        <w:tblLook w:val="0000" w:firstRow="0" w:lastRow="0" w:firstColumn="0" w:lastColumn="0" w:noHBand="0" w:noVBand="0"/>
      </w:tblPr>
      <w:tblGrid>
        <w:gridCol w:w="4300"/>
        <w:gridCol w:w="4832"/>
      </w:tblGrid>
      <w:tr w:rsidR="001D0AFA" w:rsidRPr="00966FED" w14:paraId="18A0CE49" w14:textId="77777777" w:rsidTr="00AC0ED3">
        <w:trPr>
          <w:jc w:val="center"/>
        </w:trPr>
        <w:tc>
          <w:tcPr>
            <w:tcW w:w="4250" w:type="dxa"/>
            <w:vAlign w:val="center"/>
          </w:tcPr>
          <w:p w14:paraId="7FACFB17"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0B037B32" wp14:editId="1F99E044">
                  <wp:extent cx="2376055" cy="1988127"/>
                  <wp:effectExtent l="0" t="0" r="5715" b="0"/>
                  <wp:docPr id="21383681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2386905" cy="1997206"/>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4384" behindDoc="0" locked="0" layoutInCell="1" hidden="0" allowOverlap="1" wp14:anchorId="6D3D65E5" wp14:editId="677AF02F">
                      <wp:simplePos x="0" y="0"/>
                      <wp:positionH relativeFrom="column">
                        <wp:posOffset>-71436</wp:posOffset>
                      </wp:positionH>
                      <wp:positionV relativeFrom="paragraph">
                        <wp:posOffset>-4761</wp:posOffset>
                      </wp:positionV>
                      <wp:extent cx="337185" cy="1414145"/>
                      <wp:effectExtent l="0" t="0" r="0" b="0"/>
                      <wp:wrapNone/>
                      <wp:docPr id="2138368118" name="Rectangle 2138368118"/>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51494E5D"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6D3D65E5" id="Rectangle 2138368118" o:spid="_x0000_s1030" style="position:absolute;margin-left:-5.6pt;margin-top:-.35pt;width:26.55pt;height:111.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" stroked="f">
                      <v:textbox inset="2.53958mm,1.2694mm,2.53958mm,1.2694mm">
                        <w:txbxContent>
                          <w:p w14:paraId="51494E5D"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p>
        </w:tc>
        <w:tc>
          <w:tcPr>
            <w:tcW w:w="4776" w:type="dxa"/>
            <w:vAlign w:val="center"/>
          </w:tcPr>
          <w:p w14:paraId="2A29975F"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725D2DC9" wp14:editId="7BB27BBD">
                  <wp:extent cx="2708563" cy="1939636"/>
                  <wp:effectExtent l="0" t="0" r="0" b="3810"/>
                  <wp:docPr id="21383681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2729848" cy="1954879"/>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5408" behindDoc="0" locked="0" layoutInCell="1" hidden="0" allowOverlap="1" wp14:anchorId="09420E74" wp14:editId="4631374E">
                      <wp:simplePos x="0" y="0"/>
                      <wp:positionH relativeFrom="column">
                        <wp:posOffset>-79056</wp:posOffset>
                      </wp:positionH>
                      <wp:positionV relativeFrom="paragraph">
                        <wp:posOffset>-4761</wp:posOffset>
                      </wp:positionV>
                      <wp:extent cx="337185" cy="1414145"/>
                      <wp:effectExtent l="0" t="0" r="0" b="0"/>
                      <wp:wrapNone/>
                      <wp:docPr id="2138368109" name="Rectangle 2138368109"/>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04501E5B"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09420E74" id="Rectangle 2138368109" o:spid="_x0000_s1031" style="position:absolute;margin-left:-6.2pt;margin-top:-.35pt;width:26.55pt;height:111.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" stroked="f">
                      <v:textbox inset="2.53958mm,1.2694mm,2.53958mm,1.2694mm">
                        <w:txbxContent>
                          <w:p w14:paraId="04501E5B"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p>
        </w:tc>
      </w:tr>
    </w:tbl>
    <w:tbl>
      <w:tblPr>
        <w:tblpPr w:leftFromText="180" w:rightFromText="180" w:vertAnchor="text" w:horzAnchor="margin" w:tblpXSpec="center" w:tblpY="757"/>
        <w:tblW w:w="9132" w:type="dxa"/>
        <w:tblLayout w:type="fixed"/>
        <w:tblLook w:val="0000" w:firstRow="0" w:lastRow="0" w:firstColumn="0" w:lastColumn="0" w:noHBand="0" w:noVBand="0"/>
      </w:tblPr>
      <w:tblGrid>
        <w:gridCol w:w="4266"/>
        <w:gridCol w:w="4866"/>
      </w:tblGrid>
      <w:tr w:rsidR="001D0AFA" w:rsidRPr="00966FED" w14:paraId="2B8BA38A" w14:textId="77777777" w:rsidTr="00AC0ED3">
        <w:tc>
          <w:tcPr>
            <w:tcW w:w="4266" w:type="dxa"/>
            <w:vAlign w:val="center"/>
          </w:tcPr>
          <w:p w14:paraId="6C1697E4"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692389E5" wp14:editId="136DF8E0">
                  <wp:extent cx="2348346" cy="2346422"/>
                  <wp:effectExtent l="0" t="0" r="0" b="0"/>
                  <wp:docPr id="213836814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2350721" cy="2348795"/>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6432" behindDoc="0" locked="0" layoutInCell="1" hidden="0" allowOverlap="1" wp14:anchorId="7CF16550" wp14:editId="53C8BA41">
                      <wp:simplePos x="0" y="0"/>
                      <wp:positionH relativeFrom="column">
                        <wp:posOffset>-83501</wp:posOffset>
                      </wp:positionH>
                      <wp:positionV relativeFrom="paragraph">
                        <wp:posOffset>2224</wp:posOffset>
                      </wp:positionV>
                      <wp:extent cx="337185" cy="1414145"/>
                      <wp:effectExtent l="0" t="0" r="0" b="0"/>
                      <wp:wrapNone/>
                      <wp:docPr id="2138368112" name="Rectangle 2138368112"/>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10A93100"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anchor>
                  </w:drawing>
                </mc:Choice>
                <mc:Fallback>
                  <w:pict>
                    <v:rect w14:anchorId="7CF16550" id="Rectangle 2138368112" o:spid="_x0000_s1032" style="position:absolute;margin-left:-6.55pt;margin-top:.2pt;width:26.55pt;height:111.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" stroked="f">
                      <v:textbox inset="2.53958mm,1.2694mm,2.53958mm,1.2694mm">
                        <w:txbxContent>
                          <w:p w14:paraId="10A93100"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p>
        </w:tc>
        <w:tc>
          <w:tcPr>
            <w:tcW w:w="4866" w:type="dxa"/>
            <w:vAlign w:val="center"/>
          </w:tcPr>
          <w:p w14:paraId="39CDE9B5" w14:textId="77777777" w:rsidR="001D0AFA" w:rsidRPr="00966FED" w:rsidRDefault="001D0AFA" w:rsidP="00AC0ED3">
            <w:pPr>
              <w:spacing w:line="240" w:lineRule="auto"/>
              <w:rPr>
                <w:rFonts w:ascii="Times New Roman" w:hAnsi="Times New Roman" w:cs="Times New Roman"/>
              </w:rPr>
            </w:pPr>
            <w:r w:rsidRPr="00966FED">
              <w:rPr>
                <w:rFonts w:ascii="Times New Roman" w:hAnsi="Times New Roman" w:cs="Times New Roman"/>
                <w:noProof/>
              </w:rPr>
              <w:drawing>
                <wp:inline distT="0" distB="0" distL="0" distR="0" wp14:anchorId="569E23C2" wp14:editId="0BCEA2A5">
                  <wp:extent cx="2644775" cy="2346356"/>
                  <wp:effectExtent l="0" t="0" r="3175" b="0"/>
                  <wp:docPr id="21383681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t="2772"/>
                          <a:stretch>
                            <a:fillRect/>
                          </a:stretch>
                        </pic:blipFill>
                        <pic:spPr>
                          <a:xfrm>
                            <a:off x="0" y="0"/>
                            <a:ext cx="2649459" cy="2350511"/>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67456" behindDoc="0" locked="0" layoutInCell="1" hidden="0" allowOverlap="1" wp14:anchorId="11424D44" wp14:editId="379ADB75">
                      <wp:simplePos x="0" y="0"/>
                      <wp:positionH relativeFrom="column">
                        <wp:posOffset>-68261</wp:posOffset>
                      </wp:positionH>
                      <wp:positionV relativeFrom="paragraph">
                        <wp:posOffset>-5396</wp:posOffset>
                      </wp:positionV>
                      <wp:extent cx="337185" cy="1414145"/>
                      <wp:effectExtent l="0" t="0" r="0" b="0"/>
                      <wp:wrapNone/>
                      <wp:docPr id="2138368105" name="Rectangle 2138368105"/>
                      <wp:cNvGraphicFramePr/>
                      <a:graphic xmlns:a="http://schemas.openxmlformats.org/drawingml/2006/main">
                        <a:graphicData uri="http://schemas.microsoft.com/office/word/2010/wordprocessingShape">
                          <wps:wsp>
                            <wps:cNvSpPr/>
                            <wps:spPr>
                              <a:xfrm>
                                <a:off x="5182170" y="3077690"/>
                                <a:ext cx="327660" cy="1404620"/>
                              </a:xfrm>
                              <a:prstGeom prst="rect">
                                <a:avLst/>
                              </a:prstGeom>
                              <a:solidFill>
                                <a:srgbClr val="FFFFFF"/>
                              </a:solidFill>
                              <a:ln>
                                <a:noFill/>
                              </a:ln>
                            </wps:spPr>
                            <wps:txbx>
                              <w:txbxContent>
                                <w:p w14:paraId="45C9795C"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anchor>
                  </w:drawing>
                </mc:Choice>
                <mc:Fallback>
                  <w:pict>
                    <v:rect w14:anchorId="11424D44" id="Rectangle 2138368105" o:spid="_x0000_s1033" style="position:absolute;margin-left:-5.35pt;margin-top:-.4pt;width:26.55pt;height:111.3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" stroked="f">
                      <v:textbox inset="2.53958mm,1.2694mm,2.53958mm,1.2694mm">
                        <w:txbxContent>
                          <w:p w14:paraId="45C9795C"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p>
        </w:tc>
      </w:tr>
    </w:tbl>
    <w:p w14:paraId="270DB65B" w14:textId="77777777" w:rsidR="001D0AFA" w:rsidRPr="00966FED" w:rsidRDefault="001D0AFA" w:rsidP="001D0AFA">
      <w:pPr>
        <w:spacing w:line="240" w:lineRule="auto"/>
        <w:rPr>
          <w:rFonts w:ascii="Times New Roman" w:eastAsia="Calibri" w:hAnsi="Times New Roman" w:cs="Times New Roman"/>
          <w:sz w:val="16"/>
          <w:szCs w:val="16"/>
        </w:rPr>
      </w:pPr>
      <w:r w:rsidRPr="00966FED">
        <w:rPr>
          <w:rFonts w:ascii="Times New Roman" w:eastAsia="Calibri" w:hAnsi="Times New Roman" w:cs="Times New Roman"/>
          <w:b/>
          <w:bCs/>
        </w:rPr>
        <w:t xml:space="preserve">Figure 6. </w:t>
      </w:r>
      <w:r w:rsidRPr="00966FED">
        <w:rPr>
          <w:rFonts w:ascii="Times New Roman" w:eastAsia="Calibri" w:hAnsi="Times New Roman" w:cs="Times New Roman"/>
        </w:rPr>
        <w:t xml:space="preserve">Effect of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w:t>
      </w:r>
      <w:proofErr w:type="spellStart"/>
      <w:r w:rsidRPr="00966FED">
        <w:rPr>
          <w:rFonts w:ascii="Times New Roman" w:eastAsia="Calibri" w:hAnsi="Times New Roman" w:cs="Times New Roman"/>
        </w:rPr>
        <w:t>wt</w:t>
      </w:r>
      <w:proofErr w:type="spellEnd"/>
      <w:r w:rsidRPr="00966FED">
        <w:rPr>
          <w:rFonts w:ascii="Times New Roman" w:eastAsia="Calibri" w:hAnsi="Times New Roman" w:cs="Times New Roman"/>
        </w:rPr>
        <w:t>% and GBC/AP ratio on TT300 in the fire resistance test (a) contour plot (b) 3D surface.</w:t>
      </w:r>
    </w:p>
    <w:p w14:paraId="54199700" w14:textId="77777777" w:rsidR="001D0AFA" w:rsidRPr="00966FED" w:rsidRDefault="001D0AFA" w:rsidP="001D0AFA">
      <w:pPr>
        <w:spacing w:line="240" w:lineRule="auto"/>
        <w:rPr>
          <w:rFonts w:ascii="Times New Roman" w:eastAsia="Calibri" w:hAnsi="Times New Roman" w:cs="Times New Roman"/>
          <w:b/>
          <w:bCs/>
          <w:sz w:val="16"/>
          <w:szCs w:val="16"/>
        </w:rPr>
      </w:pPr>
    </w:p>
    <w:p w14:paraId="74C2C1F3" w14:textId="77777777" w:rsidR="001D0AFA" w:rsidRPr="00966FED" w:rsidRDefault="001D0AFA" w:rsidP="001D0AFA">
      <w:pPr>
        <w:spacing w:line="240" w:lineRule="auto"/>
        <w:rPr>
          <w:rFonts w:ascii="Times New Roman" w:eastAsia="Calibri" w:hAnsi="Times New Roman" w:cs="Times New Roman"/>
        </w:rPr>
      </w:pPr>
    </w:p>
    <w:p w14:paraId="6E977725" w14:textId="77777777" w:rsidR="001D0AFA" w:rsidRPr="00966FED" w:rsidRDefault="001D0AFA" w:rsidP="001D0AFA">
      <w:pPr>
        <w:spacing w:line="240" w:lineRule="auto"/>
        <w:rPr>
          <w:rFonts w:ascii="Times New Roman" w:eastAsia="Calibri" w:hAnsi="Times New Roman" w:cs="Times New Roman"/>
        </w:rPr>
      </w:pPr>
    </w:p>
    <w:p w14:paraId="43C2A7A0" w14:textId="77777777" w:rsidR="001D0AFA" w:rsidRPr="00966FED" w:rsidRDefault="001D0AFA" w:rsidP="001D0AFA">
      <w:pPr>
        <w:spacing w:line="240" w:lineRule="auto"/>
        <w:rPr>
          <w:rFonts w:ascii="Times New Roman" w:eastAsia="Calibri" w:hAnsi="Times New Roman" w:cs="Times New Roman"/>
        </w:rPr>
      </w:pPr>
    </w:p>
    <w:p w14:paraId="1DA56F3B"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lastRenderedPageBreak/>
        <w:t xml:space="preserve">Figure 7. </w:t>
      </w:r>
      <w:r w:rsidRPr="00966FED">
        <w:rPr>
          <w:rFonts w:ascii="Times New Roman" w:eastAsia="Calibri" w:hAnsi="Times New Roman" w:cs="Times New Roman"/>
        </w:rPr>
        <w:t>Optimum parameters for optimum thermal performance.</w:t>
      </w:r>
      <w:r w:rsidRPr="00966FED">
        <w:rPr>
          <w:rFonts w:ascii="Times New Roman" w:eastAsia="Times" w:hAnsi="Times New Roman" w:cs="Times New Roman"/>
          <w:noProof/>
          <w:color w:val="000000"/>
          <w:sz w:val="18"/>
          <w:szCs w:val="18"/>
        </w:rPr>
        <w:drawing>
          <wp:inline distT="0" distB="0" distL="0" distR="0" wp14:anchorId="4AE1E25B" wp14:editId="56B5A881">
            <wp:extent cx="5546421" cy="2264873"/>
            <wp:effectExtent l="0" t="0" r="0" b="0"/>
            <wp:docPr id="21383681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5546421" cy="2264873"/>
                    </a:xfrm>
                    <a:prstGeom prst="rect">
                      <a:avLst/>
                    </a:prstGeom>
                    <a:ln/>
                  </pic:spPr>
                </pic:pic>
              </a:graphicData>
            </a:graphic>
          </wp:inline>
        </w:drawing>
      </w:r>
    </w:p>
    <w:p w14:paraId="6EA8F68F"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Table 6. </w:t>
      </w:r>
      <w:r w:rsidRPr="00966FED">
        <w:rPr>
          <w:rFonts w:ascii="Times New Roman" w:eastAsia="Calibri" w:hAnsi="Times New Roman" w:cs="Times New Roman"/>
        </w:rPr>
        <w:t>Experimental validation of the optimized parameters for fire resistance test.</w:t>
      </w:r>
    </w:p>
    <w:tbl>
      <w:tblPr>
        <w:tblW w:w="5000" w:type="pct"/>
        <w:tblBorders>
          <w:top w:val="single" w:sz="8" w:space="0" w:color="000000"/>
          <w:bottom w:val="single" w:sz="8" w:space="0" w:color="000000"/>
        </w:tblBorders>
        <w:tblLook w:val="0400" w:firstRow="0" w:lastRow="0" w:firstColumn="0" w:lastColumn="0" w:noHBand="0" w:noVBand="1"/>
      </w:tblPr>
      <w:tblGrid>
        <w:gridCol w:w="2597"/>
        <w:gridCol w:w="75"/>
        <w:gridCol w:w="2674"/>
        <w:gridCol w:w="2771"/>
        <w:gridCol w:w="2580"/>
      </w:tblGrid>
      <w:tr w:rsidR="001D0AFA" w:rsidRPr="00966FED" w14:paraId="3A94E3EB" w14:textId="77777777" w:rsidTr="00AC0ED3">
        <w:tc>
          <w:tcPr>
            <w:tcW w:w="5000" w:type="pct"/>
            <w:gridSpan w:val="5"/>
            <w:tcBorders>
              <w:top w:val="single" w:sz="8" w:space="0" w:color="000000"/>
              <w:bottom w:val="single" w:sz="4" w:space="0" w:color="000000"/>
            </w:tcBorders>
            <w:vAlign w:val="center"/>
          </w:tcPr>
          <w:p w14:paraId="6307BAC4"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TT300 (s)</w:t>
            </w:r>
          </w:p>
        </w:tc>
      </w:tr>
      <w:tr w:rsidR="001D0AFA" w:rsidRPr="00966FED" w14:paraId="7D973104" w14:textId="77777777" w:rsidTr="00AC0ED3">
        <w:tc>
          <w:tcPr>
            <w:tcW w:w="1249" w:type="pct"/>
            <w:gridSpan w:val="2"/>
            <w:tcBorders>
              <w:top w:val="single" w:sz="4" w:space="0" w:color="000000"/>
              <w:bottom w:val="single" w:sz="4" w:space="0" w:color="000000"/>
            </w:tcBorders>
            <w:vAlign w:val="center"/>
          </w:tcPr>
          <w:p w14:paraId="7CF88BBA" w14:textId="77777777" w:rsidR="001D0AFA" w:rsidRPr="00966FED" w:rsidRDefault="001D0AFA" w:rsidP="00AC0ED3">
            <w:pPr>
              <w:spacing w:after="0" w:line="240" w:lineRule="auto"/>
              <w:jc w:val="center"/>
              <w:rPr>
                <w:rFonts w:ascii="Times New Roman" w:eastAsia="Calibri" w:hAnsi="Times New Roman" w:cs="Times New Roman"/>
              </w:rPr>
            </w:pPr>
          </w:p>
        </w:tc>
        <w:tc>
          <w:tcPr>
            <w:tcW w:w="1250" w:type="pct"/>
            <w:tcBorders>
              <w:top w:val="single" w:sz="4" w:space="0" w:color="000000"/>
              <w:bottom w:val="single" w:sz="4" w:space="0" w:color="000000"/>
            </w:tcBorders>
            <w:vAlign w:val="center"/>
          </w:tcPr>
          <w:p w14:paraId="66156B35"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Predicted Value</w:t>
            </w:r>
          </w:p>
        </w:tc>
        <w:tc>
          <w:tcPr>
            <w:tcW w:w="1294" w:type="pct"/>
            <w:tcBorders>
              <w:top w:val="single" w:sz="4" w:space="0" w:color="000000"/>
              <w:bottom w:val="single" w:sz="4" w:space="0" w:color="000000"/>
            </w:tcBorders>
            <w:vAlign w:val="center"/>
          </w:tcPr>
          <w:p w14:paraId="5EBECE35"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Experimental Value</w:t>
            </w:r>
          </w:p>
        </w:tc>
        <w:tc>
          <w:tcPr>
            <w:tcW w:w="1206" w:type="pct"/>
            <w:tcBorders>
              <w:top w:val="single" w:sz="4" w:space="0" w:color="000000"/>
              <w:bottom w:val="single" w:sz="4" w:space="0" w:color="000000"/>
            </w:tcBorders>
          </w:tcPr>
          <w:p w14:paraId="58F9AE0E"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Error (%)</w:t>
            </w:r>
          </w:p>
        </w:tc>
      </w:tr>
      <w:tr w:rsidR="001D0AFA" w:rsidRPr="00966FED" w14:paraId="342DBEB8" w14:textId="77777777" w:rsidTr="00AC0ED3">
        <w:tc>
          <w:tcPr>
            <w:tcW w:w="1249" w:type="pct"/>
            <w:gridSpan w:val="2"/>
            <w:vAlign w:val="center"/>
          </w:tcPr>
          <w:p w14:paraId="2C404FCE"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SV1</w:t>
            </w:r>
          </w:p>
        </w:tc>
        <w:tc>
          <w:tcPr>
            <w:tcW w:w="1250" w:type="pct"/>
            <w:vAlign w:val="center"/>
          </w:tcPr>
          <w:p w14:paraId="3A42544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340</w:t>
            </w:r>
          </w:p>
        </w:tc>
        <w:tc>
          <w:tcPr>
            <w:tcW w:w="1294" w:type="pct"/>
            <w:vAlign w:val="center"/>
          </w:tcPr>
          <w:p w14:paraId="1DA8C5DF"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310</w:t>
            </w:r>
          </w:p>
        </w:tc>
        <w:tc>
          <w:tcPr>
            <w:tcW w:w="1206" w:type="pct"/>
          </w:tcPr>
          <w:p w14:paraId="6EBBC2D1"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8.82</w:t>
            </w:r>
          </w:p>
        </w:tc>
      </w:tr>
      <w:tr w:rsidR="001D0AFA" w:rsidRPr="00966FED" w14:paraId="4D9A432C" w14:textId="77777777" w:rsidTr="00AC0ED3">
        <w:tc>
          <w:tcPr>
            <w:tcW w:w="1249" w:type="pct"/>
            <w:gridSpan w:val="2"/>
            <w:vAlign w:val="center"/>
          </w:tcPr>
          <w:p w14:paraId="59FA56CF"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SV2</w:t>
            </w:r>
          </w:p>
        </w:tc>
        <w:tc>
          <w:tcPr>
            <w:tcW w:w="1250" w:type="pct"/>
          </w:tcPr>
          <w:p w14:paraId="73E1255A"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340</w:t>
            </w:r>
          </w:p>
        </w:tc>
        <w:tc>
          <w:tcPr>
            <w:tcW w:w="1294" w:type="pct"/>
            <w:vAlign w:val="center"/>
          </w:tcPr>
          <w:p w14:paraId="1F62EBF4"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353</w:t>
            </w:r>
          </w:p>
        </w:tc>
        <w:tc>
          <w:tcPr>
            <w:tcW w:w="1206" w:type="pct"/>
          </w:tcPr>
          <w:p w14:paraId="3102A5AA"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3.82</w:t>
            </w:r>
          </w:p>
        </w:tc>
      </w:tr>
      <w:tr w:rsidR="001D0AFA" w:rsidRPr="00966FED" w14:paraId="18F4DB6E" w14:textId="77777777" w:rsidTr="00AC0ED3">
        <w:tc>
          <w:tcPr>
            <w:tcW w:w="1249" w:type="pct"/>
            <w:gridSpan w:val="2"/>
            <w:vAlign w:val="center"/>
          </w:tcPr>
          <w:p w14:paraId="320FD5B6"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SV3</w:t>
            </w:r>
          </w:p>
        </w:tc>
        <w:tc>
          <w:tcPr>
            <w:tcW w:w="1250" w:type="pct"/>
          </w:tcPr>
          <w:p w14:paraId="24868215"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340</w:t>
            </w:r>
          </w:p>
        </w:tc>
        <w:tc>
          <w:tcPr>
            <w:tcW w:w="1294" w:type="pct"/>
            <w:vAlign w:val="center"/>
          </w:tcPr>
          <w:p w14:paraId="573926B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315</w:t>
            </w:r>
          </w:p>
        </w:tc>
        <w:tc>
          <w:tcPr>
            <w:tcW w:w="1206" w:type="pct"/>
          </w:tcPr>
          <w:p w14:paraId="468FE299"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7.35</w:t>
            </w:r>
          </w:p>
        </w:tc>
      </w:tr>
      <w:tr w:rsidR="001D0AFA" w:rsidRPr="00966FED" w14:paraId="782F7E59" w14:textId="77777777" w:rsidTr="00AC0ED3">
        <w:tc>
          <w:tcPr>
            <w:tcW w:w="1214" w:type="pct"/>
            <w:vAlign w:val="center"/>
          </w:tcPr>
          <w:p w14:paraId="0492C842" w14:textId="77777777" w:rsidR="001D0AFA" w:rsidRPr="00966FED" w:rsidRDefault="001D0AFA" w:rsidP="00AC0ED3">
            <w:pPr>
              <w:spacing w:after="0" w:line="240" w:lineRule="auto"/>
              <w:jc w:val="center"/>
              <w:rPr>
                <w:rFonts w:ascii="Times New Roman" w:eastAsia="Calibri" w:hAnsi="Times New Roman" w:cs="Times New Roman"/>
                <w:b/>
                <w:bCs/>
              </w:rPr>
            </w:pPr>
            <w:r w:rsidRPr="00966FED">
              <w:rPr>
                <w:rFonts w:ascii="Times New Roman" w:eastAsia="Calibri" w:hAnsi="Times New Roman" w:cs="Times New Roman"/>
                <w:b/>
                <w:bCs/>
              </w:rPr>
              <w:t>Average</w:t>
            </w:r>
          </w:p>
        </w:tc>
        <w:tc>
          <w:tcPr>
            <w:tcW w:w="2580" w:type="pct"/>
            <w:gridSpan w:val="3"/>
            <w:vAlign w:val="center"/>
          </w:tcPr>
          <w:p w14:paraId="0E192F6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326</w:t>
            </w:r>
          </w:p>
        </w:tc>
        <w:tc>
          <w:tcPr>
            <w:tcW w:w="1206" w:type="pct"/>
          </w:tcPr>
          <w:p w14:paraId="773CF27C" w14:textId="77777777" w:rsidR="001D0AFA" w:rsidRPr="00966FED" w:rsidRDefault="001D0AFA" w:rsidP="00AC0ED3">
            <w:pPr>
              <w:spacing w:after="0" w:line="240" w:lineRule="auto"/>
              <w:jc w:val="center"/>
              <w:rPr>
                <w:rFonts w:ascii="Times New Roman" w:eastAsia="Calibri" w:hAnsi="Times New Roman" w:cs="Times New Roman"/>
              </w:rPr>
            </w:pPr>
            <w:r w:rsidRPr="00966FED">
              <w:rPr>
                <w:rFonts w:ascii="Times New Roman" w:eastAsia="Calibri" w:hAnsi="Times New Roman" w:cs="Times New Roman"/>
              </w:rPr>
              <w:t>6.67</w:t>
            </w:r>
          </w:p>
        </w:tc>
      </w:tr>
    </w:tbl>
    <w:p w14:paraId="510F0D8C" w14:textId="77777777" w:rsidR="001D0AFA" w:rsidRPr="00966FED" w:rsidRDefault="001D0AFA" w:rsidP="001D0AFA">
      <w:pPr>
        <w:spacing w:line="240" w:lineRule="auto"/>
        <w:jc w:val="center"/>
        <w:rPr>
          <w:rFonts w:ascii="Times New Roman" w:eastAsia="Calibri" w:hAnsi="Times New Roman" w:cs="Times New Roman"/>
        </w:rPr>
      </w:pPr>
      <w:r w:rsidRPr="00966FED">
        <w:rPr>
          <w:rFonts w:ascii="Times New Roman" w:eastAsia="Calibri" w:hAnsi="Times New Roman" w:cs="Times New Roman"/>
        </w:rPr>
        <w:t>SV = Sample Validation; A = 4.728 ±0.001, B =0.583 ±0.001, C = 0.497 ±0.001</w:t>
      </w:r>
    </w:p>
    <w:p w14:paraId="49879F62"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It can be observed that the experimental value took 326 s to reach a backside temperature of 300 °C, while the control sample took 82 s. This indicates that the incorporation of GBC into the paint effectively enhances its fire resistance performance. Figures 8a and 8b show the surface structure of the control sample and the optimized geopolymer after the fire resistance test. It can be observed that a hole was formed at the center of the control sample, while, in the optimized GFC sample, the center remained intact. This finding confirms that the addition of the GBC to the AP improves the compactness and density of the char layer, thereby enhancing its protective performance </w:t>
      </w:r>
      <w:r w:rsidRPr="00966FED">
        <w:rPr>
          <w:rFonts w:ascii="Times New Roman" w:hAnsi="Times New Roman" w:cs="Times New Roman"/>
          <w:color w:val="000000"/>
        </w:rPr>
        <w:t>[3], [46], [47], [48]</w:t>
      </w:r>
      <w:r w:rsidRPr="00966FED">
        <w:rPr>
          <w:rFonts w:ascii="Times New Roman" w:eastAsia="Calibri" w:hAnsi="Times New Roman" w:cs="Times New Roman"/>
        </w:rPr>
        <w:t xml:space="preserve">. </w:t>
      </w:r>
    </w:p>
    <w:p w14:paraId="72FA3F2D"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Figure 8. (a) </w:t>
      </w:r>
      <w:r w:rsidRPr="00966FED">
        <w:rPr>
          <w:rFonts w:ascii="Times New Roman" w:eastAsia="Calibri" w:hAnsi="Times New Roman" w:cs="Times New Roman"/>
        </w:rPr>
        <w:t xml:space="preserve">Control sample and </w:t>
      </w:r>
      <w:r w:rsidRPr="00966FED">
        <w:rPr>
          <w:rFonts w:ascii="Times New Roman" w:eastAsia="Calibri" w:hAnsi="Times New Roman" w:cs="Times New Roman"/>
          <w:b/>
          <w:bCs/>
        </w:rPr>
        <w:t>(b)</w:t>
      </w:r>
      <w:r w:rsidRPr="00966FED">
        <w:rPr>
          <w:rFonts w:ascii="Times New Roman" w:eastAsia="Calibri" w:hAnsi="Times New Roman" w:cs="Times New Roman"/>
        </w:rPr>
        <w:t xml:space="preserve"> optimized GFC sample after fire resistance test.</w:t>
      </w:r>
    </w:p>
    <w:tbl>
      <w:tblPr>
        <w:tblW w:w="4671" w:type="dxa"/>
        <w:tblLayout w:type="fixed"/>
        <w:tblLook w:val="0000" w:firstRow="0" w:lastRow="0" w:firstColumn="0" w:lastColumn="0" w:noHBand="0" w:noVBand="0"/>
      </w:tblPr>
      <w:tblGrid>
        <w:gridCol w:w="2402"/>
        <w:gridCol w:w="2269"/>
      </w:tblGrid>
      <w:tr w:rsidR="001D0AFA" w:rsidRPr="00966FED" w14:paraId="262B6DCA" w14:textId="77777777" w:rsidTr="00AC0ED3">
        <w:tc>
          <w:tcPr>
            <w:tcW w:w="2402" w:type="dxa"/>
            <w:vAlign w:val="center"/>
          </w:tcPr>
          <w:p w14:paraId="0556939E" w14:textId="77777777" w:rsidR="001D0AFA" w:rsidRPr="00966FED" w:rsidRDefault="001D0AFA" w:rsidP="00AC0ED3">
            <w:pPr>
              <w:pBdr>
                <w:top w:val="nil"/>
                <w:left w:val="nil"/>
                <w:bottom w:val="nil"/>
                <w:right w:val="nil"/>
                <w:between w:val="nil"/>
              </w:pBdr>
              <w:spacing w:after="120" w:line="240" w:lineRule="auto"/>
              <w:jc w:val="center"/>
              <w:rPr>
                <w:rFonts w:ascii="Times New Roman" w:eastAsia="Palatino Linotype" w:hAnsi="Times New Roman" w:cs="Times New Roman"/>
                <w:color w:val="000000"/>
                <w:sz w:val="20"/>
                <w:szCs w:val="20"/>
              </w:rPr>
            </w:pPr>
            <w:r w:rsidRPr="00966FED">
              <w:rPr>
                <w:rFonts w:ascii="Times New Roman" w:hAnsi="Times New Roman" w:cs="Times New Roman"/>
                <w:noProof/>
              </w:rPr>
              <mc:AlternateContent>
                <mc:Choice Requires="wps">
                  <w:drawing>
                    <wp:anchor distT="45720" distB="45720" distL="114300" distR="114300" simplePos="0" relativeHeight="251668480" behindDoc="0" locked="0" layoutInCell="1" hidden="0" allowOverlap="1" wp14:anchorId="120E48D7" wp14:editId="490D09C4">
                      <wp:simplePos x="0" y="0"/>
                      <wp:positionH relativeFrom="column">
                        <wp:posOffset>-73660</wp:posOffset>
                      </wp:positionH>
                      <wp:positionV relativeFrom="paragraph">
                        <wp:posOffset>-19050</wp:posOffset>
                      </wp:positionV>
                      <wp:extent cx="327660" cy="353060"/>
                      <wp:effectExtent l="0" t="0" r="0" b="8890"/>
                      <wp:wrapNone/>
                      <wp:docPr id="2138368089" name="Rectangle 2138368089"/>
                      <wp:cNvGraphicFramePr/>
                      <a:graphic xmlns:a="http://schemas.openxmlformats.org/drawingml/2006/main">
                        <a:graphicData uri="http://schemas.microsoft.com/office/word/2010/wordprocessingShape">
                          <wps:wsp>
                            <wps:cNvSpPr/>
                            <wps:spPr>
                              <a:xfrm>
                                <a:off x="0" y="0"/>
                                <a:ext cx="327660" cy="353060"/>
                              </a:xfrm>
                              <a:prstGeom prst="rect">
                                <a:avLst/>
                              </a:prstGeom>
                              <a:solidFill>
                                <a:srgbClr val="FFFFFF"/>
                              </a:solidFill>
                              <a:ln>
                                <a:noFill/>
                              </a:ln>
                            </wps:spPr>
                            <wps:txbx>
                              <w:txbxContent>
                                <w:p w14:paraId="5D418647" w14:textId="77777777" w:rsidR="001D0AFA" w:rsidRDefault="001D0AFA" w:rsidP="001D0AFA">
                                  <w:pPr>
                                    <w:textDirection w:val="btLr"/>
                                  </w:pPr>
                                  <w:r>
                                    <w:rPr>
                                      <w:rFonts w:ascii="Calibri" w:eastAsia="Calibri" w:hAnsi="Calibri" w:cs="Calibri"/>
                                      <w:color w:val="000000"/>
                                      <w:sz w:val="18"/>
                                    </w:rPr>
                                    <w: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0E48D7" id="Rectangle 2138368089" o:spid="_x0000_s1034" style="position:absolute;left:0;text-align:left;margin-left:-5.8pt;margin-top:-1.5pt;width:25.8pt;height:27.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" stroked="f">
                      <v:textbox inset="2.53958mm,1.2694mm,2.53958mm,1.2694mm">
                        <w:txbxContent>
                          <w:p w14:paraId="5D418647" w14:textId="77777777" w:rsidR="001D0AFA" w:rsidRDefault="001D0AFA" w:rsidP="001D0AFA">
                            <w:pPr>
                              <w:textDirection w:val="btLr"/>
                            </w:pPr>
                            <w:r>
                              <w:rPr>
                                <w:rFonts w:ascii="Calibri" w:eastAsia="Calibri" w:hAnsi="Calibri" w:cs="Calibri"/>
                                <w:color w:val="000000"/>
                                <w:sz w:val="18"/>
                              </w:rPr>
                              <w:t>(a)</w:t>
                            </w:r>
                          </w:p>
                        </w:txbxContent>
                      </v:textbox>
                    </v:rect>
                  </w:pict>
                </mc:Fallback>
              </mc:AlternateContent>
            </w:r>
            <w:r w:rsidRPr="00966FED">
              <w:rPr>
                <w:rFonts w:ascii="Times New Roman" w:eastAsia="Palatino Linotype" w:hAnsi="Times New Roman" w:cs="Times New Roman"/>
                <w:noProof/>
                <w:color w:val="000000"/>
                <w:sz w:val="20"/>
                <w:szCs w:val="20"/>
              </w:rPr>
              <w:drawing>
                <wp:inline distT="0" distB="0" distL="0" distR="0" wp14:anchorId="143C7DBF" wp14:editId="6FB0BE2F">
                  <wp:extent cx="1662546" cy="1558636"/>
                  <wp:effectExtent l="0" t="0" r="0" b="3810"/>
                  <wp:docPr id="213836814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9"/>
                          <a:srcRect l="21312" t="16028" r="17466" b="5521"/>
                          <a:stretch>
                            <a:fillRect/>
                          </a:stretch>
                        </pic:blipFill>
                        <pic:spPr>
                          <a:xfrm>
                            <a:off x="0" y="0"/>
                            <a:ext cx="1663754" cy="1559768"/>
                          </a:xfrm>
                          <a:prstGeom prst="rect">
                            <a:avLst/>
                          </a:prstGeom>
                          <a:ln/>
                        </pic:spPr>
                      </pic:pic>
                    </a:graphicData>
                  </a:graphic>
                </wp:inline>
              </w:drawing>
            </w:r>
          </w:p>
        </w:tc>
        <w:tc>
          <w:tcPr>
            <w:tcW w:w="2269" w:type="dxa"/>
            <w:vAlign w:val="center"/>
          </w:tcPr>
          <w:p w14:paraId="6569C806" w14:textId="77777777" w:rsidR="001D0AFA" w:rsidRPr="00966FED" w:rsidRDefault="001D0AFA" w:rsidP="00AC0ED3">
            <w:pPr>
              <w:pBdr>
                <w:top w:val="nil"/>
                <w:left w:val="nil"/>
                <w:bottom w:val="nil"/>
                <w:right w:val="nil"/>
                <w:between w:val="nil"/>
              </w:pBdr>
              <w:spacing w:after="120" w:line="240" w:lineRule="auto"/>
              <w:jc w:val="both"/>
              <w:rPr>
                <w:rFonts w:ascii="Times New Roman" w:eastAsia="Palatino Linotype" w:hAnsi="Times New Roman" w:cs="Times New Roman"/>
                <w:color w:val="000000"/>
                <w:sz w:val="20"/>
                <w:szCs w:val="20"/>
              </w:rPr>
            </w:pPr>
            <w:r w:rsidRPr="00966FED">
              <w:rPr>
                <w:rFonts w:ascii="Times New Roman" w:hAnsi="Times New Roman" w:cs="Times New Roman"/>
                <w:noProof/>
              </w:rPr>
              <mc:AlternateContent>
                <mc:Choice Requires="wps">
                  <w:drawing>
                    <wp:anchor distT="45720" distB="45720" distL="114300" distR="114300" simplePos="0" relativeHeight="251669504" behindDoc="0" locked="0" layoutInCell="1" hidden="0" allowOverlap="1" wp14:anchorId="6A7CFAF2" wp14:editId="57B40914">
                      <wp:simplePos x="0" y="0"/>
                      <wp:positionH relativeFrom="column">
                        <wp:posOffset>-86995</wp:posOffset>
                      </wp:positionH>
                      <wp:positionV relativeFrom="paragraph">
                        <wp:posOffset>-62865</wp:posOffset>
                      </wp:positionV>
                      <wp:extent cx="327660" cy="387350"/>
                      <wp:effectExtent l="0" t="0" r="0" b="0"/>
                      <wp:wrapNone/>
                      <wp:docPr id="2138368102" name="Rectangle 2138368102"/>
                      <wp:cNvGraphicFramePr/>
                      <a:graphic xmlns:a="http://schemas.openxmlformats.org/drawingml/2006/main">
                        <a:graphicData uri="http://schemas.microsoft.com/office/word/2010/wordprocessingShape">
                          <wps:wsp>
                            <wps:cNvSpPr/>
                            <wps:spPr>
                              <a:xfrm>
                                <a:off x="0" y="0"/>
                                <a:ext cx="327660" cy="387350"/>
                              </a:xfrm>
                              <a:prstGeom prst="rect">
                                <a:avLst/>
                              </a:prstGeom>
                              <a:solidFill>
                                <a:srgbClr val="FFFFFF"/>
                              </a:solidFill>
                              <a:ln>
                                <a:noFill/>
                              </a:ln>
                            </wps:spPr>
                            <wps:txbx>
                              <w:txbxContent>
                                <w:p w14:paraId="35C9330D" w14:textId="77777777" w:rsidR="001D0AFA" w:rsidRDefault="001D0AFA" w:rsidP="001D0AFA">
                                  <w:pPr>
                                    <w:textDirection w:val="btLr"/>
                                  </w:pPr>
                                  <w:r>
                                    <w:rPr>
                                      <w:rFonts w:ascii="Calibri" w:eastAsia="Calibri" w:hAnsi="Calibri" w:cs="Calibri"/>
                                      <w:color w:val="000000"/>
                                      <w:sz w:val="18"/>
                                    </w:rPr>
                                    <w:t>(b)</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7CFAF2" id="Rectangle 2138368102" o:spid="_x0000_s1035" style="position:absolute;left:0;text-align:left;margin-left:-6.85pt;margin-top:-4.95pt;width:25.8pt;height: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" stroked="f">
                      <v:textbox inset="2.53958mm,1.2694mm,2.53958mm,1.2694mm">
                        <w:txbxContent>
                          <w:p w14:paraId="35C9330D" w14:textId="77777777" w:rsidR="001D0AFA" w:rsidRDefault="001D0AFA" w:rsidP="001D0AFA">
                            <w:pPr>
                              <w:textDirection w:val="btLr"/>
                            </w:pPr>
                            <w:r>
                              <w:rPr>
                                <w:rFonts w:ascii="Calibri" w:eastAsia="Calibri" w:hAnsi="Calibri" w:cs="Calibri"/>
                                <w:color w:val="000000"/>
                                <w:sz w:val="18"/>
                              </w:rPr>
                              <w:t>(b)</w:t>
                            </w:r>
                          </w:p>
                        </w:txbxContent>
                      </v:textbox>
                    </v:rect>
                  </w:pict>
                </mc:Fallback>
              </mc:AlternateContent>
            </w:r>
            <w:r w:rsidRPr="00966FED">
              <w:rPr>
                <w:rFonts w:ascii="Times New Roman" w:eastAsia="Palatino Linotype" w:hAnsi="Times New Roman" w:cs="Times New Roman"/>
                <w:noProof/>
                <w:color w:val="000000"/>
                <w:sz w:val="20"/>
                <w:szCs w:val="20"/>
              </w:rPr>
              <w:drawing>
                <wp:inline distT="0" distB="0" distL="0" distR="0" wp14:anchorId="30CD2513" wp14:editId="49141774">
                  <wp:extent cx="1627909" cy="1551709"/>
                  <wp:effectExtent l="0" t="0" r="0" b="0"/>
                  <wp:docPr id="213836814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0"/>
                          <a:srcRect l="24948" t="19978" r="17599" b="7322"/>
                          <a:stretch>
                            <a:fillRect/>
                          </a:stretch>
                        </pic:blipFill>
                        <pic:spPr>
                          <a:xfrm rot="10800000">
                            <a:off x="0" y="0"/>
                            <a:ext cx="1628344" cy="1552124"/>
                          </a:xfrm>
                          <a:prstGeom prst="rect">
                            <a:avLst/>
                          </a:prstGeom>
                          <a:ln/>
                        </pic:spPr>
                      </pic:pic>
                    </a:graphicData>
                  </a:graphic>
                </wp:inline>
              </w:drawing>
            </w:r>
          </w:p>
        </w:tc>
      </w:tr>
    </w:tbl>
    <w:p w14:paraId="0322E039" w14:textId="77777777" w:rsidR="001D0AFA" w:rsidRPr="00966FED" w:rsidRDefault="001D0AFA" w:rsidP="001D0AFA">
      <w:pPr>
        <w:widowControl w:val="0"/>
        <w:pBdr>
          <w:top w:val="nil"/>
          <w:left w:val="nil"/>
          <w:bottom w:val="nil"/>
          <w:right w:val="nil"/>
          <w:between w:val="nil"/>
        </w:pBdr>
        <w:spacing w:after="0" w:line="240" w:lineRule="auto"/>
        <w:rPr>
          <w:rFonts w:ascii="Times New Roman" w:hAnsi="Times New Roman" w:cs="Times New Roman"/>
        </w:rPr>
      </w:pPr>
    </w:p>
    <w:p w14:paraId="197759FE" w14:textId="43275EA3"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adhesion strength of the coating on the substrate is critical to provide better fire protection. Table 7 summarizes the results of the cross-cut test for the GBC as an additive to AP. Results showed that all samples have a rating of 5B, which is the highest rating that can be obtained by ASTM standards, in which no squares were detached from the substrate, and the edges of the cuts were smooth. A sample of the adhesion test results of the GFC is shown in Figure 9.</w:t>
      </w:r>
    </w:p>
    <w:p w14:paraId="6E60ED83" w14:textId="77777777" w:rsidR="001D0AFA" w:rsidRPr="00966FED" w:rsidRDefault="001D0AFA" w:rsidP="001D0AFA">
      <w:pPr>
        <w:spacing w:line="240" w:lineRule="auto"/>
        <w:ind w:firstLine="284"/>
        <w:rPr>
          <w:rFonts w:ascii="Times New Roman" w:eastAsia="Calibri" w:hAnsi="Times New Roman" w:cs="Times New Roman"/>
        </w:rPr>
      </w:pPr>
    </w:p>
    <w:p w14:paraId="57302FD3" w14:textId="77777777" w:rsidR="001D0AFA" w:rsidRPr="00966FED" w:rsidRDefault="001D0AFA" w:rsidP="001D0AFA">
      <w:pPr>
        <w:spacing w:line="240" w:lineRule="auto"/>
        <w:ind w:firstLine="284"/>
        <w:rPr>
          <w:rFonts w:ascii="Times New Roman" w:eastAsia="Calibri" w:hAnsi="Times New Roman" w:cs="Times New Roman"/>
        </w:rPr>
      </w:pPr>
    </w:p>
    <w:p w14:paraId="2CC490C4" w14:textId="77777777" w:rsidR="001D0AFA" w:rsidRPr="00966FED" w:rsidRDefault="001D0AFA" w:rsidP="001D0AFA">
      <w:pPr>
        <w:spacing w:line="240" w:lineRule="auto"/>
        <w:ind w:firstLine="284"/>
        <w:rPr>
          <w:rFonts w:ascii="Times New Roman" w:eastAsia="Calibri" w:hAnsi="Times New Roman" w:cs="Times New Roman"/>
        </w:rPr>
      </w:pPr>
    </w:p>
    <w:p w14:paraId="702A5791" w14:textId="77777777" w:rsidR="001D0AFA" w:rsidRPr="00966FED" w:rsidRDefault="001D0AFA" w:rsidP="001D0AFA">
      <w:pPr>
        <w:spacing w:line="240" w:lineRule="auto"/>
        <w:ind w:firstLine="284"/>
        <w:rPr>
          <w:rFonts w:ascii="Times New Roman" w:eastAsia="Calibri" w:hAnsi="Times New Roman" w:cs="Times New Roman"/>
        </w:rPr>
      </w:pPr>
    </w:p>
    <w:p w14:paraId="6C00AFB7" w14:textId="64047131" w:rsidR="001D0AFA" w:rsidRPr="00966FED" w:rsidRDefault="001D0AFA" w:rsidP="001D0AFA">
      <w:pPr>
        <w:spacing w:line="240" w:lineRule="auto"/>
        <w:rPr>
          <w:rFonts w:ascii="Times New Roman" w:eastAsia="Calibri" w:hAnsi="Times New Roman" w:cs="Times New Roman"/>
          <w:b/>
          <w:bCs/>
        </w:rPr>
      </w:pPr>
      <w:r w:rsidRPr="00966FED">
        <w:rPr>
          <w:rFonts w:ascii="Times New Roman" w:eastAsia="Calibri" w:hAnsi="Times New Roman" w:cs="Times New Roman"/>
          <w:b/>
          <w:bCs/>
        </w:rPr>
        <w:lastRenderedPageBreak/>
        <w:t xml:space="preserve">Table 7. </w:t>
      </w:r>
      <w:r w:rsidRPr="00966FED">
        <w:rPr>
          <w:rFonts w:ascii="Times New Roman" w:eastAsia="Calibri" w:hAnsi="Times New Roman" w:cs="Times New Roman"/>
        </w:rPr>
        <w:t>Classification for adhesion test.</w:t>
      </w:r>
    </w:p>
    <w:tbl>
      <w:tblPr>
        <w:tblW w:w="5000" w:type="pct"/>
        <w:jc w:val="center"/>
        <w:tblBorders>
          <w:top w:val="single" w:sz="8" w:space="0" w:color="000000"/>
          <w:bottom w:val="single" w:sz="8" w:space="0" w:color="000000"/>
        </w:tblBorders>
        <w:tblLook w:val="0400" w:firstRow="0" w:lastRow="0" w:firstColumn="0" w:lastColumn="0" w:noHBand="0" w:noVBand="1"/>
      </w:tblPr>
      <w:tblGrid>
        <w:gridCol w:w="1855"/>
        <w:gridCol w:w="3256"/>
        <w:gridCol w:w="1861"/>
        <w:gridCol w:w="3725"/>
      </w:tblGrid>
      <w:tr w:rsidR="001D0AFA" w:rsidRPr="00966FED" w14:paraId="549AFAF7" w14:textId="77777777" w:rsidTr="00AC0ED3">
        <w:trPr>
          <w:jc w:val="center"/>
        </w:trPr>
        <w:tc>
          <w:tcPr>
            <w:tcW w:w="867" w:type="pct"/>
            <w:tcBorders>
              <w:bottom w:val="single" w:sz="4" w:space="0" w:color="000000"/>
            </w:tcBorders>
            <w:vAlign w:val="center"/>
          </w:tcPr>
          <w:p w14:paraId="7161E47C"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Run</w:t>
            </w:r>
          </w:p>
        </w:tc>
        <w:tc>
          <w:tcPr>
            <w:tcW w:w="1522" w:type="pct"/>
            <w:tcBorders>
              <w:bottom w:val="single" w:sz="4" w:space="0" w:color="000000"/>
            </w:tcBorders>
            <w:vAlign w:val="center"/>
          </w:tcPr>
          <w:p w14:paraId="53875445"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Classification</w:t>
            </w:r>
          </w:p>
        </w:tc>
        <w:tc>
          <w:tcPr>
            <w:tcW w:w="870" w:type="pct"/>
            <w:tcBorders>
              <w:bottom w:val="single" w:sz="4" w:space="0" w:color="000000"/>
            </w:tcBorders>
            <w:vAlign w:val="center"/>
          </w:tcPr>
          <w:p w14:paraId="09B8B236"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Run</w:t>
            </w:r>
          </w:p>
        </w:tc>
        <w:tc>
          <w:tcPr>
            <w:tcW w:w="1741" w:type="pct"/>
            <w:tcBorders>
              <w:bottom w:val="single" w:sz="4" w:space="0" w:color="000000"/>
            </w:tcBorders>
            <w:vAlign w:val="center"/>
          </w:tcPr>
          <w:p w14:paraId="0D997E9D" w14:textId="77777777" w:rsidR="001D0AFA" w:rsidRPr="00966FED" w:rsidRDefault="001D0AFA" w:rsidP="00AC0ED3">
            <w:pPr>
              <w:spacing w:line="240" w:lineRule="auto"/>
              <w:jc w:val="center"/>
              <w:rPr>
                <w:rFonts w:ascii="Times New Roman" w:eastAsia="Calibri" w:hAnsi="Times New Roman" w:cs="Times New Roman"/>
                <w:b/>
                <w:bCs/>
              </w:rPr>
            </w:pPr>
            <w:r w:rsidRPr="00966FED">
              <w:rPr>
                <w:rFonts w:ascii="Times New Roman" w:eastAsia="Calibri" w:hAnsi="Times New Roman" w:cs="Times New Roman"/>
                <w:b/>
                <w:bCs/>
              </w:rPr>
              <w:t>Classification</w:t>
            </w:r>
          </w:p>
        </w:tc>
      </w:tr>
      <w:tr w:rsidR="001D0AFA" w:rsidRPr="00966FED" w14:paraId="33B64B35" w14:textId="77777777" w:rsidTr="00AC0ED3">
        <w:trPr>
          <w:jc w:val="center"/>
        </w:trPr>
        <w:tc>
          <w:tcPr>
            <w:tcW w:w="867" w:type="pct"/>
          </w:tcPr>
          <w:p w14:paraId="589ABCD5"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w:t>
            </w:r>
          </w:p>
        </w:tc>
        <w:tc>
          <w:tcPr>
            <w:tcW w:w="1522" w:type="pct"/>
          </w:tcPr>
          <w:p w14:paraId="434B0ED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3184672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S10</w:t>
            </w:r>
          </w:p>
        </w:tc>
        <w:tc>
          <w:tcPr>
            <w:tcW w:w="1741" w:type="pct"/>
          </w:tcPr>
          <w:p w14:paraId="3F762D57"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2C2FF30C" w14:textId="77777777" w:rsidTr="00AC0ED3">
        <w:trPr>
          <w:jc w:val="center"/>
        </w:trPr>
        <w:tc>
          <w:tcPr>
            <w:tcW w:w="867" w:type="pct"/>
          </w:tcPr>
          <w:p w14:paraId="736FF99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S2</w:t>
            </w:r>
          </w:p>
        </w:tc>
        <w:tc>
          <w:tcPr>
            <w:tcW w:w="1522" w:type="pct"/>
          </w:tcPr>
          <w:p w14:paraId="29C7A8D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6BA531E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S11</w:t>
            </w:r>
          </w:p>
        </w:tc>
        <w:tc>
          <w:tcPr>
            <w:tcW w:w="1741" w:type="pct"/>
          </w:tcPr>
          <w:p w14:paraId="3B790134"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40E1A977" w14:textId="77777777" w:rsidTr="00AC0ED3">
        <w:trPr>
          <w:jc w:val="center"/>
        </w:trPr>
        <w:tc>
          <w:tcPr>
            <w:tcW w:w="867" w:type="pct"/>
          </w:tcPr>
          <w:p w14:paraId="468BCDF4"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S3</w:t>
            </w:r>
          </w:p>
        </w:tc>
        <w:tc>
          <w:tcPr>
            <w:tcW w:w="1522" w:type="pct"/>
          </w:tcPr>
          <w:p w14:paraId="7C68E520"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5F2AF48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S12</w:t>
            </w:r>
          </w:p>
        </w:tc>
        <w:tc>
          <w:tcPr>
            <w:tcW w:w="1741" w:type="pct"/>
          </w:tcPr>
          <w:p w14:paraId="0DF3110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3EB05C55" w14:textId="77777777" w:rsidTr="00AC0ED3">
        <w:trPr>
          <w:jc w:val="center"/>
        </w:trPr>
        <w:tc>
          <w:tcPr>
            <w:tcW w:w="867" w:type="pct"/>
          </w:tcPr>
          <w:p w14:paraId="2C2F053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S4</w:t>
            </w:r>
          </w:p>
        </w:tc>
        <w:tc>
          <w:tcPr>
            <w:tcW w:w="1522" w:type="pct"/>
          </w:tcPr>
          <w:p w14:paraId="22E8A1D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5194B2A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S13</w:t>
            </w:r>
          </w:p>
        </w:tc>
        <w:tc>
          <w:tcPr>
            <w:tcW w:w="1741" w:type="pct"/>
          </w:tcPr>
          <w:p w14:paraId="5096A7CE"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654BAB55" w14:textId="77777777" w:rsidTr="00AC0ED3">
        <w:trPr>
          <w:jc w:val="center"/>
        </w:trPr>
        <w:tc>
          <w:tcPr>
            <w:tcW w:w="867" w:type="pct"/>
          </w:tcPr>
          <w:p w14:paraId="0ED3023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S5</w:t>
            </w:r>
          </w:p>
        </w:tc>
        <w:tc>
          <w:tcPr>
            <w:tcW w:w="1522" w:type="pct"/>
          </w:tcPr>
          <w:p w14:paraId="5007FF6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5DDEA21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S14</w:t>
            </w:r>
          </w:p>
        </w:tc>
        <w:tc>
          <w:tcPr>
            <w:tcW w:w="1741" w:type="pct"/>
          </w:tcPr>
          <w:p w14:paraId="40FDD7C6"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59A95131" w14:textId="77777777" w:rsidTr="00AC0ED3">
        <w:trPr>
          <w:jc w:val="center"/>
        </w:trPr>
        <w:tc>
          <w:tcPr>
            <w:tcW w:w="867" w:type="pct"/>
          </w:tcPr>
          <w:p w14:paraId="22F8C501"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S6</w:t>
            </w:r>
          </w:p>
        </w:tc>
        <w:tc>
          <w:tcPr>
            <w:tcW w:w="1522" w:type="pct"/>
          </w:tcPr>
          <w:p w14:paraId="3CAA8B22"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75A87409"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S15</w:t>
            </w:r>
          </w:p>
        </w:tc>
        <w:tc>
          <w:tcPr>
            <w:tcW w:w="1741" w:type="pct"/>
          </w:tcPr>
          <w:p w14:paraId="5A78718F"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11834082" w14:textId="77777777" w:rsidTr="00AC0ED3">
        <w:trPr>
          <w:jc w:val="center"/>
        </w:trPr>
        <w:tc>
          <w:tcPr>
            <w:tcW w:w="867" w:type="pct"/>
          </w:tcPr>
          <w:p w14:paraId="4F9CA143"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S7</w:t>
            </w:r>
          </w:p>
        </w:tc>
        <w:tc>
          <w:tcPr>
            <w:tcW w:w="1522" w:type="pct"/>
          </w:tcPr>
          <w:p w14:paraId="46E366B9"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1CE8A9D1"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S16</w:t>
            </w:r>
          </w:p>
        </w:tc>
        <w:tc>
          <w:tcPr>
            <w:tcW w:w="1741" w:type="pct"/>
          </w:tcPr>
          <w:p w14:paraId="24C76BE7"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42E21F65" w14:textId="77777777" w:rsidTr="00AC0ED3">
        <w:trPr>
          <w:jc w:val="center"/>
        </w:trPr>
        <w:tc>
          <w:tcPr>
            <w:tcW w:w="867" w:type="pct"/>
          </w:tcPr>
          <w:p w14:paraId="734E688E"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S8</w:t>
            </w:r>
          </w:p>
        </w:tc>
        <w:tc>
          <w:tcPr>
            <w:tcW w:w="1522" w:type="pct"/>
          </w:tcPr>
          <w:p w14:paraId="220E0BAB"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0FE2712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S17</w:t>
            </w:r>
          </w:p>
        </w:tc>
        <w:tc>
          <w:tcPr>
            <w:tcW w:w="1741" w:type="pct"/>
          </w:tcPr>
          <w:p w14:paraId="7D1C547C"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r>
      <w:tr w:rsidR="001D0AFA" w:rsidRPr="00966FED" w14:paraId="741A9AF3" w14:textId="77777777" w:rsidTr="00AC0ED3">
        <w:trPr>
          <w:jc w:val="center"/>
        </w:trPr>
        <w:tc>
          <w:tcPr>
            <w:tcW w:w="867" w:type="pct"/>
          </w:tcPr>
          <w:p w14:paraId="77DB3364"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S9</w:t>
            </w:r>
          </w:p>
        </w:tc>
        <w:tc>
          <w:tcPr>
            <w:tcW w:w="1522" w:type="pct"/>
          </w:tcPr>
          <w:p w14:paraId="2F4F6B08" w14:textId="77777777" w:rsidR="001D0AFA" w:rsidRPr="00966FED" w:rsidRDefault="001D0AFA" w:rsidP="00AC0ED3">
            <w:pPr>
              <w:spacing w:line="240" w:lineRule="auto"/>
              <w:jc w:val="center"/>
              <w:rPr>
                <w:rFonts w:ascii="Times New Roman" w:eastAsia="Calibri" w:hAnsi="Times New Roman" w:cs="Times New Roman"/>
              </w:rPr>
            </w:pPr>
            <w:r w:rsidRPr="00966FED">
              <w:rPr>
                <w:rFonts w:ascii="Times New Roman" w:eastAsia="Calibri" w:hAnsi="Times New Roman" w:cs="Times New Roman"/>
              </w:rPr>
              <w:t>5B</w:t>
            </w:r>
          </w:p>
        </w:tc>
        <w:tc>
          <w:tcPr>
            <w:tcW w:w="870" w:type="pct"/>
          </w:tcPr>
          <w:p w14:paraId="14C9D45F" w14:textId="77777777" w:rsidR="001D0AFA" w:rsidRPr="00966FED" w:rsidRDefault="001D0AFA" w:rsidP="00AC0ED3">
            <w:pPr>
              <w:spacing w:line="240" w:lineRule="auto"/>
              <w:jc w:val="center"/>
              <w:rPr>
                <w:rFonts w:ascii="Times New Roman" w:eastAsia="Calibri" w:hAnsi="Times New Roman" w:cs="Times New Roman"/>
              </w:rPr>
            </w:pPr>
          </w:p>
        </w:tc>
        <w:tc>
          <w:tcPr>
            <w:tcW w:w="1741" w:type="pct"/>
          </w:tcPr>
          <w:p w14:paraId="1DE4F869" w14:textId="77777777" w:rsidR="001D0AFA" w:rsidRPr="00966FED" w:rsidRDefault="001D0AFA" w:rsidP="00AC0ED3">
            <w:pPr>
              <w:spacing w:line="240" w:lineRule="auto"/>
              <w:jc w:val="center"/>
              <w:rPr>
                <w:rFonts w:ascii="Times New Roman" w:eastAsia="Calibri" w:hAnsi="Times New Roman" w:cs="Times New Roman"/>
              </w:rPr>
            </w:pPr>
          </w:p>
        </w:tc>
      </w:tr>
    </w:tbl>
    <w:p w14:paraId="1B6BA88F" w14:textId="77777777" w:rsidR="001D0AFA" w:rsidRPr="00966FED" w:rsidRDefault="001D0AFA" w:rsidP="001D0AFA">
      <w:pPr>
        <w:widowControl w:val="0"/>
        <w:pBdr>
          <w:top w:val="nil"/>
          <w:left w:val="nil"/>
          <w:bottom w:val="nil"/>
          <w:right w:val="nil"/>
          <w:between w:val="nil"/>
        </w:pBdr>
        <w:spacing w:after="0" w:line="240" w:lineRule="auto"/>
        <w:rPr>
          <w:rFonts w:ascii="Times New Roman" w:hAnsi="Times New Roman" w:cs="Times New Roman"/>
        </w:rPr>
      </w:pPr>
    </w:p>
    <w:p w14:paraId="0C2E3CC3"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eastAsia="Calibri" w:hAnsi="Times New Roman" w:cs="Times New Roman"/>
          <w:b/>
          <w:bCs/>
        </w:rPr>
        <w:t xml:space="preserve">Figure 9. </w:t>
      </w:r>
      <w:r w:rsidRPr="00966FED">
        <w:rPr>
          <w:rFonts w:ascii="Times New Roman" w:eastAsia="Calibri" w:hAnsi="Times New Roman" w:cs="Times New Roman"/>
        </w:rPr>
        <w:t>Geopolymer coating adhesion test.</w:t>
      </w:r>
    </w:p>
    <w:p w14:paraId="64DDAAE7" w14:textId="77777777" w:rsidR="001D0AFA" w:rsidRPr="00966FED" w:rsidRDefault="001D0AFA" w:rsidP="001D0AFA">
      <w:pPr>
        <w:spacing w:line="240" w:lineRule="auto"/>
        <w:rPr>
          <w:rFonts w:ascii="Times New Roman" w:eastAsia="Calibri" w:hAnsi="Times New Roman" w:cs="Times New Roman"/>
        </w:rPr>
      </w:pPr>
      <w:r w:rsidRPr="00966FED">
        <w:rPr>
          <w:rFonts w:ascii="Times New Roman" w:hAnsi="Times New Roman" w:cs="Times New Roman"/>
          <w:noProof/>
        </w:rPr>
        <w:drawing>
          <wp:inline distT="0" distB="0" distL="0" distR="0" wp14:anchorId="72232217" wp14:editId="48DFCEBB">
            <wp:extent cx="2324451" cy="1949040"/>
            <wp:effectExtent l="0" t="0" r="0" b="0"/>
            <wp:docPr id="213836814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1"/>
                    <a:srcRect l="44685" t="46051" r="2615" b="20808"/>
                    <a:stretch>
                      <a:fillRect/>
                    </a:stretch>
                  </pic:blipFill>
                  <pic:spPr>
                    <a:xfrm>
                      <a:off x="0" y="0"/>
                      <a:ext cx="2324451" cy="1949040"/>
                    </a:xfrm>
                    <a:prstGeom prst="rect">
                      <a:avLst/>
                    </a:prstGeom>
                    <a:ln/>
                  </pic:spPr>
                </pic:pic>
              </a:graphicData>
            </a:graphic>
          </wp:inline>
        </w:drawing>
      </w:r>
    </w:p>
    <w:p w14:paraId="26F24440" w14:textId="77777777" w:rsidR="001D0AFA" w:rsidRPr="00966FED" w:rsidRDefault="001D0AFA" w:rsidP="001D0AFA">
      <w:pPr>
        <w:spacing w:line="240" w:lineRule="auto"/>
        <w:ind w:firstLine="284"/>
        <w:jc w:val="both"/>
        <w:rPr>
          <w:rFonts w:ascii="Times New Roman" w:eastAsia="Calibri" w:hAnsi="Times New Roman" w:cs="Times New Roman"/>
        </w:rPr>
      </w:pPr>
      <w:bookmarkStart w:id="0" w:name="_heading=h.bpo9eyo62qsz" w:colFirst="0" w:colLast="0"/>
      <w:bookmarkEnd w:id="0"/>
      <w:r w:rsidRPr="00966FED">
        <w:rPr>
          <w:rFonts w:ascii="Times New Roman" w:eastAsia="Calibri" w:hAnsi="Times New Roman" w:cs="Times New Roman"/>
        </w:rPr>
        <w:t xml:space="preserve">The thermal decomposition and stability of the GFC were analyzed. For this analysis, the best-performing and least-performing samples were selected to provide a comparative evaluation of their thermal resistance. Examining both extremes allows for a better understanding of the key factors influencing thermal stability, highlighting the effectiveness of the formulation with the highest performance while identifying the weaknesses of the least stable sample. The results of the thermal degradation analysis are presented in Figure 10. </w:t>
      </w:r>
    </w:p>
    <w:p w14:paraId="6EE808E2" w14:textId="32CEDBCA" w:rsidR="001D0AFA" w:rsidRPr="00966FED" w:rsidRDefault="001D0AFA" w:rsidP="001D0AFA">
      <w:pPr>
        <w:rPr>
          <w:rFonts w:ascii="Times New Roman" w:eastAsia="Calibri" w:hAnsi="Times New Roman" w:cs="Times New Roman"/>
        </w:rPr>
      </w:pPr>
      <w:r w:rsidRPr="00966FED">
        <w:rPr>
          <w:rFonts w:ascii="Times New Roman" w:eastAsia="Calibri" w:hAnsi="Times New Roman" w:cs="Times New Roman"/>
          <w:b/>
          <w:bCs/>
        </w:rPr>
        <w:t xml:space="preserve">Figure 10. </w:t>
      </w:r>
      <w:r w:rsidRPr="00966FED">
        <w:rPr>
          <w:rFonts w:ascii="Times New Roman" w:eastAsia="Calibri" w:hAnsi="Times New Roman" w:cs="Times New Roman"/>
        </w:rPr>
        <w:t xml:space="preserve">TG and DTG for </w:t>
      </w:r>
      <w:r w:rsidRPr="00966FED">
        <w:rPr>
          <w:rFonts w:ascii="Times New Roman" w:eastAsia="Calibri" w:hAnsi="Times New Roman" w:cs="Times New Roman"/>
          <w:b/>
          <w:bCs/>
        </w:rPr>
        <w:t>(a)</w:t>
      </w:r>
      <w:r w:rsidRPr="00966FED">
        <w:rPr>
          <w:rFonts w:ascii="Times New Roman" w:eastAsia="Calibri" w:hAnsi="Times New Roman" w:cs="Times New Roman"/>
        </w:rPr>
        <w:t xml:space="preserve"> Sample 1; </w:t>
      </w:r>
      <w:r w:rsidRPr="00966FED">
        <w:rPr>
          <w:rFonts w:ascii="Times New Roman" w:eastAsia="Calibri" w:hAnsi="Times New Roman" w:cs="Times New Roman"/>
          <w:b/>
          <w:bCs/>
        </w:rPr>
        <w:t>(b)</w:t>
      </w:r>
      <w:r w:rsidRPr="00966FED">
        <w:rPr>
          <w:rFonts w:ascii="Times New Roman" w:eastAsia="Calibri" w:hAnsi="Times New Roman" w:cs="Times New Roman"/>
        </w:rPr>
        <w:t xml:space="preserve"> Sample 9</w:t>
      </w:r>
    </w:p>
    <w:tbl>
      <w:tblPr>
        <w:tblW w:w="10052" w:type="dxa"/>
        <w:jc w:val="center"/>
        <w:tblLayout w:type="fixed"/>
        <w:tblLook w:val="0000" w:firstRow="0" w:lastRow="0" w:firstColumn="0" w:lastColumn="0" w:noHBand="0" w:noVBand="0"/>
      </w:tblPr>
      <w:tblGrid>
        <w:gridCol w:w="4835"/>
        <w:gridCol w:w="5217"/>
      </w:tblGrid>
      <w:tr w:rsidR="001D0AFA" w:rsidRPr="00966FED" w14:paraId="69CE7C81" w14:textId="77777777" w:rsidTr="00AC0ED3">
        <w:trPr>
          <w:jc w:val="center"/>
        </w:trPr>
        <w:tc>
          <w:tcPr>
            <w:tcW w:w="4835" w:type="dxa"/>
            <w:vAlign w:val="center"/>
          </w:tcPr>
          <w:p w14:paraId="56A9C8C7"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4D0AB7DF" wp14:editId="2F3CBAFB">
                  <wp:extent cx="3120048" cy="2512539"/>
                  <wp:effectExtent l="0" t="0" r="0" b="0"/>
                  <wp:docPr id="21383681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l="1776" t="3537" r="51522" b="5541"/>
                          <a:stretch>
                            <a:fillRect/>
                          </a:stretch>
                        </pic:blipFill>
                        <pic:spPr>
                          <a:xfrm>
                            <a:off x="0" y="0"/>
                            <a:ext cx="3120048" cy="2512539"/>
                          </a:xfrm>
                          <a:prstGeom prst="rect">
                            <a:avLst/>
                          </a:prstGeom>
                          <a:ln/>
                        </pic:spPr>
                      </pic:pic>
                    </a:graphicData>
                  </a:graphic>
                </wp:inline>
              </w:drawing>
            </w:r>
          </w:p>
        </w:tc>
        <w:tc>
          <w:tcPr>
            <w:tcW w:w="5217" w:type="dxa"/>
            <w:vAlign w:val="center"/>
          </w:tcPr>
          <w:p w14:paraId="4A884BBD"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47DE0846" wp14:editId="2BF03E25">
                  <wp:extent cx="3364041" cy="2501820"/>
                  <wp:effectExtent l="0" t="0" r="0" b="0"/>
                  <wp:docPr id="213836814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l="50016" t="5087" b="5045"/>
                          <a:stretch>
                            <a:fillRect/>
                          </a:stretch>
                        </pic:blipFill>
                        <pic:spPr>
                          <a:xfrm>
                            <a:off x="0" y="0"/>
                            <a:ext cx="3364041" cy="2501820"/>
                          </a:xfrm>
                          <a:prstGeom prst="rect">
                            <a:avLst/>
                          </a:prstGeom>
                          <a:ln/>
                        </pic:spPr>
                      </pic:pic>
                    </a:graphicData>
                  </a:graphic>
                </wp:inline>
              </w:drawing>
            </w:r>
          </w:p>
        </w:tc>
      </w:tr>
    </w:tbl>
    <w:p w14:paraId="4B34598E" w14:textId="77777777" w:rsidR="001D0AFA" w:rsidRPr="00966FED" w:rsidRDefault="001D0AFA" w:rsidP="005F584E">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lastRenderedPageBreak/>
        <w:t xml:space="preserve">In the initial phase of the investigation (30–200°C), Sample 1 exhibited a weight loss of 2.82%, while Sample 9 showed a higher weight loss of 3.67%. This can be attributed to the evaporation of free water, hydrogen-bonded water, and water bonded to silicate molecules formed during the </w:t>
      </w:r>
      <w:proofErr w:type="spellStart"/>
      <w:r w:rsidRPr="00966FED">
        <w:rPr>
          <w:rFonts w:ascii="Times New Roman" w:eastAsia="Calibri" w:hAnsi="Times New Roman" w:cs="Times New Roman"/>
        </w:rPr>
        <w:t>geopolymerization</w:t>
      </w:r>
      <w:proofErr w:type="spellEnd"/>
      <w:r w:rsidRPr="00966FED">
        <w:rPr>
          <w:rFonts w:ascii="Times New Roman" w:eastAsia="Calibri" w:hAnsi="Times New Roman" w:cs="Times New Roman"/>
        </w:rPr>
        <w:t xml:space="preserve"> process </w:t>
      </w:r>
      <w:r w:rsidRPr="00966FED">
        <w:rPr>
          <w:rFonts w:ascii="Times New Roman" w:eastAsia="Calibri" w:hAnsi="Times New Roman" w:cs="Times New Roman"/>
          <w:color w:val="000000"/>
        </w:rPr>
        <w:t>[18], [50]</w:t>
      </w:r>
      <w:r w:rsidRPr="00966FED">
        <w:rPr>
          <w:rFonts w:ascii="Times New Roman" w:eastAsia="Calibri" w:hAnsi="Times New Roman" w:cs="Times New Roman"/>
        </w:rPr>
        <w:t xml:space="preserve">. Additionally, further weight loss can be attributed to the softening stage of solvent vaporization </w:t>
      </w:r>
      <w:r w:rsidRPr="00966FED">
        <w:rPr>
          <w:rFonts w:ascii="Times New Roman" w:eastAsia="Calibri" w:hAnsi="Times New Roman" w:cs="Times New Roman"/>
          <w:color w:val="000000"/>
        </w:rPr>
        <w:t>[51]</w:t>
      </w:r>
      <w:r w:rsidRPr="00966FED">
        <w:rPr>
          <w:rFonts w:ascii="Times New Roman" w:eastAsia="Calibri" w:hAnsi="Times New Roman" w:cs="Times New Roman"/>
        </w:rPr>
        <w:t xml:space="preserve">. </w:t>
      </w:r>
    </w:p>
    <w:p w14:paraId="325C7321"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small weight loss observed in Sample 1 can be correlated with its lower Si/Al ratio, which results in a denser, more rigid structure that retains moisture more effectively and delays decomposition. This can be attributed to the minimal water content evaporated when exposed to fire, thus generating less pressure in the pores and thermal expansion. Since thermal expansion plays a crucial role in enhancing the insulating properties of fire-resistant coatings, this reduced expansion prevents the formation of an effective protective barrier. Consequently, the diminished thermal expansion compromises its fire resistance by allowing greater heat transfer to the underlying substrate.</w:t>
      </w:r>
    </w:p>
    <w:p w14:paraId="1FB98AF6"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In contrast, a higher weight loss was observed for Sample 9. This behavior is associated with endothermic dehydration, which promotes faster intumescence during heat exposure. This result further supports the improved thermal insulation associated with higher Si/Al ratios </w:t>
      </w:r>
      <w:r w:rsidRPr="00966FED">
        <w:rPr>
          <w:rFonts w:ascii="Times New Roman" w:eastAsia="Calibri" w:hAnsi="Times New Roman" w:cs="Times New Roman"/>
          <w:color w:val="000000"/>
        </w:rPr>
        <w:t>[18]</w:t>
      </w:r>
      <w:r w:rsidRPr="00966FED">
        <w:rPr>
          <w:rFonts w:ascii="Times New Roman" w:eastAsia="Calibri" w:hAnsi="Times New Roman" w:cs="Times New Roman"/>
        </w:rPr>
        <w:t xml:space="preserve">. </w:t>
      </w:r>
    </w:p>
    <w:p w14:paraId="2C14CE45"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subsequent stage of the TGA curve (200-500°C), where a weight loss of 32.19% and 25.10% was observed for Sample 1 and Sample 9, respectively, can be attributed to the oxidative degradation of AP [52]. This is depicted as the greater amount of weight loss in Sample 1, which can be attributed to the lower GBC/AP ratio. A lower GBC/AP ratio indicates a higher amount of AP used in the mixture. This results in an increase in oxidative degradation upon exposure to fire, resulting in higher weight loss.  In contrast, Sample 9 with the higher Si/Al ratio allows the formation of a more stable char layer during thermal expansion caused by the evaporation of water and the oxidative degradation of the AP. This stability is due to the 2D linear structure of the geopolymer paste [46], [52], [53]. This characteristic allows for the expansion of the coating during the formation of the intumescent layer, which aids in protecting the substrate from the heat source and increasing the time taken to reach 300°C.</w:t>
      </w:r>
    </w:p>
    <w:p w14:paraId="3539EACF"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The third and final stage of the TGA curve (500-900°C) is attributed to the loss of bound water in the geopolymer matrix. During this phase, the rate of water loss was examined, in which values of 0.01418 (%/°C) for Sample 1 and 0.01429 (%/°C) for Sample 9 were observed. No significant difference in the rate of water loss between the two samples, since the amount of water was held constant across all samples. This region also signifies where the material achieved thermal stability [18].</w:t>
      </w:r>
    </w:p>
    <w:p w14:paraId="09F1D474" w14:textId="77777777" w:rsidR="001D0AFA" w:rsidRPr="00966FED" w:rsidRDefault="001D0AFA" w:rsidP="001D0AFA">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Furthermore, the residual weight of the coating was examined at the end of the experiment, revealing values of 59.33% and 65.53% for Samples 1 and 9, respectively. The lower residual weight for Sample 1 can be attributed to the higher amount of AP that underwent oxidative degradation, and the opposite is true for Sample 9. This lower residual weight indicates that Sample 1 is less stable during thermal degradation. In contrast, the higher residual weight of Sample 9 demonstrates superior thermal performance, implying that it can better withstand high-temperature conditions and has better thermal stability.</w:t>
      </w:r>
    </w:p>
    <w:p w14:paraId="5D069D4D" w14:textId="1E0245CD" w:rsidR="00284348" w:rsidRPr="00966FED" w:rsidRDefault="001D0AFA"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The GFC samples exhibiting the poorest (Sample 1), best (Sample 9), and optimized fire resistance performance were selected for further material characterization and microstructural analysis using scanning electron microscopy </w:t>
      </w:r>
      <w:r w:rsidR="00284348" w:rsidRPr="00966FED">
        <w:rPr>
          <w:rFonts w:ascii="Times New Roman" w:eastAsia="Calibri" w:hAnsi="Times New Roman" w:cs="Times New Roman"/>
        </w:rPr>
        <w:t xml:space="preserve">(SEM) at magnifications of x1000 and x8000. The SEM observations were interpreted based on observable microstructural features such as crack formation, particle distribution, and pore structure within the coating matrix. Figure 11 shows the SEM micrographs of the GFC samples before the fire resistance test. The SEM micrographs of Sample 1 show a relatively uniform matrix with fewer visible unreacted aluminosilicate particles. This observation is consistent with the lower Si/Al ratio, which may promote greater dissolution of precursor materials during </w:t>
      </w:r>
      <w:proofErr w:type="spellStart"/>
      <w:r w:rsidR="00284348" w:rsidRPr="00966FED">
        <w:rPr>
          <w:rFonts w:ascii="Times New Roman" w:eastAsia="Calibri" w:hAnsi="Times New Roman" w:cs="Times New Roman"/>
        </w:rPr>
        <w:t>geopolymerization</w:t>
      </w:r>
      <w:proofErr w:type="spellEnd"/>
      <w:r w:rsidR="00284348" w:rsidRPr="00966FED">
        <w:rPr>
          <w:rFonts w:ascii="Times New Roman" w:eastAsia="Calibri" w:hAnsi="Times New Roman" w:cs="Times New Roman"/>
        </w:rPr>
        <w:t xml:space="preserve">. Additionally, it can also be attributed to the lower GBC/AP ratio, which indicates that the GBC was more effectively mixed with the AP, resulting in a more uniform surface. However, despite the smoother texture, visible cracks were present as shown in Figures 11a and 11b. This can be attributed to its lower Si/Al ratio, which makes the coating more rigid. This behavior is attributed to the lower Si/Al ratio, which results in a more rigid matrix with reduced resistance to thermal cracking. These cracks facilitate heat transfer to the substrate, thereby reducing fire resistance [11].  </w:t>
      </w:r>
    </w:p>
    <w:p w14:paraId="61CD853D"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In contrast, Sample 9 exhibited a surface containing a greater number of visible particles and microstructural heterogeneities, as shown in Figures 11c and 11d. These features may be associated with incomplete dissolution </w:t>
      </w:r>
      <w:r w:rsidRPr="00966FED">
        <w:rPr>
          <w:rFonts w:ascii="Times New Roman" w:eastAsia="Calibri" w:hAnsi="Times New Roman" w:cs="Times New Roman"/>
        </w:rPr>
        <w:lastRenderedPageBreak/>
        <w:t xml:space="preserve">of aluminosilicate precursors at higher Si/Al and GBC/AP ratios, resulting in the presence of residual particles within the coating matrix. That is, the aluminosilicate precursors used were not fully dissolved in the AA solution prior to mixing with the AP. Despite the presence of these residual particles, the coating exhibited improved fire resistance, likely due to the formation of a more stable geopolymer network and char layer during thermal exposure [18]. </w:t>
      </w:r>
    </w:p>
    <w:p w14:paraId="247D4F13"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Figures 11e and 11f show that the optimized GFC sample exhibited a more homogeneous microstructure with fewer visible unreacted particles and reduced microcrack formation. Aside from a high Si/Al ratio and low GBC/AP ratio. This improvement in homogeneity and structural integrity can also be attributed to the addition of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which acts as a filler material, occupying voids within the geopolymer matrix and enhancing overall compactness.  The denser microstructure of the optimized coating promotes the formation of a stronger char layer, thereby delaying heat penetration to the substrate [47], [48].</w:t>
      </w:r>
    </w:p>
    <w:p w14:paraId="764F648A" w14:textId="2E9FC4D5"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After the samples were directly exposed to fire during the fire resistance test, the upper surface of the coating was analyzed to characterize its surface morphology. Figure 12 shows the SEM micrographs of the residue of the poorest (Sample 1), best (Sample 9), and optimized GFC samples after the fire resistance test at magnifications of 1000x and 8000x. The porosity of the GFC samples plays an important role in the formation of the char layer of the coating, which significantly influences the fire resistance performance of the coating. A porous structure reduces heat transfer between the fire source and the underlying substrate [54]. The presence of pores can be attributed to the rapid evaporation of water and the decomposition of volatile compounds within the coating during heat exposure [18], [55]. During the evaporation process of the free water in the coating, it escapes, creating a porous layer that acts as a pathway for the gas to escape. Furthermore, the evaporation of water molecules induces swelling of the coating, thereby enhancing its intumescent properties [56]. </w:t>
      </w:r>
    </w:p>
    <w:p w14:paraId="5ED0FDC3"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 xml:space="preserve">In Sample 1, shown in Figure 12a, SEM images clearly show the presence of wide cracks and large fissures within the char layer. The observed cracks in these samples are attributed to their lower Si/Al ratios. Lower Si/Al ratios produce a more rigid and less elastic coating structure. Reduced elasticity limits the coating’s ability to expand during thermal exposure, causing stress-induced fractures to widen as the material swells due to the escaping water vapor and volatile compounds [11]. Additionally, a lower Si/Al ratio results in shrinkage of the geopolymer matrix upon exposure to high-temperature as previously stated [44], [45]. Furthermore, this can also be attributed to its low GBC/AP ratio. A higher GBC/AP ratio means higher AP content, resulting in a higher number of volatile compounds decomposing [18], [43]. The presence of these cracks facilitates heat penetration, thereby reducing their fire resistance. </w:t>
      </w:r>
    </w:p>
    <w:p w14:paraId="12A416F5" w14:textId="77777777" w:rsidR="00284348" w:rsidRPr="00966FED" w:rsidRDefault="00284348" w:rsidP="00284348">
      <w:pPr>
        <w:spacing w:line="240" w:lineRule="auto"/>
        <w:ind w:firstLine="284"/>
        <w:jc w:val="both"/>
        <w:rPr>
          <w:rFonts w:ascii="Times New Roman" w:eastAsia="Calibri" w:hAnsi="Times New Roman" w:cs="Times New Roman"/>
        </w:rPr>
      </w:pPr>
      <w:r w:rsidRPr="00966FED">
        <w:rPr>
          <w:rFonts w:ascii="Times New Roman" w:eastAsia="Calibri" w:hAnsi="Times New Roman" w:cs="Times New Roman"/>
        </w:rPr>
        <w:t>In contrast, Sample 9, shown in Figures 12c and 12d, exhibited a char layer containing smaller and less extensive cracks compared to Sample 1. This can be attributed to its higher Si/Al ratio and GBC/AP ratio. A high Si/Al ratio increases the elasticity of the coating and, at the same time, produces a more compact gel structure. This is attributed to the excellent dimensional stability of a higher Si/Al ratio when exposed to high temperatures. Thus, allowing the formation of a stronger intumescent char layer [57]. The increased GBC/AP ratio reduces the amount of AP in the formulation, thereby lowering the concentration of volatile compounds that decompose upon exposure to fire. These result in a more thermally stable coating with improved fire resistance.</w:t>
      </w:r>
    </w:p>
    <w:p w14:paraId="399DC362" w14:textId="3C1164CF" w:rsidR="001D0AFA" w:rsidRPr="00966FED" w:rsidRDefault="00284348" w:rsidP="00284348">
      <w:pPr>
        <w:spacing w:line="240" w:lineRule="auto"/>
        <w:ind w:firstLine="284"/>
        <w:jc w:val="both"/>
        <w:rPr>
          <w:rFonts w:ascii="Times New Roman" w:eastAsia="Calibri" w:hAnsi="Times New Roman" w:cs="Times New Roman"/>
        </w:rPr>
        <w:sectPr w:rsidR="001D0AFA" w:rsidRPr="00966FED" w:rsidSect="009C6A44">
          <w:pgSz w:w="11907" w:h="16840" w:code="9"/>
          <w:pgMar w:top="1080" w:right="605" w:bottom="605" w:left="605" w:header="346" w:footer="403" w:gutter="0"/>
          <w:cols w:space="708"/>
          <w:docGrid w:linePitch="360"/>
        </w:sectPr>
      </w:pPr>
      <w:r w:rsidRPr="00966FED">
        <w:rPr>
          <w:rFonts w:ascii="Times New Roman" w:eastAsia="Calibri" w:hAnsi="Times New Roman" w:cs="Times New Roman"/>
        </w:rPr>
        <w:t xml:space="preserve">Similarly, the optimized GFC, shown in Figures 12e and 12f, exhibited a more continuous char layer with fewer visible cracks and pores, indicating improved structural stability after thermal exposure. This enhanced homogeneity is due to the optimized balance of Si/Al and GBC/AP ratios, along with the incorporation of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The presence of </w:t>
      </w:r>
      <w:proofErr w:type="spellStart"/>
      <w:r w:rsidRPr="00966FED">
        <w:rPr>
          <w:rFonts w:ascii="Times New Roman" w:eastAsia="Calibri" w:hAnsi="Times New Roman" w:cs="Times New Roman"/>
        </w:rPr>
        <w:t>nanosilica</w:t>
      </w:r>
      <w:proofErr w:type="spellEnd"/>
      <w:r w:rsidRPr="00966FED">
        <w:rPr>
          <w:rFonts w:ascii="Times New Roman" w:eastAsia="Calibri" w:hAnsi="Times New Roman" w:cs="Times New Roman"/>
        </w:rPr>
        <w:t xml:space="preserve"> enhances the structural integrity of the coating by promoting a more uniform expansion during heat exposure as it fills the voids in the coating matrix. Additionally, it ultimately strengthens the char layer by making it denser and more compact, thus improving its ability to withstand high temperatures, limiting direct heat penetration, and ensuring prolonged protection of the underlying substrate in high-temperature conditions [47], [48]. The combination of these factors demonstrates how the optimized formulation effectively enhances the protective capability of the GFC under extreme conditions.</w:t>
      </w:r>
    </w:p>
    <w:p w14:paraId="2E31FCF0" w14:textId="15030DEE" w:rsidR="001D0AFA" w:rsidRPr="00966FED" w:rsidRDefault="001D0AFA" w:rsidP="001D0AFA">
      <w:pPr>
        <w:rPr>
          <w:rFonts w:ascii="Times New Roman" w:eastAsia="Calibri" w:hAnsi="Times New Roman" w:cs="Times New Roman"/>
        </w:rPr>
      </w:pPr>
      <w:r w:rsidRPr="00966FED">
        <w:rPr>
          <w:rFonts w:ascii="Times New Roman" w:eastAsia="Calibri" w:hAnsi="Times New Roman" w:cs="Times New Roman"/>
          <w:b/>
          <w:bCs/>
        </w:rPr>
        <w:t xml:space="preserve">Figure 11. </w:t>
      </w:r>
      <w:r w:rsidRPr="00966FED">
        <w:rPr>
          <w:rFonts w:ascii="Times New Roman" w:eastAsia="Calibri" w:hAnsi="Times New Roman" w:cs="Times New Roman"/>
        </w:rPr>
        <w:t xml:space="preserve">SEM micrographs of the </w:t>
      </w:r>
      <w:r w:rsidRPr="00966FED">
        <w:rPr>
          <w:rFonts w:ascii="Times New Roman" w:eastAsia="Calibri" w:hAnsi="Times New Roman" w:cs="Times New Roman"/>
          <w:b/>
          <w:bCs/>
        </w:rPr>
        <w:t>(</w:t>
      </w:r>
      <w:proofErr w:type="spellStart"/>
      <w:proofErr w:type="gramStart"/>
      <w:r w:rsidRPr="00966FED">
        <w:rPr>
          <w:rFonts w:ascii="Times New Roman" w:eastAsia="Calibri" w:hAnsi="Times New Roman" w:cs="Times New Roman"/>
          <w:b/>
          <w:bCs/>
        </w:rPr>
        <w:t>a,b</w:t>
      </w:r>
      <w:proofErr w:type="spellEnd"/>
      <w:proofErr w:type="gramEnd"/>
      <w:r w:rsidRPr="00966FED">
        <w:rPr>
          <w:rFonts w:ascii="Times New Roman" w:eastAsia="Calibri" w:hAnsi="Times New Roman" w:cs="Times New Roman"/>
          <w:b/>
          <w:bCs/>
        </w:rPr>
        <w:t>)</w:t>
      </w:r>
      <w:r w:rsidRPr="00966FED">
        <w:rPr>
          <w:rFonts w:ascii="Times New Roman" w:eastAsia="Calibri" w:hAnsi="Times New Roman" w:cs="Times New Roman"/>
        </w:rPr>
        <w:t xml:space="preserve"> poorest (Sample 1), </w:t>
      </w:r>
      <w:r w:rsidRPr="00966FED">
        <w:rPr>
          <w:rFonts w:ascii="Times New Roman" w:eastAsia="Calibri" w:hAnsi="Times New Roman" w:cs="Times New Roman"/>
          <w:b/>
          <w:bCs/>
        </w:rPr>
        <w:t>(</w:t>
      </w:r>
      <w:proofErr w:type="spellStart"/>
      <w:proofErr w:type="gramStart"/>
      <w:r w:rsidRPr="00966FED">
        <w:rPr>
          <w:rFonts w:ascii="Times New Roman" w:eastAsia="Calibri" w:hAnsi="Times New Roman" w:cs="Times New Roman"/>
          <w:b/>
          <w:bCs/>
        </w:rPr>
        <w:t>c,d</w:t>
      </w:r>
      <w:proofErr w:type="spellEnd"/>
      <w:proofErr w:type="gramEnd"/>
      <w:r w:rsidRPr="00966FED">
        <w:rPr>
          <w:rFonts w:ascii="Times New Roman" w:eastAsia="Calibri" w:hAnsi="Times New Roman" w:cs="Times New Roman"/>
          <w:b/>
          <w:bCs/>
        </w:rPr>
        <w:t>)</w:t>
      </w:r>
      <w:r w:rsidRPr="00966FED">
        <w:rPr>
          <w:rFonts w:ascii="Times New Roman" w:eastAsia="Calibri" w:hAnsi="Times New Roman" w:cs="Times New Roman"/>
        </w:rPr>
        <w:t xml:space="preserve"> best (Sample 9), and </w:t>
      </w:r>
      <w:r w:rsidRPr="00966FED">
        <w:rPr>
          <w:rFonts w:ascii="Times New Roman" w:eastAsia="Calibri" w:hAnsi="Times New Roman" w:cs="Times New Roman"/>
          <w:b/>
          <w:bCs/>
        </w:rPr>
        <w:t>(</w:t>
      </w:r>
      <w:proofErr w:type="spellStart"/>
      <w:proofErr w:type="gramStart"/>
      <w:r w:rsidRPr="00966FED">
        <w:rPr>
          <w:rFonts w:ascii="Times New Roman" w:eastAsia="Calibri" w:hAnsi="Times New Roman" w:cs="Times New Roman"/>
          <w:b/>
          <w:bCs/>
        </w:rPr>
        <w:t>e,f</w:t>
      </w:r>
      <w:proofErr w:type="spellEnd"/>
      <w:proofErr w:type="gramEnd"/>
      <w:r w:rsidRPr="00966FED">
        <w:rPr>
          <w:rFonts w:ascii="Times New Roman" w:eastAsia="Calibri" w:hAnsi="Times New Roman" w:cs="Times New Roman"/>
          <w:b/>
          <w:bCs/>
        </w:rPr>
        <w:t>)</w:t>
      </w:r>
      <w:r w:rsidRPr="00966FED">
        <w:rPr>
          <w:rFonts w:ascii="Times New Roman" w:eastAsia="Calibri" w:hAnsi="Times New Roman" w:cs="Times New Roman"/>
        </w:rPr>
        <w:t xml:space="preserve"> optimized GFC samples before fire resistance test at 1000x (left, 10 µm) and 8000x (right, 2 µm) magnifications.</w:t>
      </w:r>
    </w:p>
    <w:tbl>
      <w:tblPr>
        <w:tblW w:w="9152" w:type="dxa"/>
        <w:jc w:val="center"/>
        <w:tblLayout w:type="fixed"/>
        <w:tblLook w:val="0000" w:firstRow="0" w:lastRow="0" w:firstColumn="0" w:lastColumn="0" w:noHBand="0" w:noVBand="0"/>
      </w:tblPr>
      <w:tblGrid>
        <w:gridCol w:w="4454"/>
        <w:gridCol w:w="4698"/>
      </w:tblGrid>
      <w:tr w:rsidR="001D0AFA" w:rsidRPr="00966FED" w14:paraId="4B7904BA" w14:textId="77777777" w:rsidTr="00AC0ED3">
        <w:trPr>
          <w:jc w:val="center"/>
        </w:trPr>
        <w:tc>
          <w:tcPr>
            <w:tcW w:w="4454" w:type="dxa"/>
            <w:vAlign w:val="center"/>
          </w:tcPr>
          <w:p w14:paraId="4EC1548F" w14:textId="3E6D409F" w:rsidR="001D0AFA" w:rsidRPr="00966FED" w:rsidRDefault="00966FED"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Calibri" w:hAnsi="Times New Roman" w:cs="Times New Roman"/>
                <w:noProof/>
              </w:rPr>
              <w:lastRenderedPageBreak/>
              <mc:AlternateContent>
                <mc:Choice Requires="wps">
                  <w:drawing>
                    <wp:anchor distT="45720" distB="45720" distL="114300" distR="114300" simplePos="0" relativeHeight="251708416" behindDoc="0" locked="0" layoutInCell="1" hidden="0" allowOverlap="1" wp14:anchorId="08EAEBA8" wp14:editId="34C9C05F">
                      <wp:simplePos x="0" y="0"/>
                      <wp:positionH relativeFrom="page">
                        <wp:posOffset>1850390</wp:posOffset>
                      </wp:positionH>
                      <wp:positionV relativeFrom="page">
                        <wp:posOffset>1529080</wp:posOffset>
                      </wp:positionV>
                      <wp:extent cx="669925" cy="387350"/>
                      <wp:effectExtent l="0" t="0" r="0" b="0"/>
                      <wp:wrapNone/>
                      <wp:docPr id="2138368087" name="Rectangle 2138368087"/>
                      <wp:cNvGraphicFramePr/>
                      <a:graphic xmlns:a="http://schemas.openxmlformats.org/drawingml/2006/main">
                        <a:graphicData uri="http://schemas.microsoft.com/office/word/2010/wordprocessingShape">
                          <wps:wsp>
                            <wps:cNvSpPr/>
                            <wps:spPr>
                              <a:xfrm>
                                <a:off x="0" y="0"/>
                                <a:ext cx="669925" cy="387350"/>
                              </a:xfrm>
                              <a:prstGeom prst="rect">
                                <a:avLst/>
                              </a:prstGeom>
                              <a:noFill/>
                              <a:ln>
                                <a:noFill/>
                              </a:ln>
                            </wps:spPr>
                            <wps:txbx>
                              <w:txbxContent>
                                <w:p w14:paraId="60A7BE09" w14:textId="77777777" w:rsidR="00966FED" w:rsidRDefault="00966FED" w:rsidP="00966FED">
                                  <w:pPr>
                                    <w:jc w:val="center"/>
                                    <w:textDirection w:val="btLr"/>
                                  </w:pPr>
                                  <w:r>
                                    <w:rPr>
                                      <w:color w:val="FFFF00"/>
                                    </w:rPr>
                                    <w:t>crack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EAEBA8" id="Rectangle 2138368087" o:spid="_x0000_s1036" style="position:absolute;left:0;text-align:left;margin-left:145.7pt;margin-top:120.4pt;width:52.75pt;height:30.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" filled="f" stroked="f">
                      <v:textbox inset="2.53958mm,1.2694mm,2.53958mm,1.2694mm">
                        <w:txbxContent>
                          <w:p w14:paraId="60A7BE09" w14:textId="77777777" w:rsidR="00966FED" w:rsidRDefault="00966FED" w:rsidP="00966FED">
                            <w:pPr>
                              <w:jc w:val="center"/>
                              <w:textDirection w:val="btLr"/>
                            </w:pPr>
                            <w:r>
                              <w:rPr>
                                <w:color w:val="FFFF00"/>
                              </w:rPr>
                              <w:t>crack</w:t>
                            </w:r>
                          </w:p>
                        </w:txbxContent>
                      </v:textbox>
                      <w10:wrap anchorx="page" anchory="page"/>
                    </v:rect>
                  </w:pict>
                </mc:Fallback>
              </mc:AlternateContent>
            </w:r>
            <w:r w:rsidR="001D0AFA" w:rsidRPr="00966FED">
              <w:rPr>
                <w:rFonts w:ascii="Times New Roman" w:eastAsia="Palatino Linotype" w:hAnsi="Times New Roman" w:cs="Times New Roman"/>
                <w:noProof/>
                <w:color w:val="000000"/>
                <w:sz w:val="20"/>
                <w:szCs w:val="20"/>
              </w:rPr>
              <w:drawing>
                <wp:inline distT="0" distB="0" distL="0" distR="0" wp14:anchorId="629AF74C" wp14:editId="25CA55B6">
                  <wp:extent cx="2666274" cy="2133020"/>
                  <wp:effectExtent l="0" t="0" r="0" b="0"/>
                  <wp:docPr id="213836814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3"/>
                          <a:srcRect/>
                          <a:stretch>
                            <a:fillRect/>
                          </a:stretch>
                        </pic:blipFill>
                        <pic:spPr>
                          <a:xfrm>
                            <a:off x="0" y="0"/>
                            <a:ext cx="2666274" cy="2133020"/>
                          </a:xfrm>
                          <a:prstGeom prst="rect">
                            <a:avLst/>
                          </a:prstGeom>
                          <a:ln/>
                        </pic:spPr>
                      </pic:pic>
                    </a:graphicData>
                  </a:graphic>
                </wp:inline>
              </w:drawing>
            </w:r>
            <w:r w:rsidR="001D0AFA" w:rsidRPr="00966FED">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2B542AAE" wp14:editId="56F6259C">
                      <wp:simplePos x="0" y="0"/>
                      <wp:positionH relativeFrom="column">
                        <wp:posOffset>926465</wp:posOffset>
                      </wp:positionH>
                      <wp:positionV relativeFrom="paragraph">
                        <wp:posOffset>878840</wp:posOffset>
                      </wp:positionV>
                      <wp:extent cx="738505" cy="738505"/>
                      <wp:effectExtent l="0" t="0" r="0" b="0"/>
                      <wp:wrapNone/>
                      <wp:docPr id="2138368084" name="Oval 2138368084"/>
                      <wp:cNvGraphicFramePr/>
                      <a:graphic xmlns:a="http://schemas.openxmlformats.org/drawingml/2006/main">
                        <a:graphicData uri="http://schemas.microsoft.com/office/word/2010/wordprocessingShape">
                          <wps:wsp>
                            <wps:cNvSpPr/>
                            <wps:spPr>
                              <a:xfrm>
                                <a:off x="4986273" y="3420273"/>
                                <a:ext cx="719455" cy="719455"/>
                              </a:xfrm>
                              <a:prstGeom prst="ellipse">
                                <a:avLst/>
                              </a:prstGeom>
                              <a:noFill/>
                              <a:ln w="19050" cap="flat" cmpd="sng">
                                <a:solidFill>
                                  <a:srgbClr val="FFFF00"/>
                                </a:solidFill>
                                <a:prstDash val="dash"/>
                                <a:miter lim="800000"/>
                                <a:headEnd type="none" w="sm" len="sm"/>
                                <a:tailEnd type="none" w="sm" len="sm"/>
                              </a:ln>
                            </wps:spPr>
                            <wps:txbx>
                              <w:txbxContent>
                                <w:p w14:paraId="623AA9D7" w14:textId="77777777" w:rsidR="001D0AFA" w:rsidRDefault="001D0AFA" w:rsidP="001D0AFA">
                                  <w:pPr>
                                    <w:textDirection w:val="btLr"/>
                                  </w:pPr>
                                </w:p>
                              </w:txbxContent>
                            </wps:txbx>
                            <wps:bodyPr spcFirstLastPara="1" wrap="square" lIns="91425" tIns="91425" rIns="91425" bIns="91425" anchor="ctr" anchorCtr="0">
                              <a:noAutofit/>
                            </wps:bodyPr>
                          </wps:wsp>
                        </a:graphicData>
                      </a:graphic>
                    </wp:anchor>
                  </w:drawing>
                </mc:Choice>
                <mc:Fallback>
                  <w:pict>
                    <v:oval w14:anchorId="2B542AAE" id="Oval 2138368084" o:spid="_x0000_s1037" style="position:absolute;left:0;text-align:left;margin-left:72.95pt;margin-top:69.2pt;width:58.15pt;height:5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" filled="f" strokecolor="yellow" strokeweight="1.5pt">
                      <v:stroke dashstyle="dash" startarrowwidth="narrow" startarrowlength="short" endarrowwidth="narrow" endarrowlength="short" joinstyle="miter"/>
                      <v:textbox inset="2.53958mm,2.53958mm,2.53958mm,2.53958mm">
                        <w:txbxContent>
                          <w:p w14:paraId="623AA9D7" w14:textId="77777777" w:rsidR="001D0AFA" w:rsidRDefault="001D0AFA" w:rsidP="001D0AFA">
                            <w:pPr>
                              <w:textDirection w:val="btLr"/>
                            </w:pPr>
                          </w:p>
                        </w:txbxContent>
                      </v:textbox>
                    </v:oval>
                  </w:pict>
                </mc:Fallback>
              </mc:AlternateContent>
            </w:r>
            <w:r w:rsidR="001D0AFA" w:rsidRPr="00966FED">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3C0DA7B1" wp14:editId="72E6F8DB">
                      <wp:simplePos x="0" y="0"/>
                      <wp:positionH relativeFrom="column">
                        <wp:posOffset>1657985</wp:posOffset>
                      </wp:positionH>
                      <wp:positionV relativeFrom="paragraph">
                        <wp:posOffset>1153795</wp:posOffset>
                      </wp:positionV>
                      <wp:extent cx="1511300" cy="57785"/>
                      <wp:effectExtent l="0" t="0" r="0" b="0"/>
                      <wp:wrapNone/>
                      <wp:docPr id="2138368078" name="Straight Arrow Connector 2138368078"/>
                      <wp:cNvGraphicFramePr/>
                      <a:graphic xmlns:a="http://schemas.openxmlformats.org/drawingml/2006/main">
                        <a:graphicData uri="http://schemas.microsoft.com/office/word/2010/wordprocessingShape">
                          <wps:wsp>
                            <wps:cNvCnPr/>
                            <wps:spPr>
                              <a:xfrm rot="10800000" flipH="1">
                                <a:off x="4596700" y="3757458"/>
                                <a:ext cx="1498600" cy="4508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type w14:anchorId="1F456F55" id="_x0000_t32" coordsize="21600,21600" o:spt="32" o:oned="t" path="m,l21600,21600e" filled="f">
                      <v:path arrowok="t" fillok="f" o:connecttype="none"/>
                      <o:lock v:ext="edit" shapetype="t"/>
                    </v:shapetype>
                    <v:shape id="Straight Arrow Connector 2138368078" o:spid="_x0000_s1026" type="#_x0000_t32" style="position:absolute;margin-left:130.55pt;margin-top:90.85pt;width:119pt;height:4.55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" strokecolor="yellow" strokeweight="1pt">
                      <v:stroke dashstyle="dash" startarrowwidth="narrow" startarrowlength="short" endarrow="block" joinstyle="miter"/>
                    </v:shape>
                  </w:pict>
                </mc:Fallback>
              </mc:AlternateContent>
            </w:r>
            <w:r w:rsidR="001D0AFA" w:rsidRPr="00966FED">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21E5D54F" wp14:editId="0934F2F9">
                      <wp:simplePos x="0" y="0"/>
                      <wp:positionH relativeFrom="column">
                        <wp:posOffset>1458595</wp:posOffset>
                      </wp:positionH>
                      <wp:positionV relativeFrom="paragraph">
                        <wp:posOffset>1737995</wp:posOffset>
                      </wp:positionV>
                      <wp:extent cx="436880" cy="68580"/>
                      <wp:effectExtent l="0" t="0" r="0" b="0"/>
                      <wp:wrapNone/>
                      <wp:docPr id="2138368104" name="Straight Arrow Connector 2138368104"/>
                      <wp:cNvGraphicFramePr/>
                      <a:graphic xmlns:a="http://schemas.openxmlformats.org/drawingml/2006/main">
                        <a:graphicData uri="http://schemas.microsoft.com/office/word/2010/wordprocessingShape">
                          <wps:wsp>
                            <wps:cNvCnPr/>
                            <wps:spPr>
                              <a:xfrm flipH="1">
                                <a:off x="5133910" y="3752060"/>
                                <a:ext cx="424180" cy="5588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35E9030" id="Straight Arrow Connector 2138368104" o:spid="_x0000_s1026" type="#_x0000_t32" style="position:absolute;margin-left:114.85pt;margin-top:136.85pt;width:34.4pt;height:5.4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" strokecolor="yellow" strokeweight="1pt">
                      <v:stroke dashstyle="dash" startarrowwidth="narrow" startarrowlength="short" endarrow="block" joinstyle="miter"/>
                    </v:shape>
                  </w:pict>
                </mc:Fallback>
              </mc:AlternateContent>
            </w:r>
          </w:p>
        </w:tc>
        <w:tc>
          <w:tcPr>
            <w:tcW w:w="4698" w:type="dxa"/>
            <w:vAlign w:val="center"/>
          </w:tcPr>
          <w:p w14:paraId="69D5D5D4" w14:textId="0054F685" w:rsidR="001D0AFA" w:rsidRPr="00966FED" w:rsidRDefault="00966FED"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Calibri" w:hAnsi="Times New Roman" w:cs="Times New Roman"/>
                <w:noProof/>
              </w:rPr>
              <mc:AlternateContent>
                <mc:Choice Requires="wps">
                  <w:drawing>
                    <wp:anchor distT="45720" distB="45720" distL="114300" distR="114300" simplePos="0" relativeHeight="251710464" behindDoc="0" locked="0" layoutInCell="1" hidden="0" allowOverlap="1" wp14:anchorId="4D4158D3" wp14:editId="369289CB">
                      <wp:simplePos x="0" y="0"/>
                      <wp:positionH relativeFrom="page">
                        <wp:posOffset>2280285</wp:posOffset>
                      </wp:positionH>
                      <wp:positionV relativeFrom="page">
                        <wp:posOffset>1009015</wp:posOffset>
                      </wp:positionV>
                      <wp:extent cx="660400" cy="408305"/>
                      <wp:effectExtent l="0" t="0" r="0" b="0"/>
                      <wp:wrapNone/>
                      <wp:docPr id="2138368117" name="Rectangle 2138368117"/>
                      <wp:cNvGraphicFramePr/>
                      <a:graphic xmlns:a="http://schemas.openxmlformats.org/drawingml/2006/main">
                        <a:graphicData uri="http://schemas.microsoft.com/office/word/2010/wordprocessingShape">
                          <wps:wsp>
                            <wps:cNvSpPr/>
                            <wps:spPr>
                              <a:xfrm>
                                <a:off x="0" y="0"/>
                                <a:ext cx="660400" cy="408305"/>
                              </a:xfrm>
                              <a:prstGeom prst="rect">
                                <a:avLst/>
                              </a:prstGeom>
                              <a:noFill/>
                              <a:ln>
                                <a:noFill/>
                              </a:ln>
                            </wps:spPr>
                            <wps:txbx>
                              <w:txbxContent>
                                <w:p w14:paraId="313A3150" w14:textId="77777777" w:rsidR="00966FED" w:rsidRDefault="00966FED" w:rsidP="00966FED">
                                  <w:pPr>
                                    <w:jc w:val="center"/>
                                    <w:textDirection w:val="btLr"/>
                                  </w:pPr>
                                  <w:r>
                                    <w:rPr>
                                      <w:color w:val="FFFF00"/>
                                    </w:rPr>
                                    <w:t>crack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4158D3" id="Rectangle 2138368117" o:spid="_x0000_s1038" style="position:absolute;left:0;text-align:left;margin-left:179.55pt;margin-top:79.45pt;width:52pt;height:32.1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" filled="f" stroked="f">
                      <v:textbox inset="2.53958mm,1.2694mm,2.53958mm,1.2694mm">
                        <w:txbxContent>
                          <w:p w14:paraId="313A3150" w14:textId="77777777" w:rsidR="00966FED" w:rsidRDefault="00966FED" w:rsidP="00966FED">
                            <w:pPr>
                              <w:jc w:val="center"/>
                              <w:textDirection w:val="btLr"/>
                            </w:pPr>
                            <w:r>
                              <w:rPr>
                                <w:color w:val="FFFF00"/>
                              </w:rPr>
                              <w:t>crack</w:t>
                            </w:r>
                          </w:p>
                        </w:txbxContent>
                      </v:textbox>
                      <w10:wrap anchorx="page" anchory="page"/>
                    </v:rect>
                  </w:pict>
                </mc:Fallback>
              </mc:AlternateContent>
            </w:r>
            <w:r w:rsidR="001D0AFA" w:rsidRPr="00966FED">
              <w:rPr>
                <w:rFonts w:ascii="Times New Roman" w:eastAsia="Palatino Linotype" w:hAnsi="Times New Roman" w:cs="Times New Roman"/>
                <w:noProof/>
                <w:color w:val="000000"/>
                <w:sz w:val="20"/>
                <w:szCs w:val="20"/>
              </w:rPr>
              <w:drawing>
                <wp:inline distT="0" distB="0" distL="0" distR="0" wp14:anchorId="4F59E192" wp14:editId="462F70D6">
                  <wp:extent cx="2749258" cy="2199407"/>
                  <wp:effectExtent l="0" t="0" r="0" b="0"/>
                  <wp:docPr id="213836815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4"/>
                          <a:srcRect/>
                          <a:stretch>
                            <a:fillRect/>
                          </a:stretch>
                        </pic:blipFill>
                        <pic:spPr>
                          <a:xfrm>
                            <a:off x="0" y="0"/>
                            <a:ext cx="2749258" cy="2199407"/>
                          </a:xfrm>
                          <a:prstGeom prst="rect">
                            <a:avLst/>
                          </a:prstGeom>
                          <a:ln/>
                        </pic:spPr>
                      </pic:pic>
                    </a:graphicData>
                  </a:graphic>
                </wp:inline>
              </w:drawing>
            </w:r>
            <w:r w:rsidR="001D0AFA" w:rsidRPr="00966FED">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25089092" wp14:editId="549EE7D0">
                      <wp:simplePos x="0" y="0"/>
                      <wp:positionH relativeFrom="column">
                        <wp:posOffset>1332230</wp:posOffset>
                      </wp:positionH>
                      <wp:positionV relativeFrom="paragraph">
                        <wp:posOffset>511809</wp:posOffset>
                      </wp:positionV>
                      <wp:extent cx="218440" cy="480060"/>
                      <wp:effectExtent l="0" t="0" r="0" b="0"/>
                      <wp:wrapNone/>
                      <wp:docPr id="2138368090" name="Straight Arrow Connector 2138368090"/>
                      <wp:cNvGraphicFramePr/>
                      <a:graphic xmlns:a="http://schemas.openxmlformats.org/drawingml/2006/main">
                        <a:graphicData uri="http://schemas.microsoft.com/office/word/2010/wordprocessingShape">
                          <wps:wsp>
                            <wps:cNvCnPr/>
                            <wps:spPr>
                              <a:xfrm flipH="1">
                                <a:off x="5243130" y="3546320"/>
                                <a:ext cx="205740" cy="46736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57F387C1" id="Straight Arrow Connector 2138368090" o:spid="_x0000_s1026" type="#_x0000_t32" style="position:absolute;margin-left:104.9pt;margin-top:40.3pt;width:17.2pt;height:37.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" strokecolor="yellow" strokeweight="1pt">
                      <v:stroke dashstyle="dash" startarrowwidth="narrow" startarrowlength="short" endarrow="block" joinstyle="miter"/>
                    </v:shape>
                  </w:pict>
                </mc:Fallback>
              </mc:AlternateContent>
            </w:r>
            <w:r w:rsidR="001D0AFA" w:rsidRPr="00966FED">
              <w:rPr>
                <w:rFonts w:ascii="Times New Roman" w:hAnsi="Times New Roman" w:cs="Times New Roman"/>
                <w:noProof/>
              </w:rPr>
              <mc:AlternateContent>
                <mc:Choice Requires="wps">
                  <w:drawing>
                    <wp:anchor distT="45720" distB="45720" distL="114300" distR="114300" simplePos="0" relativeHeight="251676672" behindDoc="0" locked="0" layoutInCell="1" hidden="0" allowOverlap="1" wp14:anchorId="6F2FE7EF" wp14:editId="1BE19FB5">
                      <wp:simplePos x="0" y="0"/>
                      <wp:positionH relativeFrom="column">
                        <wp:posOffset>895032</wp:posOffset>
                      </wp:positionH>
                      <wp:positionV relativeFrom="paragraph">
                        <wp:posOffset>206058</wp:posOffset>
                      </wp:positionV>
                      <wp:extent cx="1431925" cy="1414145"/>
                      <wp:effectExtent l="0" t="0" r="0" b="0"/>
                      <wp:wrapNone/>
                      <wp:docPr id="2138368110" name="Rectangle 2138368110"/>
                      <wp:cNvGraphicFramePr/>
                      <a:graphic xmlns:a="http://schemas.openxmlformats.org/drawingml/2006/main">
                        <a:graphicData uri="http://schemas.microsoft.com/office/word/2010/wordprocessingShape">
                          <wps:wsp>
                            <wps:cNvSpPr/>
                            <wps:spPr>
                              <a:xfrm>
                                <a:off x="4634800" y="3077690"/>
                                <a:ext cx="1422400" cy="1404620"/>
                              </a:xfrm>
                              <a:prstGeom prst="rect">
                                <a:avLst/>
                              </a:prstGeom>
                              <a:noFill/>
                              <a:ln>
                                <a:noFill/>
                              </a:ln>
                            </wps:spPr>
                            <wps:txbx>
                              <w:txbxContent>
                                <w:p w14:paraId="7F927C7C" w14:textId="77777777" w:rsidR="001D0AFA" w:rsidRDefault="001D0AFA" w:rsidP="001D0AFA">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6F2FE7EF" id="Rectangle 2138368110" o:spid="_x0000_s1039" style="position:absolute;left:0;text-align:left;margin-left:70.45pt;margin-top:16.25pt;width:112.7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" filled="f" stroked="f">
                      <v:textbox inset="2.53958mm,1.2694mm,2.53958mm,1.2694mm">
                        <w:txbxContent>
                          <w:p w14:paraId="7F927C7C" w14:textId="77777777" w:rsidR="001D0AFA" w:rsidRDefault="001D0AFA" w:rsidP="001D0AFA">
                            <w:pPr>
                              <w:jc w:val="center"/>
                              <w:textDirection w:val="btLr"/>
                            </w:pPr>
                            <w:r>
                              <w:rPr>
                                <w:color w:val="FFFF00"/>
                              </w:rPr>
                              <w:t>Geopolymer matrix</w:t>
                            </w:r>
                          </w:p>
                        </w:txbxContent>
                      </v:textbox>
                    </v:rect>
                  </w:pict>
                </mc:Fallback>
              </mc:AlternateContent>
            </w:r>
            <w:r w:rsidR="001D0AFA" w:rsidRPr="00966FED">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39B89B2D" wp14:editId="7A25DE91">
                      <wp:simplePos x="0" y="0"/>
                      <wp:positionH relativeFrom="column">
                        <wp:posOffset>1744980</wp:posOffset>
                      </wp:positionH>
                      <wp:positionV relativeFrom="paragraph">
                        <wp:posOffset>1264285</wp:posOffset>
                      </wp:positionV>
                      <wp:extent cx="620395" cy="187325"/>
                      <wp:effectExtent l="0" t="0" r="0" b="0"/>
                      <wp:wrapNone/>
                      <wp:docPr id="2138368088" name="Straight Arrow Connector 2138368088"/>
                      <wp:cNvGraphicFramePr/>
                      <a:graphic xmlns:a="http://schemas.openxmlformats.org/drawingml/2006/main">
                        <a:graphicData uri="http://schemas.microsoft.com/office/word/2010/wordprocessingShape">
                          <wps:wsp>
                            <wps:cNvCnPr/>
                            <wps:spPr>
                              <a:xfrm flipH="1">
                                <a:off x="5042153" y="3692688"/>
                                <a:ext cx="607695" cy="17462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7CAE9CBF" id="Straight Arrow Connector 2138368088" o:spid="_x0000_s1026" type="#_x0000_t32" style="position:absolute;margin-left:137.4pt;margin-top:99.55pt;width:48.85pt;height:14.7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" strokecolor="yellow" strokeweight="1pt">
                      <v:stroke dashstyle="dash" startarrowwidth="narrow" startarrowlength="short" endarrow="block" joinstyle="miter"/>
                    </v:shape>
                  </w:pict>
                </mc:Fallback>
              </mc:AlternateContent>
            </w:r>
          </w:p>
        </w:tc>
      </w:tr>
      <w:tr w:rsidR="001D0AFA" w:rsidRPr="00966FED" w14:paraId="534EB035" w14:textId="77777777" w:rsidTr="00AC0ED3">
        <w:trPr>
          <w:jc w:val="center"/>
        </w:trPr>
        <w:tc>
          <w:tcPr>
            <w:tcW w:w="4454" w:type="dxa"/>
            <w:vAlign w:val="center"/>
          </w:tcPr>
          <w:p w14:paraId="7CB71DD2"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19D85CFC" wp14:editId="1C73F036">
                  <wp:extent cx="2682045" cy="2145636"/>
                  <wp:effectExtent l="0" t="0" r="0" b="0"/>
                  <wp:docPr id="213836815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5"/>
                          <a:srcRect/>
                          <a:stretch>
                            <a:fillRect/>
                          </a:stretch>
                        </pic:blipFill>
                        <pic:spPr>
                          <a:xfrm>
                            <a:off x="0" y="0"/>
                            <a:ext cx="2682045" cy="2145636"/>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26D31818" wp14:editId="0B500758">
                      <wp:simplePos x="0" y="0"/>
                      <wp:positionH relativeFrom="column">
                        <wp:posOffset>1054100</wp:posOffset>
                      </wp:positionH>
                      <wp:positionV relativeFrom="paragraph">
                        <wp:posOffset>640080</wp:posOffset>
                      </wp:positionV>
                      <wp:extent cx="738505" cy="738505"/>
                      <wp:effectExtent l="0" t="0" r="0" b="0"/>
                      <wp:wrapNone/>
                      <wp:docPr id="2138368111" name="Oval 2138368111"/>
                      <wp:cNvGraphicFramePr/>
                      <a:graphic xmlns:a="http://schemas.openxmlformats.org/drawingml/2006/main">
                        <a:graphicData uri="http://schemas.microsoft.com/office/word/2010/wordprocessingShape">
                          <wps:wsp>
                            <wps:cNvSpPr/>
                            <wps:spPr>
                              <a:xfrm>
                                <a:off x="4986273" y="3420273"/>
                                <a:ext cx="719455" cy="719455"/>
                              </a:xfrm>
                              <a:prstGeom prst="ellipse">
                                <a:avLst/>
                              </a:prstGeom>
                              <a:noFill/>
                              <a:ln w="19050" cap="flat" cmpd="sng">
                                <a:solidFill>
                                  <a:srgbClr val="FFFF00"/>
                                </a:solidFill>
                                <a:prstDash val="dash"/>
                                <a:miter lim="800000"/>
                                <a:headEnd type="none" w="sm" len="sm"/>
                                <a:tailEnd type="none" w="sm" len="sm"/>
                              </a:ln>
                            </wps:spPr>
                            <wps:txbx>
                              <w:txbxContent>
                                <w:p w14:paraId="31BEAA04" w14:textId="77777777" w:rsidR="001D0AFA" w:rsidRDefault="001D0AFA" w:rsidP="001D0AFA">
                                  <w:pPr>
                                    <w:textDirection w:val="btLr"/>
                                  </w:pPr>
                                </w:p>
                              </w:txbxContent>
                            </wps:txbx>
                            <wps:bodyPr spcFirstLastPara="1" wrap="square" lIns="91425" tIns="91425" rIns="91425" bIns="91425" anchor="ctr" anchorCtr="0">
                              <a:noAutofit/>
                            </wps:bodyPr>
                          </wps:wsp>
                        </a:graphicData>
                      </a:graphic>
                    </wp:anchor>
                  </w:drawing>
                </mc:Choice>
                <mc:Fallback>
                  <w:pict>
                    <v:oval w14:anchorId="26D31818" id="Oval 2138368111" o:spid="_x0000_s1040" style="position:absolute;left:0;text-align:left;margin-left:83pt;margin-top:50.4pt;width:58.15pt;height:58.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" filled="f" strokecolor="yellow" strokeweight="1.5pt">
                      <v:stroke dashstyle="dash" startarrowwidth="narrow" startarrowlength="short" endarrowwidth="narrow" endarrowlength="short" joinstyle="miter"/>
                      <v:textbox inset="2.53958mm,2.53958mm,2.53958mm,2.53958mm">
                        <w:txbxContent>
                          <w:p w14:paraId="31BEAA04" w14:textId="77777777" w:rsidR="001D0AFA" w:rsidRDefault="001D0AFA" w:rsidP="001D0AFA">
                            <w:pPr>
                              <w:textDirection w:val="btLr"/>
                            </w:pPr>
                          </w:p>
                        </w:txbxContent>
                      </v:textbox>
                    </v:oval>
                  </w:pict>
                </mc:Fallback>
              </mc:AlternateContent>
            </w:r>
            <w:r w:rsidRPr="00966FED">
              <w:rPr>
                <w:rFonts w:ascii="Times New Roman" w:hAnsi="Times New Roman" w:cs="Times New Roman"/>
                <w:noProof/>
              </w:rPr>
              <mc:AlternateContent>
                <mc:Choice Requires="wps">
                  <w:drawing>
                    <wp:anchor distT="0" distB="0" distL="114300" distR="114300" simplePos="0" relativeHeight="251679744" behindDoc="0" locked="0" layoutInCell="1" hidden="0" allowOverlap="1" wp14:anchorId="18367E68" wp14:editId="7D9C2189">
                      <wp:simplePos x="0" y="0"/>
                      <wp:positionH relativeFrom="column">
                        <wp:posOffset>1779270</wp:posOffset>
                      </wp:positionH>
                      <wp:positionV relativeFrom="paragraph">
                        <wp:posOffset>960119</wp:posOffset>
                      </wp:positionV>
                      <wp:extent cx="1511300" cy="57785"/>
                      <wp:effectExtent l="0" t="0" r="0" b="0"/>
                      <wp:wrapNone/>
                      <wp:docPr id="2138368120" name="Straight Arrow Connector 2138368120"/>
                      <wp:cNvGraphicFramePr/>
                      <a:graphic xmlns:a="http://schemas.openxmlformats.org/drawingml/2006/main">
                        <a:graphicData uri="http://schemas.microsoft.com/office/word/2010/wordprocessingShape">
                          <wps:wsp>
                            <wps:cNvCnPr/>
                            <wps:spPr>
                              <a:xfrm rot="10800000" flipH="1">
                                <a:off x="4596700" y="3757458"/>
                                <a:ext cx="1498600" cy="4508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9EC3435" id="Straight Arrow Connector 2138368120" o:spid="_x0000_s1026" type="#_x0000_t32" style="position:absolute;margin-left:140.1pt;margin-top:75.6pt;width:119pt;height:4.55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0" distB="0" distL="114300" distR="114300" simplePos="0" relativeHeight="251680768" behindDoc="0" locked="0" layoutInCell="1" hidden="0" allowOverlap="1" wp14:anchorId="69BF8917" wp14:editId="73FB2F2A">
                      <wp:simplePos x="0" y="0"/>
                      <wp:positionH relativeFrom="column">
                        <wp:posOffset>654050</wp:posOffset>
                      </wp:positionH>
                      <wp:positionV relativeFrom="paragraph">
                        <wp:posOffset>582930</wp:posOffset>
                      </wp:positionV>
                      <wp:extent cx="99060" cy="346710"/>
                      <wp:effectExtent l="0" t="0" r="0" b="0"/>
                      <wp:wrapNone/>
                      <wp:docPr id="2138368116" name="Straight Arrow Connector 2138368116"/>
                      <wp:cNvGraphicFramePr/>
                      <a:graphic xmlns:a="http://schemas.openxmlformats.org/drawingml/2006/main">
                        <a:graphicData uri="http://schemas.microsoft.com/office/word/2010/wordprocessingShape">
                          <wps:wsp>
                            <wps:cNvCnPr/>
                            <wps:spPr>
                              <a:xfrm flipH="1">
                                <a:off x="5302820" y="3612995"/>
                                <a:ext cx="86360" cy="33401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0234A061" id="Straight Arrow Connector 2138368116" o:spid="_x0000_s1026" type="#_x0000_t32" style="position:absolute;margin-left:51.5pt;margin-top:45.9pt;width:7.8pt;height:27.3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81792" behindDoc="0" locked="0" layoutInCell="1" hidden="0" allowOverlap="1" wp14:anchorId="064D491C" wp14:editId="5DFA6B8C">
                      <wp:simplePos x="0" y="0"/>
                      <wp:positionH relativeFrom="column">
                        <wp:posOffset>291783</wp:posOffset>
                      </wp:positionH>
                      <wp:positionV relativeFrom="paragraph">
                        <wp:posOffset>276542</wp:posOffset>
                      </wp:positionV>
                      <wp:extent cx="1139825" cy="1414145"/>
                      <wp:effectExtent l="0" t="0" r="0" b="0"/>
                      <wp:wrapNone/>
                      <wp:docPr id="2138368098" name="Rectangle 2138368098"/>
                      <wp:cNvGraphicFramePr/>
                      <a:graphic xmlns:a="http://schemas.openxmlformats.org/drawingml/2006/main">
                        <a:graphicData uri="http://schemas.microsoft.com/office/word/2010/wordprocessingShape">
                          <wps:wsp>
                            <wps:cNvSpPr/>
                            <wps:spPr>
                              <a:xfrm>
                                <a:off x="4780850" y="3077690"/>
                                <a:ext cx="1130300" cy="1404620"/>
                              </a:xfrm>
                              <a:prstGeom prst="rect">
                                <a:avLst/>
                              </a:prstGeom>
                              <a:noFill/>
                              <a:ln>
                                <a:noFill/>
                              </a:ln>
                            </wps:spPr>
                            <wps:txbx>
                              <w:txbxContent>
                                <w:p w14:paraId="7A8D36CA" w14:textId="77777777" w:rsidR="001D0AFA" w:rsidRDefault="001D0AFA" w:rsidP="001D0AFA">
                                  <w:pPr>
                                    <w:jc w:val="center"/>
                                    <w:textDirection w:val="btLr"/>
                                  </w:pPr>
                                  <w:r>
                                    <w:rPr>
                                      <w:color w:val="FFFF00"/>
                                    </w:rPr>
                                    <w:t>unreacted SCBA</w:t>
                                  </w:r>
                                </w:p>
                              </w:txbxContent>
                            </wps:txbx>
                            <wps:bodyPr spcFirstLastPara="1" wrap="square" lIns="91425" tIns="45700" rIns="91425" bIns="45700" anchor="t" anchorCtr="0">
                              <a:noAutofit/>
                            </wps:bodyPr>
                          </wps:wsp>
                        </a:graphicData>
                      </a:graphic>
                    </wp:anchor>
                  </w:drawing>
                </mc:Choice>
                <mc:Fallback>
                  <w:pict>
                    <v:rect w14:anchorId="064D491C" id="Rectangle 2138368098" o:spid="_x0000_s1041" style="position:absolute;left:0;text-align:left;margin-left:23pt;margin-top:21.75pt;width:89.75pt;height:111.3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" filled="f" stroked="f">
                      <v:textbox inset="2.53958mm,1.2694mm,2.53958mm,1.2694mm">
                        <w:txbxContent>
                          <w:p w14:paraId="7A8D36CA" w14:textId="77777777" w:rsidR="001D0AFA" w:rsidRDefault="001D0AFA" w:rsidP="001D0AFA">
                            <w:pPr>
                              <w:jc w:val="center"/>
                              <w:textDirection w:val="btLr"/>
                            </w:pPr>
                            <w:r>
                              <w:rPr>
                                <w:color w:val="FFFF00"/>
                              </w:rPr>
                              <w:t>unreacted SCBA</w:t>
                            </w:r>
                          </w:p>
                        </w:txbxContent>
                      </v:textbox>
                    </v:rect>
                  </w:pict>
                </mc:Fallback>
              </mc:AlternateContent>
            </w:r>
          </w:p>
        </w:tc>
        <w:tc>
          <w:tcPr>
            <w:tcW w:w="4698" w:type="dxa"/>
            <w:vAlign w:val="center"/>
          </w:tcPr>
          <w:p w14:paraId="180001B8"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6AFCB26C" wp14:editId="7B55CDE5">
                  <wp:extent cx="2677483" cy="2141986"/>
                  <wp:effectExtent l="0" t="0" r="0" b="0"/>
                  <wp:docPr id="21383681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2677483" cy="2141986"/>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82816" behindDoc="0" locked="0" layoutInCell="1" hidden="0" allowOverlap="1" wp14:anchorId="25C8C35A" wp14:editId="21FB2299">
                      <wp:simplePos x="0" y="0"/>
                      <wp:positionH relativeFrom="column">
                        <wp:posOffset>1582420</wp:posOffset>
                      </wp:positionH>
                      <wp:positionV relativeFrom="paragraph">
                        <wp:posOffset>824865</wp:posOffset>
                      </wp:positionV>
                      <wp:extent cx="306705" cy="360680"/>
                      <wp:effectExtent l="0" t="0" r="0" b="0"/>
                      <wp:wrapNone/>
                      <wp:docPr id="2138368122" name="Straight Arrow Connector 2138368122"/>
                      <wp:cNvGraphicFramePr/>
                      <a:graphic xmlns:a="http://schemas.openxmlformats.org/drawingml/2006/main">
                        <a:graphicData uri="http://schemas.microsoft.com/office/word/2010/wordprocessingShape">
                          <wps:wsp>
                            <wps:cNvCnPr/>
                            <wps:spPr>
                              <a:xfrm flipH="1">
                                <a:off x="5198998" y="3606010"/>
                                <a:ext cx="294005" cy="34798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2C3D039B" id="Straight Arrow Connector 2138368122" o:spid="_x0000_s1026" type="#_x0000_t32" style="position:absolute;margin-left:124.6pt;margin-top:64.95pt;width:24.15pt;height:28.4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83840" behindDoc="0" locked="0" layoutInCell="1" hidden="0" allowOverlap="1" wp14:anchorId="3A6B0553" wp14:editId="36B80E68">
                      <wp:simplePos x="0" y="0"/>
                      <wp:positionH relativeFrom="column">
                        <wp:posOffset>1428433</wp:posOffset>
                      </wp:positionH>
                      <wp:positionV relativeFrom="paragraph">
                        <wp:posOffset>516572</wp:posOffset>
                      </wp:positionV>
                      <wp:extent cx="1139825" cy="1414145"/>
                      <wp:effectExtent l="0" t="0" r="0" b="0"/>
                      <wp:wrapNone/>
                      <wp:docPr id="2138368091" name="Rectangle 2138368091"/>
                      <wp:cNvGraphicFramePr/>
                      <a:graphic xmlns:a="http://schemas.openxmlformats.org/drawingml/2006/main">
                        <a:graphicData uri="http://schemas.microsoft.com/office/word/2010/wordprocessingShape">
                          <wps:wsp>
                            <wps:cNvSpPr/>
                            <wps:spPr>
                              <a:xfrm>
                                <a:off x="4780850" y="3077690"/>
                                <a:ext cx="1130300" cy="1404620"/>
                              </a:xfrm>
                              <a:prstGeom prst="rect">
                                <a:avLst/>
                              </a:prstGeom>
                              <a:noFill/>
                              <a:ln>
                                <a:noFill/>
                              </a:ln>
                            </wps:spPr>
                            <wps:txbx>
                              <w:txbxContent>
                                <w:p w14:paraId="167BCD56" w14:textId="77777777" w:rsidR="001D0AFA" w:rsidRDefault="001D0AFA" w:rsidP="001D0AFA">
                                  <w:pPr>
                                    <w:jc w:val="center"/>
                                    <w:textDirection w:val="btLr"/>
                                  </w:pPr>
                                  <w:r>
                                    <w:rPr>
                                      <w:color w:val="FFFF00"/>
                                    </w:rPr>
                                    <w:t>unreacted SCBA</w:t>
                                  </w:r>
                                </w:p>
                              </w:txbxContent>
                            </wps:txbx>
                            <wps:bodyPr spcFirstLastPara="1" wrap="square" lIns="91425" tIns="45700" rIns="91425" bIns="45700" anchor="t" anchorCtr="0">
                              <a:noAutofit/>
                            </wps:bodyPr>
                          </wps:wsp>
                        </a:graphicData>
                      </a:graphic>
                    </wp:anchor>
                  </w:drawing>
                </mc:Choice>
                <mc:Fallback>
                  <w:pict>
                    <v:rect w14:anchorId="3A6B0553" id="Rectangle 2138368091" o:spid="_x0000_s1042" style="position:absolute;left:0;text-align:left;margin-left:112.5pt;margin-top:40.65pt;width:89.75pt;height:111.3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" filled="f" stroked="f">
                      <v:textbox inset="2.53958mm,1.2694mm,2.53958mm,1.2694mm">
                        <w:txbxContent>
                          <w:p w14:paraId="167BCD56" w14:textId="77777777" w:rsidR="001D0AFA" w:rsidRDefault="001D0AFA" w:rsidP="001D0AFA">
                            <w:pPr>
                              <w:jc w:val="center"/>
                              <w:textDirection w:val="btLr"/>
                            </w:pPr>
                            <w:r>
                              <w:rPr>
                                <w:color w:val="FFFF00"/>
                              </w:rPr>
                              <w:t>unreacted SCBA</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84864" behindDoc="0" locked="0" layoutInCell="1" hidden="0" allowOverlap="1" wp14:anchorId="4E0D69AC" wp14:editId="739BC6AB">
                      <wp:simplePos x="0" y="0"/>
                      <wp:positionH relativeFrom="column">
                        <wp:posOffset>1939289</wp:posOffset>
                      </wp:positionH>
                      <wp:positionV relativeFrom="paragraph">
                        <wp:posOffset>822325</wp:posOffset>
                      </wp:positionV>
                      <wp:extent cx="88900" cy="279400"/>
                      <wp:effectExtent l="0" t="0" r="0" b="0"/>
                      <wp:wrapNone/>
                      <wp:docPr id="2138368096" name="Straight Arrow Connector 2138368096"/>
                      <wp:cNvGraphicFramePr/>
                      <a:graphic xmlns:a="http://schemas.openxmlformats.org/drawingml/2006/main">
                        <a:graphicData uri="http://schemas.microsoft.com/office/word/2010/wordprocessingShape">
                          <wps:wsp>
                            <wps:cNvCnPr/>
                            <wps:spPr>
                              <a:xfrm>
                                <a:off x="5307900" y="3646650"/>
                                <a:ext cx="76200" cy="26670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4174A65A" id="Straight Arrow Connector 2138368096" o:spid="_x0000_s1026" type="#_x0000_t32" style="position:absolute;margin-left:152.7pt;margin-top:64.75pt;width:7pt;height:2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" strokecolor="yellow" strokeweight="1pt">
                      <v:stroke dashstyle="dash" startarrowwidth="narrow" startarrowlength="short" endarrow="block" joinstyle="miter"/>
                    </v:shape>
                  </w:pict>
                </mc:Fallback>
              </mc:AlternateContent>
            </w:r>
          </w:p>
        </w:tc>
      </w:tr>
      <w:tr w:rsidR="001D0AFA" w:rsidRPr="00966FED" w14:paraId="122A5F15" w14:textId="77777777" w:rsidTr="00AC0ED3">
        <w:trPr>
          <w:jc w:val="center"/>
        </w:trPr>
        <w:tc>
          <w:tcPr>
            <w:tcW w:w="4454" w:type="dxa"/>
            <w:vAlign w:val="center"/>
          </w:tcPr>
          <w:p w14:paraId="0CCABC38"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3A21907F" wp14:editId="34B13413">
                  <wp:extent cx="2658497" cy="2126797"/>
                  <wp:effectExtent l="0" t="0" r="0" b="0"/>
                  <wp:docPr id="21383681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2658497" cy="2126797"/>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85888" behindDoc="0" locked="0" layoutInCell="1" hidden="0" allowOverlap="1" wp14:anchorId="0D2791E0" wp14:editId="4213F11A">
                      <wp:simplePos x="0" y="0"/>
                      <wp:positionH relativeFrom="column">
                        <wp:posOffset>613409</wp:posOffset>
                      </wp:positionH>
                      <wp:positionV relativeFrom="paragraph">
                        <wp:posOffset>978535</wp:posOffset>
                      </wp:positionV>
                      <wp:extent cx="738505" cy="738505"/>
                      <wp:effectExtent l="0" t="0" r="0" b="0"/>
                      <wp:wrapNone/>
                      <wp:docPr id="2138368097" name="Oval 2138368097"/>
                      <wp:cNvGraphicFramePr/>
                      <a:graphic xmlns:a="http://schemas.openxmlformats.org/drawingml/2006/main">
                        <a:graphicData uri="http://schemas.microsoft.com/office/word/2010/wordprocessingShape">
                          <wps:wsp>
                            <wps:cNvSpPr/>
                            <wps:spPr>
                              <a:xfrm>
                                <a:off x="4986273" y="3420273"/>
                                <a:ext cx="719455" cy="719455"/>
                              </a:xfrm>
                              <a:prstGeom prst="ellipse">
                                <a:avLst/>
                              </a:prstGeom>
                              <a:noFill/>
                              <a:ln w="19050" cap="flat" cmpd="sng">
                                <a:solidFill>
                                  <a:srgbClr val="FFFF00"/>
                                </a:solidFill>
                                <a:prstDash val="dash"/>
                                <a:miter lim="800000"/>
                                <a:headEnd type="none" w="sm" len="sm"/>
                                <a:tailEnd type="none" w="sm" len="sm"/>
                              </a:ln>
                            </wps:spPr>
                            <wps:txbx>
                              <w:txbxContent>
                                <w:p w14:paraId="268109BA" w14:textId="77777777" w:rsidR="001D0AFA" w:rsidRDefault="001D0AFA" w:rsidP="001D0AFA">
                                  <w:pPr>
                                    <w:textDirection w:val="btLr"/>
                                  </w:pPr>
                                </w:p>
                              </w:txbxContent>
                            </wps:txbx>
                            <wps:bodyPr spcFirstLastPara="1" wrap="square" lIns="91425" tIns="91425" rIns="91425" bIns="91425" anchor="ctr" anchorCtr="0">
                              <a:noAutofit/>
                            </wps:bodyPr>
                          </wps:wsp>
                        </a:graphicData>
                      </a:graphic>
                    </wp:anchor>
                  </w:drawing>
                </mc:Choice>
                <mc:Fallback>
                  <w:pict>
                    <v:oval w14:anchorId="0D2791E0" id="Oval 2138368097" o:spid="_x0000_s1043" style="position:absolute;left:0;text-align:left;margin-left:48.3pt;margin-top:77.05pt;width:58.15pt;height:58.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" filled="f" strokecolor="yellow" strokeweight="1.5pt">
                      <v:stroke dashstyle="dash" startarrowwidth="narrow" startarrowlength="short" endarrowwidth="narrow" endarrowlength="short" joinstyle="miter"/>
                      <v:textbox inset="2.53958mm,2.53958mm,2.53958mm,2.53958mm">
                        <w:txbxContent>
                          <w:p w14:paraId="268109BA" w14:textId="77777777" w:rsidR="001D0AFA" w:rsidRDefault="001D0AFA" w:rsidP="001D0AFA">
                            <w:pPr>
                              <w:textDirection w:val="btLr"/>
                            </w:pPr>
                          </w:p>
                        </w:txbxContent>
                      </v:textbox>
                    </v:oval>
                  </w:pict>
                </mc:Fallback>
              </mc:AlternateContent>
            </w:r>
            <w:r w:rsidRPr="00966FED">
              <w:rPr>
                <w:rFonts w:ascii="Times New Roman" w:hAnsi="Times New Roman" w:cs="Times New Roman"/>
                <w:noProof/>
              </w:rPr>
              <mc:AlternateContent>
                <mc:Choice Requires="wps">
                  <w:drawing>
                    <wp:anchor distT="0" distB="0" distL="114300" distR="114300" simplePos="0" relativeHeight="251686912" behindDoc="0" locked="0" layoutInCell="1" hidden="0" allowOverlap="1" wp14:anchorId="12154B2A" wp14:editId="55F14021">
                      <wp:simplePos x="0" y="0"/>
                      <wp:positionH relativeFrom="column">
                        <wp:posOffset>1336040</wp:posOffset>
                      </wp:positionH>
                      <wp:positionV relativeFrom="paragraph">
                        <wp:posOffset>1188085</wp:posOffset>
                      </wp:positionV>
                      <wp:extent cx="1832610" cy="142240"/>
                      <wp:effectExtent l="0" t="0" r="0" b="0"/>
                      <wp:wrapNone/>
                      <wp:docPr id="2138368079" name="Straight Arrow Connector 2138368079"/>
                      <wp:cNvGraphicFramePr/>
                      <a:graphic xmlns:a="http://schemas.openxmlformats.org/drawingml/2006/main">
                        <a:graphicData uri="http://schemas.microsoft.com/office/word/2010/wordprocessingShape">
                          <wps:wsp>
                            <wps:cNvCnPr/>
                            <wps:spPr>
                              <a:xfrm rot="10800000" flipH="1">
                                <a:off x="4436045" y="3715230"/>
                                <a:ext cx="1819910" cy="12954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304603E1" id="Straight Arrow Connector 2138368079" o:spid="_x0000_s1026" type="#_x0000_t32" style="position:absolute;margin-left:105.2pt;margin-top:93.55pt;width:144.3pt;height:11.2pt;rotation:18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" strokecolor="yellow" strokeweight="1pt">
                      <v:stroke dashstyle="dash" startarrowwidth="narrow" startarrowlength="short" endarrow="block" joinstyle="miter"/>
                    </v:shape>
                  </w:pict>
                </mc:Fallback>
              </mc:AlternateContent>
            </w:r>
          </w:p>
        </w:tc>
        <w:tc>
          <w:tcPr>
            <w:tcW w:w="4698" w:type="dxa"/>
            <w:vAlign w:val="center"/>
          </w:tcPr>
          <w:p w14:paraId="58A37773" w14:textId="77777777" w:rsidR="001D0AFA" w:rsidRPr="00966FED" w:rsidRDefault="001D0AFA"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233622D5" wp14:editId="6EE30DFB">
                  <wp:extent cx="2649529" cy="2119623"/>
                  <wp:effectExtent l="0" t="0" r="0" b="0"/>
                  <wp:docPr id="21383681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2649529" cy="2119623"/>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87936" behindDoc="0" locked="0" layoutInCell="1" hidden="0" allowOverlap="1" wp14:anchorId="179C56C3" wp14:editId="63B944FD">
                      <wp:simplePos x="0" y="0"/>
                      <wp:positionH relativeFrom="column">
                        <wp:posOffset>986155</wp:posOffset>
                      </wp:positionH>
                      <wp:positionV relativeFrom="paragraph">
                        <wp:posOffset>652780</wp:posOffset>
                      </wp:positionV>
                      <wp:extent cx="218440" cy="480060"/>
                      <wp:effectExtent l="0" t="0" r="0" b="0"/>
                      <wp:wrapNone/>
                      <wp:docPr id="2138368114" name="Straight Arrow Connector 2138368114"/>
                      <wp:cNvGraphicFramePr/>
                      <a:graphic xmlns:a="http://schemas.openxmlformats.org/drawingml/2006/main">
                        <a:graphicData uri="http://schemas.microsoft.com/office/word/2010/wordprocessingShape">
                          <wps:wsp>
                            <wps:cNvCnPr/>
                            <wps:spPr>
                              <a:xfrm flipH="1">
                                <a:off x="5243130" y="3546320"/>
                                <a:ext cx="205740" cy="46736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310D4717" id="Straight Arrow Connector 2138368114" o:spid="_x0000_s1026" type="#_x0000_t32" style="position:absolute;margin-left:77.65pt;margin-top:51.4pt;width:17.2pt;height:37.8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88960" behindDoc="0" locked="0" layoutInCell="1" hidden="0" allowOverlap="1" wp14:anchorId="5598890E" wp14:editId="57CED48C">
                      <wp:simplePos x="0" y="0"/>
                      <wp:positionH relativeFrom="column">
                        <wp:posOffset>548958</wp:posOffset>
                      </wp:positionH>
                      <wp:positionV relativeFrom="paragraph">
                        <wp:posOffset>392748</wp:posOffset>
                      </wp:positionV>
                      <wp:extent cx="1431925" cy="1414145"/>
                      <wp:effectExtent l="0" t="0" r="0" b="0"/>
                      <wp:wrapNone/>
                      <wp:docPr id="2138368099" name="Rectangle 2138368099"/>
                      <wp:cNvGraphicFramePr/>
                      <a:graphic xmlns:a="http://schemas.openxmlformats.org/drawingml/2006/main">
                        <a:graphicData uri="http://schemas.microsoft.com/office/word/2010/wordprocessingShape">
                          <wps:wsp>
                            <wps:cNvSpPr/>
                            <wps:spPr>
                              <a:xfrm>
                                <a:off x="4634800" y="3077690"/>
                                <a:ext cx="1422400" cy="1404620"/>
                              </a:xfrm>
                              <a:prstGeom prst="rect">
                                <a:avLst/>
                              </a:prstGeom>
                              <a:noFill/>
                              <a:ln>
                                <a:noFill/>
                              </a:ln>
                            </wps:spPr>
                            <wps:txbx>
                              <w:txbxContent>
                                <w:p w14:paraId="3F5EE1DD" w14:textId="77777777" w:rsidR="001D0AFA" w:rsidRDefault="001D0AFA" w:rsidP="001D0AFA">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5598890E" id="Rectangle 2138368099" o:spid="_x0000_s1044" style="position:absolute;left:0;text-align:left;margin-left:43.25pt;margin-top:30.95pt;width:112.75pt;height:111.3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" filled="f" stroked="f">
                      <v:textbox inset="2.53958mm,1.2694mm,2.53958mm,1.2694mm">
                        <w:txbxContent>
                          <w:p w14:paraId="3F5EE1DD" w14:textId="77777777" w:rsidR="001D0AFA" w:rsidRDefault="001D0AFA" w:rsidP="001D0AFA">
                            <w:pPr>
                              <w:jc w:val="center"/>
                              <w:textDirection w:val="btLr"/>
                            </w:pPr>
                            <w:r>
                              <w:rPr>
                                <w:color w:val="FFFF00"/>
                              </w:rPr>
                              <w:t>Geopolymer matrix</w:t>
                            </w:r>
                          </w:p>
                        </w:txbxContent>
                      </v:textbox>
                    </v:rect>
                  </w:pict>
                </mc:Fallback>
              </mc:AlternateContent>
            </w:r>
          </w:p>
        </w:tc>
      </w:tr>
    </w:tbl>
    <w:p w14:paraId="7E8E561B" w14:textId="77777777" w:rsidR="001D0AFA" w:rsidRPr="00966FED" w:rsidRDefault="001D0AFA" w:rsidP="001D0AFA">
      <w:pPr>
        <w:ind w:firstLine="284"/>
        <w:rPr>
          <w:rFonts w:ascii="Times New Roman" w:eastAsia="Calibri" w:hAnsi="Times New Roman" w:cs="Times New Roman"/>
          <w:sz w:val="18"/>
          <w:szCs w:val="18"/>
        </w:rPr>
      </w:pPr>
    </w:p>
    <w:p w14:paraId="358A53D4" w14:textId="77777777" w:rsidR="001D0AFA" w:rsidRPr="00966FED" w:rsidRDefault="001D0AFA" w:rsidP="001D0AFA">
      <w:pPr>
        <w:spacing w:before="240" w:after="240" w:line="240" w:lineRule="auto"/>
        <w:jc w:val="both"/>
        <w:rPr>
          <w:rFonts w:ascii="Times New Roman" w:hAnsi="Times New Roman" w:cs="Times New Roman"/>
        </w:rPr>
      </w:pPr>
    </w:p>
    <w:p w14:paraId="760A4F99" w14:textId="77777777" w:rsidR="00ED20C7" w:rsidRPr="00966FED" w:rsidRDefault="00ED20C7" w:rsidP="001D0AFA">
      <w:pPr>
        <w:spacing w:before="240" w:after="240" w:line="240" w:lineRule="auto"/>
        <w:jc w:val="both"/>
        <w:rPr>
          <w:rFonts w:ascii="Times New Roman" w:hAnsi="Times New Roman" w:cs="Times New Roman"/>
        </w:rPr>
      </w:pPr>
    </w:p>
    <w:p w14:paraId="07DF700C" w14:textId="77777777" w:rsidR="00ED20C7" w:rsidRPr="00966FED" w:rsidRDefault="00ED20C7" w:rsidP="001D0AFA">
      <w:pPr>
        <w:spacing w:before="240" w:after="240" w:line="240" w:lineRule="auto"/>
        <w:jc w:val="both"/>
        <w:rPr>
          <w:rFonts w:ascii="Times New Roman" w:hAnsi="Times New Roman" w:cs="Times New Roman"/>
        </w:rPr>
      </w:pPr>
    </w:p>
    <w:p w14:paraId="4D01F88A" w14:textId="77777777" w:rsidR="00ED20C7" w:rsidRPr="00966FED" w:rsidRDefault="00ED20C7" w:rsidP="001D0AFA">
      <w:pPr>
        <w:spacing w:before="240" w:after="240" w:line="240" w:lineRule="auto"/>
        <w:jc w:val="both"/>
        <w:rPr>
          <w:rFonts w:ascii="Times New Roman" w:hAnsi="Times New Roman" w:cs="Times New Roman"/>
        </w:rPr>
      </w:pPr>
    </w:p>
    <w:p w14:paraId="51511CB2" w14:textId="77777777" w:rsidR="00ED20C7" w:rsidRPr="00966FED" w:rsidRDefault="00ED20C7" w:rsidP="00ED20C7">
      <w:pPr>
        <w:rPr>
          <w:rFonts w:ascii="Times New Roman" w:eastAsia="Calibri" w:hAnsi="Times New Roman" w:cs="Times New Roman"/>
          <w:sz w:val="18"/>
          <w:szCs w:val="18"/>
        </w:rPr>
      </w:pPr>
    </w:p>
    <w:p w14:paraId="568F05C7" w14:textId="77777777" w:rsidR="00966FED" w:rsidRDefault="00966FED" w:rsidP="00ED20C7">
      <w:pPr>
        <w:rPr>
          <w:rFonts w:ascii="Times New Roman" w:eastAsia="Calibri" w:hAnsi="Times New Roman" w:cs="Times New Roman"/>
          <w:b/>
          <w:bCs/>
        </w:rPr>
      </w:pPr>
    </w:p>
    <w:p w14:paraId="186F4382" w14:textId="77777777" w:rsidR="00966FED" w:rsidRDefault="00966FED" w:rsidP="00ED20C7">
      <w:pPr>
        <w:rPr>
          <w:rFonts w:ascii="Times New Roman" w:eastAsia="Calibri" w:hAnsi="Times New Roman" w:cs="Times New Roman"/>
          <w:b/>
          <w:bCs/>
        </w:rPr>
      </w:pPr>
    </w:p>
    <w:p w14:paraId="6AD3903B" w14:textId="47DD8620" w:rsidR="00ED20C7" w:rsidRPr="00966FED" w:rsidRDefault="00ED20C7" w:rsidP="00ED20C7">
      <w:pPr>
        <w:rPr>
          <w:rFonts w:ascii="Times New Roman" w:eastAsia="Calibri" w:hAnsi="Times New Roman" w:cs="Times New Roman"/>
        </w:rPr>
      </w:pPr>
      <w:r w:rsidRPr="00966FED">
        <w:rPr>
          <w:rFonts w:ascii="Times New Roman" w:eastAsia="Calibri" w:hAnsi="Times New Roman" w:cs="Times New Roman"/>
          <w:b/>
          <w:bCs/>
        </w:rPr>
        <w:lastRenderedPageBreak/>
        <w:t xml:space="preserve">Figure 12. </w:t>
      </w:r>
      <w:r w:rsidRPr="00966FED">
        <w:rPr>
          <w:rFonts w:ascii="Times New Roman" w:eastAsia="Calibri" w:hAnsi="Times New Roman" w:cs="Times New Roman"/>
        </w:rPr>
        <w:t xml:space="preserve">SEM micrographs of the residue of the </w:t>
      </w:r>
      <w:r w:rsidRPr="00966FED">
        <w:rPr>
          <w:rFonts w:ascii="Times New Roman" w:eastAsia="Calibri" w:hAnsi="Times New Roman" w:cs="Times New Roman"/>
          <w:b/>
          <w:bCs/>
        </w:rPr>
        <w:t>(</w:t>
      </w:r>
      <w:proofErr w:type="spellStart"/>
      <w:proofErr w:type="gramStart"/>
      <w:r w:rsidRPr="00966FED">
        <w:rPr>
          <w:rFonts w:ascii="Times New Roman" w:eastAsia="Calibri" w:hAnsi="Times New Roman" w:cs="Times New Roman"/>
          <w:b/>
          <w:bCs/>
        </w:rPr>
        <w:t>a,b</w:t>
      </w:r>
      <w:proofErr w:type="spellEnd"/>
      <w:proofErr w:type="gramEnd"/>
      <w:r w:rsidRPr="00966FED">
        <w:rPr>
          <w:rFonts w:ascii="Times New Roman" w:eastAsia="Calibri" w:hAnsi="Times New Roman" w:cs="Times New Roman"/>
          <w:b/>
          <w:bCs/>
        </w:rPr>
        <w:t xml:space="preserve">) </w:t>
      </w:r>
      <w:r w:rsidRPr="00966FED">
        <w:rPr>
          <w:rFonts w:ascii="Times New Roman" w:eastAsia="Calibri" w:hAnsi="Times New Roman" w:cs="Times New Roman"/>
        </w:rPr>
        <w:t xml:space="preserve">poorest (Sample 1), </w:t>
      </w:r>
      <w:r w:rsidRPr="00966FED">
        <w:rPr>
          <w:rFonts w:ascii="Times New Roman" w:eastAsia="Calibri" w:hAnsi="Times New Roman" w:cs="Times New Roman"/>
          <w:b/>
          <w:bCs/>
        </w:rPr>
        <w:t>(</w:t>
      </w:r>
      <w:proofErr w:type="spellStart"/>
      <w:proofErr w:type="gramStart"/>
      <w:r w:rsidRPr="00966FED">
        <w:rPr>
          <w:rFonts w:ascii="Times New Roman" w:eastAsia="Calibri" w:hAnsi="Times New Roman" w:cs="Times New Roman"/>
          <w:b/>
          <w:bCs/>
        </w:rPr>
        <w:t>c,d</w:t>
      </w:r>
      <w:proofErr w:type="spellEnd"/>
      <w:proofErr w:type="gramEnd"/>
      <w:r w:rsidRPr="00966FED">
        <w:rPr>
          <w:rFonts w:ascii="Times New Roman" w:eastAsia="Calibri" w:hAnsi="Times New Roman" w:cs="Times New Roman"/>
          <w:b/>
          <w:bCs/>
        </w:rPr>
        <w:t>)</w:t>
      </w:r>
      <w:r w:rsidRPr="00966FED">
        <w:rPr>
          <w:rFonts w:ascii="Times New Roman" w:eastAsia="Calibri" w:hAnsi="Times New Roman" w:cs="Times New Roman"/>
        </w:rPr>
        <w:t xml:space="preserve"> best (Sample 9), and </w:t>
      </w:r>
      <w:r w:rsidRPr="00966FED">
        <w:rPr>
          <w:rFonts w:ascii="Times New Roman" w:eastAsia="Calibri" w:hAnsi="Times New Roman" w:cs="Times New Roman"/>
          <w:b/>
          <w:bCs/>
        </w:rPr>
        <w:t>(</w:t>
      </w:r>
      <w:proofErr w:type="spellStart"/>
      <w:proofErr w:type="gramStart"/>
      <w:r w:rsidRPr="00966FED">
        <w:rPr>
          <w:rFonts w:ascii="Times New Roman" w:eastAsia="Calibri" w:hAnsi="Times New Roman" w:cs="Times New Roman"/>
          <w:b/>
          <w:bCs/>
        </w:rPr>
        <w:t>e,f</w:t>
      </w:r>
      <w:proofErr w:type="spellEnd"/>
      <w:proofErr w:type="gramEnd"/>
      <w:r w:rsidRPr="00966FED">
        <w:rPr>
          <w:rFonts w:ascii="Times New Roman" w:eastAsia="Calibri" w:hAnsi="Times New Roman" w:cs="Times New Roman"/>
          <w:b/>
          <w:bCs/>
        </w:rPr>
        <w:t>)</w:t>
      </w:r>
      <w:r w:rsidRPr="00966FED">
        <w:rPr>
          <w:rFonts w:ascii="Times New Roman" w:eastAsia="Calibri" w:hAnsi="Times New Roman" w:cs="Times New Roman"/>
        </w:rPr>
        <w:t xml:space="preserve"> optimized GFC samples after fire resistance test at 1000x (left, 10 µm) and 8000x (right, 2 µm) magnifications.</w:t>
      </w:r>
    </w:p>
    <w:tbl>
      <w:tblPr>
        <w:tblW w:w="9179" w:type="dxa"/>
        <w:jc w:val="center"/>
        <w:tblLayout w:type="fixed"/>
        <w:tblLook w:val="0000" w:firstRow="0" w:lastRow="0" w:firstColumn="0" w:lastColumn="0" w:noHBand="0" w:noVBand="0"/>
      </w:tblPr>
      <w:tblGrid>
        <w:gridCol w:w="4481"/>
        <w:gridCol w:w="4698"/>
      </w:tblGrid>
      <w:tr w:rsidR="00ED20C7" w:rsidRPr="00966FED" w14:paraId="038AE8CF" w14:textId="77777777" w:rsidTr="00AC0ED3">
        <w:trPr>
          <w:jc w:val="center"/>
        </w:trPr>
        <w:tc>
          <w:tcPr>
            <w:tcW w:w="4481" w:type="dxa"/>
            <w:vAlign w:val="center"/>
          </w:tcPr>
          <w:p w14:paraId="1C8E8A46"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5A13FC5E" wp14:editId="4BC59217">
                  <wp:extent cx="2624022" cy="2099217"/>
                  <wp:effectExtent l="0" t="0" r="0" b="0"/>
                  <wp:docPr id="21383681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2624022" cy="2099217"/>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91008" behindDoc="0" locked="0" layoutInCell="1" hidden="0" allowOverlap="1" wp14:anchorId="7582646E" wp14:editId="2653B544">
                      <wp:simplePos x="0" y="0"/>
                      <wp:positionH relativeFrom="column">
                        <wp:posOffset>523875</wp:posOffset>
                      </wp:positionH>
                      <wp:positionV relativeFrom="paragraph">
                        <wp:posOffset>623570</wp:posOffset>
                      </wp:positionV>
                      <wp:extent cx="1006475" cy="526415"/>
                      <wp:effectExtent l="0" t="0" r="0" b="0"/>
                      <wp:wrapNone/>
                      <wp:docPr id="2138368085" name="Straight Arrow Connector 2138368085"/>
                      <wp:cNvGraphicFramePr/>
                      <a:graphic xmlns:a="http://schemas.openxmlformats.org/drawingml/2006/main">
                        <a:graphicData uri="http://schemas.microsoft.com/office/word/2010/wordprocessingShape">
                          <wps:wsp>
                            <wps:cNvCnPr/>
                            <wps:spPr>
                              <a:xfrm flipH="1">
                                <a:off x="4849113" y="3523143"/>
                                <a:ext cx="993775" cy="51371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61407200" id="Straight Arrow Connector 2138368085" o:spid="_x0000_s1026" type="#_x0000_t32" style="position:absolute;margin-left:41.25pt;margin-top:49.1pt;width:79.25pt;height:41.4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92032" behindDoc="0" locked="0" layoutInCell="1" hidden="0" allowOverlap="1" wp14:anchorId="745DBB5B" wp14:editId="4AE9811A">
                      <wp:simplePos x="0" y="0"/>
                      <wp:positionH relativeFrom="column">
                        <wp:posOffset>1252538</wp:posOffset>
                      </wp:positionH>
                      <wp:positionV relativeFrom="paragraph">
                        <wp:posOffset>336233</wp:posOffset>
                      </wp:positionV>
                      <wp:extent cx="669925" cy="1414145"/>
                      <wp:effectExtent l="0" t="0" r="0" b="0"/>
                      <wp:wrapNone/>
                      <wp:docPr id="2138368082" name="Rectangle 2138368082"/>
                      <wp:cNvGraphicFramePr/>
                      <a:graphic xmlns:a="http://schemas.openxmlformats.org/drawingml/2006/main">
                        <a:graphicData uri="http://schemas.microsoft.com/office/word/2010/wordprocessingShape">
                          <wps:wsp>
                            <wps:cNvSpPr/>
                            <wps:spPr>
                              <a:xfrm>
                                <a:off x="5015800" y="3077690"/>
                                <a:ext cx="660400" cy="1404620"/>
                              </a:xfrm>
                              <a:prstGeom prst="rect">
                                <a:avLst/>
                              </a:prstGeom>
                              <a:noFill/>
                              <a:ln>
                                <a:noFill/>
                              </a:ln>
                            </wps:spPr>
                            <wps:txbx>
                              <w:txbxContent>
                                <w:p w14:paraId="7D96CCA5" w14:textId="77777777" w:rsidR="00ED20C7" w:rsidRDefault="00ED20C7" w:rsidP="00ED20C7">
                                  <w:pPr>
                                    <w:jc w:val="center"/>
                                    <w:textDirection w:val="btLr"/>
                                  </w:pPr>
                                  <w:r>
                                    <w:rPr>
                                      <w:color w:val="FFFF00"/>
                                    </w:rPr>
                                    <w:t>cracks</w:t>
                                  </w:r>
                                </w:p>
                              </w:txbxContent>
                            </wps:txbx>
                            <wps:bodyPr spcFirstLastPara="1" wrap="square" lIns="91425" tIns="45700" rIns="91425" bIns="45700" anchor="t" anchorCtr="0">
                              <a:noAutofit/>
                            </wps:bodyPr>
                          </wps:wsp>
                        </a:graphicData>
                      </a:graphic>
                    </wp:anchor>
                  </w:drawing>
                </mc:Choice>
                <mc:Fallback>
                  <w:pict>
                    <v:rect w14:anchorId="745DBB5B" id="Rectangle 2138368082" o:spid="_x0000_s1045" style="position:absolute;left:0;text-align:left;margin-left:98.65pt;margin-top:26.5pt;width:52.75pt;height:111.35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" filled="f" stroked="f">
                      <v:textbox inset="2.53958mm,1.2694mm,2.53958mm,1.2694mm">
                        <w:txbxContent>
                          <w:p w14:paraId="7D96CCA5" w14:textId="77777777" w:rsidR="00ED20C7" w:rsidRDefault="00ED20C7" w:rsidP="00ED20C7">
                            <w:pPr>
                              <w:jc w:val="center"/>
                              <w:textDirection w:val="btLr"/>
                            </w:pPr>
                            <w:r>
                              <w:rPr>
                                <w:color w:val="FFFF00"/>
                              </w:rPr>
                              <w:t>cracks</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93056" behindDoc="0" locked="0" layoutInCell="1" hidden="0" allowOverlap="1" wp14:anchorId="7B0AA3C6" wp14:editId="6239E142">
                      <wp:simplePos x="0" y="0"/>
                      <wp:positionH relativeFrom="column">
                        <wp:posOffset>1656080</wp:posOffset>
                      </wp:positionH>
                      <wp:positionV relativeFrom="paragraph">
                        <wp:posOffset>637540</wp:posOffset>
                      </wp:positionV>
                      <wp:extent cx="763270" cy="109220"/>
                      <wp:effectExtent l="0" t="0" r="0" b="0"/>
                      <wp:wrapNone/>
                      <wp:docPr id="2138368119" name="Straight Arrow Connector 2138368119"/>
                      <wp:cNvGraphicFramePr/>
                      <a:graphic xmlns:a="http://schemas.openxmlformats.org/drawingml/2006/main">
                        <a:graphicData uri="http://schemas.microsoft.com/office/word/2010/wordprocessingShape">
                          <wps:wsp>
                            <wps:cNvCnPr/>
                            <wps:spPr>
                              <a:xfrm>
                                <a:off x="4970715" y="3731740"/>
                                <a:ext cx="750570" cy="9652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45EB611" id="Straight Arrow Connector 2138368119" o:spid="_x0000_s1026" type="#_x0000_t32" style="position:absolute;margin-left:130.4pt;margin-top:50.2pt;width:60.1pt;height:8.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" strokecolor="yellow" strokeweight="1pt">
                      <v:stroke dashstyle="dash" startarrowwidth="narrow" startarrowlength="short" endarrow="block" joinstyle="miter"/>
                    </v:shape>
                  </w:pict>
                </mc:Fallback>
              </mc:AlternateContent>
            </w:r>
          </w:p>
        </w:tc>
        <w:tc>
          <w:tcPr>
            <w:tcW w:w="4698" w:type="dxa"/>
            <w:vAlign w:val="center"/>
          </w:tcPr>
          <w:p w14:paraId="235B6052"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61838468" wp14:editId="0D7B650C">
                  <wp:extent cx="2630306" cy="2104245"/>
                  <wp:effectExtent l="0" t="0" r="0" b="0"/>
                  <wp:docPr id="21383681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0"/>
                          <a:srcRect/>
                          <a:stretch>
                            <a:fillRect/>
                          </a:stretch>
                        </pic:blipFill>
                        <pic:spPr>
                          <a:xfrm>
                            <a:off x="0" y="0"/>
                            <a:ext cx="2630306" cy="2104245"/>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694080" behindDoc="0" locked="0" layoutInCell="1" hidden="0" allowOverlap="1" wp14:anchorId="51E039FA" wp14:editId="221D03A3">
                      <wp:simplePos x="0" y="0"/>
                      <wp:positionH relativeFrom="column">
                        <wp:posOffset>247333</wp:posOffset>
                      </wp:positionH>
                      <wp:positionV relativeFrom="paragraph">
                        <wp:posOffset>261302</wp:posOffset>
                      </wp:positionV>
                      <wp:extent cx="1391920" cy="1414145"/>
                      <wp:effectExtent l="0" t="0" r="0" b="0"/>
                      <wp:wrapNone/>
                      <wp:docPr id="2138368092" name="Rectangle 2138368092"/>
                      <wp:cNvGraphicFramePr/>
                      <a:graphic xmlns:a="http://schemas.openxmlformats.org/drawingml/2006/main">
                        <a:graphicData uri="http://schemas.microsoft.com/office/word/2010/wordprocessingShape">
                          <wps:wsp>
                            <wps:cNvSpPr/>
                            <wps:spPr>
                              <a:xfrm>
                                <a:off x="4654803" y="3077690"/>
                                <a:ext cx="1382395" cy="1404620"/>
                              </a:xfrm>
                              <a:prstGeom prst="rect">
                                <a:avLst/>
                              </a:prstGeom>
                              <a:noFill/>
                              <a:ln>
                                <a:noFill/>
                              </a:ln>
                            </wps:spPr>
                            <wps:txbx>
                              <w:txbxContent>
                                <w:p w14:paraId="32E6F7E6" w14:textId="77777777" w:rsidR="00ED20C7" w:rsidRDefault="00ED20C7" w:rsidP="00ED20C7">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51E039FA" id="Rectangle 2138368092" o:spid="_x0000_s1046" style="position:absolute;left:0;text-align:left;margin-left:19.5pt;margin-top:20.55pt;width:109.6pt;height:111.35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" filled="f" stroked="f">
                      <v:textbox inset="2.53958mm,1.2694mm,2.53958mm,1.2694mm">
                        <w:txbxContent>
                          <w:p w14:paraId="32E6F7E6" w14:textId="77777777" w:rsidR="00ED20C7" w:rsidRDefault="00ED20C7" w:rsidP="00ED20C7">
                            <w:pPr>
                              <w:jc w:val="center"/>
                              <w:textDirection w:val="btLr"/>
                            </w:pPr>
                            <w:r>
                              <w:rPr>
                                <w:color w:val="FFFF00"/>
                              </w:rPr>
                              <w:t>Geopolymer matrix</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95104" behindDoc="0" locked="0" layoutInCell="1" hidden="0" allowOverlap="1" wp14:anchorId="4E21598F" wp14:editId="70759884">
                      <wp:simplePos x="0" y="0"/>
                      <wp:positionH relativeFrom="column">
                        <wp:posOffset>969010</wp:posOffset>
                      </wp:positionH>
                      <wp:positionV relativeFrom="paragraph">
                        <wp:posOffset>506095</wp:posOffset>
                      </wp:positionV>
                      <wp:extent cx="175260" cy="330835"/>
                      <wp:effectExtent l="0" t="0" r="0" b="0"/>
                      <wp:wrapNone/>
                      <wp:docPr id="2138368093" name="Straight Arrow Connector 2138368093"/>
                      <wp:cNvGraphicFramePr/>
                      <a:graphic xmlns:a="http://schemas.openxmlformats.org/drawingml/2006/main">
                        <a:graphicData uri="http://schemas.microsoft.com/office/word/2010/wordprocessingShape">
                          <wps:wsp>
                            <wps:cNvCnPr/>
                            <wps:spPr>
                              <a:xfrm>
                                <a:off x="5264720" y="3620933"/>
                                <a:ext cx="162560" cy="31813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4F453AAD" id="Straight Arrow Connector 2138368093" o:spid="_x0000_s1026" type="#_x0000_t32" style="position:absolute;margin-left:76.3pt;margin-top:39.85pt;width:13.8pt;height:26.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" strokecolor="yellow" strokeweight="1pt">
                      <v:stroke dashstyle="dash" startarrowwidth="narrow" startarrowlength="short" endarrow="block" joinstyle="miter"/>
                    </v:shape>
                  </w:pict>
                </mc:Fallback>
              </mc:AlternateContent>
            </w:r>
          </w:p>
        </w:tc>
      </w:tr>
      <w:tr w:rsidR="00ED20C7" w:rsidRPr="00966FED" w14:paraId="6FB4ED27" w14:textId="77777777" w:rsidTr="00AC0ED3">
        <w:trPr>
          <w:jc w:val="center"/>
        </w:trPr>
        <w:tc>
          <w:tcPr>
            <w:tcW w:w="4481" w:type="dxa"/>
            <w:vAlign w:val="center"/>
          </w:tcPr>
          <w:p w14:paraId="0311F776" w14:textId="77777777" w:rsidR="00ED20C7" w:rsidRPr="00966FED" w:rsidRDefault="00ED20C7" w:rsidP="00AC0ED3">
            <w:pPr>
              <w:pBdr>
                <w:top w:val="nil"/>
                <w:left w:val="nil"/>
                <w:bottom w:val="nil"/>
                <w:right w:val="nil"/>
                <w:between w:val="nil"/>
              </w:pBdr>
              <w:spacing w:line="259" w:lineRule="auto"/>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6A68EA6D" wp14:editId="55F635C8">
                  <wp:extent cx="2714176" cy="2171341"/>
                  <wp:effectExtent l="0" t="0" r="0" b="0"/>
                  <wp:docPr id="21383681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1"/>
                          <a:srcRect/>
                          <a:stretch>
                            <a:fillRect/>
                          </a:stretch>
                        </pic:blipFill>
                        <pic:spPr>
                          <a:xfrm>
                            <a:off x="0" y="0"/>
                            <a:ext cx="2714176" cy="2171341"/>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696128" behindDoc="0" locked="0" layoutInCell="1" hidden="0" allowOverlap="1" wp14:anchorId="617A1FDB" wp14:editId="25250B79">
                      <wp:simplePos x="0" y="0"/>
                      <wp:positionH relativeFrom="column">
                        <wp:posOffset>1529715</wp:posOffset>
                      </wp:positionH>
                      <wp:positionV relativeFrom="paragraph">
                        <wp:posOffset>267970</wp:posOffset>
                      </wp:positionV>
                      <wp:extent cx="63500" cy="264160"/>
                      <wp:effectExtent l="0" t="0" r="0" b="0"/>
                      <wp:wrapNone/>
                      <wp:docPr id="2138368103" name="Straight Arrow Connector 2138368103"/>
                      <wp:cNvGraphicFramePr/>
                      <a:graphic xmlns:a="http://schemas.openxmlformats.org/drawingml/2006/main">
                        <a:graphicData uri="http://schemas.microsoft.com/office/word/2010/wordprocessingShape">
                          <wps:wsp>
                            <wps:cNvCnPr/>
                            <wps:spPr>
                              <a:xfrm rot="10800000" flipH="1">
                                <a:off x="5320600" y="3654270"/>
                                <a:ext cx="50800" cy="25146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72580BB9" id="Straight Arrow Connector 2138368103" o:spid="_x0000_s1026" type="#_x0000_t32" style="position:absolute;margin-left:120.45pt;margin-top:21.1pt;width:5pt;height:20.8pt;rotation:18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97152" behindDoc="0" locked="0" layoutInCell="1" hidden="0" allowOverlap="1" wp14:anchorId="1935DE8D" wp14:editId="42A7868A">
                      <wp:simplePos x="0" y="0"/>
                      <wp:positionH relativeFrom="column">
                        <wp:posOffset>1160463</wp:posOffset>
                      </wp:positionH>
                      <wp:positionV relativeFrom="paragraph">
                        <wp:posOffset>528638</wp:posOffset>
                      </wp:positionV>
                      <wp:extent cx="669925" cy="1414145"/>
                      <wp:effectExtent l="0" t="0" r="0" b="0"/>
                      <wp:wrapNone/>
                      <wp:docPr id="2138368086" name="Rectangle 2138368086"/>
                      <wp:cNvGraphicFramePr/>
                      <a:graphic xmlns:a="http://schemas.openxmlformats.org/drawingml/2006/main">
                        <a:graphicData uri="http://schemas.microsoft.com/office/word/2010/wordprocessingShape">
                          <wps:wsp>
                            <wps:cNvSpPr/>
                            <wps:spPr>
                              <a:xfrm>
                                <a:off x="5015800" y="3077690"/>
                                <a:ext cx="660400" cy="1404620"/>
                              </a:xfrm>
                              <a:prstGeom prst="rect">
                                <a:avLst/>
                              </a:prstGeom>
                              <a:noFill/>
                              <a:ln>
                                <a:noFill/>
                              </a:ln>
                            </wps:spPr>
                            <wps:txbx>
                              <w:txbxContent>
                                <w:p w14:paraId="461F2F33" w14:textId="77777777" w:rsidR="00ED20C7" w:rsidRDefault="00ED20C7" w:rsidP="00ED20C7">
                                  <w:pPr>
                                    <w:jc w:val="center"/>
                                    <w:textDirection w:val="btLr"/>
                                  </w:pPr>
                                  <w:r>
                                    <w:rPr>
                                      <w:color w:val="FFFF00"/>
                                    </w:rPr>
                                    <w:t>crack</w:t>
                                  </w:r>
                                </w:p>
                              </w:txbxContent>
                            </wps:txbx>
                            <wps:bodyPr spcFirstLastPara="1" wrap="square" lIns="91425" tIns="45700" rIns="91425" bIns="45700" anchor="t" anchorCtr="0">
                              <a:noAutofit/>
                            </wps:bodyPr>
                          </wps:wsp>
                        </a:graphicData>
                      </a:graphic>
                    </wp:anchor>
                  </w:drawing>
                </mc:Choice>
                <mc:Fallback>
                  <w:pict>
                    <v:rect w14:anchorId="1935DE8D" id="Rectangle 2138368086" o:spid="_x0000_s1047" style="position:absolute;left:0;text-align:left;margin-left:91.4pt;margin-top:41.65pt;width:52.75pt;height:111.35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" filled="f" stroked="f">
                      <v:textbox inset="2.53958mm,1.2694mm,2.53958mm,1.2694mm">
                        <w:txbxContent>
                          <w:p w14:paraId="461F2F33" w14:textId="77777777" w:rsidR="00ED20C7" w:rsidRDefault="00ED20C7" w:rsidP="00ED20C7">
                            <w:pPr>
                              <w:jc w:val="center"/>
                              <w:textDirection w:val="btLr"/>
                            </w:pPr>
                            <w:r>
                              <w:rPr>
                                <w:color w:val="FFFF00"/>
                              </w:rPr>
                              <w:t>crack</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698176" behindDoc="0" locked="0" layoutInCell="1" hidden="0" allowOverlap="1" wp14:anchorId="2FE12244" wp14:editId="6AEC6524">
                      <wp:simplePos x="0" y="0"/>
                      <wp:positionH relativeFrom="column">
                        <wp:posOffset>1711960</wp:posOffset>
                      </wp:positionH>
                      <wp:positionV relativeFrom="paragraph">
                        <wp:posOffset>701675</wp:posOffset>
                      </wp:positionV>
                      <wp:extent cx="401320" cy="71120"/>
                      <wp:effectExtent l="0" t="0" r="0" b="0"/>
                      <wp:wrapNone/>
                      <wp:docPr id="2138368094" name="Straight Arrow Connector 2138368094"/>
                      <wp:cNvGraphicFramePr/>
                      <a:graphic xmlns:a="http://schemas.openxmlformats.org/drawingml/2006/main">
                        <a:graphicData uri="http://schemas.microsoft.com/office/word/2010/wordprocessingShape">
                          <wps:wsp>
                            <wps:cNvCnPr/>
                            <wps:spPr>
                              <a:xfrm>
                                <a:off x="5151690" y="3750790"/>
                                <a:ext cx="388620" cy="5842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29B4A6CB" id="Straight Arrow Connector 2138368094" o:spid="_x0000_s1026" type="#_x0000_t32" style="position:absolute;margin-left:134.8pt;margin-top:55.25pt;width:31.6pt;height:5.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699200" behindDoc="0" locked="0" layoutInCell="1" hidden="0" allowOverlap="1" wp14:anchorId="09F0F923" wp14:editId="7C926C48">
                      <wp:simplePos x="0" y="0"/>
                      <wp:positionH relativeFrom="column">
                        <wp:posOffset>526097</wp:posOffset>
                      </wp:positionH>
                      <wp:positionV relativeFrom="paragraph">
                        <wp:posOffset>1103313</wp:posOffset>
                      </wp:positionV>
                      <wp:extent cx="1470025" cy="1414145"/>
                      <wp:effectExtent l="0" t="0" r="0" b="0"/>
                      <wp:wrapNone/>
                      <wp:docPr id="2138368115" name="Rectangle 2138368115"/>
                      <wp:cNvGraphicFramePr/>
                      <a:graphic xmlns:a="http://schemas.openxmlformats.org/drawingml/2006/main">
                        <a:graphicData uri="http://schemas.microsoft.com/office/word/2010/wordprocessingShape">
                          <wps:wsp>
                            <wps:cNvSpPr/>
                            <wps:spPr>
                              <a:xfrm>
                                <a:off x="4615750" y="3077690"/>
                                <a:ext cx="1460500" cy="1404620"/>
                              </a:xfrm>
                              <a:prstGeom prst="rect">
                                <a:avLst/>
                              </a:prstGeom>
                              <a:noFill/>
                              <a:ln>
                                <a:noFill/>
                              </a:ln>
                            </wps:spPr>
                            <wps:txbx>
                              <w:txbxContent>
                                <w:p w14:paraId="218F3366" w14:textId="77777777" w:rsidR="00ED20C7" w:rsidRDefault="00ED20C7" w:rsidP="00ED20C7">
                                  <w:pPr>
                                    <w:jc w:val="center"/>
                                    <w:textDirection w:val="btLr"/>
                                  </w:pPr>
                                  <w:r>
                                    <w:rPr>
                                      <w:color w:val="FFFF00"/>
                                    </w:rPr>
                                    <w:t>Unreacted SCBA</w:t>
                                  </w:r>
                                </w:p>
                              </w:txbxContent>
                            </wps:txbx>
                            <wps:bodyPr spcFirstLastPara="1" wrap="square" lIns="91425" tIns="45700" rIns="91425" bIns="45700" anchor="t" anchorCtr="0">
                              <a:noAutofit/>
                            </wps:bodyPr>
                          </wps:wsp>
                        </a:graphicData>
                      </a:graphic>
                    </wp:anchor>
                  </w:drawing>
                </mc:Choice>
                <mc:Fallback>
                  <w:pict>
                    <v:rect w14:anchorId="09F0F923" id="Rectangle 2138368115" o:spid="_x0000_s1048" style="position:absolute;left:0;text-align:left;margin-left:41.4pt;margin-top:86.9pt;width:115.75pt;height:111.35pt;z-index:2516992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" filled="f" stroked="f">
                      <v:textbox inset="2.53958mm,1.2694mm,2.53958mm,1.2694mm">
                        <w:txbxContent>
                          <w:p w14:paraId="218F3366" w14:textId="77777777" w:rsidR="00ED20C7" w:rsidRDefault="00ED20C7" w:rsidP="00ED20C7">
                            <w:pPr>
                              <w:jc w:val="center"/>
                              <w:textDirection w:val="btLr"/>
                            </w:pPr>
                            <w:r>
                              <w:rPr>
                                <w:color w:val="FFFF00"/>
                              </w:rPr>
                              <w:t>Unreacted SCBA</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700224" behindDoc="0" locked="0" layoutInCell="1" hidden="0" allowOverlap="1" wp14:anchorId="18510BAE" wp14:editId="7839E00F">
                      <wp:simplePos x="0" y="0"/>
                      <wp:positionH relativeFrom="column">
                        <wp:posOffset>1471295</wp:posOffset>
                      </wp:positionH>
                      <wp:positionV relativeFrom="paragraph">
                        <wp:posOffset>1358900</wp:posOffset>
                      </wp:positionV>
                      <wp:extent cx="253365" cy="257810"/>
                      <wp:effectExtent l="0" t="0" r="0" b="0"/>
                      <wp:wrapNone/>
                      <wp:docPr id="2138368106" name="Straight Arrow Connector 2138368106"/>
                      <wp:cNvGraphicFramePr/>
                      <a:graphic xmlns:a="http://schemas.openxmlformats.org/drawingml/2006/main">
                        <a:graphicData uri="http://schemas.microsoft.com/office/word/2010/wordprocessingShape">
                          <wps:wsp>
                            <wps:cNvCnPr/>
                            <wps:spPr>
                              <a:xfrm>
                                <a:off x="5225668" y="3657445"/>
                                <a:ext cx="240665" cy="24511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2A006F9C" id="Straight Arrow Connector 2138368106" o:spid="_x0000_s1026" type="#_x0000_t32" style="position:absolute;margin-left:115.85pt;margin-top:107pt;width:19.95pt;height:20.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" strokecolor="yellow" strokeweight="1pt">
                      <v:stroke dashstyle="dash" startarrowwidth="narrow" startarrowlength="short" endarrow="block" joinstyle="miter"/>
                    </v:shape>
                  </w:pict>
                </mc:Fallback>
              </mc:AlternateContent>
            </w:r>
          </w:p>
        </w:tc>
        <w:tc>
          <w:tcPr>
            <w:tcW w:w="4698" w:type="dxa"/>
            <w:vAlign w:val="center"/>
          </w:tcPr>
          <w:p w14:paraId="634F2E6D" w14:textId="77777777" w:rsidR="00ED20C7" w:rsidRPr="00966FED" w:rsidRDefault="00ED20C7" w:rsidP="00AC0ED3">
            <w:pPr>
              <w:pBdr>
                <w:top w:val="nil"/>
                <w:left w:val="nil"/>
                <w:bottom w:val="nil"/>
                <w:right w:val="nil"/>
                <w:between w:val="nil"/>
              </w:pBdr>
              <w:spacing w:line="259" w:lineRule="auto"/>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5F559516" wp14:editId="71454DB9">
                  <wp:extent cx="2737301" cy="2189237"/>
                  <wp:effectExtent l="0" t="0" r="0" b="0"/>
                  <wp:docPr id="21383681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a:stretch>
                            <a:fillRect/>
                          </a:stretch>
                        </pic:blipFill>
                        <pic:spPr>
                          <a:xfrm>
                            <a:off x="0" y="0"/>
                            <a:ext cx="2737301" cy="2189237"/>
                          </a:xfrm>
                          <a:prstGeom prst="rect">
                            <a:avLst/>
                          </a:prstGeom>
                          <a:ln/>
                        </pic:spPr>
                      </pic:pic>
                    </a:graphicData>
                  </a:graphic>
                </wp:inline>
              </w:drawing>
            </w:r>
            <w:r w:rsidRPr="00966FED">
              <w:rPr>
                <w:rFonts w:ascii="Times New Roman" w:hAnsi="Times New Roman" w:cs="Times New Roman"/>
                <w:noProof/>
              </w:rPr>
              <mc:AlternateContent>
                <mc:Choice Requires="wps">
                  <w:drawing>
                    <wp:anchor distT="45720" distB="45720" distL="114300" distR="114300" simplePos="0" relativeHeight="251701248" behindDoc="0" locked="0" layoutInCell="1" hidden="0" allowOverlap="1" wp14:anchorId="0AC39F28" wp14:editId="0DBD7935">
                      <wp:simplePos x="0" y="0"/>
                      <wp:positionH relativeFrom="column">
                        <wp:posOffset>435928</wp:posOffset>
                      </wp:positionH>
                      <wp:positionV relativeFrom="paragraph">
                        <wp:posOffset>414972</wp:posOffset>
                      </wp:positionV>
                      <wp:extent cx="1402715" cy="1414145"/>
                      <wp:effectExtent l="0" t="0" r="0" b="0"/>
                      <wp:wrapNone/>
                      <wp:docPr id="2138368095" name="Rectangle 2138368095"/>
                      <wp:cNvGraphicFramePr/>
                      <a:graphic xmlns:a="http://schemas.openxmlformats.org/drawingml/2006/main">
                        <a:graphicData uri="http://schemas.microsoft.com/office/word/2010/wordprocessingShape">
                          <wps:wsp>
                            <wps:cNvSpPr/>
                            <wps:spPr>
                              <a:xfrm>
                                <a:off x="4649405" y="3077690"/>
                                <a:ext cx="1393190" cy="1404620"/>
                              </a:xfrm>
                              <a:prstGeom prst="rect">
                                <a:avLst/>
                              </a:prstGeom>
                              <a:noFill/>
                              <a:ln>
                                <a:noFill/>
                              </a:ln>
                            </wps:spPr>
                            <wps:txbx>
                              <w:txbxContent>
                                <w:p w14:paraId="3F6CF4AB" w14:textId="77777777" w:rsidR="00ED20C7" w:rsidRDefault="00ED20C7" w:rsidP="00ED20C7">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0AC39F28" id="Rectangle 2138368095" o:spid="_x0000_s1049" style="position:absolute;left:0;text-align:left;margin-left:34.35pt;margin-top:32.65pt;width:110.45pt;height:111.35pt;z-index:251701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" filled="f" stroked="f">
                      <v:textbox inset="2.53958mm,1.2694mm,2.53958mm,1.2694mm">
                        <w:txbxContent>
                          <w:p w14:paraId="3F6CF4AB" w14:textId="77777777" w:rsidR="00ED20C7" w:rsidRDefault="00ED20C7" w:rsidP="00ED20C7">
                            <w:pPr>
                              <w:jc w:val="center"/>
                              <w:textDirection w:val="btLr"/>
                            </w:pPr>
                            <w:r>
                              <w:rPr>
                                <w:color w:val="FFFF00"/>
                              </w:rPr>
                              <w:t>Geopolymer matrix</w:t>
                            </w:r>
                          </w:p>
                        </w:txbxContent>
                      </v:textbox>
                    </v:rect>
                  </w:pict>
                </mc:Fallback>
              </mc:AlternateContent>
            </w:r>
            <w:r w:rsidRPr="00966FED">
              <w:rPr>
                <w:rFonts w:ascii="Times New Roman" w:hAnsi="Times New Roman" w:cs="Times New Roman"/>
                <w:noProof/>
              </w:rPr>
              <mc:AlternateContent>
                <mc:Choice Requires="wps">
                  <w:drawing>
                    <wp:anchor distT="0" distB="0" distL="114300" distR="114300" simplePos="0" relativeHeight="251702272" behindDoc="0" locked="0" layoutInCell="1" hidden="0" allowOverlap="1" wp14:anchorId="38DF9828" wp14:editId="74DD0F52">
                      <wp:simplePos x="0" y="0"/>
                      <wp:positionH relativeFrom="column">
                        <wp:posOffset>1753235</wp:posOffset>
                      </wp:positionH>
                      <wp:positionV relativeFrom="paragraph">
                        <wp:posOffset>481330</wp:posOffset>
                      </wp:positionV>
                      <wp:extent cx="376555" cy="99695"/>
                      <wp:effectExtent l="0" t="0" r="0" b="0"/>
                      <wp:wrapNone/>
                      <wp:docPr id="2138368083" name="Straight Arrow Connector 2138368083"/>
                      <wp:cNvGraphicFramePr/>
                      <a:graphic xmlns:a="http://schemas.openxmlformats.org/drawingml/2006/main">
                        <a:graphicData uri="http://schemas.microsoft.com/office/word/2010/wordprocessingShape">
                          <wps:wsp>
                            <wps:cNvCnPr/>
                            <wps:spPr>
                              <a:xfrm rot="10800000" flipH="1">
                                <a:off x="5164073" y="3736503"/>
                                <a:ext cx="363855" cy="8699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0F03CB79" id="Straight Arrow Connector 2138368083" o:spid="_x0000_s1026" type="#_x0000_t32" style="position:absolute;margin-left:138.05pt;margin-top:37.9pt;width:29.65pt;height:7.85pt;rotation:18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0" distB="0" distL="114300" distR="114300" simplePos="0" relativeHeight="251703296" behindDoc="0" locked="0" layoutInCell="1" hidden="0" allowOverlap="1" wp14:anchorId="5FA19FFE" wp14:editId="5683BFFE">
                      <wp:simplePos x="0" y="0"/>
                      <wp:positionH relativeFrom="column">
                        <wp:posOffset>1693545</wp:posOffset>
                      </wp:positionH>
                      <wp:positionV relativeFrom="paragraph">
                        <wp:posOffset>661035</wp:posOffset>
                      </wp:positionV>
                      <wp:extent cx="474345" cy="546100"/>
                      <wp:effectExtent l="0" t="0" r="0" b="0"/>
                      <wp:wrapNone/>
                      <wp:docPr id="2138368101" name="Straight Arrow Connector 2138368101"/>
                      <wp:cNvGraphicFramePr/>
                      <a:graphic xmlns:a="http://schemas.openxmlformats.org/drawingml/2006/main">
                        <a:graphicData uri="http://schemas.microsoft.com/office/word/2010/wordprocessingShape">
                          <wps:wsp>
                            <wps:cNvCnPr/>
                            <wps:spPr>
                              <a:xfrm>
                                <a:off x="5115178" y="3513300"/>
                                <a:ext cx="461645" cy="53340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581BBB4B" id="Straight Arrow Connector 2138368101" o:spid="_x0000_s1026" type="#_x0000_t32" style="position:absolute;margin-left:133.35pt;margin-top:52.05pt;width:37.35pt;height:43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" strokecolor="yellow" strokeweight="1pt">
                      <v:stroke dashstyle="dash" startarrowwidth="narrow" startarrowlength="short" endarrow="block" joinstyle="miter"/>
                    </v:shape>
                  </w:pict>
                </mc:Fallback>
              </mc:AlternateContent>
            </w:r>
          </w:p>
        </w:tc>
      </w:tr>
      <w:tr w:rsidR="00ED20C7" w:rsidRPr="00966FED" w14:paraId="456A781B" w14:textId="77777777" w:rsidTr="00AC0ED3">
        <w:trPr>
          <w:jc w:val="center"/>
        </w:trPr>
        <w:tc>
          <w:tcPr>
            <w:tcW w:w="4481" w:type="dxa"/>
            <w:vAlign w:val="center"/>
          </w:tcPr>
          <w:p w14:paraId="0AFAF50C"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1769629F" wp14:editId="40F91E17">
                  <wp:extent cx="2652408" cy="2121926"/>
                  <wp:effectExtent l="0" t="0" r="0" b="0"/>
                  <wp:docPr id="213836813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2652408" cy="2121926"/>
                          </a:xfrm>
                          <a:prstGeom prst="rect">
                            <a:avLst/>
                          </a:prstGeom>
                          <a:ln/>
                        </pic:spPr>
                      </pic:pic>
                    </a:graphicData>
                  </a:graphic>
                </wp:inline>
              </w:drawing>
            </w:r>
          </w:p>
        </w:tc>
        <w:tc>
          <w:tcPr>
            <w:tcW w:w="4698" w:type="dxa"/>
            <w:vAlign w:val="center"/>
          </w:tcPr>
          <w:p w14:paraId="589774D8" w14:textId="77777777" w:rsidR="00ED20C7" w:rsidRPr="00966FED" w:rsidRDefault="00ED20C7" w:rsidP="00AC0ED3">
            <w:pPr>
              <w:pBdr>
                <w:top w:val="nil"/>
                <w:left w:val="nil"/>
                <w:bottom w:val="nil"/>
                <w:right w:val="nil"/>
                <w:between w:val="nil"/>
              </w:pBdr>
              <w:spacing w:after="120"/>
              <w:jc w:val="center"/>
              <w:rPr>
                <w:rFonts w:ascii="Times New Roman" w:eastAsia="Palatino Linotype" w:hAnsi="Times New Roman" w:cs="Times New Roman"/>
                <w:color w:val="000000"/>
                <w:sz w:val="20"/>
                <w:szCs w:val="20"/>
              </w:rPr>
            </w:pPr>
            <w:r w:rsidRPr="00966FED">
              <w:rPr>
                <w:rFonts w:ascii="Times New Roman" w:eastAsia="Palatino Linotype" w:hAnsi="Times New Roman" w:cs="Times New Roman"/>
                <w:noProof/>
                <w:color w:val="000000"/>
                <w:sz w:val="20"/>
                <w:szCs w:val="20"/>
              </w:rPr>
              <w:drawing>
                <wp:inline distT="0" distB="0" distL="0" distR="0" wp14:anchorId="30043844" wp14:editId="2CEF4F5D">
                  <wp:extent cx="2644965" cy="2115971"/>
                  <wp:effectExtent l="0" t="0" r="0" b="0"/>
                  <wp:docPr id="21383681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4"/>
                          <a:srcRect/>
                          <a:stretch>
                            <a:fillRect/>
                          </a:stretch>
                        </pic:blipFill>
                        <pic:spPr>
                          <a:xfrm>
                            <a:off x="0" y="0"/>
                            <a:ext cx="2644965" cy="2115971"/>
                          </a:xfrm>
                          <a:prstGeom prst="rect">
                            <a:avLst/>
                          </a:prstGeom>
                          <a:ln/>
                        </pic:spPr>
                      </pic:pic>
                    </a:graphicData>
                  </a:graphic>
                </wp:inline>
              </w:drawing>
            </w:r>
            <w:r w:rsidRPr="00966FED">
              <w:rPr>
                <w:rFonts w:ascii="Times New Roman" w:hAnsi="Times New Roman" w:cs="Times New Roman"/>
                <w:noProof/>
              </w:rPr>
              <mc:AlternateContent>
                <mc:Choice Requires="wps">
                  <w:drawing>
                    <wp:anchor distT="0" distB="0" distL="114300" distR="114300" simplePos="0" relativeHeight="251704320" behindDoc="0" locked="0" layoutInCell="1" hidden="0" allowOverlap="1" wp14:anchorId="73C46146" wp14:editId="4FD4A700">
                      <wp:simplePos x="0" y="0"/>
                      <wp:positionH relativeFrom="column">
                        <wp:posOffset>1403350</wp:posOffset>
                      </wp:positionH>
                      <wp:positionV relativeFrom="paragraph">
                        <wp:posOffset>215265</wp:posOffset>
                      </wp:positionV>
                      <wp:extent cx="93980" cy="548005"/>
                      <wp:effectExtent l="0" t="0" r="0" b="0"/>
                      <wp:wrapNone/>
                      <wp:docPr id="2138368108" name="Straight Arrow Connector 2138368108"/>
                      <wp:cNvGraphicFramePr/>
                      <a:graphic xmlns:a="http://schemas.openxmlformats.org/drawingml/2006/main">
                        <a:graphicData uri="http://schemas.microsoft.com/office/word/2010/wordprocessingShape">
                          <wps:wsp>
                            <wps:cNvCnPr/>
                            <wps:spPr>
                              <a:xfrm rot="10800000" flipH="1">
                                <a:off x="5305360" y="3512348"/>
                                <a:ext cx="81280" cy="535305"/>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15248736" id="Straight Arrow Connector 2138368108" o:spid="_x0000_s1026" type="#_x0000_t32" style="position:absolute;margin-left:110.5pt;margin-top:16.95pt;width:7.4pt;height:43.15pt;rotation:18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0" distB="0" distL="114300" distR="114300" simplePos="0" relativeHeight="251705344" behindDoc="0" locked="0" layoutInCell="1" hidden="0" allowOverlap="1" wp14:anchorId="2C178C7C" wp14:editId="1E753097">
                      <wp:simplePos x="0" y="0"/>
                      <wp:positionH relativeFrom="column">
                        <wp:posOffset>795655</wp:posOffset>
                      </wp:positionH>
                      <wp:positionV relativeFrom="paragraph">
                        <wp:posOffset>979805</wp:posOffset>
                      </wp:positionV>
                      <wp:extent cx="516255" cy="401320"/>
                      <wp:effectExtent l="0" t="0" r="0" b="0"/>
                      <wp:wrapNone/>
                      <wp:docPr id="2138368100" name="Straight Arrow Connector 2138368100"/>
                      <wp:cNvGraphicFramePr/>
                      <a:graphic xmlns:a="http://schemas.openxmlformats.org/drawingml/2006/main">
                        <a:graphicData uri="http://schemas.microsoft.com/office/word/2010/wordprocessingShape">
                          <wps:wsp>
                            <wps:cNvCnPr/>
                            <wps:spPr>
                              <a:xfrm flipH="1">
                                <a:off x="5094223" y="3585690"/>
                                <a:ext cx="503555" cy="388620"/>
                              </a:xfrm>
                              <a:prstGeom prst="straightConnector1">
                                <a:avLst/>
                              </a:prstGeom>
                              <a:noFill/>
                              <a:ln w="12700" cap="flat" cmpd="sng">
                                <a:solidFill>
                                  <a:srgbClr val="FFFF00"/>
                                </a:solidFill>
                                <a:prstDash val="dash"/>
                                <a:miter lim="800000"/>
                                <a:headEnd type="none" w="sm" len="sm"/>
                                <a:tailEnd type="triangle" w="med" len="med"/>
                              </a:ln>
                            </wps:spPr>
                            <wps:bodyPr/>
                          </wps:wsp>
                        </a:graphicData>
                      </a:graphic>
                    </wp:anchor>
                  </w:drawing>
                </mc:Choice>
                <mc:Fallback>
                  <w:pict>
                    <v:shape w14:anchorId="68077F69" id="Straight Arrow Connector 2138368100" o:spid="_x0000_s1026" type="#_x0000_t32" style="position:absolute;margin-left:62.65pt;margin-top:77.15pt;width:40.65pt;height:31.6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" strokecolor="yellow" strokeweight="1pt">
                      <v:stroke dashstyle="dash" startarrowwidth="narrow" startarrowlength="short" endarrow="block" joinstyle="miter"/>
                    </v:shape>
                  </w:pict>
                </mc:Fallback>
              </mc:AlternateContent>
            </w:r>
            <w:r w:rsidRPr="00966FED">
              <w:rPr>
                <w:rFonts w:ascii="Times New Roman" w:hAnsi="Times New Roman" w:cs="Times New Roman"/>
                <w:noProof/>
              </w:rPr>
              <mc:AlternateContent>
                <mc:Choice Requires="wps">
                  <w:drawing>
                    <wp:anchor distT="45720" distB="45720" distL="114300" distR="114300" simplePos="0" relativeHeight="251706368" behindDoc="0" locked="0" layoutInCell="1" hidden="0" allowOverlap="1" wp14:anchorId="10D5C589" wp14:editId="7407C07B">
                      <wp:simplePos x="0" y="0"/>
                      <wp:positionH relativeFrom="column">
                        <wp:posOffset>661988</wp:posOffset>
                      </wp:positionH>
                      <wp:positionV relativeFrom="paragraph">
                        <wp:posOffset>674053</wp:posOffset>
                      </wp:positionV>
                      <wp:extent cx="1402715" cy="1414145"/>
                      <wp:effectExtent l="0" t="0" r="0" b="0"/>
                      <wp:wrapNone/>
                      <wp:docPr id="2138368081" name="Rectangle 2138368081"/>
                      <wp:cNvGraphicFramePr/>
                      <a:graphic xmlns:a="http://schemas.openxmlformats.org/drawingml/2006/main">
                        <a:graphicData uri="http://schemas.microsoft.com/office/word/2010/wordprocessingShape">
                          <wps:wsp>
                            <wps:cNvSpPr/>
                            <wps:spPr>
                              <a:xfrm>
                                <a:off x="4649405" y="3077690"/>
                                <a:ext cx="1393190" cy="1404620"/>
                              </a:xfrm>
                              <a:prstGeom prst="rect">
                                <a:avLst/>
                              </a:prstGeom>
                              <a:noFill/>
                              <a:ln>
                                <a:noFill/>
                              </a:ln>
                            </wps:spPr>
                            <wps:txbx>
                              <w:txbxContent>
                                <w:p w14:paraId="74A670FF" w14:textId="77777777" w:rsidR="00ED20C7" w:rsidRDefault="00ED20C7" w:rsidP="00ED20C7">
                                  <w:pPr>
                                    <w:jc w:val="center"/>
                                    <w:textDirection w:val="btLr"/>
                                  </w:pPr>
                                  <w:r>
                                    <w:rPr>
                                      <w:color w:val="FFFF00"/>
                                    </w:rPr>
                                    <w:t>Geopolymer matrix</w:t>
                                  </w:r>
                                </w:p>
                              </w:txbxContent>
                            </wps:txbx>
                            <wps:bodyPr spcFirstLastPara="1" wrap="square" lIns="91425" tIns="45700" rIns="91425" bIns="45700" anchor="t" anchorCtr="0">
                              <a:noAutofit/>
                            </wps:bodyPr>
                          </wps:wsp>
                        </a:graphicData>
                      </a:graphic>
                    </wp:anchor>
                  </w:drawing>
                </mc:Choice>
                <mc:Fallback>
                  <w:pict>
                    <v:rect w14:anchorId="10D5C589" id="Rectangle 2138368081" o:spid="_x0000_s1050" style="position:absolute;left:0;text-align:left;margin-left:52.15pt;margin-top:53.1pt;width:110.45pt;height:111.35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" filled="f" stroked="f">
                      <v:textbox inset="2.53958mm,1.2694mm,2.53958mm,1.2694mm">
                        <w:txbxContent>
                          <w:p w14:paraId="74A670FF" w14:textId="77777777" w:rsidR="00ED20C7" w:rsidRDefault="00ED20C7" w:rsidP="00ED20C7">
                            <w:pPr>
                              <w:jc w:val="center"/>
                              <w:textDirection w:val="btLr"/>
                            </w:pPr>
                            <w:r>
                              <w:rPr>
                                <w:color w:val="FFFF00"/>
                              </w:rPr>
                              <w:t>Geopolymer matrix</w:t>
                            </w:r>
                          </w:p>
                        </w:txbxContent>
                      </v:textbox>
                    </v:rect>
                  </w:pict>
                </mc:Fallback>
              </mc:AlternateContent>
            </w:r>
          </w:p>
        </w:tc>
      </w:tr>
    </w:tbl>
    <w:p w14:paraId="2621FF80" w14:textId="77777777" w:rsidR="00552AA7" w:rsidRPr="00966FED" w:rsidRDefault="00552AA7" w:rsidP="00552AA7">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CONCLUSION</w:t>
      </w:r>
    </w:p>
    <w:p w14:paraId="2EB86BBC" w14:textId="77777777" w:rsidR="00BD57E9"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 xml:space="preserve">A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-enhanced geopolymer fire-retardant coating (GFC) derived from sugarcane bagasse ash (SCBA) and </w:t>
      </w:r>
      <w:proofErr w:type="spellStart"/>
      <w:r w:rsidRPr="00966FED">
        <w:rPr>
          <w:rFonts w:ascii="Times New Roman" w:hAnsi="Times New Roman" w:cs="Times New Roman"/>
        </w:rPr>
        <w:t>Kauswagan</w:t>
      </w:r>
      <w:proofErr w:type="spellEnd"/>
      <w:r w:rsidRPr="00966FED">
        <w:rPr>
          <w:rFonts w:ascii="Times New Roman" w:hAnsi="Times New Roman" w:cs="Times New Roman"/>
        </w:rPr>
        <w:t xml:space="preserve"> Red Clay (KRC) </w:t>
      </w:r>
      <w:proofErr w:type="gramStart"/>
      <w:r w:rsidRPr="00966FED">
        <w:rPr>
          <w:rFonts w:ascii="Times New Roman" w:hAnsi="Times New Roman" w:cs="Times New Roman"/>
        </w:rPr>
        <w:t>was</w:t>
      </w:r>
      <w:proofErr w:type="gramEnd"/>
      <w:r w:rsidRPr="00966FED">
        <w:rPr>
          <w:rFonts w:ascii="Times New Roman" w:hAnsi="Times New Roman" w:cs="Times New Roman"/>
        </w:rPr>
        <w:t xml:space="preserve"> successfully optimized using response surface methodology (RSM). The experimental results demonstrated that the Si/Al ratio,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w:t>
      </w:r>
      <w:proofErr w:type="spellStart"/>
      <w:r w:rsidRPr="00966FED">
        <w:rPr>
          <w:rFonts w:ascii="Times New Roman" w:hAnsi="Times New Roman" w:cs="Times New Roman"/>
        </w:rPr>
        <w:t>wt</w:t>
      </w:r>
      <w:proofErr w:type="spellEnd"/>
      <w:r w:rsidRPr="00966FED">
        <w:rPr>
          <w:rFonts w:ascii="Times New Roman" w:hAnsi="Times New Roman" w:cs="Times New Roman"/>
        </w:rPr>
        <w:t xml:space="preserve">%, and geopolymer-binder-coating-to-alkyd paint (GBC/AP) ratio all had a significant impact on the time taken to reach a backside temperature of 300 °C (TT300). Their effects can be summarized by the RSM model as in Equation 1. </w:t>
      </w:r>
    </w:p>
    <w:p w14:paraId="7409EA01" w14:textId="77777777" w:rsidR="00BD57E9"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 xml:space="preserve">Among the tested samples, Sample 1 exhibited the poorest fire resistance, reaching TT300 in 92 s, whereas Sample 9 demonstrated the best performance, achieving TT300 in 337 s. The improvement in fire resistance was attributed to the increased Si/Al ratio,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w:t>
      </w:r>
      <w:proofErr w:type="spellStart"/>
      <w:r w:rsidRPr="00966FED">
        <w:rPr>
          <w:rFonts w:ascii="Times New Roman" w:hAnsi="Times New Roman" w:cs="Times New Roman"/>
        </w:rPr>
        <w:t>wt</w:t>
      </w:r>
      <w:proofErr w:type="spellEnd"/>
      <w:r w:rsidRPr="00966FED">
        <w:rPr>
          <w:rFonts w:ascii="Times New Roman" w:hAnsi="Times New Roman" w:cs="Times New Roman"/>
        </w:rPr>
        <w:t xml:space="preserve">%, and GBC/AP ratio, which contributed to </w:t>
      </w:r>
      <w:r w:rsidRPr="00966FED">
        <w:rPr>
          <w:rFonts w:ascii="Times New Roman" w:hAnsi="Times New Roman" w:cs="Times New Roman"/>
        </w:rPr>
        <w:lastRenderedPageBreak/>
        <w:t xml:space="preserve">enhanced thermal stability and fire protection. Adhesion test results further showed that the incorporation of GBC into AP does not have a negative effect on the adhesion of the coating and showed the best rating (5B). Thermogravimetric analysis (TGA) supported these findings, with Sample 1 having a residual weight of 59.33% while Sample 9 had a residual weight of 65.53%. This shows that sample 9 has superior thermal stability after thermal degradation. Microstructural analysis via scanning electron microscopy (SEM) revealed that lower Si/Al ratios,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w:t>
      </w:r>
      <w:proofErr w:type="spellStart"/>
      <w:r w:rsidRPr="00966FED">
        <w:rPr>
          <w:rFonts w:ascii="Times New Roman" w:hAnsi="Times New Roman" w:cs="Times New Roman"/>
        </w:rPr>
        <w:t>wt</w:t>
      </w:r>
      <w:proofErr w:type="spellEnd"/>
      <w:r w:rsidRPr="00966FED">
        <w:rPr>
          <w:rFonts w:ascii="Times New Roman" w:hAnsi="Times New Roman" w:cs="Times New Roman"/>
        </w:rPr>
        <w:t>%, and GBC/AP ratios led to more severe cracking, which compromised the coating’s structural integrity and facilitated heat penetration, reducing fire resistance. However, an excessively high Si/Al ratio resulted in the presence of unreacted particles on the surface, creating a rougher and less homogeneous morphology. These findings suggest that an optimal balance among formulation parameters is crucial to achieving a dense, crack-free, and thermally stable coating.</w:t>
      </w:r>
    </w:p>
    <w:p w14:paraId="3B6318FB" w14:textId="77777777" w:rsidR="00BD57E9"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 xml:space="preserve">The optimal coating composition was determined to be a Si/Al ratio of 4.728 ±0.001, </w:t>
      </w:r>
      <w:proofErr w:type="spellStart"/>
      <w:r w:rsidRPr="00966FED">
        <w:rPr>
          <w:rFonts w:ascii="Times New Roman" w:hAnsi="Times New Roman" w:cs="Times New Roman"/>
        </w:rPr>
        <w:t>nanosilica</w:t>
      </w:r>
      <w:proofErr w:type="spellEnd"/>
      <w:r w:rsidRPr="00966FED">
        <w:rPr>
          <w:rFonts w:ascii="Times New Roman" w:hAnsi="Times New Roman" w:cs="Times New Roman"/>
        </w:rPr>
        <w:t xml:space="preserve"> </w:t>
      </w:r>
      <w:proofErr w:type="spellStart"/>
      <w:r w:rsidRPr="00966FED">
        <w:rPr>
          <w:rFonts w:ascii="Times New Roman" w:hAnsi="Times New Roman" w:cs="Times New Roman"/>
        </w:rPr>
        <w:t>wt</w:t>
      </w:r>
      <w:proofErr w:type="spellEnd"/>
      <w:r w:rsidRPr="00966FED">
        <w:rPr>
          <w:rFonts w:ascii="Times New Roman" w:hAnsi="Times New Roman" w:cs="Times New Roman"/>
        </w:rPr>
        <w:t xml:space="preserve">% of 0.583 ±0.001, and a GBC/AP ratio of 0.497±0.001, with a predicted TT300 of 340 s. The experimental validation showed an error margin of 6.67% between the predicted and actual values, confirming the accuracy and reliability of the RSM model for optimization. Furthermore, the incorporation of GBC into AP significantly enhanced fire resistance. The control sample, AP without GBC, reached TT300 in 82 s, whereas the optimized GFC formulation achieved TT300 in 326 s, demonstrating a substantial improvement in fire protection. The enhanced performance was attributed to the formation of a stable and compact char layer brought by the incorporation of GBC into AP, which acted as an effective thermal barrier, reducing heat transfer to the underlying substrate. </w:t>
      </w:r>
    </w:p>
    <w:p w14:paraId="640DB99E" w14:textId="63C22F52" w:rsidR="00ED20C7" w:rsidRPr="00966FED" w:rsidRDefault="00BD57E9" w:rsidP="00BD57E9">
      <w:pPr>
        <w:spacing w:before="240" w:after="240" w:line="240" w:lineRule="auto"/>
        <w:ind w:firstLine="720"/>
        <w:jc w:val="both"/>
        <w:rPr>
          <w:rFonts w:ascii="Times New Roman" w:hAnsi="Times New Roman" w:cs="Times New Roman"/>
        </w:rPr>
      </w:pPr>
      <w:r w:rsidRPr="00966FED">
        <w:rPr>
          <w:rFonts w:ascii="Times New Roman" w:hAnsi="Times New Roman" w:cs="Times New Roman"/>
        </w:rPr>
        <w:t>Overall, these findings emphasize the potential of GFC as a sustainable and efficient fire-retardant material for protective applications, offering a practical alternative to conventional fireproofing solutions.</w:t>
      </w:r>
    </w:p>
    <w:p w14:paraId="6F337DF8" w14:textId="77777777" w:rsidR="009C6A44" w:rsidRPr="00966FED" w:rsidRDefault="00FF39E0" w:rsidP="009C6A44">
      <w:pPr>
        <w:spacing w:before="240" w:after="240" w:line="240" w:lineRule="auto"/>
        <w:jc w:val="both"/>
        <w:rPr>
          <w:rFonts w:ascii="Times New Roman" w:hAnsi="Times New Roman" w:cs="Times New Roman"/>
          <w:b/>
          <w:bCs/>
          <w:sz w:val="28"/>
          <w:szCs w:val="28"/>
        </w:rPr>
      </w:pPr>
      <w:r w:rsidRPr="00966FED">
        <w:rPr>
          <w:rFonts w:ascii="Times New Roman" w:hAnsi="Times New Roman" w:cs="Times New Roman"/>
          <w:b/>
          <w:bCs/>
          <w:sz w:val="28"/>
          <w:szCs w:val="28"/>
        </w:rPr>
        <w:t>REFERENCE</w:t>
      </w:r>
      <w:r w:rsidR="009C6A44" w:rsidRPr="00966FED">
        <w:rPr>
          <w:rFonts w:ascii="Times New Roman" w:hAnsi="Times New Roman" w:cs="Times New Roman"/>
          <w:b/>
          <w:bCs/>
          <w:sz w:val="28"/>
          <w:szCs w:val="28"/>
        </w:rPr>
        <w:t>S</w:t>
      </w:r>
    </w:p>
    <w:p w14:paraId="4B0C7524" w14:textId="7777777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‘Spray Applied Fireproofing Contractors for Structural Steel’. Accessed: Jul. 28, 2024. [Online]. Available: https://clmfireproofing.com/structural-steel-fire-protection/</w:t>
      </w:r>
    </w:p>
    <w:p w14:paraId="37F6BA00" w14:textId="206674B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‘Fire Incidents and BFP Performance’, Accessed: Jul. 28, 2024. [Online]. Available: https://www.ctif.org/</w:t>
      </w:r>
    </w:p>
    <w:p w14:paraId="0F4A5643" w14:textId="6F2D81B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G. Puri and A. S. Khanna, ‘Effect of </w:t>
      </w:r>
      <w:proofErr w:type="spellStart"/>
      <w:r w:rsidRPr="00966FED">
        <w:rPr>
          <w:rFonts w:ascii="Times New Roman" w:hAnsi="Times New Roman" w:cs="Times New Roman"/>
        </w:rPr>
        <w:t>cenospheres</w:t>
      </w:r>
      <w:proofErr w:type="spellEnd"/>
      <w:r w:rsidRPr="00966FED">
        <w:rPr>
          <w:rFonts w:ascii="Times New Roman" w:hAnsi="Times New Roman" w:cs="Times New Roman"/>
        </w:rPr>
        <w:t xml:space="preserve"> on the char formation and fire protective performance of water-based intumescent coatings on structural steel’, </w:t>
      </w:r>
      <w:r w:rsidRPr="00966FED">
        <w:rPr>
          <w:rFonts w:ascii="Times New Roman" w:hAnsi="Times New Roman" w:cs="Times New Roman"/>
          <w:i/>
          <w:iCs/>
        </w:rPr>
        <w:t>Prog Org Coat</w:t>
      </w:r>
      <w:r w:rsidRPr="00966FED">
        <w:rPr>
          <w:rFonts w:ascii="Times New Roman" w:hAnsi="Times New Roman" w:cs="Times New Roman"/>
        </w:rPr>
        <w:t xml:space="preserve">, vol. 92, pp. 8–15, Mar. 2016,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10.1016/J.PORGCOAT.2015.11.016.</w:t>
      </w:r>
    </w:p>
    <w:p w14:paraId="31DC0E06" w14:textId="63958928"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A. Andersson, S. Landmark, and F. H. J. Maurer, ‘Evaluation and characterization of </w:t>
      </w:r>
      <w:proofErr w:type="spellStart"/>
      <w:r w:rsidRPr="00966FED">
        <w:rPr>
          <w:rFonts w:ascii="Times New Roman" w:hAnsi="Times New Roman" w:cs="Times New Roman"/>
        </w:rPr>
        <w:t>ammoniumpolyphosphate</w:t>
      </w:r>
      <w:proofErr w:type="spellEnd"/>
      <w:r w:rsidRPr="00966FED">
        <w:rPr>
          <w:rFonts w:ascii="Times New Roman" w:hAnsi="Times New Roman" w:cs="Times New Roman"/>
        </w:rPr>
        <w:t xml:space="preserve">-pentaerythritol-based systems for intumescent coatings’, </w:t>
      </w:r>
      <w:r w:rsidRPr="00966FED">
        <w:rPr>
          <w:rFonts w:ascii="Times New Roman" w:hAnsi="Times New Roman" w:cs="Times New Roman"/>
          <w:i/>
          <w:iCs/>
        </w:rPr>
        <w:t xml:space="preserve">J Appl </w:t>
      </w:r>
      <w:proofErr w:type="spellStart"/>
      <w:r w:rsidRPr="00966FED">
        <w:rPr>
          <w:rFonts w:ascii="Times New Roman" w:hAnsi="Times New Roman" w:cs="Times New Roman"/>
          <w:i/>
          <w:iCs/>
        </w:rPr>
        <w:t>Polym</w:t>
      </w:r>
      <w:proofErr w:type="spellEnd"/>
      <w:r w:rsidRPr="00966FED">
        <w:rPr>
          <w:rFonts w:ascii="Times New Roman" w:hAnsi="Times New Roman" w:cs="Times New Roman"/>
          <w:i/>
          <w:iCs/>
        </w:rPr>
        <w:t xml:space="preserve"> Sci</w:t>
      </w:r>
      <w:r w:rsidRPr="00966FED">
        <w:rPr>
          <w:rFonts w:ascii="Times New Roman" w:hAnsi="Times New Roman" w:cs="Times New Roman"/>
        </w:rPr>
        <w:t xml:space="preserve">, vol. 104, no. 2, pp. 748–753, Apr. 2007, </w:t>
      </w:r>
      <w:proofErr w:type="spellStart"/>
      <w:r w:rsidRPr="00966FED">
        <w:rPr>
          <w:rFonts w:ascii="Times New Roman" w:hAnsi="Times New Roman" w:cs="Times New Roman"/>
        </w:rPr>
        <w:t>doi</w:t>
      </w:r>
      <w:proofErr w:type="spellEnd"/>
      <w:r w:rsidRPr="00966FED">
        <w:rPr>
          <w:rFonts w:ascii="Times New Roman" w:hAnsi="Times New Roman" w:cs="Times New Roman"/>
        </w:rPr>
        <w:t>: 10.1002/APP.25588.</w:t>
      </w:r>
    </w:p>
    <w:p w14:paraId="6212D32B" w14:textId="6F183F5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L. Yan, Z. Xu, and X. Wang, ‘Influence of nano-silica on the flame retardancy and smoke suppression properties of transparent intumescent fire-retardant coatings’, </w:t>
      </w:r>
      <w:r w:rsidRPr="00966FED">
        <w:rPr>
          <w:rFonts w:ascii="Times New Roman" w:hAnsi="Times New Roman" w:cs="Times New Roman"/>
          <w:i/>
          <w:iCs/>
        </w:rPr>
        <w:t>Prog Org Coat</w:t>
      </w:r>
      <w:r w:rsidRPr="00966FED">
        <w:rPr>
          <w:rFonts w:ascii="Times New Roman" w:hAnsi="Times New Roman" w:cs="Times New Roman"/>
        </w:rPr>
        <w:t xml:space="preserve">, vol. 112, pp. 319–329, Nov. 2017,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10.1016/J.PORGCOAT.2017.07.017.</w:t>
      </w:r>
    </w:p>
    <w:p w14:paraId="073C1468" w14:textId="2227F55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Y. Wang </w:t>
      </w:r>
      <w:r w:rsidRPr="00966FED">
        <w:rPr>
          <w:rFonts w:ascii="Times New Roman" w:hAnsi="Times New Roman" w:cs="Times New Roman"/>
          <w:i/>
          <w:iCs/>
        </w:rPr>
        <w:t>et al.</w:t>
      </w:r>
      <w:r w:rsidRPr="00966FED">
        <w:rPr>
          <w:rFonts w:ascii="Times New Roman" w:hAnsi="Times New Roman" w:cs="Times New Roman"/>
        </w:rPr>
        <w:t xml:space="preserve">, ‘Synergistic Effect of Nano-Silica and Intumescent Flame Retardant on the Fire Reaction Properties of Polypropylene Composites’, </w:t>
      </w:r>
      <w:r w:rsidRPr="00966FED">
        <w:rPr>
          <w:rFonts w:ascii="Times New Roman" w:hAnsi="Times New Roman" w:cs="Times New Roman"/>
          <w:i/>
          <w:iCs/>
        </w:rPr>
        <w:t>Materials 2023, Vol. 16, Page 4759</w:t>
      </w:r>
      <w:r w:rsidRPr="00966FED">
        <w:rPr>
          <w:rFonts w:ascii="Times New Roman" w:hAnsi="Times New Roman" w:cs="Times New Roman"/>
        </w:rPr>
        <w:t xml:space="preserve">, vol. 16, no. 13, p. 4759, Jun. 2023, </w:t>
      </w:r>
      <w:proofErr w:type="spellStart"/>
      <w:r w:rsidRPr="00966FED">
        <w:rPr>
          <w:rFonts w:ascii="Times New Roman" w:hAnsi="Times New Roman" w:cs="Times New Roman"/>
        </w:rPr>
        <w:t>doi</w:t>
      </w:r>
      <w:proofErr w:type="spellEnd"/>
      <w:r w:rsidRPr="00966FED">
        <w:rPr>
          <w:rFonts w:ascii="Times New Roman" w:hAnsi="Times New Roman" w:cs="Times New Roman"/>
        </w:rPr>
        <w:t>: 10.3390/MA16134759.</w:t>
      </w:r>
    </w:p>
    <w:p w14:paraId="26E78FF5" w14:textId="2A9FE8F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L. H. Daus, B. </w:t>
      </w:r>
      <w:proofErr w:type="spellStart"/>
      <w:r w:rsidRPr="00966FED">
        <w:rPr>
          <w:rFonts w:ascii="Times New Roman" w:hAnsi="Times New Roman" w:cs="Times New Roman"/>
        </w:rPr>
        <w:t>Schartel</w:t>
      </w:r>
      <w:proofErr w:type="spellEnd"/>
      <w:r w:rsidRPr="00966FED">
        <w:rPr>
          <w:rFonts w:ascii="Times New Roman" w:hAnsi="Times New Roman" w:cs="Times New Roman"/>
        </w:rPr>
        <w:t xml:space="preserve">, V. </w:t>
      </w:r>
      <w:proofErr w:type="spellStart"/>
      <w:r w:rsidRPr="00966FED">
        <w:rPr>
          <w:rFonts w:ascii="Times New Roman" w:hAnsi="Times New Roman" w:cs="Times New Roman"/>
        </w:rPr>
        <w:t>Wachtendorf</w:t>
      </w:r>
      <w:proofErr w:type="spellEnd"/>
      <w:r w:rsidRPr="00966FED">
        <w:rPr>
          <w:rFonts w:ascii="Times New Roman" w:hAnsi="Times New Roman" w:cs="Times New Roman"/>
        </w:rPr>
        <w:t xml:space="preserve">, R. Mangelsdorf, and M. Korzen, ‘A chain is no stronger than its weakest link: Weathering resistance of water-based intumescent coatings for steel applications’, </w:t>
      </w:r>
      <w:r w:rsidRPr="00966FED">
        <w:rPr>
          <w:rFonts w:ascii="Times New Roman" w:hAnsi="Times New Roman" w:cs="Times New Roman"/>
          <w:i/>
          <w:iCs/>
        </w:rPr>
        <w:t>https://doi.org/10.1177/0734904120961064</w:t>
      </w:r>
      <w:r w:rsidRPr="00966FED">
        <w:rPr>
          <w:rFonts w:ascii="Times New Roman" w:hAnsi="Times New Roman" w:cs="Times New Roman"/>
        </w:rPr>
        <w:t xml:space="preserve">, vol. 39, no. 1, pp. 72–102, Nov.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10.1177/0734904120961064.</w:t>
      </w:r>
    </w:p>
    <w:p w14:paraId="1C8A69FF" w14:textId="3E97511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C. de Sá </w:t>
      </w:r>
      <w:r w:rsidRPr="00966FED">
        <w:rPr>
          <w:rFonts w:ascii="Times New Roman" w:hAnsi="Times New Roman" w:cs="Times New Roman"/>
          <w:i/>
          <w:iCs/>
        </w:rPr>
        <w:t>et al.</w:t>
      </w:r>
      <w:r w:rsidRPr="00966FED">
        <w:rPr>
          <w:rFonts w:ascii="Times New Roman" w:hAnsi="Times New Roman" w:cs="Times New Roman"/>
        </w:rPr>
        <w:t xml:space="preserve">, ‘Environmentally friendly intumescent coatings formulated with vegetable compounds’, </w:t>
      </w:r>
      <w:r w:rsidRPr="00966FED">
        <w:rPr>
          <w:rFonts w:ascii="Times New Roman" w:hAnsi="Times New Roman" w:cs="Times New Roman"/>
          <w:i/>
          <w:iCs/>
        </w:rPr>
        <w:t>Prog Org Coat</w:t>
      </w:r>
      <w:r w:rsidRPr="00966FED">
        <w:rPr>
          <w:rFonts w:ascii="Times New Roman" w:hAnsi="Times New Roman" w:cs="Times New Roman"/>
        </w:rPr>
        <w:t xml:space="preserve">, vol. 113, pp. 47–59, Dec. 2017,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10.1016/J.PORGCOAT.2017.08.007.</w:t>
      </w:r>
    </w:p>
    <w:p w14:paraId="051113C3" w14:textId="6CB603F9"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C. Jiang, A. Wang, X. Bao, T. Ni, and J. Ling, ‘A review on geopolymer in potential coating application: Materials, preparation and basic properties’, </w:t>
      </w:r>
      <w:r w:rsidRPr="00966FED">
        <w:rPr>
          <w:rFonts w:ascii="Times New Roman" w:hAnsi="Times New Roman" w:cs="Times New Roman"/>
          <w:i/>
          <w:iCs/>
        </w:rPr>
        <w:t>Journal of Building Engineering</w:t>
      </w:r>
      <w:r w:rsidRPr="00966FED">
        <w:rPr>
          <w:rFonts w:ascii="Times New Roman" w:hAnsi="Times New Roman" w:cs="Times New Roman"/>
        </w:rPr>
        <w:t xml:space="preserve">, vol. 32, p. 101734, Nov.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10.1016/J.JOBE.2020.101734.</w:t>
      </w:r>
    </w:p>
    <w:p w14:paraId="7B2FD52F" w14:textId="7F9ED32D"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lastRenderedPageBreak/>
        <w:t xml:space="preserve">M. B. </w:t>
      </w:r>
      <w:proofErr w:type="spellStart"/>
      <w:r w:rsidRPr="00966FED">
        <w:rPr>
          <w:rFonts w:ascii="Times New Roman" w:hAnsi="Times New Roman" w:cs="Times New Roman"/>
        </w:rPr>
        <w:t>Watolla</w:t>
      </w:r>
      <w:proofErr w:type="spellEnd"/>
      <w:r w:rsidRPr="00966FED">
        <w:rPr>
          <w:rFonts w:ascii="Times New Roman" w:hAnsi="Times New Roman" w:cs="Times New Roman"/>
        </w:rPr>
        <w:t xml:space="preserve">, G. J. G. Gluth, P. Sturm, W. D. A. Rickard, S. Krüger, and B. </w:t>
      </w:r>
      <w:proofErr w:type="spellStart"/>
      <w:r w:rsidRPr="00966FED">
        <w:rPr>
          <w:rFonts w:ascii="Times New Roman" w:hAnsi="Times New Roman" w:cs="Times New Roman"/>
        </w:rPr>
        <w:t>Schartel</w:t>
      </w:r>
      <w:proofErr w:type="spellEnd"/>
      <w:r w:rsidRPr="00966FED">
        <w:rPr>
          <w:rFonts w:ascii="Times New Roman" w:hAnsi="Times New Roman" w:cs="Times New Roman"/>
        </w:rPr>
        <w:t xml:space="preserve">, ‘Intumescent Geopolymer-Bound Coatings for Fire Protection of Steel’, </w:t>
      </w:r>
      <w:r w:rsidRPr="00966FED">
        <w:rPr>
          <w:rFonts w:ascii="Times New Roman" w:hAnsi="Times New Roman" w:cs="Times New Roman"/>
          <w:i/>
          <w:iCs/>
        </w:rPr>
        <w:t>Journal of Ceramic Science and Technology</w:t>
      </w:r>
      <w:r w:rsidRPr="00966FED">
        <w:rPr>
          <w:rFonts w:ascii="Times New Roman" w:hAnsi="Times New Roman" w:cs="Times New Roman"/>
        </w:rPr>
        <w:t xml:space="preserve">, vol. 8, no. 3, pp. 351–364, 2017, </w:t>
      </w:r>
      <w:proofErr w:type="spellStart"/>
      <w:r w:rsidRPr="00966FED">
        <w:rPr>
          <w:rFonts w:ascii="Times New Roman" w:hAnsi="Times New Roman" w:cs="Times New Roman"/>
        </w:rPr>
        <w:t>doi</w:t>
      </w:r>
      <w:proofErr w:type="spellEnd"/>
      <w:r w:rsidRPr="00966FED">
        <w:rPr>
          <w:rFonts w:ascii="Times New Roman" w:hAnsi="Times New Roman" w:cs="Times New Roman"/>
        </w:rPr>
        <w:t>: 10.4416/JCST2017-00035.</w:t>
      </w:r>
    </w:p>
    <w:p w14:paraId="751278DD" w14:textId="5B36383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S. Mohd Basri, F. Mustapha, N. Mazlan, and M. R. Ishak, ‘Fire Retardant Performance of Rice Husk Ash-Based Geopolymer Coated Mild Steel - A Factorial Design and Microstructure Analysis’, </w:t>
      </w:r>
      <w:r w:rsidRPr="00966FED">
        <w:rPr>
          <w:rFonts w:ascii="Times New Roman" w:hAnsi="Times New Roman" w:cs="Times New Roman"/>
          <w:i/>
          <w:iCs/>
        </w:rPr>
        <w:t>Materials Science Forum</w:t>
      </w:r>
      <w:r w:rsidRPr="00966FED">
        <w:rPr>
          <w:rFonts w:ascii="Times New Roman" w:hAnsi="Times New Roman" w:cs="Times New Roman"/>
        </w:rPr>
        <w:t xml:space="preserve">, vol. 841, pp. 48–54, 2016, </w:t>
      </w:r>
      <w:proofErr w:type="spellStart"/>
      <w:r w:rsidRPr="00966FED">
        <w:rPr>
          <w:rFonts w:ascii="Times New Roman" w:hAnsi="Times New Roman" w:cs="Times New Roman"/>
        </w:rPr>
        <w:t>doi</w:t>
      </w:r>
      <w:proofErr w:type="spellEnd"/>
      <w:r w:rsidRPr="00966FED">
        <w:rPr>
          <w:rFonts w:ascii="Times New Roman" w:hAnsi="Times New Roman" w:cs="Times New Roman"/>
        </w:rPr>
        <w:t>: 10.4028/WWW.SCIENTIFIC.NET/MSF.841.48.</w:t>
      </w:r>
    </w:p>
    <w:p w14:paraId="60B39BD0" w14:textId="52EE6B48"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K. Srinivasan and A. Sivakumar, ‘Geopolymer Binders: A Need for Future Concrete Construction’, </w:t>
      </w:r>
      <w:r w:rsidRPr="00966FED">
        <w:rPr>
          <w:rFonts w:ascii="Times New Roman" w:hAnsi="Times New Roman" w:cs="Times New Roman"/>
          <w:i/>
          <w:iCs/>
        </w:rPr>
        <w:t>Int Sch Res Notices</w:t>
      </w:r>
      <w:r w:rsidRPr="00966FED">
        <w:rPr>
          <w:rFonts w:ascii="Times New Roman" w:hAnsi="Times New Roman" w:cs="Times New Roman"/>
        </w:rPr>
        <w:t xml:space="preserve">, vol. 2013, no. 1, p. 509185, Jan. 2013, </w:t>
      </w:r>
      <w:proofErr w:type="spellStart"/>
      <w:r w:rsidRPr="00966FED">
        <w:rPr>
          <w:rFonts w:ascii="Times New Roman" w:hAnsi="Times New Roman" w:cs="Times New Roman"/>
        </w:rPr>
        <w:t>doi</w:t>
      </w:r>
      <w:proofErr w:type="spellEnd"/>
      <w:r w:rsidRPr="00966FED">
        <w:rPr>
          <w:rFonts w:ascii="Times New Roman" w:hAnsi="Times New Roman" w:cs="Times New Roman"/>
        </w:rPr>
        <w:t>: 10.1155/2013/509185.</w:t>
      </w:r>
    </w:p>
    <w:p w14:paraId="656D5932" w14:textId="0665752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K. Neupane, D. Chalmers, and P. Kidd, ‘High-Strength Geopolymer Concrete- Properties, Advantages and Challenges’, </w:t>
      </w:r>
      <w:r w:rsidRPr="00966FED">
        <w:rPr>
          <w:rFonts w:ascii="Times New Roman" w:hAnsi="Times New Roman" w:cs="Times New Roman"/>
          <w:i/>
          <w:iCs/>
        </w:rPr>
        <w:t>Advances in Materials 2018, Volume 7, Page 15</w:t>
      </w:r>
      <w:r w:rsidRPr="00966FED">
        <w:rPr>
          <w:rFonts w:ascii="Times New Roman" w:hAnsi="Times New Roman" w:cs="Times New Roman"/>
        </w:rPr>
        <w:t xml:space="preserve">, vol. 7, no. 2, pp. 15–25, Jun. 2018, </w:t>
      </w:r>
      <w:proofErr w:type="spellStart"/>
      <w:r w:rsidRPr="00966FED">
        <w:rPr>
          <w:rFonts w:ascii="Times New Roman" w:hAnsi="Times New Roman" w:cs="Times New Roman"/>
        </w:rPr>
        <w:t>doi</w:t>
      </w:r>
      <w:proofErr w:type="spellEnd"/>
      <w:r w:rsidRPr="00966FED">
        <w:rPr>
          <w:rFonts w:ascii="Times New Roman" w:hAnsi="Times New Roman" w:cs="Times New Roman"/>
        </w:rPr>
        <w:t>: 10.11648/J.AM.20180702.11.</w:t>
      </w:r>
    </w:p>
    <w:p w14:paraId="2F03BCD0" w14:textId="5C0FD13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Z. Zhou, C. Zeng, H. Wei, and Y. Ding, ‘Preparation and property study of geopolymer composite fireproof coating with PVA fiber and manganese slag’, </w:t>
      </w:r>
      <w:r w:rsidRPr="00966FED">
        <w:rPr>
          <w:rFonts w:ascii="Times New Roman" w:hAnsi="Times New Roman" w:cs="Times New Roman"/>
          <w:i/>
          <w:iCs/>
        </w:rPr>
        <w:t>Cleaner Materials</w:t>
      </w:r>
      <w:r w:rsidRPr="00966FED">
        <w:rPr>
          <w:rFonts w:ascii="Times New Roman" w:hAnsi="Times New Roman" w:cs="Times New Roman"/>
        </w:rPr>
        <w:t xml:space="preserve">, vol. 15, p. 100289, Mar. 2025,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10.1016/J.CLEMA.2024.100289.</w:t>
      </w:r>
    </w:p>
    <w:p w14:paraId="3D6F55BF" w14:textId="4F30610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Zain, M. M. A. B. Abdullah, K. Hussin, N. Ariffin, and R. </w:t>
      </w:r>
      <w:proofErr w:type="spellStart"/>
      <w:r w:rsidRPr="00966FED">
        <w:rPr>
          <w:rFonts w:ascii="Times New Roman" w:hAnsi="Times New Roman" w:cs="Times New Roman"/>
        </w:rPr>
        <w:t>Bayuaji</w:t>
      </w:r>
      <w:proofErr w:type="spellEnd"/>
      <w:r w:rsidRPr="00966FED">
        <w:rPr>
          <w:rFonts w:ascii="Times New Roman" w:hAnsi="Times New Roman" w:cs="Times New Roman"/>
        </w:rPr>
        <w:t xml:space="preserve">, ‘Review on Various Types of Geopolymer Materials with the Environmental Impact Assessment’, </w:t>
      </w:r>
      <w:r w:rsidRPr="00966FED">
        <w:rPr>
          <w:rFonts w:ascii="Times New Roman" w:hAnsi="Times New Roman" w:cs="Times New Roman"/>
          <w:i/>
          <w:iCs/>
        </w:rPr>
        <w:t>MATEC Web of Conferences</w:t>
      </w:r>
      <w:r w:rsidRPr="00966FED">
        <w:rPr>
          <w:rFonts w:ascii="Times New Roman" w:hAnsi="Times New Roman" w:cs="Times New Roman"/>
        </w:rPr>
        <w:t xml:space="preserve">, vol. 97, p. 01021, Feb. 2017, </w:t>
      </w:r>
      <w:proofErr w:type="spellStart"/>
      <w:r w:rsidRPr="00966FED">
        <w:rPr>
          <w:rFonts w:ascii="Times New Roman" w:hAnsi="Times New Roman" w:cs="Times New Roman"/>
        </w:rPr>
        <w:t>doi</w:t>
      </w:r>
      <w:proofErr w:type="spellEnd"/>
      <w:r w:rsidRPr="00966FED">
        <w:rPr>
          <w:rFonts w:ascii="Times New Roman" w:hAnsi="Times New Roman" w:cs="Times New Roman"/>
        </w:rPr>
        <w:t>: 10.1051/MATECCONF/20179701021.</w:t>
      </w:r>
    </w:p>
    <w:p w14:paraId="73396696" w14:textId="161D286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J. Temuujin, A. </w:t>
      </w:r>
      <w:proofErr w:type="spellStart"/>
      <w:r w:rsidRPr="00966FED">
        <w:rPr>
          <w:rFonts w:ascii="Times New Roman" w:hAnsi="Times New Roman" w:cs="Times New Roman"/>
        </w:rPr>
        <w:t>Minjigmaa</w:t>
      </w:r>
      <w:proofErr w:type="spellEnd"/>
      <w:r w:rsidRPr="00966FED">
        <w:rPr>
          <w:rFonts w:ascii="Times New Roman" w:hAnsi="Times New Roman" w:cs="Times New Roman"/>
        </w:rPr>
        <w:t xml:space="preserve">, W. Rickard, M. Lee, I. Williams, and A. van Riessen, ‘Preparation of metakaolin based geopolymer coatings on metal substrates as thermal barriers’, </w:t>
      </w:r>
      <w:r w:rsidRPr="00966FED">
        <w:rPr>
          <w:rFonts w:ascii="Times New Roman" w:hAnsi="Times New Roman" w:cs="Times New Roman"/>
          <w:i/>
          <w:iCs/>
        </w:rPr>
        <w:t>Appl Clay Sci</w:t>
      </w:r>
      <w:r w:rsidRPr="00966FED">
        <w:rPr>
          <w:rFonts w:ascii="Times New Roman" w:hAnsi="Times New Roman" w:cs="Times New Roman"/>
        </w:rPr>
        <w:t xml:space="preserve">, vol. 46, no. 3, pp. 265–270, Nov. 2009,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10.1016/J.CLAY.2009.08.015.</w:t>
      </w:r>
    </w:p>
    <w:p w14:paraId="7C217F66" w14:textId="4721820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A. M. Mustafa Al Bakri, H. Kamarudin, I. Khairul Nizar, M. </w:t>
      </w:r>
      <w:proofErr w:type="spellStart"/>
      <w:r w:rsidRPr="00966FED">
        <w:rPr>
          <w:rFonts w:ascii="Times New Roman" w:hAnsi="Times New Roman" w:cs="Times New Roman"/>
        </w:rPr>
        <w:t>Bnhussain</w:t>
      </w:r>
      <w:proofErr w:type="spellEnd"/>
      <w:r w:rsidRPr="00966FED">
        <w:rPr>
          <w:rFonts w:ascii="Times New Roman" w:hAnsi="Times New Roman" w:cs="Times New Roman"/>
        </w:rPr>
        <w:t xml:space="preserve">, Y. Zarina, and A. R. Rafiza, ‘Correlation between Na2SiO3/NaOH Ratio and Fly Ash/Alkaline Activator Ratio to the Strength of Geopolymer’, </w:t>
      </w:r>
      <w:r w:rsidRPr="00966FED">
        <w:rPr>
          <w:rFonts w:ascii="Times New Roman" w:hAnsi="Times New Roman" w:cs="Times New Roman"/>
          <w:i/>
          <w:iCs/>
        </w:rPr>
        <w:t>Adv Mat Res</w:t>
      </w:r>
      <w:r w:rsidRPr="00966FED">
        <w:rPr>
          <w:rFonts w:ascii="Times New Roman" w:hAnsi="Times New Roman" w:cs="Times New Roman"/>
        </w:rPr>
        <w:t xml:space="preserve">, vol. 341–342, pp. 189–193, 2012, </w:t>
      </w:r>
      <w:proofErr w:type="spellStart"/>
      <w:r w:rsidRPr="00966FED">
        <w:rPr>
          <w:rFonts w:ascii="Times New Roman" w:hAnsi="Times New Roman" w:cs="Times New Roman"/>
        </w:rPr>
        <w:t>doi</w:t>
      </w:r>
      <w:proofErr w:type="spellEnd"/>
      <w:r w:rsidRPr="00966FED">
        <w:rPr>
          <w:rFonts w:ascii="Times New Roman" w:hAnsi="Times New Roman" w:cs="Times New Roman"/>
        </w:rPr>
        <w:t>: 10.4028/WWW.SCIENTIFIC.NET/AMR.341-342.189.</w:t>
      </w:r>
    </w:p>
    <w:p w14:paraId="2C217673" w14:textId="640E744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N. Abdullah, M. Mustapha, N. Sallih, A. Ahmad, F. Mustapha, and A. </w:t>
      </w:r>
      <w:proofErr w:type="spellStart"/>
      <w:r w:rsidRPr="00966FED">
        <w:rPr>
          <w:rFonts w:ascii="Times New Roman" w:hAnsi="Times New Roman" w:cs="Times New Roman"/>
        </w:rPr>
        <w:t>Dahliyanti</w:t>
      </w:r>
      <w:proofErr w:type="spellEnd"/>
      <w:r w:rsidRPr="00966FED">
        <w:rPr>
          <w:rFonts w:ascii="Times New Roman" w:hAnsi="Times New Roman" w:cs="Times New Roman"/>
        </w:rPr>
        <w:t xml:space="preserve">, ‘Study and Use of Rice Husk Ash as a Source of Aluminosilicate in Refractory Coating’, </w:t>
      </w:r>
      <w:r w:rsidRPr="00966FED">
        <w:rPr>
          <w:rFonts w:ascii="Times New Roman" w:hAnsi="Times New Roman" w:cs="Times New Roman"/>
          <w:i/>
          <w:iCs/>
        </w:rPr>
        <w:t>Materials 2021, Vol. 14, Page 3440</w:t>
      </w:r>
      <w:r w:rsidRPr="00966FED">
        <w:rPr>
          <w:rFonts w:ascii="Times New Roman" w:hAnsi="Times New Roman" w:cs="Times New Roman"/>
        </w:rPr>
        <w:t xml:space="preserve">, vol. 14, no. 13, p. 3440, Jun. 2021, </w:t>
      </w:r>
      <w:proofErr w:type="spellStart"/>
      <w:r w:rsidRPr="00966FED">
        <w:rPr>
          <w:rFonts w:ascii="Times New Roman" w:hAnsi="Times New Roman" w:cs="Times New Roman"/>
        </w:rPr>
        <w:t>doi</w:t>
      </w:r>
      <w:proofErr w:type="spellEnd"/>
      <w:r w:rsidRPr="00966FED">
        <w:rPr>
          <w:rFonts w:ascii="Times New Roman" w:hAnsi="Times New Roman" w:cs="Times New Roman"/>
        </w:rPr>
        <w:t>: 10.3390/MA14133440.</w:t>
      </w:r>
    </w:p>
    <w:p w14:paraId="1AC9E023" w14:textId="77C3176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‘Initiatives and Implications of Philippine Sugar Liberalization | FFTC Agricultural Policy Platform (FFTC-AP)’. Accessed: Jul. 28, 2024. [Online]. Available: https://ap.fftc.org.tw/article/1841</w:t>
      </w:r>
    </w:p>
    <w:p w14:paraId="4DA867B2" w14:textId="0E90D642"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E. L. Gudia </w:t>
      </w:r>
      <w:r w:rsidRPr="00966FED">
        <w:rPr>
          <w:rFonts w:ascii="Times New Roman" w:hAnsi="Times New Roman" w:cs="Times New Roman"/>
          <w:i/>
          <w:iCs/>
        </w:rPr>
        <w:t>et al.</w:t>
      </w:r>
      <w:r w:rsidRPr="00966FED">
        <w:rPr>
          <w:rFonts w:ascii="Times New Roman" w:hAnsi="Times New Roman" w:cs="Times New Roman"/>
        </w:rPr>
        <w:t xml:space="preserve">, ‘Sugarcane bagasse ash as a partial replacement for cement in paste and mortar formulation – A case in the Philippines’, </w:t>
      </w:r>
      <w:r w:rsidRPr="00966FED">
        <w:rPr>
          <w:rFonts w:ascii="Times New Roman" w:hAnsi="Times New Roman" w:cs="Times New Roman"/>
          <w:i/>
          <w:iCs/>
        </w:rPr>
        <w:t>Journal of Building Engineering</w:t>
      </w:r>
      <w:r w:rsidRPr="00966FED">
        <w:rPr>
          <w:rFonts w:ascii="Times New Roman" w:hAnsi="Times New Roman" w:cs="Times New Roman"/>
        </w:rPr>
        <w:t xml:space="preserve">, vol. 76, p. 107221, Oct. 2023,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10.1016/J.JOBE.2023.107221.</w:t>
      </w:r>
    </w:p>
    <w:p w14:paraId="509EEE5B" w14:textId="581C003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A. W. Go, A. T. Conag, R. M. B. </w:t>
      </w:r>
      <w:proofErr w:type="spellStart"/>
      <w:r w:rsidRPr="00966FED">
        <w:rPr>
          <w:rFonts w:ascii="Times New Roman" w:hAnsi="Times New Roman" w:cs="Times New Roman"/>
        </w:rPr>
        <w:t>Igdon</w:t>
      </w:r>
      <w:proofErr w:type="spellEnd"/>
      <w:r w:rsidRPr="00966FED">
        <w:rPr>
          <w:rFonts w:ascii="Times New Roman" w:hAnsi="Times New Roman" w:cs="Times New Roman"/>
        </w:rPr>
        <w:t xml:space="preserve">, A. S. Toledo, and J. S. Malila, ‘Potentials of agricultural and agro-industrial crop residues for the displacement of fossil fuels: A Philippine context’, </w:t>
      </w:r>
      <w:r w:rsidRPr="00966FED">
        <w:rPr>
          <w:rFonts w:ascii="Times New Roman" w:hAnsi="Times New Roman" w:cs="Times New Roman"/>
          <w:i/>
          <w:iCs/>
        </w:rPr>
        <w:t>Energy Strategy Reviews</w:t>
      </w:r>
      <w:r w:rsidRPr="00966FED">
        <w:rPr>
          <w:rFonts w:ascii="Times New Roman" w:hAnsi="Times New Roman" w:cs="Times New Roman"/>
        </w:rPr>
        <w:t xml:space="preserve">, vol. 23, pp. 100–113, Jan. 2019,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10.1016/J.ESR.2018.12.010.</w:t>
      </w:r>
    </w:p>
    <w:p w14:paraId="7C2AF8F7" w14:textId="4750AD6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O. A. </w:t>
      </w:r>
      <w:proofErr w:type="spellStart"/>
      <w:r w:rsidRPr="00966FED">
        <w:rPr>
          <w:rFonts w:ascii="Times New Roman" w:hAnsi="Times New Roman" w:cs="Times New Roman"/>
        </w:rPr>
        <w:t>Caparino</w:t>
      </w:r>
      <w:proofErr w:type="spellEnd"/>
      <w:r w:rsidRPr="00966FED">
        <w:rPr>
          <w:rFonts w:ascii="Times New Roman" w:hAnsi="Times New Roman" w:cs="Times New Roman"/>
        </w:rPr>
        <w:t xml:space="preserve"> and N. Ambassador Hotel Busan, ‘2018 International Forum on Sustainable Application of Waste-to-Energy in Asia Region STATUS OF AGRICULTURAL WASTE AND UTILIZATION IN THE PHILIPPINES’, Accessed: Feb. 17, 2025. [Online]. Available: www.philmech.gov.ph</w:t>
      </w:r>
    </w:p>
    <w:p w14:paraId="179E08C1" w14:textId="787B815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‘IOP Conference Series: Earth and Environmental Science A review of sugarcane bagasse ash: Characteristics, properties and sustainable applications in concrete’, </w:t>
      </w:r>
      <w:proofErr w:type="spellStart"/>
      <w:r w:rsidRPr="00966FED">
        <w:rPr>
          <w:rFonts w:ascii="Times New Roman" w:hAnsi="Times New Roman" w:cs="Times New Roman"/>
        </w:rPr>
        <w:t>doi</w:t>
      </w:r>
      <w:proofErr w:type="spellEnd"/>
      <w:r w:rsidRPr="00966FED">
        <w:rPr>
          <w:rFonts w:ascii="Times New Roman" w:hAnsi="Times New Roman" w:cs="Times New Roman"/>
        </w:rPr>
        <w:t>: 10.1088/1755-1315/1409/1/012002.</w:t>
      </w:r>
    </w:p>
    <w:p w14:paraId="24C292AE" w14:textId="2F0260B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C. Ferone </w:t>
      </w:r>
      <w:r w:rsidRPr="00966FED">
        <w:rPr>
          <w:rFonts w:ascii="Times New Roman" w:hAnsi="Times New Roman" w:cs="Times New Roman"/>
          <w:i/>
          <w:iCs/>
        </w:rPr>
        <w:t>et al.</w:t>
      </w:r>
      <w:r w:rsidRPr="00966FED">
        <w:rPr>
          <w:rFonts w:ascii="Times New Roman" w:hAnsi="Times New Roman" w:cs="Times New Roman"/>
        </w:rPr>
        <w:t xml:space="preserve">, ‘Thermally treated clay sediments as geopolymer source material’, </w:t>
      </w:r>
      <w:r w:rsidRPr="00966FED">
        <w:rPr>
          <w:rFonts w:ascii="Times New Roman" w:hAnsi="Times New Roman" w:cs="Times New Roman"/>
          <w:i/>
          <w:iCs/>
        </w:rPr>
        <w:t>Appl Clay Sci</w:t>
      </w:r>
      <w:r w:rsidRPr="00966FED">
        <w:rPr>
          <w:rFonts w:ascii="Times New Roman" w:hAnsi="Times New Roman" w:cs="Times New Roman"/>
        </w:rPr>
        <w:t xml:space="preserve">, vol. 107, pp. 195–204, Apr. 2015,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10.1016/J.CLAY.2015.01.027.</w:t>
      </w:r>
    </w:p>
    <w:p w14:paraId="5781EA63" w14:textId="11017B1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w:t>
      </w:r>
      <w:proofErr w:type="spellStart"/>
      <w:r w:rsidRPr="00966FED">
        <w:rPr>
          <w:rFonts w:ascii="Times New Roman" w:hAnsi="Times New Roman" w:cs="Times New Roman"/>
        </w:rPr>
        <w:t>Prasanphan</w:t>
      </w:r>
      <w:proofErr w:type="spellEnd"/>
      <w:r w:rsidRPr="00966FED">
        <w:rPr>
          <w:rFonts w:ascii="Times New Roman" w:hAnsi="Times New Roman" w:cs="Times New Roman"/>
        </w:rPr>
        <w:t xml:space="preserve">, S. </w:t>
      </w:r>
      <w:proofErr w:type="spellStart"/>
      <w:r w:rsidRPr="00966FED">
        <w:rPr>
          <w:rFonts w:ascii="Times New Roman" w:hAnsi="Times New Roman" w:cs="Times New Roman"/>
        </w:rPr>
        <w:t>Onutai</w:t>
      </w:r>
      <w:proofErr w:type="spellEnd"/>
      <w:r w:rsidRPr="00966FED">
        <w:rPr>
          <w:rFonts w:ascii="Times New Roman" w:hAnsi="Times New Roman" w:cs="Times New Roman"/>
        </w:rPr>
        <w:t xml:space="preserve">, and N. </w:t>
      </w:r>
      <w:proofErr w:type="spellStart"/>
      <w:r w:rsidRPr="00966FED">
        <w:rPr>
          <w:rFonts w:ascii="Times New Roman" w:hAnsi="Times New Roman" w:cs="Times New Roman"/>
        </w:rPr>
        <w:t>Nawaukkaratharnant</w:t>
      </w:r>
      <w:proofErr w:type="spellEnd"/>
      <w:r w:rsidRPr="00966FED">
        <w:rPr>
          <w:rFonts w:ascii="Times New Roman" w:hAnsi="Times New Roman" w:cs="Times New Roman"/>
        </w:rPr>
        <w:t xml:space="preserve">, ‘Influence of partial replacement of calcined red clay by gypsum-bonded casting investment waste on </w:t>
      </w:r>
      <w:proofErr w:type="spellStart"/>
      <w:r w:rsidRPr="00966FED">
        <w:rPr>
          <w:rFonts w:ascii="Times New Roman" w:hAnsi="Times New Roman" w:cs="Times New Roman"/>
        </w:rPr>
        <w:t>geopolymerization</w:t>
      </w:r>
      <w:proofErr w:type="spellEnd"/>
      <w:r w:rsidRPr="00966FED">
        <w:rPr>
          <w:rFonts w:ascii="Times New Roman" w:hAnsi="Times New Roman" w:cs="Times New Roman"/>
        </w:rPr>
        <w:t xml:space="preserve"> reaction of red clay-based geopolymer’, </w:t>
      </w:r>
      <w:proofErr w:type="spellStart"/>
      <w:r w:rsidRPr="00966FED">
        <w:rPr>
          <w:rFonts w:ascii="Times New Roman" w:hAnsi="Times New Roman" w:cs="Times New Roman"/>
          <w:i/>
          <w:iCs/>
        </w:rPr>
        <w:t>Heliyon</w:t>
      </w:r>
      <w:proofErr w:type="spellEnd"/>
      <w:r w:rsidRPr="00966FED">
        <w:rPr>
          <w:rFonts w:ascii="Times New Roman" w:hAnsi="Times New Roman" w:cs="Times New Roman"/>
        </w:rPr>
        <w:t xml:space="preserve">, vol. 10, no. 2, p. e24448, Jan. 2024, </w:t>
      </w:r>
      <w:proofErr w:type="spellStart"/>
      <w:r w:rsidRPr="00966FED">
        <w:rPr>
          <w:rFonts w:ascii="Times New Roman" w:hAnsi="Times New Roman" w:cs="Times New Roman"/>
        </w:rPr>
        <w:t>doi</w:t>
      </w:r>
      <w:proofErr w:type="spellEnd"/>
      <w:r w:rsidRPr="00966FED">
        <w:rPr>
          <w:rFonts w:ascii="Times New Roman" w:hAnsi="Times New Roman" w:cs="Times New Roman"/>
        </w:rPr>
        <w:t xml:space="preserve">: </w:t>
      </w:r>
      <w:proofErr w:type="gramStart"/>
      <w:r w:rsidRPr="00966FED">
        <w:rPr>
          <w:rFonts w:ascii="Times New Roman" w:hAnsi="Times New Roman" w:cs="Times New Roman"/>
        </w:rPr>
        <w:t>10.1016/J.HELIYON.2024.E</w:t>
      </w:r>
      <w:proofErr w:type="gramEnd"/>
      <w:r w:rsidRPr="00966FED">
        <w:rPr>
          <w:rFonts w:ascii="Times New Roman" w:hAnsi="Times New Roman" w:cs="Times New Roman"/>
        </w:rPr>
        <w:t>24448.</w:t>
      </w:r>
    </w:p>
    <w:p w14:paraId="2E09B541" w14:textId="33A8465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lastRenderedPageBreak/>
        <w:t>M. A. Gómez-Casero, F. J. Moral-Moral, L. Pérez-</w:t>
      </w:r>
      <w:proofErr w:type="spellStart"/>
      <w:r w:rsidRPr="00966FED">
        <w:rPr>
          <w:rFonts w:ascii="Times New Roman" w:hAnsi="Times New Roman" w:cs="Times New Roman"/>
        </w:rPr>
        <w:t>Villarejo</w:t>
      </w:r>
      <w:proofErr w:type="spellEnd"/>
      <w:r w:rsidRPr="00966FED">
        <w:rPr>
          <w:rFonts w:ascii="Times New Roman" w:hAnsi="Times New Roman" w:cs="Times New Roman"/>
        </w:rPr>
        <w:t xml:space="preserve">, P. J. Sánchez-Soto, and D. Eliche-Quesada, ‘Synthesis of clay geopolymers using olive pomace fly ash as an alternative activator. Influence of the additional commercial alkaline activator used’, </w:t>
      </w:r>
      <w:r w:rsidRPr="00966FED">
        <w:rPr>
          <w:rFonts w:ascii="Times New Roman" w:hAnsi="Times New Roman" w:cs="Times New Roman"/>
          <w:i/>
          <w:iCs/>
        </w:rPr>
        <w:t>Journal of Materials Research and Technology</w:t>
      </w:r>
      <w:r w:rsidRPr="00966FED">
        <w:rPr>
          <w:rFonts w:ascii="Times New Roman" w:hAnsi="Times New Roman" w:cs="Times New Roman"/>
        </w:rPr>
        <w:t xml:space="preserve">, vol. 12, pp. 1762–1776, May 2021,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10.1016/J.JMRT.2021.03.102.</w:t>
      </w:r>
    </w:p>
    <w:p w14:paraId="457B378F" w14:textId="414E002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Z. </w:t>
      </w:r>
      <w:proofErr w:type="spellStart"/>
      <w:r w:rsidRPr="00966FED">
        <w:rPr>
          <w:rFonts w:ascii="Times New Roman" w:hAnsi="Times New Roman" w:cs="Times New Roman"/>
        </w:rPr>
        <w:t>Jwaida</w:t>
      </w:r>
      <w:proofErr w:type="spellEnd"/>
      <w:r w:rsidRPr="00966FED">
        <w:rPr>
          <w:rFonts w:ascii="Times New Roman" w:hAnsi="Times New Roman" w:cs="Times New Roman"/>
        </w:rPr>
        <w:t xml:space="preserve">, A. Dulaimi, N. </w:t>
      </w:r>
      <w:proofErr w:type="spellStart"/>
      <w:r w:rsidRPr="00966FED">
        <w:rPr>
          <w:rFonts w:ascii="Times New Roman" w:hAnsi="Times New Roman" w:cs="Times New Roman"/>
        </w:rPr>
        <w:t>Mashaan</w:t>
      </w:r>
      <w:proofErr w:type="spellEnd"/>
      <w:r w:rsidRPr="00966FED">
        <w:rPr>
          <w:rFonts w:ascii="Times New Roman" w:hAnsi="Times New Roman" w:cs="Times New Roman"/>
        </w:rPr>
        <w:t xml:space="preserve">, and M. A. </w:t>
      </w:r>
      <w:proofErr w:type="spellStart"/>
      <w:r w:rsidRPr="00966FED">
        <w:rPr>
          <w:rFonts w:ascii="Times New Roman" w:hAnsi="Times New Roman" w:cs="Times New Roman"/>
        </w:rPr>
        <w:t>Othuman</w:t>
      </w:r>
      <w:proofErr w:type="spellEnd"/>
      <w:r w:rsidRPr="00966FED">
        <w:rPr>
          <w:rFonts w:ascii="Times New Roman" w:hAnsi="Times New Roman" w:cs="Times New Roman"/>
        </w:rPr>
        <w:t xml:space="preserve"> Mydin, ‘Geopolymers: The Green Alternative to Traditional Materials for Engineering Applications’, </w:t>
      </w:r>
      <w:r w:rsidRPr="00966FED">
        <w:rPr>
          <w:rFonts w:ascii="Times New Roman" w:hAnsi="Times New Roman" w:cs="Times New Roman"/>
          <w:i/>
          <w:iCs/>
        </w:rPr>
        <w:t>Infrastructures 2023, Vol. 8, Page 98</w:t>
      </w:r>
      <w:r w:rsidRPr="00966FED">
        <w:rPr>
          <w:rFonts w:ascii="Times New Roman" w:hAnsi="Times New Roman" w:cs="Times New Roman"/>
        </w:rPr>
        <w:t xml:space="preserve">, vol. 8, no. 6, p. 98, May 2023, </w:t>
      </w:r>
      <w:proofErr w:type="spellStart"/>
      <w:r w:rsidRPr="00966FED">
        <w:rPr>
          <w:rFonts w:ascii="Times New Roman" w:hAnsi="Times New Roman" w:cs="Times New Roman"/>
        </w:rPr>
        <w:t>doi</w:t>
      </w:r>
      <w:proofErr w:type="spellEnd"/>
      <w:r w:rsidRPr="00966FED">
        <w:rPr>
          <w:rFonts w:ascii="Times New Roman" w:hAnsi="Times New Roman" w:cs="Times New Roman"/>
        </w:rPr>
        <w:t>: 10.3390/INFRASTRUCTURES8060098.</w:t>
      </w:r>
    </w:p>
    <w:p w14:paraId="230F4497" w14:textId="1844EDC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J. M. Tiongson and M. A. Q. Adajar, ‘Compaction characteristics of a fine-grained soil potential for landfill liner application’, </w:t>
      </w:r>
      <w:r w:rsidRPr="00966FED">
        <w:rPr>
          <w:rFonts w:ascii="Times New Roman" w:hAnsi="Times New Roman" w:cs="Times New Roman"/>
          <w:i/>
          <w:iCs/>
        </w:rPr>
        <w:t>International Journal of GEOMATE</w:t>
      </w:r>
      <w:r w:rsidRPr="00966FED">
        <w:rPr>
          <w:rFonts w:ascii="Times New Roman" w:hAnsi="Times New Roman" w:cs="Times New Roman"/>
        </w:rPr>
        <w:t xml:space="preserve">, vol. 19, no. 71, pp. 211–218, Jul.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10.21660/2020.71.37070.</w:t>
      </w:r>
    </w:p>
    <w:p w14:paraId="1BC70DF4" w14:textId="6F9EBC3A"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X. Peng, G. Yang, Y. Shi, Y. Zhou, M. Zhang, and S. Li, ‘Box–Behnken design based statistical modeling for the extraction and physicochemical properties of pectin from sunflower heads and the comparison with commercial low-</w:t>
      </w:r>
      <w:proofErr w:type="spellStart"/>
      <w:r w:rsidRPr="00966FED">
        <w:rPr>
          <w:rFonts w:ascii="Times New Roman" w:hAnsi="Times New Roman" w:cs="Times New Roman"/>
        </w:rPr>
        <w:t>methoxyl</w:t>
      </w:r>
      <w:proofErr w:type="spellEnd"/>
      <w:r w:rsidRPr="00966FED">
        <w:rPr>
          <w:rFonts w:ascii="Times New Roman" w:hAnsi="Times New Roman" w:cs="Times New Roman"/>
        </w:rPr>
        <w:t xml:space="preserve"> pectin’, </w:t>
      </w:r>
      <w:r w:rsidRPr="00966FED">
        <w:rPr>
          <w:rFonts w:ascii="Times New Roman" w:hAnsi="Times New Roman" w:cs="Times New Roman"/>
          <w:i/>
          <w:iCs/>
        </w:rPr>
        <w:t>Scientific Reports 2020 10:1</w:t>
      </w:r>
      <w:r w:rsidRPr="00966FED">
        <w:rPr>
          <w:rFonts w:ascii="Times New Roman" w:hAnsi="Times New Roman" w:cs="Times New Roman"/>
        </w:rPr>
        <w:t xml:space="preserve">, vol. 10, no. 1, pp. 1–10, Feb.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10.1038/s41598-020-60339-1.</w:t>
      </w:r>
    </w:p>
    <w:p w14:paraId="3E6F0CDA" w14:textId="52F82DB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N. Ferreira </w:t>
      </w:r>
      <w:r w:rsidRPr="00966FED">
        <w:rPr>
          <w:rFonts w:ascii="Times New Roman" w:hAnsi="Times New Roman" w:cs="Times New Roman"/>
          <w:i/>
          <w:iCs/>
        </w:rPr>
        <w:t>et al.</w:t>
      </w:r>
      <w:r w:rsidRPr="00966FED">
        <w:rPr>
          <w:rFonts w:ascii="Times New Roman" w:hAnsi="Times New Roman" w:cs="Times New Roman"/>
        </w:rPr>
        <w:t>, ‘Application of response surface methodology and box–</w:t>
      </w:r>
      <w:proofErr w:type="spellStart"/>
      <w:r w:rsidRPr="00966FED">
        <w:rPr>
          <w:rFonts w:ascii="Times New Roman" w:hAnsi="Times New Roman" w:cs="Times New Roman"/>
        </w:rPr>
        <w:t>behnken</w:t>
      </w:r>
      <w:proofErr w:type="spellEnd"/>
      <w:r w:rsidRPr="00966FED">
        <w:rPr>
          <w:rFonts w:ascii="Times New Roman" w:hAnsi="Times New Roman" w:cs="Times New Roman"/>
        </w:rPr>
        <w:t xml:space="preserve"> design for the optimization of mercury removal by Ulva sp.’, </w:t>
      </w:r>
      <w:r w:rsidRPr="00966FED">
        <w:rPr>
          <w:rFonts w:ascii="Times New Roman" w:hAnsi="Times New Roman" w:cs="Times New Roman"/>
          <w:i/>
          <w:iCs/>
        </w:rPr>
        <w:t>J Hazard Mater</w:t>
      </w:r>
      <w:r w:rsidRPr="00966FED">
        <w:rPr>
          <w:rFonts w:ascii="Times New Roman" w:hAnsi="Times New Roman" w:cs="Times New Roman"/>
        </w:rPr>
        <w:t xml:space="preserve">, vol. 445, p. 130405, Mar. 2023,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10.1016/J.JHAZMAT.2022.130405.</w:t>
      </w:r>
    </w:p>
    <w:p w14:paraId="454CDE69" w14:textId="5440ACE1"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w:t>
      </w:r>
      <w:proofErr w:type="spellStart"/>
      <w:r w:rsidRPr="00966FED">
        <w:rPr>
          <w:rFonts w:ascii="Times New Roman" w:hAnsi="Times New Roman" w:cs="Times New Roman"/>
        </w:rPr>
        <w:t>Norsuraya</w:t>
      </w:r>
      <w:proofErr w:type="spellEnd"/>
      <w:r w:rsidRPr="00966FED">
        <w:rPr>
          <w:rFonts w:ascii="Times New Roman" w:hAnsi="Times New Roman" w:cs="Times New Roman"/>
        </w:rPr>
        <w:t xml:space="preserve">, H. Fazlena, and R. </w:t>
      </w:r>
      <w:proofErr w:type="spellStart"/>
      <w:r w:rsidRPr="00966FED">
        <w:rPr>
          <w:rFonts w:ascii="Times New Roman" w:hAnsi="Times New Roman" w:cs="Times New Roman"/>
        </w:rPr>
        <w:t>Norhasyimi</w:t>
      </w:r>
      <w:proofErr w:type="spellEnd"/>
      <w:r w:rsidRPr="00966FED">
        <w:rPr>
          <w:rFonts w:ascii="Times New Roman" w:hAnsi="Times New Roman" w:cs="Times New Roman"/>
        </w:rPr>
        <w:t xml:space="preserve">, ‘Sugarcane Bagasse as a Renewable Source of Silica to Synthesize Santa Barbara Amorphous-15 (SBA-15)’, </w:t>
      </w:r>
      <w:r w:rsidRPr="00966FED">
        <w:rPr>
          <w:rFonts w:ascii="Times New Roman" w:hAnsi="Times New Roman" w:cs="Times New Roman"/>
          <w:i/>
          <w:iCs/>
        </w:rPr>
        <w:t>Procedia Eng</w:t>
      </w:r>
      <w:r w:rsidRPr="00966FED">
        <w:rPr>
          <w:rFonts w:ascii="Times New Roman" w:hAnsi="Times New Roman" w:cs="Times New Roman"/>
        </w:rPr>
        <w:t xml:space="preserve">, vol. 148, pp. 839–846, Jan. 2016,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10.1016/J.PROENG.2016.06.627.</w:t>
      </w:r>
    </w:p>
    <w:p w14:paraId="30FD4C78" w14:textId="2A284685"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Embong, N. Shafiq, A. </w:t>
      </w:r>
      <w:proofErr w:type="spellStart"/>
      <w:r w:rsidRPr="00966FED">
        <w:rPr>
          <w:rFonts w:ascii="Times New Roman" w:hAnsi="Times New Roman" w:cs="Times New Roman"/>
        </w:rPr>
        <w:t>Kusbiantoro</w:t>
      </w:r>
      <w:proofErr w:type="spellEnd"/>
      <w:r w:rsidRPr="00966FED">
        <w:rPr>
          <w:rFonts w:ascii="Times New Roman" w:hAnsi="Times New Roman" w:cs="Times New Roman"/>
        </w:rPr>
        <w:t xml:space="preserve">, and M. F. Nuruddin, ‘Effectiveness of low-concentration acid and solar drying as pre-treatment features for producing pozzolanic sugarcane bagasse ash’, </w:t>
      </w:r>
      <w:r w:rsidRPr="00966FED">
        <w:rPr>
          <w:rFonts w:ascii="Times New Roman" w:hAnsi="Times New Roman" w:cs="Times New Roman"/>
          <w:i/>
          <w:iCs/>
        </w:rPr>
        <w:t>J Clean Prod</w:t>
      </w:r>
      <w:r w:rsidRPr="00966FED">
        <w:rPr>
          <w:rFonts w:ascii="Times New Roman" w:hAnsi="Times New Roman" w:cs="Times New Roman"/>
        </w:rPr>
        <w:t xml:space="preserve">, vol. 112, pp. 953–962, Jan. 2016,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10.1016/J.JCLEPRO.2015.09.066.</w:t>
      </w:r>
    </w:p>
    <w:p w14:paraId="006B67C5" w14:textId="18B005D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I. Marzuki, E. Bachtiar, A. M. SETIAWAN, and SRIGUSTY, ‘Potency </w:t>
      </w:r>
      <w:proofErr w:type="gramStart"/>
      <w:r w:rsidRPr="00966FED">
        <w:rPr>
          <w:rFonts w:ascii="Times New Roman" w:hAnsi="Times New Roman" w:cs="Times New Roman"/>
        </w:rPr>
        <w:t>Of</w:t>
      </w:r>
      <w:proofErr w:type="gramEnd"/>
      <w:r w:rsidRPr="00966FED">
        <w:rPr>
          <w:rFonts w:ascii="Times New Roman" w:hAnsi="Times New Roman" w:cs="Times New Roman"/>
        </w:rPr>
        <w:t xml:space="preserve"> Sugarcane Bagasse Ash Partial Substitution </w:t>
      </w:r>
      <w:proofErr w:type="gramStart"/>
      <w:r w:rsidRPr="00966FED">
        <w:rPr>
          <w:rFonts w:ascii="Times New Roman" w:hAnsi="Times New Roman" w:cs="Times New Roman"/>
        </w:rPr>
        <w:t>Of</w:t>
      </w:r>
      <w:proofErr w:type="gramEnd"/>
      <w:r w:rsidRPr="00966FED">
        <w:rPr>
          <w:rFonts w:ascii="Times New Roman" w:hAnsi="Times New Roman" w:cs="Times New Roman"/>
        </w:rPr>
        <w:t xml:space="preserve"> Cement </w:t>
      </w:r>
      <w:proofErr w:type="gramStart"/>
      <w:r w:rsidRPr="00966FED">
        <w:rPr>
          <w:rFonts w:ascii="Times New Roman" w:hAnsi="Times New Roman" w:cs="Times New Roman"/>
        </w:rPr>
        <w:t>In</w:t>
      </w:r>
      <w:proofErr w:type="gramEnd"/>
      <w:r w:rsidRPr="00966FED">
        <w:rPr>
          <w:rFonts w:ascii="Times New Roman" w:hAnsi="Times New Roman" w:cs="Times New Roman"/>
        </w:rPr>
        <w:t xml:space="preserve"> Concrete’, Mar. 2019, </w:t>
      </w:r>
      <w:proofErr w:type="spellStart"/>
      <w:r w:rsidRPr="00966FED">
        <w:rPr>
          <w:rFonts w:ascii="Times New Roman" w:hAnsi="Times New Roman" w:cs="Times New Roman"/>
        </w:rPr>
        <w:t>doi</w:t>
      </w:r>
      <w:proofErr w:type="spellEnd"/>
      <w:r w:rsidRPr="00966FED">
        <w:rPr>
          <w:rFonts w:ascii="Times New Roman" w:hAnsi="Times New Roman" w:cs="Times New Roman"/>
        </w:rPr>
        <w:t>: 10.31219/OSF.IO/FS9UM.</w:t>
      </w:r>
    </w:p>
    <w:p w14:paraId="3378B1AE" w14:textId="5FC7E935"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K. J. D. MacKenzie, D. R. M. Brew, R. A. Fletcher, and R. Vagana, ‘Formation of aluminosilicate geopolymers from 1:1 layer-lattice minerals pre-treated by various methods: A comparative study’, </w:t>
      </w:r>
      <w:r w:rsidRPr="00966FED">
        <w:rPr>
          <w:rFonts w:ascii="Times New Roman" w:hAnsi="Times New Roman" w:cs="Times New Roman"/>
          <w:i/>
          <w:iCs/>
        </w:rPr>
        <w:t>J Mater Sci</w:t>
      </w:r>
      <w:r w:rsidRPr="00966FED">
        <w:rPr>
          <w:rFonts w:ascii="Times New Roman" w:hAnsi="Times New Roman" w:cs="Times New Roman"/>
        </w:rPr>
        <w:t xml:space="preserve">, vol. 42, no. 12, pp. 4667–4674, Jun. 2007, </w:t>
      </w:r>
      <w:proofErr w:type="spellStart"/>
      <w:r w:rsidRPr="00966FED">
        <w:rPr>
          <w:rFonts w:ascii="Times New Roman" w:hAnsi="Times New Roman" w:cs="Times New Roman"/>
        </w:rPr>
        <w:t>doi</w:t>
      </w:r>
      <w:proofErr w:type="spellEnd"/>
      <w:r w:rsidRPr="00966FED">
        <w:rPr>
          <w:rFonts w:ascii="Times New Roman" w:hAnsi="Times New Roman" w:cs="Times New Roman"/>
        </w:rPr>
        <w:t>: 10.1007/S10853-006-0173-X/METRICS.</w:t>
      </w:r>
    </w:p>
    <w:p w14:paraId="38453422" w14:textId="09C020CF"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N. Yaseen, ‘Exploring the potential of sugarcane bagasse ash as a sustainable supplementary cementitious material: Experimental investigation and statistical analysis’, </w:t>
      </w:r>
      <w:r w:rsidRPr="00966FED">
        <w:rPr>
          <w:rFonts w:ascii="Times New Roman" w:hAnsi="Times New Roman" w:cs="Times New Roman"/>
          <w:i/>
          <w:iCs/>
        </w:rPr>
        <w:t>Results Chem</w:t>
      </w:r>
      <w:r w:rsidRPr="00966FED">
        <w:rPr>
          <w:rFonts w:ascii="Times New Roman" w:hAnsi="Times New Roman" w:cs="Times New Roman"/>
        </w:rPr>
        <w:t xml:space="preserve">, vol. 10, p. 101723, Aug. 2024,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10.1016/J.RECHEM.2024.101723.</w:t>
      </w:r>
    </w:p>
    <w:p w14:paraId="51EDCC1D" w14:textId="4E4DF176"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S. M. Basri </w:t>
      </w:r>
      <w:r w:rsidRPr="00966FED">
        <w:rPr>
          <w:rFonts w:ascii="Times New Roman" w:hAnsi="Times New Roman" w:cs="Times New Roman"/>
          <w:i/>
          <w:iCs/>
        </w:rPr>
        <w:t>et al.</w:t>
      </w:r>
      <w:r w:rsidRPr="00966FED">
        <w:rPr>
          <w:rFonts w:ascii="Times New Roman" w:hAnsi="Times New Roman" w:cs="Times New Roman"/>
        </w:rPr>
        <w:t xml:space="preserve">, ‘Rice husk ash/silicone rubber-based binary blended geopolymer coating composite: Fire retardant, moisture absorption, optimize composition, and microstructural analysis’, </w:t>
      </w:r>
      <w:r w:rsidRPr="00966FED">
        <w:rPr>
          <w:rFonts w:ascii="Times New Roman" w:hAnsi="Times New Roman" w:cs="Times New Roman"/>
          <w:i/>
          <w:iCs/>
        </w:rPr>
        <w:t>Polymers (Basel)</w:t>
      </w:r>
      <w:r w:rsidRPr="00966FED">
        <w:rPr>
          <w:rFonts w:ascii="Times New Roman" w:hAnsi="Times New Roman" w:cs="Times New Roman"/>
        </w:rPr>
        <w:t xml:space="preserve">, vol. 13, no. 6, Mar. 2021, </w:t>
      </w:r>
      <w:proofErr w:type="spellStart"/>
      <w:r w:rsidRPr="00966FED">
        <w:rPr>
          <w:rFonts w:ascii="Times New Roman" w:hAnsi="Times New Roman" w:cs="Times New Roman"/>
        </w:rPr>
        <w:t>doi</w:t>
      </w:r>
      <w:proofErr w:type="spellEnd"/>
      <w:r w:rsidRPr="00966FED">
        <w:rPr>
          <w:rFonts w:ascii="Times New Roman" w:hAnsi="Times New Roman" w:cs="Times New Roman"/>
        </w:rPr>
        <w:t>: 10.3390/polym13060985.</w:t>
      </w:r>
    </w:p>
    <w:p w14:paraId="2ABC48E8" w14:textId="2D0B2740"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C. Yong, L. Y. Ming, M. M. Al Bakri Abdullah, and K. Hussin, ‘Fire Resistant Properties of Geopolymers: A Review’, </w:t>
      </w:r>
      <w:r w:rsidRPr="00966FED">
        <w:rPr>
          <w:rFonts w:ascii="Times New Roman" w:hAnsi="Times New Roman" w:cs="Times New Roman"/>
          <w:i/>
          <w:iCs/>
        </w:rPr>
        <w:t>Key Eng Mater</w:t>
      </w:r>
      <w:r w:rsidRPr="00966FED">
        <w:rPr>
          <w:rFonts w:ascii="Times New Roman" w:hAnsi="Times New Roman" w:cs="Times New Roman"/>
        </w:rPr>
        <w:t xml:space="preserve">, vol. 660, pp. 39–43, 2015, </w:t>
      </w:r>
      <w:proofErr w:type="spellStart"/>
      <w:r w:rsidRPr="00966FED">
        <w:rPr>
          <w:rFonts w:ascii="Times New Roman" w:hAnsi="Times New Roman" w:cs="Times New Roman"/>
        </w:rPr>
        <w:t>doi</w:t>
      </w:r>
      <w:proofErr w:type="spellEnd"/>
      <w:r w:rsidRPr="00966FED">
        <w:rPr>
          <w:rFonts w:ascii="Times New Roman" w:hAnsi="Times New Roman" w:cs="Times New Roman"/>
        </w:rPr>
        <w:t>: 10.4028/WWW.SCIENTIFIC.NET/KEM.660.39.</w:t>
      </w:r>
    </w:p>
    <w:p w14:paraId="1445B3FE" w14:textId="2EE1361B"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M. A. B. Abdullah </w:t>
      </w:r>
      <w:r w:rsidRPr="00966FED">
        <w:rPr>
          <w:rFonts w:ascii="Times New Roman" w:hAnsi="Times New Roman" w:cs="Times New Roman"/>
          <w:i/>
          <w:iCs/>
        </w:rPr>
        <w:t>et al.</w:t>
      </w:r>
      <w:r w:rsidRPr="00966FED">
        <w:rPr>
          <w:rFonts w:ascii="Times New Roman" w:hAnsi="Times New Roman" w:cs="Times New Roman"/>
        </w:rPr>
        <w:t xml:space="preserve">, ‘Clay-Based Materials in Geopolymer Technology’, </w:t>
      </w:r>
      <w:r w:rsidRPr="00966FED">
        <w:rPr>
          <w:rFonts w:ascii="Times New Roman" w:hAnsi="Times New Roman" w:cs="Times New Roman"/>
          <w:i/>
          <w:iCs/>
        </w:rPr>
        <w:t>Cement Based Materials</w:t>
      </w:r>
      <w:r w:rsidRPr="00966FED">
        <w:rPr>
          <w:rFonts w:ascii="Times New Roman" w:hAnsi="Times New Roman" w:cs="Times New Roman"/>
        </w:rPr>
        <w:t xml:space="preserve">, Oct. 2018, </w:t>
      </w:r>
      <w:proofErr w:type="spellStart"/>
      <w:r w:rsidRPr="00966FED">
        <w:rPr>
          <w:rFonts w:ascii="Times New Roman" w:hAnsi="Times New Roman" w:cs="Times New Roman"/>
        </w:rPr>
        <w:t>doi</w:t>
      </w:r>
      <w:proofErr w:type="spellEnd"/>
      <w:r w:rsidRPr="00966FED">
        <w:rPr>
          <w:rFonts w:ascii="Times New Roman" w:hAnsi="Times New Roman" w:cs="Times New Roman"/>
        </w:rPr>
        <w:t>: 10.5772/INTECHOPEN.74438.</w:t>
      </w:r>
    </w:p>
    <w:p w14:paraId="5116C43B" w14:textId="3A80C41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J. K. H. Wong, S. T. Kok, and S. Y. Wong, ‘Fibers, Geopolymers, Nano and Alkali-Activated Materials for Deep Soil Mix Binders’, </w:t>
      </w:r>
      <w:r w:rsidRPr="00966FED">
        <w:rPr>
          <w:rFonts w:ascii="Times New Roman" w:hAnsi="Times New Roman" w:cs="Times New Roman"/>
          <w:i/>
          <w:iCs/>
        </w:rPr>
        <w:t>Civil Engineering Journal</w:t>
      </w:r>
      <w:r w:rsidRPr="00966FED">
        <w:rPr>
          <w:rFonts w:ascii="Times New Roman" w:hAnsi="Times New Roman" w:cs="Times New Roman"/>
        </w:rPr>
        <w:t xml:space="preserve">, vol. 6, no. 4, pp. 830–847, Apr.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10.28991/CEJ-2020-03091511.</w:t>
      </w:r>
    </w:p>
    <w:p w14:paraId="7172E4AC" w14:textId="59DDC208"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P. He </w:t>
      </w:r>
      <w:r w:rsidRPr="00966FED">
        <w:rPr>
          <w:rFonts w:ascii="Times New Roman" w:hAnsi="Times New Roman" w:cs="Times New Roman"/>
          <w:i/>
          <w:iCs/>
        </w:rPr>
        <w:t>et al.</w:t>
      </w:r>
      <w:r w:rsidRPr="00966FED">
        <w:rPr>
          <w:rFonts w:ascii="Times New Roman" w:hAnsi="Times New Roman" w:cs="Times New Roman"/>
        </w:rPr>
        <w:t xml:space="preserve">, ‘Effects of Si/Al ratio on the structure and properties of metakaolin based geopolymer’, </w:t>
      </w:r>
      <w:r w:rsidRPr="00966FED">
        <w:rPr>
          <w:rFonts w:ascii="Times New Roman" w:hAnsi="Times New Roman" w:cs="Times New Roman"/>
          <w:i/>
          <w:iCs/>
        </w:rPr>
        <w:t>Ceram Int</w:t>
      </w:r>
      <w:r w:rsidRPr="00966FED">
        <w:rPr>
          <w:rFonts w:ascii="Times New Roman" w:hAnsi="Times New Roman" w:cs="Times New Roman"/>
        </w:rPr>
        <w:t xml:space="preserve">, vol. 42, no. 13, pp. 14416–14422, Oct. 2016,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10.1016/J.CERAMINT.2016.06.033.</w:t>
      </w:r>
    </w:p>
    <w:p w14:paraId="5FBB8122" w14:textId="3E38ACBD"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Wang, H. Wu, Z. Xing, R. Wang, S. Dai, and A. Molar Ratios, ‘The Effect of Various Si/Al, Na/Al Molar Ratios and Free Water on Micromorphology and Macro-Strength of Metakaolin-Based Geopolymer’, </w:t>
      </w:r>
      <w:r w:rsidRPr="00966FED">
        <w:rPr>
          <w:rFonts w:ascii="Times New Roman" w:hAnsi="Times New Roman" w:cs="Times New Roman"/>
          <w:i/>
          <w:iCs/>
        </w:rPr>
        <w:t>Materials</w:t>
      </w:r>
      <w:r w:rsidRPr="00966FED">
        <w:rPr>
          <w:rFonts w:ascii="Times New Roman" w:hAnsi="Times New Roman" w:cs="Times New Roman"/>
        </w:rPr>
        <w:t xml:space="preserve">, vol. 14, no. 14, p. 3845, 2021, </w:t>
      </w:r>
      <w:proofErr w:type="spellStart"/>
      <w:r w:rsidRPr="00966FED">
        <w:rPr>
          <w:rFonts w:ascii="Times New Roman" w:hAnsi="Times New Roman" w:cs="Times New Roman"/>
        </w:rPr>
        <w:t>doi</w:t>
      </w:r>
      <w:proofErr w:type="spellEnd"/>
      <w:r w:rsidRPr="00966FED">
        <w:rPr>
          <w:rFonts w:ascii="Times New Roman" w:hAnsi="Times New Roman" w:cs="Times New Roman"/>
        </w:rPr>
        <w:t>: 10.3390/MA14143845.</w:t>
      </w:r>
    </w:p>
    <w:p w14:paraId="3755EFDC" w14:textId="4A5C623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lastRenderedPageBreak/>
        <w:t xml:space="preserve">Q. Yang, C. A. Davy, J. Sarazin, S. </w:t>
      </w:r>
      <w:proofErr w:type="spellStart"/>
      <w:r w:rsidRPr="00966FED">
        <w:rPr>
          <w:rFonts w:ascii="Times New Roman" w:hAnsi="Times New Roman" w:cs="Times New Roman"/>
        </w:rPr>
        <w:t>Bourbigot</w:t>
      </w:r>
      <w:proofErr w:type="spellEnd"/>
      <w:r w:rsidRPr="00966FED">
        <w:rPr>
          <w:rFonts w:ascii="Times New Roman" w:hAnsi="Times New Roman" w:cs="Times New Roman"/>
        </w:rPr>
        <w:t xml:space="preserve">, and G. Fontaine, ‘Effect of the Al/Si ratio on intumescent Na-based geopolymer’, </w:t>
      </w:r>
      <w:r w:rsidRPr="00966FED">
        <w:rPr>
          <w:rFonts w:ascii="Times New Roman" w:hAnsi="Times New Roman" w:cs="Times New Roman"/>
          <w:i/>
          <w:iCs/>
        </w:rPr>
        <w:t>Fire Saf J</w:t>
      </w:r>
      <w:r w:rsidRPr="00966FED">
        <w:rPr>
          <w:rFonts w:ascii="Times New Roman" w:hAnsi="Times New Roman" w:cs="Times New Roman"/>
        </w:rPr>
        <w:t xml:space="preserve">, vol. 148, p. 104220, Sep. 2024,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10.1016/J.FIRESAF.2024.104220.</w:t>
      </w:r>
    </w:p>
    <w:p w14:paraId="76DFA415" w14:textId="27FA265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Lahoti, K. K. Wong, E. H. Yang, and K. H. Tan, ‘Effects of Si/Al molar ratio on strength endurance and volume stability of metakaolin geopolymers subject to elevated temperature’, </w:t>
      </w:r>
      <w:r w:rsidRPr="00966FED">
        <w:rPr>
          <w:rFonts w:ascii="Times New Roman" w:hAnsi="Times New Roman" w:cs="Times New Roman"/>
          <w:i/>
          <w:iCs/>
        </w:rPr>
        <w:t>Ceram Int</w:t>
      </w:r>
      <w:r w:rsidRPr="00966FED">
        <w:rPr>
          <w:rFonts w:ascii="Times New Roman" w:hAnsi="Times New Roman" w:cs="Times New Roman"/>
        </w:rPr>
        <w:t xml:space="preserve">, vol. 44, no. 5, pp. 5726–5734, Apr. 2018,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10.1016/J.CERAMINT.2017.12.226.</w:t>
      </w:r>
    </w:p>
    <w:p w14:paraId="7CA6BFAC" w14:textId="1777EA1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Xiang, M. Guo, Y. Zhou, and Z. Huang, ‘Tailoring thermal performance of geopolymer via metakaolin/fly ash ratio and activator variation’, </w:t>
      </w:r>
      <w:r w:rsidRPr="00966FED">
        <w:rPr>
          <w:rFonts w:ascii="Times New Roman" w:hAnsi="Times New Roman" w:cs="Times New Roman"/>
          <w:i/>
          <w:iCs/>
        </w:rPr>
        <w:t>Journal of Building Engineering</w:t>
      </w:r>
      <w:r w:rsidRPr="00966FED">
        <w:rPr>
          <w:rFonts w:ascii="Times New Roman" w:hAnsi="Times New Roman" w:cs="Times New Roman"/>
        </w:rPr>
        <w:t xml:space="preserve">, p. 111856, Jan. 2025,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10.1016/J.JOBE.2025.111856.</w:t>
      </w:r>
    </w:p>
    <w:p w14:paraId="2414280A" w14:textId="28E99E6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He, N. Dai, and Z. Wang, ‘Thermal and Mechanical Properties of Geopolymers Exposed to High Temperature: A Literature Review’, </w:t>
      </w:r>
      <w:r w:rsidRPr="00966FED">
        <w:rPr>
          <w:rFonts w:ascii="Times New Roman" w:hAnsi="Times New Roman" w:cs="Times New Roman"/>
          <w:i/>
          <w:iCs/>
        </w:rPr>
        <w:t>Advances in Civil Engineering</w:t>
      </w:r>
      <w:r w:rsidRPr="00966FED">
        <w:rPr>
          <w:rFonts w:ascii="Times New Roman" w:hAnsi="Times New Roman" w:cs="Times New Roman"/>
        </w:rPr>
        <w:t xml:space="preserve">, vol. 2020, no. 1, p. 7532703, Jan.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10.1155/2020/7532703.</w:t>
      </w:r>
    </w:p>
    <w:p w14:paraId="3450D988" w14:textId="7270A4B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S. </w:t>
      </w:r>
      <w:proofErr w:type="spellStart"/>
      <w:r w:rsidRPr="00966FED">
        <w:rPr>
          <w:rFonts w:ascii="Times New Roman" w:hAnsi="Times New Roman" w:cs="Times New Roman"/>
        </w:rPr>
        <w:t>Guzii</w:t>
      </w:r>
      <w:proofErr w:type="spellEnd"/>
      <w:r w:rsidRPr="00966FED">
        <w:rPr>
          <w:rFonts w:ascii="Times New Roman" w:hAnsi="Times New Roman" w:cs="Times New Roman"/>
        </w:rPr>
        <w:t xml:space="preserve">, I. </w:t>
      </w:r>
      <w:proofErr w:type="spellStart"/>
      <w:r w:rsidRPr="00966FED">
        <w:rPr>
          <w:rFonts w:ascii="Times New Roman" w:hAnsi="Times New Roman" w:cs="Times New Roman"/>
        </w:rPr>
        <w:t>Bazhelka</w:t>
      </w:r>
      <w:proofErr w:type="spellEnd"/>
      <w:r w:rsidRPr="00966FED">
        <w:rPr>
          <w:rFonts w:ascii="Times New Roman" w:hAnsi="Times New Roman" w:cs="Times New Roman"/>
        </w:rPr>
        <w:t xml:space="preserve">, N. Svitlychna, and V. </w:t>
      </w:r>
      <w:proofErr w:type="spellStart"/>
      <w:r w:rsidRPr="00966FED">
        <w:rPr>
          <w:rFonts w:ascii="Times New Roman" w:hAnsi="Times New Roman" w:cs="Times New Roman"/>
        </w:rPr>
        <w:t>Lashchivskiy</w:t>
      </w:r>
      <w:proofErr w:type="spellEnd"/>
      <w:r w:rsidRPr="00966FED">
        <w:rPr>
          <w:rFonts w:ascii="Times New Roman" w:hAnsi="Times New Roman" w:cs="Times New Roman"/>
        </w:rPr>
        <w:t xml:space="preserve">, ‘Protection of Wood from Burning with Paints on Alkaline Aluminosilicates-Based’, </w:t>
      </w:r>
      <w:r w:rsidRPr="00966FED">
        <w:rPr>
          <w:rFonts w:ascii="Times New Roman" w:hAnsi="Times New Roman" w:cs="Times New Roman"/>
          <w:i/>
          <w:iCs/>
        </w:rPr>
        <w:t>Materials Science Forum</w:t>
      </w:r>
      <w:r w:rsidRPr="00966FED">
        <w:rPr>
          <w:rFonts w:ascii="Times New Roman" w:hAnsi="Times New Roman" w:cs="Times New Roman"/>
        </w:rPr>
        <w:t xml:space="preserve">, vol. 1006, pp. 19–24, 2020, </w:t>
      </w:r>
      <w:proofErr w:type="spellStart"/>
      <w:r w:rsidRPr="00966FED">
        <w:rPr>
          <w:rFonts w:ascii="Times New Roman" w:hAnsi="Times New Roman" w:cs="Times New Roman"/>
        </w:rPr>
        <w:t>doi</w:t>
      </w:r>
      <w:proofErr w:type="spellEnd"/>
      <w:r w:rsidRPr="00966FED">
        <w:rPr>
          <w:rFonts w:ascii="Times New Roman" w:hAnsi="Times New Roman" w:cs="Times New Roman"/>
        </w:rPr>
        <w:t>: 10.4028/WWW.SCIENTIFIC.NET/MSF.1006.19.</w:t>
      </w:r>
    </w:p>
    <w:p w14:paraId="1CB5FE57" w14:textId="633DBF27"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D. Adak, M. Sarkar, and S. Mandal, ‘Effect of nano-silica on strength and durability of fly ash based geopolymer mortar’, </w:t>
      </w:r>
      <w:proofErr w:type="spellStart"/>
      <w:r w:rsidRPr="00966FED">
        <w:rPr>
          <w:rFonts w:ascii="Times New Roman" w:hAnsi="Times New Roman" w:cs="Times New Roman"/>
          <w:i/>
          <w:iCs/>
        </w:rPr>
        <w:t>Constr</w:t>
      </w:r>
      <w:proofErr w:type="spellEnd"/>
      <w:r w:rsidRPr="00966FED">
        <w:rPr>
          <w:rFonts w:ascii="Times New Roman" w:hAnsi="Times New Roman" w:cs="Times New Roman"/>
          <w:i/>
          <w:iCs/>
        </w:rPr>
        <w:t xml:space="preserve"> Build Mater</w:t>
      </w:r>
      <w:r w:rsidRPr="00966FED">
        <w:rPr>
          <w:rFonts w:ascii="Times New Roman" w:hAnsi="Times New Roman" w:cs="Times New Roman"/>
        </w:rPr>
        <w:t xml:space="preserve">, vol. 70, pp. 453–459, Nov. 2014,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10.1016/J.CONBUILDMAT.2014.07.093.</w:t>
      </w:r>
    </w:p>
    <w:p w14:paraId="0CEB1179" w14:textId="7471597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P. S. Deb, P. K. Sarker, and S. Barbhuiya, ‘Effects of nano-silica on the strength development of geopolymer cured at room temperature’, </w:t>
      </w:r>
      <w:proofErr w:type="spellStart"/>
      <w:r w:rsidRPr="00966FED">
        <w:rPr>
          <w:rFonts w:ascii="Times New Roman" w:hAnsi="Times New Roman" w:cs="Times New Roman"/>
          <w:i/>
          <w:iCs/>
        </w:rPr>
        <w:t>Constr</w:t>
      </w:r>
      <w:proofErr w:type="spellEnd"/>
      <w:r w:rsidRPr="00966FED">
        <w:rPr>
          <w:rFonts w:ascii="Times New Roman" w:hAnsi="Times New Roman" w:cs="Times New Roman"/>
          <w:i/>
          <w:iCs/>
        </w:rPr>
        <w:t xml:space="preserve"> Build Mater</w:t>
      </w:r>
      <w:r w:rsidRPr="00966FED">
        <w:rPr>
          <w:rFonts w:ascii="Times New Roman" w:hAnsi="Times New Roman" w:cs="Times New Roman"/>
        </w:rPr>
        <w:t xml:space="preserve">, vol. 101, pp. 675–683, Dec. 2015,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10.1016/J.CONBUILDMAT.2015.10.044.</w:t>
      </w:r>
    </w:p>
    <w:p w14:paraId="3109F579" w14:textId="76006786" w:rsidR="009C6A44" w:rsidRPr="00966FED" w:rsidRDefault="009C6A44" w:rsidP="00A2283E">
      <w:pPr>
        <w:pStyle w:val="ListParagraph"/>
        <w:numPr>
          <w:ilvl w:val="0"/>
          <w:numId w:val="5"/>
        </w:numPr>
        <w:jc w:val="both"/>
        <w:rPr>
          <w:rFonts w:ascii="Times New Roman" w:hAnsi="Times New Roman" w:cs="Times New Roman"/>
        </w:rPr>
      </w:pPr>
      <w:proofErr w:type="spellStart"/>
      <w:r w:rsidRPr="00966FED">
        <w:rPr>
          <w:rFonts w:ascii="Times New Roman" w:hAnsi="Times New Roman" w:cs="Times New Roman"/>
        </w:rPr>
        <w:t>Sivaraosa</w:t>
      </w:r>
      <w:proofErr w:type="spellEnd"/>
      <w:r w:rsidRPr="00966FED">
        <w:rPr>
          <w:rFonts w:ascii="Times New Roman" w:hAnsi="Times New Roman" w:cs="Times New Roman"/>
        </w:rPr>
        <w:t xml:space="preserve">, K. R. Milkeya, A. R. </w:t>
      </w:r>
      <w:proofErr w:type="spellStart"/>
      <w:r w:rsidRPr="00966FED">
        <w:rPr>
          <w:rFonts w:ascii="Times New Roman" w:hAnsi="Times New Roman" w:cs="Times New Roman"/>
        </w:rPr>
        <w:t>Samsudina</w:t>
      </w:r>
      <w:proofErr w:type="spellEnd"/>
      <w:r w:rsidRPr="00966FED">
        <w:rPr>
          <w:rFonts w:ascii="Times New Roman" w:hAnsi="Times New Roman" w:cs="Times New Roman"/>
        </w:rPr>
        <w:t xml:space="preserve">, A. </w:t>
      </w:r>
      <w:proofErr w:type="spellStart"/>
      <w:r w:rsidRPr="00966FED">
        <w:rPr>
          <w:rFonts w:ascii="Times New Roman" w:hAnsi="Times New Roman" w:cs="Times New Roman"/>
        </w:rPr>
        <w:t>Dubeyb</w:t>
      </w:r>
      <w:proofErr w:type="spellEnd"/>
      <w:r w:rsidRPr="00966FED">
        <w:rPr>
          <w:rFonts w:ascii="Times New Roman" w:hAnsi="Times New Roman" w:cs="Times New Roman"/>
        </w:rPr>
        <w:t xml:space="preserve">, and P. </w:t>
      </w:r>
      <w:proofErr w:type="spellStart"/>
      <w:r w:rsidRPr="00966FED">
        <w:rPr>
          <w:rFonts w:ascii="Times New Roman" w:hAnsi="Times New Roman" w:cs="Times New Roman"/>
        </w:rPr>
        <w:t>Kiddc</w:t>
      </w:r>
      <w:proofErr w:type="spellEnd"/>
      <w:r w:rsidRPr="00966FED">
        <w:rPr>
          <w:rFonts w:ascii="Times New Roman" w:hAnsi="Times New Roman" w:cs="Times New Roman"/>
        </w:rPr>
        <w:t xml:space="preserve">, ‘Comparison between Taguchi Method and Response Surface Methodology </w:t>
      </w:r>
      <w:proofErr w:type="gramStart"/>
      <w:r w:rsidRPr="00966FED">
        <w:rPr>
          <w:rFonts w:ascii="Times New Roman" w:hAnsi="Times New Roman" w:cs="Times New Roman"/>
        </w:rPr>
        <w:t>( RSM</w:t>
      </w:r>
      <w:proofErr w:type="gramEnd"/>
      <w:r w:rsidRPr="00966FED">
        <w:rPr>
          <w:rFonts w:ascii="Times New Roman" w:hAnsi="Times New Roman" w:cs="Times New Roman"/>
        </w:rPr>
        <w:t xml:space="preserve"> ) in Modelling CO 2 Laser Machining’, 2014.</w:t>
      </w:r>
    </w:p>
    <w:p w14:paraId="661AE45E" w14:textId="3449FD33"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D. L. Y. Kong, J. G. Sanjayan, and K. </w:t>
      </w:r>
      <w:proofErr w:type="spellStart"/>
      <w:r w:rsidRPr="00966FED">
        <w:rPr>
          <w:rFonts w:ascii="Times New Roman" w:hAnsi="Times New Roman" w:cs="Times New Roman"/>
        </w:rPr>
        <w:t>Sagoe</w:t>
      </w:r>
      <w:proofErr w:type="spellEnd"/>
      <w:r w:rsidRPr="00966FED">
        <w:rPr>
          <w:rFonts w:ascii="Times New Roman" w:hAnsi="Times New Roman" w:cs="Times New Roman"/>
        </w:rPr>
        <w:t xml:space="preserve">-Crentsil, ‘Comparative performance of geopolymers made with metakaolin and fly ash after exposure to elevated temperatures’, </w:t>
      </w:r>
      <w:r w:rsidRPr="00966FED">
        <w:rPr>
          <w:rFonts w:ascii="Times New Roman" w:hAnsi="Times New Roman" w:cs="Times New Roman"/>
          <w:i/>
          <w:iCs/>
        </w:rPr>
        <w:t xml:space="preserve">Cem </w:t>
      </w:r>
      <w:proofErr w:type="spellStart"/>
      <w:r w:rsidRPr="00966FED">
        <w:rPr>
          <w:rFonts w:ascii="Times New Roman" w:hAnsi="Times New Roman" w:cs="Times New Roman"/>
          <w:i/>
          <w:iCs/>
        </w:rPr>
        <w:t>Concr</w:t>
      </w:r>
      <w:proofErr w:type="spellEnd"/>
      <w:r w:rsidRPr="00966FED">
        <w:rPr>
          <w:rFonts w:ascii="Times New Roman" w:hAnsi="Times New Roman" w:cs="Times New Roman"/>
          <w:i/>
          <w:iCs/>
        </w:rPr>
        <w:t xml:space="preserve"> Res</w:t>
      </w:r>
      <w:r w:rsidRPr="00966FED">
        <w:rPr>
          <w:rFonts w:ascii="Times New Roman" w:hAnsi="Times New Roman" w:cs="Times New Roman"/>
        </w:rPr>
        <w:t xml:space="preserve">, vol. 37, no. 12, pp. 1583–1589, Dec. 2007,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10.1016/J.CEMCONRES.2007.08.021.</w:t>
      </w:r>
    </w:p>
    <w:p w14:paraId="30B7D9F1" w14:textId="756490E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W. C. </w:t>
      </w:r>
      <w:proofErr w:type="spellStart"/>
      <w:r w:rsidRPr="00966FED">
        <w:rPr>
          <w:rFonts w:ascii="Times New Roman" w:hAnsi="Times New Roman" w:cs="Times New Roman"/>
        </w:rPr>
        <w:t>Puspitasari</w:t>
      </w:r>
      <w:proofErr w:type="spellEnd"/>
      <w:r w:rsidRPr="00966FED">
        <w:rPr>
          <w:rFonts w:ascii="Times New Roman" w:hAnsi="Times New Roman" w:cs="Times New Roman"/>
        </w:rPr>
        <w:t xml:space="preserve">, F. Ahmad, S. Ullah, P. Hussain, P. S. M. Megat-Yusoff, and P. J. Masset, ‘The study of adhesion between steel substrate, primer, and char of intumescent </w:t>
      </w:r>
      <w:proofErr w:type="gramStart"/>
      <w:r w:rsidRPr="00966FED">
        <w:rPr>
          <w:rFonts w:ascii="Times New Roman" w:hAnsi="Times New Roman" w:cs="Times New Roman"/>
        </w:rPr>
        <w:t>fire retardant</w:t>
      </w:r>
      <w:proofErr w:type="gramEnd"/>
      <w:r w:rsidRPr="00966FED">
        <w:rPr>
          <w:rFonts w:ascii="Times New Roman" w:hAnsi="Times New Roman" w:cs="Times New Roman"/>
        </w:rPr>
        <w:t xml:space="preserve"> coating’, </w:t>
      </w:r>
      <w:r w:rsidRPr="00966FED">
        <w:rPr>
          <w:rFonts w:ascii="Times New Roman" w:hAnsi="Times New Roman" w:cs="Times New Roman"/>
          <w:i/>
          <w:iCs/>
        </w:rPr>
        <w:t>Prog Org Coat</w:t>
      </w:r>
      <w:r w:rsidRPr="00966FED">
        <w:rPr>
          <w:rFonts w:ascii="Times New Roman" w:hAnsi="Times New Roman" w:cs="Times New Roman"/>
        </w:rPr>
        <w:t xml:space="preserve">, vol. 127, pp. 181–193, Feb. 2019,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10.1016/J.PORGCOAT.2018.11.015.</w:t>
      </w:r>
    </w:p>
    <w:p w14:paraId="1830CCB1" w14:textId="4B66B46C"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R. Ploeger, D. </w:t>
      </w:r>
      <w:proofErr w:type="spellStart"/>
      <w:r w:rsidRPr="00966FED">
        <w:rPr>
          <w:rFonts w:ascii="Times New Roman" w:hAnsi="Times New Roman" w:cs="Times New Roman"/>
        </w:rPr>
        <w:t>Scalarone</w:t>
      </w:r>
      <w:proofErr w:type="spellEnd"/>
      <w:r w:rsidRPr="00966FED">
        <w:rPr>
          <w:rFonts w:ascii="Times New Roman" w:hAnsi="Times New Roman" w:cs="Times New Roman"/>
        </w:rPr>
        <w:t xml:space="preserve">, and O. </w:t>
      </w:r>
      <w:proofErr w:type="spellStart"/>
      <w:r w:rsidRPr="00966FED">
        <w:rPr>
          <w:rFonts w:ascii="Times New Roman" w:hAnsi="Times New Roman" w:cs="Times New Roman"/>
        </w:rPr>
        <w:t>Chiantore</w:t>
      </w:r>
      <w:proofErr w:type="spellEnd"/>
      <w:r w:rsidRPr="00966FED">
        <w:rPr>
          <w:rFonts w:ascii="Times New Roman" w:hAnsi="Times New Roman" w:cs="Times New Roman"/>
        </w:rPr>
        <w:t xml:space="preserve">, ‘Thermal analytical study of the oxidative stability of artists’ alkyd paints’, </w:t>
      </w:r>
      <w:proofErr w:type="spellStart"/>
      <w:r w:rsidRPr="00966FED">
        <w:rPr>
          <w:rFonts w:ascii="Times New Roman" w:hAnsi="Times New Roman" w:cs="Times New Roman"/>
          <w:i/>
          <w:iCs/>
        </w:rPr>
        <w:t>Polym</w:t>
      </w:r>
      <w:proofErr w:type="spellEnd"/>
      <w:r w:rsidRPr="00966FED">
        <w:rPr>
          <w:rFonts w:ascii="Times New Roman" w:hAnsi="Times New Roman" w:cs="Times New Roman"/>
          <w:i/>
          <w:iCs/>
        </w:rPr>
        <w:t xml:space="preserve"> </w:t>
      </w:r>
      <w:proofErr w:type="spellStart"/>
      <w:r w:rsidRPr="00966FED">
        <w:rPr>
          <w:rFonts w:ascii="Times New Roman" w:hAnsi="Times New Roman" w:cs="Times New Roman"/>
          <w:i/>
          <w:iCs/>
        </w:rPr>
        <w:t>Degrad</w:t>
      </w:r>
      <w:proofErr w:type="spellEnd"/>
      <w:r w:rsidRPr="00966FED">
        <w:rPr>
          <w:rFonts w:ascii="Times New Roman" w:hAnsi="Times New Roman" w:cs="Times New Roman"/>
          <w:i/>
          <w:iCs/>
        </w:rPr>
        <w:t xml:space="preserve"> Stab</w:t>
      </w:r>
      <w:r w:rsidRPr="00966FED">
        <w:rPr>
          <w:rFonts w:ascii="Times New Roman" w:hAnsi="Times New Roman" w:cs="Times New Roman"/>
        </w:rPr>
        <w:t xml:space="preserve">, vol. 94, no. 11, pp. 2036–2041, Nov. 2009, </w:t>
      </w:r>
      <w:proofErr w:type="spellStart"/>
      <w:r w:rsidRPr="00966FED">
        <w:rPr>
          <w:rFonts w:ascii="Times New Roman" w:hAnsi="Times New Roman" w:cs="Times New Roman"/>
        </w:rPr>
        <w:t>doi</w:t>
      </w:r>
      <w:proofErr w:type="spellEnd"/>
      <w:r w:rsidRPr="00966FED">
        <w:rPr>
          <w:rFonts w:ascii="Times New Roman" w:hAnsi="Times New Roman" w:cs="Times New Roman"/>
        </w:rPr>
        <w:t>: 10.1016/J.POLYMDEGRADSTAB.2009.07.018.</w:t>
      </w:r>
    </w:p>
    <w:p w14:paraId="2329697C" w14:textId="20EB6EA2"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D. D. </w:t>
      </w:r>
      <w:proofErr w:type="spellStart"/>
      <w:r w:rsidRPr="00966FED">
        <w:rPr>
          <w:rFonts w:ascii="Times New Roman" w:hAnsi="Times New Roman" w:cs="Times New Roman"/>
        </w:rPr>
        <w:t>Burduhos</w:t>
      </w:r>
      <w:proofErr w:type="spellEnd"/>
      <w:r w:rsidRPr="00966FED">
        <w:rPr>
          <w:rFonts w:ascii="Times New Roman" w:hAnsi="Times New Roman" w:cs="Times New Roman"/>
        </w:rPr>
        <w:t xml:space="preserve"> Nergis, M. M. A. B. Abdullah, P. </w:t>
      </w:r>
      <w:proofErr w:type="spellStart"/>
      <w:r w:rsidRPr="00966FED">
        <w:rPr>
          <w:rFonts w:ascii="Times New Roman" w:hAnsi="Times New Roman" w:cs="Times New Roman"/>
        </w:rPr>
        <w:t>Vizureanu</w:t>
      </w:r>
      <w:proofErr w:type="spellEnd"/>
      <w:r w:rsidRPr="00966FED">
        <w:rPr>
          <w:rFonts w:ascii="Times New Roman" w:hAnsi="Times New Roman" w:cs="Times New Roman"/>
        </w:rPr>
        <w:t xml:space="preserve">, and M. F. Mohd Tahir, ‘Geopolymers and Their Uses: Review’, </w:t>
      </w:r>
      <w:r w:rsidRPr="00966FED">
        <w:rPr>
          <w:rFonts w:ascii="Times New Roman" w:hAnsi="Times New Roman" w:cs="Times New Roman"/>
          <w:i/>
          <w:iCs/>
        </w:rPr>
        <w:t>IOP Conf Ser Mater Sci Eng</w:t>
      </w:r>
      <w:r w:rsidRPr="00966FED">
        <w:rPr>
          <w:rFonts w:ascii="Times New Roman" w:hAnsi="Times New Roman" w:cs="Times New Roman"/>
        </w:rPr>
        <w:t xml:space="preserve">, vol. 374, no. 1, p. 012019, Jun. 2018, </w:t>
      </w:r>
      <w:proofErr w:type="spellStart"/>
      <w:r w:rsidRPr="00966FED">
        <w:rPr>
          <w:rFonts w:ascii="Times New Roman" w:hAnsi="Times New Roman" w:cs="Times New Roman"/>
        </w:rPr>
        <w:t>doi</w:t>
      </w:r>
      <w:proofErr w:type="spellEnd"/>
      <w:r w:rsidRPr="00966FED">
        <w:rPr>
          <w:rFonts w:ascii="Times New Roman" w:hAnsi="Times New Roman" w:cs="Times New Roman"/>
        </w:rPr>
        <w:t>: 10.1088/1757-899X/374/1/012019.</w:t>
      </w:r>
    </w:p>
    <w:p w14:paraId="06C082F5" w14:textId="19BA1CD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H. Wang, H. Wu, Z. Xing, R. Wang, and S. Dai, ‘The Effect of Various Si/Al, Na/Al Molar Ratios and Free Water on Micromorphology and Macro-Strength of Metakaolin-Based Geopolymer’, </w:t>
      </w:r>
      <w:r w:rsidRPr="00966FED">
        <w:rPr>
          <w:rFonts w:ascii="Times New Roman" w:hAnsi="Times New Roman" w:cs="Times New Roman"/>
          <w:i/>
          <w:iCs/>
        </w:rPr>
        <w:t>Materials 2021, Vol. 14, Page 3845</w:t>
      </w:r>
      <w:r w:rsidRPr="00966FED">
        <w:rPr>
          <w:rFonts w:ascii="Times New Roman" w:hAnsi="Times New Roman" w:cs="Times New Roman"/>
        </w:rPr>
        <w:t xml:space="preserve">, vol. 14, no. 14, p. 3845, Jul. 2021, </w:t>
      </w:r>
      <w:proofErr w:type="spellStart"/>
      <w:r w:rsidRPr="00966FED">
        <w:rPr>
          <w:rFonts w:ascii="Times New Roman" w:hAnsi="Times New Roman" w:cs="Times New Roman"/>
        </w:rPr>
        <w:t>doi</w:t>
      </w:r>
      <w:proofErr w:type="spellEnd"/>
      <w:r w:rsidRPr="00966FED">
        <w:rPr>
          <w:rFonts w:ascii="Times New Roman" w:hAnsi="Times New Roman" w:cs="Times New Roman"/>
        </w:rPr>
        <w:t>: 10.3390/MA14143845.</w:t>
      </w:r>
    </w:p>
    <w:p w14:paraId="226C9A5E" w14:textId="0B3F3734"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Y. Luna-Galiano, A. Cornejo, C. Leiva, L. F. Vilches, and C. Fernández-Pereira, ‘Properties of fly ash and </w:t>
      </w:r>
      <w:proofErr w:type="spellStart"/>
      <w:r w:rsidRPr="00966FED">
        <w:rPr>
          <w:rFonts w:ascii="Times New Roman" w:hAnsi="Times New Roman" w:cs="Times New Roman"/>
        </w:rPr>
        <w:t>metakaolín</w:t>
      </w:r>
      <w:proofErr w:type="spellEnd"/>
      <w:r w:rsidRPr="00966FED">
        <w:rPr>
          <w:rFonts w:ascii="Times New Roman" w:hAnsi="Times New Roman" w:cs="Times New Roman"/>
        </w:rPr>
        <w:t xml:space="preserve"> based geopolymer panels under fire resistance tests’, </w:t>
      </w:r>
      <w:proofErr w:type="spellStart"/>
      <w:r w:rsidRPr="00966FED">
        <w:rPr>
          <w:rFonts w:ascii="Times New Roman" w:hAnsi="Times New Roman" w:cs="Times New Roman"/>
          <w:i/>
          <w:iCs/>
        </w:rPr>
        <w:t>Materiales</w:t>
      </w:r>
      <w:proofErr w:type="spellEnd"/>
      <w:r w:rsidRPr="00966FED">
        <w:rPr>
          <w:rFonts w:ascii="Times New Roman" w:hAnsi="Times New Roman" w:cs="Times New Roman"/>
          <w:i/>
          <w:iCs/>
        </w:rPr>
        <w:t xml:space="preserve"> de </w:t>
      </w:r>
      <w:proofErr w:type="spellStart"/>
      <w:r w:rsidRPr="00966FED">
        <w:rPr>
          <w:rFonts w:ascii="Times New Roman" w:hAnsi="Times New Roman" w:cs="Times New Roman"/>
          <w:i/>
          <w:iCs/>
        </w:rPr>
        <w:t>Construcción</w:t>
      </w:r>
      <w:proofErr w:type="spellEnd"/>
      <w:r w:rsidRPr="00966FED">
        <w:rPr>
          <w:rFonts w:ascii="Times New Roman" w:hAnsi="Times New Roman" w:cs="Times New Roman"/>
        </w:rPr>
        <w:t xml:space="preserve">, vol. 65, no. 319, pp. e059–e059, Sep. 2015, </w:t>
      </w:r>
      <w:proofErr w:type="spellStart"/>
      <w:r w:rsidRPr="00966FED">
        <w:rPr>
          <w:rFonts w:ascii="Times New Roman" w:hAnsi="Times New Roman" w:cs="Times New Roman"/>
        </w:rPr>
        <w:t>doi</w:t>
      </w:r>
      <w:proofErr w:type="spellEnd"/>
      <w:r w:rsidRPr="00966FED">
        <w:rPr>
          <w:rFonts w:ascii="Times New Roman" w:hAnsi="Times New Roman" w:cs="Times New Roman"/>
        </w:rPr>
        <w:t>: 10.3989/MC.2015.06114.</w:t>
      </w:r>
    </w:p>
    <w:p w14:paraId="3B6AC5D1" w14:textId="3AFBF65E" w:rsidR="009C6A44" w:rsidRPr="00966FED" w:rsidRDefault="009C6A44" w:rsidP="00A2283E">
      <w:pPr>
        <w:pStyle w:val="ListParagraph"/>
        <w:numPr>
          <w:ilvl w:val="0"/>
          <w:numId w:val="5"/>
        </w:numPr>
        <w:jc w:val="both"/>
        <w:rPr>
          <w:rFonts w:ascii="Times New Roman" w:hAnsi="Times New Roman" w:cs="Times New Roman"/>
        </w:rPr>
      </w:pPr>
      <w:r w:rsidRPr="00966FED">
        <w:rPr>
          <w:rFonts w:ascii="Times New Roman" w:hAnsi="Times New Roman" w:cs="Times New Roman"/>
        </w:rPr>
        <w:t xml:space="preserve">M. M. Al Bakri Abdullah, L. Jamaludin, H. Kamarudin, M. </w:t>
      </w:r>
      <w:proofErr w:type="spellStart"/>
      <w:r w:rsidRPr="00966FED">
        <w:rPr>
          <w:rFonts w:ascii="Times New Roman" w:hAnsi="Times New Roman" w:cs="Times New Roman"/>
        </w:rPr>
        <w:t>Binhussain</w:t>
      </w:r>
      <w:proofErr w:type="spellEnd"/>
      <w:r w:rsidRPr="00966FED">
        <w:rPr>
          <w:rFonts w:ascii="Times New Roman" w:hAnsi="Times New Roman" w:cs="Times New Roman"/>
        </w:rPr>
        <w:t xml:space="preserve">, C. M. </w:t>
      </w:r>
      <w:proofErr w:type="spellStart"/>
      <w:r w:rsidRPr="00966FED">
        <w:rPr>
          <w:rFonts w:ascii="Times New Roman" w:hAnsi="Times New Roman" w:cs="Times New Roman"/>
        </w:rPr>
        <w:t>Ruzaidi</w:t>
      </w:r>
      <w:proofErr w:type="spellEnd"/>
      <w:r w:rsidRPr="00966FED">
        <w:rPr>
          <w:rFonts w:ascii="Times New Roman" w:hAnsi="Times New Roman" w:cs="Times New Roman"/>
        </w:rPr>
        <w:t xml:space="preserve"> Ghazali, and M. I. Ahmad, ‘Study on Fly Ash Based Geopolymer for Coating Applications’, </w:t>
      </w:r>
      <w:r w:rsidRPr="00966FED">
        <w:rPr>
          <w:rFonts w:ascii="Times New Roman" w:hAnsi="Times New Roman" w:cs="Times New Roman"/>
          <w:i/>
          <w:iCs/>
        </w:rPr>
        <w:t>Adv Mat Res</w:t>
      </w:r>
      <w:r w:rsidRPr="00966FED">
        <w:rPr>
          <w:rFonts w:ascii="Times New Roman" w:hAnsi="Times New Roman" w:cs="Times New Roman"/>
        </w:rPr>
        <w:t xml:space="preserve">, vol. 686, pp. 227–233, 2013, </w:t>
      </w:r>
      <w:proofErr w:type="spellStart"/>
      <w:r w:rsidRPr="00966FED">
        <w:rPr>
          <w:rFonts w:ascii="Times New Roman" w:hAnsi="Times New Roman" w:cs="Times New Roman"/>
        </w:rPr>
        <w:t>doi</w:t>
      </w:r>
      <w:proofErr w:type="spellEnd"/>
      <w:r w:rsidRPr="00966FED">
        <w:rPr>
          <w:rFonts w:ascii="Times New Roman" w:hAnsi="Times New Roman" w:cs="Times New Roman"/>
        </w:rPr>
        <w:t>: 10.4028/WWW.SCIENTIFIC.NET/AMR.686.227.</w:t>
      </w:r>
    </w:p>
    <w:p w14:paraId="0527FE5D" w14:textId="1AA8333B" w:rsidR="00B34198" w:rsidRPr="00966FED" w:rsidRDefault="009C6A44" w:rsidP="00A2283E">
      <w:pPr>
        <w:pStyle w:val="ListParagraph"/>
        <w:numPr>
          <w:ilvl w:val="0"/>
          <w:numId w:val="5"/>
        </w:numPr>
        <w:spacing w:before="240" w:after="240" w:line="240" w:lineRule="auto"/>
        <w:jc w:val="both"/>
        <w:rPr>
          <w:rFonts w:ascii="Times New Roman" w:hAnsi="Times New Roman" w:cs="Times New Roman"/>
        </w:rPr>
      </w:pPr>
      <w:r w:rsidRPr="00966FED">
        <w:rPr>
          <w:rFonts w:ascii="Times New Roman" w:hAnsi="Times New Roman" w:cs="Times New Roman"/>
        </w:rPr>
        <w:t xml:space="preserve">S. </w:t>
      </w:r>
      <w:proofErr w:type="spellStart"/>
      <w:r w:rsidRPr="00966FED">
        <w:rPr>
          <w:rFonts w:ascii="Times New Roman" w:hAnsi="Times New Roman" w:cs="Times New Roman"/>
        </w:rPr>
        <w:t>Luhar</w:t>
      </w:r>
      <w:proofErr w:type="spellEnd"/>
      <w:r w:rsidRPr="00966FED">
        <w:rPr>
          <w:rFonts w:ascii="Times New Roman" w:hAnsi="Times New Roman" w:cs="Times New Roman"/>
        </w:rPr>
        <w:t xml:space="preserve">, D. Nicolaides, and I. </w:t>
      </w:r>
      <w:proofErr w:type="spellStart"/>
      <w:r w:rsidRPr="00966FED">
        <w:rPr>
          <w:rFonts w:ascii="Times New Roman" w:hAnsi="Times New Roman" w:cs="Times New Roman"/>
        </w:rPr>
        <w:t>Luhar</w:t>
      </w:r>
      <w:proofErr w:type="spellEnd"/>
      <w:r w:rsidRPr="00966FED">
        <w:rPr>
          <w:rFonts w:ascii="Times New Roman" w:hAnsi="Times New Roman" w:cs="Times New Roman"/>
        </w:rPr>
        <w:t xml:space="preserve">, ‘Fire Resistance </w:t>
      </w:r>
      <w:proofErr w:type="spellStart"/>
      <w:r w:rsidRPr="00966FED">
        <w:rPr>
          <w:rFonts w:ascii="Times New Roman" w:hAnsi="Times New Roman" w:cs="Times New Roman"/>
        </w:rPr>
        <w:t>Behaviour</w:t>
      </w:r>
      <w:proofErr w:type="spellEnd"/>
      <w:r w:rsidRPr="00966FED">
        <w:rPr>
          <w:rFonts w:ascii="Times New Roman" w:hAnsi="Times New Roman" w:cs="Times New Roman"/>
        </w:rPr>
        <w:t xml:space="preserve"> of Geopolymer Concrete: An Overview’, </w:t>
      </w:r>
      <w:r w:rsidRPr="00966FED">
        <w:rPr>
          <w:rFonts w:ascii="Times New Roman" w:hAnsi="Times New Roman" w:cs="Times New Roman"/>
          <w:i/>
          <w:iCs/>
        </w:rPr>
        <w:t>Buildings 2021, Vol. 11, Page 82</w:t>
      </w:r>
      <w:r w:rsidRPr="00966FED">
        <w:rPr>
          <w:rFonts w:ascii="Times New Roman" w:hAnsi="Times New Roman" w:cs="Times New Roman"/>
        </w:rPr>
        <w:t xml:space="preserve">, vol. 11, no. 3, p. 82, Feb. 2021, </w:t>
      </w:r>
      <w:proofErr w:type="spellStart"/>
      <w:r w:rsidRPr="00966FED">
        <w:rPr>
          <w:rFonts w:ascii="Times New Roman" w:hAnsi="Times New Roman" w:cs="Times New Roman"/>
        </w:rPr>
        <w:t>doi</w:t>
      </w:r>
      <w:proofErr w:type="spellEnd"/>
      <w:r w:rsidRPr="00966FED">
        <w:rPr>
          <w:rFonts w:ascii="Times New Roman" w:hAnsi="Times New Roman" w:cs="Times New Roman"/>
        </w:rPr>
        <w:t>: 10.3390/BUILDINGS110300</w:t>
      </w:r>
    </w:p>
    <w:sectPr w:rsidR="00B34198" w:rsidRPr="00966FED" w:rsidSect="009C6A44">
      <w:type w:val="continuous"/>
      <w:pgSz w:w="11907" w:h="16840"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65E08" w14:textId="77777777" w:rsidR="00402DB1" w:rsidRDefault="00402DB1" w:rsidP="00037161">
      <w:pPr>
        <w:spacing w:after="0" w:line="240" w:lineRule="auto"/>
      </w:pPr>
      <w:r>
        <w:separator/>
      </w:r>
    </w:p>
  </w:endnote>
  <w:endnote w:type="continuationSeparator" w:id="0">
    <w:p w14:paraId="75522409" w14:textId="77777777" w:rsidR="00402DB1" w:rsidRDefault="00402DB1" w:rsidP="0003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52091" w14:textId="77777777" w:rsidR="00402DB1" w:rsidRDefault="00402DB1" w:rsidP="00037161">
      <w:pPr>
        <w:spacing w:after="0" w:line="240" w:lineRule="auto"/>
      </w:pPr>
      <w:r>
        <w:separator/>
      </w:r>
    </w:p>
  </w:footnote>
  <w:footnote w:type="continuationSeparator" w:id="0">
    <w:p w14:paraId="2715934C" w14:textId="77777777" w:rsidR="00402DB1" w:rsidRDefault="00402DB1" w:rsidP="0003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2788"/>
    <w:multiLevelType w:val="hybridMultilevel"/>
    <w:tmpl w:val="714605F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41B7882"/>
    <w:multiLevelType w:val="hybridMultilevel"/>
    <w:tmpl w:val="E0082B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3507158A"/>
    <w:multiLevelType w:val="hybridMultilevel"/>
    <w:tmpl w:val="1E0C07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F14158A"/>
    <w:multiLevelType w:val="hybridMultilevel"/>
    <w:tmpl w:val="CA34EB4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3FB83B1D"/>
    <w:multiLevelType w:val="hybridMultilevel"/>
    <w:tmpl w:val="113C7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2681524">
    <w:abstractNumId w:val="0"/>
  </w:num>
  <w:num w:numId="2" w16cid:durableId="630476479">
    <w:abstractNumId w:val="3"/>
  </w:num>
  <w:num w:numId="3" w16cid:durableId="134956140">
    <w:abstractNumId w:val="1"/>
  </w:num>
  <w:num w:numId="4" w16cid:durableId="410542547">
    <w:abstractNumId w:val="2"/>
  </w:num>
  <w:num w:numId="5" w16cid:durableId="98184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161"/>
    <w:rsid w:val="00006869"/>
    <w:rsid w:val="00037161"/>
    <w:rsid w:val="00041570"/>
    <w:rsid w:val="00064269"/>
    <w:rsid w:val="00083F4D"/>
    <w:rsid w:val="000C11D6"/>
    <w:rsid w:val="000E4A76"/>
    <w:rsid w:val="00107AD8"/>
    <w:rsid w:val="0013238B"/>
    <w:rsid w:val="001570C0"/>
    <w:rsid w:val="00160312"/>
    <w:rsid w:val="00173F38"/>
    <w:rsid w:val="00176D4A"/>
    <w:rsid w:val="001774EF"/>
    <w:rsid w:val="001A6CEB"/>
    <w:rsid w:val="001B08A5"/>
    <w:rsid w:val="001C490E"/>
    <w:rsid w:val="001D0AFA"/>
    <w:rsid w:val="001D16BD"/>
    <w:rsid w:val="001D60D6"/>
    <w:rsid w:val="00284348"/>
    <w:rsid w:val="00285676"/>
    <w:rsid w:val="00286616"/>
    <w:rsid w:val="002C5656"/>
    <w:rsid w:val="003147C7"/>
    <w:rsid w:val="00315A5D"/>
    <w:rsid w:val="0032420F"/>
    <w:rsid w:val="0033430A"/>
    <w:rsid w:val="00376F60"/>
    <w:rsid w:val="00377B2A"/>
    <w:rsid w:val="003E1A58"/>
    <w:rsid w:val="003F253B"/>
    <w:rsid w:val="00402DB1"/>
    <w:rsid w:val="00412DF6"/>
    <w:rsid w:val="004343C1"/>
    <w:rsid w:val="00443393"/>
    <w:rsid w:val="004A7D5E"/>
    <w:rsid w:val="004E07D1"/>
    <w:rsid w:val="004E2626"/>
    <w:rsid w:val="00513D67"/>
    <w:rsid w:val="00533486"/>
    <w:rsid w:val="00537DBD"/>
    <w:rsid w:val="00552AA7"/>
    <w:rsid w:val="00554B63"/>
    <w:rsid w:val="00560CD4"/>
    <w:rsid w:val="005905E5"/>
    <w:rsid w:val="005F584E"/>
    <w:rsid w:val="00612F54"/>
    <w:rsid w:val="00614C6C"/>
    <w:rsid w:val="00617305"/>
    <w:rsid w:val="00640E7C"/>
    <w:rsid w:val="0065596E"/>
    <w:rsid w:val="00656B6F"/>
    <w:rsid w:val="006616F7"/>
    <w:rsid w:val="00670346"/>
    <w:rsid w:val="00672E2A"/>
    <w:rsid w:val="00694BC7"/>
    <w:rsid w:val="006951BB"/>
    <w:rsid w:val="006A5106"/>
    <w:rsid w:val="006C3AC2"/>
    <w:rsid w:val="006D4104"/>
    <w:rsid w:val="006E5575"/>
    <w:rsid w:val="0075363F"/>
    <w:rsid w:val="007856FF"/>
    <w:rsid w:val="00796733"/>
    <w:rsid w:val="007E1BC5"/>
    <w:rsid w:val="007E5E3A"/>
    <w:rsid w:val="0087149B"/>
    <w:rsid w:val="00883D8B"/>
    <w:rsid w:val="008F3CE6"/>
    <w:rsid w:val="00925511"/>
    <w:rsid w:val="009532D7"/>
    <w:rsid w:val="00956F42"/>
    <w:rsid w:val="00957F29"/>
    <w:rsid w:val="00966FED"/>
    <w:rsid w:val="009838D7"/>
    <w:rsid w:val="009C6A44"/>
    <w:rsid w:val="009D6209"/>
    <w:rsid w:val="00A07859"/>
    <w:rsid w:val="00A2283E"/>
    <w:rsid w:val="00A23FE7"/>
    <w:rsid w:val="00A4338A"/>
    <w:rsid w:val="00A50454"/>
    <w:rsid w:val="00A52F09"/>
    <w:rsid w:val="00A6727F"/>
    <w:rsid w:val="00A84A9D"/>
    <w:rsid w:val="00A97136"/>
    <w:rsid w:val="00AD189C"/>
    <w:rsid w:val="00AD56EC"/>
    <w:rsid w:val="00AE7385"/>
    <w:rsid w:val="00B27C08"/>
    <w:rsid w:val="00B34198"/>
    <w:rsid w:val="00B355B2"/>
    <w:rsid w:val="00B43D39"/>
    <w:rsid w:val="00B44C8E"/>
    <w:rsid w:val="00B55FFA"/>
    <w:rsid w:val="00B821E3"/>
    <w:rsid w:val="00BB4703"/>
    <w:rsid w:val="00BB7B75"/>
    <w:rsid w:val="00BD57E9"/>
    <w:rsid w:val="00BF01D1"/>
    <w:rsid w:val="00C24AE6"/>
    <w:rsid w:val="00C72689"/>
    <w:rsid w:val="00C94CF2"/>
    <w:rsid w:val="00CB5FF0"/>
    <w:rsid w:val="00CC4A25"/>
    <w:rsid w:val="00CD6DD5"/>
    <w:rsid w:val="00D12A2F"/>
    <w:rsid w:val="00D73E3A"/>
    <w:rsid w:val="00D81256"/>
    <w:rsid w:val="00D9341C"/>
    <w:rsid w:val="00DB2C69"/>
    <w:rsid w:val="00DE3122"/>
    <w:rsid w:val="00E21E96"/>
    <w:rsid w:val="00E30057"/>
    <w:rsid w:val="00E47DEF"/>
    <w:rsid w:val="00E67EEA"/>
    <w:rsid w:val="00E93491"/>
    <w:rsid w:val="00EA1026"/>
    <w:rsid w:val="00ED20C7"/>
    <w:rsid w:val="00F063DA"/>
    <w:rsid w:val="00F273A3"/>
    <w:rsid w:val="00F27A76"/>
    <w:rsid w:val="00F43735"/>
    <w:rsid w:val="00F74FC6"/>
    <w:rsid w:val="00F76A31"/>
    <w:rsid w:val="00F84AA5"/>
    <w:rsid w:val="00FA0F37"/>
    <w:rsid w:val="00FB3950"/>
    <w:rsid w:val="00FB71A6"/>
    <w:rsid w:val="00FE0BB8"/>
    <w:rsid w:val="00FE2437"/>
    <w:rsid w:val="00FF0B73"/>
    <w:rsid w:val="00FF39E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5EF4B"/>
  <w15:chartTrackingRefBased/>
  <w15:docId w15:val="{DAF69F02-4BA4-498B-9868-CA57EA68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1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71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71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71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71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7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1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71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71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71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71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7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161"/>
    <w:rPr>
      <w:rFonts w:eastAsiaTheme="majorEastAsia" w:cstheme="majorBidi"/>
      <w:color w:val="272727" w:themeColor="text1" w:themeTint="D8"/>
    </w:rPr>
  </w:style>
  <w:style w:type="paragraph" w:styleId="Title">
    <w:name w:val="Title"/>
    <w:basedOn w:val="Normal"/>
    <w:next w:val="Normal"/>
    <w:link w:val="TitleChar"/>
    <w:uiPriority w:val="10"/>
    <w:qFormat/>
    <w:rsid w:val="00037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1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161"/>
    <w:pPr>
      <w:spacing w:before="160"/>
      <w:jc w:val="center"/>
    </w:pPr>
    <w:rPr>
      <w:i/>
      <w:iCs/>
      <w:color w:val="404040" w:themeColor="text1" w:themeTint="BF"/>
    </w:rPr>
  </w:style>
  <w:style w:type="character" w:customStyle="1" w:styleId="QuoteChar">
    <w:name w:val="Quote Char"/>
    <w:basedOn w:val="DefaultParagraphFont"/>
    <w:link w:val="Quote"/>
    <w:uiPriority w:val="29"/>
    <w:rsid w:val="00037161"/>
    <w:rPr>
      <w:i/>
      <w:iCs/>
      <w:color w:val="404040" w:themeColor="text1" w:themeTint="BF"/>
    </w:rPr>
  </w:style>
  <w:style w:type="paragraph" w:styleId="ListParagraph">
    <w:name w:val="List Paragraph"/>
    <w:basedOn w:val="Normal"/>
    <w:uiPriority w:val="34"/>
    <w:qFormat/>
    <w:rsid w:val="00037161"/>
    <w:pPr>
      <w:ind w:left="720"/>
      <w:contextualSpacing/>
    </w:pPr>
  </w:style>
  <w:style w:type="character" w:styleId="IntenseEmphasis">
    <w:name w:val="Intense Emphasis"/>
    <w:basedOn w:val="DefaultParagraphFont"/>
    <w:uiPriority w:val="21"/>
    <w:qFormat/>
    <w:rsid w:val="00037161"/>
    <w:rPr>
      <w:i/>
      <w:iCs/>
      <w:color w:val="2F5496" w:themeColor="accent1" w:themeShade="BF"/>
    </w:rPr>
  </w:style>
  <w:style w:type="paragraph" w:styleId="IntenseQuote">
    <w:name w:val="Intense Quote"/>
    <w:basedOn w:val="Normal"/>
    <w:next w:val="Normal"/>
    <w:link w:val="IntenseQuoteChar"/>
    <w:uiPriority w:val="30"/>
    <w:qFormat/>
    <w:rsid w:val="000371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7161"/>
    <w:rPr>
      <w:i/>
      <w:iCs/>
      <w:color w:val="2F5496" w:themeColor="accent1" w:themeShade="BF"/>
    </w:rPr>
  </w:style>
  <w:style w:type="character" w:styleId="IntenseReference">
    <w:name w:val="Intense Reference"/>
    <w:basedOn w:val="DefaultParagraphFont"/>
    <w:uiPriority w:val="32"/>
    <w:qFormat/>
    <w:rsid w:val="00037161"/>
    <w:rPr>
      <w:b/>
      <w:bCs/>
      <w:smallCaps/>
      <w:color w:val="2F5496" w:themeColor="accent1" w:themeShade="BF"/>
      <w:spacing w:val="5"/>
    </w:rPr>
  </w:style>
  <w:style w:type="paragraph" w:styleId="Header">
    <w:name w:val="header"/>
    <w:basedOn w:val="Normal"/>
    <w:link w:val="HeaderChar"/>
    <w:uiPriority w:val="99"/>
    <w:unhideWhenUsed/>
    <w:rsid w:val="0003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161"/>
  </w:style>
  <w:style w:type="paragraph" w:styleId="Footer">
    <w:name w:val="footer"/>
    <w:basedOn w:val="Normal"/>
    <w:link w:val="FooterChar"/>
    <w:uiPriority w:val="99"/>
    <w:unhideWhenUsed/>
    <w:rsid w:val="0003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161"/>
  </w:style>
  <w:style w:type="character" w:styleId="PlaceholderText">
    <w:name w:val="Placeholder Text"/>
    <w:basedOn w:val="DefaultParagraphFont"/>
    <w:uiPriority w:val="99"/>
    <w:semiHidden/>
    <w:rsid w:val="00D9341C"/>
    <w:rPr>
      <w:color w:val="666666"/>
    </w:rPr>
  </w:style>
  <w:style w:type="table" w:styleId="TableGrid">
    <w:name w:val="Table Grid"/>
    <w:basedOn w:val="TableNormal"/>
    <w:uiPriority w:val="39"/>
    <w:rsid w:val="00AE7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03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4494">
      <w:marLeft w:val="640"/>
      <w:marRight w:val="0"/>
      <w:marTop w:val="0"/>
      <w:marBottom w:val="0"/>
      <w:divBdr>
        <w:top w:val="none" w:sz="0" w:space="0" w:color="auto"/>
        <w:left w:val="none" w:sz="0" w:space="0" w:color="auto"/>
        <w:bottom w:val="none" w:sz="0" w:space="0" w:color="auto"/>
        <w:right w:val="none" w:sz="0" w:space="0" w:color="auto"/>
      </w:divBdr>
    </w:div>
    <w:div w:id="393698084">
      <w:marLeft w:val="640"/>
      <w:marRight w:val="0"/>
      <w:marTop w:val="0"/>
      <w:marBottom w:val="0"/>
      <w:divBdr>
        <w:top w:val="none" w:sz="0" w:space="0" w:color="auto"/>
        <w:left w:val="none" w:sz="0" w:space="0" w:color="auto"/>
        <w:bottom w:val="none" w:sz="0" w:space="0" w:color="auto"/>
        <w:right w:val="none" w:sz="0" w:space="0" w:color="auto"/>
      </w:divBdr>
    </w:div>
    <w:div w:id="511072631">
      <w:marLeft w:val="640"/>
      <w:marRight w:val="0"/>
      <w:marTop w:val="0"/>
      <w:marBottom w:val="0"/>
      <w:divBdr>
        <w:top w:val="none" w:sz="0" w:space="0" w:color="auto"/>
        <w:left w:val="none" w:sz="0" w:space="0" w:color="auto"/>
        <w:bottom w:val="none" w:sz="0" w:space="0" w:color="auto"/>
        <w:right w:val="none" w:sz="0" w:space="0" w:color="auto"/>
      </w:divBdr>
    </w:div>
    <w:div w:id="676811221">
      <w:marLeft w:val="640"/>
      <w:marRight w:val="0"/>
      <w:marTop w:val="0"/>
      <w:marBottom w:val="0"/>
      <w:divBdr>
        <w:top w:val="none" w:sz="0" w:space="0" w:color="auto"/>
        <w:left w:val="none" w:sz="0" w:space="0" w:color="auto"/>
        <w:bottom w:val="none" w:sz="0" w:space="0" w:color="auto"/>
        <w:right w:val="none" w:sz="0" w:space="0" w:color="auto"/>
      </w:divBdr>
    </w:div>
    <w:div w:id="772482598">
      <w:marLeft w:val="640"/>
      <w:marRight w:val="0"/>
      <w:marTop w:val="0"/>
      <w:marBottom w:val="0"/>
      <w:divBdr>
        <w:top w:val="none" w:sz="0" w:space="0" w:color="auto"/>
        <w:left w:val="none" w:sz="0" w:space="0" w:color="auto"/>
        <w:bottom w:val="none" w:sz="0" w:space="0" w:color="auto"/>
        <w:right w:val="none" w:sz="0" w:space="0" w:color="auto"/>
      </w:divBdr>
    </w:div>
    <w:div w:id="870727341">
      <w:marLeft w:val="640"/>
      <w:marRight w:val="0"/>
      <w:marTop w:val="0"/>
      <w:marBottom w:val="0"/>
      <w:divBdr>
        <w:top w:val="none" w:sz="0" w:space="0" w:color="auto"/>
        <w:left w:val="none" w:sz="0" w:space="0" w:color="auto"/>
        <w:bottom w:val="none" w:sz="0" w:space="0" w:color="auto"/>
        <w:right w:val="none" w:sz="0" w:space="0" w:color="auto"/>
      </w:divBdr>
    </w:div>
    <w:div w:id="900139256">
      <w:marLeft w:val="640"/>
      <w:marRight w:val="0"/>
      <w:marTop w:val="0"/>
      <w:marBottom w:val="0"/>
      <w:divBdr>
        <w:top w:val="none" w:sz="0" w:space="0" w:color="auto"/>
        <w:left w:val="none" w:sz="0" w:space="0" w:color="auto"/>
        <w:bottom w:val="none" w:sz="0" w:space="0" w:color="auto"/>
        <w:right w:val="none" w:sz="0" w:space="0" w:color="auto"/>
      </w:divBdr>
    </w:div>
    <w:div w:id="1012754824">
      <w:marLeft w:val="640"/>
      <w:marRight w:val="0"/>
      <w:marTop w:val="0"/>
      <w:marBottom w:val="0"/>
      <w:divBdr>
        <w:top w:val="none" w:sz="0" w:space="0" w:color="auto"/>
        <w:left w:val="none" w:sz="0" w:space="0" w:color="auto"/>
        <w:bottom w:val="none" w:sz="0" w:space="0" w:color="auto"/>
        <w:right w:val="none" w:sz="0" w:space="0" w:color="auto"/>
      </w:divBdr>
    </w:div>
    <w:div w:id="1179346119">
      <w:marLeft w:val="640"/>
      <w:marRight w:val="0"/>
      <w:marTop w:val="0"/>
      <w:marBottom w:val="0"/>
      <w:divBdr>
        <w:top w:val="none" w:sz="0" w:space="0" w:color="auto"/>
        <w:left w:val="none" w:sz="0" w:space="0" w:color="auto"/>
        <w:bottom w:val="none" w:sz="0" w:space="0" w:color="auto"/>
        <w:right w:val="none" w:sz="0" w:space="0" w:color="auto"/>
      </w:divBdr>
    </w:div>
    <w:div w:id="1226913550">
      <w:marLeft w:val="640"/>
      <w:marRight w:val="0"/>
      <w:marTop w:val="0"/>
      <w:marBottom w:val="0"/>
      <w:divBdr>
        <w:top w:val="none" w:sz="0" w:space="0" w:color="auto"/>
        <w:left w:val="none" w:sz="0" w:space="0" w:color="auto"/>
        <w:bottom w:val="none" w:sz="0" w:space="0" w:color="auto"/>
        <w:right w:val="none" w:sz="0" w:space="0" w:color="auto"/>
      </w:divBdr>
    </w:div>
    <w:div w:id="1433210773">
      <w:marLeft w:val="640"/>
      <w:marRight w:val="0"/>
      <w:marTop w:val="0"/>
      <w:marBottom w:val="0"/>
      <w:divBdr>
        <w:top w:val="none" w:sz="0" w:space="0" w:color="auto"/>
        <w:left w:val="none" w:sz="0" w:space="0" w:color="auto"/>
        <w:bottom w:val="none" w:sz="0" w:space="0" w:color="auto"/>
        <w:right w:val="none" w:sz="0" w:space="0" w:color="auto"/>
      </w:divBdr>
    </w:div>
    <w:div w:id="1510487070">
      <w:marLeft w:val="640"/>
      <w:marRight w:val="0"/>
      <w:marTop w:val="0"/>
      <w:marBottom w:val="0"/>
      <w:divBdr>
        <w:top w:val="none" w:sz="0" w:space="0" w:color="auto"/>
        <w:left w:val="none" w:sz="0" w:space="0" w:color="auto"/>
        <w:bottom w:val="none" w:sz="0" w:space="0" w:color="auto"/>
        <w:right w:val="none" w:sz="0" w:space="0" w:color="auto"/>
      </w:divBdr>
    </w:div>
    <w:div w:id="1539389625">
      <w:marLeft w:val="640"/>
      <w:marRight w:val="0"/>
      <w:marTop w:val="0"/>
      <w:marBottom w:val="0"/>
      <w:divBdr>
        <w:top w:val="none" w:sz="0" w:space="0" w:color="auto"/>
        <w:left w:val="none" w:sz="0" w:space="0" w:color="auto"/>
        <w:bottom w:val="none" w:sz="0" w:space="0" w:color="auto"/>
        <w:right w:val="none" w:sz="0" w:space="0" w:color="auto"/>
      </w:divBdr>
    </w:div>
    <w:div w:id="1568107451">
      <w:marLeft w:val="640"/>
      <w:marRight w:val="0"/>
      <w:marTop w:val="0"/>
      <w:marBottom w:val="0"/>
      <w:divBdr>
        <w:top w:val="none" w:sz="0" w:space="0" w:color="auto"/>
        <w:left w:val="none" w:sz="0" w:space="0" w:color="auto"/>
        <w:bottom w:val="none" w:sz="0" w:space="0" w:color="auto"/>
        <w:right w:val="none" w:sz="0" w:space="0" w:color="auto"/>
      </w:divBdr>
    </w:div>
    <w:div w:id="1712457863">
      <w:marLeft w:val="640"/>
      <w:marRight w:val="0"/>
      <w:marTop w:val="0"/>
      <w:marBottom w:val="0"/>
      <w:divBdr>
        <w:top w:val="none" w:sz="0" w:space="0" w:color="auto"/>
        <w:left w:val="none" w:sz="0" w:space="0" w:color="auto"/>
        <w:bottom w:val="none" w:sz="0" w:space="0" w:color="auto"/>
        <w:right w:val="none" w:sz="0" w:space="0" w:color="auto"/>
      </w:divBdr>
    </w:div>
    <w:div w:id="1783380353">
      <w:marLeft w:val="640"/>
      <w:marRight w:val="0"/>
      <w:marTop w:val="0"/>
      <w:marBottom w:val="0"/>
      <w:divBdr>
        <w:top w:val="none" w:sz="0" w:space="0" w:color="auto"/>
        <w:left w:val="none" w:sz="0" w:space="0" w:color="auto"/>
        <w:bottom w:val="none" w:sz="0" w:space="0" w:color="auto"/>
        <w:right w:val="none" w:sz="0" w:space="0" w:color="auto"/>
      </w:divBdr>
    </w:div>
    <w:div w:id="1814717939">
      <w:marLeft w:val="640"/>
      <w:marRight w:val="0"/>
      <w:marTop w:val="0"/>
      <w:marBottom w:val="0"/>
      <w:divBdr>
        <w:top w:val="none" w:sz="0" w:space="0" w:color="auto"/>
        <w:left w:val="none" w:sz="0" w:space="0" w:color="auto"/>
        <w:bottom w:val="none" w:sz="0" w:space="0" w:color="auto"/>
        <w:right w:val="none" w:sz="0" w:space="0" w:color="auto"/>
      </w:divBdr>
    </w:div>
    <w:div w:id="1899825659">
      <w:marLeft w:val="640"/>
      <w:marRight w:val="0"/>
      <w:marTop w:val="0"/>
      <w:marBottom w:val="0"/>
      <w:divBdr>
        <w:top w:val="none" w:sz="0" w:space="0" w:color="auto"/>
        <w:left w:val="none" w:sz="0" w:space="0" w:color="auto"/>
        <w:bottom w:val="none" w:sz="0" w:space="0" w:color="auto"/>
        <w:right w:val="none" w:sz="0" w:space="0" w:color="auto"/>
      </w:divBdr>
    </w:div>
    <w:div w:id="1945654168">
      <w:marLeft w:val="640"/>
      <w:marRight w:val="0"/>
      <w:marTop w:val="0"/>
      <w:marBottom w:val="0"/>
      <w:divBdr>
        <w:top w:val="none" w:sz="0" w:space="0" w:color="auto"/>
        <w:left w:val="none" w:sz="0" w:space="0" w:color="auto"/>
        <w:bottom w:val="none" w:sz="0" w:space="0" w:color="auto"/>
        <w:right w:val="none" w:sz="0" w:space="0" w:color="auto"/>
      </w:divBdr>
    </w:div>
    <w:div w:id="2127045193">
      <w:marLeft w:val="640"/>
      <w:marRight w:val="0"/>
      <w:marTop w:val="0"/>
      <w:marBottom w:val="0"/>
      <w:divBdr>
        <w:top w:val="none" w:sz="0" w:space="0" w:color="auto"/>
        <w:left w:val="none" w:sz="0" w:space="0" w:color="auto"/>
        <w:bottom w:val="none" w:sz="0" w:space="0" w:color="auto"/>
        <w:right w:val="none" w:sz="0" w:space="0" w:color="auto"/>
      </w:divBdr>
    </w:div>
    <w:div w:id="2140688566">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E36767-DA70-4290-AADD-F6624DEEAFE8}">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3146046568"/>
    <we:property name="MENDELEY_CITATIONS" value="[{&quot;citationID&quot;:&quot;MENDELEY_CITATION_de25de9f-add1-4e0b-919a-09c421cec8cd&quot;,&quot;properties&quot;:{&quot;noteIndex&quot;:0},&quot;isEdited&quot;:false,&quot;manualOverride&quot;:{&quot;isManuallyOverridden&quot;:false,&quot;citeprocText&quot;:&quot;(Amran et al., 2015)&quot;,&quot;manualOverrideText&quot;:&quot;&quot;},&quot;citationTag&quot;:&quot;MENDELEY_CITATION_v3_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&quot;,&quot;citationItems&quot;:[{&quot;id&quot;:&quot;6358759e-503c-3838-baaf-61b34dd4f45f&quot;,&quot;itemData&quot;:{&quot;type&quot;:&quot;article&quot;,&quot;id&quot;:&quot;6358759e-503c-3838-baaf-61b34dd4f45f&quot;,&quot;title&quot;:&quot;Properties and applications of foamed concrete; A review&quot;,&quot;author&quot;:[{&quot;family&quot;:&quot;Amran&quot;,&quot;given&quot;:&quot;Y. H.Mugahed&quot;,&quot;parse-names&quot;:false,&quot;dropping-particle&quot;:&quot;&quot;,&quot;non-dropping-particle&quot;:&quot;&quot;},{&quot;family&quot;:&quot;Farzadnia&quot;,&quot;given&quot;:&quot;Nima&quot;,&quot;parse-names&quot;:false,&quot;dropping-particle&quot;:&quot;&quot;,&quot;non-dropping-particle&quot;:&quot;&quot;},{&quot;family&quot;:&quot;Ali&quot;,&quot;given&quot;:&quot;A. A.Abang&quot;,&quot;parse-names&quot;:false,&quot;dropping-particle&quot;:&quot;&quot;,&quot;non-dropping-particle&quot;:&quot;&quot;}],&quot;container-title&quot;:&quot;Construction and Building Materials&quot;,&quot;container-title-short&quot;:&quot;Constr. Build. Mater.&quot;,&quot;DOI&quot;:&quot;10.1016/j.conbuildmat.2015.10.112&quot;,&quot;ISSN&quot;:&quot;09500618&quot;,&quot;issued&quot;:{&quot;date-parts&quot;:[[2015,12,30]]},&quot;page&quot;:&quot;990-1005&quot;,&quot;abstract&quot;:&quot;Foamed concrete possesses characteristics such as high strength-to-weight ratio and low density. Using foamed concrete reduces dead loads on the structure and foundation, contributes to energy conservation, and lowers the labor cost during construction. It also reduces the cost of production and transportation of building components compared to normal concrete and has the potential of being used as a structural material. This paper provides a review of foamed concrete constituents, fabrication techniques, and properties of foamed concrete. This literature review also aims to provide a comprehensive insight into possible applications of foamed concrete in the construction industry today.&quot;,&quot;publisher&quot;:&quot;Elsevier Ltd&quot;,&quot;volume&quot;:&quot;101&quot;},&quot;isTemporary&quot;:false,&quot;suppress-author&quot;:false,&quot;composite&quot;:false,&quot;author-only&quot;:false}]},{&quot;citationID&quot;:&quot;MENDELEY_CITATION_2a3fdfe8-1b28-4333-8e6a-5b553c23aecf&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MmEzZmRmZTgtMWIyOC00MzMzLThlNmEtNWI1NTNjMjNhZWNm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1dc8f484-d4b8-483c-9244-c425a72f16b0&quot;,&quot;properties&quot;:{&quot;noteIndex&quot;:0},&quot;isEdited&quot;:false,&quot;manualOverride&quot;:{&quot;isManuallyOverridden&quot;:false,&quot;citeprocText&quot;:&quot;(Hashim &amp;#38; Tantray, 2021)&quot;,&quot;manualOverrideText&quot;:&quot;&quot;},&quot;citationTag&quot;:&quot;MENDELEY_CITATION_v3_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&quot;,&quot;citationItems&quot;:[{&quot;id&quot;:&quot;abc61909-c6f0-35e0-b91e-bd79759bd26c&quot;,&quot;itemData&quot;:{&quot;type&quot;:&quot;article-journal&quot;,&quot;id&quot;:&quot;abc61909-c6f0-35e0-b91e-bd79759bd26c&quot;,&quot;title&quot;:&quot;Comparative study on the performance of protein and synthetic-based foaming agents used in foamed concrete&quot;,&quot;author&quot;:[{&quot;family&quot;:&quot;Hashim&quot;,&quot;given&quot;:&quot;Manan&quot;,&quot;parse-names&quot;:false,&quot;dropping-particle&quot;:&quot;&quot;,&quot;non-dropping-particle&quot;:&quot;&quot;},{&quot;family&quot;:&quot;Tantray&quot;,&quot;given&quot;:&quot;Manzoor&quot;,&quot;parse-names&quot;:false,&quot;dropping-particle&quot;:&quot;&quot;,&quot;non-dropping-particle&quot;:&quot;&quot;}],&quot;container-title&quot;:&quot;Case Studies in Construction Materials&quot;,&quot;accessed&quot;:{&quot;date-parts&quot;:[[2025,1,14]]},&quot;DOI&quot;:&quot;10.1016/J.CSCM.2021.E00524&quot;,&quot;ISSN&quot;:&quot;2214-5095&quot;,&quot;issued&quot;:{&quot;date-parts&quot;:[[2021,6,1]]},&quot;page&quot;:&quot;e00524&quot;,&quot;abstract&quot;:&quot;Foamed concrete is a composite material with a density that is significantly lower than standard concrete. The property of being lightweight is due to tiny air voids produced by the addition of foaming agents in cement paste. The purpose of this research is to experimentally investigate the influence of various types of foaming agents i.e., protein versus synthetic-based foaming agents on the properties of foamed concrete. Foam stability, compressive strength, drying shrinkage of the foamed concrete specimen were experimentally studied and analyzed. Also, the characterization of the microstructure i.e. pores size and their distribution has been investigated in this study to gain insight into the impact of foaming agent on the properties of foam concrete. The study comprises 60 foamed concrete specimens cast using protein and synthetic-based foaming agents. The constituents of the concrete mix were kept uniform for both the cases and the quantity of foaming agents was increased from 30 to 112 kg/m3, this was done to produce foamed concrete of density varying from 600 kg/m3 to 1200 kg/m3. The foam stability and strength test depicted better results for protein-based foam rather than the synthetic-based foaming agent. The experimental results of the SEM analysis showed protein-based foamed concrete has unconnected isolated pores of smaller size, circular with a well-defined boundary as compared to synthetic-based. The compressive strength of both the foamed concrete had an increasing trend with a rise in density however the protein-based foamed concrete showed better results i.e., 13 % higher strength than synthetic-based foamed concrete at 1200 kg/m3 density, but an inverse trend in drying shrinkage with dry density was recorded. At low densities the shrinkage observed was less. The drying shrinkage of protein-based concrete was observed to be 29 % lower than the synthetic-based foamed concrete at the density of 1200 kg/m3. Hence this study reveals that the use of protein-based foaming agents would result in improved characteristics of foamed concrete.&quot;,&quot;publisher&quot;:&quot;Elsevier&quot;,&quot;volume&quot;:&quot;14&quot;,&quot;container-title-short&quot;:&quot;&quot;},&quot;isTemporary&quot;:false,&quot;suppress-author&quot;:false,&quot;composite&quot;:false,&quot;author-only&quot;:false}]},{&quot;citationID&quot;:&quot;MENDELEY_CITATION_816e070b-45e5-415f-98e0-1acdbd22d1c4&quot;,&quot;properties&quot;:{&quot;noteIndex&quot;:0},&quot;isEdited&quot;:false,&quot;manualOverride&quot;:{&quot;isManuallyOverridden&quot;:false,&quot;citeprocText&quot;:&quot;(Alexandra H. &amp;#38; Istvan K., 2020; Indu et al., 2010; Liu et al., 2019; Munachiso &amp;#38; Nimisoere, n.d.; Siva et al., 2015)&quot;,&quot;manualOverrideText&quot;:&quot;&quot;},&quot;citationTag&quot;:&quot;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&quot;,&quot;citationItems&quot;:[{&quot;id&quot;:&quot;3b69f9de-caa8-3182-a5fb-a625c8ac69a6&quot;,&quot;itemData&quot;:{&quot;type&quot;:&quot;webpage&quot;,&quot;id&quot;:&quot;3b69f9de-caa8-3182-a5fb-a625c8ac69a6&quot;,&quot;title&quot;:&quot;The investigation of sodium lauryl sulphate as foam stabilizer in cement foams&quot;,&quot;author&quot;:[{&quot;family&quot;:&quot;Alexandra H.&quot;,&quot;given&quot;:&quot;&quot;,&quot;parse-names&quot;:false,&quot;dropping-particle&quot;:&quot;&quot;,&quot;non-dropping-particle&quot;:&quot;&quot;},{&quot;family&quot;:&quot;Istvan K.&quot;,&quot;given&quot;:&quot;&quot;,&quot;parse-names&quot;:false,&quot;dropping-particle&quot;:&quot;&quot;,&quot;non-dropping-particle&quot;:&quot;&quot;}],&quot;container-title&quot;:&quot;Materials Science and Engineering&quot;,&quot;accessed&quot;:{&quot;date-parts&quot;:[[2025,1,14]]},&quot;URL&quot;:&quot;10.32974.mse.2020.011&quot;,&quot;issued&quot;:{&quot;date-parts&quot;:[[2020]]},&quot;container-title-short&quot;:&quot;&quot;},&quot;isTemporary&quot;:false},{&quot;id&quot;:&quot;1b616919-97cd-3967-a92f-0cba3dc8ed39&quot;,&quot;itemData&quot;:{&quot;type&quot;:&quot;article-journal&quot;,&quot;id&quot;:&quot;1b616919-97cd-3967-a92f-0cba3dc8ed39&quot;,&quot;title&quot;:&quot;Analysis of the Foam Generated Using Surfactant Sodium Lauryl Sulfate&quot;,&quot;author&quot;:[{&quot;family&quot;:&quot;Indu&quot;,&quot;given&quot;:&quot;G&quot;,&quot;parse-names&quot;:false,&quot;dropping-particle&quot;:&quot;&quot;,&quot;non-dropping-particle&quot;:&quot;&quot;},{&quot;family&quot;:&quot;Ranjani&quot;,&quot;given&quot;:&quot;Siva&quot;,&quot;parse-names&quot;:false,&quot;dropping-particle&quot;:&quot;&quot;,&quot;non-dropping-particle&quot;:&quot;&quot;},{&quot;family&quot;:&quot;Ramamurthy&quot;,&quot;given&quot;:&quot;K&quot;,&quot;parse-names&quot;:false,&quot;dropping-particle&quot;:&quot;&quot;,&quot;non-dropping-particle&quot;:&quot;&quot;}],&quot;container-title&quot;:&quot;International Journal of Concrete Structures and Materials&quot;,&quot;container-title-short&quot;:&quot;Int. J. Concr. Struct. Mater.&quot;,&quot;accessed&quot;:{&quot;date-parts&quot;:[[2024,6,23]]},&quot;DOI&quot;:&quot;10.4334/IJCSM.2010.4.1.055&quot;,&quot;ISBN&quot;:&quot;3.0041470.06465&quot;,&quot;ISSN&quot;:&quot;1976-0485&quot;,&quot;issued&quot;:{&quot;date-parts&quot;:[[2010,6,30]]},&quot;page&quot;:&quot;55-62&quot;,&quot;abstract&quot;:&quot;The performance evaluation of a sodium lauryl sulfate to qualify as a foaming agent is presented in this paper. When new surfactants are used a systematic study of production parameters on the foam characteristics needs to be undertaken unlike proprietary foaming agents and foam generator for which manufacturer has predefined the parameters. The relative influence of the foam parameters and optimization of factors were carried out through a systematic experiment design. The foam production parameters namely foam generation pressure and dilution ratio of foaming agents are observed to have significant effect on all foam characteristics with the exception of foam output rate on which only foam generation pressure has influence. The foam with good initial foam density need not necessarily be stable foam. The optimum levels of foam production parameters are determined for the surfactant Sodium lauryl sulfate which can be used to produce stable foam for foam concrete production.&quot;,&quot;publisher&quot;:&quot;Korea Concrete Institute&quot;,&quot;issue&quot;:&quot;1&quot;,&quot;volume&quot;:&quot;4&quot;},&quot;isTemporary&quot;:false},{&quot;id&quot;:&quot;8a5e2e84-b907-3f0c-9528-3934fbc9587e&quot;,&quot;itemData&quot;:{&quot;type&quot;:&quot;paper-conference&quot;,&quot;id&quot;:&quot;8a5e2e84-b907-3f0c-9528-3934fbc9587e&quot;,&quot;title&quot;:&quot;Lightweight foamed concrete with foam agent addition&quot;,&quot;author&quot;:[{&quot;family&quot;:&quot;Liu&quot;,&quot;given&quot;:&quot;Tongwei&quot;,&quot;parse-names&quot;:false,&quot;dropping-particle&quot;:&quot;&quot;,&quot;non-dropping-particle&quot;:&quot;&quot;},{&quot;family&quot;:&quot;Shi&quot;,&quot;given&quot;:&quot;Guopu&quot;,&quot;parse-names&quot;:false,&quot;dropping-particle&quot;:&quot;&quot;,&quot;non-dropping-particle&quot;:&quot;&quot;},{&quot;family&quot;:&quot;Li&quot;,&quot;given&quot;:&quot;Guozhong&quot;,&quot;parse-names&quot;:false,&quot;dropping-particle&quot;:&quot;&quot;,&quot;non-dropping-particle&quot;:&quot;&quot;},{&quot;family&quot;:&quot;Wang&quot;,&quot;given&quot;:&quot;Zhi&quot;,&quot;parse-names&quot;:false,&quot;dropping-particle&quot;:&quot;&quot;,&quot;non-dropping-particle&quot;:&quot;&quot;}],&quot;container-title&quot;:&quot;IOP Conference Series: Materials Science and Engineering&quot;,&quot;container-title-short&quot;:&quot;IOP Conf. Ser. Mater. Sci. Eng.&quot;,&quot;DOI&quot;:&quot;10.1088/1757-899X/490/3/032033&quot;,&quot;ISSN&quot;:&quot;1757899X&quot;,&quot;issued&quot;:{&quot;date-parts&quot;:[[2019,4,15]]},&quot;abstract&quot;:&quot;Lightweight foamed concrete with foam agent addition varied from 0 to 7wt% was fabricated and the influence of foam stabilizer and polypropylene fiber (PPF) addition on mechanical performance of lightweight foamed concrete was researched. The experimental data revealed that the density, thermal conductivity, flexural and compressive strength exhibited a rapidly downward trend with the increase of foam agent content due to generation of a large number of pores by decomposition of foam agent. The samples with foam stabilizer addition possessed better mechanical properties and lower thermal conductivity compared to the samples without foam stabilizer addition due to the improvement of pore structure. Besides, an appropriate amount of PPF could enhance flexural and compressive strength of specimens, while excess PPF was proven to be counterproductive.&quot;,&quot;publisher&quot;:&quot;Institute of Physics Publishing&quot;,&quot;issue&quot;:&quot;3&quot;,&quot;volume&quot;:&quot;490&quot;},&quot;isTemporary&quot;:false},{&quot;id&quot;:&quot;cb844a3a-ea0d-3a78-8a2d-b120e9683af1&quot;,&quot;itemData&quot;:{&quot;type&quot;:&quot;article-journal&quot;,&quot;id&quot;:&quot;cb844a3a-ea0d-3a78-8a2d-b120e9683af1&quot;,&quot;title&quot;:&quot;Sodium salt admixtures for enhancing the foaming characteristics of sodium lauryl sulphate&quot;,&quot;author&quot;:[{&quot;family&quot;:&quot;Siva&quot;,&quot;given&quot;:&quot;M.&quot;,&quot;parse-names&quot;:false,&quot;dropping-particle&quot;:&quot;&quot;,&quot;non-dropping-particle&quot;:&quot;&quot;},{&quot;family&quot;:&quot;Ramamurthy&quot;,&quot;given&quot;:&quot;K.&quot;,&quot;parse-names&quot;:false,&quot;dropping-particle&quot;:&quot;&quot;,&quot;non-dropping-particle&quot;:&quot;&quot;},{&quot;family&quot;:&quot;Dhamodharan&quot;,&quot;given&quot;:&quot;R.&quot;,&quot;parse-names&quot;:false,&quot;dropping-particle&quot;:&quot;&quot;,&quot;non-dropping-particle&quot;:&quot;&quot;}],&quot;container-title&quot;:&quot;Cement and Concrete Composites&quot;,&quot;container-title-short&quot;:&quot;Cem. Concr. Compos.&quot;,&quot;accessed&quot;:{&quot;date-parts&quot;:[[2024,6,2]]},&quot;DOI&quot;:&quot;10.1016/J.CEMCONCOMP.2014.12.011&quot;,&quot;ISSN&quot;:&quot;0958-9465&quot;,&quot;issued&quot;:{&quot;date-parts&quot;:[[2015,3,1]]},&quot;page&quot;:&quot;133-141&quot;,&quot;abstract&quot;:&quot;This study identifies admixtures to enhance the effectiveness of Sodium Lauryl Sulphate (SLS) as a foaming agent by increasing the foam density and stability. Sodium hydroxide, sodium carbonate and sodium chloride were chosen based on common ion effect to increase the viscosity of the foaming solution in order to achieve ASTM recommended range of foam density. Response surface methodology is used to study the responses like viscosity, foam density and foam stability of all the admixtures. Viscosity is observed to have a linear relationship with foam density, bubble size distribution and stability. Foam density increases with the dosage of admixture, irrespective of foam generation pressure (FGP). Use of appropriate dosage of these admixtures with SLS provides the foam density specified by ASTM. Relatively lesser dosage of NaOH is sufficient to achieve ASTM recommended foam density, which is attributed to the fact that mole percent of sodium in NaOH is higher than NaCl and Na2CO3. The stability of the foam has also been demonstrated through a typical mix of foam concrete.&quot;,&quot;publisher&quot;:&quot;Elsevier&quot;,&quot;volume&quot;:&quot;57&quot;},&quot;isTemporary&quot;:false},{&quot;id&quot;:&quot;04e59cdc-e61e-3bc4-abc0-4b80a8903ce6&quot;,&quot;itemData&quot;:{&quot;type&quot;:&quot;article-journal&quot;,&quot;id&quot;:&quot;04e59cdc-e61e-3bc4-abc0-4b80a8903ce6&quot;,&quot;title&quot;:&quot;International Journal of Advanced Research and Publications Comparative Study On The Strength Of Lightweight Foamed Concrete Prepared Using Different Reagents&quot;,&quot;author&quot;:[{&quot;family&quot;:&quot;Munachiso&quot;,&quot;given&quot;:&quot;Ogbodo&quot;,&quot;parse-names&quot;:false,&quot;dropping-particle&quot;:&quot;&quot;,&quot;non-dropping-particle&quot;:&quot;&quot;},{&quot;family&quot;:&quot;Nimisoere&quot;,&quot;given&quot;:&quot;Bobmanuel Oprite&quot;,&quot;parse-names&quot;:false,&quot;dropping-particle&quot;:&quot;&quot;,&quot;non-dropping-particle&quot;:&quot;&quot;}],&quot;ISSN&quot;:&quot;2456-9992&quot;,&quot;URL&quot;:&quot;www.ijarp.org&quot;,&quot;abstract&quot;:&quot;This project presents the results of the investigation conducted on a lightweight foamed concrete using different reagents; Sodium Lauryl Sulphate (SLS) and Lithofoam, with a view to determining its potential as a construction material in Nigeria. The properties investigated on the foamed concrete having target density of 1800kg/m 3 were: workability, bulk density and compressive strength. The foamed concrete was developed using a w/c ratio of 0.5 and a mix ratio of 1:3:0.0025. Concrete specimens were produced using two different fine aggregate grades. Specimens were cured in water for 7, 21 and 28 days. The results revealed that the curing ages significantly affected the strength and that suitable strengths can be achieved using SLS as a foaming agent. The 28 th day strengths for the concrete specimens were 11.27N/mm 2 and 11.04N/mm 2 respectively. These strengths were about 23.2% and 25.8% less than that achieved using the Lithofoam as the reagent.&quot;,&quot;container-title-short&quot;:&quot;&quot;},&quot;isTemporary&quot;:false}]},{&quot;citationID&quot;:&quot;MENDELEY_CITATION_177971e9-b1c8-4373-a09b-7a6586201af1&quot;,&quot;properties&quot;:{&quot;noteIndex&quot;:0},&quot;isEdited&quot;:false,&quot;manualOverride&quot;:{&quot;isManuallyOverridden&quot;:false,&quot;citeprocText&quot;:&quot;(Falliano et al., 2020; Kirubajiny Pasupathy, 2022)&quot;,&quot;manualOverrideText&quot;:&quot;&quot;},&quot;citationTag&quot;:&quot;MENDELEY_CITATION_v3_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&quot;,&quot;citationItems&quot;:[{&quot;id&quot;:&quot;1ce2a4e1-500d-39c4-80a7-7b8d8bcc2207&quot;,&quot;itemData&quot;:{&quot;type&quot;:&quot;article-journal&quot;,&quot;id&quot;:&quot;1ce2a4e1-500d-39c4-80a7-7b8d8bcc2207&quot;,&quot;title&quot;:&quot;3D-printable lightweight foamed concrete and comparison with classical foamed concrete in terms of fresh state properties and mechanical strength&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20.119271&quot;,&quot;ISSN&quot;:&quot;09500618&quot;,&quot;issued&quot;:{&quot;date-parts&quot;:[[2020,9,10]]},&quot;abstract&quot;:&quot;This paper presents a novel type of foamed concrete that is termed “3D-printable lightweight foamed concrete” (3DP-LWFC). Unlike classical lightweight foamed concrete (C-LWFC), this novel material is able to keep its shape at the fresh state due to enhanced consistency and viscosity. This peculiarity lends itself to being implemented in automated extrusion production process and 3D printing applications without the use of formwork, which is particularly convenient in the building industry. These unique fresh state properties of 3DP-LWFC are demonstrated through a specific extrusion test conceived and used in this experimental campaign, and highlighted by comparison with results related to C-LWFC. Despite the remarkably different behavior of the novel material at the fresh state, the mechanical strength of 3DP-LWFC is even slightly higher than C-LWFC. This is demonstrated through a wide experimental campaign focused on the compressive and flexural strength of 3DP-LWFC, which includes different dry densities, curing conditions, cement types, water/cement ratios. Additionally, the effect of the mixing conditions on the mechanical strength of 3DP-LWFC, in particular the rotational speed of the mixer during the preparation of the paste, is also analyzed and discussed. It is found that the increase of mixing intensity from 1200 rpm to 3000 rpm resulted in a considerable increase of mechanical strength values of 3DP-LWFC, up to more than 70% for the compressive strength and up to around 100% for the flexural strength.&quot;,&quot;publisher&quot;:&quot;Elsevier Ltd&quot;,&quot;volume&quot;:&quot;254&quot;},&quot;isTemporary&quot;:false},{&quot;id&quot;:&quot;aa3e2036-66e9-3f76-a6bb-08c7d9c28d5b&quot;,&quot;itemData&quot;:{&quot;type&quot;:&quot;article-journal&quot;,&quot;id&quot;:&quot;aa3e2036-66e9-3f76-a6bb-08c7d9c28d5b&quot;,&quot;title&quot;:&quot;Enhancing the properties of foam concrete 3D printing using porous aggregates&quot;,&quot;author&quot;:[{&quot;family&quot;:&quot;Kirubajiny Pasupathy&quot;,&quot;given&quot;:&quot;Sayanthan Ramakrishnan, Jay Sanjayan&quot;,&quot;parse-names&quot;:false,&quot;dropping-particle&quot;:&quot;&quot;,&quot;non-dropping-particle&quot;:&quot;&quot;}],&quot;container-title&quot;:&quot;Cement and Concrete Composites&quot;,&quot;container-title-short&quot;:&quot;Cem. Concr. Compos.&quot;,&quot;issued&quot;:{&quot;date-parts&quot;:[[2022,7,12]]},&quot;abstract&quot;:&quot;The lightweight concrete (density &lt;1000 kg/m3) is generally attained by introducing a large amount of air voids into fresh concrete for making so-called foam concrete. Such foam concrete is quite challenging in 3D concrete printing due to the high flowability of fresh mixes affecting the printability and foam stability during extrusion process. To overcome these limitations, this study investigates a combination of lightweight aggregates and premade foam in foam concrete to attain a density below 1000 kg/m3 for 3D printing applications. The expanded perlite (EP) aggregate was used as a replacement for fine sand that substantially reduced the foam content in the mix. The effect of EP on the fresh state properties such as rheology and printability as well as hardened properties including, mechanical properties, porosity and pore size distribution were investigated. It was demonstrated that the introduction of combined lightweight aggregate and foam has significantly improved the fresh and hardened properties of produced lightweight concrete. For instance, fresh foam concrete containing EP aggregate displayed high yield strength and apparent viscosity compared to the foam concrete without EP at similar densities. The compressive strength of 3D printed specimens containing EP was determined as 12.95 MPa, 15.5 MPa and 10.6 MPa in the perpendicular, longitudinal, and lateral directions respectively, compared to 5.5 MPa, 8.4 MPa and 4.2 MPa for the sand group at the similar density. Moreover, fine and regular pore size distribution was observed for 3D printed foam concrete with EP aggregate.&quot;,&quot;volume&quot;:&quot;133&quot;},&quot;isTemporary&quot;:false}]},{&quot;citationID&quot;:&quot;MENDELEY_CITATION_d0c1c5d4-4965-4a6b-8081-aa4ce61aad36&quot;,&quot;properties&quot;:{&quot;noteIndex&quot;:0},&quot;isEdited&quot;:false,&quot;manualOverride&quot;:{&quot;isManuallyOverridden&quot;:false,&quot;citeprocText&quot;:&quot;(Falliano et al., 2019; Markin et al., 2019)&quot;,&quot;manualOverrideText&quot;:&quot;&quot;},&quot;citationTag&quot;:&quot;MENDELEY_CITATION_v3_eyJjaXRhdGlvbklEIjoiTUVOREVMRVlfQ0lUQVRJT05fZDBjMWM1ZDQtNDk2NS00YTZiLTgwODEtYWE0Y2U2MWFhZDM2IiwicHJvcGVydGllcyI6eyJub3RlSW5kZXgiOjB9LCJpc0VkaXRlZCI6ZmFsc2UsIm1hbnVhbE92ZXJyaWRlIjp7ImlzTWFudWFsbHlPdmVycmlkZGVuIjpmYWxzZSwiY2l0ZXByb2NUZXh0IjoiKEZhbGxpYW5vIGV0IGFsLiwgMjAxOTsgTWFya2luIGV0IGFsLiwgMjAxOSkiLCJtYW51YWxPdmVycmlkZVRleHQiOiIifSwiY2l0YXRpb25JdGVtcyI6W3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LH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XX0=&quot;,&quot;citationItems&quot;:[{&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citationID&quot;:&quot;MENDELEY_CITATION_a9612097-21b7-43f4-82d8-61ce49972ed4&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YTk2MTIwOTctMjFiNy00M2Y0LTgyZDgtNjFjZTQ5OTcyZWQ0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V19&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citationID&quot;:&quot;MENDELEY_CITATION_fcf6dd8f-85c0-46c8-aa51-e1b515f0f447&quot;,&quot;properties&quot;:{&quot;noteIndex&quot;:0},&quot;isEdited&quot;:false,&quot;manualOverride&quot;:{&quot;isManuallyOverridden&quot;:false,&quot;citeprocText&quot;:&quot;(Markin et al., 2021)&quot;,&quot;manualOverrideText&quot;:&quot;&quot;},&quot;citationTag&quot;:&quot;MENDELEY_CITATION_v3_eyJjaXRhdGlvbklEIjoiTUVOREVMRVlfQ0lUQVRJT05fZmNmNmRkOGYtODVjMC00NmM4LWFhNTEtZTFiNTE1ZjBmNDQ3IiwicHJvcGVydGllcyI6eyJub3RlSW5kZXgiOjB9LCJpc0VkaXRlZCI6ZmFsc2UsIm1hbnVhbE92ZXJyaWRlIjp7ImlzTWFudWFsbHlPdmVycmlkZGVuIjpmYWxzZSwiY2l0ZXByb2NUZXh0IjoiKE1hcmtpbiBldCBhbC4sIDIwMjEpIiwibWFudWFsT3ZlcnJpZGVUZXh0IjoiIn0sImNpdGF0aW9uSXRlbXMiOlt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LCJzdXBwcmVzcy1hdXRob3IiOmZhbHNlLCJjb21wb3NpdGUiOmZhbHNlLCJhdXRob3Itb25seSI6ZmFsc2V9XX0=&quot;,&quot;citationItems&quot;:[{&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suppress-author&quot;:false,&quot;composite&quot;:false,&quot;author-only&quot;:false}]},{&quot;citationID&quot;:&quot;MENDELEY_CITATION_f4969399-9aaa-437d-b685-171ada4b54e4&quot;,&quot;properties&quot;:{&quot;noteIndex&quot;:0},&quot;isEdited&quot;:false,&quot;manualOverride&quot;:{&quot;isManuallyOverridden&quot;:false,&quot;citeprocText&quot;:&quot;(Falliano et al., 2019; Markin et al., 2019; Ospanova et al., 2014; Ou et al., 2022)&quot;,&quot;manualOverrideText&quot;:&quot;&quot;},&quot;citationTag&quot;:&quot;MENDELEY_CITATION_v3_eyJjaXRhdGlvbklEIjoiTUVOREVMRVlfQ0lUQVRJT05fZjQ5NjkzOTktOWFhYS00MzdkLWI2ODUtMTcxYWRhNGI1NGU0IiwicHJvcGVydGllcyI6eyJub3RlSW5kZXgiOjB9LCJpc0VkaXRlZCI6ZmFsc2UsIm1hbnVhbE92ZXJyaWRlIjp7ImlzTWFudWFsbHlPdmVycmlkZGVuIjpmYWxzZSwiY2l0ZXByb2NUZXh0IjoiKEZhbGxpYW5vIGV0IGFsLiwgMjAxOTsgTWFya2luIGV0IGFsLiwgMjAxOTsgT3NwYW5vdmEgZXQgYWwuLCAyMDE0OyBPdSBldCBhbC4sIDIwMjI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id&quot;:&quot;a1e7ad95-c575-37a2-8504-a229b0bc28e8&quot;,&quot;itemData&quot;:{&quot;type&quot;:&quot;article-journal&quot;,&quot;id&quot;:&quot;a1e7ad95-c575-37a2-8504-a229b0bc28e8&quot;,&quot;title&quot;:&quot;Animal-Protein-Based and Synthetic-Based Foamed Mixture Lightweight Soil Doped with Bauxite Tailings: Macro and Microscopic Properties&quot;,&quot;author&quot;:[{&quot;family&quot;:&quot;Ou&quot;,&quot;given&quot;:&quot;Xiaoduo&quot;,&quot;parse-names&quot;:false,&quot;dropping-particle&quot;:&quot;&quot;,&quot;non-dropping-particle&quot;:&quot;&quot;},{&quot;family&quot;:&quot;Mo&quot;,&quot;given&quot;:&quot;Peng&quot;,&quot;parse-names&quot;:false,&quot;dropping-particle&quot;:&quot;&quot;,&quot;non-dropping-particle&quot;:&quot;&quot;},{&quot;family&quot;:&quot;Lyu&quot;,&quot;given&quot;:&quot;Zhengfan&quot;,&quot;parse-names&quot;:false,&quot;dropping-particle&quot;:&quot;&quot;,&quot;non-dropping-particle&quot;:&quot;&quot;},{&quot;family&quot;:&quot;Luo&quot;,&quot;given&quot;:&quot;Junhui&quot;,&quot;parse-names&quot;:false,&quot;dropping-particle&quot;:&quot;&quot;,&quot;non-dropping-particle&quot;:&quot;&quot;},{&quot;family&quot;:&quot;Jiang&quot;,&quot;given&quot;:&quot;Jie&quot;,&quot;parse-names&quot;:false,&quot;dropping-particle&quot;:&quot;&quot;,&quot;non-dropping-particle&quot;:&quot;&quot;},{&quot;family&quot;:&quot;Bai&quot;,&quot;given&quot;:&quot;Lu&quot;,&quot;parse-names&quot;:false,&quot;dropping-particle&quot;:&quot;&quot;,&quot;non-dropping-particle&quot;:&quot;&quot;},{&quot;family&quot;:&quot;Huang&quot;,&quot;given&quot;:&quot;Zhongzheng&quot;,&quot;parse-names&quot;:false,&quot;dropping-particle&quot;:&quot;&quot;,&quot;non-dropping-particle&quot;:&quot;&quot;}],&quot;container-title&quot;:&quot;Materials&quot;,&quot;DOI&quot;:&quot;10.3390/ma15186377&quot;,&quot;ISSN&quot;:&quot;19961944&quot;,&quot;issued&quot;:{&quot;date-parts&quot;:[[2022,9,1]]},&quot;abstract&quot;:&quot;In order to explore the effect of the foaming agent type on the properties of foamed mixture lightweight soil mixed with bauxite tailings (FMLSB), low-density (437.5 kg/m3 and 670 kg/m3) and high-density (902.5 kg/m3 and 1170 kg/m3) FMLSB were prepared using protein-based and synthetic-based foaming agents (AF and SF, respectively). The foam stability, micro characteristics, compressive strength, fluidity, and volume of water absorption of the FMLSB were investigated. The results showed that the foam made from AF had better strength and stability compared to SF. The internal pore sizes of both AF- and SF-FMLSB at low density were large, but at high density the internal pore sizes and area porosity of AF-FMLSB were smaller than those of SF-FMLSB. In terms of compressive strength, the compressive strength of AF-FMLSB was improved by 17.5% to 43.2% compared to SF-FMLSB. At low density, the fluidity of AF- and SF-FMLSB is similar, while at high density the fluidity of AF-FMLSB is much higher than that of SF-FMLSB. In addition, the stable volume of water absorption of SF-FMLSB is smaller than that of AF-FMLSB at low density, and the corresponding water resistance is better, but the situation is reversed at high density.&quot;,&quot;publisher&quot;:&quot;MDPI&quot;,&quot;issue&quot;:&quot;18&quot;,&quot;volume&quot;:&quot;15&quot;,&quot;container-title-short&quot;:&quot;&quot;},&quot;isTemporary&quot;:false},{&quot;id&quot;:&quot;2a98a8e9-6e77-39c6-82af-e42b134b8949&quot;,&quot;itemData&quot;:{&quot;type&quot;:&quot;article-journal&quot;,&quot;id&quot;:&quot;2a98a8e9-6e77-39c6-82af-e42b134b8949&quot;,&quot;title&quot;:&quot;An effect of surfactants of different nature on stabilization of foaming systems containing polyvinyl alcohol&quot;,&quot;author&quot;:[{&quot;family&quot;:&quot;Ospanova&quot;,&quot;given&quot;:&quot;Zh B.&quot;,&quot;parse-names&quot;:false,&quot;dropping-particle&quot;:&quot;&quot;,&quot;non-dropping-particle&quot;:&quot;&quot;},{&quot;family&quot;:&quot;Musabekov&quot;,&quot;given&quot;:&quot;K. B.&quot;,&quot;parse-names&quot;:false,&quot;dropping-particle&quot;:&quot;&quot;,&quot;non-dropping-particle&quot;:&quot;&quot;},{&quot;family&quot;:&quot;Asadov&quot;,&quot;given&quot;:&quot;M. M.&quot;,&quot;parse-names&quot;:false,&quot;dropping-particle&quot;:&quot;&quot;,&quot;non-dropping-particle&quot;:&quot;&quot;}],&quot;container-title&quot;:&quot;Russian Journal of Applied Chemistry&quot;,&quot;DOI&quot;:&quot;10.1134/S1070427214030185&quot;,&quot;ISSN&quot;:&quot;10704272&quot;,&quot;issued&quot;:{&quot;date-parts&quot;:[[2014]]},&quot;page&quot;:&quot;355-359&quot;,&quot;abstract&quot;:&quot;The laws of the foam stabilization by mixtures of surfactant of different nature: sodium dodecyl sulfate C12H25OSO3Na and cetyltrimethylammonium bromide C16H33N(CH 3)3Br with a nonionic polymer, polyvinyl alcohol were established. High stability of foams from mixtures of surfactant-polyvinyl alcohol compared with the individual components can be related to the formation of mixed structured layers of surface active associates of polyvinyl alcohol with surfactant contributing to thickening of foam films. © Zh.B. Ospanova, K.B. Musabekov, M.M. Asadov, 2014.&quot;,&quot;publisher&quot;:&quot;Maik Nauka-Interperiodica Publishing&quot;,&quot;issue&quot;:&quot;3&quot;,&quot;volume&quot;:&quot;87&quot;,&quot;container-title-short&quot;:&quot;&quot;},&quot;isTemporary&quot;:false}]},{&quot;citationID&quot;:&quot;MENDELEY_CITATION_df50b4f8-ea6a-4cf4-8c90-cce092cf2406&quot;,&quot;properties&quot;:{&quot;noteIndex&quot;:0},&quot;isEdited&quot;:false,&quot;manualOverride&quot;:{&quot;isManuallyOverridden&quot;:false,&quot;citeprocText&quot;:&quot;(Kauffer &amp;#38; May, 2010)&quot;,&quot;manualOverrideText&quot;:&quot;&quot;},&quot;citationTag&quot;:&quot;MENDELEY_CITATION_v3_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&quot;,&quot;citationItems&quot;:[{&quot;id&quot;:&quot;60448436-8cf2-3bb0-b2a4-c38a9aebafe9&quot;,&quot;itemData&quot;:{&quot;type&quot;:&quot;article-journal&quot;,&quot;id&quot;:&quot;60448436-8cf2-3bb0-b2a4-c38a9aebafe9&quot;,&quot;title&quot;:&quot;Sodium lauryl sulfate The main cleaning agent in soap and detergent&quot;,&quot;author&quot;:[{&quot;family&quot;:&quot;Kauffer&quot;,&quot;given&quot;:&quot;Zara&quot;,&quot;parse-names&quot;:false,&quot;dropping-particle&quot;:&quot;&quot;,&quot;non-dropping-particle&quot;:&quot;&quot;},{&quot;family&quot;:&quot;May&quot;,&quot;given&quot;:&quot;Paul&quot;,&quot;parse-names&quot;:false,&quot;dropping-particle&quot;:&quot;&quot;,&quot;non-dropping-particle&quot;:&quot;&quot;}],&quot;DOI&quot;:&quot;10.6084/m9.figshare.5255146&quot;,&quot;URL&quot;:&quot;http://en.epochtimes.com/news/7-10-12/60555.html&quot;,&quot;issued&quot;:{&quot;date-parts&quot;:[[2010]]},&quot;container-title-short&quot;:&quot;&quot;},&quot;isTemporary&quot;:false,&quot;suppress-author&quot;:false,&quot;composite&quot;:false,&quot;author-only&quot;:false}]},{&quot;citationID&quot;:&quot;MENDELEY_CITATION_f8cc93a7-9a80-4dff-9d55-2090985161fc&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ZjhjYzkzYTctOWE4MC00ZGZmLTlkNTUtMjA5MDk4NTE2MWZj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40137ccc-51ab-4315-8d0c-558c518366c2&quot;,&quot;properties&quot;:{&quot;noteIndex&quot;:0},&quot;isEdited&quot;:false,&quot;manualOverride&quot;:{&quot;isManuallyOverridden&quot;:false,&quot;citeprocText&quot;:&quot;(Fan et al., 2023; Hou et al., 2021; Kunther et al., 2017)&quot;,&quot;manualOverrideText&quot;:&quot;&quot;},&quot;citationTag&quot;:&quot;MENDELEY_CITATION_v3_eyJjaXRhdGlvbklEIjoiTUVOREVMRVlfQ0lUQVRJT05fNDAxMzdjY2MtNTFhYi00MzE1LThkMGMtNTU4YzUxODM2NmMy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quot;,&quot;citationItems&quot;:[{&quot;id&quot;:&quot;1de06025-84ca-3ffc-b792-2c4d5b53808f&quot;,&quot;itemData&quot;:{&quot;type&quot;:&quot;article-journal&quot;,&quot;id&quot;:&quot;1de06025-84ca-3ffc-b792-2c4d5b53808f&quot;,&quot;title&quot;:&quot;Influence of foaming agent on cement and foam concrete&quot;,&quot;author&quot;:[{&quot;family&quot;:&quot;Hou&quot;,&quot;given&quot;:&quot;Li&quot;,&quot;parse-names&quot;:false,&quot;dropping-particle&quot;:&quot;&quot;,&quot;non-dropping-particle&quot;:&quot;&quot;},{&quot;family&quot;:&quot;Li&quot;,&quot;given&quot;:&quot;Jun&quot;,&quot;parse-names&quot;:false,&quot;dropping-particle&quot;:&quot;&quot;,&quot;non-dropping-particle&quot;:&quot;&quot;},{&quot;family&quot;:&quot;Lu&quot;,&quot;given&quot;:&quot;Zhongyuan&quot;,&quot;parse-names&quot;:false,&quot;dropping-particle&quot;:&quot;&quot;,&quot;non-dropping-particle&quot;:&quot;&quot;},{&quot;family&quot;:&quot;Niu&quot;,&quot;given&quot;:&quot;Yunhui&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1.122399&quot;,&quot;ISSN&quot;:&quot;0950-0618&quot;,&quot;issued&quot;:{&quot;date-parts&quot;:[[2021,4,19]]},&quot;page&quot;:&quot;122399&quot;,&quot;abstract&quot;:&quot;Foaming agent is an indispensable component in preparation of foam concrete by using prefabricated foams. In this study, four types of foaming agents were used to prepare foam concrete. Effect of foaming agent on properties of fresh and hardened foam concrete, interaction between foaming agent and cement, and the gas–liquid interface in foam concrete were studied. It is observed that the interaction between foaming agent and cement played a greater role in the formation process of foam concrete. The property of gas–liquid interface of foam concrete was the most important factor for the performance of in foam concrete, which determined the stability of fresh foam concrete, the pore structure and the products on the pore wall of hardened foam concrete. Finally, the evolution mechanism of foams in new foam concrete w discussed.&quot;,&quot;publisher&quot;:&quot;Elsevier&quot;,&quot;volume&quot;:&quot;280&quot;},&quot;isTemporary&quot;:false},{&quot;id&quot;:&quot;92ec3085-03e1-3c99-af28-02d06ab3bd47&quot;,&quot;itemData&quot;:{&quot;type&quot;:&quot;article-journal&quot;,&quot;id&quot;:&quot;92ec3085-03e1-3c99-af28-02d06ab3bd47&quot;,&quot;title&quot;:&quot;Influence of the Ca/Si ratio on the compressive strength of cementitious calcium–silicate–hydrate binders&quot;,&quot;author&quot;:[{&quot;family&quot;:&quot;Kunther&quot;,&quot;given&quot;:&quot;Wolfgang&quot;,&quot;parse-names&quot;:false,&quot;dropping-particle&quot;:&quot;&quot;,&quot;non-dropping-particle&quot;:&quot;&quot;},{&quot;family&quot;:&quot;Ferreiro&quot;,&quot;given&quot;:&quot;Sergio&quot;,&quot;parse-names&quot;:false,&quot;dropping-particle&quot;:&quot;&quot;,&quot;non-dropping-particle&quot;:&quot;&quot;},{&quot;family&quot;:&quot;Skibsted&quot;,&quot;given&quot;:&quot;Jørgen&quot;,&quot;parse-names&quot;:false,&quot;dropping-particle&quot;:&quot;&quot;,&quot;non-dropping-particle&quot;:&quot;&quot;}],&quot;container-title&quot;:&quot;Journal of Materials Chemistry A&quot;,&quot;container-title-short&quot;:&quot;J. Mater. Chem. A Mater.&quot;,&quot;accessed&quot;:{&quot;date-parts&quot;:[[2024,6,1]]},&quot;DOI&quot;:&quot;10.1039/C7TA06104H&quot;,&quot;ISSN&quot;:&quot;2050-7496&quot;,&quot;URL&quot;:&quot;https://pubs.rsc.org/en/content/articlehtml/2017/ta/c7ta06104h&quot;,&quot;issued&quot;:{&quot;date-parts&quot;:[[2017,8,22]]},&quot;page&quot;:&quot;17401-17412&quot;,&quot;abstract&quot;:&quot;The relation between the chemical composition of calcium–silicate–hydrate (C–S–H) phases and its influence on the compressive strength of cementitious materials is investigated by a new approach where prisms of C–S–H phases have been synthesized directly by the reaction of calcium hydroxide, amorphous SiO2 and water. The synthesized samples employ molar Ca/Si ratios of 0.83, 1.0, 1.25 and 1.50, and the compressive strengths and age-depending changes of the pastes have been followed for up to three months of hydration, after which the microstructures were characterized. The model pastes feature most characteristics of hydrated cements, including zones of different density but similar chemical composition. The experimental data demonstrates that the compressive strengths of the C–S–H pastes increase for decreasing Ca/Si ratio for all synthesized samples and testing ages. The molar volumes of the C–S–H phases decrease with decreasing Ca/Si ratio, which along with the related higher surface areas may partly explain the differences in strength development.&quot;,&quot;publisher&quot;:&quot;The Royal Society of Chemistry&quot;,&quot;issue&quot;:&quot;33&quot;,&quot;volume&quot;:&quot;5&quot;},&quot;isTemporary&quot;:false},{&quot;id&quot;:&quot;7fc8f3b2-56f2-3e2e-8e16-dc0cc5ce24e7&quot;,&quot;itemData&quot;:{&quot;type&quot;:&quot;article-journal&quot;,&quot;id&quot;:&quot;7fc8f3b2-56f2-3e2e-8e16-dc0cc5ce24e7&quot;,&quot;title&quot;:&quot;Effect of Ca/Si ratio on the characteristics of alkali-activated ultra-high performance concrete (A-UHPC): From hydration kinetics to microscopic structure development&quot;,&quot;author&quot;:[{&quot;family&quot;:&quot;Fan&quot;,&quot;given&quot;:&quot;M. X.&quot;,&quot;parse-names&quot;:false,&quot;dropping-particle&quot;:&quot;&quot;,&quot;non-dropping-particle&quot;:&quot;&quot;},{&quot;family&quot;:&quot;Chen&quot;,&quot;given&quot;:&quot;F. X.&quot;,&quot;parse-names&quot;:false,&quot;dropping-particle&quot;:&quot;&quot;,&quot;non-dropping-particle&quot;:&quot;&quot;},{&quot;family&quot;:&quot;Zhang&quot;,&quot;given&quot;:&quot;X. Y.&quot;,&quot;parse-names&quot;:false,&quot;dropping-particle&quot;:&quot;&quot;,&quot;non-dropping-particle&quot;:&quot;&quot;},{&quot;family&quot;:&quot;Wang&quot;,&quot;given&quot;:&quot;R. K.&quot;,&quot;parse-names&quot;:false,&quot;dropping-particle&quot;:&quot;&quot;,&quot;non-dropping-particle&quot;:&quot;&quot;},{&quot;family&quot;:&quot;Yu&quot;,&quot;given&quot;:&quot;R.&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3.132158&quot;,&quot;ISSN&quot;:&quot;0950-0618&quot;,&quot;issued&quot;:{&quot;date-parts&quot;:[[2023,8,29]]},&quot;page&quot;:&quot;132158&quot;,&quot;abstract&quot;:&quot;Ultra-high performance concrete (UHPC) produces higher carbon emissions than ordinary concrete. To achieve sustainable development of UHPC, this article explores the use of alkali-activated technology to create a low-carbon UHPC, in which the effect of different Ca/Si ratios (from 0.7 to 1.5) on the performance of alkali-activated UHPC (A-UHPC) is detailed analyzed. The obtained results show that with an increase of Ca/Si ratio, the properties of A-UHPC firstly increases and then gradually decreases. When the Ca/Si ratio is 1.2, the performance of the developed A-UHPC can be optimized, such as the 28-day compressive strength is 121.3 MPa, the relative content of C-(A)-S-H gel is 99.38%, the main chain length is 14.27, and the porosity is 4.28%. In general, this study can provide guidance for the formulation design and production of a new low carbon construction material in the future.&quot;,&quot;publisher&quot;:&quot;Elsevier&quot;,&quot;volume&quot;:&quot;394&quot;},&quot;isTemporary&quot;:false}]},{&quot;citationID&quot;:&quot;MENDELEY_CITATION_0fa9d546-4e22-4363-a1d2-f4ea65a56516&quot;,&quot;properties&quot;:{&quot;noteIndex&quot;:0},&quot;isEdited&quot;:false,&quot;manualOverride&quot;:{&quot;isManuallyOverridden&quot;:false,&quot;citeprocText&quot;:&quot;(Liu et al., 2019; Markin et al., 2019, 2021; Ospanova et al., 2014; Siva et al., 2015)&quot;,&quot;manualOverrideText&quot;:&quot;&quot;},&quot;citationTag&quot;:&quot;MENDELEY_CITATION_v3_eyJjaXRhdGlvbklEIjoiTUVOREVMRVlfQ0lUQVRJT05fMGZhOWQ1NDYtNGUyMi00MzYzLWExZDItZjRlYTY1YTU2NTE2IiwicHJvcGVydGllcyI6eyJub3RlSW5kZXgiOjB9LCJpc0VkaXRlZCI6ZmFsc2UsIm1hbnVhbE92ZXJyaWRlIjp7ImlzTWFudWFsbHlPdmVycmlkZGVuIjpmYWxzZSwiY2l0ZXByb2NUZXh0IjoiKExpdSBldCBhbC4sIDIwMTk7IE1hcmtpbiBldCBhbC4sIDIwMTksIDIwMjE7IE9zcGFub3ZhIGV0IGFsLiwgMjAxNDsgU2l2YSBldCBhbC4sIDIwMTU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&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id&quot;:&quot;8a5e2e84-b907-3f0c-9528-3934fbc9587e&quot;,&quot;itemData&quot;:{&quot;type&quot;:&quot;paper-conference&quot;,&quot;id&quot;:&quot;8a5e2e84-b907-3f0c-9528-3934fbc9587e&quot;,&quot;title&quot;:&quot;Lightweight foamed concrete with foam agent addition&quot;,&quot;author&quot;:[{&quot;family&quot;:&quot;Liu&quot;,&quot;given&quot;:&quot;Tongwei&quot;,&quot;parse-names&quot;:false,&quot;dropping-particle&quot;:&quot;&quot;,&quot;non-dropping-particle&quot;:&quot;&quot;},{&quot;family&quot;:&quot;Shi&quot;,&quot;given&quot;:&quot;Guopu&quot;,&quot;parse-names&quot;:false,&quot;dropping-particle&quot;:&quot;&quot;,&quot;non-dropping-particle&quot;:&quot;&quot;},{&quot;family&quot;:&quot;Li&quot;,&quot;given&quot;:&quot;Guozhong&quot;,&quot;parse-names&quot;:false,&quot;dropping-particle&quot;:&quot;&quot;,&quot;non-dropping-particle&quot;:&quot;&quot;},{&quot;family&quot;:&quot;Wang&quot;,&quot;given&quot;:&quot;Zhi&quot;,&quot;parse-names&quot;:false,&quot;dropping-particle&quot;:&quot;&quot;,&quot;non-dropping-particle&quot;:&quot;&quot;}],&quot;container-title&quot;:&quot;IOP Conference Series: Materials Science and Engineering&quot;,&quot;container-title-short&quot;:&quot;IOP Conf. Ser. Mater. Sci. Eng.&quot;,&quot;DOI&quot;:&quot;10.1088/1757-899X/490/3/032033&quot;,&quot;ISSN&quot;:&quot;1757899X&quot;,&quot;issued&quot;:{&quot;date-parts&quot;:[[2019,4,15]]},&quot;abstract&quot;:&quot;Lightweight foamed concrete with foam agent addition varied from 0 to 7wt% was fabricated and the influence of foam stabilizer and polypropylene fiber (PPF) addition on mechanical performance of lightweight foamed concrete was researched. The experimental data revealed that the density, thermal conductivity, flexural and compressive strength exhibited a rapidly downward trend with the increase of foam agent content due to generation of a large number of pores by decomposition of foam agent. The samples with foam stabilizer addition possessed better mechanical properties and lower thermal conductivity compared to the samples without foam stabilizer addition due to the improvement of pore structure. Besides, an appropriate amount of PPF could enhance flexural and compressive strength of specimens, while excess PPF was proven to be counterproductive.&quot;,&quot;publisher&quot;:&quot;Institute of Physics Publishing&quot;,&quot;issue&quot;:&quot;3&quot;,&quot;volume&quot;:&quot;490&quot;},&quot;isTemporary&quot;:false},{&quot;id&quot;:&quot;2a98a8e9-6e77-39c6-82af-e42b134b8949&quot;,&quot;itemData&quot;:{&quot;type&quot;:&quot;article-journal&quot;,&quot;id&quot;:&quot;2a98a8e9-6e77-39c6-82af-e42b134b8949&quot;,&quot;title&quot;:&quot;An effect of surfactants of different nature on stabilization of foaming systems containing polyvinyl alcohol&quot;,&quot;author&quot;:[{&quot;family&quot;:&quot;Ospanova&quot;,&quot;given&quot;:&quot;Zh B.&quot;,&quot;parse-names&quot;:false,&quot;dropping-particle&quot;:&quot;&quot;,&quot;non-dropping-particle&quot;:&quot;&quot;},{&quot;family&quot;:&quot;Musabekov&quot;,&quot;given&quot;:&quot;K. B.&quot;,&quot;parse-names&quot;:false,&quot;dropping-particle&quot;:&quot;&quot;,&quot;non-dropping-particle&quot;:&quot;&quot;},{&quot;family&quot;:&quot;Asadov&quot;,&quot;given&quot;:&quot;M. M.&quot;,&quot;parse-names&quot;:false,&quot;dropping-particle&quot;:&quot;&quot;,&quot;non-dropping-particle&quot;:&quot;&quot;}],&quot;container-title&quot;:&quot;Russian Journal of Applied Chemistry&quot;,&quot;DOI&quot;:&quot;10.1134/S1070427214030185&quot;,&quot;ISSN&quot;:&quot;10704272&quot;,&quot;issued&quot;:{&quot;date-parts&quot;:[[2014]]},&quot;page&quot;:&quot;355-359&quot;,&quot;abstract&quot;:&quot;The laws of the foam stabilization by mixtures of surfactant of different nature: sodium dodecyl sulfate C12H25OSO3Na and cetyltrimethylammonium bromide C16H33N(CH 3)3Br with a nonionic polymer, polyvinyl alcohol were established. High stability of foams from mixtures of surfactant-polyvinyl alcohol compared with the individual components can be related to the formation of mixed structured layers of surface active associates of polyvinyl alcohol with surfactant contributing to thickening of foam films. © Zh.B. Ospanova, K.B. Musabekov, M.M. Asadov, 2014.&quot;,&quot;publisher&quot;:&quot;Maik Nauka-Interperiodica Publishing&quot;,&quot;issue&quot;:&quot;3&quot;,&quot;volume&quot;:&quot;87&quot;,&quot;container-title-short&quot;:&quot;&quot;},&quot;isTemporary&quot;:false},{&quot;id&quot;:&quot;cb844a3a-ea0d-3a78-8a2d-b120e9683af1&quot;,&quot;itemData&quot;:{&quot;type&quot;:&quot;article-journal&quot;,&quot;id&quot;:&quot;cb844a3a-ea0d-3a78-8a2d-b120e9683af1&quot;,&quot;title&quot;:&quot;Sodium salt admixtures for enhancing the foaming characteristics of sodium lauryl sulphate&quot;,&quot;author&quot;:[{&quot;family&quot;:&quot;Siva&quot;,&quot;given&quot;:&quot;M.&quot;,&quot;parse-names&quot;:false,&quot;dropping-particle&quot;:&quot;&quot;,&quot;non-dropping-particle&quot;:&quot;&quot;},{&quot;family&quot;:&quot;Ramamurthy&quot;,&quot;given&quot;:&quot;K.&quot;,&quot;parse-names&quot;:false,&quot;dropping-particle&quot;:&quot;&quot;,&quot;non-dropping-particle&quot;:&quot;&quot;},{&quot;family&quot;:&quot;Dhamodharan&quot;,&quot;given&quot;:&quot;R.&quot;,&quot;parse-names&quot;:false,&quot;dropping-particle&quot;:&quot;&quot;,&quot;non-dropping-particle&quot;:&quot;&quot;}],&quot;container-title&quot;:&quot;Cement and Concrete Composites&quot;,&quot;container-title-short&quot;:&quot;Cem. Concr. Compos.&quot;,&quot;accessed&quot;:{&quot;date-parts&quot;:[[2024,6,2]]},&quot;DOI&quot;:&quot;10.1016/J.CEMCONCOMP.2014.12.011&quot;,&quot;ISSN&quot;:&quot;0958-9465&quot;,&quot;issued&quot;:{&quot;date-parts&quot;:[[2015,3,1]]},&quot;page&quot;:&quot;133-141&quot;,&quot;abstract&quot;:&quot;This study identifies admixtures to enhance the effectiveness of Sodium Lauryl Sulphate (SLS) as a foaming agent by increasing the foam density and stability. Sodium hydroxide, sodium carbonate and sodium chloride were chosen based on common ion effect to increase the viscosity of the foaming solution in order to achieve ASTM recommended range of foam density. Response surface methodology is used to study the responses like viscosity, foam density and foam stability of all the admixtures. Viscosity is observed to have a linear relationship with foam density, bubble size distribution and stability. Foam density increases with the dosage of admixture, irrespective of foam generation pressure (FGP). Use of appropriate dosage of these admixtures with SLS provides the foam density specified by ASTM. Relatively lesser dosage of NaOH is sufficient to achieve ASTM recommended foam density, which is attributed to the fact that mole percent of sodium in NaOH is higher than NaCl and Na2CO3. The stability of the foam has also been demonstrated through a typical mix of foam concrete.&quot;,&quot;publisher&quot;:&quot;Elsevier&quot;,&quot;volume&quot;:&quot;57&quot;},&quot;isTemporary&quot;:false}]},{&quot;citationID&quot;:&quot;MENDELEY_CITATION_5fdd0ba4-5862-4c6f-a4db-b76be2f81f3f&quot;,&quot;properties&quot;:{&quot;noteIndex&quot;:0},&quot;isEdited&quot;:false,&quot;manualOverride&quot;:{&quot;isManuallyOverridden&quot;:false,&quot;citeprocText&quot;:&quot;(Falliano et al., 2019, 2020; Markin et al., 2019, 2021)&quot;,&quot;manualOverrideText&quot;:&quot;&quot;},&quot;citationTag&quot;:&quot;MENDELEY_CITATION_v3_eyJjaXRhdGlvbklEIjoiTUVOREVMRVlfQ0lUQVRJT05fNWZkZDBiYTQtNTg2Mi00YzZmLWE0ZGItYjc2YmUyZjgxZjNmIiwicHJvcGVydGllcyI6eyJub3RlSW5kZXgiOjB9LCJpc0VkaXRlZCI6ZmFsc2UsIm1hbnVhbE92ZXJyaWRlIjp7ImlzTWFudWFsbHlPdmVycmlkZGVuIjpmYWxzZSwiY2l0ZXByb2NUZXh0IjoiKEZhbGxpYW5vIGV0IGFsLiwgMjAxOSwgMjAyMDsgTWFya2luIGV0IGFsLiwgMjAxOSwgMjAyMSkiLCJtYW51YWxPdmVycmlkZVRleHQiOiIifSwiY2l0YXRpb25JdGVtcyI6W3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LHsiaWQiOiIxY2UyYTRlMS01MDBkLTM5YzQtODBhNy03YjhkOGJjYzIyMDciLCJpdGVtRGF0YSI6eyJ0eXBlIjoiYXJ0aWNsZS1qb3VybmFsIiwiaWQiOiIxY2UyYTRlMS01MDBkLTM5YzQtODBhNy03YjhkOGJjYzIyMDciLCJ0aXRsZSI6IjNELXByaW50YWJsZSBsaWdodHdlaWdodCBmb2FtZWQgY29uY3JldGUgYW5kIGNvbXBhcmlzb24gd2l0aCBjbGFzc2ljYWwgZm9hbWVkIGNvbmNyZXRlIGluIHRlcm1zIG9mIGZyZXNoIHN0YXRlIHByb3BlcnRpZXMgYW5kIG1lY2hhbmljYWwgc3RyZW5ndGgiLCJhdXRob3IiOlt7ImZhbWlseSI6IkZhbGxpYW5vIiwiZ2l2ZW4iOiJEZXZpZC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1ce2a4e1-500d-39c4-80a7-7b8d8bcc2207&quot;,&quot;itemData&quot;:{&quot;type&quot;:&quot;article-journal&quot;,&quot;id&quot;:&quot;1ce2a4e1-500d-39c4-80a7-7b8d8bcc2207&quot;,&quot;title&quot;:&quot;3D-printable lightweight foamed concrete and comparison with classical foamed concrete in terms of fresh state properties and mechanical strength&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20.119271&quot;,&quot;ISSN&quot;:&quot;09500618&quot;,&quot;issued&quot;:{&quot;date-parts&quot;:[[2020,9,10]]},&quot;abstract&quot;:&quot;This paper presents a novel type of foamed concrete that is termed “3D-printable lightweight foamed concrete” (3DP-LWFC). Unlike classical lightweight foamed concrete (C-LWFC), this novel material is able to keep its shape at the fresh state due to enhanced consistency and viscosity. This peculiarity lends itself to being implemented in automated extrusion production process and 3D printing applications without the use of formwork, which is particularly convenient in the building industry. These unique fresh state properties of 3DP-LWFC are demonstrated through a specific extrusion test conceived and used in this experimental campaign, and highlighted by comparison with results related to C-LWFC. Despite the remarkably different behavior of the novel material at the fresh state, the mechanical strength of 3DP-LWFC is even slightly higher than C-LWFC. This is demonstrated through a wide experimental campaign focused on the compressive and flexural strength of 3DP-LWFC, which includes different dry densities, curing conditions, cement types, water/cement ratios. Additionally, the effect of the mixing conditions on the mechanical strength of 3DP-LWFC, in particular the rotational speed of the mixer during the preparation of the paste, is also analyzed and discussed. It is found that the increase of mixing intensity from 1200 rpm to 3000 rpm resulted in a considerable increase of mechanical strength values of 3DP-LWFC, up to more than 70% for the compressive strength and up to around 100% for the flexural strength.&quot;,&quot;publisher&quot;:&quot;Elsevier Ltd&quot;,&quot;volume&quot;:&quot;254&quot;},&quot;isTemporary&quot;:false},{&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citationID&quot;:&quot;MENDELEY_CITATION_003fa4b8-530b-43de-ab08-c6058f543e41&quot;,&quot;properties&quot;:{&quot;noteIndex&quot;:0},&quot;isEdited&quot;:false,&quot;manualOverride&quot;:{&quot;isManuallyOverridden&quot;:false,&quot;citeprocText&quot;:&quot;(Fan et al., 2023; Hou et al., 2021; Kunther et al., 2017)&quot;,&quot;manualOverrideText&quot;:&quot;&quot;},&quot;citationItems&quot;:[{&quot;id&quot;:&quot;1de06025-84ca-3ffc-b792-2c4d5b53808f&quot;,&quot;itemData&quot;:{&quot;type&quot;:&quot;article-journal&quot;,&quot;id&quot;:&quot;1de06025-84ca-3ffc-b792-2c4d5b53808f&quot;,&quot;title&quot;:&quot;Influence of foaming agent on cement and foam concrete&quot;,&quot;author&quot;:[{&quot;family&quot;:&quot;Hou&quot;,&quot;given&quot;:&quot;Li&quot;,&quot;parse-names&quot;:false,&quot;dropping-particle&quot;:&quot;&quot;,&quot;non-dropping-particle&quot;:&quot;&quot;},{&quot;family&quot;:&quot;Li&quot;,&quot;given&quot;:&quot;Jun&quot;,&quot;parse-names&quot;:false,&quot;dropping-particle&quot;:&quot;&quot;,&quot;non-dropping-particle&quot;:&quot;&quot;},{&quot;family&quot;:&quot;Lu&quot;,&quot;given&quot;:&quot;Zhongyuan&quot;,&quot;parse-names&quot;:false,&quot;dropping-particle&quot;:&quot;&quot;,&quot;non-dropping-particle&quot;:&quot;&quot;},{&quot;family&quot;:&quot;Niu&quot;,&quot;given&quot;:&quot;Yunhui&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1.122399&quot;,&quot;ISSN&quot;:&quot;0950-0618&quot;,&quot;issued&quot;:{&quot;date-parts&quot;:[[2021,4,19]]},&quot;page&quot;:&quot;122399&quot;,&quot;abstract&quot;:&quot;Foaming agent is an indispensable component in preparation of foam concrete by using prefabricated foams. In this study, four types of foaming agents were used to prepare foam concrete. Effect of foaming agent on properties of fresh and hardened foam concrete, interaction between foaming agent and cement, and the gas–liquid interface in foam concrete were studied. It is observed that the interaction between foaming agent and cement played a greater role in the formation process of foam concrete. The property of gas–liquid interface of foam concrete was the most important factor for the performance of in foam concrete, which determined the stability of fresh foam concrete, the pore structure and the products on the pore wall of hardened foam concrete. Finally, the evolution mechanism of foams in new foam concrete w discussed.&quot;,&quot;publisher&quot;:&quot;Elsevier&quot;,&quot;volume&quot;:&quot;280&quot;},&quot;isTemporary&quot;:false},{&quot;id&quot;:&quot;92ec3085-03e1-3c99-af28-02d06ab3bd47&quot;,&quot;itemData&quot;:{&quot;type&quot;:&quot;article-journal&quot;,&quot;id&quot;:&quot;92ec3085-03e1-3c99-af28-02d06ab3bd47&quot;,&quot;title&quot;:&quot;Influence of the Ca/Si ratio on the compressive strength of cementitious calcium–silicate–hydrate binders&quot;,&quot;author&quot;:[{&quot;family&quot;:&quot;Kunther&quot;,&quot;given&quot;:&quot;Wolfgang&quot;,&quot;parse-names&quot;:false,&quot;dropping-particle&quot;:&quot;&quot;,&quot;non-dropping-particle&quot;:&quot;&quot;},{&quot;family&quot;:&quot;Ferreiro&quot;,&quot;given&quot;:&quot;Sergio&quot;,&quot;parse-names&quot;:false,&quot;dropping-particle&quot;:&quot;&quot;,&quot;non-dropping-particle&quot;:&quot;&quot;},{&quot;family&quot;:&quot;Skibsted&quot;,&quot;given&quot;:&quot;Jørgen&quot;,&quot;parse-names&quot;:false,&quot;dropping-particle&quot;:&quot;&quot;,&quot;non-dropping-particle&quot;:&quot;&quot;}],&quot;container-title&quot;:&quot;Journal of Materials Chemistry A&quot;,&quot;container-title-short&quot;:&quot;J. Mater. Chem. A Mater.&quot;,&quot;accessed&quot;:{&quot;date-parts&quot;:[[2024,6,1]]},&quot;DOI&quot;:&quot;10.1039/C7TA06104H&quot;,&quot;ISSN&quot;:&quot;2050-7496&quot;,&quot;URL&quot;:&quot;https://pubs.rsc.org/en/content/articlehtml/2017/ta/c7ta06104h&quot;,&quot;issued&quot;:{&quot;date-parts&quot;:[[2017,8,22]]},&quot;page&quot;:&quot;17401-17412&quot;,&quot;abstract&quot;:&quot;The relation between the chemical composition of calcium–silicate–hydrate (C–S–H) phases and its influence on the compressive strength of cementitious materials is investigated by a new approach where prisms of C–S–H phases have been synthesized directly by the reaction of calcium hydroxide, amorphous SiO2 and water. The synthesized samples employ molar Ca/Si ratios of 0.83, 1.0, 1.25 and 1.50, and the compressive strengths and age-depending changes of the pastes have been followed for up to three months of hydration, after which the microstructures were characterized. The model pastes feature most characteristics of hydrated cements, including zones of different density but similar chemical composition. The experimental data demonstrates that the compressive strengths of the C–S–H pastes increase for decreasing Ca/Si ratio for all synthesized samples and testing ages. The molar volumes of the C–S–H phases decrease with decreasing Ca/Si ratio, which along with the related higher surface areas may partly explain the differences in strength development.&quot;,&quot;publisher&quot;:&quot;The Royal Society of Chemistry&quot;,&quot;issue&quot;:&quot;33&quot;,&quot;volume&quot;:&quot;5&quot;},&quot;isTemporary&quot;:false},{&quot;id&quot;:&quot;7fc8f3b2-56f2-3e2e-8e16-dc0cc5ce24e7&quot;,&quot;itemData&quot;:{&quot;type&quot;:&quot;article-journal&quot;,&quot;id&quot;:&quot;7fc8f3b2-56f2-3e2e-8e16-dc0cc5ce24e7&quot;,&quot;title&quot;:&quot;Effect of Ca/Si ratio on the characteristics of alkali-activated ultra-high performance concrete (A-UHPC): From hydration kinetics to microscopic structure development&quot;,&quot;author&quot;:[{&quot;family&quot;:&quot;Fan&quot;,&quot;given&quot;:&quot;M. X.&quot;,&quot;parse-names&quot;:false,&quot;dropping-particle&quot;:&quot;&quot;,&quot;non-dropping-particle&quot;:&quot;&quot;},{&quot;family&quot;:&quot;Chen&quot;,&quot;given&quot;:&quot;F. X.&quot;,&quot;parse-names&quot;:false,&quot;dropping-particle&quot;:&quot;&quot;,&quot;non-dropping-particle&quot;:&quot;&quot;},{&quot;family&quot;:&quot;Zhang&quot;,&quot;given&quot;:&quot;X. Y.&quot;,&quot;parse-names&quot;:false,&quot;dropping-particle&quot;:&quot;&quot;,&quot;non-dropping-particle&quot;:&quot;&quot;},{&quot;family&quot;:&quot;Wang&quot;,&quot;given&quot;:&quot;R. K.&quot;,&quot;parse-names&quot;:false,&quot;dropping-particle&quot;:&quot;&quot;,&quot;non-dropping-particle&quot;:&quot;&quot;},{&quot;family&quot;:&quot;Yu&quot;,&quot;given&quot;:&quot;R.&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3.132158&quot;,&quot;ISSN&quot;:&quot;0950-0618&quot;,&quot;issued&quot;:{&quot;date-parts&quot;:[[2023,8,29]]},&quot;page&quot;:&quot;132158&quot;,&quot;abstract&quot;:&quot;Ultra-high performance concrete (UHPC) produces higher carbon emissions than ordinary concrete. To achieve sustainable development of UHPC, this article explores the use of alkali-activated technology to create a low-carbon UHPC, in which the effect of different Ca/Si ratios (from 0.7 to 1.5) on the performance of alkali-activated UHPC (A-UHPC) is detailed analyzed. The obtained results show that with an increase of Ca/Si ratio, the properties of A-UHPC firstly increases and then gradually decreases. When the Ca/Si ratio is 1.2, the performance of the developed A-UHPC can be optimized, such as the 28-day compressive strength is 121.3 MPa, the relative content of C-(A)-S-H gel is 99.38%, the main chain length is 14.27, and the porosity is 4.28%. In general, this study can provide guidance for the formulation design and production of a new low carbon construction material in the future.&quot;,&quot;publisher&quot;:&quot;Elsevier&quot;,&quot;volume&quot;:&quot;394&quot;},&quot;isTemporary&quot;:false}],&quot;citationTag&quot;:&quot;MENDELEY_CITATION_v3_eyJjaXRhdGlvbklEIjoiTUVOREVMRVlfQ0lUQVRJT05fMDAzZmE0YjgtNTMwYi00M2RlLWFiMDgtYzYwNThmNTQzZTQx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quot;},{&quot;citationID&quot;:&quot;MENDELEY_CITATION_365e549a-6b7e-43a9-a2f4-97773df5b7a4&quot;,&quot;properties&quot;:{&quot;noteIndex&quot;:0},&quot;isEdited&quot;:false,&quot;manualOverride&quot;:{&quot;isManuallyOverridden&quot;:true,&quot;citeprocText&quot;:&quot;(Real et al., 2016; Yun et al., 2013)&quot;,&quot;manualOverrideText&quot;:&quot;(𝑅𝑒𝑎𝑙 𝑒𝑡 𝑎𝑙., 2016; 𝑌𝑢𝑛 𝑒𝑡 𝑎𝑙., 2013)&quot;},&quot;citationTag&quot;:&quot;MENDELEY_CITATION_v3_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&quot;,&quot;citationItems&quot;:[{&quot;id&quot;:&quot;1e554301-3107-38d3-bb0d-a1b8e2bf57e7&quot;,&quot;itemData&quot;:{&quot;type&quot;:&quot;article-journal&quot;,&quot;id&quot;:&quot;1e554301-3107-38d3-bb0d-a1b8e2bf57e7&quot;,&quot;title&quot;:&quot;Contribution of structural lightweight aggregate concrete to the reduction of thermal bridging effect in buildings&quot;,&quot;author&quot;:[{&quot;family&quot;:&quot;Real&quot;,&quot;given&quot;:&quot;Sofia&quot;,&quot;parse-names&quot;:false,&quot;dropping-particle&quot;:&quot;&quot;,&quot;non-dropping-particle&quot;:&quot;&quot;},{&quot;family&quot;:&quot;Gomes&quot;,&quot;given&quot;:&quot;M. Glória&quot;,&quot;parse-names&quot;:false,&quot;dropping-particle&quot;:&quot;&quot;,&quot;non-dropping-particle&quot;:&quot;&quot;},{&quot;family&quot;:&quot;Moret Rodrigues&quot;,&quot;given&quot;:&quot;A.&quot;,&quot;parse-names&quot;:false,&quot;dropping-particle&quot;:&quot;&quot;,&quot;non-dropping-particle&quot;:&quot;&quot;},{&quot;family&quot;:&quot;Bogas&quot;,&quot;given&quot;:&quot;J. Alexandre&quot;,&quot;parse-names&quot;:false,&quot;dropping-particle&quot;:&quot;&quot;,&quot;non-dropping-particle&quot;:&quot;&quot;}],&quot;container-title&quot;:&quot;Construction and Building Materials&quot;,&quot;container-title-short&quot;:&quot;Constr. Build. Mater.&quot;,&quot;accessed&quot;:{&quot;date-parts&quot;:[[2024,6,23]]},&quot;DOI&quot;:&quot;10.1016/J.CONBUILDMAT.2016.06.018&quot;,&quot;ISSN&quot;:&quot;0950-0618&quot;,&quot;issued&quot;:{&quot;date-parts&quot;:[[2016,9,15]]},&quot;page&quot;:&quot;460-470&quot;,&quot;abstract&quot;:&quot;In recent years, Energy Performance Building Directives have been published and adopted by all EU member states in order to promote the improvement of the energy performance of buildings within the EU, and thus coping with the growing comfort needs and consequent increase in energy consumption for space heating and cooling. Structural lightweight aggregate concrete (SLWAC), due to its thermal properties, presents itself as an alternative to normal weight concrete (NWC) to reduce the thermal bridging effects as well as the building energy needs to maintain thermal comfort levels in buildings. In this paper, the potential of SLWAC to improve the energy performance of buildings was assessed. An experimental study was carried out in order to determine the thermal properties of five different concrete mixtures, four SLWAC and a reference NWC for comparison purposes. These thermal properties were then used in the two-dimensional heat transfer program Therm and in the whole-building energy simulation program EnergyPlus to assess the impact of SLWAC on the thermal bridge heat losses and building energy needs of a case study. Results showed that SLWAC can improve the energy efficiency of buildings and thus be an attractive alternative to the use of the traditional NWC.&quot;,&quot;publisher&quot;:&quot;Elsevier&quot;,&quot;volume&quot;:&quot;121&quot;},&quot;isTemporary&quot;:false},{&quot;id&quot;:&quot;530efd97-df85-3fcc-835d-eac83ed688e4&quot;,&quot;itemData&quot;:{&quot;type&quot;:&quot;article-journal&quot;,&quot;id&quot;:&quot;530efd97-df85-3fcc-835d-eac83ed688e4&quot;,&quot;title&quot;:&quot;Evaluation of thermal conductivity for thermally insulated concretes&quot;,&quot;author&quot;:[{&quot;family&quot;:&quot;Yun&quot;,&quot;given&quot;:&quot;Tae Sup&quot;,&quot;parse-names&quot;:false,&quot;dropping-particle&quot;:&quot;&quot;,&quot;non-dropping-particle&quot;:&quot;&quot;},{&quot;family&quot;:&quot;Jeong&quot;,&quot;given&quot;:&quot;Yeon Jong&quot;,&quot;parse-names&quot;:false,&quot;dropping-particle&quot;:&quot;&quot;,&quot;non-dropping-particle&quot;:&quot;&quot;},{&quot;family&quot;:&quot;Han&quot;,&quot;given&quot;:&quot;Tong Seok&quot;,&quot;parse-names&quot;:false,&quot;dropping-particle&quot;:&quot;&quot;,&quot;non-dropping-particle&quot;:&quot;&quot;},{&quot;family&quot;:&quot;Youm&quot;,&quot;given&quot;:&quot;Kwang Soo&quot;,&quot;parse-names&quot;:false,&quot;dropping-particle&quot;:&quot;&quot;,&quot;non-dropping-particle&quot;:&quot;&quot;}],&quot;container-title&quot;:&quot;Energy and Buildings&quot;,&quot;container-title-short&quot;:&quot;Energy Build.&quot;,&quot;accessed&quot;:{&quot;date-parts&quot;:[[2024,6,23]]},&quot;DOI&quot;:&quot;10.1016/J.ENBUILD.2013.01.043&quot;,&quot;ISSN&quot;:&quot;0378-7788&quot;,&quot;issued&quot;:{&quot;date-parts&quot;:[[2013,6,1]]},&quot;page&quot;:&quot;125-132&quot;,&quot;abstract&quot;:&quot;Passive energy-saving houses and buildings made of thermally insulated materials become popular in recent construction practices to address the demanding energy needs and to reduce the consumption of hydrocarbon energy resources. Thermally insulated concretes represent alternative construction materials to improve the thermal efficiency in a wide range of residential and commercial buildings. This study presents the experimental results of thermal conductivity values of lightweight concrete materials at ambient temperature conditions. Various lightweight aggregates and glass bubbles are selected as surrogates and replacement materials for coarse aggregates in order to reduce the thermal conduction in concretes. The linear and plane heat source methods are implemented to quantitatively obtain conductivity values for tested specimens. Results highlight that the thermal conductivity of concretes can be effectively reduced with increasing fraction of lightweight aggregates critically depending on the type of lightweight aggregates, thereby playing an important role in the thermal insulation. The addition of micro-meter sized hollow glass bubbles further decreases the thermal conductivity of specimens while its impact is less pronounced than the lightweight aggregates. The measurement of strength corroborates the soundness of mechanical applicability of tested concretes specimens as well. © 2013 Elsevier B.V.&quot;,&quot;publisher&quot;:&quot;Elsevier&quot;,&quot;volume&quot;:&quot;61&quot;},&quot;isTemporary&quot;:false}]},{&quot;citationID&quot;:&quot;MENDELEY_CITATION_e3425d33-a4c3-4579-926b-36351368ea30&quot;,&quot;properties&quot;:{&quot;noteIndex&quot;:0},&quot;isEdited&quot;:false,&quot;manualOverride&quot;:{&quot;isManuallyOverridden&quot;:false,&quot;citeprocText&quot;:&quot;(Chen et al., 2021; Yun et al., 2013)&quot;,&quot;manualOverrideText&quot;:&quot;&quot;},&quot;citationTag&quot;:&quot;MENDELEY_CITATION_v3_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&quot;,&quot;citationItems&quot;:[{&quot;id&quot;:&quot;bb10fb5f-9114-3298-948e-0b58c1b92adf&quot;,&quot;itemData&quot;:{&quot;type&quot;:&quot;article-journal&quot;,&quot;id&quot;:&quot;bb10fb5f-9114-3298-948e-0b58c1b92adf&quot;,&quot;title&quot;:&quot;Effect of Pore Structure on Thermal Conductivity and Mechanical Properties of Autoclaved Aerated Concrete&quot;,&quot;author&quot;:[{&quot;family&quot;:&quot;Chen&quot;,&quot;given&quot;:&quot;Gonglian&quot;,&quot;parse-names&quot;:false,&quot;dropping-particle&quot;:&quot;&quot;,&quot;non-dropping-particle&quot;:&quot;&quot;},{&quot;family&quot;:&quot;Li&quot;,&quot;given&quot;:&quot;Fenglan&quot;,&quot;parse-names&quot;:false,&quot;dropping-particle&quot;:&quot;&quot;,&quot;non-dropping-particle&quot;:&quot;&quot;},{&quot;family&quot;:&quot;Jing&quot;,&quot;given&quot;:&quot;Pengfei&quot;,&quot;parse-names&quot;:false,&quot;dropping-particle&quot;:&quot;&quot;,&quot;non-dropping-particle&quot;:&quot;&quot;},{&quot;family&quot;:&quot;Geng&quot;,&quot;given&quot;:&quot;Jingya&quot;,&quot;parse-names&quot;:false,&quot;dropping-particle&quot;:&quot;&quot;,&quot;non-dropping-particle&quot;:&quot;&quot;},{&quot;family&quot;:&quot;Si&quot;,&quot;given&quot;:&quot;Zhengkai&quot;,&quot;parse-names&quot;:false,&quot;dropping-particle&quot;:&quot;&quot;,&quot;non-dropping-particle&quot;:&quot;&quot;}],&quot;container-title&quot;:&quot;Materials 2021, Vol. 14, Page 339&quot;,&quot;accessed&quot;:{&quot;date-parts&quot;:[[2024,6,23]]},&quot;DOI&quot;:&quot;10.3390/MA14020339&quot;,&quot;ISSN&quot;:&quot;1996-1944&quot;,&quot;URL&quot;:&quot;https://www.mdpi.com/1996-1944/14/2/339/htm&quot;,&quot;issued&quot;:{&quot;date-parts&quot;:[[2021,1,11]]},&quot;page&quot;:&quot;339&quot;,&quot;abstract&quot;:&quot;With the premise of investigating mechanical properties, the thermal conductivity of autoclaved aerated concrete (AAC) is a key index of self-insulation block walls for building energy conservation. This study focused on the effect of pore structures on the mechanical performance and thermal conductivity of AAC with the comparison of AAC base materials. Different kinds of AAC and their base materials were prepared and experimentally investigated. While maintaining a consistent mix proportion of the AAC base material, the pore structure of AAC was changed by the dosage of aluminum power/paste, foam stabilizer, and varying the stirring time of aluminum paste. The steam curing systems of AAC and the base material were determined based on SEM (Scanning Electronic Microscopy) and XRD (X-ray Diffraction) tests. With almost the same apparent density, the pore size decreased with the increasing content of foam stabilizer, and the mixing time of aluminum paste and foam stabilizer has a great influence on pore size. The thermal conductivity test and compressive test results indicated that that pore size had an effect on the thermal conductivity, but it had little effect on the compressive strength, and the thermal conductivity of sand aeration AAC was 8.3% higher than that of fly ash aeration AAC; the compressive strength was 10.4% higher, too. With almost the same apparent density, the regression mathematical model indicates that the thermal conductivity of AAC increased gradually with the increase of pore size, but it had little effect on the compressive strength. From the test results of basic mechanical properties, the mechanical model of cubic compressive strength, elastic modulus, axial compressive strength, and splitting tensile strength was obtained. The proposed stress–strain relationship model could well describe the relationship of AAC and the base material at the rising section of the curve.&quot;,&quot;publisher&quot;:&quot;Multidisciplinary Digital Publishing Institute&quot;,&quot;issue&quot;:&quot;2&quot;,&quot;volume&quot;:&quot;14&quot;,&quot;container-title-short&quot;:&quot;&quot;},&quot;isTemporary&quot;:false},{&quot;id&quot;:&quot;530efd97-df85-3fcc-835d-eac83ed688e4&quot;,&quot;itemData&quot;:{&quot;type&quot;:&quot;article-journal&quot;,&quot;id&quot;:&quot;530efd97-df85-3fcc-835d-eac83ed688e4&quot;,&quot;title&quot;:&quot;Evaluation of thermal conductivity for thermally insulated concretes&quot;,&quot;author&quot;:[{&quot;family&quot;:&quot;Yun&quot;,&quot;given&quot;:&quot;Tae Sup&quot;,&quot;parse-names&quot;:false,&quot;dropping-particle&quot;:&quot;&quot;,&quot;non-dropping-particle&quot;:&quot;&quot;},{&quot;family&quot;:&quot;Jeong&quot;,&quot;given&quot;:&quot;Yeon Jong&quot;,&quot;parse-names&quot;:false,&quot;dropping-particle&quot;:&quot;&quot;,&quot;non-dropping-particle&quot;:&quot;&quot;},{&quot;family&quot;:&quot;Han&quot;,&quot;given&quot;:&quot;Tong Seok&quot;,&quot;parse-names&quot;:false,&quot;dropping-particle&quot;:&quot;&quot;,&quot;non-dropping-particle&quot;:&quot;&quot;},{&quot;family&quot;:&quot;Youm&quot;,&quot;given&quot;:&quot;Kwang Soo&quot;,&quot;parse-names&quot;:false,&quot;dropping-particle&quot;:&quot;&quot;,&quot;non-dropping-particle&quot;:&quot;&quot;}],&quot;container-title&quot;:&quot;Energy and Buildings&quot;,&quot;container-title-short&quot;:&quot;Energy Build.&quot;,&quot;accessed&quot;:{&quot;date-parts&quot;:[[2024,6,23]]},&quot;DOI&quot;:&quot;10.1016/J.ENBUILD.2013.01.043&quot;,&quot;ISSN&quot;:&quot;0378-7788&quot;,&quot;issued&quot;:{&quot;date-parts&quot;:[[2013,6,1]]},&quot;page&quot;:&quot;125-132&quot;,&quot;abstract&quot;:&quot;Passive energy-saving houses and buildings made of thermally insulated materials become popular in recent construction practices to address the demanding energy needs and to reduce the consumption of hydrocarbon energy resources. Thermally insulated concretes represent alternative construction materials to improve the thermal efficiency in a wide range of residential and commercial buildings. This study presents the experimental results of thermal conductivity values of lightweight concrete materials at ambient temperature conditions. Various lightweight aggregates and glass bubbles are selected as surrogates and replacement materials for coarse aggregates in order to reduce the thermal conduction in concretes. The linear and plane heat source methods are implemented to quantitatively obtain conductivity values for tested specimens. Results highlight that the thermal conductivity of concretes can be effectively reduced with increasing fraction of lightweight aggregates critically depending on the type of lightweight aggregates, thereby playing an important role in the thermal insulation. The addition of micro-meter sized hollow glass bubbles further decreases the thermal conductivity of specimens while its impact is less pronounced than the lightweight aggregates. The measurement of strength corroborates the soundness of mechanical applicability of tested concretes specimens as well. © 2013 Elsevier B.V.&quot;,&quot;publisher&quot;:&quot;Elsevier&quot;,&quot;volume&quot;:&quot;61&quot;},&quot;isTemporary&quot;:false}]},{&quot;citationID&quot;:&quot;MENDELEY_CITATION_240b5425-881f-4232-914e-a1332c7864cd&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MjQwYjU0MjUtODgxZi00MjMyLTkxNGUtYTEzMzJjNzg2NGNk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99c66a90-d484-4edb-8588-b9d51db98fb9&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OTljNjZhOTAtZDQ4NC00ZWRiLTg1ODgtYjlkNTFkYjk4ZmI5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99BF6-2BFC-40C6-B6B2-79CD059A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20</Pages>
  <Words>9732</Words>
  <Characters>55478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Niño Bura-ay</dc:creator>
  <cp:keywords/>
  <dc:description/>
  <cp:lastModifiedBy>Al Niño Bura-ay</cp:lastModifiedBy>
  <cp:revision>77</cp:revision>
  <dcterms:created xsi:type="dcterms:W3CDTF">2026-03-17T12:18:00Z</dcterms:created>
  <dcterms:modified xsi:type="dcterms:W3CDTF">2026-03-17T13:32:00Z</dcterms:modified>
</cp:coreProperties>
</file>