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CEC" w:rsidRDefault="00BC4C87" w:rsidP="00975D54">
      <w:pPr>
        <w:pStyle w:val="NoSpacing"/>
        <w:jc w:val="center"/>
        <w:rPr>
          <w:rFonts w:ascii="Arial Unicode MS" w:eastAsia="Arial Unicode MS" w:hAnsi="Arial Unicode MS" w:cs="Arial Unicode MS"/>
          <w:sz w:val="24"/>
          <w:szCs w:val="24"/>
        </w:rPr>
      </w:pPr>
      <w:r w:rsidRPr="00BC4C87">
        <w:rPr>
          <w:rFonts w:ascii="Arial Unicode MS" w:eastAsia="Arial Unicode MS" w:hAnsi="Arial Unicode MS" w:cs="Arial Unicode MS"/>
          <w:sz w:val="24"/>
          <w:szCs w:val="24"/>
        </w:rPr>
        <w:t xml:space="preserve">Assessment of Drinking Water Quality and Its Public Health </w:t>
      </w:r>
      <w:r w:rsidR="00F17CEC">
        <w:rPr>
          <w:rFonts w:ascii="Arial Unicode MS" w:eastAsia="Arial Unicode MS" w:hAnsi="Arial Unicode MS" w:cs="Arial Unicode MS"/>
          <w:sz w:val="24"/>
          <w:szCs w:val="24"/>
        </w:rPr>
        <w:t>Implications</w:t>
      </w:r>
      <w:r w:rsidRPr="00BC4C87">
        <w:rPr>
          <w:rFonts w:ascii="Arial Unicode MS" w:eastAsia="Arial Unicode MS" w:hAnsi="Arial Unicode MS" w:cs="Arial Unicode MS"/>
          <w:sz w:val="24"/>
          <w:szCs w:val="24"/>
        </w:rPr>
        <w:t xml:space="preserve">: </w:t>
      </w:r>
    </w:p>
    <w:p w:rsidR="00AB5BD0" w:rsidRDefault="00BC4C87" w:rsidP="00975D54">
      <w:pPr>
        <w:pStyle w:val="NoSpacing"/>
        <w:jc w:val="center"/>
        <w:rPr>
          <w:rFonts w:ascii="Arial Unicode MS" w:eastAsia="Arial Unicode MS" w:hAnsi="Arial Unicode MS" w:cs="Arial Unicode MS"/>
          <w:sz w:val="24"/>
          <w:szCs w:val="24"/>
        </w:rPr>
      </w:pPr>
      <w:r w:rsidRPr="00BC4C87">
        <w:rPr>
          <w:rFonts w:ascii="Arial Unicode MS" w:eastAsia="Arial Unicode MS" w:hAnsi="Arial Unicode MS" w:cs="Arial Unicode MS"/>
          <w:sz w:val="24"/>
          <w:szCs w:val="24"/>
        </w:rPr>
        <w:t xml:space="preserve"/>
      </w:r>
      <w:proofErr w:type="spellStart"/>
      <w:r w:rsidRPr="00BC4C87">
        <w:rPr>
          <w:rFonts w:ascii="Arial Unicode MS" w:eastAsia="Arial Unicode MS" w:hAnsi="Arial Unicode MS" w:cs="Arial Unicode MS"/>
          <w:sz w:val="24"/>
          <w:szCs w:val="24"/>
        </w:rPr>
        <w:t/>
      </w:r>
      <w:r w:rsidR="008F5341">
        <w:rPr>
          <w:rFonts w:ascii="Arial Unicode MS" w:eastAsia="Arial Unicode MS" w:hAnsi="Arial Unicode MS" w:cs="Arial Unicode MS"/>
          <w:sz w:val="24"/>
          <w:szCs w:val="24"/>
        </w:rPr>
        <w:t/>
      </w:r>
      <w:proofErr w:type="spellEnd"/>
      <w:r w:rsidR="008F5341">
        <w:rPr>
          <w:rFonts w:ascii="Arial Unicode MS" w:eastAsia="Arial Unicode MS" w:hAnsi="Arial Unicode MS" w:cs="Arial Unicode MS"/>
          <w:sz w:val="24"/>
          <w:szCs w:val="24"/>
        </w:rPr>
        <w:t xml:space="preserve"/>
      </w:r>
    </w:p>
    <w:p w:rsidR="00457570" w:rsidRDefault="00457570" w:rsidP="00457570">
      <w:pPr>
        <w:spacing w:after="13" w:line="360" w:lineRule="auto"/>
        <w:ind w:left="13" w:right="11"/>
        <w:rPr>
          <w:rFonts w:ascii="Times New Roman" w:hAnsi="Times New Roman" w:cs="Times New Roman"/>
          <w:b/>
          <w:sz w:val="28"/>
        </w:rPr>
      </w:pPr>
    </w:p>
    <w:p w:rsidR="00975D54" w:rsidRDefault="00975D54" w:rsidP="00AC6FC8">
      <w:pPr>
        <w:pStyle w:val="NoSpacing"/>
        <w:ind w:left="720"/>
        <w:rPr>
          <w:rFonts w:ascii="Arial Narrow" w:hAnsi="Arial Narrow"/>
          <w:sz w:val="24"/>
          <w:szCs w:val="24"/>
        </w:rPr>
        <w:sectPr w:rsidR="00975D54">
          <w:headerReference w:type="default" r:id="rId8"/>
          <w:footerReference w:type="default" r:id="rId9"/>
          <w:pgSz w:w="12240" w:h="15840"/>
          <w:pgMar w:top="1440" w:right="1440" w:bottom="1440" w:left="1440" w:header="720" w:footer="720" w:gutter="0"/>
          <w:cols w:space="720"/>
          <w:docGrid w:linePitch="360"/>
        </w:sectPr>
      </w:pPr>
    </w:p>
    <w:p w:rsidR="00457570" w:rsidRDefault="00457570" w:rsidP="00AC6FC8">
      <w:pPr>
        <w:pStyle w:val="NoSpacing"/>
        <w:ind w:left="720"/>
        <w:rPr>
          <w:rFonts w:ascii="Arial Narrow" w:hAnsi="Arial Narrow"/>
          <w:sz w:val="24"/>
          <w:szCs w:val="24"/>
        </w:rPr>
      </w:pPr>
      <w:r w:rsidRPr="00457570">
        <w:rPr>
          <w:rFonts w:ascii="Arial Narrow" w:hAnsi="Arial Narrow"/>
          <w:sz w:val="24"/>
          <w:szCs w:val="24"/>
        </w:rPr>
        <w:lastRenderedPageBreak/>
        <w:t xml:space="preserve"/>
      </w:r>
      <w:proofErr w:type="spellStart"/>
      <w:r w:rsidRPr="00457570">
        <w:rPr>
          <w:rFonts w:ascii="Arial Narrow" w:hAnsi="Arial Narrow"/>
          <w:sz w:val="24"/>
          <w:szCs w:val="24"/>
        </w:rPr>
        <w:t/>
      </w:r>
      <w:proofErr w:type="spellEnd"/>
      <w:r w:rsidRPr="00457570">
        <w:rPr>
          <w:rFonts w:ascii="Arial Narrow" w:hAnsi="Arial Narrow"/>
          <w:sz w:val="24"/>
          <w:szCs w:val="24"/>
        </w:rPr>
        <w:t xml:space="preserve"/>
      </w:r>
      <w:proofErr w:type="spellStart"/>
      <w:r w:rsidRPr="00457570">
        <w:rPr>
          <w:rFonts w:ascii="Arial Narrow" w:hAnsi="Arial Narrow"/>
          <w:sz w:val="24"/>
          <w:szCs w:val="24"/>
        </w:rPr>
        <w:t/>
      </w:r>
      <w:proofErr w:type="spellEnd"/>
      <w:r w:rsidR="00AC6FC8">
        <w:rPr>
          <w:rFonts w:ascii="Arial Narrow" w:hAnsi="Arial Narrow"/>
          <w:sz w:val="24"/>
          <w:szCs w:val="24"/>
        </w:rPr>
        <w:t xml:space="preserve"/>
      </w:r>
      <w:r w:rsidR="00AC6FC8" w:rsidRPr="00AC6FC8">
        <w:rPr>
          <w:rFonts w:ascii="Arial Narrow" w:hAnsi="Arial Narrow"/>
          <w:sz w:val="24"/>
          <w:szCs w:val="24"/>
          <w:vertAlign w:val="superscript"/>
        </w:rPr>
        <w:t/>
      </w:r>
    </w:p>
    <w:p w:rsidR="00457570" w:rsidRDefault="00457570" w:rsidP="00457570">
      <w:pPr>
        <w:pStyle w:val="NoSpacing"/>
        <w:ind w:left="720"/>
        <w:rPr>
          <w:rFonts w:ascii="Arial Narrow" w:hAnsi="Arial Narrow"/>
          <w:sz w:val="24"/>
          <w:szCs w:val="24"/>
        </w:rPr>
      </w:pPr>
      <w:r w:rsidRPr="00457570">
        <w:rPr>
          <w:rFonts w:ascii="Arial Narrow" w:hAnsi="Arial Narrow"/>
          <w:sz w:val="24"/>
          <w:szCs w:val="24"/>
        </w:rPr>
        <w:t/>
      </w:r>
    </w:p>
    <w:p w:rsidR="00457570" w:rsidRDefault="00457570" w:rsidP="00457570">
      <w:pPr>
        <w:pStyle w:val="NoSpacing"/>
        <w:ind w:left="720"/>
        <w:rPr>
          <w:rFonts w:ascii="Arial Narrow" w:hAnsi="Arial Narrow"/>
          <w:sz w:val="24"/>
          <w:szCs w:val="24"/>
        </w:rPr>
      </w:pPr>
      <w:r w:rsidRPr="00457570">
        <w:rPr>
          <w:rFonts w:ascii="Arial Narrow" w:hAnsi="Arial Narrow"/>
          <w:sz w:val="24"/>
          <w:szCs w:val="24"/>
        </w:rPr>
        <w:t/>
      </w:r>
    </w:p>
    <w:p w:rsidR="00380101" w:rsidRPr="00457570" w:rsidRDefault="00380101" w:rsidP="00380101">
      <w:pPr>
        <w:pStyle w:val="NoSpacing"/>
        <w:ind w:left="720"/>
        <w:rPr>
          <w:rFonts w:ascii="Arial Narrow" w:hAnsi="Arial Narrow"/>
          <w:sz w:val="24"/>
          <w:szCs w:val="24"/>
        </w:rPr>
      </w:pPr>
      <w:r>
        <w:rPr>
          <w:rFonts w:ascii="Arial Narrow" w:hAnsi="Arial Narrow"/>
          <w:sz w:val="24"/>
          <w:szCs w:val="24"/>
        </w:rPr>
        <w:t xml:space="preserve"/>
      </w:r>
      <w:hyperlink r:id="rId10" w:history="1">
        <w:r w:rsidRPr="00DF1FAB">
          <w:rPr>
            <w:rStyle w:val="Hyperlink"/>
            <w:rFonts w:ascii="Arial Narrow" w:hAnsi="Arial Narrow"/>
            <w:sz w:val="24"/>
            <w:szCs w:val="24"/>
          </w:rPr>
          <w:t/>
        </w:r>
      </w:hyperlink>
      <w:r>
        <w:rPr>
          <w:rFonts w:ascii="Arial Narrow" w:hAnsi="Arial Narrow"/>
          <w:sz w:val="24"/>
          <w:szCs w:val="24"/>
        </w:rPr>
        <w:t xml:space="preserve"/>
      </w:r>
    </w:p>
    <w:p w:rsidR="00975D54" w:rsidRDefault="00975D54" w:rsidP="00AC6FC8">
      <w:pPr>
        <w:pStyle w:val="NoSpacing"/>
        <w:ind w:left="720"/>
        <w:rPr>
          <w:rFonts w:ascii="Arial Narrow" w:hAnsi="Arial Narrow" w:cs="Times New Roman"/>
          <w:sz w:val="24"/>
          <w:szCs w:val="24"/>
        </w:rPr>
      </w:pPr>
    </w:p>
    <w:p w:rsidR="00975D54" w:rsidRDefault="00975D54" w:rsidP="00AC6FC8">
      <w:pPr>
        <w:pStyle w:val="NoSpacing"/>
        <w:ind w:left="720"/>
        <w:rPr>
          <w:rFonts w:ascii="Arial Narrow" w:hAnsi="Arial Narrow" w:cs="Times New Roman"/>
          <w:sz w:val="24"/>
          <w:szCs w:val="24"/>
        </w:rPr>
      </w:pPr>
    </w:p>
    <w:p w:rsidR="00380101" w:rsidRPr="00380101" w:rsidRDefault="00380101" w:rsidP="00975D54">
      <w:pPr>
        <w:pStyle w:val="NoSpacing"/>
        <w:ind w:left="720"/>
        <w:jc w:val="both"/>
        <w:rPr>
          <w:rFonts w:ascii="Arial Narrow" w:eastAsia="Arial Unicode MS" w:hAnsi="Arial Narrow" w:cs="Arial Unicode MS"/>
          <w:sz w:val="24"/>
          <w:szCs w:val="24"/>
        </w:rPr>
      </w:pPr>
      <w:r w:rsidRPr="00380101">
        <w:rPr>
          <w:rFonts w:ascii="Arial Narrow" w:hAnsi="Arial Narrow" w:cs="Times New Roman"/>
          <w:sz w:val="24"/>
          <w:szCs w:val="24"/>
        </w:rPr>
        <w:lastRenderedPageBreak/>
        <w:t xml:space="preserve"/>
      </w:r>
      <w:proofErr w:type="spellStart"/>
      <w:r w:rsidRPr="00380101">
        <w:rPr>
          <w:rFonts w:ascii="Arial Narrow" w:hAnsi="Arial Narrow" w:cs="Times New Roman"/>
          <w:sz w:val="24"/>
          <w:szCs w:val="24"/>
        </w:rPr>
        <w:t/>
      </w:r>
      <w:proofErr w:type="spellEnd"/>
      <w:r w:rsidRPr="00380101">
        <w:rPr>
          <w:rFonts w:ascii="Arial Narrow" w:hAnsi="Arial Narrow" w:cs="Times New Roman"/>
          <w:sz w:val="24"/>
          <w:szCs w:val="24"/>
        </w:rPr>
        <w:t xml:space="preserve"/>
      </w:r>
      <w:proofErr w:type="spellStart"/>
      <w:r w:rsidRPr="00380101">
        <w:rPr>
          <w:rFonts w:ascii="Arial Narrow" w:hAnsi="Arial Narrow" w:cs="Times New Roman"/>
          <w:sz w:val="24"/>
          <w:szCs w:val="24"/>
        </w:rPr>
        <w:t/>
      </w:r>
      <w:proofErr w:type="spellEnd"/>
      <w:r w:rsidRPr="00380101">
        <w:rPr>
          <w:rFonts w:ascii="Arial Narrow" w:hAnsi="Arial Narrow" w:cs="Times New Roman"/>
          <w:sz w:val="24"/>
          <w:szCs w:val="24"/>
        </w:rPr>
        <w:t xml:space="preserve"/>
      </w:r>
      <w:r w:rsidR="00AC6FC8" w:rsidRPr="00AC6FC8">
        <w:rPr>
          <w:rFonts w:ascii="Arial Narrow" w:hAnsi="Arial Narrow" w:cs="Times New Roman"/>
          <w:sz w:val="24"/>
          <w:szCs w:val="24"/>
          <w:vertAlign w:val="superscript"/>
        </w:rPr>
        <w:t/>
      </w:r>
    </w:p>
    <w:p w:rsidR="00380101" w:rsidRDefault="00380101" w:rsidP="00975D54">
      <w:pPr>
        <w:pStyle w:val="NoSpacing"/>
        <w:ind w:left="720"/>
        <w:jc w:val="both"/>
        <w:rPr>
          <w:rFonts w:ascii="Arial Narrow" w:hAnsi="Arial Narrow" w:cs="Times New Roman"/>
          <w:sz w:val="24"/>
          <w:szCs w:val="24"/>
        </w:rPr>
      </w:pPr>
      <w:r w:rsidRPr="00380101">
        <w:rPr>
          <w:rFonts w:ascii="Arial Narrow" w:hAnsi="Arial Narrow" w:cs="Times New Roman"/>
          <w:sz w:val="24"/>
          <w:szCs w:val="24"/>
        </w:rPr>
        <w:t/>
      </w:r>
    </w:p>
    <w:p w:rsidR="00975D54" w:rsidRDefault="00380101" w:rsidP="00975D54">
      <w:pPr>
        <w:pStyle w:val="NoSpacing"/>
        <w:ind w:left="720"/>
        <w:jc w:val="both"/>
        <w:rPr>
          <w:rFonts w:ascii="Arial Narrow" w:hAnsi="Arial Narrow" w:cs="Times New Roman"/>
          <w:sz w:val="24"/>
          <w:szCs w:val="24"/>
        </w:rPr>
        <w:sectPr w:rsidR="00975D54" w:rsidSect="00975D54">
          <w:type w:val="continuous"/>
          <w:pgSz w:w="12240" w:h="15840"/>
          <w:pgMar w:top="1440" w:right="1440" w:bottom="1440" w:left="1440" w:header="720" w:footer="720" w:gutter="0"/>
          <w:cols w:num="2" w:space="720"/>
          <w:docGrid w:linePitch="360"/>
        </w:sectPr>
      </w:pPr>
      <w:r w:rsidRPr="00380101">
        <w:rPr>
          <w:rFonts w:ascii="Arial Narrow" w:hAnsi="Arial Narrow" w:cs="Times New Roman"/>
          <w:sz w:val="24"/>
          <w:szCs w:val="24"/>
        </w:rPr>
        <w:t/>
      </w:r>
      <w:r>
        <w:rPr>
          <w:rFonts w:ascii="Arial Narrow" w:hAnsi="Arial Narrow" w:cs="Times New Roman"/>
          <w:sz w:val="24"/>
          <w:szCs w:val="24"/>
        </w:rPr>
        <w:t xml:space="preserve"/>
      </w:r>
      <w:hyperlink r:id="rId11" w:history="1">
        <w:r w:rsidRPr="00DF1FAB">
          <w:rPr>
            <w:rStyle w:val="Hyperlink"/>
            <w:rFonts w:ascii="Arial Narrow" w:hAnsi="Arial Narrow" w:cs="Times New Roman"/>
            <w:sz w:val="24"/>
            <w:szCs w:val="24"/>
          </w:rPr>
          <w:t/>
        </w:r>
      </w:hyperlink>
      <w:r>
        <w:rPr>
          <w:rFonts w:ascii="Arial Narrow" w:hAnsi="Arial Narrow" w:cs="Times New Roman"/>
          <w:sz w:val="24"/>
          <w:szCs w:val="24"/>
        </w:rPr>
        <w:t xml:space="preserve"/>
      </w:r>
    </w:p>
    <w:p w:rsidR="00380101" w:rsidRDefault="00380101" w:rsidP="00380101">
      <w:pPr>
        <w:pStyle w:val="NoSpacing"/>
        <w:rPr>
          <w:rFonts w:ascii="Arial Narrow" w:hAnsi="Arial Narrow" w:cs="Times New Roman"/>
          <w:sz w:val="24"/>
          <w:szCs w:val="24"/>
        </w:rPr>
      </w:pPr>
    </w:p>
    <w:p w:rsidR="00380101" w:rsidRPr="00DC37A1" w:rsidRDefault="00DC37A1" w:rsidP="00975D54">
      <w:pPr>
        <w:pStyle w:val="NoSpacing"/>
        <w:shd w:val="clear" w:color="auto" w:fill="E7E6E6" w:themeFill="background2"/>
        <w:ind w:left="576" w:right="576"/>
        <w:rPr>
          <w:rFonts w:ascii="Arial Narrow" w:hAnsi="Arial Narrow" w:cs="Times New Roman"/>
          <w:b/>
          <w:sz w:val="24"/>
          <w:szCs w:val="24"/>
        </w:rPr>
      </w:pPr>
      <w:r>
        <w:rPr>
          <w:rFonts w:ascii="Arial Narrow" w:hAnsi="Arial Narrow" w:cs="Times New Roman"/>
          <w:b/>
          <w:sz w:val="24"/>
          <w:szCs w:val="24"/>
        </w:rPr>
        <w:t>Abstract</w:t>
      </w:r>
    </w:p>
    <w:p w:rsidR="00066D0E" w:rsidRPr="00DC37A1" w:rsidRDefault="003511D0" w:rsidP="00975D54">
      <w:pPr>
        <w:pStyle w:val="NoSpacing"/>
        <w:shd w:val="clear" w:color="auto" w:fill="E7E6E6" w:themeFill="background2"/>
        <w:ind w:left="576" w:right="576"/>
        <w:jc w:val="both"/>
        <w:rPr>
          <w:rFonts w:ascii="Arial Narrow" w:eastAsia="Arial Unicode MS" w:hAnsi="Arial Narrow" w:cs="Times New Roman"/>
          <w:sz w:val="24"/>
          <w:szCs w:val="24"/>
        </w:rPr>
      </w:pPr>
      <w:r w:rsidRPr="00DC37A1">
        <w:rPr>
          <w:rFonts w:ascii="Arial Narrow" w:hAnsi="Arial Narrow"/>
          <w:b/>
          <w:sz w:val="24"/>
          <w:szCs w:val="24"/>
        </w:rPr>
        <w:t>Background:</w:t>
      </w:r>
      <w:r w:rsidRPr="00DC37A1">
        <w:rPr>
          <w:rFonts w:ascii="Arial Narrow" w:hAnsi="Arial Narrow"/>
          <w:sz w:val="24"/>
          <w:szCs w:val="24"/>
        </w:rPr>
        <w:t xml:space="preserve"> </w:t>
      </w:r>
      <w:r w:rsidRPr="00DC37A1">
        <w:rPr>
          <w:rFonts w:ascii="Arial Narrow" w:eastAsia="Arial Unicode MS" w:hAnsi="Arial Narrow" w:cs="Times New Roman"/>
          <w:sz w:val="24"/>
          <w:szCs w:val="24"/>
        </w:rPr>
        <w:t>The global population still relies on water sources that are not safely managed, which exposes millions of people to preventable health risks</w:t>
      </w:r>
      <w:r w:rsidR="00066D0E" w:rsidRPr="00DC37A1">
        <w:rPr>
          <w:rFonts w:ascii="Arial Narrow" w:eastAsia="Arial Unicode MS" w:hAnsi="Arial Narrow" w:cs="Times New Roman"/>
          <w:sz w:val="24"/>
          <w:szCs w:val="24"/>
        </w:rPr>
        <w:t>.</w:t>
      </w:r>
      <w:r w:rsidRPr="00DC37A1">
        <w:rPr>
          <w:rFonts w:ascii="Arial Narrow" w:eastAsia="Arial Unicode MS" w:hAnsi="Arial Narrow" w:cs="Times New Roman"/>
          <w:sz w:val="24"/>
          <w:szCs w:val="24"/>
        </w:rPr>
        <w:t xml:space="preserve"> </w:t>
      </w:r>
      <w:r w:rsidRPr="00DC37A1">
        <w:rPr>
          <w:rFonts w:ascii="Arial Narrow" w:hAnsi="Arial Narrow"/>
          <w:sz w:val="24"/>
          <w:szCs w:val="24"/>
        </w:rPr>
        <w:t xml:space="preserve">There are an estimated 505,000 </w:t>
      </w:r>
      <w:proofErr w:type="spellStart"/>
      <w:r w:rsidRPr="00DC37A1">
        <w:rPr>
          <w:rFonts w:ascii="Arial Narrow" w:hAnsi="Arial Narrow"/>
          <w:sz w:val="24"/>
          <w:szCs w:val="24"/>
        </w:rPr>
        <w:t>diarrhoea</w:t>
      </w:r>
      <w:proofErr w:type="spellEnd"/>
      <w:r w:rsidRPr="00DC37A1">
        <w:rPr>
          <w:rFonts w:ascii="Arial Narrow" w:hAnsi="Arial Narrow"/>
          <w:sz w:val="24"/>
          <w:szCs w:val="24"/>
        </w:rPr>
        <w:t xml:space="preserve"> deaths due to the effects of unsafe drinking water</w:t>
      </w:r>
      <w:r w:rsidR="00066D0E" w:rsidRPr="00DC37A1">
        <w:rPr>
          <w:rFonts w:ascii="Arial Narrow" w:hAnsi="Arial Narrow"/>
          <w:sz w:val="24"/>
          <w:szCs w:val="24"/>
        </w:rPr>
        <w:t xml:space="preserve">. </w:t>
      </w:r>
      <w:r w:rsidR="00066D0E" w:rsidRPr="00DC37A1">
        <w:rPr>
          <w:rFonts w:ascii="Arial Narrow" w:eastAsia="Arial Unicode MS" w:hAnsi="Arial Narrow" w:cs="Times New Roman"/>
          <w:sz w:val="24"/>
          <w:szCs w:val="24"/>
        </w:rPr>
        <w:t xml:space="preserve">An estimated one million people die each year from </w:t>
      </w:r>
      <w:proofErr w:type="spellStart"/>
      <w:r w:rsidR="00066D0E" w:rsidRPr="00DC37A1">
        <w:rPr>
          <w:rFonts w:ascii="Arial Narrow" w:eastAsia="Arial Unicode MS" w:hAnsi="Arial Narrow" w:cs="Times New Roman"/>
          <w:sz w:val="24"/>
          <w:szCs w:val="24"/>
        </w:rPr>
        <w:t>diarrhoea</w:t>
      </w:r>
      <w:proofErr w:type="spellEnd"/>
      <w:r w:rsidR="00066D0E" w:rsidRPr="00DC37A1">
        <w:rPr>
          <w:rFonts w:ascii="Arial Narrow" w:eastAsia="Arial Unicode MS" w:hAnsi="Arial Narrow" w:cs="Times New Roman"/>
          <w:sz w:val="24"/>
          <w:szCs w:val="24"/>
        </w:rPr>
        <w:t xml:space="preserve"> due to the consumption of unsafe drinking water and improper sanitation and hygiene. 39,500 of the estimated deaths are children under five.</w:t>
      </w:r>
    </w:p>
    <w:p w:rsidR="00375940" w:rsidRPr="00DC37A1" w:rsidRDefault="00066D0E" w:rsidP="00975D54">
      <w:pPr>
        <w:pStyle w:val="NoSpacing"/>
        <w:shd w:val="clear" w:color="auto" w:fill="E7E6E6" w:themeFill="background2"/>
        <w:ind w:left="576" w:right="576"/>
        <w:jc w:val="both"/>
        <w:rPr>
          <w:rFonts w:ascii="Arial Narrow" w:hAnsi="Arial Narrow"/>
          <w:sz w:val="24"/>
          <w:szCs w:val="24"/>
        </w:rPr>
      </w:pPr>
      <w:r w:rsidRPr="00DC37A1">
        <w:rPr>
          <w:rFonts w:ascii="Arial Narrow" w:hAnsi="Arial Narrow"/>
          <w:b/>
          <w:sz w:val="24"/>
          <w:szCs w:val="24"/>
        </w:rPr>
        <w:t>Objective:</w:t>
      </w:r>
      <w:r w:rsidRPr="00DC37A1">
        <w:rPr>
          <w:rFonts w:ascii="Arial Narrow" w:hAnsi="Arial Narrow"/>
          <w:sz w:val="24"/>
          <w:szCs w:val="24"/>
        </w:rPr>
        <w:t xml:space="preserve"> The aim of this research is to assess the </w:t>
      </w:r>
      <w:r w:rsidR="00975D54">
        <w:rPr>
          <w:rFonts w:ascii="Arial Narrow" w:hAnsi="Arial Narrow"/>
          <w:sz w:val="24"/>
          <w:szCs w:val="24"/>
        </w:rPr>
        <w:t xml:space="preserve">quality of drinking water and its public health implications in </w:t>
      </w:r>
      <w:r w:rsidRPr="00DC37A1">
        <w:rPr>
          <w:rFonts w:ascii="Arial Narrow" w:hAnsi="Arial Narrow"/>
          <w:sz w:val="24"/>
          <w:szCs w:val="24"/>
        </w:rPr>
        <w:t>Johnsonville Township.</w:t>
      </w:r>
    </w:p>
    <w:p w:rsidR="00312138" w:rsidRDefault="00375940" w:rsidP="00975D54">
      <w:pPr>
        <w:shd w:val="clear" w:color="auto" w:fill="E7E6E6" w:themeFill="background2"/>
        <w:spacing w:line="240" w:lineRule="auto"/>
        <w:ind w:left="576" w:right="576"/>
        <w:contextualSpacing/>
        <w:jc w:val="both"/>
        <w:rPr>
          <w:rFonts w:ascii="Arial Narrow" w:hAnsi="Arial Narrow" w:cs="Times New Roman"/>
          <w:sz w:val="24"/>
          <w:szCs w:val="24"/>
        </w:rPr>
      </w:pPr>
      <w:r w:rsidRPr="00DC37A1">
        <w:rPr>
          <w:rFonts w:ascii="Arial Narrow" w:hAnsi="Arial Narrow"/>
          <w:b/>
          <w:sz w:val="24"/>
          <w:szCs w:val="24"/>
        </w:rPr>
        <w:t>Methods:</w:t>
      </w:r>
      <w:r w:rsidRPr="00DC37A1">
        <w:rPr>
          <w:rFonts w:ascii="Arial Narrow" w:hAnsi="Arial Narrow"/>
          <w:sz w:val="24"/>
          <w:szCs w:val="24"/>
        </w:rPr>
        <w:t xml:space="preserve"> </w:t>
      </w:r>
      <w:r w:rsidRPr="00DC37A1">
        <w:rPr>
          <w:rFonts w:ascii="Arial Narrow" w:hAnsi="Arial Narrow" w:cstheme="minorHAnsi"/>
          <w:sz w:val="24"/>
          <w:szCs w:val="24"/>
        </w:rPr>
        <w:t>The study adopted a descriptive Cross-sectional design using a mixed-methods</w:t>
      </w:r>
      <w:r w:rsidRPr="00DC37A1">
        <w:rPr>
          <w:rFonts w:ascii="Arial Narrow" w:hAnsi="Arial Narrow" w:cstheme="minorHAnsi"/>
          <w:sz w:val="24"/>
          <w:szCs w:val="24"/>
        </w:rPr>
        <w:t xml:space="preserve"> approach. The qualitative data were collected through interviews and direct observations to assess sanitation practices and community awareness, while the quantitative data were collected through laboratory analysis of drinking water samples. The research target</w:t>
      </w:r>
      <w:r w:rsidRPr="00DC37A1">
        <w:rPr>
          <w:rFonts w:ascii="Arial Narrow" w:hAnsi="Arial Narrow" w:cstheme="minorHAnsi"/>
          <w:sz w:val="24"/>
          <w:szCs w:val="24"/>
        </w:rPr>
        <w:t xml:space="preserve">ed 485 individuals, including </w:t>
      </w:r>
      <w:r w:rsidRPr="00DC37A1">
        <w:rPr>
          <w:rFonts w:ascii="Arial Narrow" w:hAnsi="Arial Narrow" w:cstheme="minorHAnsi"/>
          <w:sz w:val="24"/>
          <w:szCs w:val="24"/>
        </w:rPr>
        <w:t xml:space="preserve">household </w:t>
      </w:r>
      <w:r w:rsidRPr="00DC37A1">
        <w:rPr>
          <w:rFonts w:ascii="Arial Narrow" w:hAnsi="Arial Narrow" w:cstheme="minorHAnsi"/>
          <w:sz w:val="24"/>
          <w:szCs w:val="24"/>
        </w:rPr>
        <w:t xml:space="preserve">heads, healthcare workers, community leaders, water vendors </w:t>
      </w:r>
      <w:proofErr w:type="gramStart"/>
      <w:r w:rsidRPr="00DC37A1">
        <w:rPr>
          <w:rFonts w:ascii="Arial Narrow" w:hAnsi="Arial Narrow" w:cstheme="minorHAnsi"/>
          <w:sz w:val="24"/>
          <w:szCs w:val="24"/>
        </w:rPr>
        <w:t xml:space="preserve">and </w:t>
      </w:r>
      <w:r w:rsidRPr="00DC37A1">
        <w:rPr>
          <w:rFonts w:ascii="Arial Narrow" w:hAnsi="Arial Narrow" w:cstheme="minorHAnsi"/>
          <w:sz w:val="24"/>
          <w:szCs w:val="24"/>
        </w:rPr>
        <w:t xml:space="preserve"> WASH</w:t>
      </w:r>
      <w:proofErr w:type="gramEnd"/>
      <w:r w:rsidRPr="00DC37A1">
        <w:rPr>
          <w:rFonts w:ascii="Arial Narrow" w:hAnsi="Arial Narrow" w:cstheme="minorHAnsi"/>
          <w:sz w:val="24"/>
          <w:szCs w:val="24"/>
        </w:rPr>
        <w:t xml:space="preserve"> volunteers. Using the Yamane formula with a 95% confidence level and a targeted population of 485, the ideal sample size was 220. </w:t>
      </w:r>
      <w:r w:rsidRPr="00DC37A1">
        <w:rPr>
          <w:rFonts w:ascii="Arial Narrow" w:hAnsi="Arial Narrow" w:cs="Times New Roman"/>
          <w:sz w:val="24"/>
          <w:szCs w:val="24"/>
        </w:rPr>
        <w:t>However, due to constraints, we collected data from 118 respondents, representing 53.64% of the calculated sample size.</w:t>
      </w:r>
      <w:r w:rsidR="00975D54">
        <w:rPr>
          <w:rFonts w:ascii="Arial Narrow" w:hAnsi="Arial Narrow" w:cs="Times New Roman"/>
          <w:sz w:val="24"/>
          <w:szCs w:val="24"/>
        </w:rPr>
        <w:t xml:space="preserve"> </w:t>
      </w:r>
      <w:r w:rsidR="00DC37A1" w:rsidRPr="00DC37A1">
        <w:rPr>
          <w:rFonts w:ascii="Arial Narrow" w:hAnsi="Arial Narrow" w:cs="Times New Roman"/>
          <w:sz w:val="24"/>
          <w:szCs w:val="24"/>
        </w:rPr>
        <w:t xml:space="preserve">We used combinations of sampling techniques, including stratified random sampling of households, </w:t>
      </w:r>
      <w:r w:rsidR="00DC37A1" w:rsidRPr="00DC37A1">
        <w:rPr>
          <w:rFonts w:ascii="Arial Narrow" w:hAnsi="Arial Narrow" w:cs="Times New Roman"/>
          <w:sz w:val="24"/>
          <w:szCs w:val="24"/>
        </w:rPr>
        <w:t>and purposive sampling.</w:t>
      </w:r>
      <w:r w:rsidR="00975D54">
        <w:rPr>
          <w:rFonts w:ascii="Arial Narrow" w:hAnsi="Arial Narrow" w:cs="Times New Roman"/>
          <w:sz w:val="24"/>
          <w:szCs w:val="24"/>
        </w:rPr>
        <w:t xml:space="preserve"> </w:t>
      </w:r>
      <w:r w:rsidR="00DC37A1" w:rsidRPr="00DC37A1">
        <w:rPr>
          <w:rFonts w:ascii="Arial Narrow" w:hAnsi="Arial Narrow" w:cs="Times New Roman"/>
          <w:sz w:val="24"/>
          <w:szCs w:val="24"/>
        </w:rPr>
        <w:t xml:space="preserve">Quantitative data were </w:t>
      </w:r>
      <w:proofErr w:type="spellStart"/>
      <w:r w:rsidR="00DC37A1" w:rsidRPr="00DC37A1">
        <w:rPr>
          <w:rFonts w:ascii="Arial Narrow" w:hAnsi="Arial Narrow" w:cs="Times New Roman"/>
          <w:sz w:val="24"/>
          <w:szCs w:val="24"/>
        </w:rPr>
        <w:t>analysed</w:t>
      </w:r>
      <w:proofErr w:type="spellEnd"/>
      <w:r w:rsidR="00DC37A1" w:rsidRPr="00DC37A1">
        <w:rPr>
          <w:rFonts w:ascii="Arial Narrow" w:hAnsi="Arial Narrow" w:cs="Times New Roman"/>
          <w:sz w:val="24"/>
          <w:szCs w:val="24"/>
        </w:rPr>
        <w:t xml:space="preserve"> using descriptive statistics.</w:t>
      </w:r>
      <w:r w:rsidR="00DC37A1" w:rsidRPr="00DC37A1">
        <w:rPr>
          <w:rFonts w:ascii="Arial Narrow" w:hAnsi="Arial Narrow" w:cs="Times New Roman"/>
          <w:sz w:val="24"/>
          <w:szCs w:val="24"/>
        </w:rPr>
        <w:t xml:space="preserve"> SPSS </w:t>
      </w:r>
      <w:r w:rsidR="00DC37A1" w:rsidRPr="00DC37A1">
        <w:rPr>
          <w:rFonts w:ascii="Arial Narrow" w:hAnsi="Arial Narrow" w:cs="Times New Roman"/>
          <w:sz w:val="24"/>
          <w:szCs w:val="24"/>
        </w:rPr>
        <w:t>was used to support the analysis. For the qualitative analysis, responses were grouped into key themes</w:t>
      </w:r>
      <w:r w:rsidR="00DC37A1" w:rsidRPr="00DC37A1">
        <w:rPr>
          <w:rFonts w:ascii="Arial Narrow" w:hAnsi="Arial Narrow" w:cs="Times New Roman"/>
          <w:sz w:val="24"/>
          <w:szCs w:val="24"/>
        </w:rPr>
        <w:t xml:space="preserve">. We </w:t>
      </w:r>
      <w:r w:rsidR="00312138">
        <w:rPr>
          <w:rFonts w:ascii="Arial Narrow" w:hAnsi="Arial Narrow" w:cs="Times New Roman"/>
          <w:sz w:val="24"/>
          <w:szCs w:val="24"/>
        </w:rPr>
        <w:t xml:space="preserve">obtained ethical approval from the Ethical and Research Department of </w:t>
      </w:r>
      <w:proofErr w:type="gramStart"/>
      <w:r w:rsidR="00312138">
        <w:rPr>
          <w:rFonts w:ascii="Arial Narrow" w:hAnsi="Arial Narrow" w:cs="Times New Roman"/>
          <w:sz w:val="24"/>
          <w:szCs w:val="24"/>
        </w:rPr>
        <w:t>the  CIU</w:t>
      </w:r>
      <w:proofErr w:type="gramEnd"/>
      <w:r w:rsidR="00312138">
        <w:rPr>
          <w:rFonts w:ascii="Arial Narrow" w:hAnsi="Arial Narrow" w:cs="Times New Roman"/>
          <w:sz w:val="24"/>
          <w:szCs w:val="24"/>
        </w:rPr>
        <w:t xml:space="preserve"> and informed consent from each participant</w:t>
      </w:r>
      <w:r w:rsidR="00DC37A1" w:rsidRPr="00DC37A1">
        <w:rPr>
          <w:rFonts w:ascii="Arial Narrow" w:hAnsi="Arial Narrow" w:cs="Times New Roman"/>
          <w:sz w:val="24"/>
          <w:szCs w:val="24"/>
        </w:rPr>
        <w:t>.</w:t>
      </w:r>
    </w:p>
    <w:p w:rsidR="008E7B8E" w:rsidRDefault="008E7B8E" w:rsidP="00975D54">
      <w:pPr>
        <w:shd w:val="clear" w:color="auto" w:fill="E7E6E6" w:themeFill="background2"/>
        <w:spacing w:line="240" w:lineRule="auto"/>
        <w:ind w:left="576" w:right="576"/>
        <w:contextualSpacing/>
        <w:jc w:val="both"/>
        <w:rPr>
          <w:rFonts w:ascii="Arial Narrow" w:hAnsi="Arial Narrow" w:cs="Times New Roman"/>
          <w:sz w:val="24"/>
          <w:szCs w:val="24"/>
        </w:rPr>
      </w:pPr>
      <w:r w:rsidRPr="008E7B8E">
        <w:rPr>
          <w:rFonts w:ascii="Arial Narrow" w:hAnsi="Arial Narrow" w:cs="Times New Roman"/>
          <w:b/>
          <w:sz w:val="24"/>
          <w:szCs w:val="24"/>
        </w:rPr>
        <w:t>Results:</w:t>
      </w:r>
      <w:r>
        <w:rPr>
          <w:rFonts w:ascii="Arial Narrow" w:hAnsi="Arial Narrow" w:cs="Times New Roman"/>
          <w:sz w:val="24"/>
          <w:szCs w:val="24"/>
        </w:rPr>
        <w:t xml:space="preserve"> 38.98% </w:t>
      </w:r>
      <w:r w:rsidRPr="008E7B8E">
        <w:rPr>
          <w:rFonts w:ascii="Arial Narrow" w:hAnsi="Arial Narrow" w:cs="Times New Roman"/>
          <w:sz w:val="24"/>
          <w:szCs w:val="24"/>
        </w:rPr>
        <w:t xml:space="preserve">and 33.05% of the respondents depend on sachet water and hand pumps, respectively. 87.3% do not practice any form of water treatment. 66.1% and 24.6% report experiencing typhoid fever and </w:t>
      </w:r>
      <w:proofErr w:type="spellStart"/>
      <w:r w:rsidRPr="008E7B8E">
        <w:rPr>
          <w:rFonts w:ascii="Arial Narrow" w:hAnsi="Arial Narrow" w:cs="Times New Roman"/>
          <w:sz w:val="24"/>
          <w:szCs w:val="24"/>
        </w:rPr>
        <w:t>diarrhoea</w:t>
      </w:r>
      <w:proofErr w:type="spellEnd"/>
      <w:r w:rsidRPr="008E7B8E">
        <w:rPr>
          <w:rFonts w:ascii="Arial Narrow" w:hAnsi="Arial Narrow" w:cs="Times New Roman"/>
          <w:sz w:val="24"/>
          <w:szCs w:val="24"/>
        </w:rPr>
        <w:t xml:space="preserve">, respectively. Although most water sources were not located near visible contamination sites, structural, environmental, and behavioral factors still pose significant risks to water quality.  </w:t>
      </w:r>
    </w:p>
    <w:p w:rsidR="008E7B8E" w:rsidRDefault="008E7B8E" w:rsidP="00975D54">
      <w:pPr>
        <w:shd w:val="clear" w:color="auto" w:fill="E7E6E6" w:themeFill="background2"/>
        <w:spacing w:line="240" w:lineRule="auto"/>
        <w:ind w:left="576" w:right="576"/>
        <w:contextualSpacing/>
        <w:jc w:val="both"/>
        <w:rPr>
          <w:rFonts w:ascii="Arial Narrow" w:hAnsi="Arial Narrow" w:cs="Times New Roman"/>
          <w:sz w:val="24"/>
          <w:szCs w:val="24"/>
        </w:rPr>
      </w:pPr>
      <w:r w:rsidRPr="008E7B8E">
        <w:rPr>
          <w:rFonts w:ascii="Arial Narrow" w:hAnsi="Arial Narrow" w:cs="Times New Roman"/>
          <w:b/>
          <w:sz w:val="24"/>
          <w:szCs w:val="24"/>
        </w:rPr>
        <w:t>Recommendation:</w:t>
      </w:r>
      <w:r w:rsidR="00975D54">
        <w:rPr>
          <w:rFonts w:ascii="Arial Narrow" w:hAnsi="Arial Narrow" w:cs="Times New Roman"/>
          <w:b/>
          <w:sz w:val="24"/>
          <w:szCs w:val="24"/>
        </w:rPr>
        <w:t xml:space="preserve"> </w:t>
      </w:r>
      <w:r w:rsidR="00975D54" w:rsidRPr="00975D54">
        <w:rPr>
          <w:rFonts w:ascii="Arial Narrow" w:hAnsi="Arial Narrow" w:cs="Times New Roman"/>
          <w:sz w:val="24"/>
          <w:szCs w:val="24"/>
        </w:rPr>
        <w:t>Since Johnsonville is a Township, the city ordinance should be enforced to enable the provision of basic socio-economic and public facilities.</w:t>
      </w:r>
    </w:p>
    <w:p w:rsidR="00975D54" w:rsidRDefault="00975D54" w:rsidP="00975D54">
      <w:pPr>
        <w:shd w:val="clear" w:color="auto" w:fill="E7E6E6" w:themeFill="background2"/>
        <w:spacing w:line="240" w:lineRule="auto"/>
        <w:ind w:left="576" w:right="576"/>
        <w:contextualSpacing/>
        <w:jc w:val="both"/>
        <w:rPr>
          <w:rFonts w:ascii="Arial Narrow" w:hAnsi="Arial Narrow" w:cs="Times New Roman"/>
          <w:sz w:val="24"/>
          <w:szCs w:val="24"/>
        </w:rPr>
      </w:pPr>
    </w:p>
    <w:p w:rsidR="00975D54" w:rsidRPr="00975D54" w:rsidRDefault="00975D54" w:rsidP="00975D54">
      <w:pPr>
        <w:shd w:val="clear" w:color="auto" w:fill="E7E6E6" w:themeFill="background2"/>
        <w:spacing w:line="240" w:lineRule="auto"/>
        <w:ind w:left="576" w:right="576"/>
        <w:contextualSpacing/>
        <w:jc w:val="center"/>
        <w:rPr>
          <w:rFonts w:ascii="Arial Narrow" w:hAnsi="Arial Narrow" w:cs="Times New Roman"/>
          <w:b/>
          <w:sz w:val="24"/>
          <w:szCs w:val="24"/>
        </w:rPr>
      </w:pPr>
      <w:r w:rsidRPr="00975D54">
        <w:rPr>
          <w:rFonts w:ascii="Arial Narrow" w:hAnsi="Arial Narrow" w:cs="Times New Roman"/>
          <w:b/>
          <w:sz w:val="24"/>
          <w:szCs w:val="24"/>
        </w:rPr>
        <w:t xml:space="preserve">Keywords: Drinking Waters, Public Health, </w:t>
      </w:r>
      <w:r w:rsidRPr="00975D54">
        <w:rPr>
          <w:rFonts w:ascii="Arial Narrow" w:hAnsi="Arial Narrow" w:cs="Times New Roman"/>
          <w:b/>
          <w:sz w:val="24"/>
          <w:szCs w:val="24"/>
        </w:rPr>
        <w:t>Water</w:t>
      </w:r>
      <w:r w:rsidR="00707734">
        <w:rPr>
          <w:rFonts w:ascii="Arial Narrow" w:hAnsi="Arial Narrow" w:cs="Times New Roman"/>
          <w:b/>
          <w:sz w:val="24"/>
          <w:szCs w:val="24"/>
        </w:rPr>
        <w:t>-</w:t>
      </w:r>
      <w:r w:rsidRPr="00975D54">
        <w:rPr>
          <w:rFonts w:ascii="Arial Narrow" w:hAnsi="Arial Narrow" w:cs="Times New Roman"/>
          <w:b/>
          <w:sz w:val="24"/>
          <w:szCs w:val="24"/>
        </w:rPr>
        <w:t xml:space="preserve">borne, </w:t>
      </w:r>
      <w:r w:rsidRPr="00975D54">
        <w:rPr>
          <w:rFonts w:ascii="Arial Narrow" w:hAnsi="Arial Narrow" w:cs="Times New Roman"/>
          <w:b/>
          <w:sz w:val="24"/>
          <w:szCs w:val="24"/>
        </w:rPr>
        <w:t>WASH</w:t>
      </w:r>
    </w:p>
    <w:p w:rsidR="00975D54" w:rsidRDefault="00975D54" w:rsidP="008E7B8E">
      <w:pPr>
        <w:spacing w:line="240" w:lineRule="auto"/>
        <w:ind w:left="576" w:right="576"/>
        <w:contextualSpacing/>
        <w:jc w:val="both"/>
        <w:rPr>
          <w:rFonts w:ascii="Arial Narrow" w:hAnsi="Arial Narrow" w:cs="Times New Roman"/>
          <w:b/>
          <w:sz w:val="24"/>
          <w:szCs w:val="24"/>
        </w:rPr>
      </w:pPr>
    </w:p>
    <w:p w:rsidR="00975D54" w:rsidRDefault="00975D54" w:rsidP="008E7B8E">
      <w:pPr>
        <w:spacing w:line="240" w:lineRule="auto"/>
        <w:ind w:left="576" w:right="576"/>
        <w:contextualSpacing/>
        <w:jc w:val="both"/>
        <w:rPr>
          <w:rFonts w:ascii="Arial Narrow" w:hAnsi="Arial Narrow" w:cs="Times New Roman"/>
          <w:b/>
          <w:sz w:val="24"/>
          <w:szCs w:val="24"/>
        </w:rPr>
      </w:pPr>
    </w:p>
    <w:p w:rsidR="00975D54" w:rsidRDefault="00975D54" w:rsidP="008E7B8E">
      <w:pPr>
        <w:spacing w:line="240" w:lineRule="auto"/>
        <w:ind w:left="576" w:right="576"/>
        <w:contextualSpacing/>
        <w:jc w:val="both"/>
        <w:rPr>
          <w:rFonts w:ascii="Arial Narrow" w:hAnsi="Arial Narrow" w:cs="Times New Roman"/>
          <w:b/>
          <w:sz w:val="24"/>
          <w:szCs w:val="24"/>
        </w:rPr>
      </w:pPr>
    </w:p>
    <w:p w:rsidR="00975D54" w:rsidRPr="008E7B8E" w:rsidRDefault="00975D54" w:rsidP="008E7B8E">
      <w:pPr>
        <w:spacing w:line="240" w:lineRule="auto"/>
        <w:ind w:left="576" w:right="576"/>
        <w:contextualSpacing/>
        <w:jc w:val="both"/>
        <w:rPr>
          <w:rFonts w:ascii="Arial Narrow" w:hAnsi="Arial Narrow" w:cs="Times New Roman"/>
          <w:b/>
          <w:sz w:val="24"/>
          <w:szCs w:val="24"/>
        </w:rPr>
        <w:sectPr w:rsidR="00975D54" w:rsidRPr="008E7B8E" w:rsidSect="00975D54">
          <w:type w:val="continuous"/>
          <w:pgSz w:w="12240" w:h="15840"/>
          <w:pgMar w:top="1440" w:right="1440" w:bottom="1440" w:left="1440" w:header="720" w:footer="720" w:gutter="0"/>
          <w:cols w:space="720"/>
          <w:docGrid w:linePitch="360"/>
        </w:sectPr>
      </w:pPr>
    </w:p>
    <w:p w:rsidR="00975D54" w:rsidRDefault="00975D54" w:rsidP="00B11F23">
      <w:pPr>
        <w:pStyle w:val="NoSpacing"/>
        <w:spacing w:line="360" w:lineRule="auto"/>
        <w:jc w:val="both"/>
        <w:rPr>
          <w:rFonts w:ascii="Times New Roman" w:hAnsi="Times New Roman" w:cs="Times New Roman"/>
          <w:b/>
          <w:sz w:val="24"/>
          <w:szCs w:val="24"/>
        </w:rPr>
      </w:pPr>
    </w:p>
    <w:p w:rsidR="00975D54" w:rsidRDefault="00975D54" w:rsidP="00B11F23">
      <w:pPr>
        <w:pStyle w:val="NoSpacing"/>
        <w:spacing w:line="360" w:lineRule="auto"/>
        <w:jc w:val="both"/>
        <w:rPr>
          <w:rFonts w:ascii="Times New Roman" w:hAnsi="Times New Roman" w:cs="Times New Roman"/>
          <w:b/>
          <w:sz w:val="24"/>
          <w:szCs w:val="24"/>
        </w:rPr>
      </w:pPr>
    </w:p>
    <w:p w:rsidR="00380101" w:rsidRPr="00ED14B8" w:rsidRDefault="00380101" w:rsidP="00B11F23">
      <w:pPr>
        <w:pStyle w:val="NoSpacing"/>
        <w:spacing w:line="360" w:lineRule="auto"/>
        <w:jc w:val="both"/>
        <w:rPr>
          <w:rFonts w:ascii="Times New Roman" w:hAnsi="Times New Roman" w:cs="Times New Roman"/>
          <w:b/>
          <w:sz w:val="24"/>
          <w:szCs w:val="24"/>
        </w:rPr>
      </w:pPr>
      <w:r w:rsidRPr="00ED14B8">
        <w:rPr>
          <w:rFonts w:ascii="Times New Roman" w:hAnsi="Times New Roman" w:cs="Times New Roman"/>
          <w:b/>
          <w:sz w:val="24"/>
          <w:szCs w:val="24"/>
        </w:rPr>
        <w:lastRenderedPageBreak/>
        <w:t xml:space="preserve">Background </w:t>
      </w:r>
    </w:p>
    <w:p w:rsidR="00790F0B" w:rsidRDefault="00B11F23" w:rsidP="00790F0B">
      <w:pPr>
        <w:pStyle w:val="NoSpacing"/>
        <w:spacing w:line="360" w:lineRule="auto"/>
        <w:ind w:firstLine="720"/>
        <w:contextualSpacing/>
        <w:jc w:val="both"/>
        <w:rPr>
          <w:rFonts w:ascii="Times New Roman" w:eastAsia="Arial Unicode MS" w:hAnsi="Times New Roman" w:cs="Times New Roman"/>
          <w:sz w:val="24"/>
          <w:szCs w:val="24"/>
        </w:rPr>
      </w:pPr>
      <w:r w:rsidRPr="00B11F23">
        <w:rPr>
          <w:rFonts w:ascii="Times New Roman" w:eastAsia="Arial Unicode MS" w:hAnsi="Times New Roman" w:cs="Times New Roman"/>
          <w:sz w:val="24"/>
          <w:szCs w:val="24"/>
        </w:rPr>
        <w:t>One of the major challenges in developing and underdeveloped countries is access to safe drinking water</w:t>
      </w:r>
      <w:r w:rsidR="00AE73A7">
        <w:rPr>
          <w:rFonts w:ascii="Times New Roman" w:eastAsia="Arial Unicode MS" w:hAnsi="Times New Roman" w:cs="Times New Roman"/>
          <w:sz w:val="24"/>
          <w:szCs w:val="24"/>
        </w:rPr>
        <w:t xml:space="preserve"> </w:t>
      </w:r>
      <w:r w:rsidR="00AE73A7">
        <w:rPr>
          <w:rFonts w:ascii="Times New Roman" w:eastAsia="Arial Unicode MS" w:hAnsi="Times New Roman" w:cs="Times New Roman"/>
          <w:sz w:val="24"/>
          <w:szCs w:val="24"/>
        </w:rPr>
        <w:fldChar w:fldCharType="begin"/>
      </w:r>
      <w:r w:rsidR="00AE73A7">
        <w:rPr>
          <w:rFonts w:ascii="Times New Roman" w:eastAsia="Arial Unicode MS" w:hAnsi="Times New Roman" w:cs="Times New Roman"/>
          <w:sz w:val="24"/>
          <w:szCs w:val="24"/>
        </w:rPr>
        <w:instrText xml:space="preserve"> ADDIN ZOTERO_ITEM CSL_CITATION {"citationID":"E8cZdg5w","properties":{"unsorted":false,"formattedCitation":"(Li &amp; Yang, 2021)","plainCitation":"(Li &amp; Yang, 2021)","noteIndex":0},"citationItems":[{"id":3283,"uris":["http://zotero.org/users/local/8ezhmN7w/items/H35G4TT6"],"itemData":{"id":3283,"type":"article-journal","container-title":"Global Challenges","DOI":"10.1002/gch2.202000125","ISSN":"2056-6646","issue":"1","journalAbbreviation":"Glob Chall","page":"2000125","PMID":"33437529","PMCID":"PMC7788590","source":"PubMed Central","title":"A Global Challenge: Clean Drinking Water","title-short":"A Global Challenge","URL":"https://pmc.ncbi.nlm.nih.gov/articles/PMC7788590/","volume":"5","author":[{"family":"Li","given":"Xiuqiang"},{"family":"Yang","given":"Hui Ying"}],"accessed":{"date-parts":[["2026",6,23]]},"issued":{"date-parts":[["2021",1,7]]}}}],"schema":"https://github.com/citation-style-language/schema/raw/master/csl-citation.json"} </w:instrText>
      </w:r>
      <w:r w:rsidR="00AE73A7">
        <w:rPr>
          <w:rFonts w:ascii="Times New Roman" w:eastAsia="Arial Unicode MS" w:hAnsi="Times New Roman" w:cs="Times New Roman"/>
          <w:sz w:val="24"/>
          <w:szCs w:val="24"/>
        </w:rPr>
        <w:fldChar w:fldCharType="separate"/>
      </w:r>
      <w:r w:rsidR="00AE73A7" w:rsidRPr="00AE73A7">
        <w:rPr>
          <w:rFonts w:ascii="Times New Roman" w:hAnsi="Times New Roman" w:cs="Times New Roman"/>
          <w:sz w:val="24"/>
        </w:rPr>
        <w:t>(Li &amp; Yang, 2021)</w:t>
      </w:r>
      <w:r w:rsidR="00AE73A7">
        <w:rPr>
          <w:rFonts w:ascii="Times New Roman" w:eastAsia="Arial Unicode MS" w:hAnsi="Times New Roman" w:cs="Times New Roman"/>
          <w:sz w:val="24"/>
          <w:szCs w:val="24"/>
        </w:rPr>
        <w:fldChar w:fldCharType="end"/>
      </w:r>
      <w:r w:rsidRPr="00B11F23">
        <w:rPr>
          <w:rFonts w:ascii="Times New Roman" w:eastAsia="Arial Unicode MS" w:hAnsi="Times New Roman" w:cs="Times New Roman"/>
          <w:sz w:val="24"/>
          <w:szCs w:val="24"/>
        </w:rPr>
        <w:t>. The global population still relies on water sources that are not safely managed, which exposes millions of people to preventable health risks</w:t>
      </w:r>
      <w:r w:rsidR="00005041">
        <w:rPr>
          <w:rFonts w:ascii="Times New Roman" w:eastAsia="Arial Unicode MS" w:hAnsi="Times New Roman" w:cs="Times New Roman"/>
          <w:sz w:val="24"/>
          <w:szCs w:val="24"/>
        </w:rPr>
        <w:t xml:space="preserve"> </w:t>
      </w:r>
      <w:r w:rsidR="00005041">
        <w:rPr>
          <w:rFonts w:ascii="Times New Roman" w:eastAsia="Arial Unicode MS" w:hAnsi="Times New Roman" w:cs="Times New Roman"/>
          <w:sz w:val="24"/>
          <w:szCs w:val="24"/>
        </w:rPr>
        <w:fldChar w:fldCharType="begin"/>
      </w:r>
      <w:r w:rsidR="00005041">
        <w:rPr>
          <w:rFonts w:ascii="Times New Roman" w:eastAsia="Arial Unicode MS" w:hAnsi="Times New Roman" w:cs="Times New Roman"/>
          <w:sz w:val="24"/>
          <w:szCs w:val="24"/>
        </w:rPr>
        <w:instrText xml:space="preserve"> ADDIN ZOTERO_ITEM CSL_CITATION {"citationID":"olA4igXi","properties":{"unsorted":false,"formattedCitation":"(Chan et al., 2021)","plainCitation":"(Chan et al., 2021)","noteIndex":0},"citationItems":[{"id":3286,"uris":["http://zotero.org/users/local/8ezhmN7w/items/TBQ3T3BL"],"itemData":{"id":3286,"type":"article-journal","abstract":"Waterborne diseases account for 1.5 million deaths a year globally, particularly affecting children in low-income households in subtropical areas. It is one of the most enduring and economically devastating biological hazards in our society today. The World Health Organization Health Emergency and Disaster Risk Management (health-EDRM) Framework highlights the importance of primary prevention against biological hazards across all levels of society. The framework encourages multi-sectoral coordination and lessons sharing for community risk resilience. A narrative review, conducted in March 2021, identified 88 English-language articles published between January 2000 and March 2021 examining water, sanitation, and hygiene primary prevention interventions against waterborne diseases in resource-poor settings. The literature identified eight main interventions implemented at personal, household and community levels. The strength of evidence, the enabling factors, barriers, co-benefits, and alternative measures were reviewed for each intervention. There is an array of evidence available across each intervention, with strong evidence supporting the effectiveness of water treatment and safe household water storage. Studies show that at personal and household levels, interventions are effective when applied together. Furthermore, water and waste management will have a compounding impact on vector-borne diseases. Mitigation against waterborne diseases require coordinated, multi-sectoral governance, such as building sanitation infrastructure and streamlined waste management. The review showed research gaps relating to evidence-based alternative interventions for resource-poor settings and showed discrepancies in definitions of various interventions amongst research institutions, creating challenges in the direct comparison of results across studies.","container-title":"International Journal of Environmental Research and Public Health","DOI":"10.3390/ijerph182312268","ISSN":"1661-7827","issue":"23","journalAbbreviation":"Int J Environ Res Public Health","page":"12268","PMID":"34885995","PMCID":"PMC8656607","source":"PubMed Central","title":"Narrative Review of Primary Preventive Interventions against Water-Borne Diseases: Scientific Evidence of Health-EDRM in Contexts with Inadequate Safe Drinking Water","title-short":"Narrative Review of Primary Preventive Interventions against Water-Borne Diseases","URL":"https://pmc.ncbi.nlm.nih.gov/articles/PMC8656607/","volume":"18","author":[{"family":"Chan","given":"Emily Ying Yang"},{"family":"Tong","given":"Kimberley Hor Yee"},{"family":"Dubois","given":"Caroline"},{"family":"Mc Donnell","given":"Kiara"},{"family":"Kim","given":"Jean H."},{"family":"Hung","given":"Kevin Kei Ching"},{"family":"Kwok","given":"Kin On"}],"accessed":{"date-parts":[["2026",6,23]]},"issued":{"date-parts":[["2021",11,23]]}}}],"schema":"https://github.com/citation-style-language/schema/raw/master/csl-citation.json"} </w:instrText>
      </w:r>
      <w:r w:rsidR="00005041">
        <w:rPr>
          <w:rFonts w:ascii="Times New Roman" w:eastAsia="Arial Unicode MS" w:hAnsi="Times New Roman" w:cs="Times New Roman"/>
          <w:sz w:val="24"/>
          <w:szCs w:val="24"/>
        </w:rPr>
        <w:fldChar w:fldCharType="separate"/>
      </w:r>
      <w:r w:rsidR="00005041" w:rsidRPr="00005041">
        <w:rPr>
          <w:rFonts w:ascii="Times New Roman" w:hAnsi="Times New Roman" w:cs="Times New Roman"/>
          <w:sz w:val="24"/>
        </w:rPr>
        <w:t>(Chan et al., 2021)</w:t>
      </w:r>
      <w:r w:rsidR="00005041">
        <w:rPr>
          <w:rFonts w:ascii="Times New Roman" w:eastAsia="Arial Unicode MS" w:hAnsi="Times New Roman" w:cs="Times New Roman"/>
          <w:sz w:val="24"/>
          <w:szCs w:val="24"/>
        </w:rPr>
        <w:fldChar w:fldCharType="end"/>
      </w:r>
      <w:r w:rsidRPr="00B11F23">
        <w:rPr>
          <w:rFonts w:ascii="Times New Roman" w:eastAsia="Arial Unicode MS" w:hAnsi="Times New Roman" w:cs="Times New Roman"/>
          <w:sz w:val="24"/>
          <w:szCs w:val="24"/>
        </w:rPr>
        <w:t xml:space="preserve">. There are an estimated 505,000 </w:t>
      </w:r>
      <w:proofErr w:type="spellStart"/>
      <w:r w:rsidRPr="00B11F23">
        <w:rPr>
          <w:rFonts w:ascii="Times New Roman" w:eastAsia="Arial Unicode MS" w:hAnsi="Times New Roman" w:cs="Times New Roman"/>
          <w:sz w:val="24"/>
          <w:szCs w:val="24"/>
        </w:rPr>
        <w:t>diarrhoea</w:t>
      </w:r>
      <w:proofErr w:type="spellEnd"/>
      <w:r w:rsidRPr="00B11F23">
        <w:rPr>
          <w:rFonts w:ascii="Times New Roman" w:eastAsia="Arial Unicode MS" w:hAnsi="Times New Roman" w:cs="Times New Roman"/>
          <w:sz w:val="24"/>
          <w:szCs w:val="24"/>
        </w:rPr>
        <w:t xml:space="preserve"> deaths due to the effects of unsafe drinking water</w:t>
      </w:r>
      <w:r w:rsidR="00484B52">
        <w:rPr>
          <w:rFonts w:ascii="Times New Roman" w:eastAsia="Arial Unicode MS" w:hAnsi="Times New Roman" w:cs="Times New Roman"/>
          <w:sz w:val="24"/>
          <w:szCs w:val="24"/>
        </w:rPr>
        <w:t xml:space="preserve"> </w:t>
      </w:r>
      <w:r w:rsidR="00484B52">
        <w:rPr>
          <w:rFonts w:ascii="Times New Roman" w:eastAsia="Arial Unicode MS" w:hAnsi="Times New Roman" w:cs="Times New Roman"/>
          <w:sz w:val="24"/>
          <w:szCs w:val="24"/>
        </w:rPr>
        <w:fldChar w:fldCharType="begin"/>
      </w:r>
      <w:r w:rsidR="00484B52">
        <w:rPr>
          <w:rFonts w:ascii="Times New Roman" w:eastAsia="Arial Unicode MS" w:hAnsi="Times New Roman" w:cs="Times New Roman"/>
          <w:sz w:val="24"/>
          <w:szCs w:val="24"/>
        </w:rPr>
        <w:instrText xml:space="preserve"> ADDIN ZOTERO_ITEM CSL_CITATION {"citationID":"p0QYiEG7","properties":{"unsorted":false,"formattedCitation":"(Liu et al., 2024)","plainCitation":"(Liu et al., 2024)","noteIndex":0},"citationItems":[{"id":3289,"uris":["http://zotero.org/users/local/8ezhmN7w/items/7AYSAIYM"],"itemData":{"id":3289,"type":"article-journal","abstract":"In 2019, diarrheal diseases were the second leading cause of death in children under five, emphasizing the need to explore water services’ impact on pediatric diarrhea. Data from the Global Burden of Disease Study 2021 and the World Bank were used to analyze the association between drinking water services and diarrhea in children under five across 200 countries. From 2000 to 2021, global diarrheal rates declined by 4.84% annually. Low socio-demographic index (SDI) regions had the highest burden but saw a 5.10% annual reduction, while high SDI regions had a 2.03% decrease. Increased use of basic and safely managed drinking water services generally correlated with reduced diarrhea. However, in high SDI regions, a 1% increase in basic drinking water services was associated with a 26.61% rise in diarrhea incidence. These findings highlight the need for targeted, context-specific strategies to combat childhood diarrheal diseases and achieve the Sustainable Development Goals.","container-title":"Cell Reports Sustainability","DOI":"10.1016/j.crsus.2024.100177","ISSN":"2949-7906","issue":"9","journalAbbreviation":"Cell Reports Sustainability","page":"100177","source":"ScienceDirect","title":"Association of drinking water services with the disease burden of diarrhea in children under five in 200 countries from 2000 to 2021","URL":"https://www.sciencedirect.com/science/article/pii/S2949790624002763","volume":"1","author":[{"family":"Liu","given":"Qiao"},{"family":"Liu","given":"Min"},{"family":"Liu","given":"Jue"}],"accessed":{"date-parts":[["2026",6,23]]},"issued":{"date-parts":[["2024",9,27]]}}}],"schema":"https://github.com/citation-style-language/schema/raw/master/csl-citation.json"} </w:instrText>
      </w:r>
      <w:r w:rsidR="00484B52">
        <w:rPr>
          <w:rFonts w:ascii="Times New Roman" w:eastAsia="Arial Unicode MS" w:hAnsi="Times New Roman" w:cs="Times New Roman"/>
          <w:sz w:val="24"/>
          <w:szCs w:val="24"/>
        </w:rPr>
        <w:fldChar w:fldCharType="separate"/>
      </w:r>
      <w:r w:rsidR="00484B52" w:rsidRPr="00484B52">
        <w:rPr>
          <w:rFonts w:ascii="Times New Roman" w:hAnsi="Times New Roman" w:cs="Times New Roman"/>
          <w:sz w:val="24"/>
        </w:rPr>
        <w:t>(Liu et al., 2024)</w:t>
      </w:r>
      <w:r w:rsidR="00484B52">
        <w:rPr>
          <w:rFonts w:ascii="Times New Roman" w:eastAsia="Arial Unicode MS" w:hAnsi="Times New Roman" w:cs="Times New Roman"/>
          <w:sz w:val="24"/>
          <w:szCs w:val="24"/>
        </w:rPr>
        <w:fldChar w:fldCharType="end"/>
      </w:r>
      <w:r w:rsidR="00DA036B">
        <w:rPr>
          <w:rFonts w:ascii="Times New Roman" w:eastAsia="Arial Unicode MS" w:hAnsi="Times New Roman" w:cs="Times New Roman"/>
          <w:sz w:val="24"/>
          <w:szCs w:val="24"/>
        </w:rPr>
        <w:t>.</w:t>
      </w:r>
    </w:p>
    <w:p w:rsidR="00790F0B" w:rsidRDefault="00B11F23" w:rsidP="00790F0B">
      <w:pPr>
        <w:pStyle w:val="NoSpacing"/>
        <w:spacing w:line="360" w:lineRule="auto"/>
        <w:ind w:firstLine="720"/>
        <w:contextualSpacing/>
        <w:jc w:val="both"/>
        <w:rPr>
          <w:rFonts w:ascii="Times New Roman" w:eastAsia="Arial Unicode MS" w:hAnsi="Times New Roman" w:cs="Times New Roman"/>
          <w:sz w:val="24"/>
          <w:szCs w:val="24"/>
        </w:rPr>
      </w:pPr>
      <w:r w:rsidRPr="00B11F23">
        <w:rPr>
          <w:rFonts w:ascii="Times New Roman" w:eastAsia="Arial Unicode MS" w:hAnsi="Times New Roman" w:cs="Times New Roman"/>
          <w:sz w:val="24"/>
          <w:szCs w:val="24"/>
        </w:rPr>
        <w:t xml:space="preserve">An estimated one million people die each year from </w:t>
      </w:r>
      <w:proofErr w:type="spellStart"/>
      <w:r w:rsidRPr="00B11F23">
        <w:rPr>
          <w:rFonts w:ascii="Times New Roman" w:eastAsia="Arial Unicode MS" w:hAnsi="Times New Roman" w:cs="Times New Roman"/>
          <w:sz w:val="24"/>
          <w:szCs w:val="24"/>
        </w:rPr>
        <w:t>diarrhoea</w:t>
      </w:r>
      <w:proofErr w:type="spellEnd"/>
      <w:r w:rsidRPr="00B11F23">
        <w:rPr>
          <w:rFonts w:ascii="Times New Roman" w:eastAsia="Arial Unicode MS" w:hAnsi="Times New Roman" w:cs="Times New Roman"/>
          <w:sz w:val="24"/>
          <w:szCs w:val="24"/>
        </w:rPr>
        <w:t xml:space="preserve"> due to the consumption of unsafe drinking water and improper sanitation and hygiene. 39</w:t>
      </w:r>
      <w:r w:rsidR="003511D0">
        <w:rPr>
          <w:rFonts w:ascii="Times New Roman" w:eastAsia="Arial Unicode MS" w:hAnsi="Times New Roman" w:cs="Times New Roman"/>
          <w:sz w:val="24"/>
          <w:szCs w:val="24"/>
        </w:rPr>
        <w:t>,</w:t>
      </w:r>
      <w:r w:rsidRPr="00B11F23">
        <w:rPr>
          <w:rFonts w:ascii="Times New Roman" w:eastAsia="Arial Unicode MS" w:hAnsi="Times New Roman" w:cs="Times New Roman"/>
          <w:sz w:val="24"/>
          <w:szCs w:val="24"/>
        </w:rPr>
        <w:t>500 of the estimated deaths are children under five</w:t>
      </w:r>
      <w:r w:rsidR="00DA036B">
        <w:rPr>
          <w:rFonts w:ascii="Times New Roman" w:eastAsia="Arial Unicode MS" w:hAnsi="Times New Roman" w:cs="Times New Roman"/>
          <w:sz w:val="24"/>
          <w:szCs w:val="24"/>
        </w:rPr>
        <w:t xml:space="preserve"> </w:t>
      </w:r>
      <w:r w:rsidR="00DA036B">
        <w:rPr>
          <w:rFonts w:ascii="Times New Roman" w:eastAsia="Arial Unicode MS" w:hAnsi="Times New Roman" w:cs="Times New Roman"/>
          <w:sz w:val="24"/>
          <w:szCs w:val="24"/>
        </w:rPr>
        <w:fldChar w:fldCharType="begin"/>
      </w:r>
      <w:r w:rsidR="00DA036B">
        <w:rPr>
          <w:rFonts w:ascii="Times New Roman" w:eastAsia="Arial Unicode MS" w:hAnsi="Times New Roman" w:cs="Times New Roman"/>
          <w:sz w:val="24"/>
          <w:szCs w:val="24"/>
        </w:rPr>
        <w:instrText xml:space="preserve"> ADDIN ZOTERO_ITEM CSL_CITATION {"citationID":"nIvriUrr","properties":{"unsorted":false,"formattedCitation":"(Zeng et al., 2024)","plainCitation":"(Zeng et al., 2024)","noteIndex":0},"citationItems":[{"id":3292,"uris":["http://zotero.org/users/local/8ezhmN7w/items/7ASQP46I"],"itemData":{"id":3292,"type":"article-journal","abstract":"Background\nWater, sanitation, and hygiene (WaSH) are crucial determinants of human health. However, the spatio-temporal trends in the global burden of disease attributable to unsafe WaSH remain poorly understood. This study aimed to estimate the disease burden attributable to unsafe WaSH from 1990 to 2019 using data from the Global Burden of Disease (GBD) Study 2019, providing new insights into the associated health conditions.\n\nMethods\nWe extracted data on deaths and disability-adjusted life years (DALYs) attributable to unsafe WaSH from 1990 to 2019 from the GBD 2019. The disease burden was evaluated by region, sociodemographic index (SDI), sex, age, risk factor, and specific disease.\n\nResults\nGlobally, unsafe WaSH was responsible for 1 656 887.37 (95% uncertainty interval (UI) = 1 198 864.94, 2 312 688.33) deaths in 2019, a 49% decrease from 1990. The global age-standardised DALY rate due to unsafe WaSH was 1244.29 (95% UI = 993.20, 1544.13) per 100 000 in 2019, a 66% reduction since 1990. Western sub-Saharan Africa had the highest age-standardised death rate (ASDR) and age-standardised DALY rate in both 1990 and 2019. Among the 21 regions studied, only high-income North America witnessed an increasing ASDR from 1990 to 2019. Countries and territories in low SDI regions had higher ASDRs and age-standardised DALY rates. U-shaped associations were observed between the estimated annual percentage change (EAPC) of ASDR, EAPC of age-standardised DALY rate, and SDI. Both rates were slightly lower in females, with the burden concentrated in those under five and over 80 years old. In 2019, unsafe water source and diarrhoeal diseases remained the leading risk factor and cause of unsafe WaSH-related disease burden, respectively.\n\nConclusions\nDespite substantial improvements in hygiene awareness and health education, unsafe WaSH persists as a significant global health risk and a major contributor to the burden of diarrhoeal diseases. Disparities across regions and age groups remain evident. Increased efforts are needed to raise awareness and strengthen water and sanitation infrastructure, particularly in low SDI settings, to mitigate the health risks associated with unsafe WaSH.","container-title":"Journal of Global Health","DOI":"10.7189/jogh.14.04162","ISSN":"2047-2978","journalAbbreviation":"J Glob Health","page":"04162","PMID":"39175336","PMCID":"PMC11342018","source":"PubMed Central","title":"The global disease burden attributable to unsafe water, sanitation, and handwashing with unqualified facilities from 1990 to 2019","URL":"https://pmc.ncbi.nlm.nih.gov/articles/PMC11342018/","volume":"14","author":[{"family":"Zeng","given":"Hui"},{"family":"Gan","given":"Hui"},{"family":"Liu","given":"Yuanru"},{"family":"Sun","given":"Baoqing"}],"accessed":{"date-parts":[["2026",6,23]]},"issued":{"date-parts":[["2024",8,23]]}}}],"schema":"https://github.com/citation-style-language/schema/raw/master/csl-citation.json"} </w:instrText>
      </w:r>
      <w:r w:rsidR="00DA036B">
        <w:rPr>
          <w:rFonts w:ascii="Times New Roman" w:eastAsia="Arial Unicode MS" w:hAnsi="Times New Roman" w:cs="Times New Roman"/>
          <w:sz w:val="24"/>
          <w:szCs w:val="24"/>
        </w:rPr>
        <w:fldChar w:fldCharType="separate"/>
      </w:r>
      <w:r w:rsidR="00DA036B" w:rsidRPr="00DA036B">
        <w:rPr>
          <w:rFonts w:ascii="Times New Roman" w:hAnsi="Times New Roman" w:cs="Times New Roman"/>
          <w:sz w:val="24"/>
        </w:rPr>
        <w:t>(Zeng et al., 2024)</w:t>
      </w:r>
      <w:r w:rsidR="00DA036B">
        <w:rPr>
          <w:rFonts w:ascii="Times New Roman" w:eastAsia="Arial Unicode MS" w:hAnsi="Times New Roman" w:cs="Times New Roman"/>
          <w:sz w:val="24"/>
          <w:szCs w:val="24"/>
        </w:rPr>
        <w:fldChar w:fldCharType="end"/>
      </w:r>
      <w:r w:rsidRPr="00B11F23">
        <w:rPr>
          <w:rFonts w:ascii="Times New Roman" w:eastAsia="Arial Unicode MS" w:hAnsi="Times New Roman" w:cs="Times New Roman"/>
          <w:sz w:val="24"/>
          <w:szCs w:val="24"/>
        </w:rPr>
        <w:t xml:space="preserve">. These are preventable deaths </w:t>
      </w:r>
      <w:r w:rsidR="00FE24AC">
        <w:rPr>
          <w:rFonts w:ascii="Times New Roman" w:eastAsia="Arial Unicode MS" w:hAnsi="Times New Roman" w:cs="Times New Roman"/>
          <w:sz w:val="24"/>
          <w:szCs w:val="24"/>
        </w:rPr>
        <w:t>that narrow when access to safe drinking water is widen</w:t>
      </w:r>
      <w:r w:rsidRPr="00B11F23">
        <w:rPr>
          <w:rFonts w:ascii="Times New Roman" w:eastAsia="Arial Unicode MS" w:hAnsi="Times New Roman" w:cs="Times New Roman"/>
          <w:sz w:val="24"/>
          <w:szCs w:val="24"/>
        </w:rPr>
        <w:t>ed. Additionally, 8-15% of maternal mortality in middle</w:t>
      </w:r>
      <w:r w:rsidR="00FE24AC">
        <w:rPr>
          <w:rFonts w:ascii="Times New Roman" w:eastAsia="Arial Unicode MS" w:hAnsi="Times New Roman" w:cs="Times New Roman"/>
          <w:sz w:val="24"/>
          <w:szCs w:val="24"/>
        </w:rPr>
        <w:t>-</w:t>
      </w:r>
      <w:r w:rsidRPr="00B11F23">
        <w:rPr>
          <w:rFonts w:ascii="Times New Roman" w:eastAsia="Arial Unicode MS" w:hAnsi="Times New Roman" w:cs="Times New Roman"/>
          <w:sz w:val="24"/>
          <w:szCs w:val="24"/>
        </w:rPr>
        <w:t xml:space="preserve"> and low-income countries is linked to improper sanitation and hygienic conditions</w:t>
      </w:r>
      <w:r w:rsidR="00FE6899">
        <w:rPr>
          <w:rFonts w:ascii="Times New Roman" w:eastAsia="Arial Unicode MS" w:hAnsi="Times New Roman" w:cs="Times New Roman"/>
          <w:sz w:val="24"/>
          <w:szCs w:val="24"/>
        </w:rPr>
        <w:t xml:space="preserve"> </w:t>
      </w:r>
      <w:r w:rsidR="00FE6899">
        <w:rPr>
          <w:rFonts w:ascii="Times New Roman" w:eastAsia="Arial Unicode MS" w:hAnsi="Times New Roman" w:cs="Times New Roman"/>
          <w:sz w:val="24"/>
          <w:szCs w:val="24"/>
        </w:rPr>
        <w:fldChar w:fldCharType="begin"/>
      </w:r>
      <w:r w:rsidR="00FE6899">
        <w:rPr>
          <w:rFonts w:ascii="Times New Roman" w:eastAsia="Arial Unicode MS" w:hAnsi="Times New Roman" w:cs="Times New Roman"/>
          <w:sz w:val="24"/>
          <w:szCs w:val="24"/>
        </w:rPr>
        <w:instrText xml:space="preserve"> ADDIN ZOTERO_ITEM CSL_CITATION {"citationID":"zGvIUqhf","properties":{"unsorted":false,"formattedCitation":"(Arowosegbe et al., 2021)","plainCitation":"(Arowosegbe et al., 2021)","noteIndex":0},"citationItems":[{"id":3295,"uris":["http://zotero.org/users/local/8ezhmN7w/items/U9URJJGX"],"itemData":{"id":3295,"type":"article-journal","abstract":"Background\nPoor environmental conditions and hygiene practices at the time of childbirth is linked to life-threatening infections and death in mothers and babies. Improvements in water, sanitation, and hygiene (WASH) have been identified as a means through which the lives of mothers and babies could be saved. This study was carried out to explore WASH conditions and infection prevention and control (IPC) practices in traditional birth homes/centers in Abeokuta, Southwest Nigeria. A total of 50 traditional birth centers and attendants (TBAs) were enrolled in the study. Sociodemographic characteristics of the TBAs and features of the birth centers were obtained using a semi-structured questionnaire. Assessment of WASH conditions and IPC practices was based on established protocols.\n\nResults\nFindings revealed that majority of the centers operated under poor WASH conditions and IPC practices; none met with the WHO minimum standards for environmental health.\n\nConclusions\nAdequate WASH facilities and IPC practices remain a critical component of maternal and child health even in non-facility birth. As the transition to facility births continues in many countries, the large number of non-facility births demands their inclusion in WASH-related strategies, if global goals of reducing deaths of newborns and women deaths will be achieved.","container-title":"BMC Health Services Research","DOI":"10.1186/s12913-021-06911-5","ISSN":"1472-6963","journalAbbreviation":"BMC Health Serv Res","page":"912","PMID":"34479549","PMCID":"PMC8417956","source":"PubMed Central","title":"Water, sanitation, and hygiene (WASH) facilities and infection control/prevention practices in traditional birth homes in Southwest Nigeria","URL":"https://pmc.ncbi.nlm.nih.gov/articles/PMC8417956/","volume":"21","author":[{"family":"Arowosegbe","given":"Adediwura Oladunni"},{"family":"Ojo","given":"David Ajiboye"},{"family":"Shittu","given":"Olufunke Bolatito"},{"family":"Iwaloye","given":"Opeoluwa"},{"family":"Ekpo","given":"Uwem Friday"}],"accessed":{"date-parts":[["2026",6,23]]},"issued":{"date-parts":[["2021",9,3]]}}}],"schema":"https://github.com/citation-style-language/schema/raw/master/csl-citation.json"} </w:instrText>
      </w:r>
      <w:r w:rsidR="00FE6899">
        <w:rPr>
          <w:rFonts w:ascii="Times New Roman" w:eastAsia="Arial Unicode MS" w:hAnsi="Times New Roman" w:cs="Times New Roman"/>
          <w:sz w:val="24"/>
          <w:szCs w:val="24"/>
        </w:rPr>
        <w:fldChar w:fldCharType="separate"/>
      </w:r>
      <w:r w:rsidR="00FE6899" w:rsidRPr="00FE6899">
        <w:rPr>
          <w:rFonts w:ascii="Times New Roman" w:hAnsi="Times New Roman" w:cs="Times New Roman"/>
          <w:sz w:val="24"/>
        </w:rPr>
        <w:t>(Arowosegbe et al., 2021)</w:t>
      </w:r>
      <w:r w:rsidR="00FE6899">
        <w:rPr>
          <w:rFonts w:ascii="Times New Roman" w:eastAsia="Arial Unicode MS" w:hAnsi="Times New Roman" w:cs="Times New Roman"/>
          <w:sz w:val="24"/>
          <w:szCs w:val="24"/>
        </w:rPr>
        <w:fldChar w:fldCharType="end"/>
      </w:r>
      <w:r w:rsidRPr="00B11F23">
        <w:rPr>
          <w:rFonts w:ascii="Times New Roman" w:eastAsia="Arial Unicode MS" w:hAnsi="Times New Roman" w:cs="Times New Roman"/>
          <w:sz w:val="24"/>
          <w:szCs w:val="24"/>
        </w:rPr>
        <w:t>. Approximately 2 billion people depend on healthcare facilities that lack basic water services</w:t>
      </w:r>
      <w:r w:rsidR="0040286C">
        <w:rPr>
          <w:rFonts w:ascii="Times New Roman" w:eastAsia="Arial Unicode MS" w:hAnsi="Times New Roman" w:cs="Times New Roman"/>
          <w:sz w:val="24"/>
          <w:szCs w:val="24"/>
        </w:rPr>
        <w:t xml:space="preserve"> </w:t>
      </w:r>
      <w:r w:rsidR="0040286C">
        <w:rPr>
          <w:rFonts w:ascii="Times New Roman" w:eastAsia="Arial Unicode MS" w:hAnsi="Times New Roman" w:cs="Times New Roman"/>
          <w:sz w:val="24"/>
          <w:szCs w:val="24"/>
        </w:rPr>
        <w:fldChar w:fldCharType="begin"/>
      </w:r>
      <w:r w:rsidR="0040286C">
        <w:rPr>
          <w:rFonts w:ascii="Times New Roman" w:eastAsia="Arial Unicode MS" w:hAnsi="Times New Roman" w:cs="Times New Roman"/>
          <w:sz w:val="24"/>
          <w:szCs w:val="24"/>
        </w:rPr>
        <w:instrText xml:space="preserve"> ADDIN ZOTERO_ITEM CSL_CITATION {"citationID":"SWzjldWu","properties":{"unsorted":false,"formattedCitation":"(WHO, 2020)","plainCitation":"(WHO, 2020)","noteIndex":0},"citationItems":[{"id":3298,"uris":["http://zotero.org/users/local/8ezhmN7w/items/RSLN4ULS"],"itemData":{"id":3298,"type":"webpage","abstract":"Lack of water puts health care workers and patients at higher risk of COVID-19 infectionAround 1.8 billion people are at heightened risk of COVID-19 and other diseases because they use or work in health care facilities without basic water services, warn WHO and UNICEF. “Working in a health care facility without water, sanitation and hygiene is akin to sending nurses and doctors to work without personal protective equipment” said Dr Tedros Adhanom Ghebreyesus, WHO Director-General. “Water supply, sanitation and hygiene in health care facilities are fundamental to stopping COVID-19. But there are still major gaps to overcome, particularly in least developed countries.” The report, Fundamentals first: Universal water, sanitation, and hygiene services in health care facilities for safe, quality care, comes as COVID-19 is exposing key vulnerabilities within  health systems, including inadequate infection prevention and control.Water, sanitation and hygiene (WASH) are vital to the safety of health workers and patients yet provision of  these  services is not prioritized. Worldwide, 1 in 4 health care facilities has no water services, 1 in 3 does not have access to hand hygiene where care is provided, 1 in 10 has no sanitation services*, and 1 in 3 does not segregate waste safely. “Sending healthcare workers and people in need of treatment to facilities without clean water, safe toilets, or even soap puts their lives at risk,” said UNICEF Executive Director Henrietta Fore. “This was certainly true before the COVID-19 pandemic, but this year has made these disparities impossible to ignore. As we reimagine and shape a post-COVID world, making sure we are sending children and mothers to places of care equipped with adequate water, sanitation and hygiene services is not merely something we can and should do. It is an absolute must.”The situation is worst of all in the world’s 47 Least Developed Countries (LDCs): 1 in 2 health care facilities does not have basic drinking water, 1 in 4 health care facilities has no hand hygiene facilities at points of care; and 3 in 5 lack basic sanitation services. But this can be fixed. The report’s preliminary estimates indicate that it would cost roughly USD 1 per capita to enable all 47 LDCs to establish basic water service in health facilities. On average, USD 0.20 per capita is needed each year to operate and maintain services.According to the report, immediate, incremental investments in WASH have big returns: improving hygiene in health care facilities is a “best buy” for tackling antimicrobial resistance. It  reduces health care costs because it reduces health-care associated infections (which are costly to treat). It saves time as health workers do not have to search for water for hand hygiene. Better hygiene also increases uptake of services. This all adds up to a return of USD 1.5 for every dollar invested. These services are especially critical for vulnerable populations, including pregnant mothers, newborns and children. Improving WASH services in health care facilities is particularly important around childbirth when far too many mothers and newborns suffer and die, including from preventable conditions like sepsis. Better WASH services could save a million pregnant women and newborns’ lives and reduce still-births. The report provides four main recommendations:Implement costed national roadmaps with appropriate financing;Monitor and regularly review progress in improving WASH services, practices and the enabling environment;Develop capacities of health workforce to sustain WASH services and promote and practice good hygiene;Integrate WASH into regular health sector planning, budgeting, and programming, including COVID-19 response and recovery efforts to deliver quality services.Global WASH and health partners have shown their support for meeting global and country WASH in health care facility targets. By 2020, over 130 partners have committed resources, of which 34 have made dedicated financial commitments totalling USD125 million. Nevertheless, implementation of the 2019 World Health Assembly Resolution on WASH in health care facilities is uneven. Of the nearly 50 countries for which WHO and UNICEF have data, 86 per cent have updated standards and 70 per cent have conducted initial assessments which show that these areas are generally on track. Yet just a third of countries have costed national WASH in health care facility roadmaps and only 10 per cent have included WASH indicators in national health systems monitoring.More catalytic global funding, technical support, and domestic resourcing is needed to keep health care workers and patients safe and protected. Now, an opportunity exists to build on existing efforts and commitments and integrate WASH in health care facilities in all national COVID-19 plans, vaccine distribution and economic recovery packages.“For millions of healthcare workers across the world, water is PPE”, said Jennifer Sara, Global Director for Water at the World Bank Group. “It is essential that financing keeps flowing to bring water and sanitation services to those battling the COVID crisis on the frontlines. Funding WASH in healthcare facilities is among the most cost-effective investments that governments can make.”Data published by WHO in October indicates that COVID-19 infections among health care workers are far greater than those in the general population: Health care workers represent less than 3 per cent of the population, but account for 14 per cent of global COVID-19 cases reported to WHO. Ensuring health care workers have the basic WASH necessities to keep themselves,  their patients, their families and children safe - is imperative.“Millions have no option but to seek care from the 50% of health care facilities in the developing world which don’t have clean water on the premises. This cannot continue. Every day both healthcare workers’ and patients’ lives are being put at risk,” saidTim Wainwright, Chief Executive at international charity WaterAid. “Without frontline health workers being able to wash their hands; provide their patients with clean water; or have somewhere decent to go to the toilet, a hospital is not a hospital at all - it’s a breeding ground for disease.” Note to Editors:The data in this year’s report include statistics for 165 countries, from surveys representing 760,000 facilities. Compared to last year’s baseline report, estimates were available for 125 countries with data from surveys representing 560,000 facilities.  The data on county progress in implementing the World Health Assembly Resolution represent 47 countries. It is the first time these data have been compiled and analyzed.Sanitation services are measures taken to ensure the hygienic management of excreta along all stages of the sanitation chain: capture, containment, emptying, transport, treatment and safe disposal.About the World Health Organization The World Health Organization provides global leadership in public health within the United Nations system. Founded in 1948, WHO works with 194 Member States, across six regions and from more than 150 offices, to promote health, keep the world safe and serve the vulnerable. Our goal for 2019-2023 is to ensure that a billion more people have universal health coverage, to protect a billion more people from health emergencies, and provide a further billion people with better health and wellbeing.  For updates on COVID-19 and public health advice to protect yourself from coronavirus. Visit www.who.int and follow WHO on Twitter, Facebook, Instagram, LinkedIn, TikTok, Pinterest, Snapchat, YouTube.About UNICEFUNICEF works in some of the world’s toughest places, to reach the world’s most disadvantaged children. Across more than 190 countries and territories, we work for every child, everywhere, to build a better world for everyone.Follow UNICEF on Twitter and Facebook","language":"en","title":"Almost 2 billion people depend on health care facilities without basic water services – WHO, UNICEF","URL":"https://www.who.int/news/item/14-12-2020-almost-2-billion-people-depend-on-health-care-facilities-without-basic-water-services-who-unicef","author":[{"family":"WHO","given":""}],"accessed":{"date-parts":[["2026",6,23]]},"issued":{"date-parts":[["2020",12,14]]}}}],"schema":"https://github.com/citation-style-language/schema/raw/master/csl-citation.json"} </w:instrText>
      </w:r>
      <w:r w:rsidR="0040286C">
        <w:rPr>
          <w:rFonts w:ascii="Times New Roman" w:eastAsia="Arial Unicode MS" w:hAnsi="Times New Roman" w:cs="Times New Roman"/>
          <w:sz w:val="24"/>
          <w:szCs w:val="24"/>
        </w:rPr>
        <w:fldChar w:fldCharType="separate"/>
      </w:r>
      <w:r w:rsidR="0040286C" w:rsidRPr="0040286C">
        <w:rPr>
          <w:rFonts w:ascii="Times New Roman" w:hAnsi="Times New Roman" w:cs="Times New Roman"/>
          <w:sz w:val="24"/>
        </w:rPr>
        <w:t>(WHO, 2020)</w:t>
      </w:r>
      <w:r w:rsidR="0040286C">
        <w:rPr>
          <w:rFonts w:ascii="Times New Roman" w:eastAsia="Arial Unicode MS" w:hAnsi="Times New Roman" w:cs="Times New Roman"/>
          <w:sz w:val="24"/>
          <w:szCs w:val="24"/>
        </w:rPr>
        <w:fldChar w:fldCharType="end"/>
      </w:r>
      <w:r w:rsidRPr="00B11F23">
        <w:rPr>
          <w:rFonts w:ascii="Times New Roman" w:eastAsia="Arial Unicode MS" w:hAnsi="Times New Roman" w:cs="Times New Roman"/>
          <w:sz w:val="24"/>
          <w:szCs w:val="24"/>
        </w:rPr>
        <w:t>.</w:t>
      </w:r>
      <w:r w:rsidR="00D06E6D" w:rsidRPr="00D06E6D">
        <w:rPr>
          <w:rFonts w:ascii="Times New Roman" w:eastAsia="Arial Unicode MS" w:hAnsi="Times New Roman" w:cs="Times New Roman"/>
          <w:sz w:val="24"/>
          <w:szCs w:val="24"/>
        </w:rPr>
        <w:t xml:space="preserve"> A study conducted by </w:t>
      </w:r>
      <w:proofErr w:type="spellStart"/>
      <w:r w:rsidR="00D06E6D" w:rsidRPr="00D06E6D">
        <w:rPr>
          <w:rFonts w:ascii="Times New Roman" w:eastAsia="Arial Unicode MS" w:hAnsi="Times New Roman" w:cs="Times New Roman"/>
          <w:sz w:val="24"/>
          <w:szCs w:val="24"/>
        </w:rPr>
        <w:t>Oberly</w:t>
      </w:r>
      <w:proofErr w:type="spellEnd"/>
      <w:r w:rsidR="00D06E6D" w:rsidRPr="00D06E6D">
        <w:rPr>
          <w:rFonts w:ascii="Times New Roman" w:eastAsia="Arial Unicode MS" w:hAnsi="Times New Roman" w:cs="Times New Roman"/>
          <w:sz w:val="24"/>
          <w:szCs w:val="24"/>
        </w:rPr>
        <w:t xml:space="preserve"> and </w:t>
      </w:r>
      <w:proofErr w:type="spellStart"/>
      <w:r w:rsidR="00D06E6D" w:rsidRPr="00D06E6D">
        <w:rPr>
          <w:rFonts w:ascii="Times New Roman" w:eastAsia="Arial Unicode MS" w:hAnsi="Times New Roman" w:cs="Times New Roman"/>
          <w:sz w:val="24"/>
          <w:szCs w:val="24"/>
        </w:rPr>
        <w:t>Kehnel</w:t>
      </w:r>
      <w:proofErr w:type="spellEnd"/>
      <w:r w:rsidR="00D06E6D" w:rsidRPr="00D06E6D">
        <w:rPr>
          <w:rFonts w:ascii="Times New Roman" w:eastAsia="Arial Unicode MS" w:hAnsi="Times New Roman" w:cs="Times New Roman"/>
          <w:sz w:val="24"/>
          <w:szCs w:val="24"/>
        </w:rPr>
        <w:t xml:space="preserve"> (2026) on contributing factors to </w:t>
      </w:r>
      <w:r w:rsidR="00FE24AC">
        <w:rPr>
          <w:rFonts w:ascii="Times New Roman" w:eastAsia="Arial Unicode MS" w:hAnsi="Times New Roman" w:cs="Times New Roman"/>
          <w:sz w:val="24"/>
          <w:szCs w:val="24"/>
        </w:rPr>
        <w:t>unsafe drinking water consumption</w:t>
      </w:r>
      <w:r w:rsidR="00D06E6D" w:rsidRPr="00D06E6D">
        <w:rPr>
          <w:rFonts w:ascii="Times New Roman" w:eastAsia="Arial Unicode MS" w:hAnsi="Times New Roman" w:cs="Times New Roman"/>
          <w:sz w:val="24"/>
          <w:szCs w:val="24"/>
        </w:rPr>
        <w:t xml:space="preserve"> in Liberia shows that </w:t>
      </w:r>
      <w:r w:rsidR="001B743C">
        <w:rPr>
          <w:rFonts w:ascii="Times New Roman" w:eastAsia="Arial Unicode MS" w:hAnsi="Times New Roman" w:cs="Times New Roman"/>
          <w:sz w:val="24"/>
          <w:szCs w:val="24"/>
        </w:rPr>
        <w:t>poor sanitation and exposed well systems</w:t>
      </w:r>
      <w:r w:rsidR="00D06E6D" w:rsidRPr="00D06E6D">
        <w:rPr>
          <w:rFonts w:ascii="Times New Roman" w:eastAsia="Arial Unicode MS" w:hAnsi="Times New Roman" w:cs="Times New Roman"/>
          <w:sz w:val="24"/>
          <w:szCs w:val="24"/>
        </w:rPr>
        <w:t xml:space="preserve"> often lead to groundwater contamination</w:t>
      </w:r>
      <w:r w:rsidR="00D06E6D">
        <w:rPr>
          <w:rFonts w:ascii="Times New Roman" w:eastAsia="Arial Unicode MS" w:hAnsi="Times New Roman" w:cs="Times New Roman"/>
          <w:sz w:val="24"/>
          <w:szCs w:val="24"/>
        </w:rPr>
        <w:t xml:space="preserve"> </w:t>
      </w:r>
      <w:r w:rsidR="00D06E6D">
        <w:rPr>
          <w:rFonts w:ascii="Times New Roman" w:eastAsia="Arial Unicode MS" w:hAnsi="Times New Roman" w:cs="Times New Roman"/>
          <w:sz w:val="24"/>
          <w:szCs w:val="24"/>
        </w:rPr>
        <w:fldChar w:fldCharType="begin"/>
      </w:r>
      <w:r w:rsidR="00CF167A">
        <w:rPr>
          <w:rFonts w:ascii="Times New Roman" w:eastAsia="Arial Unicode MS" w:hAnsi="Times New Roman" w:cs="Times New Roman"/>
          <w:sz w:val="24"/>
          <w:szCs w:val="24"/>
        </w:rPr>
        <w:instrText xml:space="preserve"> ADDIN ZOTERO_ITEM CSL_CITATION {"citationID":"aSN5FLPn","properties":{"unsorted":false,"formattedCitation":"(Oberly &amp; Dave Wuo Kehnel, 2026)","plainCitation":"(Oberly &amp; Dave Wuo Kehnel, 2026)","dontUpdate":true,"noteIndex":0},"citationItems":[{"id":3281,"uris":["http://zotero.org/users/local/8ezhmN7w/items/JJ7YQWCX"],"itemData":{"id":3281,"type":"article-journal","abstract":"Introduction: About 70% of the population of Liberia do not have access to safe and managed drinking water. In Monrovia, exposed wells and poor sanitation systems often lead to the contamination of gr","container-title":"International Journal of Research and Innovation in Social Science","DOI":"10.47772/IJRISS.2026.100300192","ISSN":"2454-6186","issue":"3","journalAbbreviation":"IJRISS","language":"en","page":"2669-2676","publisher":"RSIS International","source":"rsisinternational.org","title":"Factors Contributing to the Consumption of Unsafe Drinking Water in Liberia: A Case Study of Stephen A. Tolbert Estate, Monrovia.","title-short":"Factors Contributing to the Consumption of Unsafe Drinking Water in Liberia","URL":"https://rsisinternational.org/journals/ijriss/view/factors-contributing-to-the-consumption-of-unsafe-drinking-water-in-liberia-a-case-study-of-stephen-a-tolbert-estate-monrovia","volume":"10","author":[{"family":"Oberly","given":"Princess"},{"family":"Dave Wuo Kehnel","given":"Jr"}],"accessed":{"date-parts":[["2026",6,23]]},"issued":{"date-parts":[["2026",3,31]]}}}],"schema":"https://github.com/citation-style-language/schema/raw/master/csl-citation.json"} </w:instrText>
      </w:r>
      <w:r w:rsidR="00D06E6D">
        <w:rPr>
          <w:rFonts w:ascii="Times New Roman" w:eastAsia="Arial Unicode MS" w:hAnsi="Times New Roman" w:cs="Times New Roman"/>
          <w:sz w:val="24"/>
          <w:szCs w:val="24"/>
        </w:rPr>
        <w:fldChar w:fldCharType="separate"/>
      </w:r>
      <w:r w:rsidR="00D06E6D">
        <w:rPr>
          <w:rFonts w:ascii="Times New Roman" w:hAnsi="Times New Roman" w:cs="Times New Roman"/>
          <w:sz w:val="24"/>
        </w:rPr>
        <w:t xml:space="preserve">(Oberly &amp; </w:t>
      </w:r>
      <w:r w:rsidR="00D06E6D" w:rsidRPr="00D06E6D">
        <w:rPr>
          <w:rFonts w:ascii="Times New Roman" w:hAnsi="Times New Roman" w:cs="Times New Roman"/>
          <w:sz w:val="24"/>
        </w:rPr>
        <w:t>Kehnel, 2026)</w:t>
      </w:r>
      <w:r w:rsidR="00D06E6D">
        <w:rPr>
          <w:rFonts w:ascii="Times New Roman" w:eastAsia="Arial Unicode MS" w:hAnsi="Times New Roman" w:cs="Times New Roman"/>
          <w:sz w:val="24"/>
          <w:szCs w:val="24"/>
        </w:rPr>
        <w:fldChar w:fldCharType="end"/>
      </w:r>
      <w:r w:rsidR="00D06E6D" w:rsidRPr="00D06E6D">
        <w:rPr>
          <w:rFonts w:ascii="Times New Roman" w:eastAsia="Arial Unicode MS" w:hAnsi="Times New Roman" w:cs="Times New Roman"/>
          <w:sz w:val="24"/>
          <w:szCs w:val="24"/>
        </w:rPr>
        <w:t>.</w:t>
      </w:r>
    </w:p>
    <w:p w:rsidR="00790F0B" w:rsidRDefault="00672F3A" w:rsidP="00790F0B">
      <w:pPr>
        <w:pStyle w:val="NoSpacing"/>
        <w:spacing w:line="360" w:lineRule="auto"/>
        <w:ind w:firstLine="720"/>
        <w:contextualSpacing/>
        <w:jc w:val="both"/>
        <w:rPr>
          <w:rFonts w:ascii="Times New Roman" w:eastAsia="Arial Unicode MS" w:hAnsi="Times New Roman" w:cs="Times New Roman"/>
          <w:sz w:val="24"/>
          <w:szCs w:val="24"/>
        </w:rPr>
      </w:pPr>
      <w:r w:rsidRPr="00672F3A">
        <w:rPr>
          <w:rFonts w:ascii="Times New Roman" w:eastAsia="Arial Unicode MS" w:hAnsi="Times New Roman" w:cs="Times New Roman"/>
          <w:sz w:val="24"/>
          <w:szCs w:val="24"/>
        </w:rPr>
        <w:lastRenderedPageBreak/>
        <w:t xml:space="preserve">According to the United Nations, ensuring the availability </w:t>
      </w:r>
      <w:r>
        <w:rPr>
          <w:rFonts w:ascii="Times New Roman" w:eastAsia="Arial Unicode MS" w:hAnsi="Times New Roman" w:cs="Times New Roman"/>
          <w:sz w:val="24"/>
          <w:szCs w:val="24"/>
        </w:rPr>
        <w:t>and sustainability of clean and manageable water and sanitation for all by 2030 is key to achieving Sustainable Development Goal</w:t>
      </w:r>
      <w:r w:rsidRPr="00672F3A">
        <w:rPr>
          <w:rFonts w:ascii="Times New Roman" w:eastAsia="Arial Unicode MS" w:hAnsi="Times New Roman" w:cs="Times New Roman"/>
          <w:sz w:val="24"/>
          <w:szCs w:val="24"/>
        </w:rPr>
        <w:t xml:space="preserve"> 6. </w:t>
      </w:r>
      <w:r>
        <w:rPr>
          <w:rFonts w:ascii="Times New Roman" w:eastAsia="Arial Unicode MS" w:hAnsi="Times New Roman" w:cs="Times New Roman"/>
          <w:sz w:val="24"/>
          <w:szCs w:val="24"/>
        </w:rPr>
        <w:t xml:space="preserve">These goals do not </w:t>
      </w:r>
      <w:proofErr w:type="spellStart"/>
      <w:r w:rsidR="00FE24AC">
        <w:rPr>
          <w:rFonts w:ascii="Times New Roman" w:eastAsia="Arial Unicode MS" w:hAnsi="Times New Roman" w:cs="Times New Roman"/>
          <w:sz w:val="24"/>
          <w:szCs w:val="24"/>
        </w:rPr>
        <w:t>centre</w:t>
      </w:r>
      <w:proofErr w:type="spellEnd"/>
      <w:r w:rsidR="00FE24AC">
        <w:rPr>
          <w:rFonts w:ascii="Times New Roman" w:eastAsia="Arial Unicode MS" w:hAnsi="Times New Roman" w:cs="Times New Roman"/>
          <w:sz w:val="24"/>
          <w:szCs w:val="24"/>
        </w:rPr>
        <w:t xml:space="preserve"> solely on access to basic drinking water; they also encompass the entire water cycle, including pollution and the protection of</w:t>
      </w:r>
      <w:r w:rsidRPr="00672F3A">
        <w:rPr>
          <w:rFonts w:ascii="Times New Roman" w:eastAsia="Arial Unicode MS" w:hAnsi="Times New Roman" w:cs="Times New Roman"/>
          <w:sz w:val="24"/>
          <w:szCs w:val="24"/>
        </w:rPr>
        <w:t xml:space="preserve"> water ecosystems</w:t>
      </w:r>
      <w:r>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fldChar w:fldCharType="begin"/>
      </w:r>
      <w:r>
        <w:rPr>
          <w:rFonts w:ascii="Times New Roman" w:eastAsia="Arial Unicode MS" w:hAnsi="Times New Roman" w:cs="Times New Roman"/>
          <w:sz w:val="24"/>
          <w:szCs w:val="24"/>
        </w:rPr>
        <w:instrText xml:space="preserve"> ADDIN ZOTERO_ITEM CSL_CITATION {"citationID":"DU8A4zId","properties":{"unsorted":false,"formattedCitation":"(Singh &amp; Jayaram, 2022)","plainCitation":"(Singh &amp; Jayaram, 2022)","noteIndex":0},"citationItems":[{"id":3300,"uris":["http://zotero.org/users/local/8ezhmN7w/items/C84UNB6Q"],"itemData":{"id":3300,"type":"article-journal","abstract":"One-fourth of the global population is without basic drinking water and half of the global population lacks sanitation facilities. The attainment of water and sanitation targets is difficult due to administrative, operational, political, transborder, technical, and policy challenges. Conducted after 5 years from the adoption of sustainable development goals by the United Nations reviews the initiatives for improving access, quality, and affordability of water and sanitation. The bibliometric and thematic analyses are conducted to consolidate the outcomes of scientific papers on sustainable development goal 6 (SDG 6). Africa is struggling in relation with water and sanitation goals, having 17 countries with less than 40% basic drinking water facilities and 16 countries with less than 40% basic sanitation facilities. Globally, the attainment of water and sanitation goals will be depended on economic development, the development of revolutionary measures for wastewater treatment, and creating awareness related to water usage, water recycling, water harvesting, hygiene, and sanitation. Behavioral changes are also required for a new water culture and the attainment of water and sanitation goals by 2030.","container-title":"Sustainable Water Resources Management","DOI":"10.1007/s40899-022-00719-9","ISSN":"2363-5037","issue":"5","journalAbbreviation":"Sustain Water Resour Manag","page":"146","PMID":"36033358","PMCID":"PMC9396604","source":"PubMed Central","title":"Attainment of water and sanitation goals: a review and agenda for research","title-short":"Attainment of water and sanitation goals","URL":"https://pmc.ncbi.nlm.nih.gov/articles/PMC9396604/","volume":"8","author":[{"family":"Singh","given":"Sanjeet"},{"family":"Jayaram","given":"R."}],"accessed":{"date-parts":[["2026",6,23]]},"issued":{"date-parts":[["2022"]]}}}],"schema":"https://github.com/citation-style-language/schema/raw/master/csl-citation.json"} </w:instrText>
      </w:r>
      <w:r>
        <w:rPr>
          <w:rFonts w:ascii="Times New Roman" w:eastAsia="Arial Unicode MS" w:hAnsi="Times New Roman" w:cs="Times New Roman"/>
          <w:sz w:val="24"/>
          <w:szCs w:val="24"/>
        </w:rPr>
        <w:fldChar w:fldCharType="separate"/>
      </w:r>
      <w:r w:rsidRPr="00672F3A">
        <w:rPr>
          <w:rFonts w:ascii="Times New Roman" w:hAnsi="Times New Roman" w:cs="Times New Roman"/>
          <w:sz w:val="24"/>
        </w:rPr>
        <w:t>(Singh &amp; Jayaram, 2022)</w:t>
      </w:r>
      <w:r>
        <w:rPr>
          <w:rFonts w:ascii="Times New Roman" w:eastAsia="Arial Unicode MS" w:hAnsi="Times New Roman" w:cs="Times New Roman"/>
          <w:sz w:val="24"/>
          <w:szCs w:val="24"/>
        </w:rPr>
        <w:fldChar w:fldCharType="end"/>
      </w:r>
      <w:r w:rsidRPr="00672F3A">
        <w:rPr>
          <w:rFonts w:ascii="Times New Roman" w:eastAsia="Arial Unicode MS" w:hAnsi="Times New Roman" w:cs="Times New Roman"/>
          <w:sz w:val="24"/>
          <w:szCs w:val="24"/>
        </w:rPr>
        <w:t>.</w:t>
      </w:r>
    </w:p>
    <w:p w:rsidR="00790F0B" w:rsidRDefault="00CF167A" w:rsidP="00790F0B">
      <w:pPr>
        <w:pStyle w:val="NoSpacing"/>
        <w:spacing w:line="360" w:lineRule="auto"/>
        <w:ind w:firstLine="720"/>
        <w:contextualSpacing/>
        <w:jc w:val="both"/>
        <w:rPr>
          <w:rFonts w:ascii="Times New Roman" w:eastAsia="Arial Unicode MS" w:hAnsi="Times New Roman" w:cs="Times New Roman"/>
          <w:sz w:val="24"/>
          <w:szCs w:val="24"/>
        </w:rPr>
      </w:pPr>
      <w:r w:rsidRPr="00CF167A">
        <w:rPr>
          <w:rFonts w:ascii="Times New Roman" w:eastAsia="Arial Unicode MS" w:hAnsi="Times New Roman" w:cs="Times New Roman"/>
          <w:sz w:val="24"/>
          <w:szCs w:val="24"/>
        </w:rPr>
        <w:t xml:space="preserve">Having access to drinking water is a </w:t>
      </w:r>
      <w:r>
        <w:rPr>
          <w:rFonts w:ascii="Times New Roman" w:eastAsia="Arial Unicode MS" w:hAnsi="Times New Roman" w:cs="Times New Roman"/>
          <w:sz w:val="24"/>
          <w:szCs w:val="24"/>
        </w:rPr>
        <w:t>necessity</w:t>
      </w:r>
      <w:r w:rsidRPr="00CF167A">
        <w:rPr>
          <w:rFonts w:ascii="Times New Roman" w:eastAsia="Arial Unicode MS" w:hAnsi="Times New Roman" w:cs="Times New Roman"/>
          <w:sz w:val="24"/>
          <w:szCs w:val="24"/>
        </w:rPr>
        <w:t xml:space="preserve"> of public health and a fundamental human right</w:t>
      </w:r>
      <w:r>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fldChar w:fldCharType="begin"/>
      </w:r>
      <w:r>
        <w:rPr>
          <w:rFonts w:ascii="Times New Roman" w:eastAsia="Arial Unicode MS" w:hAnsi="Times New Roman" w:cs="Times New Roman"/>
          <w:sz w:val="24"/>
          <w:szCs w:val="24"/>
        </w:rPr>
        <w:instrText xml:space="preserve"> ADDIN ZOTERO_ITEM CSL_CITATION {"citationID":"5D8v4WfD","properties":{"unsorted":false,"formattedCitation":"(Hall et al., 2014)","plainCitation":"(Hall et al., 2014)","noteIndex":0},"citationItems":[{"id":3303,"uris":["http://zotero.org/users/local/8ezhmN7w/items/5Q775PDG"],"itemData":{"id":3303,"type":"article-journal","abstract":"The United Nations (UN) Universal Declaration of Human Rights engenders important state commitments to respect, fulfill, and protect a broad range of socio-economic rights. In 2010, a milestone was reached when the UN General Assembly recognized the human right to safe and clean drinking water and sanitation. However, water plays an important role in realizing other human rights such as the right to food and livelihoods, and in realizing the Convention on the Elimination of All Forms of Discrimination against Women. These broader water-related rights have been recognized but have not yet been operationalized. This paper unravels these broader water-related rights in a more holistic interpretation of existing international human rights law. By focusing on an emerging approach to water services provision—known as ‘domestic-plus’ services—the paper argues how this approach operationalizes a comprehensive range of socio-economic rights in rural and peri-urban areas. Domestic-plus services provide water for domestic and productive uses around homesteads, which challenges the widespread practice in the public sector of planning and designing water infrastructure for a single-use. Evidence is presented to show that people in rural communities are already using their water supplies planned for domestic uses to support a wide range of productive activities. Domestic-plus services recognize and plan for these multiple-uses, while respecting the priority for clean and safe drinking water. The paper concludes that domestic-plus services operationalize the obligation to progressively fulfill a comprehensive range of indivisible socio-economic rights in rural and peri-urban areas.","container-title":"Science and Engineering Ethics","DOI":"10.1007/s11948-013-9499-3","ISSN":"1353-3452","issue":"4","journalAbbreviation":"Sci Eng Ethics","page":"849-868","PMID":"24337891","PMCID":"PMC4237907","source":"PubMed Central","title":"The Human Right to Water: The Importance of Domestic and Productive Water Rights","title-short":"The Human Right to Water","URL":"https://pmc.ncbi.nlm.nih.gov/articles/PMC4237907/","volume":"20","author":[{"family":"Hall","given":"Ralph P."},{"family":"Van Koppen","given":"Barbara"},{"family":"Van Houweling","given":"Emily"}],"accessed":{"date-parts":[["2026",6,28]]},"issued":{"date-parts":[["2014"]]}}}],"schema":"https://github.com/citation-style-language/schema/raw/master/csl-citation.json"} </w:instrText>
      </w:r>
      <w:r>
        <w:rPr>
          <w:rFonts w:ascii="Times New Roman" w:eastAsia="Arial Unicode MS" w:hAnsi="Times New Roman" w:cs="Times New Roman"/>
          <w:sz w:val="24"/>
          <w:szCs w:val="24"/>
        </w:rPr>
        <w:fldChar w:fldCharType="separate"/>
      </w:r>
      <w:r w:rsidRPr="00CF167A">
        <w:rPr>
          <w:rFonts w:ascii="Times New Roman" w:hAnsi="Times New Roman" w:cs="Times New Roman"/>
          <w:sz w:val="24"/>
        </w:rPr>
        <w:t>(Hall et al., 2014)</w:t>
      </w:r>
      <w:r>
        <w:rPr>
          <w:rFonts w:ascii="Times New Roman" w:eastAsia="Arial Unicode MS" w:hAnsi="Times New Roman" w:cs="Times New Roman"/>
          <w:sz w:val="24"/>
          <w:szCs w:val="24"/>
        </w:rPr>
        <w:fldChar w:fldCharType="end"/>
      </w:r>
      <w:r w:rsidR="00790F0B">
        <w:rPr>
          <w:rFonts w:ascii="Times New Roman" w:eastAsia="Arial Unicode MS" w:hAnsi="Times New Roman" w:cs="Times New Roman"/>
          <w:sz w:val="24"/>
          <w:szCs w:val="24"/>
        </w:rPr>
        <w:t xml:space="preserve">. </w:t>
      </w:r>
      <w:r w:rsidRPr="00CF167A">
        <w:rPr>
          <w:rFonts w:ascii="Times New Roman" w:eastAsia="Arial Unicode MS" w:hAnsi="Times New Roman" w:cs="Times New Roman"/>
          <w:sz w:val="24"/>
          <w:szCs w:val="24"/>
        </w:rPr>
        <w:t>In Liberia, where many communities rely on wells, rivers, and other untreated sources for their water supply, assessing drinking water quality is critically important</w:t>
      </w:r>
      <w:r>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fldChar w:fldCharType="begin"/>
      </w:r>
      <w:r>
        <w:rPr>
          <w:rFonts w:ascii="Times New Roman" w:eastAsia="Arial Unicode MS" w:hAnsi="Times New Roman" w:cs="Times New Roman"/>
          <w:sz w:val="24"/>
          <w:szCs w:val="24"/>
        </w:rPr>
        <w:instrText xml:space="preserve"> ADDIN ZOTERO_ITEM CSL_CITATION {"citationID":"eYtHChsJ","properties":{"unsorted":false,"formattedCitation":"(G\\uc0\\u246{}k\\uc0\\u231{}eku\\uc0\\u351{} et al., 2022)","plainCitation":"(Gökçekuş et al., 2022)","noteIndex":0},"citationItems":[{"id":3307,"uris":["http://zotero.org/users/local/8ezhmN7w/items/7ZGP7D6C"],"itemData":{"id":3307,"type":"article-journal","abstract":"Water quality is a major concern for humanity since it is closely linked to human well-being. Freshwater resources are under increasing pressure in many parts of the world due to overuse and contamination from human activities. Liberia's situation is no exception. This study attempts to investigate freshwater quality in Liberia and to identify freshwater resources management mechanisms and challenges associated with these mechanisms. The methodology used was based on a documentary review in which secondary data was gathered through visiting online libraries and reading published research papers and various books. The data from those separate sources were compared and analyzed. Owing to the lack of primary data, no statistical software was employed for the analysis. Findings from existing studies on the quality of freshwater resources showed that the quality has reduced over the past years and as such it is not at an optimal level, the quality of freshwater has been affected mostly by Coliform bacteria contamination, heavy metal contamination, and fecal indicator bacteria. These contaminations can be attributed to inadequate sanitation systems, flooding, mining activities, and the fast-developing agro-industrial sector. Freshwater resources are being managed through a traditional water management system. Water quality management tasks are shared among several institutions. This mechanism allows total involvement of the line Ministries in addressing water quality and management. However, population growth in urban areas, the inadequacy of human resources capacities, and uncontrolled disposal of waste and water activities fragmented amongst ministries and institutions are challenges associated with freshwater management. There is a need for a comprehensive assessment of the quality of freshwater resources, particularly the physical, chemical, and biological variables is needed, an establishment of a proper sanitation system as well as establishing a single institution for the purpose of handling freshwater management.","issue":"03","language":"en","source":"Zotero","title":"A REVIEW OF LIBERIA’S WATER RESOURCES: THE QUALITY AND","volume":"09","author":[{"family":"Gökçekuş","given":"Hüseyin"},{"family":"Kassem","given":"Assct Dr Yousef"},{"family":"Dioh","given":"Francis Surfia"}],"issued":{"date-parts":[["2022"]]}}}],"schema":"https://github.com/citation-style-language/schema/raw/master/csl-citation.json"} </w:instrText>
      </w:r>
      <w:r>
        <w:rPr>
          <w:rFonts w:ascii="Times New Roman" w:eastAsia="Arial Unicode MS" w:hAnsi="Times New Roman" w:cs="Times New Roman"/>
          <w:sz w:val="24"/>
          <w:szCs w:val="24"/>
        </w:rPr>
        <w:fldChar w:fldCharType="separate"/>
      </w:r>
      <w:r w:rsidRPr="00CF167A">
        <w:rPr>
          <w:rFonts w:ascii="Times New Roman" w:hAnsi="Times New Roman" w:cs="Times New Roman"/>
          <w:sz w:val="24"/>
          <w:szCs w:val="24"/>
        </w:rPr>
        <w:t>(Gökçekuş et al., 2022)</w:t>
      </w:r>
      <w:r>
        <w:rPr>
          <w:rFonts w:ascii="Times New Roman" w:eastAsia="Arial Unicode MS" w:hAnsi="Times New Roman" w:cs="Times New Roman"/>
          <w:sz w:val="24"/>
          <w:szCs w:val="24"/>
        </w:rPr>
        <w:fldChar w:fldCharType="end"/>
      </w:r>
      <w:r w:rsidRPr="00CF167A">
        <w:rPr>
          <w:rFonts w:ascii="Times New Roman" w:eastAsia="Arial Unicode MS" w:hAnsi="Times New Roman" w:cs="Times New Roman"/>
          <w:sz w:val="24"/>
          <w:szCs w:val="24"/>
        </w:rPr>
        <w:t>.</w:t>
      </w:r>
    </w:p>
    <w:p w:rsidR="00790F0B" w:rsidRDefault="00CF167A" w:rsidP="00790F0B">
      <w:pPr>
        <w:pStyle w:val="NoSpacing"/>
        <w:spacing w:line="360" w:lineRule="auto"/>
        <w:ind w:firstLine="720"/>
        <w:contextualSpacing/>
        <w:jc w:val="both"/>
        <w:rPr>
          <w:rFonts w:ascii="Times New Roman" w:eastAsia="Arial Unicode MS" w:hAnsi="Times New Roman" w:cs="Times New Roman"/>
          <w:sz w:val="24"/>
          <w:szCs w:val="24"/>
        </w:rPr>
      </w:pPr>
      <w:r w:rsidRPr="00CF167A">
        <w:rPr>
          <w:rFonts w:ascii="Times New Roman" w:eastAsia="Arial Unicode MS" w:hAnsi="Times New Roman" w:cs="Times New Roman"/>
          <w:sz w:val="24"/>
          <w:szCs w:val="24"/>
        </w:rPr>
        <w:t xml:space="preserve"> Evaluating water quality helps to ensure its safe consumption and plays a significant role in preventing disease, protecting vulnerable populations, and promoting sustainable development</w:t>
      </w:r>
      <w:r w:rsidR="00790F0B">
        <w:rPr>
          <w:rFonts w:ascii="Times New Roman" w:eastAsia="Arial Unicode MS" w:hAnsi="Times New Roman" w:cs="Times New Roman"/>
          <w:sz w:val="24"/>
          <w:szCs w:val="24"/>
        </w:rPr>
        <w:t xml:space="preserve"> </w:t>
      </w:r>
      <w:r w:rsidR="00790F0B">
        <w:rPr>
          <w:rFonts w:ascii="Times New Roman" w:eastAsia="Arial Unicode MS" w:hAnsi="Times New Roman" w:cs="Times New Roman"/>
          <w:sz w:val="24"/>
          <w:szCs w:val="24"/>
        </w:rPr>
        <w:fldChar w:fldCharType="begin"/>
      </w:r>
      <w:r w:rsidR="00790F0B">
        <w:rPr>
          <w:rFonts w:ascii="Times New Roman" w:eastAsia="Arial Unicode MS" w:hAnsi="Times New Roman" w:cs="Times New Roman"/>
          <w:sz w:val="24"/>
          <w:szCs w:val="24"/>
        </w:rPr>
        <w:instrText xml:space="preserve"> ADDIN ZOTERO_ITEM CSL_CITATION {"citationID":"S4uvSyJ8","properties":{"unsorted":false,"formattedCitation":"(Ejiohuo et al., 2025)","plainCitation":"(Ejiohuo et al., 2025)","noteIndex":0},"citationItems":[{"id":3308,"uris":["http://zotero.org/users/local/8ezhmN7w/items/5QUEYJJS"],"itemData":{"id":3308,"type":"article-journal","abstract":"Water is an indispensable resource for sustaining life, ecosystems, and economic productivity. However, increasing contamination and pollution pose severe threats to global water purity, with significant risks to human health, biodiversity, and ecosystem stability. This study examines the diverse dimensions of water purity, including its impacts on ecosystems and human health, sources of pollution, global disparities, regulatory frameworks, and technological advancements. These factors are essential in addressing the escalating threats to water quality and public health. This study also explores the complex relationship between water contamination and food security, emphasising the role of water purification in disease prevention and sustainable food systems. It underscores the critical need for effective water purification strategies, exploring challenges and potential solutions, including applications of artificial intelligence and big data. The study highlights mechanisms to enhance transparency and accountability in water resource management through an analysis of policy frameworks and innovative practices. By evaluating the effectiveness of current purification methods and regulatory standards, the study provides valuable insights for sustainable water protection initiatives. Findings from this study highlight global water access and quality disparities, and suggests the need for targeted strategies to promote equity and a coordinated, international response to safeguard water resources. This study offers robust theoretical support for environmental protection policies and advocates for stronger local capabilities in addressing regional water challenges. It delivers a comprehensive framework to mitigate pollution risks, protect biodiversity, and promote public health, underscoring the global urgency of securing clean water access.","container-title":"Water Biology and Security","DOI":"10.1016/j.watbs.2024.100341","ISSN":"2772-7351","issue":"2","journalAbbreviation":"Water Biology and Security","page":"100341","source":"ScienceDirect","title":"Ensuring water purity: Mitigating environmental risks and safeguarding human health","title-short":"Ensuring water purity","URL":"https://www.sciencedirect.com/science/article/pii/S2772735124001136","volume":"4","author":[{"family":"Ejiohuo","given":"Ovinuchi"},{"family":"Onyeaka","given":"Helen"},{"family":"Akinsemolu","given":"Adenike"},{"family":"Nwabor","given":"Ozioma Forstinus"},{"family":"Siyanbola","given":"Kehinde Favour"},{"family":"Tamasiga","given":"Phemelo"},{"family":"Al-Sharify","given":"Zainab T."}],"accessed":{"date-parts":[["2026",6,28]]},"issued":{"date-parts":[["2025",4,1]]}}}],"schema":"https://github.com/citation-style-language/schema/raw/master/csl-citation.json"} </w:instrText>
      </w:r>
      <w:r w:rsidR="00790F0B">
        <w:rPr>
          <w:rFonts w:ascii="Times New Roman" w:eastAsia="Arial Unicode MS" w:hAnsi="Times New Roman" w:cs="Times New Roman"/>
          <w:sz w:val="24"/>
          <w:szCs w:val="24"/>
        </w:rPr>
        <w:fldChar w:fldCharType="separate"/>
      </w:r>
      <w:r w:rsidR="00790F0B" w:rsidRPr="00790F0B">
        <w:rPr>
          <w:rFonts w:ascii="Times New Roman" w:hAnsi="Times New Roman" w:cs="Times New Roman"/>
          <w:sz w:val="24"/>
        </w:rPr>
        <w:t>(Ejiohuo et al., 2025)</w:t>
      </w:r>
      <w:r w:rsidR="00790F0B">
        <w:rPr>
          <w:rFonts w:ascii="Times New Roman" w:eastAsia="Arial Unicode MS" w:hAnsi="Times New Roman" w:cs="Times New Roman"/>
          <w:sz w:val="24"/>
          <w:szCs w:val="24"/>
        </w:rPr>
        <w:fldChar w:fldCharType="end"/>
      </w:r>
      <w:r w:rsidRPr="00CF167A">
        <w:rPr>
          <w:rFonts w:ascii="Times New Roman" w:eastAsia="Arial Unicode MS" w:hAnsi="Times New Roman" w:cs="Times New Roman"/>
          <w:sz w:val="24"/>
          <w:szCs w:val="24"/>
        </w:rPr>
        <w:t>. When water is contaminated, it poses a risk to humans when consumed, as contaminants can spread water</w:t>
      </w:r>
      <w:r w:rsidR="00707734">
        <w:rPr>
          <w:rFonts w:ascii="Times New Roman" w:eastAsia="Arial Unicode MS" w:hAnsi="Times New Roman" w:cs="Times New Roman"/>
          <w:sz w:val="24"/>
          <w:szCs w:val="24"/>
        </w:rPr>
        <w:t>-</w:t>
      </w:r>
      <w:r w:rsidRPr="00CF167A">
        <w:rPr>
          <w:rFonts w:ascii="Times New Roman" w:eastAsia="Arial Unicode MS" w:hAnsi="Times New Roman" w:cs="Times New Roman"/>
          <w:sz w:val="24"/>
          <w:szCs w:val="24"/>
        </w:rPr>
        <w:t>borne diseases</w:t>
      </w:r>
      <w:r w:rsidR="00C81084">
        <w:rPr>
          <w:rFonts w:ascii="Times New Roman" w:eastAsia="Arial Unicode MS" w:hAnsi="Times New Roman" w:cs="Times New Roman"/>
          <w:sz w:val="24"/>
          <w:szCs w:val="24"/>
        </w:rPr>
        <w:t xml:space="preserve"> </w:t>
      </w:r>
      <w:r w:rsidR="00C81084">
        <w:rPr>
          <w:rFonts w:ascii="Times New Roman" w:eastAsia="Arial Unicode MS" w:hAnsi="Times New Roman" w:cs="Times New Roman"/>
          <w:sz w:val="24"/>
          <w:szCs w:val="24"/>
        </w:rPr>
        <w:fldChar w:fldCharType="begin"/>
      </w:r>
      <w:r w:rsidR="00C81084">
        <w:rPr>
          <w:rFonts w:ascii="Times New Roman" w:eastAsia="Arial Unicode MS" w:hAnsi="Times New Roman" w:cs="Times New Roman"/>
          <w:sz w:val="24"/>
          <w:szCs w:val="24"/>
        </w:rPr>
        <w:instrText xml:space="preserve"> ADDIN ZOTERO_ITEM CSL_CITATION {"citationID":"dRuDeP5e","properties":{"unsorted":false,"formattedCitation":"(WHO, 2023)","plainCitation":"(WHO, 2023)","noteIndex":0},"citationItems":[{"id":3311,"uris":["http://zotero.org/users/local/8ezhmN7w/items/2SYT3EKG"],"itemData":{"id":3311,"type":"webpage","title":"Drinking-water","URL":"https://www.who.int/news-room/fact-sheets/detail/drinking-water","author":[{"family":"WHO","given":""}],"accessed":{"date-parts":[["2026",6,28]]},"issued":{"date-parts":[["2023",9,13]]}}}],"schema":"https://github.com/citation-style-language/schema/raw/master/csl-citation.json"} </w:instrText>
      </w:r>
      <w:r w:rsidR="00C81084">
        <w:rPr>
          <w:rFonts w:ascii="Times New Roman" w:eastAsia="Arial Unicode MS" w:hAnsi="Times New Roman" w:cs="Times New Roman"/>
          <w:sz w:val="24"/>
          <w:szCs w:val="24"/>
        </w:rPr>
        <w:fldChar w:fldCharType="separate"/>
      </w:r>
      <w:r w:rsidR="00C81084" w:rsidRPr="00C81084">
        <w:rPr>
          <w:rFonts w:ascii="Times New Roman" w:hAnsi="Times New Roman" w:cs="Times New Roman"/>
          <w:sz w:val="24"/>
        </w:rPr>
        <w:t>(WHO, 2023)</w:t>
      </w:r>
      <w:r w:rsidR="00C81084">
        <w:rPr>
          <w:rFonts w:ascii="Times New Roman" w:eastAsia="Arial Unicode MS" w:hAnsi="Times New Roman" w:cs="Times New Roman"/>
          <w:sz w:val="24"/>
          <w:szCs w:val="24"/>
        </w:rPr>
        <w:fldChar w:fldCharType="end"/>
      </w:r>
      <w:r w:rsidRPr="00CF167A">
        <w:rPr>
          <w:rFonts w:ascii="Times New Roman" w:eastAsia="Arial Unicode MS" w:hAnsi="Times New Roman" w:cs="Times New Roman"/>
          <w:sz w:val="24"/>
          <w:szCs w:val="24"/>
        </w:rPr>
        <w:t>.</w:t>
      </w:r>
    </w:p>
    <w:p w:rsidR="00790F0B" w:rsidRDefault="00CF167A" w:rsidP="00790F0B">
      <w:pPr>
        <w:pStyle w:val="NoSpacing"/>
        <w:spacing w:line="360" w:lineRule="auto"/>
        <w:ind w:firstLine="720"/>
        <w:contextualSpacing/>
        <w:jc w:val="both"/>
        <w:rPr>
          <w:rFonts w:ascii="Times New Roman" w:eastAsia="Arial Unicode MS" w:hAnsi="Times New Roman" w:cs="Times New Roman"/>
          <w:sz w:val="24"/>
          <w:szCs w:val="24"/>
        </w:rPr>
      </w:pPr>
      <w:r w:rsidRPr="00CF167A">
        <w:rPr>
          <w:rFonts w:ascii="Times New Roman" w:eastAsia="Arial Unicode MS" w:hAnsi="Times New Roman" w:cs="Times New Roman"/>
          <w:sz w:val="24"/>
          <w:szCs w:val="24"/>
        </w:rPr>
        <w:t xml:space="preserve"> Heavy metals such as mercury and lead also contaminate drinking water sources chemically</w:t>
      </w:r>
      <w:r w:rsidR="005716E9">
        <w:rPr>
          <w:rFonts w:ascii="Times New Roman" w:eastAsia="Arial Unicode MS" w:hAnsi="Times New Roman" w:cs="Times New Roman"/>
          <w:sz w:val="24"/>
          <w:szCs w:val="24"/>
        </w:rPr>
        <w:t xml:space="preserve"> </w:t>
      </w:r>
      <w:r w:rsidR="005716E9">
        <w:rPr>
          <w:rFonts w:ascii="Times New Roman" w:eastAsia="Arial Unicode MS" w:hAnsi="Times New Roman" w:cs="Times New Roman"/>
          <w:sz w:val="24"/>
          <w:szCs w:val="24"/>
        </w:rPr>
        <w:fldChar w:fldCharType="begin"/>
      </w:r>
      <w:r w:rsidR="005716E9">
        <w:rPr>
          <w:rFonts w:ascii="Times New Roman" w:eastAsia="Arial Unicode MS" w:hAnsi="Times New Roman" w:cs="Times New Roman"/>
          <w:sz w:val="24"/>
          <w:szCs w:val="24"/>
        </w:rPr>
        <w:instrText xml:space="preserve"> ADDIN ZOTERO_ITEM CSL_CITATION {"citationID":"U78KIvt0","properties":{"unsorted":false,"formattedCitation":"(Balali-Mood et al., 2021)","plainCitation":"(Balali-Mood et al., 2021)","noteIndex":0},"citationItems":[{"id":3312,"uris":["http://zotero.org/users/local/8ezhmN7w/items/BUDY2A7M"],"itemData":{"id":3312,"type":"article-journal","abstract":"The industrial activities of the last century have caused massive increases in human exposure to heavy metals. Mercury, lead, chromium, cadmium, and arsenic have been the most common heavy metals that induced human poisonings. Here, we reviewed the mechanistic action of these heavy metals according to the available animal and human studies. Acute or chronic poisonings may occur following exposure through water, air, and food. Bioaccumulation of these heavy metals leads to a diversity of toxic effects on a variety of body tissues and organs. Heavy metals disrupt cellular events including growth, proliferation, differentiation, damage-repairing processes, and apoptosis. Comparison of the mechanisms of action reveals similar pathways for these metals to induce toxicity including ROS generation, weakening of the antioxidant defense, enzyme inactivation, and oxidative stress. On the other hand, some of them have selective binding to specific macromolecules. The interaction of lead with aminolevulinic acid dehydratase and ferrochelatase is within this context. Reactions of other heavy metals with certain proteins were discussed as well. Some toxic metals including chromium, cadmium, and arsenic cause genomic instability. Defects in DNA repair following the induction of oxidative stress and DNA damage by the three metals have been considered as the cause of their carcinogenicity. Even with the current knowledge of hazards of heavy metals, the incidence of poisoning remains considerable and requires preventive and effective treatment. The application of chelation therapy for the management of metal poisoning could be another aspect of heavy metals to be reviewed in the future.","container-title":"Frontiers in Pharmacology","DOI":"10.3389/fphar.2021.643972","ISSN":"1663-9812","journalAbbreviation":"Front Pharmacol","page":"643972","PMID":"33927623","PMCID":"PMC8078867","source":"PubMed Central","title":"Toxic Mechanisms of Five Heavy Metals: Mercury, Lead, Chromium, Cadmium, and Arsenic","title-short":"Toxic Mechanisms of Five Heavy Metals","URL":"https://pmc.ncbi.nlm.nih.gov/articles/PMC8078867/","volume":"12","author":[{"family":"Balali-Mood","given":"Mahdi"},{"family":"Naseri","given":"Kobra"},{"family":"Tahergorabi","given":"Zoya"},{"family":"Khazdair","given":"Mohammad Reza"},{"family":"Sadeghi","given":"Mahmood"}],"accessed":{"date-parts":[["2026",6,28]]},"issued":{"date-parts":[["2021",4,13]]}}}],"schema":"https://github.com/citation-style-language/schema/raw/master/csl-citation.json"} </w:instrText>
      </w:r>
      <w:r w:rsidR="005716E9">
        <w:rPr>
          <w:rFonts w:ascii="Times New Roman" w:eastAsia="Arial Unicode MS" w:hAnsi="Times New Roman" w:cs="Times New Roman"/>
          <w:sz w:val="24"/>
          <w:szCs w:val="24"/>
        </w:rPr>
        <w:fldChar w:fldCharType="separate"/>
      </w:r>
      <w:r w:rsidR="005716E9" w:rsidRPr="005716E9">
        <w:rPr>
          <w:rFonts w:ascii="Times New Roman" w:hAnsi="Times New Roman" w:cs="Times New Roman"/>
          <w:sz w:val="24"/>
        </w:rPr>
        <w:t>(Balali-Mood et al., 2021)</w:t>
      </w:r>
      <w:r w:rsidR="005716E9">
        <w:rPr>
          <w:rFonts w:ascii="Times New Roman" w:eastAsia="Arial Unicode MS" w:hAnsi="Times New Roman" w:cs="Times New Roman"/>
          <w:sz w:val="24"/>
          <w:szCs w:val="24"/>
        </w:rPr>
        <w:fldChar w:fldCharType="end"/>
      </w:r>
      <w:r w:rsidRPr="00CF167A">
        <w:rPr>
          <w:rFonts w:ascii="Times New Roman" w:eastAsia="Arial Unicode MS" w:hAnsi="Times New Roman" w:cs="Times New Roman"/>
          <w:sz w:val="24"/>
          <w:szCs w:val="24"/>
        </w:rPr>
        <w:t xml:space="preserve">. As food security has become a high priority on </w:t>
      </w:r>
      <w:r w:rsidRPr="00CF167A">
        <w:rPr>
          <w:rFonts w:ascii="Times New Roman" w:eastAsia="Arial Unicode MS" w:hAnsi="Times New Roman" w:cs="Times New Roman"/>
          <w:sz w:val="24"/>
          <w:szCs w:val="24"/>
        </w:rPr>
        <w:lastRenderedPageBreak/>
        <w:t xml:space="preserve">Liberia's agenda, more people are engaging in sustainable farming </w:t>
      </w:r>
      <w:r w:rsidR="00FE24AC">
        <w:rPr>
          <w:rFonts w:ascii="Times New Roman" w:eastAsia="Arial Unicode MS" w:hAnsi="Times New Roman" w:cs="Times New Roman"/>
          <w:sz w:val="24"/>
          <w:szCs w:val="24"/>
        </w:rPr>
        <w:t xml:space="preserve">while using substantial amounts of chemical </w:t>
      </w:r>
      <w:proofErr w:type="spellStart"/>
      <w:r w:rsidR="00FE24AC">
        <w:rPr>
          <w:rFonts w:ascii="Times New Roman" w:eastAsia="Arial Unicode MS" w:hAnsi="Times New Roman" w:cs="Times New Roman"/>
          <w:sz w:val="24"/>
          <w:szCs w:val="24"/>
        </w:rPr>
        <w:t>fertilis</w:t>
      </w:r>
      <w:r w:rsidR="00790F0B" w:rsidRPr="00CF167A">
        <w:rPr>
          <w:rFonts w:ascii="Times New Roman" w:eastAsia="Arial Unicode MS" w:hAnsi="Times New Roman" w:cs="Times New Roman"/>
          <w:sz w:val="24"/>
          <w:szCs w:val="24"/>
        </w:rPr>
        <w:t>ers</w:t>
      </w:r>
      <w:proofErr w:type="spellEnd"/>
      <w:r w:rsidRPr="00CF167A">
        <w:rPr>
          <w:rFonts w:ascii="Times New Roman" w:eastAsia="Arial Unicode MS" w:hAnsi="Times New Roman" w:cs="Times New Roman"/>
          <w:sz w:val="24"/>
          <w:szCs w:val="24"/>
        </w:rPr>
        <w:t xml:space="preserve"> and pesticides to improve productivity and p</w:t>
      </w:r>
      <w:r w:rsidR="00790F0B">
        <w:rPr>
          <w:rFonts w:ascii="Times New Roman" w:eastAsia="Arial Unicode MS" w:hAnsi="Times New Roman" w:cs="Times New Roman"/>
          <w:sz w:val="24"/>
          <w:szCs w:val="24"/>
        </w:rPr>
        <w:t>rotect their crops from pests</w:t>
      </w:r>
      <w:r w:rsidR="000A7A21">
        <w:rPr>
          <w:rFonts w:ascii="Times New Roman" w:eastAsia="Arial Unicode MS" w:hAnsi="Times New Roman" w:cs="Times New Roman"/>
          <w:sz w:val="24"/>
          <w:szCs w:val="24"/>
        </w:rPr>
        <w:t xml:space="preserve"> </w:t>
      </w:r>
      <w:r w:rsidR="000A7A21">
        <w:rPr>
          <w:rFonts w:ascii="Times New Roman" w:eastAsia="Arial Unicode MS" w:hAnsi="Times New Roman" w:cs="Times New Roman"/>
          <w:sz w:val="24"/>
          <w:szCs w:val="24"/>
        </w:rPr>
        <w:fldChar w:fldCharType="begin"/>
      </w:r>
      <w:r w:rsidR="000A7A21">
        <w:rPr>
          <w:rFonts w:ascii="Times New Roman" w:eastAsia="Arial Unicode MS" w:hAnsi="Times New Roman" w:cs="Times New Roman"/>
          <w:sz w:val="24"/>
          <w:szCs w:val="24"/>
        </w:rPr>
        <w:instrText xml:space="preserve"> ADDIN ZOTERO_ITEM CSL_CITATION {"citationID":"cgfnZBtb","properties":{"unsorted":false,"formattedCitation":"(World Bank, 2022)","plainCitation":"(World Bank, 2022)","noteIndex":0},"citationItems":[{"id":3319,"uris":["http://zotero.org/users/local/8ezhmN7w/items/NMIV76RE"],"itemData":{"id":3319,"type":"document","title":"P1752640ae486b0a089630a7454908775f","author":[{"family":"World Bank","given":""}],"issued":{"date-parts":[["2022",1,13]]}}}],"schema":"https://github.com/citation-style-language/schema/raw/master/csl-citation.json"} </w:instrText>
      </w:r>
      <w:r w:rsidR="000A7A21">
        <w:rPr>
          <w:rFonts w:ascii="Times New Roman" w:eastAsia="Arial Unicode MS" w:hAnsi="Times New Roman" w:cs="Times New Roman"/>
          <w:sz w:val="24"/>
          <w:szCs w:val="24"/>
        </w:rPr>
        <w:fldChar w:fldCharType="separate"/>
      </w:r>
      <w:r w:rsidR="000A7A21" w:rsidRPr="000A7A21">
        <w:rPr>
          <w:rFonts w:ascii="Times New Roman" w:hAnsi="Times New Roman" w:cs="Times New Roman"/>
          <w:sz w:val="24"/>
        </w:rPr>
        <w:t>(World Bank, 2022)</w:t>
      </w:r>
      <w:r w:rsidR="000A7A21">
        <w:rPr>
          <w:rFonts w:ascii="Times New Roman" w:eastAsia="Arial Unicode MS" w:hAnsi="Times New Roman" w:cs="Times New Roman"/>
          <w:sz w:val="24"/>
          <w:szCs w:val="24"/>
        </w:rPr>
        <w:fldChar w:fldCharType="end"/>
      </w:r>
      <w:r w:rsidR="00790F0B">
        <w:rPr>
          <w:rFonts w:ascii="Times New Roman" w:eastAsia="Arial Unicode MS" w:hAnsi="Times New Roman" w:cs="Times New Roman"/>
          <w:sz w:val="24"/>
          <w:szCs w:val="24"/>
        </w:rPr>
        <w:t xml:space="preserve">. </w:t>
      </w:r>
    </w:p>
    <w:p w:rsidR="006A587F" w:rsidRDefault="00CF167A" w:rsidP="00790F0B">
      <w:pPr>
        <w:pStyle w:val="NoSpacing"/>
        <w:spacing w:line="360" w:lineRule="auto"/>
        <w:ind w:firstLine="720"/>
        <w:contextualSpacing/>
        <w:jc w:val="both"/>
        <w:rPr>
          <w:rFonts w:ascii="Times New Roman" w:eastAsia="Arial Unicode MS" w:hAnsi="Times New Roman" w:cs="Times New Roman"/>
          <w:sz w:val="24"/>
          <w:szCs w:val="24"/>
        </w:rPr>
      </w:pPr>
      <w:r w:rsidRPr="00CF167A">
        <w:rPr>
          <w:rFonts w:ascii="Times New Roman" w:eastAsia="Arial Unicode MS" w:hAnsi="Times New Roman" w:cs="Times New Roman"/>
          <w:sz w:val="24"/>
          <w:szCs w:val="24"/>
        </w:rPr>
        <w:t>One of the major benefits of water quality assessment is the improvement of sanitary facilities and hygiene practices, because poor sanitation practices, including inadequate waste disposal and open defecation, are among the major causes of water contamination</w:t>
      </w:r>
      <w:r w:rsidR="006A587F">
        <w:rPr>
          <w:rFonts w:ascii="Times New Roman" w:eastAsia="Arial Unicode MS" w:hAnsi="Times New Roman" w:cs="Times New Roman"/>
          <w:sz w:val="24"/>
          <w:szCs w:val="24"/>
        </w:rPr>
        <w:t xml:space="preserve"> </w:t>
      </w:r>
      <w:r w:rsidR="006A587F">
        <w:rPr>
          <w:rFonts w:ascii="Times New Roman" w:eastAsia="Arial Unicode MS" w:hAnsi="Times New Roman" w:cs="Times New Roman"/>
          <w:sz w:val="24"/>
          <w:szCs w:val="24"/>
        </w:rPr>
        <w:fldChar w:fldCharType="begin"/>
      </w:r>
      <w:r w:rsidR="006A587F">
        <w:rPr>
          <w:rFonts w:ascii="Times New Roman" w:eastAsia="Arial Unicode MS" w:hAnsi="Times New Roman" w:cs="Times New Roman"/>
          <w:sz w:val="24"/>
          <w:szCs w:val="24"/>
        </w:rPr>
        <w:instrText xml:space="preserve"> ADDIN ZOTERO_ITEM CSL_CITATION {"citationID":"I4I3uoie","properties":{"unsorted":false,"formattedCitation":"(Bose et al., 2024)","plainCitation":"(Bose et al., 2024)","noteIndex":0},"citationItems":[{"id":3320,"uris":["http://zotero.org/users/local/8ezhmN7w/items/VB727YSA"],"itemData":{"id":3320,"type":"article-journal","abstract":"This review provides a critical analysis of the global water and sanitation crisis, as well as how community-based approaches have led to innovative water management solutions. Regions of sub-Saharan Africa, south Asia, the Middle East, and island countries have been taken as models to understand mitigating crises related to water, sanitation, and hygiene (WASH) services. Selected WASH cases were based on specific inclusion and exclusion criteria that highlighted finance, sustainability, and community engagement. The review analyses methods through which communities below the poverty line, living in densely populated areas, war zones, and island countries can foster innovation, and collaborations.","container-title":"Water-Energy Nexus","DOI":"10.1016/j.wen.2024.11.003","ISSN":"2588-9125","journalAbbreviation":"Water-Energy Nexus","page":"277-296","source":"ScienceDirect","title":"Overcoming water, sanitation, and hygiene challenges in critical regions of the global community","URL":"https://www.sciencedirect.com/science/article/pii/S2588912524000171","volume":"7","author":[{"family":"Bose","given":"Debajyoti"},{"family":"Bhattacharya","given":"Riya"},{"family":"Kaur","given":"Tanveen"},{"family":"Banerjee","given":"Ritesh"},{"family":"Bhatia","given":"Tanya"},{"family":"Ray","given":"Aritra"},{"family":"Batra","given":"Bhavika"},{"family":"Mondal","given":"Arnab"},{"family":"Ghosh","given":"Paulami"},{"family":"Mondal","given":"Surajit"}],"accessed":{"date-parts":[["2026",6,28]]},"issued":{"date-parts":[["2024",12,1]]}}}],"schema":"https://github.com/citation-style-language/schema/raw/master/csl-citation.json"} </w:instrText>
      </w:r>
      <w:r w:rsidR="006A587F">
        <w:rPr>
          <w:rFonts w:ascii="Times New Roman" w:eastAsia="Arial Unicode MS" w:hAnsi="Times New Roman" w:cs="Times New Roman"/>
          <w:sz w:val="24"/>
          <w:szCs w:val="24"/>
        </w:rPr>
        <w:fldChar w:fldCharType="separate"/>
      </w:r>
      <w:r w:rsidR="006A587F" w:rsidRPr="006A587F">
        <w:rPr>
          <w:rFonts w:ascii="Times New Roman" w:hAnsi="Times New Roman" w:cs="Times New Roman"/>
          <w:sz w:val="24"/>
        </w:rPr>
        <w:t>(Bose et al., 2024)</w:t>
      </w:r>
      <w:r w:rsidR="006A587F">
        <w:rPr>
          <w:rFonts w:ascii="Times New Roman" w:eastAsia="Arial Unicode MS" w:hAnsi="Times New Roman" w:cs="Times New Roman"/>
          <w:sz w:val="24"/>
          <w:szCs w:val="24"/>
        </w:rPr>
        <w:fldChar w:fldCharType="end"/>
      </w:r>
      <w:r w:rsidRPr="00CF167A">
        <w:rPr>
          <w:rFonts w:ascii="Times New Roman" w:eastAsia="Arial Unicode MS" w:hAnsi="Times New Roman" w:cs="Times New Roman"/>
          <w:sz w:val="24"/>
          <w:szCs w:val="24"/>
        </w:rPr>
        <w:t>.</w:t>
      </w:r>
      <w:r w:rsidR="00790F0B">
        <w:rPr>
          <w:rFonts w:ascii="Times New Roman" w:eastAsia="Arial Unicode MS" w:hAnsi="Times New Roman" w:cs="Times New Roman"/>
          <w:sz w:val="24"/>
          <w:szCs w:val="24"/>
        </w:rPr>
        <w:t xml:space="preserve"> </w:t>
      </w:r>
    </w:p>
    <w:p w:rsidR="00790F0B" w:rsidRPr="00CF167A" w:rsidRDefault="00790F0B" w:rsidP="006A587F">
      <w:pPr>
        <w:pStyle w:val="NoSpacing"/>
        <w:spacing w:line="360" w:lineRule="auto"/>
        <w:ind w:firstLine="720"/>
        <w:contextualSpacing/>
        <w:jc w:val="both"/>
        <w:rPr>
          <w:rFonts w:ascii="Times New Roman" w:eastAsia="Arial Unicode MS" w:hAnsi="Times New Roman" w:cs="Times New Roman"/>
          <w:sz w:val="24"/>
          <w:szCs w:val="24"/>
        </w:rPr>
      </w:pPr>
      <w:r w:rsidRPr="00CF167A">
        <w:rPr>
          <w:rFonts w:ascii="Times New Roman" w:eastAsia="Arial Unicode MS" w:hAnsi="Times New Roman" w:cs="Times New Roman"/>
          <w:sz w:val="24"/>
          <w:szCs w:val="24"/>
        </w:rPr>
        <w:lastRenderedPageBreak/>
        <w:t xml:space="preserve">One of the most significant reasons for assessing drinking water quality in Liberia is </w:t>
      </w:r>
      <w:r>
        <w:rPr>
          <w:rFonts w:ascii="Times New Roman" w:eastAsia="Arial Unicode MS" w:hAnsi="Times New Roman" w:cs="Times New Roman"/>
          <w:sz w:val="24"/>
          <w:szCs w:val="24"/>
        </w:rPr>
        <w:t>to prevent water</w:t>
      </w:r>
      <w:r w:rsidR="00707734">
        <w:rPr>
          <w:rFonts w:ascii="Times New Roman" w:eastAsia="Arial Unicode MS" w:hAnsi="Times New Roman" w:cs="Times New Roman"/>
          <w:sz w:val="24"/>
          <w:szCs w:val="24"/>
        </w:rPr>
        <w:t>-</w:t>
      </w:r>
      <w:r>
        <w:rPr>
          <w:rFonts w:ascii="Times New Roman" w:eastAsia="Arial Unicode MS" w:hAnsi="Times New Roman" w:cs="Times New Roman"/>
          <w:sz w:val="24"/>
          <w:szCs w:val="24"/>
        </w:rPr>
        <w:t>borne diseases.</w:t>
      </w:r>
      <w:r w:rsidR="006A587F">
        <w:rPr>
          <w:rFonts w:ascii="Times New Roman" w:eastAsia="Arial Unicode MS" w:hAnsi="Times New Roman" w:cs="Times New Roman"/>
          <w:sz w:val="24"/>
          <w:szCs w:val="24"/>
        </w:rPr>
        <w:t xml:space="preserve"> </w:t>
      </w:r>
      <w:r w:rsidRPr="00CF167A">
        <w:rPr>
          <w:rFonts w:ascii="Times New Roman" w:eastAsia="Arial Unicode MS" w:hAnsi="Times New Roman" w:cs="Times New Roman"/>
          <w:sz w:val="24"/>
          <w:szCs w:val="24"/>
        </w:rPr>
        <w:t>Therefore, assessing drinking water quality and understanding its public health implications is essential for improving health outcomes and overall well-being in Liberia.</w:t>
      </w:r>
      <w:r w:rsidR="004F1C11">
        <w:rPr>
          <w:rFonts w:ascii="Times New Roman" w:eastAsia="Arial Unicode MS" w:hAnsi="Times New Roman" w:cs="Times New Roman"/>
          <w:sz w:val="24"/>
          <w:szCs w:val="24"/>
        </w:rPr>
        <w:t xml:space="preserve"> </w:t>
      </w:r>
      <w:r w:rsidR="004F1C11" w:rsidRPr="00D960B5">
        <w:rPr>
          <w:rFonts w:ascii="Times New Roman" w:eastAsia="Times New Roman" w:hAnsi="Times New Roman" w:cs="Times New Roman"/>
          <w:sz w:val="24"/>
          <w:szCs w:val="24"/>
        </w:rPr>
        <w:t xml:space="preserve">This study is significant because it provides empirical evidence on drinking water quality in a </w:t>
      </w:r>
      <w:proofErr w:type="spellStart"/>
      <w:r w:rsidR="004F1C11" w:rsidRPr="00D960B5">
        <w:rPr>
          <w:rFonts w:ascii="Times New Roman" w:eastAsia="Times New Roman" w:hAnsi="Times New Roman" w:cs="Times New Roman"/>
          <w:sz w:val="24"/>
          <w:szCs w:val="24"/>
        </w:rPr>
        <w:t>peri</w:t>
      </w:r>
      <w:proofErr w:type="spellEnd"/>
      <w:r w:rsidR="004F1C11" w:rsidRPr="00D960B5">
        <w:rPr>
          <w:rFonts w:ascii="Times New Roman" w:eastAsia="Times New Roman" w:hAnsi="Times New Roman" w:cs="Times New Roman"/>
          <w:sz w:val="24"/>
          <w:szCs w:val="24"/>
        </w:rPr>
        <w:t>-urban community</w:t>
      </w:r>
      <w:r w:rsidR="00FD4552">
        <w:rPr>
          <w:rFonts w:ascii="Times New Roman" w:eastAsia="Times New Roman" w:hAnsi="Times New Roman" w:cs="Times New Roman"/>
          <w:sz w:val="24"/>
          <w:szCs w:val="24"/>
        </w:rPr>
        <w:t xml:space="preserve"> (Johnsonville</w:t>
      </w:r>
      <w:r w:rsidR="008962BD">
        <w:rPr>
          <w:rFonts w:ascii="Times New Roman" w:eastAsia="Times New Roman" w:hAnsi="Times New Roman" w:cs="Times New Roman"/>
          <w:sz w:val="24"/>
          <w:szCs w:val="24"/>
        </w:rPr>
        <w:t xml:space="preserve">) </w:t>
      </w:r>
      <w:r w:rsidR="008962BD" w:rsidRPr="00D960B5">
        <w:rPr>
          <w:rFonts w:ascii="Times New Roman" w:eastAsia="Times New Roman" w:hAnsi="Times New Roman" w:cs="Times New Roman"/>
          <w:sz w:val="24"/>
          <w:szCs w:val="24"/>
        </w:rPr>
        <w:t>that</w:t>
      </w:r>
      <w:r w:rsidR="004F1C11" w:rsidRPr="00D960B5">
        <w:rPr>
          <w:rFonts w:ascii="Times New Roman" w:eastAsia="Times New Roman" w:hAnsi="Times New Roman" w:cs="Times New Roman"/>
          <w:sz w:val="24"/>
          <w:szCs w:val="24"/>
        </w:rPr>
        <w:t xml:space="preserve"> has received limited research attention</w:t>
      </w:r>
      <w:r w:rsidR="00707734">
        <w:rPr>
          <w:rFonts w:ascii="Times New Roman" w:eastAsia="Times New Roman" w:hAnsi="Times New Roman" w:cs="Times New Roman"/>
          <w:sz w:val="24"/>
          <w:szCs w:val="24"/>
        </w:rPr>
        <w:t>.</w:t>
      </w:r>
    </w:p>
    <w:p w:rsidR="008962BD" w:rsidRDefault="008962BD" w:rsidP="00CF167A">
      <w:pPr>
        <w:pStyle w:val="NoSpacing"/>
        <w:spacing w:line="360" w:lineRule="auto"/>
        <w:jc w:val="both"/>
        <w:rPr>
          <w:rFonts w:ascii="Times New Roman" w:eastAsia="Arial Unicode MS" w:hAnsi="Times New Roman" w:cs="Times New Roman"/>
          <w:sz w:val="24"/>
          <w:szCs w:val="24"/>
        </w:rPr>
        <w:sectPr w:rsidR="008962BD" w:rsidSect="008962BD">
          <w:type w:val="continuous"/>
          <w:pgSz w:w="12240" w:h="15840"/>
          <w:pgMar w:top="1440" w:right="1440" w:bottom="1440" w:left="1440" w:header="720" w:footer="720" w:gutter="0"/>
          <w:cols w:num="2" w:space="720"/>
          <w:docGrid w:linePitch="360"/>
        </w:sectPr>
      </w:pPr>
    </w:p>
    <w:p w:rsidR="00790F0B" w:rsidRDefault="00790F0B" w:rsidP="00CF167A">
      <w:pPr>
        <w:pStyle w:val="NoSpacing"/>
        <w:spacing w:line="360" w:lineRule="auto"/>
        <w:jc w:val="both"/>
        <w:rPr>
          <w:rFonts w:ascii="Times New Roman" w:eastAsia="Arial Unicode MS" w:hAnsi="Times New Roman" w:cs="Times New Roman"/>
          <w:sz w:val="24"/>
          <w:szCs w:val="24"/>
        </w:rPr>
      </w:pPr>
    </w:p>
    <w:p w:rsidR="00320905" w:rsidRPr="00790F0B" w:rsidRDefault="00320905" w:rsidP="00320905">
      <w:pPr>
        <w:pStyle w:val="Caption"/>
        <w:rPr>
          <w:rFonts w:ascii="Times New Roman" w:hAnsi="Times New Roman" w:cs="Times New Roman"/>
          <w:b/>
          <w:color w:val="auto"/>
          <w:sz w:val="24"/>
          <w:szCs w:val="24"/>
        </w:rPr>
      </w:pPr>
      <w:r w:rsidRPr="00790F0B">
        <w:rPr>
          <w:rFonts w:ascii="Times New Roman" w:hAnsi="Times New Roman" w:cs="Times New Roman"/>
          <w:b/>
          <w:color w:val="auto"/>
          <w:sz w:val="24"/>
          <w:szCs w:val="24"/>
        </w:rPr>
        <w:t xml:space="preserve">Figure </w:t>
      </w:r>
      <w:r w:rsidRPr="00790F0B">
        <w:rPr>
          <w:rFonts w:ascii="Times New Roman" w:hAnsi="Times New Roman" w:cs="Times New Roman"/>
          <w:b/>
          <w:color w:val="auto"/>
          <w:sz w:val="24"/>
          <w:szCs w:val="24"/>
        </w:rPr>
        <w:fldChar w:fldCharType="begin"/>
      </w:r>
      <w:r w:rsidRPr="00790F0B">
        <w:rPr>
          <w:rFonts w:ascii="Times New Roman" w:hAnsi="Times New Roman" w:cs="Times New Roman"/>
          <w:b/>
          <w:color w:val="auto"/>
          <w:sz w:val="24"/>
          <w:szCs w:val="24"/>
        </w:rPr>
        <w:instrText xml:space="preserve"> SEQ Figure \* ARABIC </w:instrText>
      </w:r>
      <w:r w:rsidRPr="00790F0B">
        <w:rPr>
          <w:rFonts w:ascii="Times New Roman" w:hAnsi="Times New Roman" w:cs="Times New Roman"/>
          <w:b/>
          <w:color w:val="auto"/>
          <w:sz w:val="24"/>
          <w:szCs w:val="24"/>
        </w:rPr>
        <w:fldChar w:fldCharType="separate"/>
      </w:r>
      <w:r w:rsidRPr="00790F0B">
        <w:rPr>
          <w:rFonts w:ascii="Times New Roman" w:hAnsi="Times New Roman" w:cs="Times New Roman"/>
          <w:b/>
          <w:noProof/>
          <w:color w:val="auto"/>
          <w:sz w:val="24"/>
          <w:szCs w:val="24"/>
        </w:rPr>
        <w:t>1</w:t>
      </w:r>
      <w:r w:rsidRPr="00790F0B">
        <w:rPr>
          <w:rFonts w:ascii="Times New Roman" w:hAnsi="Times New Roman" w:cs="Times New Roman"/>
          <w:b/>
          <w:color w:val="auto"/>
          <w:sz w:val="24"/>
          <w:szCs w:val="24"/>
        </w:rPr>
        <w:fldChar w:fldCharType="end"/>
      </w:r>
      <w:r w:rsidRPr="00790F0B">
        <w:rPr>
          <w:rFonts w:ascii="Times New Roman" w:hAnsi="Times New Roman" w:cs="Times New Roman"/>
          <w:b/>
          <w:color w:val="auto"/>
          <w:sz w:val="24"/>
          <w:szCs w:val="24"/>
        </w:rPr>
        <w:t>: Conceptual Framework</w:t>
      </w:r>
    </w:p>
    <w:p w:rsidR="00320905" w:rsidRDefault="00320905" w:rsidP="00320905">
      <w:r w:rsidRPr="00320905">
        <w:rPr>
          <w:noProof/>
        </w:rPr>
        <w:drawing>
          <wp:inline distT="0" distB="0" distL="0" distR="0">
            <wp:extent cx="5943600" cy="2667000"/>
            <wp:effectExtent l="0" t="0" r="0" b="0"/>
            <wp:docPr id="1" name="Picture 1" descr="C:\Users\HP\Downloads\Designer (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Designer (24).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667000"/>
                    </a:xfrm>
                    <a:prstGeom prst="rect">
                      <a:avLst/>
                    </a:prstGeom>
                    <a:noFill/>
                    <a:ln>
                      <a:noFill/>
                    </a:ln>
                  </pic:spPr>
                </pic:pic>
              </a:graphicData>
            </a:graphic>
          </wp:inline>
        </w:drawing>
      </w:r>
    </w:p>
    <w:p w:rsidR="00ED6961" w:rsidRDefault="00ED6961" w:rsidP="00B353E8">
      <w:pPr>
        <w:spacing w:line="360" w:lineRule="auto"/>
        <w:jc w:val="both"/>
        <w:rPr>
          <w:rFonts w:ascii="Times New Roman" w:hAnsi="Times New Roman" w:cs="Times New Roman"/>
          <w:sz w:val="24"/>
          <w:szCs w:val="24"/>
        </w:rPr>
        <w:sectPr w:rsidR="00ED6961" w:rsidSect="008962BD">
          <w:type w:val="continuous"/>
          <w:pgSz w:w="12240" w:h="15840"/>
          <w:pgMar w:top="1440" w:right="1440" w:bottom="1440" w:left="1440" w:header="720" w:footer="720" w:gutter="0"/>
          <w:cols w:space="720"/>
          <w:docGrid w:linePitch="360"/>
        </w:sectPr>
      </w:pPr>
    </w:p>
    <w:p w:rsidR="00320905" w:rsidRDefault="00273D9E" w:rsidP="003E1106">
      <w:pPr>
        <w:spacing w:line="360" w:lineRule="auto"/>
        <w:ind w:firstLine="720"/>
        <w:contextualSpacing/>
        <w:jc w:val="both"/>
        <w:rPr>
          <w:rFonts w:ascii="Times New Roman" w:hAnsi="Times New Roman" w:cs="Times New Roman"/>
          <w:sz w:val="24"/>
          <w:szCs w:val="24"/>
        </w:rPr>
      </w:pPr>
      <w:r w:rsidRPr="00273D9E">
        <w:rPr>
          <w:rFonts w:ascii="Times New Roman" w:hAnsi="Times New Roman" w:cs="Times New Roman"/>
          <w:sz w:val="24"/>
          <w:szCs w:val="24"/>
        </w:rPr>
        <w:lastRenderedPageBreak/>
        <w:t xml:space="preserve">Unsafe water sources are </w:t>
      </w:r>
      <w:r w:rsidR="00FE24AC">
        <w:rPr>
          <w:rFonts w:ascii="Times New Roman" w:hAnsi="Times New Roman" w:cs="Times New Roman"/>
          <w:sz w:val="24"/>
          <w:szCs w:val="24"/>
        </w:rPr>
        <w:t>closely linked to poor sanitation and weak infrastructure, which increases contamination of drinking water</w:t>
      </w:r>
      <w:r w:rsidRPr="00273D9E">
        <w:rPr>
          <w:rFonts w:ascii="Times New Roman" w:hAnsi="Times New Roman" w:cs="Times New Roman"/>
          <w:sz w:val="24"/>
          <w:szCs w:val="24"/>
        </w:rPr>
        <w:t xml:space="preserve">. Water contamination leads to exposure to </w:t>
      </w:r>
      <w:r w:rsidR="00DD3B0A">
        <w:rPr>
          <w:rFonts w:ascii="Times New Roman" w:hAnsi="Times New Roman" w:cs="Times New Roman"/>
          <w:sz w:val="24"/>
          <w:szCs w:val="24"/>
        </w:rPr>
        <w:t>disease-causing</w:t>
      </w:r>
      <w:r w:rsidRPr="00273D9E">
        <w:rPr>
          <w:rFonts w:ascii="Times New Roman" w:hAnsi="Times New Roman" w:cs="Times New Roman"/>
          <w:sz w:val="24"/>
          <w:szCs w:val="24"/>
        </w:rPr>
        <w:t xml:space="preserve"> pathogens if not treated. </w:t>
      </w:r>
      <w:r w:rsidRPr="00273D9E">
        <w:rPr>
          <w:rFonts w:ascii="Times New Roman" w:hAnsi="Times New Roman" w:cs="Times New Roman"/>
          <w:sz w:val="24"/>
          <w:szCs w:val="24"/>
        </w:rPr>
        <w:lastRenderedPageBreak/>
        <w:t>Consequently, the population experiences increased rates of water</w:t>
      </w:r>
      <w:r w:rsidR="00707734">
        <w:rPr>
          <w:rFonts w:ascii="Times New Roman" w:hAnsi="Times New Roman" w:cs="Times New Roman"/>
          <w:sz w:val="24"/>
          <w:szCs w:val="24"/>
        </w:rPr>
        <w:t>-</w:t>
      </w:r>
      <w:r w:rsidRPr="00273D9E">
        <w:rPr>
          <w:rFonts w:ascii="Times New Roman" w:hAnsi="Times New Roman" w:cs="Times New Roman"/>
          <w:sz w:val="24"/>
          <w:szCs w:val="24"/>
        </w:rPr>
        <w:t>borne diseases and adverse health outcomes. Socio-economic conditions and awareness levels can either worsen or reduce these risks</w:t>
      </w:r>
      <w:r w:rsidR="00CF167A">
        <w:rPr>
          <w:rFonts w:ascii="Times New Roman" w:hAnsi="Times New Roman" w:cs="Times New Roman"/>
          <w:sz w:val="24"/>
          <w:szCs w:val="24"/>
        </w:rPr>
        <w:t>.</w:t>
      </w:r>
    </w:p>
    <w:p w:rsidR="00B353E8" w:rsidRPr="00B353E8" w:rsidRDefault="00B353E8" w:rsidP="00B353E8">
      <w:pPr>
        <w:spacing w:line="360" w:lineRule="auto"/>
        <w:jc w:val="both"/>
        <w:rPr>
          <w:rFonts w:ascii="Times New Roman" w:hAnsi="Times New Roman" w:cs="Times New Roman"/>
          <w:b/>
          <w:sz w:val="24"/>
          <w:szCs w:val="24"/>
        </w:rPr>
      </w:pPr>
      <w:r w:rsidRPr="00B353E8">
        <w:rPr>
          <w:rFonts w:ascii="Times New Roman" w:hAnsi="Times New Roman" w:cs="Times New Roman"/>
          <w:b/>
          <w:sz w:val="24"/>
          <w:szCs w:val="24"/>
        </w:rPr>
        <w:t xml:space="preserve">Methodology </w:t>
      </w:r>
    </w:p>
    <w:p w:rsidR="003E1106" w:rsidRDefault="00B353E8" w:rsidP="003E1106">
      <w:pPr>
        <w:spacing w:line="360" w:lineRule="auto"/>
        <w:ind w:firstLine="720"/>
        <w:contextualSpacing/>
        <w:jc w:val="both"/>
        <w:rPr>
          <w:rFonts w:ascii="Times New Roman" w:hAnsi="Times New Roman" w:cs="Times New Roman"/>
          <w:sz w:val="24"/>
          <w:szCs w:val="24"/>
        </w:rPr>
      </w:pPr>
      <w:r w:rsidRPr="00B353E8">
        <w:rPr>
          <w:rFonts w:ascii="Times New Roman" w:hAnsi="Times New Roman" w:cs="Times New Roman"/>
          <w:sz w:val="24"/>
          <w:szCs w:val="24"/>
        </w:rPr>
        <w:lastRenderedPageBreak/>
        <w:t xml:space="preserve">The research was conducted in the Johnsonville </w:t>
      </w:r>
      <w:r w:rsidR="003E1106" w:rsidRPr="00B353E8">
        <w:rPr>
          <w:rFonts w:ascii="Times New Roman" w:hAnsi="Times New Roman" w:cs="Times New Roman"/>
          <w:sz w:val="24"/>
          <w:szCs w:val="24"/>
        </w:rPr>
        <w:t>Township</w:t>
      </w:r>
      <w:r w:rsidRPr="00B353E8">
        <w:rPr>
          <w:rFonts w:ascii="Times New Roman" w:hAnsi="Times New Roman" w:cs="Times New Roman"/>
          <w:sz w:val="24"/>
          <w:szCs w:val="24"/>
        </w:rPr>
        <w:t xml:space="preserve">, a </w:t>
      </w:r>
      <w:proofErr w:type="spellStart"/>
      <w:r w:rsidRPr="00B353E8">
        <w:rPr>
          <w:rFonts w:ascii="Times New Roman" w:hAnsi="Times New Roman" w:cs="Times New Roman"/>
          <w:sz w:val="24"/>
          <w:szCs w:val="24"/>
        </w:rPr>
        <w:t>Peri</w:t>
      </w:r>
      <w:proofErr w:type="spellEnd"/>
      <w:r w:rsidRPr="00B353E8">
        <w:rPr>
          <w:rFonts w:ascii="Times New Roman" w:hAnsi="Times New Roman" w:cs="Times New Roman"/>
          <w:sz w:val="24"/>
          <w:szCs w:val="24"/>
        </w:rPr>
        <w:t>-urban community. The study adopted a descriptive Cross-sectional design using a mixed methods approach. The qualitative data were collected through interviews and direct observations to assess sanitation practices and community awareness, while the quantitative data were collected through laboratory analysis of drinking water samples. This design and approach best suit the research because they allow the assessment of water quality and its public health implications in Johnsonville Township at a single Point in time.</w:t>
      </w:r>
    </w:p>
    <w:p w:rsidR="003E1106" w:rsidRDefault="00B353E8" w:rsidP="003E1106">
      <w:pPr>
        <w:spacing w:line="360" w:lineRule="auto"/>
        <w:ind w:firstLine="720"/>
        <w:contextualSpacing/>
        <w:jc w:val="both"/>
        <w:rPr>
          <w:rFonts w:ascii="Times New Roman" w:hAnsi="Times New Roman" w:cs="Times New Roman"/>
          <w:sz w:val="24"/>
          <w:szCs w:val="24"/>
        </w:rPr>
      </w:pPr>
      <w:r w:rsidRPr="00B353E8">
        <w:rPr>
          <w:rFonts w:ascii="Times New Roman" w:hAnsi="Times New Roman" w:cs="Times New Roman"/>
          <w:sz w:val="24"/>
          <w:szCs w:val="24"/>
        </w:rPr>
        <w:t xml:space="preserve">The research considered the factors influencing water quality as independent variables and the outcomes as dependent variables. The outcomes include typhoid, cholera, and </w:t>
      </w:r>
      <w:proofErr w:type="spellStart"/>
      <w:r w:rsidRPr="00B353E8">
        <w:rPr>
          <w:rFonts w:ascii="Times New Roman" w:hAnsi="Times New Roman" w:cs="Times New Roman"/>
          <w:sz w:val="24"/>
          <w:szCs w:val="24"/>
        </w:rPr>
        <w:t>diarrhoea</w:t>
      </w:r>
      <w:proofErr w:type="spellEnd"/>
      <w:r w:rsidRPr="00B353E8">
        <w:rPr>
          <w:rFonts w:ascii="Times New Roman" w:hAnsi="Times New Roman" w:cs="Times New Roman"/>
          <w:sz w:val="24"/>
          <w:szCs w:val="24"/>
        </w:rPr>
        <w:t>, which are indicators of the health effects associated with unsafe drinking water. The research target</w:t>
      </w:r>
      <w:r w:rsidR="00FC243E">
        <w:rPr>
          <w:rFonts w:ascii="Times New Roman" w:hAnsi="Times New Roman" w:cs="Times New Roman"/>
          <w:sz w:val="24"/>
          <w:szCs w:val="24"/>
        </w:rPr>
        <w:t>ed 485 individuals, including</w:t>
      </w:r>
      <w:r w:rsidRPr="00B353E8">
        <w:rPr>
          <w:rFonts w:ascii="Times New Roman" w:hAnsi="Times New Roman" w:cs="Times New Roman"/>
          <w:sz w:val="24"/>
          <w:szCs w:val="24"/>
        </w:rPr>
        <w:t xml:space="preserve"> household </w:t>
      </w:r>
      <w:r w:rsidR="00FC243E">
        <w:rPr>
          <w:rFonts w:ascii="Times New Roman" w:hAnsi="Times New Roman" w:cs="Times New Roman"/>
          <w:sz w:val="24"/>
          <w:szCs w:val="24"/>
        </w:rPr>
        <w:t xml:space="preserve">heads, healthcare workers, </w:t>
      </w:r>
      <w:r w:rsidR="00707734">
        <w:rPr>
          <w:rFonts w:ascii="Times New Roman" w:hAnsi="Times New Roman" w:cs="Times New Roman"/>
          <w:sz w:val="24"/>
          <w:szCs w:val="24"/>
        </w:rPr>
        <w:t>community leaders, water vendors,</w:t>
      </w:r>
      <w:r w:rsidR="00FC243E">
        <w:rPr>
          <w:rFonts w:ascii="Times New Roman" w:hAnsi="Times New Roman" w:cs="Times New Roman"/>
          <w:sz w:val="24"/>
          <w:szCs w:val="24"/>
        </w:rPr>
        <w:t xml:space="preserve"> and </w:t>
      </w:r>
      <w:r w:rsidRPr="00B353E8">
        <w:rPr>
          <w:rFonts w:ascii="Times New Roman" w:hAnsi="Times New Roman" w:cs="Times New Roman"/>
          <w:sz w:val="24"/>
          <w:szCs w:val="24"/>
        </w:rPr>
        <w:t xml:space="preserve">WASH volunteers. Using the Yamane formula with a 95% confidence level and a targeted population of 485, the ideal sample size was 220. </w:t>
      </w:r>
    </w:p>
    <w:p w:rsidR="003E1106" w:rsidRDefault="00B353E8" w:rsidP="003E1106">
      <w:pPr>
        <w:spacing w:line="360" w:lineRule="auto"/>
        <w:ind w:firstLine="720"/>
        <w:contextualSpacing/>
        <w:jc w:val="both"/>
        <w:rPr>
          <w:rFonts w:ascii="Times New Roman" w:hAnsi="Times New Roman" w:cs="Times New Roman"/>
          <w:sz w:val="24"/>
          <w:szCs w:val="24"/>
        </w:rPr>
      </w:pPr>
      <w:r w:rsidRPr="00B353E8">
        <w:rPr>
          <w:rFonts w:ascii="Times New Roman" w:hAnsi="Times New Roman" w:cs="Times New Roman"/>
          <w:sz w:val="24"/>
          <w:szCs w:val="24"/>
        </w:rPr>
        <w:lastRenderedPageBreak/>
        <w:t xml:space="preserve">However, due to constraints, we collected data from 118 respondents, representing 53.64% </w:t>
      </w:r>
      <w:r w:rsidR="003E1106">
        <w:rPr>
          <w:rFonts w:ascii="Times New Roman" w:hAnsi="Times New Roman" w:cs="Times New Roman"/>
          <w:sz w:val="24"/>
          <w:szCs w:val="24"/>
        </w:rPr>
        <w:t xml:space="preserve">of the calculated sample size. </w:t>
      </w:r>
    </w:p>
    <w:p w:rsidR="003E1106" w:rsidRDefault="00B353E8" w:rsidP="003E1106">
      <w:pPr>
        <w:spacing w:line="360" w:lineRule="auto"/>
        <w:ind w:firstLine="720"/>
        <w:contextualSpacing/>
        <w:jc w:val="both"/>
        <w:rPr>
          <w:rFonts w:ascii="Times New Roman" w:hAnsi="Times New Roman" w:cs="Times New Roman"/>
          <w:sz w:val="24"/>
          <w:szCs w:val="24"/>
        </w:rPr>
      </w:pPr>
      <w:r w:rsidRPr="00B353E8">
        <w:rPr>
          <w:rFonts w:ascii="Times New Roman" w:hAnsi="Times New Roman" w:cs="Times New Roman"/>
          <w:sz w:val="24"/>
          <w:szCs w:val="24"/>
        </w:rPr>
        <w:t xml:space="preserve">We used combinations of sampling techniques, including stratified random sampling of households, </w:t>
      </w:r>
      <w:r w:rsidR="00FE24AC">
        <w:rPr>
          <w:rFonts w:ascii="Times New Roman" w:hAnsi="Times New Roman" w:cs="Times New Roman"/>
          <w:sz w:val="24"/>
          <w:szCs w:val="24"/>
        </w:rPr>
        <w:t>in which the community was divided into groups based on water source type and location, and purposive sampling to select community leaders, healthcare workers, and water vendors, and used</w:t>
      </w:r>
      <w:r w:rsidRPr="00B353E8">
        <w:rPr>
          <w:rFonts w:ascii="Times New Roman" w:hAnsi="Times New Roman" w:cs="Times New Roman"/>
          <w:sz w:val="24"/>
          <w:szCs w:val="24"/>
        </w:rPr>
        <w:t xml:space="preserve"> structured questionnaires to collect data. </w:t>
      </w:r>
    </w:p>
    <w:p w:rsidR="003E1106" w:rsidRDefault="00FE24AC" w:rsidP="003E1106">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Quantitative data were </w:t>
      </w:r>
      <w:proofErr w:type="spellStart"/>
      <w:r>
        <w:rPr>
          <w:rFonts w:ascii="Times New Roman" w:hAnsi="Times New Roman" w:cs="Times New Roman"/>
          <w:sz w:val="24"/>
          <w:szCs w:val="24"/>
        </w:rPr>
        <w:t>analys</w:t>
      </w:r>
      <w:r w:rsidR="003E1106" w:rsidRPr="00B353E8">
        <w:rPr>
          <w:rFonts w:ascii="Times New Roman" w:hAnsi="Times New Roman" w:cs="Times New Roman"/>
          <w:sz w:val="24"/>
          <w:szCs w:val="24"/>
        </w:rPr>
        <w:t>ed</w:t>
      </w:r>
      <w:proofErr w:type="spellEnd"/>
      <w:r w:rsidR="00B353E8" w:rsidRPr="00B353E8">
        <w:rPr>
          <w:rFonts w:ascii="Times New Roman" w:hAnsi="Times New Roman" w:cs="Times New Roman"/>
          <w:sz w:val="24"/>
          <w:szCs w:val="24"/>
        </w:rPr>
        <w:t xml:space="preserve"> using descriptive statistics.</w:t>
      </w:r>
      <w:r w:rsidR="003E1106">
        <w:rPr>
          <w:rFonts w:ascii="Times New Roman" w:hAnsi="Times New Roman" w:cs="Times New Roman"/>
          <w:sz w:val="24"/>
          <w:szCs w:val="24"/>
        </w:rPr>
        <w:t xml:space="preserve"> SPSS was used to </w:t>
      </w:r>
      <w:r>
        <w:rPr>
          <w:rFonts w:ascii="Times New Roman" w:hAnsi="Times New Roman" w:cs="Times New Roman"/>
          <w:sz w:val="24"/>
          <w:szCs w:val="24"/>
        </w:rPr>
        <w:t>support the analysi</w:t>
      </w:r>
      <w:r w:rsidR="003E1106">
        <w:rPr>
          <w:rFonts w:ascii="Times New Roman" w:hAnsi="Times New Roman" w:cs="Times New Roman"/>
          <w:sz w:val="24"/>
          <w:szCs w:val="24"/>
        </w:rPr>
        <w:t>s.</w:t>
      </w:r>
      <w:r w:rsidR="00B353E8" w:rsidRPr="00B353E8">
        <w:rPr>
          <w:rFonts w:ascii="Times New Roman" w:hAnsi="Times New Roman" w:cs="Times New Roman"/>
          <w:sz w:val="24"/>
          <w:szCs w:val="24"/>
        </w:rPr>
        <w:t xml:space="preserve"> For the qualitative analysis, responses were grouped into key themes and interpreted to provide insight and ensure a comprehe</w:t>
      </w:r>
      <w:r w:rsidR="003E1106">
        <w:rPr>
          <w:rFonts w:ascii="Times New Roman" w:hAnsi="Times New Roman" w:cs="Times New Roman"/>
          <w:sz w:val="24"/>
          <w:szCs w:val="24"/>
        </w:rPr>
        <w:t>nsive analysis of the research.</w:t>
      </w:r>
    </w:p>
    <w:p w:rsidR="00B353E8" w:rsidRDefault="00B353E8" w:rsidP="003E1106">
      <w:pPr>
        <w:spacing w:line="360" w:lineRule="auto"/>
        <w:ind w:firstLine="720"/>
        <w:contextualSpacing/>
        <w:jc w:val="both"/>
        <w:rPr>
          <w:rFonts w:ascii="Times New Roman" w:hAnsi="Times New Roman" w:cs="Times New Roman"/>
          <w:sz w:val="24"/>
          <w:szCs w:val="24"/>
        </w:rPr>
      </w:pPr>
      <w:r w:rsidRPr="00B353E8">
        <w:rPr>
          <w:rFonts w:ascii="Times New Roman" w:hAnsi="Times New Roman" w:cs="Times New Roman"/>
          <w:sz w:val="24"/>
          <w:szCs w:val="24"/>
        </w:rPr>
        <w:t>Informed consent was obtained from each participant, and they were informed that participation was voluntary and that they could discontinue at any time. We observed the confidentiality rules and removed all direct identifiers from the data. The Ethics Department of the Research and Institutional Development at CEPRES International University approved the research and fully followed the process.</w:t>
      </w:r>
    </w:p>
    <w:p w:rsidR="00ED6961" w:rsidRDefault="00ED6961" w:rsidP="00B353E8">
      <w:pPr>
        <w:spacing w:line="360" w:lineRule="auto"/>
        <w:jc w:val="both"/>
        <w:rPr>
          <w:rFonts w:ascii="Times New Roman" w:hAnsi="Times New Roman" w:cs="Times New Roman"/>
          <w:b/>
          <w:sz w:val="24"/>
          <w:szCs w:val="24"/>
        </w:rPr>
        <w:sectPr w:rsidR="00ED6961" w:rsidSect="00ED6961">
          <w:type w:val="continuous"/>
          <w:pgSz w:w="12240" w:h="15840"/>
          <w:pgMar w:top="1440" w:right="1440" w:bottom="1440" w:left="1440" w:header="720" w:footer="720" w:gutter="0"/>
          <w:cols w:num="2" w:space="720"/>
          <w:docGrid w:linePitch="360"/>
        </w:sectPr>
      </w:pPr>
    </w:p>
    <w:p w:rsidR="00224DAB" w:rsidRDefault="00224DAB" w:rsidP="00B353E8">
      <w:pPr>
        <w:spacing w:line="360" w:lineRule="auto"/>
        <w:jc w:val="both"/>
        <w:rPr>
          <w:rFonts w:ascii="Times New Roman" w:hAnsi="Times New Roman" w:cs="Times New Roman"/>
          <w:b/>
          <w:sz w:val="24"/>
          <w:szCs w:val="24"/>
        </w:rPr>
      </w:pPr>
    </w:p>
    <w:p w:rsidR="008254B5" w:rsidRDefault="008254B5" w:rsidP="00B353E8">
      <w:pPr>
        <w:spacing w:line="360" w:lineRule="auto"/>
        <w:jc w:val="both"/>
        <w:rPr>
          <w:rFonts w:ascii="Times New Roman" w:hAnsi="Times New Roman" w:cs="Times New Roman"/>
          <w:b/>
          <w:sz w:val="24"/>
          <w:szCs w:val="24"/>
        </w:rPr>
      </w:pPr>
    </w:p>
    <w:p w:rsidR="000A25E6" w:rsidRPr="00ED6961" w:rsidRDefault="000A25E6" w:rsidP="00B353E8">
      <w:pPr>
        <w:spacing w:line="360" w:lineRule="auto"/>
        <w:jc w:val="both"/>
        <w:rPr>
          <w:rFonts w:ascii="Times New Roman" w:hAnsi="Times New Roman" w:cs="Times New Roman"/>
          <w:b/>
          <w:sz w:val="24"/>
          <w:szCs w:val="24"/>
        </w:rPr>
      </w:pPr>
      <w:r w:rsidRPr="00ED6961">
        <w:rPr>
          <w:rFonts w:ascii="Times New Roman" w:hAnsi="Times New Roman" w:cs="Times New Roman"/>
          <w:b/>
          <w:sz w:val="24"/>
          <w:szCs w:val="24"/>
        </w:rPr>
        <w:lastRenderedPageBreak/>
        <w:t xml:space="preserve">Results </w:t>
      </w:r>
    </w:p>
    <w:p w:rsidR="000A25E6" w:rsidRPr="000A25E6" w:rsidRDefault="000A25E6" w:rsidP="000A25E6">
      <w:pPr>
        <w:pStyle w:val="Caption"/>
        <w:rPr>
          <w:rFonts w:ascii="Times New Roman" w:eastAsia="Times New Roman" w:hAnsi="Times New Roman" w:cs="Times New Roman"/>
          <w:sz w:val="24"/>
          <w:szCs w:val="24"/>
        </w:rPr>
      </w:pPr>
      <w:r w:rsidRPr="000A25E6">
        <w:rPr>
          <w:rFonts w:ascii="Times New Roman" w:hAnsi="Times New Roman" w:cs="Times New Roman"/>
          <w:sz w:val="24"/>
          <w:szCs w:val="24"/>
        </w:rPr>
        <w:t xml:space="preserve">Table </w:t>
      </w:r>
      <w:r w:rsidRPr="000A25E6">
        <w:rPr>
          <w:rFonts w:ascii="Times New Roman" w:hAnsi="Times New Roman" w:cs="Times New Roman"/>
          <w:sz w:val="24"/>
          <w:szCs w:val="24"/>
        </w:rPr>
        <w:fldChar w:fldCharType="begin"/>
      </w:r>
      <w:r w:rsidRPr="000A25E6">
        <w:rPr>
          <w:rFonts w:ascii="Times New Roman" w:hAnsi="Times New Roman" w:cs="Times New Roman"/>
          <w:sz w:val="24"/>
          <w:szCs w:val="24"/>
        </w:rPr>
        <w:instrText xml:space="preserve"> SEQ Table \* ARABIC </w:instrText>
      </w:r>
      <w:r w:rsidRPr="000A25E6">
        <w:rPr>
          <w:rFonts w:ascii="Times New Roman" w:hAnsi="Times New Roman" w:cs="Times New Roman"/>
          <w:sz w:val="24"/>
          <w:szCs w:val="24"/>
        </w:rPr>
        <w:fldChar w:fldCharType="separate"/>
      </w:r>
      <w:r w:rsidR="00B03E47">
        <w:rPr>
          <w:rFonts w:ascii="Times New Roman" w:hAnsi="Times New Roman" w:cs="Times New Roman"/>
          <w:noProof/>
          <w:sz w:val="24"/>
          <w:szCs w:val="24"/>
        </w:rPr>
        <w:t>1</w:t>
      </w:r>
      <w:r w:rsidRPr="000A25E6">
        <w:rPr>
          <w:rFonts w:ascii="Times New Roman" w:hAnsi="Times New Roman" w:cs="Times New Roman"/>
          <w:sz w:val="24"/>
          <w:szCs w:val="24"/>
        </w:rPr>
        <w:fldChar w:fldCharType="end"/>
      </w:r>
      <w:r w:rsidRPr="000A25E6">
        <w:rPr>
          <w:rFonts w:ascii="Times New Roman" w:hAnsi="Times New Roman" w:cs="Times New Roman"/>
          <w:sz w:val="24"/>
          <w:szCs w:val="24"/>
        </w:rPr>
        <w:t>: Socio-Demographic Characteristics of Respondents</w:t>
      </w:r>
    </w:p>
    <w:tbl>
      <w:tblPr>
        <w:tblStyle w:val="TableGrid"/>
        <w:tblW w:w="0" w:type="auto"/>
        <w:tblLook w:val="04A0" w:firstRow="1" w:lastRow="0" w:firstColumn="1" w:lastColumn="0" w:noHBand="0" w:noVBand="1"/>
      </w:tblPr>
      <w:tblGrid>
        <w:gridCol w:w="1968"/>
        <w:gridCol w:w="2936"/>
        <w:gridCol w:w="1778"/>
        <w:gridCol w:w="1938"/>
      </w:tblGrid>
      <w:tr w:rsidR="000A25E6" w:rsidRPr="00CE54B3" w:rsidTr="00C3087F">
        <w:tc>
          <w:tcPr>
            <w:tcW w:w="0" w:type="auto"/>
            <w:hideMark/>
          </w:tcPr>
          <w:p w:rsidR="000A25E6" w:rsidRPr="00CE54B3" w:rsidRDefault="000A25E6" w:rsidP="00C3087F">
            <w:pPr>
              <w:pStyle w:val="NoSpacing"/>
              <w:jc w:val="center"/>
              <w:rPr>
                <w:rFonts w:ascii="Cambria" w:hAnsi="Cambria"/>
                <w:b/>
                <w:sz w:val="24"/>
                <w:szCs w:val="24"/>
              </w:rPr>
            </w:pPr>
            <w:r w:rsidRPr="00CE54B3">
              <w:rPr>
                <w:rFonts w:ascii="Cambria" w:hAnsi="Cambria"/>
                <w:b/>
                <w:sz w:val="24"/>
                <w:szCs w:val="24"/>
              </w:rPr>
              <w:t>Variables</w:t>
            </w:r>
          </w:p>
        </w:tc>
        <w:tc>
          <w:tcPr>
            <w:tcW w:w="0" w:type="auto"/>
            <w:hideMark/>
          </w:tcPr>
          <w:p w:rsidR="000A25E6" w:rsidRPr="00CE54B3" w:rsidRDefault="000A25E6" w:rsidP="00C3087F">
            <w:pPr>
              <w:pStyle w:val="NoSpacing"/>
              <w:jc w:val="center"/>
              <w:rPr>
                <w:rFonts w:ascii="Cambria" w:hAnsi="Cambria"/>
                <w:b/>
                <w:sz w:val="24"/>
                <w:szCs w:val="24"/>
              </w:rPr>
            </w:pPr>
            <w:r w:rsidRPr="00CE54B3">
              <w:rPr>
                <w:rFonts w:ascii="Cambria" w:hAnsi="Cambria"/>
                <w:b/>
                <w:sz w:val="24"/>
                <w:szCs w:val="24"/>
              </w:rPr>
              <w:t>Category</w:t>
            </w:r>
          </w:p>
        </w:tc>
        <w:tc>
          <w:tcPr>
            <w:tcW w:w="0" w:type="auto"/>
            <w:hideMark/>
          </w:tcPr>
          <w:p w:rsidR="000A25E6" w:rsidRPr="00CE54B3" w:rsidRDefault="000A25E6" w:rsidP="00C3087F">
            <w:pPr>
              <w:pStyle w:val="NoSpacing"/>
              <w:jc w:val="center"/>
              <w:rPr>
                <w:rFonts w:ascii="Cambria" w:hAnsi="Cambria"/>
                <w:b/>
                <w:sz w:val="24"/>
                <w:szCs w:val="24"/>
              </w:rPr>
            </w:pPr>
            <w:r w:rsidRPr="00CE54B3">
              <w:rPr>
                <w:rFonts w:ascii="Cambria" w:hAnsi="Cambria"/>
                <w:b/>
                <w:sz w:val="24"/>
                <w:szCs w:val="24"/>
              </w:rPr>
              <w:t>Frequency (n)</w:t>
            </w:r>
          </w:p>
        </w:tc>
        <w:tc>
          <w:tcPr>
            <w:tcW w:w="0" w:type="auto"/>
            <w:hideMark/>
          </w:tcPr>
          <w:p w:rsidR="000A25E6" w:rsidRPr="00CE54B3" w:rsidRDefault="000A25E6" w:rsidP="00C3087F">
            <w:pPr>
              <w:pStyle w:val="NoSpacing"/>
              <w:jc w:val="center"/>
              <w:rPr>
                <w:rFonts w:ascii="Cambria" w:hAnsi="Cambria"/>
                <w:b/>
                <w:sz w:val="24"/>
                <w:szCs w:val="24"/>
              </w:rPr>
            </w:pPr>
            <w:r w:rsidRPr="00CE54B3">
              <w:rPr>
                <w:rFonts w:ascii="Cambria" w:hAnsi="Cambria"/>
                <w:b/>
                <w:sz w:val="24"/>
                <w:szCs w:val="24"/>
              </w:rPr>
              <w:t>Percentage (%)</w:t>
            </w:r>
          </w:p>
        </w:tc>
      </w:tr>
      <w:tr w:rsidR="000A25E6" w:rsidRPr="00D960B5" w:rsidTr="00C3087F">
        <w:tc>
          <w:tcPr>
            <w:tcW w:w="0" w:type="auto"/>
            <w:vMerge w:val="restart"/>
            <w:hideMark/>
          </w:tcPr>
          <w:p w:rsidR="000A25E6" w:rsidRPr="00CE54B3" w:rsidRDefault="000A25E6" w:rsidP="00C3087F">
            <w:pPr>
              <w:pStyle w:val="NoSpacing"/>
              <w:rPr>
                <w:rFonts w:ascii="Cambria" w:hAnsi="Cambria"/>
                <w:sz w:val="24"/>
                <w:szCs w:val="24"/>
              </w:rPr>
            </w:pPr>
            <w:r w:rsidRPr="00CE54B3">
              <w:rPr>
                <w:rFonts w:ascii="Cambria" w:hAnsi="Cambria"/>
                <w:b/>
                <w:bCs/>
                <w:sz w:val="24"/>
                <w:szCs w:val="24"/>
              </w:rPr>
              <w:t>Gender</w:t>
            </w:r>
          </w:p>
        </w:tc>
        <w:tc>
          <w:tcPr>
            <w:tcW w:w="0" w:type="auto"/>
            <w:hideMark/>
          </w:tcPr>
          <w:p w:rsidR="000A25E6" w:rsidRPr="00CE54B3" w:rsidRDefault="000A25E6" w:rsidP="00C3087F">
            <w:pPr>
              <w:pStyle w:val="NoSpacing"/>
              <w:rPr>
                <w:rFonts w:ascii="Cambria" w:hAnsi="Cambria"/>
                <w:sz w:val="24"/>
                <w:szCs w:val="24"/>
              </w:rPr>
            </w:pPr>
            <w:r w:rsidRPr="00CE54B3">
              <w:rPr>
                <w:rFonts w:ascii="Cambria" w:hAnsi="Cambria"/>
                <w:sz w:val="24"/>
                <w:szCs w:val="24"/>
              </w:rPr>
              <w:t>Male</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65</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55.1</w:t>
            </w:r>
          </w:p>
        </w:tc>
      </w:tr>
      <w:tr w:rsidR="000A25E6" w:rsidRPr="00D960B5" w:rsidTr="00C3087F">
        <w:tc>
          <w:tcPr>
            <w:tcW w:w="0" w:type="auto"/>
            <w:vMerge/>
            <w:hideMark/>
          </w:tcPr>
          <w:p w:rsidR="000A25E6" w:rsidRPr="00CE54B3" w:rsidRDefault="000A25E6" w:rsidP="00C3087F">
            <w:pPr>
              <w:pStyle w:val="NoSpacing"/>
              <w:rPr>
                <w:rFonts w:ascii="Cambria" w:hAnsi="Cambria"/>
                <w:sz w:val="24"/>
                <w:szCs w:val="24"/>
              </w:rPr>
            </w:pPr>
          </w:p>
        </w:tc>
        <w:tc>
          <w:tcPr>
            <w:tcW w:w="0" w:type="auto"/>
            <w:hideMark/>
          </w:tcPr>
          <w:p w:rsidR="000A25E6" w:rsidRPr="00CE54B3" w:rsidRDefault="000A25E6" w:rsidP="00C3087F">
            <w:pPr>
              <w:pStyle w:val="NoSpacing"/>
              <w:rPr>
                <w:rFonts w:ascii="Cambria" w:hAnsi="Cambria"/>
                <w:sz w:val="24"/>
                <w:szCs w:val="24"/>
              </w:rPr>
            </w:pPr>
            <w:r w:rsidRPr="00CE54B3">
              <w:rPr>
                <w:rFonts w:ascii="Cambria" w:hAnsi="Cambria"/>
                <w:sz w:val="24"/>
                <w:szCs w:val="24"/>
              </w:rPr>
              <w:t>Female</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53</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44.9</w:t>
            </w:r>
          </w:p>
        </w:tc>
      </w:tr>
      <w:tr w:rsidR="000A25E6" w:rsidRPr="00D960B5" w:rsidTr="00C3087F">
        <w:tc>
          <w:tcPr>
            <w:tcW w:w="0" w:type="auto"/>
            <w:vMerge w:val="restart"/>
            <w:hideMark/>
          </w:tcPr>
          <w:p w:rsidR="000A25E6" w:rsidRPr="00CE54B3" w:rsidRDefault="000A25E6" w:rsidP="00C3087F">
            <w:pPr>
              <w:pStyle w:val="NoSpacing"/>
              <w:rPr>
                <w:rFonts w:ascii="Cambria" w:hAnsi="Cambria"/>
                <w:sz w:val="24"/>
                <w:szCs w:val="24"/>
              </w:rPr>
            </w:pPr>
            <w:r w:rsidRPr="00CE54B3">
              <w:rPr>
                <w:rFonts w:ascii="Cambria" w:hAnsi="Cambria"/>
                <w:b/>
                <w:bCs/>
                <w:sz w:val="24"/>
                <w:szCs w:val="24"/>
              </w:rPr>
              <w:t>Age Group</w:t>
            </w:r>
          </w:p>
        </w:tc>
        <w:tc>
          <w:tcPr>
            <w:tcW w:w="0" w:type="auto"/>
            <w:hideMark/>
          </w:tcPr>
          <w:p w:rsidR="000A25E6" w:rsidRPr="00CE54B3" w:rsidRDefault="004A1A92" w:rsidP="00C3087F">
            <w:pPr>
              <w:pStyle w:val="NoSpacing"/>
              <w:rPr>
                <w:rFonts w:ascii="Cambria" w:hAnsi="Cambria"/>
                <w:sz w:val="24"/>
                <w:szCs w:val="24"/>
              </w:rPr>
            </w:pPr>
            <w:r>
              <w:rPr>
                <w:rFonts w:ascii="Cambria" w:hAnsi="Cambria"/>
                <w:sz w:val="24"/>
                <w:szCs w:val="24"/>
              </w:rPr>
              <w:t>18-2</w:t>
            </w:r>
            <w:r w:rsidR="000A25E6" w:rsidRPr="00CE54B3">
              <w:rPr>
                <w:rFonts w:ascii="Cambria" w:hAnsi="Cambria"/>
                <w:sz w:val="24"/>
                <w:szCs w:val="24"/>
              </w:rPr>
              <w:t>5 years</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28</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23.7</w:t>
            </w:r>
          </w:p>
        </w:tc>
      </w:tr>
      <w:tr w:rsidR="000A25E6" w:rsidRPr="00D960B5" w:rsidTr="00C3087F">
        <w:tc>
          <w:tcPr>
            <w:tcW w:w="0" w:type="auto"/>
            <w:vMerge/>
            <w:hideMark/>
          </w:tcPr>
          <w:p w:rsidR="000A25E6" w:rsidRPr="00CE54B3" w:rsidRDefault="000A25E6" w:rsidP="00C3087F">
            <w:pPr>
              <w:pStyle w:val="NoSpacing"/>
              <w:rPr>
                <w:rFonts w:ascii="Cambria" w:hAnsi="Cambria"/>
                <w:sz w:val="24"/>
                <w:szCs w:val="24"/>
              </w:rPr>
            </w:pPr>
          </w:p>
        </w:tc>
        <w:tc>
          <w:tcPr>
            <w:tcW w:w="0" w:type="auto"/>
            <w:hideMark/>
          </w:tcPr>
          <w:p w:rsidR="000A25E6" w:rsidRPr="00CE54B3" w:rsidRDefault="004A1A92" w:rsidP="00C3087F">
            <w:pPr>
              <w:pStyle w:val="NoSpacing"/>
              <w:rPr>
                <w:rFonts w:ascii="Cambria" w:hAnsi="Cambria"/>
                <w:sz w:val="24"/>
                <w:szCs w:val="24"/>
              </w:rPr>
            </w:pPr>
            <w:r>
              <w:rPr>
                <w:rFonts w:ascii="Cambria" w:hAnsi="Cambria"/>
                <w:sz w:val="24"/>
                <w:szCs w:val="24"/>
              </w:rPr>
              <w:t>26-32</w:t>
            </w:r>
            <w:r w:rsidR="000A25E6" w:rsidRPr="00CE54B3">
              <w:rPr>
                <w:rFonts w:ascii="Cambria" w:hAnsi="Cambria"/>
                <w:sz w:val="24"/>
                <w:szCs w:val="24"/>
              </w:rPr>
              <w:t xml:space="preserve"> years</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39</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33.1</w:t>
            </w:r>
          </w:p>
        </w:tc>
      </w:tr>
      <w:tr w:rsidR="000A25E6" w:rsidRPr="00D960B5" w:rsidTr="00C3087F">
        <w:tc>
          <w:tcPr>
            <w:tcW w:w="0" w:type="auto"/>
            <w:vMerge/>
            <w:hideMark/>
          </w:tcPr>
          <w:p w:rsidR="000A25E6" w:rsidRPr="00CE54B3" w:rsidRDefault="000A25E6" w:rsidP="00C3087F">
            <w:pPr>
              <w:pStyle w:val="NoSpacing"/>
              <w:rPr>
                <w:rFonts w:ascii="Cambria" w:hAnsi="Cambria"/>
                <w:sz w:val="24"/>
                <w:szCs w:val="24"/>
              </w:rPr>
            </w:pPr>
          </w:p>
        </w:tc>
        <w:tc>
          <w:tcPr>
            <w:tcW w:w="0" w:type="auto"/>
            <w:hideMark/>
          </w:tcPr>
          <w:p w:rsidR="000A25E6" w:rsidRPr="00CE54B3" w:rsidRDefault="004A1A92" w:rsidP="00C3087F">
            <w:pPr>
              <w:pStyle w:val="NoSpacing"/>
              <w:rPr>
                <w:rFonts w:ascii="Cambria" w:hAnsi="Cambria"/>
                <w:sz w:val="24"/>
                <w:szCs w:val="24"/>
              </w:rPr>
            </w:pPr>
            <w:r>
              <w:rPr>
                <w:rFonts w:ascii="Cambria" w:hAnsi="Cambria"/>
                <w:sz w:val="24"/>
                <w:szCs w:val="24"/>
              </w:rPr>
              <w:t>33-39</w:t>
            </w:r>
            <w:r w:rsidR="000A25E6" w:rsidRPr="00CE54B3">
              <w:rPr>
                <w:rFonts w:ascii="Cambria" w:hAnsi="Cambria"/>
                <w:sz w:val="24"/>
                <w:szCs w:val="24"/>
              </w:rPr>
              <w:t xml:space="preserve"> years</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36</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30.5</w:t>
            </w:r>
          </w:p>
        </w:tc>
      </w:tr>
      <w:tr w:rsidR="000A25E6" w:rsidRPr="00D960B5" w:rsidTr="00C3087F">
        <w:tc>
          <w:tcPr>
            <w:tcW w:w="0" w:type="auto"/>
            <w:vMerge/>
            <w:hideMark/>
          </w:tcPr>
          <w:p w:rsidR="000A25E6" w:rsidRPr="00CE54B3" w:rsidRDefault="000A25E6" w:rsidP="00C3087F">
            <w:pPr>
              <w:pStyle w:val="NoSpacing"/>
              <w:rPr>
                <w:rFonts w:ascii="Cambria" w:hAnsi="Cambria"/>
                <w:sz w:val="24"/>
                <w:szCs w:val="24"/>
              </w:rPr>
            </w:pPr>
          </w:p>
        </w:tc>
        <w:tc>
          <w:tcPr>
            <w:tcW w:w="0" w:type="auto"/>
            <w:hideMark/>
          </w:tcPr>
          <w:p w:rsidR="000A25E6" w:rsidRPr="00CE54B3" w:rsidRDefault="004A1A92" w:rsidP="004A1A92">
            <w:pPr>
              <w:pStyle w:val="NoSpacing"/>
              <w:rPr>
                <w:rFonts w:ascii="Cambria" w:hAnsi="Cambria"/>
                <w:sz w:val="24"/>
                <w:szCs w:val="24"/>
              </w:rPr>
            </w:pPr>
            <w:r>
              <w:rPr>
                <w:rFonts w:ascii="Cambria" w:hAnsi="Cambria"/>
                <w:sz w:val="24"/>
                <w:szCs w:val="24"/>
              </w:rPr>
              <w:t>40 &amp; above</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15</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12.7</w:t>
            </w:r>
          </w:p>
        </w:tc>
      </w:tr>
      <w:tr w:rsidR="000A25E6" w:rsidRPr="00D960B5" w:rsidTr="00C3087F">
        <w:tc>
          <w:tcPr>
            <w:tcW w:w="0" w:type="auto"/>
            <w:vMerge w:val="restart"/>
            <w:hideMark/>
          </w:tcPr>
          <w:p w:rsidR="000A25E6" w:rsidRPr="00CE54B3" w:rsidRDefault="000A25E6" w:rsidP="00C3087F">
            <w:pPr>
              <w:pStyle w:val="NoSpacing"/>
              <w:rPr>
                <w:rFonts w:ascii="Cambria" w:hAnsi="Cambria"/>
                <w:sz w:val="24"/>
                <w:szCs w:val="24"/>
              </w:rPr>
            </w:pPr>
            <w:r w:rsidRPr="00CE54B3">
              <w:rPr>
                <w:rFonts w:ascii="Cambria" w:hAnsi="Cambria"/>
                <w:b/>
                <w:bCs/>
                <w:sz w:val="24"/>
                <w:szCs w:val="24"/>
              </w:rPr>
              <w:t>Education Level</w:t>
            </w:r>
          </w:p>
        </w:tc>
        <w:tc>
          <w:tcPr>
            <w:tcW w:w="0" w:type="auto"/>
            <w:hideMark/>
          </w:tcPr>
          <w:p w:rsidR="000A25E6" w:rsidRPr="00CE54B3" w:rsidRDefault="000A25E6" w:rsidP="00C3087F">
            <w:pPr>
              <w:pStyle w:val="NoSpacing"/>
              <w:rPr>
                <w:rFonts w:ascii="Cambria" w:hAnsi="Cambria"/>
                <w:sz w:val="24"/>
                <w:szCs w:val="24"/>
              </w:rPr>
            </w:pPr>
            <w:r w:rsidRPr="00CE54B3">
              <w:rPr>
                <w:rFonts w:ascii="Cambria" w:hAnsi="Cambria"/>
                <w:sz w:val="24"/>
                <w:szCs w:val="24"/>
              </w:rPr>
              <w:t>None</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14</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11.9</w:t>
            </w:r>
          </w:p>
        </w:tc>
      </w:tr>
      <w:tr w:rsidR="000A25E6" w:rsidRPr="00D960B5" w:rsidTr="00C3087F">
        <w:tc>
          <w:tcPr>
            <w:tcW w:w="0" w:type="auto"/>
            <w:vMerge/>
            <w:hideMark/>
          </w:tcPr>
          <w:p w:rsidR="000A25E6" w:rsidRPr="00CE54B3" w:rsidRDefault="000A25E6" w:rsidP="00C3087F">
            <w:pPr>
              <w:pStyle w:val="NoSpacing"/>
              <w:rPr>
                <w:rFonts w:ascii="Cambria" w:hAnsi="Cambria"/>
                <w:sz w:val="24"/>
                <w:szCs w:val="24"/>
              </w:rPr>
            </w:pPr>
          </w:p>
        </w:tc>
        <w:tc>
          <w:tcPr>
            <w:tcW w:w="0" w:type="auto"/>
          </w:tcPr>
          <w:p w:rsidR="000A25E6" w:rsidRPr="00CE54B3" w:rsidRDefault="000A25E6" w:rsidP="00C3087F">
            <w:pPr>
              <w:pStyle w:val="NoSpacing"/>
              <w:rPr>
                <w:rFonts w:ascii="Cambria" w:hAnsi="Cambria"/>
                <w:sz w:val="24"/>
                <w:szCs w:val="24"/>
              </w:rPr>
            </w:pPr>
            <w:r w:rsidRPr="00CE54B3">
              <w:rPr>
                <w:rFonts w:ascii="Cambria" w:hAnsi="Cambria"/>
                <w:sz w:val="24"/>
                <w:szCs w:val="24"/>
              </w:rPr>
              <w:t>Primary</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35</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29.7</w:t>
            </w:r>
          </w:p>
        </w:tc>
      </w:tr>
      <w:tr w:rsidR="000A25E6" w:rsidRPr="00D960B5" w:rsidTr="00C3087F">
        <w:tc>
          <w:tcPr>
            <w:tcW w:w="0" w:type="auto"/>
            <w:vMerge/>
            <w:hideMark/>
          </w:tcPr>
          <w:p w:rsidR="000A25E6" w:rsidRPr="00CE54B3" w:rsidRDefault="000A25E6" w:rsidP="00C3087F">
            <w:pPr>
              <w:pStyle w:val="NoSpacing"/>
              <w:rPr>
                <w:rFonts w:ascii="Cambria" w:hAnsi="Cambria"/>
                <w:sz w:val="24"/>
                <w:szCs w:val="24"/>
              </w:rPr>
            </w:pPr>
          </w:p>
        </w:tc>
        <w:tc>
          <w:tcPr>
            <w:tcW w:w="0" w:type="auto"/>
          </w:tcPr>
          <w:p w:rsidR="000A25E6" w:rsidRPr="00CE54B3" w:rsidRDefault="000A25E6" w:rsidP="00C3087F">
            <w:pPr>
              <w:pStyle w:val="NoSpacing"/>
              <w:rPr>
                <w:rFonts w:ascii="Cambria" w:hAnsi="Cambria"/>
                <w:sz w:val="24"/>
                <w:szCs w:val="24"/>
              </w:rPr>
            </w:pPr>
            <w:r w:rsidRPr="00CE54B3">
              <w:rPr>
                <w:rFonts w:ascii="Cambria" w:hAnsi="Cambria"/>
                <w:sz w:val="24"/>
                <w:szCs w:val="24"/>
              </w:rPr>
              <w:t>Secondary</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66</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55.9</w:t>
            </w:r>
          </w:p>
        </w:tc>
      </w:tr>
      <w:tr w:rsidR="000A25E6" w:rsidRPr="00D960B5" w:rsidTr="00C3087F">
        <w:tc>
          <w:tcPr>
            <w:tcW w:w="0" w:type="auto"/>
            <w:vMerge/>
            <w:hideMark/>
          </w:tcPr>
          <w:p w:rsidR="000A25E6" w:rsidRPr="00CE54B3" w:rsidRDefault="000A25E6" w:rsidP="00C3087F">
            <w:pPr>
              <w:pStyle w:val="NoSpacing"/>
              <w:rPr>
                <w:rFonts w:ascii="Cambria" w:hAnsi="Cambria"/>
                <w:sz w:val="24"/>
                <w:szCs w:val="24"/>
              </w:rPr>
            </w:pPr>
          </w:p>
        </w:tc>
        <w:tc>
          <w:tcPr>
            <w:tcW w:w="0" w:type="auto"/>
            <w:hideMark/>
          </w:tcPr>
          <w:p w:rsidR="000A25E6" w:rsidRPr="00CE54B3" w:rsidRDefault="000A25E6" w:rsidP="00C3087F">
            <w:pPr>
              <w:pStyle w:val="NoSpacing"/>
              <w:rPr>
                <w:rFonts w:ascii="Cambria" w:hAnsi="Cambria"/>
                <w:sz w:val="24"/>
                <w:szCs w:val="24"/>
              </w:rPr>
            </w:pPr>
            <w:r w:rsidRPr="00CE54B3">
              <w:rPr>
                <w:rFonts w:ascii="Cambria" w:hAnsi="Cambria"/>
                <w:sz w:val="24"/>
                <w:szCs w:val="24"/>
              </w:rPr>
              <w:t>Tertiary</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11</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9.3</w:t>
            </w:r>
          </w:p>
        </w:tc>
      </w:tr>
      <w:tr w:rsidR="000A25E6" w:rsidRPr="00D960B5" w:rsidTr="00C3087F">
        <w:tc>
          <w:tcPr>
            <w:tcW w:w="0" w:type="auto"/>
            <w:vMerge w:val="restart"/>
            <w:hideMark/>
          </w:tcPr>
          <w:p w:rsidR="000A25E6" w:rsidRPr="00CE54B3" w:rsidRDefault="000A25E6" w:rsidP="00C3087F">
            <w:pPr>
              <w:pStyle w:val="NoSpacing"/>
              <w:rPr>
                <w:rFonts w:ascii="Cambria" w:hAnsi="Cambria"/>
                <w:sz w:val="24"/>
                <w:szCs w:val="24"/>
              </w:rPr>
            </w:pPr>
            <w:r w:rsidRPr="00CE54B3">
              <w:rPr>
                <w:rFonts w:ascii="Cambria" w:hAnsi="Cambria"/>
                <w:b/>
                <w:bCs/>
                <w:sz w:val="24"/>
                <w:szCs w:val="24"/>
              </w:rPr>
              <w:t>Occupation</w:t>
            </w:r>
          </w:p>
        </w:tc>
        <w:tc>
          <w:tcPr>
            <w:tcW w:w="0" w:type="auto"/>
            <w:hideMark/>
          </w:tcPr>
          <w:p w:rsidR="000A25E6" w:rsidRPr="00CE54B3" w:rsidRDefault="000A25E6" w:rsidP="00C3087F">
            <w:pPr>
              <w:pStyle w:val="NoSpacing"/>
              <w:rPr>
                <w:rFonts w:ascii="Cambria" w:hAnsi="Cambria"/>
                <w:sz w:val="24"/>
                <w:szCs w:val="24"/>
              </w:rPr>
            </w:pPr>
            <w:r w:rsidRPr="00CE54B3">
              <w:rPr>
                <w:rFonts w:ascii="Cambria" w:hAnsi="Cambria"/>
                <w:sz w:val="24"/>
                <w:szCs w:val="24"/>
              </w:rPr>
              <w:t>Self-employed/Business</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41</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34.7</w:t>
            </w:r>
          </w:p>
        </w:tc>
      </w:tr>
      <w:tr w:rsidR="000A25E6" w:rsidRPr="00D960B5" w:rsidTr="00C3087F">
        <w:tc>
          <w:tcPr>
            <w:tcW w:w="0" w:type="auto"/>
            <w:vMerge/>
            <w:hideMark/>
          </w:tcPr>
          <w:p w:rsidR="000A25E6" w:rsidRPr="00CE54B3" w:rsidRDefault="000A25E6" w:rsidP="00C3087F">
            <w:pPr>
              <w:pStyle w:val="NoSpacing"/>
              <w:rPr>
                <w:rFonts w:ascii="Cambria" w:hAnsi="Cambria"/>
                <w:sz w:val="24"/>
                <w:szCs w:val="24"/>
              </w:rPr>
            </w:pPr>
          </w:p>
        </w:tc>
        <w:tc>
          <w:tcPr>
            <w:tcW w:w="0" w:type="auto"/>
            <w:hideMark/>
          </w:tcPr>
          <w:p w:rsidR="000A25E6" w:rsidRPr="00CE54B3" w:rsidRDefault="000A25E6" w:rsidP="00C3087F">
            <w:pPr>
              <w:pStyle w:val="NoSpacing"/>
              <w:rPr>
                <w:rFonts w:ascii="Cambria" w:hAnsi="Cambria"/>
                <w:sz w:val="24"/>
                <w:szCs w:val="24"/>
              </w:rPr>
            </w:pPr>
            <w:r w:rsidRPr="00CE54B3">
              <w:rPr>
                <w:rFonts w:ascii="Cambria" w:hAnsi="Cambria"/>
                <w:sz w:val="24"/>
                <w:szCs w:val="24"/>
              </w:rPr>
              <w:t>Student</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21</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17.9</w:t>
            </w:r>
          </w:p>
        </w:tc>
      </w:tr>
      <w:tr w:rsidR="000A25E6" w:rsidRPr="00D960B5" w:rsidTr="00C3087F">
        <w:tc>
          <w:tcPr>
            <w:tcW w:w="0" w:type="auto"/>
            <w:vMerge/>
            <w:hideMark/>
          </w:tcPr>
          <w:p w:rsidR="000A25E6" w:rsidRPr="00CE54B3" w:rsidRDefault="000A25E6" w:rsidP="00C3087F">
            <w:pPr>
              <w:pStyle w:val="NoSpacing"/>
              <w:rPr>
                <w:rFonts w:ascii="Cambria" w:hAnsi="Cambria"/>
                <w:sz w:val="24"/>
                <w:szCs w:val="24"/>
              </w:rPr>
            </w:pPr>
          </w:p>
        </w:tc>
        <w:tc>
          <w:tcPr>
            <w:tcW w:w="0" w:type="auto"/>
            <w:hideMark/>
          </w:tcPr>
          <w:p w:rsidR="000A25E6" w:rsidRPr="00CE54B3" w:rsidRDefault="000A25E6" w:rsidP="00C3087F">
            <w:pPr>
              <w:pStyle w:val="NoSpacing"/>
              <w:rPr>
                <w:rFonts w:ascii="Cambria" w:hAnsi="Cambria"/>
                <w:sz w:val="24"/>
                <w:szCs w:val="24"/>
              </w:rPr>
            </w:pPr>
            <w:r w:rsidRPr="00CE54B3">
              <w:rPr>
                <w:rFonts w:ascii="Cambria" w:hAnsi="Cambria"/>
                <w:sz w:val="24"/>
                <w:szCs w:val="24"/>
              </w:rPr>
              <w:t>Health worker</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15</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12.7</w:t>
            </w:r>
          </w:p>
        </w:tc>
      </w:tr>
      <w:tr w:rsidR="000A25E6" w:rsidRPr="00D960B5" w:rsidTr="00C3087F">
        <w:tc>
          <w:tcPr>
            <w:tcW w:w="0" w:type="auto"/>
            <w:vMerge/>
            <w:hideMark/>
          </w:tcPr>
          <w:p w:rsidR="000A25E6" w:rsidRPr="00CE54B3" w:rsidRDefault="000A25E6" w:rsidP="00C3087F">
            <w:pPr>
              <w:pStyle w:val="NoSpacing"/>
              <w:rPr>
                <w:rFonts w:ascii="Cambria" w:hAnsi="Cambria"/>
                <w:sz w:val="24"/>
                <w:szCs w:val="24"/>
              </w:rPr>
            </w:pPr>
          </w:p>
        </w:tc>
        <w:tc>
          <w:tcPr>
            <w:tcW w:w="0" w:type="auto"/>
            <w:hideMark/>
          </w:tcPr>
          <w:p w:rsidR="000A25E6" w:rsidRPr="00CE54B3" w:rsidRDefault="000A25E6" w:rsidP="00C3087F">
            <w:pPr>
              <w:pStyle w:val="NoSpacing"/>
              <w:rPr>
                <w:rFonts w:ascii="Cambria" w:hAnsi="Cambria"/>
                <w:sz w:val="24"/>
                <w:szCs w:val="24"/>
              </w:rPr>
            </w:pPr>
            <w:r w:rsidRPr="00CE54B3">
              <w:rPr>
                <w:rFonts w:ascii="Cambria" w:hAnsi="Cambria"/>
                <w:sz w:val="24"/>
                <w:szCs w:val="24"/>
              </w:rPr>
              <w:t>Working (formal)</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19</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16.1</w:t>
            </w:r>
          </w:p>
        </w:tc>
      </w:tr>
      <w:tr w:rsidR="000A25E6" w:rsidRPr="00D960B5" w:rsidTr="00C3087F">
        <w:tc>
          <w:tcPr>
            <w:tcW w:w="0" w:type="auto"/>
            <w:vMerge/>
            <w:hideMark/>
          </w:tcPr>
          <w:p w:rsidR="000A25E6" w:rsidRPr="00CE54B3" w:rsidRDefault="000A25E6" w:rsidP="00C3087F">
            <w:pPr>
              <w:pStyle w:val="NoSpacing"/>
              <w:rPr>
                <w:rFonts w:ascii="Cambria" w:hAnsi="Cambria"/>
                <w:sz w:val="24"/>
                <w:szCs w:val="24"/>
              </w:rPr>
            </w:pPr>
          </w:p>
        </w:tc>
        <w:tc>
          <w:tcPr>
            <w:tcW w:w="0" w:type="auto"/>
            <w:hideMark/>
          </w:tcPr>
          <w:p w:rsidR="000A25E6" w:rsidRPr="00CE54B3" w:rsidRDefault="000A25E6" w:rsidP="00C3087F">
            <w:pPr>
              <w:pStyle w:val="NoSpacing"/>
              <w:rPr>
                <w:rFonts w:ascii="Cambria" w:hAnsi="Cambria"/>
                <w:sz w:val="24"/>
                <w:szCs w:val="24"/>
              </w:rPr>
            </w:pPr>
            <w:r w:rsidRPr="00CE54B3">
              <w:rPr>
                <w:rFonts w:ascii="Cambria" w:hAnsi="Cambria"/>
                <w:sz w:val="24"/>
                <w:szCs w:val="24"/>
              </w:rPr>
              <w:t>Other (Driver, Mason, etc.)</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22</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18.6</w:t>
            </w:r>
          </w:p>
        </w:tc>
      </w:tr>
      <w:tr w:rsidR="000A25E6" w:rsidRPr="00D960B5" w:rsidTr="00C3087F">
        <w:tc>
          <w:tcPr>
            <w:tcW w:w="0" w:type="auto"/>
            <w:vMerge w:val="restart"/>
            <w:hideMark/>
          </w:tcPr>
          <w:p w:rsidR="000A25E6" w:rsidRPr="00CE54B3" w:rsidRDefault="000A25E6" w:rsidP="00C3087F">
            <w:pPr>
              <w:pStyle w:val="NoSpacing"/>
              <w:rPr>
                <w:rFonts w:ascii="Cambria" w:hAnsi="Cambria"/>
                <w:sz w:val="24"/>
                <w:szCs w:val="24"/>
              </w:rPr>
            </w:pPr>
            <w:r w:rsidRPr="00CE54B3">
              <w:rPr>
                <w:rFonts w:ascii="Cambria" w:hAnsi="Cambria"/>
                <w:b/>
                <w:bCs/>
                <w:sz w:val="24"/>
                <w:szCs w:val="24"/>
              </w:rPr>
              <w:t>Household Size</w:t>
            </w:r>
          </w:p>
        </w:tc>
        <w:tc>
          <w:tcPr>
            <w:tcW w:w="0" w:type="auto"/>
            <w:hideMark/>
          </w:tcPr>
          <w:p w:rsidR="000A25E6" w:rsidRPr="00CE54B3" w:rsidRDefault="000A25E6" w:rsidP="00C3087F">
            <w:pPr>
              <w:pStyle w:val="NoSpacing"/>
              <w:rPr>
                <w:rFonts w:ascii="Cambria" w:hAnsi="Cambria"/>
                <w:sz w:val="24"/>
                <w:szCs w:val="24"/>
              </w:rPr>
            </w:pPr>
            <w:r w:rsidRPr="00CE54B3">
              <w:rPr>
                <w:rFonts w:ascii="Cambria" w:hAnsi="Cambria"/>
                <w:sz w:val="24"/>
                <w:szCs w:val="24"/>
              </w:rPr>
              <w:t>2-4 persons</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58</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49.2</w:t>
            </w:r>
          </w:p>
        </w:tc>
      </w:tr>
      <w:tr w:rsidR="000A25E6" w:rsidRPr="00D960B5" w:rsidTr="00C3087F">
        <w:tc>
          <w:tcPr>
            <w:tcW w:w="0" w:type="auto"/>
            <w:vMerge/>
            <w:hideMark/>
          </w:tcPr>
          <w:p w:rsidR="000A25E6" w:rsidRPr="00CE54B3" w:rsidRDefault="000A25E6" w:rsidP="00C3087F">
            <w:pPr>
              <w:pStyle w:val="NoSpacing"/>
              <w:rPr>
                <w:rFonts w:ascii="Cambria" w:hAnsi="Cambria"/>
                <w:sz w:val="24"/>
                <w:szCs w:val="24"/>
              </w:rPr>
            </w:pPr>
          </w:p>
        </w:tc>
        <w:tc>
          <w:tcPr>
            <w:tcW w:w="0" w:type="auto"/>
            <w:hideMark/>
          </w:tcPr>
          <w:p w:rsidR="000A25E6" w:rsidRPr="00CE54B3" w:rsidRDefault="000A25E6" w:rsidP="00C3087F">
            <w:pPr>
              <w:pStyle w:val="NoSpacing"/>
              <w:rPr>
                <w:rFonts w:ascii="Cambria" w:hAnsi="Cambria"/>
                <w:sz w:val="24"/>
                <w:szCs w:val="24"/>
              </w:rPr>
            </w:pPr>
            <w:r w:rsidRPr="00CE54B3">
              <w:rPr>
                <w:rFonts w:ascii="Cambria" w:hAnsi="Cambria"/>
                <w:sz w:val="24"/>
                <w:szCs w:val="24"/>
              </w:rPr>
              <w:t>5-7 persons</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42</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35.5</w:t>
            </w:r>
          </w:p>
        </w:tc>
      </w:tr>
      <w:tr w:rsidR="000A25E6" w:rsidRPr="00D960B5" w:rsidTr="00C3087F">
        <w:tc>
          <w:tcPr>
            <w:tcW w:w="0" w:type="auto"/>
            <w:vMerge/>
            <w:hideMark/>
          </w:tcPr>
          <w:p w:rsidR="000A25E6" w:rsidRPr="00CE54B3" w:rsidRDefault="000A25E6" w:rsidP="00C3087F">
            <w:pPr>
              <w:pStyle w:val="NoSpacing"/>
              <w:rPr>
                <w:rFonts w:ascii="Cambria" w:hAnsi="Cambria"/>
                <w:sz w:val="24"/>
                <w:szCs w:val="24"/>
              </w:rPr>
            </w:pPr>
          </w:p>
        </w:tc>
        <w:tc>
          <w:tcPr>
            <w:tcW w:w="0" w:type="auto"/>
            <w:hideMark/>
          </w:tcPr>
          <w:p w:rsidR="000A25E6" w:rsidRPr="00CE54B3" w:rsidRDefault="000A25E6" w:rsidP="00C3087F">
            <w:pPr>
              <w:pStyle w:val="NoSpacing"/>
              <w:rPr>
                <w:rFonts w:ascii="Cambria" w:hAnsi="Cambria"/>
                <w:sz w:val="24"/>
                <w:szCs w:val="24"/>
              </w:rPr>
            </w:pPr>
            <w:r w:rsidRPr="00CE54B3">
              <w:rPr>
                <w:rFonts w:ascii="Cambria" w:hAnsi="Cambria"/>
                <w:sz w:val="24"/>
                <w:szCs w:val="24"/>
              </w:rPr>
              <w:t>8+ persons</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18</w:t>
            </w:r>
          </w:p>
        </w:tc>
        <w:tc>
          <w:tcPr>
            <w:tcW w:w="0" w:type="auto"/>
            <w:hideMark/>
          </w:tcPr>
          <w:p w:rsidR="000A25E6" w:rsidRPr="00CE54B3" w:rsidRDefault="000A25E6" w:rsidP="00C3087F">
            <w:pPr>
              <w:pStyle w:val="NoSpacing"/>
              <w:jc w:val="center"/>
              <w:rPr>
                <w:rFonts w:ascii="Cambria" w:hAnsi="Cambria"/>
                <w:sz w:val="24"/>
                <w:szCs w:val="24"/>
              </w:rPr>
            </w:pPr>
            <w:r w:rsidRPr="00CE54B3">
              <w:rPr>
                <w:rFonts w:ascii="Cambria" w:hAnsi="Cambria"/>
                <w:sz w:val="24"/>
                <w:szCs w:val="24"/>
              </w:rPr>
              <w:t>15.3</w:t>
            </w:r>
          </w:p>
        </w:tc>
      </w:tr>
      <w:tr w:rsidR="000A25E6" w:rsidRPr="00D960B5" w:rsidTr="00C3087F">
        <w:tc>
          <w:tcPr>
            <w:tcW w:w="0" w:type="auto"/>
            <w:gridSpan w:val="3"/>
            <w:hideMark/>
          </w:tcPr>
          <w:p w:rsidR="000A25E6" w:rsidRPr="00CE54B3" w:rsidRDefault="000A25E6" w:rsidP="00C3087F">
            <w:pPr>
              <w:pStyle w:val="NoSpacing"/>
              <w:jc w:val="center"/>
              <w:rPr>
                <w:rFonts w:ascii="Cambria" w:hAnsi="Cambria"/>
                <w:sz w:val="24"/>
                <w:szCs w:val="24"/>
              </w:rPr>
            </w:pPr>
            <w:r w:rsidRPr="00CE54B3">
              <w:rPr>
                <w:rFonts w:ascii="Cambria" w:hAnsi="Cambria"/>
                <w:b/>
                <w:bCs/>
                <w:sz w:val="24"/>
                <w:szCs w:val="24"/>
              </w:rPr>
              <w:t>n=118</w:t>
            </w:r>
          </w:p>
        </w:tc>
        <w:tc>
          <w:tcPr>
            <w:tcW w:w="0" w:type="auto"/>
            <w:hideMark/>
          </w:tcPr>
          <w:p w:rsidR="000A25E6" w:rsidRPr="00CE54B3" w:rsidRDefault="000A25E6" w:rsidP="00C3087F">
            <w:pPr>
              <w:pStyle w:val="NoSpacing"/>
              <w:jc w:val="center"/>
              <w:rPr>
                <w:rFonts w:ascii="Cambria" w:hAnsi="Cambria"/>
                <w:b/>
                <w:sz w:val="24"/>
                <w:szCs w:val="24"/>
              </w:rPr>
            </w:pPr>
            <w:r w:rsidRPr="00CE54B3">
              <w:rPr>
                <w:rFonts w:ascii="Cambria" w:hAnsi="Cambria"/>
                <w:b/>
                <w:sz w:val="24"/>
                <w:szCs w:val="24"/>
              </w:rPr>
              <w:t>100</w:t>
            </w:r>
          </w:p>
        </w:tc>
      </w:tr>
    </w:tbl>
    <w:p w:rsidR="000A25E6" w:rsidRDefault="00224DAB" w:rsidP="00224DAB">
      <w:pPr>
        <w:spacing w:line="360" w:lineRule="auto"/>
        <w:jc w:val="center"/>
        <w:rPr>
          <w:rFonts w:ascii="Times New Roman" w:hAnsi="Times New Roman" w:cs="Times New Roman"/>
          <w:b/>
          <w:i/>
          <w:sz w:val="24"/>
          <w:szCs w:val="24"/>
        </w:rPr>
      </w:pPr>
      <w:r w:rsidRPr="00224DAB">
        <w:rPr>
          <w:rFonts w:ascii="Times New Roman" w:hAnsi="Times New Roman" w:cs="Times New Roman"/>
          <w:b/>
          <w:i/>
          <w:sz w:val="24"/>
          <w:szCs w:val="24"/>
        </w:rPr>
        <w:t>Field data 2026</w:t>
      </w:r>
    </w:p>
    <w:p w:rsidR="009505B9" w:rsidRPr="009505B9" w:rsidRDefault="009505B9" w:rsidP="009505B9">
      <w:pPr>
        <w:pStyle w:val="Caption"/>
        <w:rPr>
          <w:rFonts w:ascii="Times New Roman" w:hAnsi="Times New Roman" w:cs="Times New Roman"/>
          <w:b/>
          <w:i w:val="0"/>
          <w:sz w:val="24"/>
          <w:szCs w:val="24"/>
        </w:rPr>
      </w:pPr>
      <w:r w:rsidRPr="009505B9">
        <w:rPr>
          <w:sz w:val="24"/>
          <w:szCs w:val="24"/>
        </w:rPr>
        <w:t xml:space="preserve">Table </w:t>
      </w:r>
      <w:r w:rsidRPr="009505B9">
        <w:rPr>
          <w:sz w:val="24"/>
          <w:szCs w:val="24"/>
        </w:rPr>
        <w:fldChar w:fldCharType="begin"/>
      </w:r>
      <w:r w:rsidRPr="009505B9">
        <w:rPr>
          <w:sz w:val="24"/>
          <w:szCs w:val="24"/>
        </w:rPr>
        <w:instrText xml:space="preserve"> SEQ Table \* ARABIC </w:instrText>
      </w:r>
      <w:r w:rsidRPr="009505B9">
        <w:rPr>
          <w:sz w:val="24"/>
          <w:szCs w:val="24"/>
        </w:rPr>
        <w:fldChar w:fldCharType="separate"/>
      </w:r>
      <w:r w:rsidR="00B03E47">
        <w:rPr>
          <w:noProof/>
          <w:sz w:val="24"/>
          <w:szCs w:val="24"/>
        </w:rPr>
        <w:t>2</w:t>
      </w:r>
      <w:r w:rsidRPr="009505B9">
        <w:rPr>
          <w:sz w:val="24"/>
          <w:szCs w:val="24"/>
        </w:rPr>
        <w:fldChar w:fldCharType="end"/>
      </w:r>
      <w:r w:rsidRPr="009505B9">
        <w:rPr>
          <w:sz w:val="24"/>
          <w:szCs w:val="24"/>
        </w:rPr>
        <w:t>:</w:t>
      </w:r>
      <w:r>
        <w:rPr>
          <w:sz w:val="24"/>
          <w:szCs w:val="24"/>
        </w:rPr>
        <w:t xml:space="preserve"> </w:t>
      </w:r>
      <w:r w:rsidRPr="009505B9">
        <w:rPr>
          <w:sz w:val="24"/>
          <w:szCs w:val="24"/>
        </w:rPr>
        <w:t>Main Drinking Water Sources</w:t>
      </w:r>
    </w:p>
    <w:tbl>
      <w:tblPr>
        <w:tblStyle w:val="TableGrid"/>
        <w:tblW w:w="8640" w:type="dxa"/>
        <w:tblInd w:w="-5" w:type="dxa"/>
        <w:tblLook w:val="04A0" w:firstRow="1" w:lastRow="0" w:firstColumn="1" w:lastColumn="0" w:noHBand="0" w:noVBand="1"/>
      </w:tblPr>
      <w:tblGrid>
        <w:gridCol w:w="3600"/>
        <w:gridCol w:w="3150"/>
        <w:gridCol w:w="1890"/>
      </w:tblGrid>
      <w:tr w:rsidR="009505B9" w:rsidRPr="008700C4" w:rsidTr="009505B9">
        <w:tc>
          <w:tcPr>
            <w:tcW w:w="3600" w:type="dxa"/>
            <w:hideMark/>
          </w:tcPr>
          <w:p w:rsidR="009505B9" w:rsidRPr="008700C4" w:rsidRDefault="009505B9" w:rsidP="00C3087F">
            <w:pPr>
              <w:pStyle w:val="NoSpacing"/>
              <w:jc w:val="center"/>
              <w:rPr>
                <w:rFonts w:cstheme="minorHAnsi"/>
                <w:b/>
                <w:sz w:val="24"/>
                <w:szCs w:val="24"/>
              </w:rPr>
            </w:pPr>
            <w:r w:rsidRPr="008700C4">
              <w:rPr>
                <w:rFonts w:cstheme="minorHAnsi"/>
                <w:b/>
                <w:sz w:val="24"/>
                <w:szCs w:val="24"/>
              </w:rPr>
              <w:t>Water Source</w:t>
            </w:r>
          </w:p>
        </w:tc>
        <w:tc>
          <w:tcPr>
            <w:tcW w:w="3150" w:type="dxa"/>
            <w:hideMark/>
          </w:tcPr>
          <w:p w:rsidR="009505B9" w:rsidRPr="008700C4" w:rsidRDefault="009505B9" w:rsidP="00C3087F">
            <w:pPr>
              <w:pStyle w:val="NoSpacing"/>
              <w:jc w:val="center"/>
              <w:rPr>
                <w:rFonts w:cstheme="minorHAnsi"/>
                <w:b/>
                <w:sz w:val="24"/>
                <w:szCs w:val="24"/>
              </w:rPr>
            </w:pPr>
            <w:r w:rsidRPr="008700C4">
              <w:rPr>
                <w:rFonts w:cstheme="minorHAnsi"/>
                <w:b/>
                <w:sz w:val="24"/>
                <w:szCs w:val="24"/>
              </w:rPr>
              <w:t>Frequency (n)</w:t>
            </w:r>
          </w:p>
        </w:tc>
        <w:tc>
          <w:tcPr>
            <w:tcW w:w="1890" w:type="dxa"/>
            <w:hideMark/>
          </w:tcPr>
          <w:p w:rsidR="009505B9" w:rsidRPr="008700C4" w:rsidRDefault="009505B9" w:rsidP="00C3087F">
            <w:pPr>
              <w:pStyle w:val="NoSpacing"/>
              <w:jc w:val="center"/>
              <w:rPr>
                <w:rFonts w:cstheme="minorHAnsi"/>
                <w:b/>
                <w:sz w:val="24"/>
                <w:szCs w:val="24"/>
              </w:rPr>
            </w:pPr>
            <w:r w:rsidRPr="008700C4">
              <w:rPr>
                <w:rFonts w:cstheme="minorHAnsi"/>
                <w:b/>
                <w:sz w:val="24"/>
                <w:szCs w:val="24"/>
              </w:rPr>
              <w:t>Percentage (%)</w:t>
            </w:r>
          </w:p>
        </w:tc>
      </w:tr>
      <w:tr w:rsidR="009505B9" w:rsidRPr="008700C4" w:rsidTr="009505B9">
        <w:tc>
          <w:tcPr>
            <w:tcW w:w="3600" w:type="dxa"/>
            <w:hideMark/>
          </w:tcPr>
          <w:p w:rsidR="009505B9" w:rsidRPr="008700C4" w:rsidRDefault="009505B9" w:rsidP="00C3087F">
            <w:pPr>
              <w:pStyle w:val="NoSpacing"/>
              <w:rPr>
                <w:rFonts w:cstheme="minorHAnsi"/>
                <w:sz w:val="24"/>
                <w:szCs w:val="24"/>
              </w:rPr>
            </w:pPr>
            <w:r w:rsidRPr="008700C4">
              <w:rPr>
                <w:rFonts w:cstheme="minorHAnsi"/>
                <w:sz w:val="24"/>
                <w:szCs w:val="24"/>
              </w:rPr>
              <w:t>Sachet water (packaged)</w:t>
            </w:r>
          </w:p>
        </w:tc>
        <w:tc>
          <w:tcPr>
            <w:tcW w:w="3150" w:type="dxa"/>
            <w:hideMark/>
          </w:tcPr>
          <w:p w:rsidR="009505B9" w:rsidRPr="008700C4" w:rsidRDefault="009505B9" w:rsidP="00C3087F">
            <w:pPr>
              <w:pStyle w:val="NoSpacing"/>
              <w:jc w:val="center"/>
              <w:rPr>
                <w:rFonts w:cstheme="minorHAnsi"/>
                <w:sz w:val="24"/>
                <w:szCs w:val="24"/>
              </w:rPr>
            </w:pPr>
            <w:r w:rsidRPr="008700C4">
              <w:rPr>
                <w:rFonts w:cstheme="minorHAnsi"/>
                <w:sz w:val="24"/>
                <w:szCs w:val="24"/>
              </w:rPr>
              <w:t>46</w:t>
            </w:r>
          </w:p>
        </w:tc>
        <w:tc>
          <w:tcPr>
            <w:tcW w:w="1890" w:type="dxa"/>
            <w:hideMark/>
          </w:tcPr>
          <w:p w:rsidR="009505B9" w:rsidRPr="008700C4" w:rsidRDefault="009505B9" w:rsidP="00C3087F">
            <w:pPr>
              <w:pStyle w:val="NoSpacing"/>
              <w:jc w:val="center"/>
              <w:rPr>
                <w:rFonts w:cstheme="minorHAnsi"/>
                <w:sz w:val="24"/>
                <w:szCs w:val="24"/>
              </w:rPr>
            </w:pPr>
            <w:r w:rsidRPr="008700C4">
              <w:rPr>
                <w:rFonts w:cstheme="minorHAnsi"/>
                <w:sz w:val="24"/>
                <w:szCs w:val="24"/>
              </w:rPr>
              <w:t>38.98</w:t>
            </w:r>
          </w:p>
        </w:tc>
      </w:tr>
      <w:tr w:rsidR="009505B9" w:rsidRPr="008700C4" w:rsidTr="009505B9">
        <w:tc>
          <w:tcPr>
            <w:tcW w:w="3600" w:type="dxa"/>
            <w:hideMark/>
          </w:tcPr>
          <w:p w:rsidR="009505B9" w:rsidRPr="008700C4" w:rsidRDefault="009505B9" w:rsidP="00C3087F">
            <w:pPr>
              <w:pStyle w:val="NoSpacing"/>
              <w:rPr>
                <w:rFonts w:cstheme="minorHAnsi"/>
                <w:sz w:val="24"/>
                <w:szCs w:val="24"/>
              </w:rPr>
            </w:pPr>
            <w:r w:rsidRPr="008700C4">
              <w:rPr>
                <w:rFonts w:cstheme="minorHAnsi"/>
                <w:sz w:val="24"/>
                <w:szCs w:val="24"/>
              </w:rPr>
              <w:t>Hand pump</w:t>
            </w:r>
          </w:p>
        </w:tc>
        <w:tc>
          <w:tcPr>
            <w:tcW w:w="3150" w:type="dxa"/>
            <w:hideMark/>
          </w:tcPr>
          <w:p w:rsidR="009505B9" w:rsidRPr="008700C4" w:rsidRDefault="009505B9" w:rsidP="00C3087F">
            <w:pPr>
              <w:pStyle w:val="NoSpacing"/>
              <w:jc w:val="center"/>
              <w:rPr>
                <w:rFonts w:cstheme="minorHAnsi"/>
                <w:sz w:val="24"/>
                <w:szCs w:val="24"/>
              </w:rPr>
            </w:pPr>
            <w:r w:rsidRPr="008700C4">
              <w:rPr>
                <w:rFonts w:cstheme="minorHAnsi"/>
                <w:sz w:val="24"/>
                <w:szCs w:val="24"/>
              </w:rPr>
              <w:t>39</w:t>
            </w:r>
          </w:p>
        </w:tc>
        <w:tc>
          <w:tcPr>
            <w:tcW w:w="1890" w:type="dxa"/>
            <w:hideMark/>
          </w:tcPr>
          <w:p w:rsidR="009505B9" w:rsidRPr="008700C4" w:rsidRDefault="009505B9" w:rsidP="00C3087F">
            <w:pPr>
              <w:pStyle w:val="NoSpacing"/>
              <w:jc w:val="center"/>
              <w:rPr>
                <w:rFonts w:cstheme="minorHAnsi"/>
                <w:sz w:val="24"/>
                <w:szCs w:val="24"/>
              </w:rPr>
            </w:pPr>
            <w:r w:rsidRPr="008700C4">
              <w:rPr>
                <w:rFonts w:cstheme="minorHAnsi"/>
                <w:sz w:val="24"/>
                <w:szCs w:val="24"/>
              </w:rPr>
              <w:t>33.05</w:t>
            </w:r>
          </w:p>
        </w:tc>
      </w:tr>
      <w:tr w:rsidR="009505B9" w:rsidRPr="008700C4" w:rsidTr="009505B9">
        <w:tc>
          <w:tcPr>
            <w:tcW w:w="3600" w:type="dxa"/>
            <w:hideMark/>
          </w:tcPr>
          <w:p w:rsidR="009505B9" w:rsidRPr="008700C4" w:rsidRDefault="009505B9" w:rsidP="00C3087F">
            <w:pPr>
              <w:pStyle w:val="NoSpacing"/>
              <w:rPr>
                <w:rFonts w:cstheme="minorHAnsi"/>
                <w:sz w:val="24"/>
                <w:szCs w:val="24"/>
              </w:rPr>
            </w:pPr>
            <w:r w:rsidRPr="008700C4">
              <w:rPr>
                <w:rFonts w:cstheme="minorHAnsi"/>
                <w:sz w:val="24"/>
                <w:szCs w:val="24"/>
              </w:rPr>
              <w:t>Well</w:t>
            </w:r>
          </w:p>
        </w:tc>
        <w:tc>
          <w:tcPr>
            <w:tcW w:w="3150" w:type="dxa"/>
            <w:hideMark/>
          </w:tcPr>
          <w:p w:rsidR="009505B9" w:rsidRPr="008700C4" w:rsidRDefault="009505B9" w:rsidP="00C3087F">
            <w:pPr>
              <w:pStyle w:val="NoSpacing"/>
              <w:jc w:val="center"/>
              <w:rPr>
                <w:rFonts w:cstheme="minorHAnsi"/>
                <w:sz w:val="24"/>
                <w:szCs w:val="24"/>
              </w:rPr>
            </w:pPr>
            <w:r w:rsidRPr="008700C4">
              <w:rPr>
                <w:rFonts w:cstheme="minorHAnsi"/>
                <w:sz w:val="24"/>
                <w:szCs w:val="24"/>
              </w:rPr>
              <w:t>17</w:t>
            </w:r>
          </w:p>
        </w:tc>
        <w:tc>
          <w:tcPr>
            <w:tcW w:w="1890" w:type="dxa"/>
            <w:hideMark/>
          </w:tcPr>
          <w:p w:rsidR="009505B9" w:rsidRPr="008700C4" w:rsidRDefault="009505B9" w:rsidP="00C3087F">
            <w:pPr>
              <w:pStyle w:val="NoSpacing"/>
              <w:jc w:val="center"/>
              <w:rPr>
                <w:rFonts w:cstheme="minorHAnsi"/>
                <w:sz w:val="24"/>
                <w:szCs w:val="24"/>
              </w:rPr>
            </w:pPr>
            <w:r w:rsidRPr="008700C4">
              <w:rPr>
                <w:rFonts w:cstheme="minorHAnsi"/>
                <w:sz w:val="24"/>
                <w:szCs w:val="24"/>
              </w:rPr>
              <w:t>14.41</w:t>
            </w:r>
          </w:p>
        </w:tc>
      </w:tr>
      <w:tr w:rsidR="009505B9" w:rsidRPr="008700C4" w:rsidTr="009505B9">
        <w:tc>
          <w:tcPr>
            <w:tcW w:w="3600" w:type="dxa"/>
            <w:hideMark/>
          </w:tcPr>
          <w:p w:rsidR="009505B9" w:rsidRPr="008700C4" w:rsidRDefault="009505B9" w:rsidP="00C3087F">
            <w:pPr>
              <w:pStyle w:val="NoSpacing"/>
              <w:rPr>
                <w:rFonts w:cstheme="minorHAnsi"/>
                <w:sz w:val="24"/>
                <w:szCs w:val="24"/>
              </w:rPr>
            </w:pPr>
            <w:r w:rsidRPr="008700C4">
              <w:rPr>
                <w:rFonts w:cstheme="minorHAnsi"/>
                <w:sz w:val="24"/>
                <w:szCs w:val="24"/>
              </w:rPr>
              <w:t>Bottled water</w:t>
            </w:r>
          </w:p>
        </w:tc>
        <w:tc>
          <w:tcPr>
            <w:tcW w:w="3150" w:type="dxa"/>
            <w:hideMark/>
          </w:tcPr>
          <w:p w:rsidR="009505B9" w:rsidRPr="008700C4" w:rsidRDefault="009505B9" w:rsidP="00C3087F">
            <w:pPr>
              <w:pStyle w:val="NoSpacing"/>
              <w:jc w:val="center"/>
              <w:rPr>
                <w:rFonts w:cstheme="minorHAnsi"/>
                <w:sz w:val="24"/>
                <w:szCs w:val="24"/>
              </w:rPr>
            </w:pPr>
            <w:r w:rsidRPr="008700C4">
              <w:rPr>
                <w:rFonts w:cstheme="minorHAnsi"/>
                <w:sz w:val="24"/>
                <w:szCs w:val="24"/>
              </w:rPr>
              <w:t>11</w:t>
            </w:r>
          </w:p>
        </w:tc>
        <w:tc>
          <w:tcPr>
            <w:tcW w:w="1890" w:type="dxa"/>
            <w:hideMark/>
          </w:tcPr>
          <w:p w:rsidR="009505B9" w:rsidRPr="008700C4" w:rsidRDefault="009505B9" w:rsidP="00C3087F">
            <w:pPr>
              <w:pStyle w:val="NoSpacing"/>
              <w:jc w:val="center"/>
              <w:rPr>
                <w:rFonts w:cstheme="minorHAnsi"/>
                <w:sz w:val="24"/>
                <w:szCs w:val="24"/>
              </w:rPr>
            </w:pPr>
            <w:r w:rsidRPr="008700C4">
              <w:rPr>
                <w:rFonts w:cstheme="minorHAnsi"/>
                <w:sz w:val="24"/>
                <w:szCs w:val="24"/>
              </w:rPr>
              <w:t>9.32</w:t>
            </w:r>
          </w:p>
        </w:tc>
      </w:tr>
      <w:tr w:rsidR="009505B9" w:rsidRPr="008700C4" w:rsidTr="009505B9">
        <w:tc>
          <w:tcPr>
            <w:tcW w:w="3600" w:type="dxa"/>
            <w:hideMark/>
          </w:tcPr>
          <w:p w:rsidR="009505B9" w:rsidRPr="008700C4" w:rsidRDefault="009505B9" w:rsidP="00C3087F">
            <w:pPr>
              <w:pStyle w:val="NoSpacing"/>
              <w:rPr>
                <w:rFonts w:cstheme="minorHAnsi"/>
                <w:sz w:val="24"/>
                <w:szCs w:val="24"/>
              </w:rPr>
            </w:pPr>
            <w:r w:rsidRPr="008700C4">
              <w:rPr>
                <w:rFonts w:cstheme="minorHAnsi"/>
                <w:sz w:val="24"/>
                <w:szCs w:val="24"/>
              </w:rPr>
              <w:t>Rainwater</w:t>
            </w:r>
          </w:p>
        </w:tc>
        <w:tc>
          <w:tcPr>
            <w:tcW w:w="3150" w:type="dxa"/>
            <w:hideMark/>
          </w:tcPr>
          <w:p w:rsidR="009505B9" w:rsidRPr="008700C4" w:rsidRDefault="009505B9" w:rsidP="00C3087F">
            <w:pPr>
              <w:pStyle w:val="NoSpacing"/>
              <w:jc w:val="center"/>
              <w:rPr>
                <w:rFonts w:cstheme="minorHAnsi"/>
                <w:sz w:val="24"/>
                <w:szCs w:val="24"/>
              </w:rPr>
            </w:pPr>
            <w:r w:rsidRPr="008700C4">
              <w:rPr>
                <w:rFonts w:cstheme="minorHAnsi"/>
                <w:sz w:val="24"/>
                <w:szCs w:val="24"/>
              </w:rPr>
              <w:t>4</w:t>
            </w:r>
          </w:p>
        </w:tc>
        <w:tc>
          <w:tcPr>
            <w:tcW w:w="1890" w:type="dxa"/>
            <w:hideMark/>
          </w:tcPr>
          <w:p w:rsidR="009505B9" w:rsidRPr="008700C4" w:rsidRDefault="009505B9" w:rsidP="00C3087F">
            <w:pPr>
              <w:pStyle w:val="NoSpacing"/>
              <w:jc w:val="center"/>
              <w:rPr>
                <w:rFonts w:cstheme="minorHAnsi"/>
                <w:sz w:val="24"/>
                <w:szCs w:val="24"/>
              </w:rPr>
            </w:pPr>
            <w:r w:rsidRPr="008700C4">
              <w:rPr>
                <w:rFonts w:cstheme="minorHAnsi"/>
                <w:sz w:val="24"/>
                <w:szCs w:val="24"/>
              </w:rPr>
              <w:t>3.4</w:t>
            </w:r>
          </w:p>
        </w:tc>
      </w:tr>
      <w:tr w:rsidR="009505B9" w:rsidRPr="008700C4" w:rsidTr="009505B9">
        <w:tc>
          <w:tcPr>
            <w:tcW w:w="3600" w:type="dxa"/>
            <w:hideMark/>
          </w:tcPr>
          <w:p w:rsidR="009505B9" w:rsidRPr="008700C4" w:rsidRDefault="009505B9" w:rsidP="00C3087F">
            <w:pPr>
              <w:pStyle w:val="NoSpacing"/>
              <w:rPr>
                <w:rFonts w:cstheme="minorHAnsi"/>
                <w:sz w:val="24"/>
                <w:szCs w:val="24"/>
              </w:rPr>
            </w:pPr>
            <w:r w:rsidRPr="008700C4">
              <w:rPr>
                <w:rFonts w:cstheme="minorHAnsi"/>
                <w:sz w:val="24"/>
                <w:szCs w:val="24"/>
              </w:rPr>
              <w:t>Borehole</w:t>
            </w:r>
          </w:p>
        </w:tc>
        <w:tc>
          <w:tcPr>
            <w:tcW w:w="3150" w:type="dxa"/>
            <w:hideMark/>
          </w:tcPr>
          <w:p w:rsidR="009505B9" w:rsidRPr="008700C4" w:rsidRDefault="009505B9" w:rsidP="00C3087F">
            <w:pPr>
              <w:pStyle w:val="NoSpacing"/>
              <w:jc w:val="center"/>
              <w:rPr>
                <w:rFonts w:cstheme="minorHAnsi"/>
                <w:sz w:val="24"/>
                <w:szCs w:val="24"/>
              </w:rPr>
            </w:pPr>
            <w:r w:rsidRPr="008700C4">
              <w:rPr>
                <w:rFonts w:cstheme="minorHAnsi"/>
                <w:sz w:val="24"/>
                <w:szCs w:val="24"/>
              </w:rPr>
              <w:t>1</w:t>
            </w:r>
          </w:p>
        </w:tc>
        <w:tc>
          <w:tcPr>
            <w:tcW w:w="1890" w:type="dxa"/>
            <w:hideMark/>
          </w:tcPr>
          <w:p w:rsidR="009505B9" w:rsidRPr="008700C4" w:rsidRDefault="009505B9" w:rsidP="00C3087F">
            <w:pPr>
              <w:pStyle w:val="NoSpacing"/>
              <w:jc w:val="center"/>
              <w:rPr>
                <w:rFonts w:cstheme="minorHAnsi"/>
                <w:sz w:val="24"/>
                <w:szCs w:val="24"/>
              </w:rPr>
            </w:pPr>
            <w:r w:rsidRPr="008700C4">
              <w:rPr>
                <w:rFonts w:cstheme="minorHAnsi"/>
                <w:sz w:val="24"/>
                <w:szCs w:val="24"/>
              </w:rPr>
              <w:t>0.85</w:t>
            </w:r>
          </w:p>
        </w:tc>
      </w:tr>
      <w:tr w:rsidR="009505B9" w:rsidRPr="008700C4" w:rsidTr="009505B9">
        <w:tc>
          <w:tcPr>
            <w:tcW w:w="6750" w:type="dxa"/>
            <w:gridSpan w:val="2"/>
          </w:tcPr>
          <w:p w:rsidR="009505B9" w:rsidRPr="008700C4" w:rsidRDefault="009505B9" w:rsidP="00C3087F">
            <w:pPr>
              <w:pStyle w:val="NoSpacing"/>
              <w:jc w:val="center"/>
              <w:rPr>
                <w:rFonts w:cstheme="minorHAnsi"/>
                <w:b/>
                <w:sz w:val="24"/>
                <w:szCs w:val="24"/>
              </w:rPr>
            </w:pPr>
            <w:r w:rsidRPr="008700C4">
              <w:rPr>
                <w:rFonts w:cstheme="minorHAnsi"/>
                <w:b/>
                <w:sz w:val="24"/>
                <w:szCs w:val="24"/>
              </w:rPr>
              <w:t>n=118</w:t>
            </w:r>
          </w:p>
        </w:tc>
        <w:tc>
          <w:tcPr>
            <w:tcW w:w="1890" w:type="dxa"/>
          </w:tcPr>
          <w:p w:rsidR="009505B9" w:rsidRPr="008700C4" w:rsidRDefault="009505B9" w:rsidP="00C3087F">
            <w:pPr>
              <w:pStyle w:val="NoSpacing"/>
              <w:jc w:val="center"/>
              <w:rPr>
                <w:rFonts w:cstheme="minorHAnsi"/>
                <w:b/>
                <w:sz w:val="24"/>
                <w:szCs w:val="24"/>
              </w:rPr>
            </w:pPr>
            <w:r w:rsidRPr="008700C4">
              <w:rPr>
                <w:rFonts w:cstheme="minorHAnsi"/>
                <w:b/>
                <w:sz w:val="24"/>
                <w:szCs w:val="24"/>
              </w:rPr>
              <w:t>100</w:t>
            </w:r>
          </w:p>
        </w:tc>
      </w:tr>
    </w:tbl>
    <w:p w:rsidR="009505B9" w:rsidRDefault="009505B9" w:rsidP="009505B9">
      <w:pPr>
        <w:spacing w:line="360" w:lineRule="auto"/>
        <w:jc w:val="center"/>
        <w:rPr>
          <w:rFonts w:ascii="Times New Roman" w:hAnsi="Times New Roman" w:cs="Times New Roman"/>
          <w:b/>
          <w:i/>
          <w:sz w:val="24"/>
          <w:szCs w:val="24"/>
        </w:rPr>
      </w:pPr>
      <w:r w:rsidRPr="00224DAB">
        <w:rPr>
          <w:rFonts w:ascii="Times New Roman" w:hAnsi="Times New Roman" w:cs="Times New Roman"/>
          <w:b/>
          <w:i/>
          <w:sz w:val="24"/>
          <w:szCs w:val="24"/>
        </w:rPr>
        <w:t>Field data 2026</w:t>
      </w:r>
    </w:p>
    <w:p w:rsidR="00471A54" w:rsidRPr="00471A54" w:rsidRDefault="00471A54" w:rsidP="00471A54">
      <w:pPr>
        <w:pStyle w:val="Caption"/>
        <w:rPr>
          <w:rFonts w:ascii="Times New Roman" w:hAnsi="Times New Roman" w:cs="Times New Roman"/>
          <w:b/>
          <w:i w:val="0"/>
          <w:sz w:val="24"/>
          <w:szCs w:val="24"/>
        </w:rPr>
      </w:pPr>
      <w:r w:rsidRPr="00471A54">
        <w:rPr>
          <w:b/>
          <w:sz w:val="24"/>
          <w:szCs w:val="24"/>
        </w:rPr>
        <w:t xml:space="preserve">Table </w:t>
      </w:r>
      <w:r w:rsidRPr="00471A54">
        <w:rPr>
          <w:b/>
          <w:sz w:val="24"/>
          <w:szCs w:val="24"/>
        </w:rPr>
        <w:fldChar w:fldCharType="begin"/>
      </w:r>
      <w:r w:rsidRPr="00471A54">
        <w:rPr>
          <w:b/>
          <w:sz w:val="24"/>
          <w:szCs w:val="24"/>
        </w:rPr>
        <w:instrText xml:space="preserve"> SEQ Table \* ARABIC </w:instrText>
      </w:r>
      <w:r w:rsidRPr="00471A54">
        <w:rPr>
          <w:b/>
          <w:sz w:val="24"/>
          <w:szCs w:val="24"/>
        </w:rPr>
        <w:fldChar w:fldCharType="separate"/>
      </w:r>
      <w:r w:rsidR="00B03E47">
        <w:rPr>
          <w:b/>
          <w:noProof/>
          <w:sz w:val="24"/>
          <w:szCs w:val="24"/>
        </w:rPr>
        <w:t>3</w:t>
      </w:r>
      <w:r w:rsidRPr="00471A54">
        <w:rPr>
          <w:b/>
          <w:sz w:val="24"/>
          <w:szCs w:val="24"/>
        </w:rPr>
        <w:fldChar w:fldCharType="end"/>
      </w:r>
      <w:r w:rsidRPr="00471A54">
        <w:rPr>
          <w:b/>
          <w:sz w:val="24"/>
          <w:szCs w:val="24"/>
        </w:rPr>
        <w:t>: Water Treatment Practices and Perceived Safety</w:t>
      </w:r>
    </w:p>
    <w:tbl>
      <w:tblPr>
        <w:tblStyle w:val="TableGrid"/>
        <w:tblW w:w="0" w:type="auto"/>
        <w:tblInd w:w="-5" w:type="dxa"/>
        <w:tblLook w:val="04A0" w:firstRow="1" w:lastRow="0" w:firstColumn="1" w:lastColumn="0" w:noHBand="0" w:noVBand="1"/>
      </w:tblPr>
      <w:tblGrid>
        <w:gridCol w:w="3600"/>
        <w:gridCol w:w="1890"/>
        <w:gridCol w:w="1260"/>
        <w:gridCol w:w="1890"/>
      </w:tblGrid>
      <w:tr w:rsidR="00471A54" w:rsidRPr="00FD382A" w:rsidTr="00471A54">
        <w:tc>
          <w:tcPr>
            <w:tcW w:w="3600" w:type="dxa"/>
            <w:hideMark/>
          </w:tcPr>
          <w:p w:rsidR="00471A54" w:rsidRPr="00FD382A" w:rsidRDefault="00471A54" w:rsidP="00C3087F">
            <w:pPr>
              <w:pStyle w:val="NoSpacing"/>
              <w:jc w:val="center"/>
              <w:rPr>
                <w:rFonts w:cstheme="minorHAnsi"/>
                <w:b/>
                <w:sz w:val="24"/>
                <w:szCs w:val="24"/>
              </w:rPr>
            </w:pPr>
            <w:r w:rsidRPr="00FD382A">
              <w:rPr>
                <w:rFonts w:cstheme="minorHAnsi"/>
                <w:b/>
                <w:sz w:val="24"/>
                <w:szCs w:val="24"/>
              </w:rPr>
              <w:t>Variable</w:t>
            </w:r>
          </w:p>
        </w:tc>
        <w:tc>
          <w:tcPr>
            <w:tcW w:w="1890" w:type="dxa"/>
            <w:hideMark/>
          </w:tcPr>
          <w:p w:rsidR="00471A54" w:rsidRPr="00FD382A" w:rsidRDefault="00471A54" w:rsidP="00C3087F">
            <w:pPr>
              <w:pStyle w:val="NoSpacing"/>
              <w:jc w:val="center"/>
              <w:rPr>
                <w:rFonts w:cstheme="minorHAnsi"/>
                <w:b/>
                <w:sz w:val="24"/>
                <w:szCs w:val="24"/>
              </w:rPr>
            </w:pPr>
            <w:r w:rsidRPr="00FD382A">
              <w:rPr>
                <w:rFonts w:cstheme="minorHAnsi"/>
                <w:b/>
                <w:sz w:val="24"/>
                <w:szCs w:val="24"/>
              </w:rPr>
              <w:t>Response</w:t>
            </w:r>
          </w:p>
        </w:tc>
        <w:tc>
          <w:tcPr>
            <w:tcW w:w="1260" w:type="dxa"/>
            <w:hideMark/>
          </w:tcPr>
          <w:p w:rsidR="00471A54" w:rsidRPr="00FD382A" w:rsidRDefault="00471A54" w:rsidP="00C3087F">
            <w:pPr>
              <w:pStyle w:val="NoSpacing"/>
              <w:jc w:val="center"/>
              <w:rPr>
                <w:rFonts w:cstheme="minorHAnsi"/>
                <w:b/>
                <w:sz w:val="24"/>
                <w:szCs w:val="24"/>
              </w:rPr>
            </w:pPr>
            <w:r w:rsidRPr="00FD382A">
              <w:rPr>
                <w:rFonts w:cstheme="minorHAnsi"/>
                <w:b/>
                <w:sz w:val="24"/>
                <w:szCs w:val="24"/>
              </w:rPr>
              <w:t>Frequency</w:t>
            </w:r>
          </w:p>
        </w:tc>
        <w:tc>
          <w:tcPr>
            <w:tcW w:w="1890" w:type="dxa"/>
            <w:hideMark/>
          </w:tcPr>
          <w:p w:rsidR="00471A54" w:rsidRPr="00FD382A" w:rsidRDefault="00471A54" w:rsidP="00C3087F">
            <w:pPr>
              <w:pStyle w:val="NoSpacing"/>
              <w:jc w:val="center"/>
              <w:rPr>
                <w:rFonts w:cstheme="minorHAnsi"/>
                <w:b/>
                <w:sz w:val="24"/>
                <w:szCs w:val="24"/>
              </w:rPr>
            </w:pPr>
            <w:r w:rsidRPr="00FD382A">
              <w:rPr>
                <w:rFonts w:cstheme="minorHAnsi"/>
                <w:b/>
                <w:sz w:val="24"/>
                <w:szCs w:val="24"/>
              </w:rPr>
              <w:t>Percentage (%)</w:t>
            </w:r>
          </w:p>
        </w:tc>
      </w:tr>
      <w:tr w:rsidR="00471A54" w:rsidRPr="00D960B5" w:rsidTr="00471A54">
        <w:tc>
          <w:tcPr>
            <w:tcW w:w="3600" w:type="dxa"/>
            <w:hideMark/>
          </w:tcPr>
          <w:p w:rsidR="00471A54" w:rsidRPr="00280051" w:rsidRDefault="00471A54" w:rsidP="00C3087F">
            <w:pPr>
              <w:pStyle w:val="NoSpacing"/>
              <w:rPr>
                <w:rFonts w:cstheme="minorHAnsi"/>
                <w:sz w:val="24"/>
                <w:szCs w:val="24"/>
              </w:rPr>
            </w:pPr>
            <w:r w:rsidRPr="00280051">
              <w:rPr>
                <w:rFonts w:cstheme="minorHAnsi"/>
                <w:b/>
                <w:bCs/>
                <w:sz w:val="24"/>
                <w:szCs w:val="24"/>
              </w:rPr>
              <w:t>Treat drinking water?</w:t>
            </w:r>
          </w:p>
        </w:tc>
        <w:tc>
          <w:tcPr>
            <w:tcW w:w="1890" w:type="dxa"/>
            <w:hideMark/>
          </w:tcPr>
          <w:p w:rsidR="00471A54" w:rsidRPr="00280051" w:rsidRDefault="00471A54" w:rsidP="00C3087F">
            <w:pPr>
              <w:pStyle w:val="NoSpacing"/>
              <w:rPr>
                <w:rFonts w:cstheme="minorHAnsi"/>
                <w:sz w:val="24"/>
                <w:szCs w:val="24"/>
              </w:rPr>
            </w:pPr>
            <w:r w:rsidRPr="00280051">
              <w:rPr>
                <w:rFonts w:cstheme="minorHAnsi"/>
                <w:sz w:val="24"/>
                <w:szCs w:val="24"/>
              </w:rPr>
              <w:t>Yes</w:t>
            </w:r>
          </w:p>
        </w:tc>
        <w:tc>
          <w:tcPr>
            <w:tcW w:w="1260" w:type="dxa"/>
            <w:hideMark/>
          </w:tcPr>
          <w:p w:rsidR="00471A54" w:rsidRPr="00280051" w:rsidRDefault="00471A54" w:rsidP="00C3087F">
            <w:pPr>
              <w:pStyle w:val="NoSpacing"/>
              <w:jc w:val="center"/>
              <w:rPr>
                <w:rFonts w:cstheme="minorHAnsi"/>
                <w:sz w:val="24"/>
                <w:szCs w:val="24"/>
              </w:rPr>
            </w:pPr>
            <w:r w:rsidRPr="00280051">
              <w:rPr>
                <w:rFonts w:cstheme="minorHAnsi"/>
                <w:sz w:val="24"/>
                <w:szCs w:val="24"/>
              </w:rPr>
              <w:t>15</w:t>
            </w:r>
          </w:p>
        </w:tc>
        <w:tc>
          <w:tcPr>
            <w:tcW w:w="1890" w:type="dxa"/>
            <w:hideMark/>
          </w:tcPr>
          <w:p w:rsidR="00471A54" w:rsidRPr="00280051" w:rsidRDefault="00471A54" w:rsidP="00C3087F">
            <w:pPr>
              <w:pStyle w:val="NoSpacing"/>
              <w:jc w:val="center"/>
              <w:rPr>
                <w:rFonts w:cstheme="minorHAnsi"/>
                <w:sz w:val="24"/>
                <w:szCs w:val="24"/>
              </w:rPr>
            </w:pPr>
            <w:r w:rsidRPr="00280051">
              <w:rPr>
                <w:rFonts w:cstheme="minorHAnsi"/>
                <w:sz w:val="24"/>
                <w:szCs w:val="24"/>
              </w:rPr>
              <w:t>12.7</w:t>
            </w:r>
          </w:p>
        </w:tc>
      </w:tr>
      <w:tr w:rsidR="00471A54" w:rsidRPr="00D960B5" w:rsidTr="00471A54">
        <w:tc>
          <w:tcPr>
            <w:tcW w:w="3600" w:type="dxa"/>
            <w:hideMark/>
          </w:tcPr>
          <w:p w:rsidR="00471A54" w:rsidRPr="00280051" w:rsidRDefault="00471A54" w:rsidP="00C3087F">
            <w:pPr>
              <w:pStyle w:val="NoSpacing"/>
              <w:rPr>
                <w:rFonts w:cstheme="minorHAnsi"/>
                <w:sz w:val="24"/>
                <w:szCs w:val="24"/>
              </w:rPr>
            </w:pPr>
          </w:p>
        </w:tc>
        <w:tc>
          <w:tcPr>
            <w:tcW w:w="1890" w:type="dxa"/>
            <w:hideMark/>
          </w:tcPr>
          <w:p w:rsidR="00471A54" w:rsidRPr="00280051" w:rsidRDefault="00471A54" w:rsidP="00C3087F">
            <w:pPr>
              <w:pStyle w:val="NoSpacing"/>
              <w:rPr>
                <w:rFonts w:cstheme="minorHAnsi"/>
                <w:sz w:val="24"/>
                <w:szCs w:val="24"/>
              </w:rPr>
            </w:pPr>
            <w:r w:rsidRPr="00280051">
              <w:rPr>
                <w:rFonts w:cstheme="minorHAnsi"/>
                <w:sz w:val="24"/>
                <w:szCs w:val="24"/>
              </w:rPr>
              <w:t>No</w:t>
            </w:r>
          </w:p>
        </w:tc>
        <w:tc>
          <w:tcPr>
            <w:tcW w:w="1260" w:type="dxa"/>
            <w:hideMark/>
          </w:tcPr>
          <w:p w:rsidR="00471A54" w:rsidRPr="00280051" w:rsidRDefault="00471A54" w:rsidP="00C3087F">
            <w:pPr>
              <w:pStyle w:val="NoSpacing"/>
              <w:jc w:val="center"/>
              <w:rPr>
                <w:rFonts w:cstheme="minorHAnsi"/>
                <w:sz w:val="24"/>
                <w:szCs w:val="24"/>
              </w:rPr>
            </w:pPr>
            <w:r w:rsidRPr="00280051">
              <w:rPr>
                <w:rFonts w:cstheme="minorHAnsi"/>
                <w:sz w:val="24"/>
                <w:szCs w:val="24"/>
              </w:rPr>
              <w:t>103</w:t>
            </w:r>
          </w:p>
        </w:tc>
        <w:tc>
          <w:tcPr>
            <w:tcW w:w="1890" w:type="dxa"/>
            <w:hideMark/>
          </w:tcPr>
          <w:p w:rsidR="00471A54" w:rsidRPr="00280051" w:rsidRDefault="00471A54" w:rsidP="00C3087F">
            <w:pPr>
              <w:pStyle w:val="NoSpacing"/>
              <w:jc w:val="center"/>
              <w:rPr>
                <w:rFonts w:cstheme="minorHAnsi"/>
                <w:sz w:val="24"/>
                <w:szCs w:val="24"/>
              </w:rPr>
            </w:pPr>
            <w:r w:rsidRPr="00280051">
              <w:rPr>
                <w:rFonts w:cstheme="minorHAnsi"/>
                <w:sz w:val="24"/>
                <w:szCs w:val="24"/>
              </w:rPr>
              <w:t>87.3</w:t>
            </w:r>
          </w:p>
        </w:tc>
      </w:tr>
      <w:tr w:rsidR="00471A54" w:rsidRPr="00D960B5" w:rsidTr="00471A54">
        <w:tc>
          <w:tcPr>
            <w:tcW w:w="3600" w:type="dxa"/>
            <w:vMerge w:val="restart"/>
            <w:hideMark/>
          </w:tcPr>
          <w:p w:rsidR="00471A54" w:rsidRPr="00280051" w:rsidRDefault="00471A54" w:rsidP="00C3087F">
            <w:pPr>
              <w:pStyle w:val="NoSpacing"/>
              <w:rPr>
                <w:rFonts w:cstheme="minorHAnsi"/>
                <w:sz w:val="24"/>
                <w:szCs w:val="24"/>
              </w:rPr>
            </w:pPr>
            <w:r w:rsidRPr="00280051">
              <w:rPr>
                <w:rFonts w:cstheme="minorHAnsi"/>
                <w:b/>
                <w:bCs/>
                <w:sz w:val="24"/>
                <w:szCs w:val="24"/>
              </w:rPr>
              <w:lastRenderedPageBreak/>
              <w:t>Treatment method</w:t>
            </w:r>
            <w:r w:rsidRPr="00280051">
              <w:rPr>
                <w:rFonts w:cstheme="minorHAnsi"/>
                <w:sz w:val="24"/>
                <w:szCs w:val="24"/>
              </w:rPr>
              <w:t> </w:t>
            </w:r>
          </w:p>
        </w:tc>
        <w:tc>
          <w:tcPr>
            <w:tcW w:w="1890" w:type="dxa"/>
            <w:hideMark/>
          </w:tcPr>
          <w:p w:rsidR="00471A54" w:rsidRPr="00280051" w:rsidRDefault="00471A54" w:rsidP="00C3087F">
            <w:pPr>
              <w:pStyle w:val="NoSpacing"/>
              <w:rPr>
                <w:rFonts w:cstheme="minorHAnsi"/>
                <w:sz w:val="24"/>
                <w:szCs w:val="24"/>
              </w:rPr>
            </w:pPr>
            <w:r w:rsidRPr="00280051">
              <w:rPr>
                <w:rFonts w:cstheme="minorHAnsi"/>
                <w:sz w:val="24"/>
                <w:szCs w:val="24"/>
              </w:rPr>
              <w:t>Chlorine/Water Guard</w:t>
            </w:r>
          </w:p>
        </w:tc>
        <w:tc>
          <w:tcPr>
            <w:tcW w:w="1260" w:type="dxa"/>
            <w:hideMark/>
          </w:tcPr>
          <w:p w:rsidR="00471A54" w:rsidRPr="00280051" w:rsidRDefault="00471A54" w:rsidP="00C3087F">
            <w:pPr>
              <w:pStyle w:val="NoSpacing"/>
              <w:jc w:val="center"/>
              <w:rPr>
                <w:rFonts w:cstheme="minorHAnsi"/>
                <w:sz w:val="24"/>
                <w:szCs w:val="24"/>
              </w:rPr>
            </w:pPr>
            <w:r>
              <w:rPr>
                <w:rFonts w:cstheme="minorHAnsi"/>
                <w:sz w:val="24"/>
                <w:szCs w:val="24"/>
              </w:rPr>
              <w:t>15</w:t>
            </w:r>
          </w:p>
        </w:tc>
        <w:tc>
          <w:tcPr>
            <w:tcW w:w="1890" w:type="dxa"/>
            <w:hideMark/>
          </w:tcPr>
          <w:p w:rsidR="00471A54" w:rsidRPr="00280051" w:rsidRDefault="00471A54" w:rsidP="00C3087F">
            <w:pPr>
              <w:pStyle w:val="NoSpacing"/>
              <w:jc w:val="center"/>
              <w:rPr>
                <w:rFonts w:cstheme="minorHAnsi"/>
                <w:sz w:val="24"/>
                <w:szCs w:val="24"/>
              </w:rPr>
            </w:pPr>
            <w:r>
              <w:rPr>
                <w:rFonts w:cstheme="minorHAnsi"/>
                <w:sz w:val="24"/>
                <w:szCs w:val="24"/>
              </w:rPr>
              <w:t>12.7</w:t>
            </w:r>
          </w:p>
        </w:tc>
      </w:tr>
      <w:tr w:rsidR="00471A54" w:rsidRPr="00D960B5" w:rsidTr="00471A54">
        <w:tc>
          <w:tcPr>
            <w:tcW w:w="3600" w:type="dxa"/>
            <w:vMerge/>
            <w:hideMark/>
          </w:tcPr>
          <w:p w:rsidR="00471A54" w:rsidRPr="00280051" w:rsidRDefault="00471A54" w:rsidP="00C3087F">
            <w:pPr>
              <w:pStyle w:val="NoSpacing"/>
              <w:rPr>
                <w:rFonts w:cstheme="minorHAnsi"/>
                <w:sz w:val="24"/>
                <w:szCs w:val="24"/>
              </w:rPr>
            </w:pPr>
          </w:p>
        </w:tc>
        <w:tc>
          <w:tcPr>
            <w:tcW w:w="1890" w:type="dxa"/>
            <w:hideMark/>
          </w:tcPr>
          <w:p w:rsidR="00471A54" w:rsidRPr="00280051" w:rsidRDefault="00471A54" w:rsidP="00C3087F">
            <w:pPr>
              <w:pStyle w:val="NoSpacing"/>
              <w:rPr>
                <w:rFonts w:cstheme="minorHAnsi"/>
                <w:sz w:val="24"/>
                <w:szCs w:val="24"/>
              </w:rPr>
            </w:pPr>
            <w:r w:rsidRPr="00280051">
              <w:rPr>
                <w:rFonts w:cstheme="minorHAnsi"/>
                <w:sz w:val="24"/>
                <w:szCs w:val="24"/>
              </w:rPr>
              <w:t>Boiling</w:t>
            </w:r>
          </w:p>
        </w:tc>
        <w:tc>
          <w:tcPr>
            <w:tcW w:w="1260" w:type="dxa"/>
            <w:hideMark/>
          </w:tcPr>
          <w:p w:rsidR="00471A54" w:rsidRPr="00280051" w:rsidRDefault="00471A54" w:rsidP="00C3087F">
            <w:pPr>
              <w:pStyle w:val="NoSpacing"/>
              <w:jc w:val="center"/>
              <w:rPr>
                <w:rFonts w:cstheme="minorHAnsi"/>
                <w:sz w:val="24"/>
                <w:szCs w:val="24"/>
              </w:rPr>
            </w:pPr>
            <w:r>
              <w:rPr>
                <w:rFonts w:cstheme="minorHAnsi"/>
                <w:sz w:val="24"/>
                <w:szCs w:val="24"/>
              </w:rPr>
              <w:t>0</w:t>
            </w:r>
          </w:p>
        </w:tc>
        <w:tc>
          <w:tcPr>
            <w:tcW w:w="1890" w:type="dxa"/>
            <w:hideMark/>
          </w:tcPr>
          <w:p w:rsidR="00471A54" w:rsidRPr="00280051" w:rsidRDefault="00471A54" w:rsidP="00C3087F">
            <w:pPr>
              <w:pStyle w:val="NoSpacing"/>
              <w:jc w:val="center"/>
              <w:rPr>
                <w:rFonts w:cstheme="minorHAnsi"/>
                <w:sz w:val="24"/>
                <w:szCs w:val="24"/>
              </w:rPr>
            </w:pPr>
            <w:r>
              <w:rPr>
                <w:rFonts w:cstheme="minorHAnsi"/>
                <w:sz w:val="24"/>
                <w:szCs w:val="24"/>
              </w:rPr>
              <w:t>0.0</w:t>
            </w:r>
          </w:p>
        </w:tc>
      </w:tr>
      <w:tr w:rsidR="00471A54" w:rsidRPr="00D960B5" w:rsidTr="00471A54">
        <w:tc>
          <w:tcPr>
            <w:tcW w:w="3600" w:type="dxa"/>
            <w:vMerge/>
          </w:tcPr>
          <w:p w:rsidR="00471A54" w:rsidRPr="00280051" w:rsidRDefault="00471A54" w:rsidP="00C3087F">
            <w:pPr>
              <w:pStyle w:val="NoSpacing"/>
              <w:rPr>
                <w:rFonts w:cstheme="minorHAnsi"/>
                <w:sz w:val="24"/>
                <w:szCs w:val="24"/>
              </w:rPr>
            </w:pPr>
          </w:p>
        </w:tc>
        <w:tc>
          <w:tcPr>
            <w:tcW w:w="1890" w:type="dxa"/>
          </w:tcPr>
          <w:p w:rsidR="00471A54" w:rsidRPr="00280051" w:rsidRDefault="00471A54" w:rsidP="00C3087F">
            <w:pPr>
              <w:pStyle w:val="NoSpacing"/>
              <w:rPr>
                <w:rFonts w:cstheme="minorHAnsi"/>
                <w:sz w:val="24"/>
                <w:szCs w:val="24"/>
              </w:rPr>
            </w:pPr>
            <w:r>
              <w:rPr>
                <w:rFonts w:cstheme="minorHAnsi"/>
                <w:sz w:val="24"/>
                <w:szCs w:val="24"/>
              </w:rPr>
              <w:t xml:space="preserve">None </w:t>
            </w:r>
          </w:p>
        </w:tc>
        <w:tc>
          <w:tcPr>
            <w:tcW w:w="1260" w:type="dxa"/>
          </w:tcPr>
          <w:p w:rsidR="00471A54" w:rsidRDefault="00471A54" w:rsidP="00C3087F">
            <w:pPr>
              <w:pStyle w:val="NoSpacing"/>
              <w:jc w:val="center"/>
              <w:rPr>
                <w:rFonts w:cstheme="minorHAnsi"/>
                <w:sz w:val="24"/>
                <w:szCs w:val="24"/>
              </w:rPr>
            </w:pPr>
            <w:r>
              <w:rPr>
                <w:rFonts w:cstheme="minorHAnsi"/>
                <w:sz w:val="24"/>
                <w:szCs w:val="24"/>
              </w:rPr>
              <w:t>103</w:t>
            </w:r>
          </w:p>
        </w:tc>
        <w:tc>
          <w:tcPr>
            <w:tcW w:w="1890" w:type="dxa"/>
          </w:tcPr>
          <w:p w:rsidR="00471A54" w:rsidRDefault="00471A54" w:rsidP="00C3087F">
            <w:pPr>
              <w:pStyle w:val="NoSpacing"/>
              <w:jc w:val="center"/>
              <w:rPr>
                <w:rFonts w:cstheme="minorHAnsi"/>
                <w:sz w:val="24"/>
                <w:szCs w:val="24"/>
              </w:rPr>
            </w:pPr>
            <w:r>
              <w:rPr>
                <w:rFonts w:cstheme="minorHAnsi"/>
                <w:sz w:val="24"/>
                <w:szCs w:val="24"/>
              </w:rPr>
              <w:t>87.3</w:t>
            </w:r>
          </w:p>
        </w:tc>
      </w:tr>
      <w:tr w:rsidR="00471A54" w:rsidRPr="00D960B5" w:rsidTr="00471A54">
        <w:tc>
          <w:tcPr>
            <w:tcW w:w="3600" w:type="dxa"/>
            <w:vMerge w:val="restart"/>
            <w:hideMark/>
          </w:tcPr>
          <w:p w:rsidR="00471A54" w:rsidRPr="00280051" w:rsidRDefault="00471A54" w:rsidP="00C3087F">
            <w:pPr>
              <w:pStyle w:val="NoSpacing"/>
              <w:rPr>
                <w:rFonts w:cstheme="minorHAnsi"/>
                <w:sz w:val="24"/>
                <w:szCs w:val="24"/>
              </w:rPr>
            </w:pPr>
            <w:r w:rsidRPr="00280051">
              <w:rPr>
                <w:rFonts w:cstheme="minorHAnsi"/>
                <w:b/>
                <w:bCs/>
                <w:sz w:val="24"/>
                <w:szCs w:val="24"/>
              </w:rPr>
              <w:t>Water source near latrine/dumpsite?</w:t>
            </w:r>
          </w:p>
        </w:tc>
        <w:tc>
          <w:tcPr>
            <w:tcW w:w="1890" w:type="dxa"/>
            <w:hideMark/>
          </w:tcPr>
          <w:p w:rsidR="00471A54" w:rsidRPr="00280051" w:rsidRDefault="00471A54" w:rsidP="00C3087F">
            <w:pPr>
              <w:pStyle w:val="NoSpacing"/>
              <w:rPr>
                <w:rFonts w:cstheme="minorHAnsi"/>
                <w:sz w:val="24"/>
                <w:szCs w:val="24"/>
              </w:rPr>
            </w:pPr>
            <w:r w:rsidRPr="00280051">
              <w:rPr>
                <w:rFonts w:cstheme="minorHAnsi"/>
                <w:sz w:val="24"/>
                <w:szCs w:val="24"/>
              </w:rPr>
              <w:t>Yes</w:t>
            </w:r>
          </w:p>
        </w:tc>
        <w:tc>
          <w:tcPr>
            <w:tcW w:w="1260" w:type="dxa"/>
            <w:hideMark/>
          </w:tcPr>
          <w:p w:rsidR="00471A54" w:rsidRPr="00280051" w:rsidRDefault="00471A54" w:rsidP="00C3087F">
            <w:pPr>
              <w:pStyle w:val="NoSpacing"/>
              <w:jc w:val="center"/>
              <w:rPr>
                <w:rFonts w:cstheme="minorHAnsi"/>
                <w:sz w:val="24"/>
                <w:szCs w:val="24"/>
              </w:rPr>
            </w:pPr>
            <w:r>
              <w:rPr>
                <w:rFonts w:cstheme="minorHAnsi"/>
                <w:sz w:val="24"/>
                <w:szCs w:val="24"/>
              </w:rPr>
              <w:t>8</w:t>
            </w:r>
          </w:p>
        </w:tc>
        <w:tc>
          <w:tcPr>
            <w:tcW w:w="1890" w:type="dxa"/>
            <w:hideMark/>
          </w:tcPr>
          <w:p w:rsidR="00471A54" w:rsidRPr="00280051" w:rsidRDefault="00471A54" w:rsidP="00C3087F">
            <w:pPr>
              <w:pStyle w:val="NoSpacing"/>
              <w:jc w:val="center"/>
              <w:rPr>
                <w:rFonts w:cstheme="minorHAnsi"/>
                <w:sz w:val="24"/>
                <w:szCs w:val="24"/>
              </w:rPr>
            </w:pPr>
            <w:r>
              <w:rPr>
                <w:rFonts w:cstheme="minorHAnsi"/>
                <w:sz w:val="24"/>
                <w:szCs w:val="24"/>
              </w:rPr>
              <w:t>6.8</w:t>
            </w:r>
          </w:p>
        </w:tc>
      </w:tr>
      <w:tr w:rsidR="00471A54" w:rsidRPr="00D960B5" w:rsidTr="00471A54">
        <w:tc>
          <w:tcPr>
            <w:tcW w:w="3600" w:type="dxa"/>
            <w:vMerge/>
            <w:hideMark/>
          </w:tcPr>
          <w:p w:rsidR="00471A54" w:rsidRPr="00280051" w:rsidRDefault="00471A54" w:rsidP="00C3087F">
            <w:pPr>
              <w:pStyle w:val="NoSpacing"/>
              <w:rPr>
                <w:rFonts w:cstheme="minorHAnsi"/>
                <w:sz w:val="24"/>
                <w:szCs w:val="24"/>
              </w:rPr>
            </w:pPr>
          </w:p>
        </w:tc>
        <w:tc>
          <w:tcPr>
            <w:tcW w:w="1890" w:type="dxa"/>
            <w:hideMark/>
          </w:tcPr>
          <w:p w:rsidR="00471A54" w:rsidRPr="00280051" w:rsidRDefault="00471A54" w:rsidP="00C3087F">
            <w:pPr>
              <w:pStyle w:val="NoSpacing"/>
              <w:rPr>
                <w:rFonts w:cstheme="minorHAnsi"/>
                <w:sz w:val="24"/>
                <w:szCs w:val="24"/>
              </w:rPr>
            </w:pPr>
            <w:r w:rsidRPr="00280051">
              <w:rPr>
                <w:rFonts w:cstheme="minorHAnsi"/>
                <w:sz w:val="24"/>
                <w:szCs w:val="24"/>
              </w:rPr>
              <w:t>No</w:t>
            </w:r>
          </w:p>
        </w:tc>
        <w:tc>
          <w:tcPr>
            <w:tcW w:w="1260" w:type="dxa"/>
            <w:hideMark/>
          </w:tcPr>
          <w:p w:rsidR="00471A54" w:rsidRPr="00280051" w:rsidRDefault="00471A54" w:rsidP="00C3087F">
            <w:pPr>
              <w:pStyle w:val="NoSpacing"/>
              <w:jc w:val="center"/>
              <w:rPr>
                <w:rFonts w:cstheme="minorHAnsi"/>
                <w:sz w:val="24"/>
                <w:szCs w:val="24"/>
              </w:rPr>
            </w:pPr>
            <w:r>
              <w:rPr>
                <w:rFonts w:cstheme="minorHAnsi"/>
                <w:sz w:val="24"/>
                <w:szCs w:val="24"/>
              </w:rPr>
              <w:t>110</w:t>
            </w:r>
          </w:p>
        </w:tc>
        <w:tc>
          <w:tcPr>
            <w:tcW w:w="1890" w:type="dxa"/>
            <w:hideMark/>
          </w:tcPr>
          <w:p w:rsidR="00471A54" w:rsidRPr="00280051" w:rsidRDefault="00471A54" w:rsidP="00C3087F">
            <w:pPr>
              <w:pStyle w:val="NoSpacing"/>
              <w:jc w:val="center"/>
              <w:rPr>
                <w:rFonts w:cstheme="minorHAnsi"/>
                <w:sz w:val="24"/>
                <w:szCs w:val="24"/>
              </w:rPr>
            </w:pPr>
            <w:r>
              <w:rPr>
                <w:rFonts w:cstheme="minorHAnsi"/>
                <w:sz w:val="24"/>
                <w:szCs w:val="24"/>
              </w:rPr>
              <w:t>93.2</w:t>
            </w:r>
          </w:p>
        </w:tc>
      </w:tr>
      <w:tr w:rsidR="00471A54" w:rsidRPr="00D960B5" w:rsidTr="00471A54">
        <w:tc>
          <w:tcPr>
            <w:tcW w:w="3600" w:type="dxa"/>
            <w:vMerge w:val="restart"/>
            <w:hideMark/>
          </w:tcPr>
          <w:p w:rsidR="00471A54" w:rsidRPr="00280051" w:rsidRDefault="00471A54" w:rsidP="00C3087F">
            <w:pPr>
              <w:pStyle w:val="NoSpacing"/>
              <w:rPr>
                <w:rFonts w:cstheme="minorHAnsi"/>
                <w:sz w:val="24"/>
                <w:szCs w:val="24"/>
              </w:rPr>
            </w:pPr>
            <w:r w:rsidRPr="00280051">
              <w:rPr>
                <w:rFonts w:cstheme="minorHAnsi"/>
                <w:b/>
                <w:bCs/>
                <w:sz w:val="24"/>
                <w:szCs w:val="24"/>
              </w:rPr>
              <w:t>Do you believe your water is safe?</w:t>
            </w:r>
          </w:p>
        </w:tc>
        <w:tc>
          <w:tcPr>
            <w:tcW w:w="1890" w:type="dxa"/>
            <w:hideMark/>
          </w:tcPr>
          <w:p w:rsidR="00471A54" w:rsidRPr="00280051" w:rsidRDefault="00471A54" w:rsidP="00C3087F">
            <w:pPr>
              <w:pStyle w:val="NoSpacing"/>
              <w:rPr>
                <w:rFonts w:cstheme="minorHAnsi"/>
                <w:sz w:val="24"/>
                <w:szCs w:val="24"/>
              </w:rPr>
            </w:pPr>
            <w:r w:rsidRPr="00280051">
              <w:rPr>
                <w:rFonts w:cstheme="minorHAnsi"/>
                <w:sz w:val="24"/>
                <w:szCs w:val="24"/>
              </w:rPr>
              <w:t>Yes</w:t>
            </w:r>
          </w:p>
        </w:tc>
        <w:tc>
          <w:tcPr>
            <w:tcW w:w="1260" w:type="dxa"/>
            <w:hideMark/>
          </w:tcPr>
          <w:p w:rsidR="00471A54" w:rsidRPr="00280051" w:rsidRDefault="00471A54" w:rsidP="00C3087F">
            <w:pPr>
              <w:pStyle w:val="NoSpacing"/>
              <w:jc w:val="center"/>
              <w:rPr>
                <w:rFonts w:cstheme="minorHAnsi"/>
                <w:sz w:val="24"/>
                <w:szCs w:val="24"/>
              </w:rPr>
            </w:pPr>
            <w:r>
              <w:rPr>
                <w:rFonts w:cstheme="minorHAnsi"/>
                <w:sz w:val="24"/>
                <w:szCs w:val="24"/>
              </w:rPr>
              <w:t>78</w:t>
            </w:r>
          </w:p>
        </w:tc>
        <w:tc>
          <w:tcPr>
            <w:tcW w:w="1890" w:type="dxa"/>
            <w:hideMark/>
          </w:tcPr>
          <w:p w:rsidR="00471A54" w:rsidRPr="00280051" w:rsidRDefault="00471A54" w:rsidP="00C3087F">
            <w:pPr>
              <w:pStyle w:val="NoSpacing"/>
              <w:jc w:val="center"/>
              <w:rPr>
                <w:rFonts w:cstheme="minorHAnsi"/>
                <w:sz w:val="24"/>
                <w:szCs w:val="24"/>
              </w:rPr>
            </w:pPr>
            <w:r>
              <w:rPr>
                <w:rFonts w:cstheme="minorHAnsi"/>
                <w:sz w:val="24"/>
                <w:szCs w:val="24"/>
              </w:rPr>
              <w:t>66.1</w:t>
            </w:r>
          </w:p>
        </w:tc>
      </w:tr>
      <w:tr w:rsidR="00471A54" w:rsidRPr="00D960B5" w:rsidTr="00471A54">
        <w:tc>
          <w:tcPr>
            <w:tcW w:w="3600" w:type="dxa"/>
            <w:vMerge/>
            <w:hideMark/>
          </w:tcPr>
          <w:p w:rsidR="00471A54" w:rsidRPr="00280051" w:rsidRDefault="00471A54" w:rsidP="00C3087F">
            <w:pPr>
              <w:pStyle w:val="NoSpacing"/>
              <w:rPr>
                <w:rFonts w:cstheme="minorHAnsi"/>
                <w:sz w:val="24"/>
                <w:szCs w:val="24"/>
              </w:rPr>
            </w:pPr>
          </w:p>
        </w:tc>
        <w:tc>
          <w:tcPr>
            <w:tcW w:w="1890" w:type="dxa"/>
            <w:hideMark/>
          </w:tcPr>
          <w:p w:rsidR="00471A54" w:rsidRPr="00280051" w:rsidRDefault="00471A54" w:rsidP="00C3087F">
            <w:pPr>
              <w:pStyle w:val="NoSpacing"/>
              <w:rPr>
                <w:rFonts w:cstheme="minorHAnsi"/>
                <w:sz w:val="24"/>
                <w:szCs w:val="24"/>
              </w:rPr>
            </w:pPr>
            <w:r w:rsidRPr="00280051">
              <w:rPr>
                <w:rFonts w:cstheme="minorHAnsi"/>
                <w:sz w:val="24"/>
                <w:szCs w:val="24"/>
              </w:rPr>
              <w:t>No</w:t>
            </w:r>
          </w:p>
        </w:tc>
        <w:tc>
          <w:tcPr>
            <w:tcW w:w="1260" w:type="dxa"/>
            <w:hideMark/>
          </w:tcPr>
          <w:p w:rsidR="00471A54" w:rsidRPr="00280051" w:rsidRDefault="00471A54" w:rsidP="00C3087F">
            <w:pPr>
              <w:pStyle w:val="NoSpacing"/>
              <w:jc w:val="center"/>
              <w:rPr>
                <w:rFonts w:cstheme="minorHAnsi"/>
                <w:sz w:val="24"/>
                <w:szCs w:val="24"/>
              </w:rPr>
            </w:pPr>
            <w:r>
              <w:rPr>
                <w:rFonts w:cstheme="minorHAnsi"/>
                <w:sz w:val="24"/>
                <w:szCs w:val="24"/>
              </w:rPr>
              <w:t>40</w:t>
            </w:r>
          </w:p>
        </w:tc>
        <w:tc>
          <w:tcPr>
            <w:tcW w:w="1890" w:type="dxa"/>
            <w:hideMark/>
          </w:tcPr>
          <w:p w:rsidR="00471A54" w:rsidRPr="00280051" w:rsidRDefault="00471A54" w:rsidP="00C3087F">
            <w:pPr>
              <w:pStyle w:val="NoSpacing"/>
              <w:jc w:val="center"/>
              <w:rPr>
                <w:rFonts w:cstheme="minorHAnsi"/>
                <w:sz w:val="24"/>
                <w:szCs w:val="24"/>
              </w:rPr>
            </w:pPr>
            <w:r>
              <w:rPr>
                <w:rFonts w:cstheme="minorHAnsi"/>
                <w:sz w:val="24"/>
                <w:szCs w:val="24"/>
              </w:rPr>
              <w:t>33.9</w:t>
            </w:r>
          </w:p>
        </w:tc>
      </w:tr>
      <w:tr w:rsidR="00471A54" w:rsidRPr="00D960B5" w:rsidTr="00471A54">
        <w:tc>
          <w:tcPr>
            <w:tcW w:w="6750" w:type="dxa"/>
            <w:gridSpan w:val="3"/>
          </w:tcPr>
          <w:p w:rsidR="00471A54" w:rsidRDefault="00471A54" w:rsidP="00C3087F">
            <w:pPr>
              <w:pStyle w:val="NoSpacing"/>
              <w:jc w:val="center"/>
              <w:rPr>
                <w:rFonts w:cstheme="minorHAnsi"/>
                <w:sz w:val="24"/>
                <w:szCs w:val="24"/>
              </w:rPr>
            </w:pPr>
            <w:r>
              <w:rPr>
                <w:rFonts w:cstheme="minorHAnsi"/>
                <w:sz w:val="24"/>
                <w:szCs w:val="24"/>
              </w:rPr>
              <w:t>N=118</w:t>
            </w:r>
          </w:p>
        </w:tc>
        <w:tc>
          <w:tcPr>
            <w:tcW w:w="1890" w:type="dxa"/>
          </w:tcPr>
          <w:p w:rsidR="00471A54" w:rsidRDefault="00471A54" w:rsidP="00C3087F">
            <w:pPr>
              <w:pStyle w:val="NoSpacing"/>
              <w:jc w:val="center"/>
              <w:rPr>
                <w:rFonts w:cstheme="minorHAnsi"/>
                <w:sz w:val="24"/>
                <w:szCs w:val="24"/>
              </w:rPr>
            </w:pPr>
            <w:r>
              <w:rPr>
                <w:rFonts w:cstheme="minorHAnsi"/>
                <w:sz w:val="24"/>
                <w:szCs w:val="24"/>
              </w:rPr>
              <w:t>100</w:t>
            </w:r>
          </w:p>
        </w:tc>
      </w:tr>
    </w:tbl>
    <w:p w:rsidR="006B487F" w:rsidRDefault="006B487F" w:rsidP="006B487F">
      <w:pPr>
        <w:spacing w:line="360" w:lineRule="auto"/>
        <w:jc w:val="center"/>
        <w:rPr>
          <w:rFonts w:ascii="Times New Roman" w:hAnsi="Times New Roman" w:cs="Times New Roman"/>
          <w:b/>
          <w:i/>
          <w:sz w:val="24"/>
          <w:szCs w:val="24"/>
        </w:rPr>
      </w:pPr>
      <w:r w:rsidRPr="00224DAB">
        <w:rPr>
          <w:rFonts w:ascii="Times New Roman" w:hAnsi="Times New Roman" w:cs="Times New Roman"/>
          <w:b/>
          <w:i/>
          <w:sz w:val="24"/>
          <w:szCs w:val="24"/>
        </w:rPr>
        <w:t>Field data 2026</w:t>
      </w:r>
    </w:p>
    <w:p w:rsidR="00B03E47" w:rsidRPr="00B03E47" w:rsidRDefault="00B03E47" w:rsidP="00B03E47">
      <w:pPr>
        <w:pStyle w:val="Caption"/>
        <w:rPr>
          <w:rFonts w:ascii="Times New Roman" w:hAnsi="Times New Roman" w:cs="Times New Roman"/>
          <w:b/>
          <w:i w:val="0"/>
          <w:sz w:val="24"/>
          <w:szCs w:val="24"/>
        </w:rPr>
      </w:pPr>
      <w:r w:rsidRPr="00B03E47">
        <w:rPr>
          <w:b/>
          <w:sz w:val="24"/>
          <w:szCs w:val="24"/>
        </w:rPr>
        <w:t xml:space="preserve">Table </w:t>
      </w:r>
      <w:r w:rsidRPr="00B03E47">
        <w:rPr>
          <w:b/>
          <w:sz w:val="24"/>
          <w:szCs w:val="24"/>
        </w:rPr>
        <w:fldChar w:fldCharType="begin"/>
      </w:r>
      <w:r w:rsidRPr="00B03E47">
        <w:rPr>
          <w:b/>
          <w:sz w:val="24"/>
          <w:szCs w:val="24"/>
        </w:rPr>
        <w:instrText xml:space="preserve"> SEQ Table \* ARABIC </w:instrText>
      </w:r>
      <w:r w:rsidRPr="00B03E47">
        <w:rPr>
          <w:b/>
          <w:sz w:val="24"/>
          <w:szCs w:val="24"/>
        </w:rPr>
        <w:fldChar w:fldCharType="separate"/>
      </w:r>
      <w:r w:rsidRPr="00B03E47">
        <w:rPr>
          <w:b/>
          <w:noProof/>
          <w:sz w:val="24"/>
          <w:szCs w:val="24"/>
        </w:rPr>
        <w:t>4</w:t>
      </w:r>
      <w:r w:rsidRPr="00B03E47">
        <w:rPr>
          <w:b/>
          <w:sz w:val="24"/>
          <w:szCs w:val="24"/>
        </w:rPr>
        <w:fldChar w:fldCharType="end"/>
      </w:r>
      <w:r w:rsidRPr="00B03E47">
        <w:rPr>
          <w:b/>
          <w:sz w:val="24"/>
          <w:szCs w:val="24"/>
        </w:rPr>
        <w:t>:Self-Reported Water</w:t>
      </w:r>
      <w:r w:rsidR="00707734">
        <w:rPr>
          <w:b/>
          <w:sz w:val="24"/>
          <w:szCs w:val="24"/>
        </w:rPr>
        <w:t>-</w:t>
      </w:r>
      <w:r w:rsidRPr="00B03E47">
        <w:rPr>
          <w:b/>
          <w:sz w:val="24"/>
          <w:szCs w:val="24"/>
        </w:rPr>
        <w:t>borne Diseases in the Previous Month</w:t>
      </w:r>
    </w:p>
    <w:tbl>
      <w:tblPr>
        <w:tblStyle w:val="TableGrid"/>
        <w:tblW w:w="8420" w:type="dxa"/>
        <w:tblLook w:val="04A0" w:firstRow="1" w:lastRow="0" w:firstColumn="1" w:lastColumn="0" w:noHBand="0" w:noVBand="1"/>
      </w:tblPr>
      <w:tblGrid>
        <w:gridCol w:w="2219"/>
        <w:gridCol w:w="2619"/>
        <w:gridCol w:w="3582"/>
      </w:tblGrid>
      <w:tr w:rsidR="00B03E47" w:rsidRPr="00CC2D2B" w:rsidTr="00C3087F">
        <w:trPr>
          <w:trHeight w:val="350"/>
        </w:trPr>
        <w:tc>
          <w:tcPr>
            <w:tcW w:w="0" w:type="auto"/>
            <w:hideMark/>
          </w:tcPr>
          <w:p w:rsidR="00B03E47" w:rsidRPr="00CC2D2B" w:rsidRDefault="00B03E47" w:rsidP="00C3087F">
            <w:pPr>
              <w:pStyle w:val="NoSpacing"/>
              <w:jc w:val="center"/>
              <w:rPr>
                <w:b/>
                <w:sz w:val="24"/>
                <w:szCs w:val="24"/>
              </w:rPr>
            </w:pPr>
            <w:r w:rsidRPr="00CC2D2B">
              <w:rPr>
                <w:b/>
                <w:sz w:val="24"/>
                <w:szCs w:val="24"/>
              </w:rPr>
              <w:t>Disease</w:t>
            </w:r>
          </w:p>
        </w:tc>
        <w:tc>
          <w:tcPr>
            <w:tcW w:w="0" w:type="auto"/>
            <w:hideMark/>
          </w:tcPr>
          <w:p w:rsidR="00B03E47" w:rsidRPr="00CC2D2B" w:rsidRDefault="00B03E47" w:rsidP="00C3087F">
            <w:pPr>
              <w:pStyle w:val="NoSpacing"/>
              <w:jc w:val="center"/>
              <w:rPr>
                <w:b/>
                <w:sz w:val="24"/>
                <w:szCs w:val="24"/>
              </w:rPr>
            </w:pPr>
            <w:r w:rsidRPr="00CC2D2B">
              <w:rPr>
                <w:b/>
                <w:sz w:val="24"/>
                <w:szCs w:val="24"/>
              </w:rPr>
              <w:t>Frequency</w:t>
            </w:r>
          </w:p>
        </w:tc>
        <w:tc>
          <w:tcPr>
            <w:tcW w:w="0" w:type="auto"/>
            <w:hideMark/>
          </w:tcPr>
          <w:p w:rsidR="00B03E47" w:rsidRPr="00CC2D2B" w:rsidRDefault="00B03E47" w:rsidP="00C3087F">
            <w:pPr>
              <w:pStyle w:val="NoSpacing"/>
              <w:jc w:val="center"/>
              <w:rPr>
                <w:b/>
                <w:sz w:val="24"/>
                <w:szCs w:val="24"/>
              </w:rPr>
            </w:pPr>
            <w:r w:rsidRPr="00CC2D2B">
              <w:rPr>
                <w:b/>
                <w:sz w:val="24"/>
                <w:szCs w:val="24"/>
              </w:rPr>
              <w:t>Percentage (%)</w:t>
            </w:r>
          </w:p>
        </w:tc>
      </w:tr>
      <w:tr w:rsidR="00B03E47" w:rsidRPr="00CC2D2B" w:rsidTr="00C3087F">
        <w:trPr>
          <w:trHeight w:val="260"/>
        </w:trPr>
        <w:tc>
          <w:tcPr>
            <w:tcW w:w="0" w:type="auto"/>
            <w:hideMark/>
          </w:tcPr>
          <w:p w:rsidR="00B03E47" w:rsidRPr="00CC2D2B" w:rsidRDefault="00B03E47" w:rsidP="00C3087F">
            <w:pPr>
              <w:pStyle w:val="NoSpacing"/>
              <w:rPr>
                <w:sz w:val="24"/>
                <w:szCs w:val="24"/>
              </w:rPr>
            </w:pPr>
            <w:r w:rsidRPr="00CC2D2B">
              <w:rPr>
                <w:bCs/>
                <w:sz w:val="24"/>
                <w:szCs w:val="24"/>
              </w:rPr>
              <w:t>Typhoid</w:t>
            </w:r>
          </w:p>
        </w:tc>
        <w:tc>
          <w:tcPr>
            <w:tcW w:w="0" w:type="auto"/>
            <w:hideMark/>
          </w:tcPr>
          <w:p w:rsidR="00B03E47" w:rsidRPr="00CC2D2B" w:rsidRDefault="00B03E47" w:rsidP="00C3087F">
            <w:pPr>
              <w:pStyle w:val="NoSpacing"/>
              <w:jc w:val="center"/>
              <w:rPr>
                <w:sz w:val="24"/>
                <w:szCs w:val="24"/>
              </w:rPr>
            </w:pPr>
            <w:r w:rsidRPr="00CC2D2B">
              <w:rPr>
                <w:sz w:val="24"/>
                <w:szCs w:val="24"/>
              </w:rPr>
              <w:t>78</w:t>
            </w:r>
          </w:p>
        </w:tc>
        <w:tc>
          <w:tcPr>
            <w:tcW w:w="0" w:type="auto"/>
            <w:hideMark/>
          </w:tcPr>
          <w:p w:rsidR="00B03E47" w:rsidRPr="00CC2D2B" w:rsidRDefault="00B03E47" w:rsidP="00C3087F">
            <w:pPr>
              <w:pStyle w:val="NoSpacing"/>
              <w:jc w:val="center"/>
              <w:rPr>
                <w:sz w:val="24"/>
                <w:szCs w:val="24"/>
              </w:rPr>
            </w:pPr>
            <w:r w:rsidRPr="00CC2D2B">
              <w:rPr>
                <w:sz w:val="24"/>
                <w:szCs w:val="24"/>
              </w:rPr>
              <w:t>66.1</w:t>
            </w:r>
          </w:p>
        </w:tc>
      </w:tr>
      <w:tr w:rsidR="00B03E47" w:rsidRPr="00CC2D2B" w:rsidTr="00C3087F">
        <w:trPr>
          <w:trHeight w:val="251"/>
        </w:trPr>
        <w:tc>
          <w:tcPr>
            <w:tcW w:w="0" w:type="auto"/>
            <w:hideMark/>
          </w:tcPr>
          <w:p w:rsidR="00B03E47" w:rsidRPr="00CC2D2B" w:rsidRDefault="00B03E47" w:rsidP="00C3087F">
            <w:pPr>
              <w:pStyle w:val="NoSpacing"/>
              <w:rPr>
                <w:sz w:val="24"/>
                <w:szCs w:val="24"/>
              </w:rPr>
            </w:pPr>
            <w:r w:rsidRPr="00CC2D2B">
              <w:rPr>
                <w:bCs/>
                <w:sz w:val="24"/>
                <w:szCs w:val="24"/>
              </w:rPr>
              <w:t>Diarrhea</w:t>
            </w:r>
          </w:p>
        </w:tc>
        <w:tc>
          <w:tcPr>
            <w:tcW w:w="0" w:type="auto"/>
            <w:hideMark/>
          </w:tcPr>
          <w:p w:rsidR="00B03E47" w:rsidRPr="00CC2D2B" w:rsidRDefault="00B03E47" w:rsidP="00C3087F">
            <w:pPr>
              <w:pStyle w:val="NoSpacing"/>
              <w:jc w:val="center"/>
              <w:rPr>
                <w:sz w:val="24"/>
                <w:szCs w:val="24"/>
              </w:rPr>
            </w:pPr>
            <w:r w:rsidRPr="00CC2D2B">
              <w:rPr>
                <w:sz w:val="24"/>
                <w:szCs w:val="24"/>
              </w:rPr>
              <w:t>29</w:t>
            </w:r>
          </w:p>
        </w:tc>
        <w:tc>
          <w:tcPr>
            <w:tcW w:w="0" w:type="auto"/>
            <w:hideMark/>
          </w:tcPr>
          <w:p w:rsidR="00B03E47" w:rsidRPr="00CC2D2B" w:rsidRDefault="00B03E47" w:rsidP="00C3087F">
            <w:pPr>
              <w:pStyle w:val="NoSpacing"/>
              <w:jc w:val="center"/>
              <w:rPr>
                <w:sz w:val="24"/>
                <w:szCs w:val="24"/>
              </w:rPr>
            </w:pPr>
            <w:r w:rsidRPr="00CC2D2B">
              <w:rPr>
                <w:sz w:val="24"/>
                <w:szCs w:val="24"/>
              </w:rPr>
              <w:t>24.58</w:t>
            </w:r>
          </w:p>
        </w:tc>
      </w:tr>
      <w:tr w:rsidR="00B03E47" w:rsidRPr="00CC2D2B" w:rsidTr="00C3087F">
        <w:trPr>
          <w:trHeight w:val="242"/>
        </w:trPr>
        <w:tc>
          <w:tcPr>
            <w:tcW w:w="0" w:type="auto"/>
            <w:hideMark/>
          </w:tcPr>
          <w:p w:rsidR="00B03E47" w:rsidRPr="00CC2D2B" w:rsidRDefault="00B03E47" w:rsidP="00C3087F">
            <w:pPr>
              <w:pStyle w:val="NoSpacing"/>
              <w:rPr>
                <w:sz w:val="24"/>
                <w:szCs w:val="24"/>
              </w:rPr>
            </w:pPr>
            <w:r w:rsidRPr="00CC2D2B">
              <w:rPr>
                <w:bCs/>
                <w:sz w:val="24"/>
                <w:szCs w:val="24"/>
              </w:rPr>
              <w:t>None</w:t>
            </w:r>
          </w:p>
        </w:tc>
        <w:tc>
          <w:tcPr>
            <w:tcW w:w="0" w:type="auto"/>
            <w:hideMark/>
          </w:tcPr>
          <w:p w:rsidR="00B03E47" w:rsidRPr="00CC2D2B" w:rsidRDefault="00B03E47" w:rsidP="00C3087F">
            <w:pPr>
              <w:pStyle w:val="NoSpacing"/>
              <w:jc w:val="center"/>
              <w:rPr>
                <w:sz w:val="24"/>
                <w:szCs w:val="24"/>
              </w:rPr>
            </w:pPr>
            <w:r w:rsidRPr="00CC2D2B">
              <w:rPr>
                <w:sz w:val="24"/>
                <w:szCs w:val="24"/>
              </w:rPr>
              <w:t>11</w:t>
            </w:r>
          </w:p>
        </w:tc>
        <w:tc>
          <w:tcPr>
            <w:tcW w:w="0" w:type="auto"/>
            <w:hideMark/>
          </w:tcPr>
          <w:p w:rsidR="00B03E47" w:rsidRPr="00CC2D2B" w:rsidRDefault="00B03E47" w:rsidP="00C3087F">
            <w:pPr>
              <w:pStyle w:val="NoSpacing"/>
              <w:jc w:val="center"/>
              <w:rPr>
                <w:sz w:val="24"/>
                <w:szCs w:val="24"/>
              </w:rPr>
            </w:pPr>
            <w:r w:rsidRPr="00CC2D2B">
              <w:rPr>
                <w:sz w:val="24"/>
                <w:szCs w:val="24"/>
              </w:rPr>
              <w:t>9.32</w:t>
            </w:r>
          </w:p>
        </w:tc>
      </w:tr>
      <w:tr w:rsidR="00B03E47" w:rsidRPr="00CC2D2B" w:rsidTr="00C3087F">
        <w:trPr>
          <w:trHeight w:val="242"/>
        </w:trPr>
        <w:tc>
          <w:tcPr>
            <w:tcW w:w="0" w:type="auto"/>
            <w:gridSpan w:val="2"/>
          </w:tcPr>
          <w:p w:rsidR="00B03E47" w:rsidRPr="00CC2D2B" w:rsidRDefault="00B03E47" w:rsidP="00C3087F">
            <w:pPr>
              <w:pStyle w:val="NoSpacing"/>
              <w:jc w:val="center"/>
              <w:rPr>
                <w:sz w:val="24"/>
                <w:szCs w:val="24"/>
              </w:rPr>
            </w:pPr>
            <w:r>
              <w:rPr>
                <w:rFonts w:cstheme="minorHAnsi"/>
                <w:sz w:val="24"/>
                <w:szCs w:val="24"/>
              </w:rPr>
              <w:t>N=118</w:t>
            </w:r>
          </w:p>
        </w:tc>
        <w:tc>
          <w:tcPr>
            <w:tcW w:w="0" w:type="auto"/>
          </w:tcPr>
          <w:p w:rsidR="00B03E47" w:rsidRPr="00CC2D2B" w:rsidRDefault="00B03E47" w:rsidP="00C3087F">
            <w:pPr>
              <w:pStyle w:val="NoSpacing"/>
              <w:jc w:val="center"/>
              <w:rPr>
                <w:sz w:val="24"/>
                <w:szCs w:val="24"/>
              </w:rPr>
            </w:pPr>
            <w:r>
              <w:rPr>
                <w:sz w:val="24"/>
                <w:szCs w:val="24"/>
              </w:rPr>
              <w:t>100</w:t>
            </w:r>
          </w:p>
        </w:tc>
      </w:tr>
    </w:tbl>
    <w:p w:rsidR="00B03E47" w:rsidRDefault="00B03E47" w:rsidP="00B03E47">
      <w:pPr>
        <w:spacing w:line="360" w:lineRule="auto"/>
        <w:jc w:val="center"/>
        <w:rPr>
          <w:rFonts w:ascii="Times New Roman" w:hAnsi="Times New Roman" w:cs="Times New Roman"/>
          <w:b/>
          <w:i/>
          <w:sz w:val="24"/>
          <w:szCs w:val="24"/>
        </w:rPr>
      </w:pPr>
      <w:r w:rsidRPr="00224DAB">
        <w:rPr>
          <w:rFonts w:ascii="Times New Roman" w:hAnsi="Times New Roman" w:cs="Times New Roman"/>
          <w:b/>
          <w:i/>
          <w:sz w:val="24"/>
          <w:szCs w:val="24"/>
        </w:rPr>
        <w:t>Field data 2026</w:t>
      </w:r>
    </w:p>
    <w:p w:rsidR="002468E9" w:rsidRDefault="002468E9" w:rsidP="00273D9E">
      <w:pPr>
        <w:spacing w:line="480" w:lineRule="auto"/>
        <w:jc w:val="both"/>
        <w:rPr>
          <w:rFonts w:ascii="Times New Roman" w:hAnsi="Times New Roman" w:cs="Times New Roman"/>
          <w:b/>
          <w:sz w:val="24"/>
          <w:szCs w:val="24"/>
        </w:rPr>
        <w:sectPr w:rsidR="002468E9" w:rsidSect="008962BD">
          <w:type w:val="continuous"/>
          <w:pgSz w:w="12240" w:h="15840"/>
          <w:pgMar w:top="1440" w:right="1440" w:bottom="1440" w:left="1440" w:header="720" w:footer="720" w:gutter="0"/>
          <w:cols w:space="720"/>
          <w:docGrid w:linePitch="360"/>
        </w:sectPr>
      </w:pPr>
    </w:p>
    <w:p w:rsidR="00CF167A" w:rsidRPr="00F2400F" w:rsidRDefault="00CB32DC" w:rsidP="009B4262">
      <w:pPr>
        <w:spacing w:line="360" w:lineRule="auto"/>
        <w:jc w:val="both"/>
        <w:rPr>
          <w:rFonts w:ascii="Times New Roman" w:hAnsi="Times New Roman" w:cs="Times New Roman"/>
          <w:b/>
          <w:sz w:val="24"/>
          <w:szCs w:val="24"/>
        </w:rPr>
      </w:pPr>
      <w:r w:rsidRPr="00F2400F">
        <w:rPr>
          <w:rFonts w:ascii="Times New Roman" w:hAnsi="Times New Roman" w:cs="Times New Roman"/>
          <w:b/>
          <w:sz w:val="24"/>
          <w:szCs w:val="24"/>
        </w:rPr>
        <w:lastRenderedPageBreak/>
        <w:t xml:space="preserve">Discussion </w:t>
      </w:r>
    </w:p>
    <w:p w:rsidR="00AA3F3A" w:rsidRDefault="00CB32DC" w:rsidP="009B4262">
      <w:pPr>
        <w:spacing w:line="360" w:lineRule="auto"/>
        <w:ind w:firstLine="720"/>
        <w:contextualSpacing/>
        <w:jc w:val="both"/>
        <w:rPr>
          <w:rFonts w:ascii="Times New Roman" w:hAnsi="Times New Roman" w:cs="Times New Roman"/>
          <w:sz w:val="24"/>
          <w:szCs w:val="24"/>
        </w:rPr>
      </w:pPr>
      <w:r w:rsidRPr="00CB32DC">
        <w:rPr>
          <w:rFonts w:ascii="Times New Roman" w:hAnsi="Times New Roman" w:cs="Times New Roman"/>
          <w:b/>
          <w:sz w:val="24"/>
          <w:szCs w:val="24"/>
        </w:rPr>
        <w:t>Table 1</w:t>
      </w:r>
      <w:r>
        <w:rPr>
          <w:rFonts w:ascii="Times New Roman" w:hAnsi="Times New Roman" w:cs="Times New Roman"/>
          <w:sz w:val="24"/>
          <w:szCs w:val="24"/>
        </w:rPr>
        <w:t xml:space="preserve"> shows the distribution of the research respondents by sex. 55.1% of the respondents were male. This means that more males </w:t>
      </w:r>
      <w:r w:rsidR="00AA3F3A">
        <w:rPr>
          <w:rFonts w:ascii="Times New Roman" w:hAnsi="Times New Roman" w:cs="Times New Roman"/>
          <w:sz w:val="24"/>
          <w:szCs w:val="24"/>
        </w:rPr>
        <w:t>than females consented to the research</w:t>
      </w:r>
      <w:r>
        <w:rPr>
          <w:rFonts w:ascii="Times New Roman" w:hAnsi="Times New Roman" w:cs="Times New Roman"/>
          <w:sz w:val="24"/>
          <w:szCs w:val="24"/>
        </w:rPr>
        <w:t>, with 44.9% of males consenting.</w:t>
      </w:r>
      <w:r w:rsidR="00FE24AC">
        <w:rPr>
          <w:rFonts w:ascii="Times New Roman" w:hAnsi="Times New Roman" w:cs="Times New Roman"/>
          <w:sz w:val="24"/>
          <w:szCs w:val="24"/>
        </w:rPr>
        <w:t xml:space="preserve"> Even though the</w:t>
      </w:r>
      <w:r w:rsidR="00AA3F3A">
        <w:rPr>
          <w:rFonts w:ascii="Times New Roman" w:hAnsi="Times New Roman" w:cs="Times New Roman"/>
          <w:sz w:val="24"/>
          <w:szCs w:val="24"/>
        </w:rPr>
        <w:t xml:space="preserve"> table shows a dominance of males</w:t>
      </w:r>
      <w:r w:rsidR="00F01403">
        <w:rPr>
          <w:rFonts w:ascii="Times New Roman" w:hAnsi="Times New Roman" w:cs="Times New Roman"/>
          <w:sz w:val="24"/>
          <w:szCs w:val="24"/>
        </w:rPr>
        <w:t>, it is comparative because the difference between males and females is only 12 respondents, which is just 10.2%</w:t>
      </w:r>
      <w:r w:rsidR="00FE24AC">
        <w:rPr>
          <w:rFonts w:ascii="Times New Roman" w:hAnsi="Times New Roman" w:cs="Times New Roman"/>
          <w:sz w:val="24"/>
          <w:szCs w:val="24"/>
        </w:rPr>
        <w:t>. 33.1%</w:t>
      </w:r>
      <w:r w:rsidR="00F01403">
        <w:rPr>
          <w:rFonts w:ascii="Times New Roman" w:hAnsi="Times New Roman" w:cs="Times New Roman"/>
          <w:sz w:val="24"/>
          <w:szCs w:val="24"/>
        </w:rPr>
        <w:t xml:space="preserve"> and 30.5% of the respondents were in the </w:t>
      </w:r>
      <w:r w:rsidR="00AA3F3A">
        <w:rPr>
          <w:rFonts w:ascii="Times New Roman" w:hAnsi="Times New Roman" w:cs="Times New Roman"/>
          <w:sz w:val="24"/>
          <w:szCs w:val="24"/>
        </w:rPr>
        <w:t>26-32 and 33-39 age group</w:t>
      </w:r>
      <w:r w:rsidR="006960EF">
        <w:rPr>
          <w:rFonts w:ascii="Times New Roman" w:hAnsi="Times New Roman" w:cs="Times New Roman"/>
          <w:sz w:val="24"/>
          <w:szCs w:val="24"/>
        </w:rPr>
        <w:t xml:space="preserve">s, respectively. The table indicates that 63.6% of respondents were young adults aged 26-39. This population is </w:t>
      </w:r>
      <w:r w:rsidR="00AF4379">
        <w:rPr>
          <w:rFonts w:ascii="Times New Roman" w:hAnsi="Times New Roman" w:cs="Times New Roman"/>
          <w:sz w:val="24"/>
          <w:szCs w:val="24"/>
        </w:rPr>
        <w:t xml:space="preserve">the </w:t>
      </w:r>
      <w:r w:rsidR="006960EF">
        <w:rPr>
          <w:rFonts w:ascii="Times New Roman" w:hAnsi="Times New Roman" w:cs="Times New Roman"/>
          <w:sz w:val="24"/>
          <w:szCs w:val="24"/>
        </w:rPr>
        <w:t>economically active</w:t>
      </w:r>
      <w:r w:rsidR="00AF4379">
        <w:rPr>
          <w:rFonts w:ascii="Times New Roman" w:hAnsi="Times New Roman" w:cs="Times New Roman"/>
          <w:sz w:val="24"/>
          <w:szCs w:val="24"/>
        </w:rPr>
        <w:t xml:space="preserve"> population. They are the ones winning bread </w:t>
      </w:r>
      <w:r w:rsidR="00AF4379">
        <w:rPr>
          <w:rFonts w:ascii="Times New Roman" w:hAnsi="Times New Roman" w:cs="Times New Roman"/>
          <w:sz w:val="24"/>
          <w:szCs w:val="24"/>
        </w:rPr>
        <w:lastRenderedPageBreak/>
        <w:t>for their family. Any population with a majority in said age range is expected to increase productivity toward a future of self-reliance and sustainability. 55</w:t>
      </w:r>
      <w:proofErr w:type="gramStart"/>
      <w:r w:rsidR="00AF4379">
        <w:rPr>
          <w:rFonts w:ascii="Times New Roman" w:hAnsi="Times New Roman" w:cs="Times New Roman"/>
          <w:sz w:val="24"/>
          <w:szCs w:val="24"/>
        </w:rPr>
        <w:t>.(</w:t>
      </w:r>
      <w:proofErr w:type="gramEnd"/>
      <w:r w:rsidR="00AF4379">
        <w:rPr>
          <w:rFonts w:ascii="Times New Roman" w:hAnsi="Times New Roman" w:cs="Times New Roman"/>
          <w:sz w:val="24"/>
          <w:szCs w:val="24"/>
        </w:rPr>
        <w:t>% of the respondents have secondary education. This means they have some awareness of water quality. Though few have tertiary education, 29.7% have also acquired primary education.</w:t>
      </w:r>
    </w:p>
    <w:p w:rsidR="00E452C2" w:rsidRDefault="00AA3F3A" w:rsidP="009B4262">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We can use this data to</w:t>
      </w:r>
      <w:r w:rsidR="00A702FE">
        <w:rPr>
          <w:rFonts w:ascii="Times New Roman" w:hAnsi="Times New Roman" w:cs="Times New Roman"/>
          <w:sz w:val="24"/>
          <w:szCs w:val="24"/>
        </w:rPr>
        <w:t xml:space="preserve"> say that the sampled population has a moderate literacy level. 34</w:t>
      </w:r>
      <w:proofErr w:type="gramStart"/>
      <w:r w:rsidR="00A702FE">
        <w:rPr>
          <w:rFonts w:ascii="Times New Roman" w:hAnsi="Times New Roman" w:cs="Times New Roman"/>
          <w:sz w:val="24"/>
          <w:szCs w:val="24"/>
        </w:rPr>
        <w:t>.%</w:t>
      </w:r>
      <w:proofErr w:type="gramEnd"/>
      <w:r w:rsidR="00A702FE">
        <w:rPr>
          <w:rFonts w:ascii="Times New Roman" w:hAnsi="Times New Roman" w:cs="Times New Roman"/>
          <w:sz w:val="24"/>
          <w:szCs w:val="24"/>
        </w:rPr>
        <w:t xml:space="preserve"> of the sample population are self-employed businesspeople, with 16.1% in formal employment. This is a strong indication of a strong informal econom</w:t>
      </w:r>
      <w:r w:rsidR="00DB749D">
        <w:rPr>
          <w:rFonts w:ascii="Times New Roman" w:hAnsi="Times New Roman" w:cs="Times New Roman"/>
          <w:sz w:val="24"/>
          <w:szCs w:val="24"/>
        </w:rPr>
        <w:t>y</w:t>
      </w:r>
      <w:r w:rsidR="00A702FE">
        <w:rPr>
          <w:rFonts w:ascii="Times New Roman" w:hAnsi="Times New Roman" w:cs="Times New Roman"/>
          <w:sz w:val="24"/>
          <w:szCs w:val="24"/>
        </w:rPr>
        <w:t>. Almost half of the sample population have a household size of 2-4 family members</w:t>
      </w:r>
      <w:r w:rsidR="00DB749D">
        <w:rPr>
          <w:rFonts w:ascii="Times New Roman" w:hAnsi="Times New Roman" w:cs="Times New Roman"/>
          <w:sz w:val="24"/>
          <w:szCs w:val="24"/>
        </w:rPr>
        <w:t>,</w:t>
      </w:r>
      <w:r w:rsidR="00A702FE">
        <w:rPr>
          <w:rFonts w:ascii="Times New Roman" w:hAnsi="Times New Roman" w:cs="Times New Roman"/>
          <w:sz w:val="24"/>
          <w:szCs w:val="24"/>
        </w:rPr>
        <w:t xml:space="preserve"> as indicated by 49.2% of the respondents.</w:t>
      </w:r>
      <w:r w:rsidR="00484579">
        <w:rPr>
          <w:rFonts w:ascii="Times New Roman" w:hAnsi="Times New Roman" w:cs="Times New Roman"/>
          <w:sz w:val="24"/>
          <w:szCs w:val="24"/>
        </w:rPr>
        <w:t xml:space="preserve"> </w:t>
      </w:r>
      <w:r w:rsidR="00E452C2">
        <w:rPr>
          <w:rFonts w:ascii="Times New Roman" w:hAnsi="Times New Roman" w:cs="Times New Roman"/>
          <w:sz w:val="24"/>
          <w:szCs w:val="24"/>
        </w:rPr>
        <w:lastRenderedPageBreak/>
        <w:t>Socio-economic factors may influence this family size</w:t>
      </w:r>
      <w:r w:rsidR="00484579">
        <w:rPr>
          <w:rFonts w:ascii="Times New Roman" w:hAnsi="Times New Roman" w:cs="Times New Roman"/>
          <w:sz w:val="24"/>
          <w:szCs w:val="24"/>
        </w:rPr>
        <w:t xml:space="preserve">. When </w:t>
      </w:r>
      <w:r w:rsidR="00E452C2">
        <w:rPr>
          <w:rFonts w:ascii="Times New Roman" w:hAnsi="Times New Roman" w:cs="Times New Roman"/>
          <w:sz w:val="24"/>
          <w:szCs w:val="24"/>
        </w:rPr>
        <w:t>family size is small, it requires limited resources for</w:t>
      </w:r>
      <w:r w:rsidR="00484579">
        <w:rPr>
          <w:rFonts w:ascii="Times New Roman" w:hAnsi="Times New Roman" w:cs="Times New Roman"/>
          <w:sz w:val="24"/>
          <w:szCs w:val="24"/>
        </w:rPr>
        <w:t xml:space="preserve"> family upkeep, encouraging saving for future development. On the contra</w:t>
      </w:r>
      <w:r w:rsidR="00E452C2">
        <w:rPr>
          <w:rFonts w:ascii="Times New Roman" w:hAnsi="Times New Roman" w:cs="Times New Roman"/>
          <w:sz w:val="24"/>
          <w:szCs w:val="24"/>
        </w:rPr>
        <w:t>ry, a large household size poses an extreme economic burden on the family and</w:t>
      </w:r>
      <w:r w:rsidR="00484579">
        <w:rPr>
          <w:rFonts w:ascii="Times New Roman" w:hAnsi="Times New Roman" w:cs="Times New Roman"/>
          <w:sz w:val="24"/>
          <w:szCs w:val="24"/>
        </w:rPr>
        <w:t xml:space="preserve"> society at large. </w:t>
      </w:r>
    </w:p>
    <w:p w:rsidR="00CB32DC" w:rsidRDefault="00484579" w:rsidP="00CB32DC">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findings in </w:t>
      </w:r>
      <w:r w:rsidRPr="00E452C2">
        <w:rPr>
          <w:rFonts w:ascii="Times New Roman" w:hAnsi="Times New Roman" w:cs="Times New Roman"/>
          <w:b/>
          <w:i/>
          <w:sz w:val="24"/>
          <w:szCs w:val="24"/>
        </w:rPr>
        <w:t>Table 1</w:t>
      </w:r>
      <w:r>
        <w:rPr>
          <w:rFonts w:ascii="Times New Roman" w:hAnsi="Times New Roman" w:cs="Times New Roman"/>
          <w:sz w:val="24"/>
          <w:szCs w:val="24"/>
        </w:rPr>
        <w:t xml:space="preserve"> </w:t>
      </w:r>
      <w:r w:rsidR="00E452C2">
        <w:rPr>
          <w:rFonts w:ascii="Times New Roman" w:hAnsi="Times New Roman" w:cs="Times New Roman"/>
          <w:sz w:val="24"/>
          <w:szCs w:val="24"/>
        </w:rPr>
        <w:t>indicate an economically active population with a strong reliance on the informal sector and a moderate level of education, which denotes a developing semi-</w:t>
      </w:r>
      <w:r>
        <w:rPr>
          <w:rFonts w:ascii="Times New Roman" w:hAnsi="Times New Roman" w:cs="Times New Roman"/>
          <w:sz w:val="24"/>
          <w:szCs w:val="24"/>
        </w:rPr>
        <w:t>urban community.</w:t>
      </w:r>
    </w:p>
    <w:p w:rsidR="00E452C2" w:rsidRDefault="00E452C2" w:rsidP="00CB32DC">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According to </w:t>
      </w:r>
      <w:r w:rsidRPr="00E452C2">
        <w:rPr>
          <w:rFonts w:ascii="Times New Roman" w:hAnsi="Times New Roman" w:cs="Times New Roman"/>
          <w:b/>
          <w:i/>
          <w:sz w:val="24"/>
          <w:szCs w:val="24"/>
        </w:rPr>
        <w:t>Table 2,</w:t>
      </w:r>
      <w:r>
        <w:rPr>
          <w:rFonts w:ascii="Times New Roman" w:hAnsi="Times New Roman" w:cs="Times New Roman"/>
          <w:sz w:val="24"/>
          <w:szCs w:val="24"/>
        </w:rPr>
        <w:t xml:space="preserve"> 38.98% of </w:t>
      </w:r>
      <w:r w:rsidR="00AA3F3A">
        <w:rPr>
          <w:rFonts w:ascii="Times New Roman" w:hAnsi="Times New Roman" w:cs="Times New Roman"/>
          <w:sz w:val="24"/>
          <w:szCs w:val="24"/>
        </w:rPr>
        <w:t xml:space="preserve">respondents </w:t>
      </w:r>
      <w:r w:rsidR="003D06C3">
        <w:rPr>
          <w:rFonts w:ascii="Times New Roman" w:hAnsi="Times New Roman" w:cs="Times New Roman"/>
          <w:sz w:val="24"/>
          <w:szCs w:val="24"/>
        </w:rPr>
        <w:t>use sachet water as their primary source, and 33.05% use</w:t>
      </w:r>
      <w:r>
        <w:rPr>
          <w:rFonts w:ascii="Times New Roman" w:hAnsi="Times New Roman" w:cs="Times New Roman"/>
          <w:sz w:val="24"/>
          <w:szCs w:val="24"/>
        </w:rPr>
        <w:t xml:space="preserve"> hand pumps. This data shows that most people depend on packaged water and hand pumps for their water supply. This Johnsonville community is </w:t>
      </w:r>
      <w:r w:rsidR="00AA3F3A">
        <w:rPr>
          <w:rFonts w:ascii="Times New Roman" w:hAnsi="Times New Roman" w:cs="Times New Roman"/>
          <w:sz w:val="24"/>
          <w:szCs w:val="24"/>
        </w:rPr>
        <w:t>among the fastest-growing</w:t>
      </w:r>
      <w:r>
        <w:rPr>
          <w:rFonts w:ascii="Times New Roman" w:hAnsi="Times New Roman" w:cs="Times New Roman"/>
          <w:sz w:val="24"/>
          <w:szCs w:val="24"/>
        </w:rPr>
        <w:t xml:space="preserve"> in </w:t>
      </w:r>
      <w:proofErr w:type="spellStart"/>
      <w:r>
        <w:rPr>
          <w:rFonts w:ascii="Times New Roman" w:hAnsi="Times New Roman" w:cs="Times New Roman"/>
          <w:sz w:val="24"/>
          <w:szCs w:val="24"/>
        </w:rPr>
        <w:t>Montserrado</w:t>
      </w:r>
      <w:proofErr w:type="spellEnd"/>
      <w:r>
        <w:rPr>
          <w:rFonts w:ascii="Times New Roman" w:hAnsi="Times New Roman" w:cs="Times New Roman"/>
          <w:sz w:val="24"/>
          <w:szCs w:val="24"/>
        </w:rPr>
        <w:t xml:space="preserve"> County.</w:t>
      </w:r>
      <w:r w:rsidR="00AB27A8">
        <w:rPr>
          <w:rFonts w:ascii="Times New Roman" w:hAnsi="Times New Roman" w:cs="Times New Roman"/>
          <w:sz w:val="24"/>
          <w:szCs w:val="24"/>
        </w:rPr>
        <w:t xml:space="preserve"> Despite </w:t>
      </w:r>
      <w:r w:rsidR="00AA3F3A">
        <w:rPr>
          <w:rFonts w:ascii="Times New Roman" w:hAnsi="Times New Roman" w:cs="Times New Roman"/>
          <w:sz w:val="24"/>
          <w:szCs w:val="24"/>
        </w:rPr>
        <w:t xml:space="preserve">the community's infrastructural growth, city planning is not adequately followed, as there is limited space for basic social facilities, including Public latrines, WASH facilities, and recreational </w:t>
      </w:r>
      <w:proofErr w:type="spellStart"/>
      <w:r w:rsidR="00AA3F3A">
        <w:rPr>
          <w:rFonts w:ascii="Times New Roman" w:hAnsi="Times New Roman" w:cs="Times New Roman"/>
          <w:sz w:val="24"/>
          <w:szCs w:val="24"/>
        </w:rPr>
        <w:t>centre</w:t>
      </w:r>
      <w:r w:rsidR="00AB27A8">
        <w:rPr>
          <w:rFonts w:ascii="Times New Roman" w:hAnsi="Times New Roman" w:cs="Times New Roman"/>
          <w:sz w:val="24"/>
          <w:szCs w:val="24"/>
        </w:rPr>
        <w:t>s</w:t>
      </w:r>
      <w:proofErr w:type="spellEnd"/>
      <w:r w:rsidR="00AB27A8">
        <w:rPr>
          <w:rFonts w:ascii="Times New Roman" w:hAnsi="Times New Roman" w:cs="Times New Roman"/>
          <w:sz w:val="24"/>
          <w:szCs w:val="24"/>
        </w:rPr>
        <w:t>.</w:t>
      </w:r>
      <w:r w:rsidR="00A97BBB">
        <w:rPr>
          <w:rFonts w:ascii="Times New Roman" w:hAnsi="Times New Roman" w:cs="Times New Roman"/>
          <w:sz w:val="24"/>
          <w:szCs w:val="24"/>
        </w:rPr>
        <w:t xml:space="preserve"> This explains the strong reliance on packaged sachet water. Th</w:t>
      </w:r>
      <w:r w:rsidR="00AA3F3A">
        <w:rPr>
          <w:rFonts w:ascii="Times New Roman" w:hAnsi="Times New Roman" w:cs="Times New Roman"/>
          <w:sz w:val="24"/>
          <w:szCs w:val="24"/>
        </w:rPr>
        <w:t>ese</w:t>
      </w:r>
      <w:r w:rsidR="00A97BBB">
        <w:rPr>
          <w:rFonts w:ascii="Times New Roman" w:hAnsi="Times New Roman" w:cs="Times New Roman"/>
          <w:sz w:val="24"/>
          <w:szCs w:val="24"/>
        </w:rPr>
        <w:t xml:space="preserve"> findings </w:t>
      </w:r>
      <w:r w:rsidR="00C25D7D">
        <w:rPr>
          <w:rFonts w:ascii="Times New Roman" w:hAnsi="Times New Roman" w:cs="Times New Roman"/>
          <w:sz w:val="24"/>
          <w:szCs w:val="24"/>
        </w:rPr>
        <w:t>raise serious concerns</w:t>
      </w:r>
      <w:r w:rsidR="00A97BBB">
        <w:rPr>
          <w:rFonts w:ascii="Times New Roman" w:hAnsi="Times New Roman" w:cs="Times New Roman"/>
          <w:sz w:val="24"/>
          <w:szCs w:val="24"/>
        </w:rPr>
        <w:t xml:space="preserve"> about water safety. In Liberia, hand pump</w:t>
      </w:r>
      <w:r w:rsidR="00C25D7D">
        <w:rPr>
          <w:rFonts w:ascii="Times New Roman" w:hAnsi="Times New Roman" w:cs="Times New Roman"/>
          <w:sz w:val="24"/>
          <w:szCs w:val="24"/>
        </w:rPr>
        <w:t>s are</w:t>
      </w:r>
      <w:r w:rsidR="00A97BBB">
        <w:rPr>
          <w:rFonts w:ascii="Times New Roman" w:hAnsi="Times New Roman" w:cs="Times New Roman"/>
          <w:sz w:val="24"/>
          <w:szCs w:val="24"/>
        </w:rPr>
        <w:t xml:space="preserve"> </w:t>
      </w:r>
      <w:r w:rsidR="00C25D7D">
        <w:rPr>
          <w:rFonts w:ascii="Times New Roman" w:hAnsi="Times New Roman" w:cs="Times New Roman"/>
          <w:sz w:val="24"/>
          <w:szCs w:val="24"/>
        </w:rPr>
        <w:t xml:space="preserve">among the major traditional safe drinking water sources, mostly in rural settings, where people are being encouraged to transition from creeks </w:t>
      </w:r>
      <w:r w:rsidR="00C25D7D">
        <w:rPr>
          <w:rFonts w:ascii="Times New Roman" w:hAnsi="Times New Roman" w:cs="Times New Roman"/>
          <w:sz w:val="24"/>
          <w:szCs w:val="24"/>
        </w:rPr>
        <w:lastRenderedPageBreak/>
        <w:t>and rivers to hand pumps</w:t>
      </w:r>
      <w:r w:rsidR="00A97BBB">
        <w:rPr>
          <w:rFonts w:ascii="Times New Roman" w:hAnsi="Times New Roman" w:cs="Times New Roman"/>
          <w:sz w:val="24"/>
          <w:szCs w:val="24"/>
        </w:rPr>
        <w:t>.</w:t>
      </w:r>
      <w:r w:rsidR="005D34EB">
        <w:rPr>
          <w:rFonts w:ascii="Times New Roman" w:hAnsi="Times New Roman" w:cs="Times New Roman"/>
          <w:sz w:val="24"/>
          <w:szCs w:val="24"/>
        </w:rPr>
        <w:t xml:space="preserve"> Even </w:t>
      </w:r>
      <w:r w:rsidR="00C25D7D">
        <w:rPr>
          <w:rFonts w:ascii="Times New Roman" w:hAnsi="Times New Roman" w:cs="Times New Roman"/>
          <w:sz w:val="24"/>
          <w:szCs w:val="24"/>
        </w:rPr>
        <w:t>in urban settings, the availability of hand pumps</w:t>
      </w:r>
      <w:r w:rsidR="005D34EB">
        <w:rPr>
          <w:rFonts w:ascii="Times New Roman" w:hAnsi="Times New Roman" w:cs="Times New Roman"/>
          <w:sz w:val="24"/>
          <w:szCs w:val="24"/>
        </w:rPr>
        <w:t xml:space="preserve"> remains a challenge. At the same time, even the safety</w:t>
      </w:r>
      <w:r w:rsidR="00C25D7D">
        <w:rPr>
          <w:rFonts w:ascii="Times New Roman" w:hAnsi="Times New Roman" w:cs="Times New Roman"/>
          <w:sz w:val="24"/>
          <w:szCs w:val="24"/>
        </w:rPr>
        <w:t xml:space="preserve"> </w:t>
      </w:r>
      <w:r w:rsidR="005D34EB">
        <w:rPr>
          <w:rFonts w:ascii="Times New Roman" w:hAnsi="Times New Roman" w:cs="Times New Roman"/>
          <w:sz w:val="24"/>
          <w:szCs w:val="24"/>
        </w:rPr>
        <w:t xml:space="preserve">of </w:t>
      </w:r>
      <w:r w:rsidR="00C25D7D">
        <w:rPr>
          <w:rFonts w:ascii="Times New Roman" w:hAnsi="Times New Roman" w:cs="Times New Roman"/>
          <w:sz w:val="24"/>
          <w:szCs w:val="24"/>
        </w:rPr>
        <w:t xml:space="preserve">the available hand pump remains a major concern, as </w:t>
      </w:r>
      <w:r w:rsidR="003D06C3">
        <w:rPr>
          <w:rFonts w:ascii="Times New Roman" w:hAnsi="Times New Roman" w:cs="Times New Roman"/>
          <w:sz w:val="24"/>
          <w:szCs w:val="24"/>
        </w:rPr>
        <w:t>its location and septic tank pose a significant risk to the water's quality and safety</w:t>
      </w:r>
      <w:r w:rsidR="005D34EB">
        <w:rPr>
          <w:rFonts w:ascii="Times New Roman" w:hAnsi="Times New Roman" w:cs="Times New Roman"/>
          <w:sz w:val="24"/>
          <w:szCs w:val="24"/>
        </w:rPr>
        <w:t xml:space="preserve">. The </w:t>
      </w:r>
      <w:r w:rsidR="00E17BC3">
        <w:rPr>
          <w:rFonts w:ascii="Times New Roman" w:hAnsi="Times New Roman" w:cs="Times New Roman"/>
          <w:sz w:val="24"/>
          <w:szCs w:val="24"/>
        </w:rPr>
        <w:t>United States Environmental Protection Agency (2017)</w:t>
      </w:r>
      <w:r w:rsidR="005D34EB">
        <w:rPr>
          <w:rFonts w:ascii="Times New Roman" w:hAnsi="Times New Roman" w:cs="Times New Roman"/>
          <w:sz w:val="24"/>
          <w:szCs w:val="24"/>
        </w:rPr>
        <w:t xml:space="preserve"> recommends that the ideal horizontal distance between a septic tank and a drinking water w</w:t>
      </w:r>
      <w:r w:rsidR="00C25D7D">
        <w:rPr>
          <w:rFonts w:ascii="Times New Roman" w:hAnsi="Times New Roman" w:cs="Times New Roman"/>
          <w:sz w:val="24"/>
          <w:szCs w:val="24"/>
        </w:rPr>
        <w:t xml:space="preserve">ell or hand pump should be at least 30 meters (98 feet) to prevent </w:t>
      </w:r>
      <w:r w:rsidR="003D06C3">
        <w:rPr>
          <w:rFonts w:ascii="Times New Roman" w:hAnsi="Times New Roman" w:cs="Times New Roman"/>
          <w:sz w:val="24"/>
          <w:szCs w:val="24"/>
        </w:rPr>
        <w:t>contamination of drinking water</w:t>
      </w:r>
      <w:r w:rsidR="00C25D7D">
        <w:rPr>
          <w:rFonts w:ascii="Times New Roman" w:hAnsi="Times New Roman" w:cs="Times New Roman"/>
          <w:sz w:val="24"/>
          <w:szCs w:val="24"/>
        </w:rPr>
        <w:t xml:space="preserve"> by pathogens, sewage,</w:t>
      </w:r>
      <w:r w:rsidR="005D34EB">
        <w:rPr>
          <w:rFonts w:ascii="Times New Roman" w:hAnsi="Times New Roman" w:cs="Times New Roman"/>
          <w:sz w:val="24"/>
          <w:szCs w:val="24"/>
        </w:rPr>
        <w:t xml:space="preserve"> and chemical</w:t>
      </w:r>
      <w:r w:rsidR="00C25D7D">
        <w:rPr>
          <w:rFonts w:ascii="Times New Roman" w:hAnsi="Times New Roman" w:cs="Times New Roman"/>
          <w:sz w:val="24"/>
          <w:szCs w:val="24"/>
        </w:rPr>
        <w:t>s</w:t>
      </w:r>
      <w:r w:rsidR="00E17BC3">
        <w:rPr>
          <w:rFonts w:ascii="Times New Roman" w:hAnsi="Times New Roman" w:cs="Times New Roman"/>
          <w:sz w:val="24"/>
          <w:szCs w:val="24"/>
        </w:rPr>
        <w:t xml:space="preserve"> </w:t>
      </w:r>
      <w:r w:rsidR="00E17BC3">
        <w:rPr>
          <w:rFonts w:ascii="Times New Roman" w:hAnsi="Times New Roman" w:cs="Times New Roman"/>
          <w:sz w:val="24"/>
          <w:szCs w:val="24"/>
        </w:rPr>
        <w:fldChar w:fldCharType="begin"/>
      </w:r>
      <w:r w:rsidR="00E17BC3">
        <w:rPr>
          <w:rFonts w:ascii="Times New Roman" w:hAnsi="Times New Roman" w:cs="Times New Roman"/>
          <w:sz w:val="24"/>
          <w:szCs w:val="24"/>
        </w:rPr>
        <w:instrText xml:space="preserve"> ADDIN ZOTERO_ITEM CSL_CITATION {"citationID":"xDmw3FOs","properties":{"unsorted":false,"formattedCitation":"(US EPA, 2017)","plainCitation":"(US EPA, 2017)","noteIndex":0},"citationItems":[{"id":3325,"uris":["http://zotero.org/users/local/8ezhmN7w/items/C9IABBSZ"],"itemData":{"id":3325,"type":"webpage","abstract":"Learn how to locate, operate, and maintain your septic system to protect nearby wells.","genre":"Overviews and Factsheets","language":"en","title":"Septic Systems and Drinking Water","URL":"https://www.epa.gov/septic/septic-systems-and-drinking-water","author":[{"family":"US EPA","given":"OW"}],"accessed":{"date-parts":[["2026",6,29]]},"issued":{"date-parts":[["2017",8,4]]}}}],"schema":"https://github.com/citation-style-language/schema/raw/master/csl-citation.json"} </w:instrText>
      </w:r>
      <w:r w:rsidR="00E17BC3">
        <w:rPr>
          <w:rFonts w:ascii="Times New Roman" w:hAnsi="Times New Roman" w:cs="Times New Roman"/>
          <w:sz w:val="24"/>
          <w:szCs w:val="24"/>
        </w:rPr>
        <w:fldChar w:fldCharType="separate"/>
      </w:r>
      <w:r w:rsidR="00E17BC3" w:rsidRPr="00E17BC3">
        <w:rPr>
          <w:rFonts w:ascii="Times New Roman" w:hAnsi="Times New Roman" w:cs="Times New Roman"/>
          <w:sz w:val="24"/>
        </w:rPr>
        <w:t>(US EPA, 2017)</w:t>
      </w:r>
      <w:r w:rsidR="00E17BC3">
        <w:rPr>
          <w:rFonts w:ascii="Times New Roman" w:hAnsi="Times New Roman" w:cs="Times New Roman"/>
          <w:sz w:val="24"/>
          <w:szCs w:val="24"/>
        </w:rPr>
        <w:fldChar w:fldCharType="end"/>
      </w:r>
      <w:r w:rsidR="005D34EB">
        <w:rPr>
          <w:rFonts w:ascii="Times New Roman" w:hAnsi="Times New Roman" w:cs="Times New Roman"/>
          <w:sz w:val="24"/>
          <w:szCs w:val="24"/>
        </w:rPr>
        <w:t xml:space="preserve">. The presentation in </w:t>
      </w:r>
      <w:r w:rsidR="00C25D7D" w:rsidRPr="00C25D7D">
        <w:rPr>
          <w:rFonts w:ascii="Times New Roman" w:hAnsi="Times New Roman" w:cs="Times New Roman"/>
          <w:b/>
          <w:sz w:val="24"/>
          <w:szCs w:val="24"/>
        </w:rPr>
        <w:t>T</w:t>
      </w:r>
      <w:r w:rsidR="005D34EB" w:rsidRPr="00C25D7D">
        <w:rPr>
          <w:rFonts w:ascii="Times New Roman" w:hAnsi="Times New Roman" w:cs="Times New Roman"/>
          <w:b/>
          <w:sz w:val="24"/>
          <w:szCs w:val="24"/>
        </w:rPr>
        <w:t>able 3</w:t>
      </w:r>
      <w:r w:rsidR="005D34EB">
        <w:rPr>
          <w:rFonts w:ascii="Times New Roman" w:hAnsi="Times New Roman" w:cs="Times New Roman"/>
          <w:sz w:val="24"/>
          <w:szCs w:val="24"/>
        </w:rPr>
        <w:t xml:space="preserve"> explains that 87.3% of the respondents do not treat their drinking water. However, 12.7% </w:t>
      </w:r>
      <w:r w:rsidR="00C25D7D">
        <w:rPr>
          <w:rFonts w:ascii="Times New Roman" w:hAnsi="Times New Roman" w:cs="Times New Roman"/>
          <w:sz w:val="24"/>
          <w:szCs w:val="24"/>
        </w:rPr>
        <w:t xml:space="preserve">said they treat their water before drinking, whether or not they </w:t>
      </w:r>
      <w:r w:rsidR="0061660D">
        <w:rPr>
          <w:rFonts w:ascii="Times New Roman" w:hAnsi="Times New Roman" w:cs="Times New Roman"/>
          <w:sz w:val="24"/>
          <w:szCs w:val="24"/>
        </w:rPr>
        <w:t>actually did</w:t>
      </w:r>
      <w:r w:rsidR="005D34EB">
        <w:rPr>
          <w:rFonts w:ascii="Times New Roman" w:hAnsi="Times New Roman" w:cs="Times New Roman"/>
          <w:sz w:val="24"/>
          <w:szCs w:val="24"/>
        </w:rPr>
        <w:t xml:space="preserve">. Water treatment practice in the Johnsonville community is on a very low scale. This is a significant public health concern because it </w:t>
      </w:r>
      <w:r w:rsidR="00C25D7D">
        <w:rPr>
          <w:rFonts w:ascii="Times New Roman" w:hAnsi="Times New Roman" w:cs="Times New Roman"/>
          <w:sz w:val="24"/>
          <w:szCs w:val="24"/>
        </w:rPr>
        <w:t xml:space="preserve">poses a greater risk of exposing inhabitants to illnesses such as typhoid fever and </w:t>
      </w:r>
      <w:proofErr w:type="spellStart"/>
      <w:r w:rsidR="00C25D7D">
        <w:rPr>
          <w:rFonts w:ascii="Times New Roman" w:hAnsi="Times New Roman" w:cs="Times New Roman"/>
          <w:sz w:val="24"/>
          <w:szCs w:val="24"/>
        </w:rPr>
        <w:t>diarrhoea</w:t>
      </w:r>
      <w:proofErr w:type="spellEnd"/>
      <w:r w:rsidR="00C25D7D">
        <w:rPr>
          <w:rFonts w:ascii="Times New Roman" w:hAnsi="Times New Roman" w:cs="Times New Roman"/>
          <w:sz w:val="24"/>
          <w:szCs w:val="24"/>
        </w:rPr>
        <w:t>, which are strongly linked to food poisoning and water contamination</w:t>
      </w:r>
      <w:r w:rsidR="005D34EB">
        <w:rPr>
          <w:rFonts w:ascii="Times New Roman" w:hAnsi="Times New Roman" w:cs="Times New Roman"/>
          <w:sz w:val="24"/>
          <w:szCs w:val="24"/>
        </w:rPr>
        <w:t>.</w:t>
      </w:r>
    </w:p>
    <w:p w:rsidR="00974A62" w:rsidRDefault="00974A62" w:rsidP="00CB32DC">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Water treatment </w:t>
      </w:r>
      <w:r w:rsidR="0061660D">
        <w:rPr>
          <w:rFonts w:ascii="Times New Roman" w:hAnsi="Times New Roman" w:cs="Times New Roman"/>
          <w:sz w:val="24"/>
          <w:szCs w:val="24"/>
        </w:rPr>
        <w:t>entails</w:t>
      </w:r>
      <w:r w:rsidR="00C25D7D">
        <w:rPr>
          <w:rFonts w:ascii="Times New Roman" w:hAnsi="Times New Roman" w:cs="Times New Roman"/>
          <w:sz w:val="24"/>
          <w:szCs w:val="24"/>
        </w:rPr>
        <w:t xml:space="preserve"> financial obligations that cannot be over</w:t>
      </w:r>
      <w:r>
        <w:rPr>
          <w:rFonts w:ascii="Times New Roman" w:hAnsi="Times New Roman" w:cs="Times New Roman"/>
          <w:sz w:val="24"/>
          <w:szCs w:val="24"/>
        </w:rPr>
        <w:t xml:space="preserve">looked. Liberia is among the poorest countries in </w:t>
      </w:r>
      <w:r w:rsidR="00C25D7D">
        <w:rPr>
          <w:rFonts w:ascii="Times New Roman" w:hAnsi="Times New Roman" w:cs="Times New Roman"/>
          <w:sz w:val="24"/>
          <w:szCs w:val="24"/>
        </w:rPr>
        <w:t>Sub-Saharan</w:t>
      </w:r>
      <w:r>
        <w:rPr>
          <w:rFonts w:ascii="Times New Roman" w:hAnsi="Times New Roman" w:cs="Times New Roman"/>
          <w:sz w:val="24"/>
          <w:szCs w:val="24"/>
        </w:rPr>
        <w:t xml:space="preserve"> Africa</w:t>
      </w:r>
      <w:r w:rsidR="00C25D7D">
        <w:rPr>
          <w:rFonts w:ascii="Times New Roman" w:hAnsi="Times New Roman" w:cs="Times New Roman"/>
          <w:sz w:val="24"/>
          <w:szCs w:val="24"/>
        </w:rPr>
        <w:t>, with a low per capita income</w:t>
      </w:r>
      <w:r w:rsidR="00A40988">
        <w:rPr>
          <w:rFonts w:ascii="Times New Roman" w:hAnsi="Times New Roman" w:cs="Times New Roman"/>
          <w:sz w:val="24"/>
          <w:szCs w:val="24"/>
        </w:rPr>
        <w:t xml:space="preserve"> </w:t>
      </w:r>
      <w:r w:rsidR="00A40988">
        <w:rPr>
          <w:rFonts w:ascii="Times New Roman" w:hAnsi="Times New Roman" w:cs="Times New Roman"/>
          <w:sz w:val="24"/>
          <w:szCs w:val="24"/>
        </w:rPr>
        <w:fldChar w:fldCharType="begin"/>
      </w:r>
      <w:r w:rsidR="00A40988">
        <w:rPr>
          <w:rFonts w:ascii="Times New Roman" w:hAnsi="Times New Roman" w:cs="Times New Roman"/>
          <w:sz w:val="24"/>
          <w:szCs w:val="24"/>
        </w:rPr>
        <w:instrText xml:space="preserve"> ADDIN ZOTERO_ITEM CSL_CITATION {"citationID":"DTOVo0FJ","properties":{"unsorted":false,"formattedCitation":"(Acheampong et al., 2024)","plainCitation":"(Acheampong et al., 2024)","noteIndex":0},"citationItems":[{"id":3327,"uris":["http://zotero.org/users/local/8ezhmN7w/items/BQ5WX5Y5"],"itemData":{"id":3327,"type":"article-journal","abstract":"Access to safe drinking water, sanitation, and hygiene (WASH) is crucial for disease prevention and improving general health outcomes. However, a significant number of people across the globe still lack access to safe drinking water and practice open defecation. Therefore, evidence-based research is needed to guide policymakers in improving WASH adoption and practice across the globe. In this study, we add to knowledge and policy by probing the role of income inequality and financial inclusion on access to improved WASH facilities using a comprehensive panel dataset from 119 countries between 2004 and 2020. We used the heteroskedasticity-based instrumental variable regression and the Driscoll-Kraay estimator to account for endogeneity and cross-sectional dependency inherent in panel data, respectively. Our preferred endogeneity and cross-sectional dependency-corrected results show that income inequality reduces access to safe WASH facilities. Our study demonstrates that financial inclusion significantly increases access to safe WASH facilities. Income inequality and financial inclusion have heterogeneous effects on access to safe WASH facilities across rural and urban settings, income groups, and geographical regions. Through our interaction and marginal effect analysis, we document that improvement in financial inclusion reduces the adverse effect of income inequality on safe WASH adoption and practices. These findings highlight that policies that strengthen financial inclusion services and further address income inequality would improve WASH adoption and practices. Considering the inhibiting and enhancing effects of income inequality and financial inclusion, respectively, governments could adopt social welfare policies to tackle the former and also put in measures to enhance financial development and inclusion to enhance the latter.","container-title":"World Development","DOI":"10.1016/j.worlddev.2024.106573","ISSN":"0305-750X","journalAbbreviation":"World Development","page":"106573","source":"ScienceDirect","title":"Unveiling the effect of income inequality on safe drinking water, sanitation and hygiene (WASH): Does financial inclusion matter?","title-short":"Unveiling the effect of income inequality on safe drinking water, sanitation and hygiene (WASH)","URL":"https://www.sciencedirect.com/science/article/pii/S0305750X24000433","volume":"178","author":[{"family":"Acheampong","given":"Alex O."},{"family":"Opoku","given":"Eric Evans Osei"},{"family":"Tetteh","given":"Godsway Korku"}],"accessed":{"date-parts":[["2026",6,29]]},"issued":{"date-parts":[["2024",6,1]]}}}],"schema":"https://github.com/citation-style-language/schema/raw/master/csl-citation.json"} </w:instrText>
      </w:r>
      <w:r w:rsidR="00A40988">
        <w:rPr>
          <w:rFonts w:ascii="Times New Roman" w:hAnsi="Times New Roman" w:cs="Times New Roman"/>
          <w:sz w:val="24"/>
          <w:szCs w:val="24"/>
        </w:rPr>
        <w:fldChar w:fldCharType="separate"/>
      </w:r>
      <w:r w:rsidR="00A40988" w:rsidRPr="00A40988">
        <w:rPr>
          <w:rFonts w:ascii="Times New Roman" w:hAnsi="Times New Roman" w:cs="Times New Roman"/>
          <w:sz w:val="24"/>
        </w:rPr>
        <w:t>(</w:t>
      </w:r>
      <w:proofErr w:type="spellStart"/>
      <w:r w:rsidR="00A40988" w:rsidRPr="00A40988">
        <w:rPr>
          <w:rFonts w:ascii="Times New Roman" w:hAnsi="Times New Roman" w:cs="Times New Roman"/>
          <w:sz w:val="24"/>
        </w:rPr>
        <w:t>Acheampong</w:t>
      </w:r>
      <w:proofErr w:type="spellEnd"/>
      <w:r w:rsidR="00A40988" w:rsidRPr="00A40988">
        <w:rPr>
          <w:rFonts w:ascii="Times New Roman" w:hAnsi="Times New Roman" w:cs="Times New Roman"/>
          <w:sz w:val="24"/>
        </w:rPr>
        <w:t xml:space="preserve"> et al., 2024)</w:t>
      </w:r>
      <w:r w:rsidR="00A40988">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C3087F" w:rsidRDefault="00974A62" w:rsidP="00CB32DC">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B3589">
        <w:rPr>
          <w:rFonts w:ascii="Times New Roman" w:hAnsi="Times New Roman" w:cs="Times New Roman"/>
          <w:sz w:val="24"/>
          <w:szCs w:val="24"/>
        </w:rPr>
        <w:t>Daily</w:t>
      </w:r>
      <w:r w:rsidR="00C758A1">
        <w:rPr>
          <w:rFonts w:ascii="Times New Roman" w:hAnsi="Times New Roman" w:cs="Times New Roman"/>
          <w:sz w:val="24"/>
          <w:szCs w:val="24"/>
        </w:rPr>
        <w:t xml:space="preserve">, </w:t>
      </w:r>
      <w:r>
        <w:rPr>
          <w:rFonts w:ascii="Times New Roman" w:hAnsi="Times New Roman" w:cs="Times New Roman"/>
          <w:sz w:val="24"/>
          <w:szCs w:val="24"/>
        </w:rPr>
        <w:t>economic constr</w:t>
      </w:r>
      <w:r w:rsidR="008B3589">
        <w:rPr>
          <w:rFonts w:ascii="Times New Roman" w:hAnsi="Times New Roman" w:cs="Times New Roman"/>
          <w:sz w:val="24"/>
          <w:szCs w:val="24"/>
        </w:rPr>
        <w:t>ai</w:t>
      </w:r>
      <w:r>
        <w:rPr>
          <w:rFonts w:ascii="Times New Roman" w:hAnsi="Times New Roman" w:cs="Times New Roman"/>
          <w:sz w:val="24"/>
          <w:szCs w:val="24"/>
        </w:rPr>
        <w:t xml:space="preserve">nts continue to worsen, mounting </w:t>
      </w:r>
      <w:r w:rsidR="008B3589">
        <w:rPr>
          <w:rFonts w:ascii="Times New Roman" w:hAnsi="Times New Roman" w:cs="Times New Roman"/>
          <w:sz w:val="24"/>
          <w:szCs w:val="24"/>
        </w:rPr>
        <w:t xml:space="preserve">pressure on </w:t>
      </w:r>
      <w:r w:rsidR="0061660D">
        <w:rPr>
          <w:rFonts w:ascii="Times New Roman" w:hAnsi="Times New Roman" w:cs="Times New Roman"/>
          <w:sz w:val="24"/>
          <w:szCs w:val="24"/>
        </w:rPr>
        <w:t>citizens' living conditio</w:t>
      </w:r>
      <w:r>
        <w:rPr>
          <w:rFonts w:ascii="Times New Roman" w:hAnsi="Times New Roman" w:cs="Times New Roman"/>
          <w:sz w:val="24"/>
          <w:szCs w:val="24"/>
        </w:rPr>
        <w:t>ns. At times</w:t>
      </w:r>
      <w:r w:rsidR="008B3589">
        <w:rPr>
          <w:rFonts w:ascii="Times New Roman" w:hAnsi="Times New Roman" w:cs="Times New Roman"/>
          <w:sz w:val="24"/>
          <w:szCs w:val="24"/>
        </w:rPr>
        <w:t>,</w:t>
      </w:r>
      <w:r>
        <w:rPr>
          <w:rFonts w:ascii="Times New Roman" w:hAnsi="Times New Roman" w:cs="Times New Roman"/>
          <w:sz w:val="24"/>
          <w:szCs w:val="24"/>
        </w:rPr>
        <w:t xml:space="preserve"> individuals are aw</w:t>
      </w:r>
      <w:r w:rsidR="008B3589">
        <w:rPr>
          <w:rFonts w:ascii="Times New Roman" w:hAnsi="Times New Roman" w:cs="Times New Roman"/>
          <w:sz w:val="24"/>
          <w:szCs w:val="24"/>
        </w:rPr>
        <w:t>are of the treatment methods, but the implementation and the willpower to implement them become serious problems</w:t>
      </w:r>
      <w:r>
        <w:rPr>
          <w:rFonts w:ascii="Times New Roman" w:hAnsi="Times New Roman" w:cs="Times New Roman"/>
          <w:sz w:val="24"/>
          <w:szCs w:val="24"/>
        </w:rPr>
        <w:t>. For instance</w:t>
      </w:r>
      <w:r w:rsidR="008B3589">
        <w:rPr>
          <w:rFonts w:ascii="Times New Roman" w:hAnsi="Times New Roman" w:cs="Times New Roman"/>
          <w:sz w:val="24"/>
          <w:szCs w:val="24"/>
        </w:rPr>
        <w:t>,</w:t>
      </w:r>
      <w:r>
        <w:rPr>
          <w:rFonts w:ascii="Times New Roman" w:hAnsi="Times New Roman" w:cs="Times New Roman"/>
          <w:sz w:val="24"/>
          <w:szCs w:val="24"/>
        </w:rPr>
        <w:t xml:space="preserve"> a family is aware of boiling water as a water safety measure but does not have enough fund</w:t>
      </w:r>
      <w:r w:rsidR="008B3589">
        <w:rPr>
          <w:rFonts w:ascii="Times New Roman" w:hAnsi="Times New Roman" w:cs="Times New Roman"/>
          <w:sz w:val="24"/>
          <w:szCs w:val="24"/>
        </w:rPr>
        <w:t>s</w:t>
      </w:r>
      <w:r>
        <w:rPr>
          <w:rFonts w:ascii="Times New Roman" w:hAnsi="Times New Roman" w:cs="Times New Roman"/>
          <w:sz w:val="24"/>
          <w:szCs w:val="24"/>
        </w:rPr>
        <w:t xml:space="preserve"> to </w:t>
      </w:r>
      <w:r w:rsidR="00AE766B">
        <w:rPr>
          <w:rFonts w:ascii="Times New Roman" w:hAnsi="Times New Roman" w:cs="Times New Roman"/>
          <w:sz w:val="24"/>
          <w:szCs w:val="24"/>
        </w:rPr>
        <w:t>cook their daily meals properly while also boiling</w:t>
      </w:r>
      <w:r>
        <w:rPr>
          <w:rFonts w:ascii="Times New Roman" w:hAnsi="Times New Roman" w:cs="Times New Roman"/>
          <w:sz w:val="24"/>
          <w:szCs w:val="24"/>
        </w:rPr>
        <w:t xml:space="preserve"> water for safety. They will decide </w:t>
      </w:r>
      <w:r w:rsidR="00AE766B">
        <w:rPr>
          <w:rFonts w:ascii="Times New Roman" w:hAnsi="Times New Roman" w:cs="Times New Roman"/>
          <w:sz w:val="24"/>
          <w:szCs w:val="24"/>
        </w:rPr>
        <w:t>to use</w:t>
      </w:r>
      <w:r>
        <w:rPr>
          <w:rFonts w:ascii="Times New Roman" w:hAnsi="Times New Roman" w:cs="Times New Roman"/>
          <w:sz w:val="24"/>
          <w:szCs w:val="24"/>
        </w:rPr>
        <w:t xml:space="preserve"> the old talk that says </w:t>
      </w:r>
      <w:r w:rsidR="00707734">
        <w:rPr>
          <w:rFonts w:ascii="Times New Roman" w:hAnsi="Times New Roman" w:cs="Times New Roman"/>
          <w:sz w:val="24"/>
          <w:szCs w:val="24"/>
        </w:rPr>
        <w:t>"</w:t>
      </w:r>
      <w:r>
        <w:rPr>
          <w:rFonts w:ascii="Times New Roman" w:hAnsi="Times New Roman" w:cs="Times New Roman"/>
          <w:sz w:val="24"/>
          <w:szCs w:val="24"/>
        </w:rPr>
        <w:t>No germ in Africa</w:t>
      </w:r>
      <w:r w:rsidR="00707734">
        <w:rPr>
          <w:rFonts w:ascii="Times New Roman" w:hAnsi="Times New Roman" w:cs="Times New Roman"/>
          <w:sz w:val="24"/>
          <w:szCs w:val="24"/>
        </w:rPr>
        <w:t>"</w:t>
      </w:r>
      <w:r>
        <w:rPr>
          <w:rFonts w:ascii="Times New Roman" w:hAnsi="Times New Roman" w:cs="Times New Roman"/>
          <w:sz w:val="24"/>
          <w:szCs w:val="24"/>
        </w:rPr>
        <w:t xml:space="preserve">. </w:t>
      </w:r>
    </w:p>
    <w:p w:rsidR="00974A62" w:rsidRDefault="00974A62" w:rsidP="00CB32DC">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table shows that 93.2%</w:t>
      </w:r>
      <w:r w:rsidR="00F11E30">
        <w:rPr>
          <w:rFonts w:ascii="Times New Roman" w:hAnsi="Times New Roman" w:cs="Times New Roman"/>
          <w:sz w:val="24"/>
          <w:szCs w:val="24"/>
        </w:rPr>
        <w:t xml:space="preserve"> of water sources are not connected or linked to visible contamination risks. This positions the community in </w:t>
      </w:r>
      <w:r w:rsidR="00AE766B">
        <w:rPr>
          <w:rFonts w:ascii="Times New Roman" w:hAnsi="Times New Roman" w:cs="Times New Roman"/>
          <w:sz w:val="24"/>
          <w:szCs w:val="24"/>
        </w:rPr>
        <w:t xml:space="preserve">a </w:t>
      </w:r>
      <w:r w:rsidR="00F11E30">
        <w:rPr>
          <w:rFonts w:ascii="Times New Roman" w:hAnsi="Times New Roman" w:cs="Times New Roman"/>
          <w:sz w:val="24"/>
          <w:szCs w:val="24"/>
        </w:rPr>
        <w:t>safe zone. Nevertheless, there are other things to consider, including those with risky locations. The table show</w:t>
      </w:r>
      <w:r w:rsidR="00AE766B">
        <w:rPr>
          <w:rFonts w:ascii="Times New Roman" w:hAnsi="Times New Roman" w:cs="Times New Roman"/>
          <w:sz w:val="24"/>
          <w:szCs w:val="24"/>
        </w:rPr>
        <w:t>s that 6.8% of respondents have latrines or dump sites nearby, and the majority depend</w:t>
      </w:r>
      <w:r w:rsidR="00F11E30">
        <w:rPr>
          <w:rFonts w:ascii="Times New Roman" w:hAnsi="Times New Roman" w:cs="Times New Roman"/>
          <w:sz w:val="24"/>
          <w:szCs w:val="24"/>
        </w:rPr>
        <w:t xml:space="preserve"> on sachet water. They do not know the contents of the water. Water </w:t>
      </w:r>
      <w:r w:rsidR="00AE766B">
        <w:rPr>
          <w:rFonts w:ascii="Times New Roman" w:hAnsi="Times New Roman" w:cs="Times New Roman"/>
          <w:sz w:val="24"/>
          <w:szCs w:val="24"/>
        </w:rPr>
        <w:t>can become contaminated at any point along the supply chain, including dur</w:t>
      </w:r>
      <w:r w:rsidR="00F11E30">
        <w:rPr>
          <w:rFonts w:ascii="Times New Roman" w:hAnsi="Times New Roman" w:cs="Times New Roman"/>
          <w:sz w:val="24"/>
          <w:szCs w:val="24"/>
        </w:rPr>
        <w:t xml:space="preserve">ing transportation and storage. There </w:t>
      </w:r>
      <w:r w:rsidR="00C758A1">
        <w:rPr>
          <w:rFonts w:ascii="Times New Roman" w:hAnsi="Times New Roman" w:cs="Times New Roman"/>
          <w:sz w:val="24"/>
          <w:szCs w:val="24"/>
        </w:rPr>
        <w:t>is a high possibility of sachet water contamination, since consumers are not part of the production process. 66.1% believe their drinking water is safe, while 33.9% believe it</w:t>
      </w:r>
      <w:r w:rsidR="00C535C7">
        <w:rPr>
          <w:rFonts w:ascii="Times New Roman" w:hAnsi="Times New Roman" w:cs="Times New Roman"/>
          <w:sz w:val="24"/>
          <w:szCs w:val="24"/>
        </w:rPr>
        <w:t xml:space="preserve"> is unsafe. As the old saying goes</w:t>
      </w:r>
      <w:r w:rsidR="00C758A1">
        <w:rPr>
          <w:rFonts w:ascii="Times New Roman" w:hAnsi="Times New Roman" w:cs="Times New Roman"/>
          <w:sz w:val="24"/>
          <w:szCs w:val="24"/>
        </w:rPr>
        <w:t>,</w:t>
      </w:r>
      <w:r w:rsidR="00C535C7">
        <w:rPr>
          <w:rFonts w:ascii="Times New Roman" w:hAnsi="Times New Roman" w:cs="Times New Roman"/>
          <w:sz w:val="24"/>
          <w:szCs w:val="24"/>
        </w:rPr>
        <w:t xml:space="preserve"> what does not kill you make</w:t>
      </w:r>
      <w:r w:rsidR="00C758A1">
        <w:rPr>
          <w:rFonts w:ascii="Times New Roman" w:hAnsi="Times New Roman" w:cs="Times New Roman"/>
          <w:sz w:val="24"/>
          <w:szCs w:val="24"/>
        </w:rPr>
        <w:t>s</w:t>
      </w:r>
      <w:r w:rsidR="00C535C7">
        <w:rPr>
          <w:rFonts w:ascii="Times New Roman" w:hAnsi="Times New Roman" w:cs="Times New Roman"/>
          <w:sz w:val="24"/>
          <w:szCs w:val="24"/>
        </w:rPr>
        <w:t xml:space="preserve"> you stronger</w:t>
      </w:r>
      <w:r w:rsidR="00707734">
        <w:rPr>
          <w:rFonts w:ascii="Times New Roman" w:hAnsi="Times New Roman" w:cs="Times New Roman"/>
          <w:sz w:val="24"/>
          <w:szCs w:val="24"/>
        </w:rPr>
        <w:t>"</w:t>
      </w:r>
      <w:r w:rsidR="00C535C7">
        <w:rPr>
          <w:rFonts w:ascii="Times New Roman" w:hAnsi="Times New Roman" w:cs="Times New Roman"/>
          <w:sz w:val="24"/>
          <w:szCs w:val="24"/>
        </w:rPr>
        <w:t>.</w:t>
      </w:r>
      <w:r w:rsidR="005309A8">
        <w:rPr>
          <w:rFonts w:ascii="Times New Roman" w:hAnsi="Times New Roman" w:cs="Times New Roman"/>
          <w:sz w:val="24"/>
          <w:szCs w:val="24"/>
        </w:rPr>
        <w:t xml:space="preserve"> More people believe th</w:t>
      </w:r>
      <w:r w:rsidR="00C758A1">
        <w:rPr>
          <w:rFonts w:ascii="Times New Roman" w:hAnsi="Times New Roman" w:cs="Times New Roman"/>
          <w:sz w:val="24"/>
          <w:szCs w:val="24"/>
        </w:rPr>
        <w:t xml:space="preserve">eir drinking water is </w:t>
      </w:r>
      <w:r w:rsidR="00C758A1">
        <w:rPr>
          <w:rFonts w:ascii="Times New Roman" w:hAnsi="Times New Roman" w:cs="Times New Roman"/>
          <w:sz w:val="24"/>
          <w:szCs w:val="24"/>
        </w:rPr>
        <w:lastRenderedPageBreak/>
        <w:t>safe because there is no immediate</w:t>
      </w:r>
      <w:r w:rsidR="005309A8">
        <w:rPr>
          <w:rFonts w:ascii="Times New Roman" w:hAnsi="Times New Roman" w:cs="Times New Roman"/>
          <w:sz w:val="24"/>
          <w:szCs w:val="24"/>
        </w:rPr>
        <w:t xml:space="preserve"> death. Because of some level of buil</w:t>
      </w:r>
      <w:r w:rsidR="00C758A1">
        <w:rPr>
          <w:rFonts w:ascii="Times New Roman" w:hAnsi="Times New Roman" w:cs="Times New Roman"/>
          <w:sz w:val="24"/>
          <w:szCs w:val="24"/>
        </w:rPr>
        <w:t>t-up</w:t>
      </w:r>
      <w:r w:rsidR="005309A8">
        <w:rPr>
          <w:rFonts w:ascii="Times New Roman" w:hAnsi="Times New Roman" w:cs="Times New Roman"/>
          <w:sz w:val="24"/>
          <w:szCs w:val="24"/>
        </w:rPr>
        <w:t xml:space="preserve"> immunity, people in Liberia do not </w:t>
      </w:r>
      <w:r w:rsidR="008B3589">
        <w:rPr>
          <w:rFonts w:ascii="Times New Roman" w:hAnsi="Times New Roman" w:cs="Times New Roman"/>
          <w:sz w:val="24"/>
          <w:szCs w:val="24"/>
        </w:rPr>
        <w:t xml:space="preserve">often identify the source of their illness, as they do not frequently go to health </w:t>
      </w:r>
      <w:proofErr w:type="spellStart"/>
      <w:r w:rsidR="008B3589">
        <w:rPr>
          <w:rFonts w:ascii="Times New Roman" w:hAnsi="Times New Roman" w:cs="Times New Roman"/>
          <w:sz w:val="24"/>
          <w:szCs w:val="24"/>
        </w:rPr>
        <w:t>centres</w:t>
      </w:r>
      <w:proofErr w:type="spellEnd"/>
      <w:r w:rsidR="008B3589">
        <w:rPr>
          <w:rFonts w:ascii="Times New Roman" w:hAnsi="Times New Roman" w:cs="Times New Roman"/>
          <w:sz w:val="24"/>
          <w:szCs w:val="24"/>
        </w:rPr>
        <w:t xml:space="preserve"> for checkups</w:t>
      </w:r>
      <w:r w:rsidR="005309A8">
        <w:rPr>
          <w:rFonts w:ascii="Times New Roman" w:hAnsi="Times New Roman" w:cs="Times New Roman"/>
          <w:sz w:val="24"/>
          <w:szCs w:val="24"/>
        </w:rPr>
        <w:t>. There is a</w:t>
      </w:r>
      <w:r w:rsidR="00AE766B">
        <w:rPr>
          <w:rFonts w:ascii="Times New Roman" w:hAnsi="Times New Roman" w:cs="Times New Roman"/>
          <w:sz w:val="24"/>
          <w:szCs w:val="24"/>
        </w:rPr>
        <w:t>n</w:t>
      </w:r>
      <w:r w:rsidR="005309A8">
        <w:rPr>
          <w:rFonts w:ascii="Times New Roman" w:hAnsi="Times New Roman" w:cs="Times New Roman"/>
          <w:sz w:val="24"/>
          <w:szCs w:val="24"/>
        </w:rPr>
        <w:t xml:space="preserve"> overconfidence about invi</w:t>
      </w:r>
      <w:r w:rsidR="008B3589">
        <w:rPr>
          <w:rFonts w:ascii="Times New Roman" w:hAnsi="Times New Roman" w:cs="Times New Roman"/>
          <w:sz w:val="24"/>
          <w:szCs w:val="24"/>
        </w:rPr>
        <w:t>s</w:t>
      </w:r>
      <w:r w:rsidR="005309A8">
        <w:rPr>
          <w:rFonts w:ascii="Times New Roman" w:hAnsi="Times New Roman" w:cs="Times New Roman"/>
          <w:sz w:val="24"/>
          <w:szCs w:val="24"/>
        </w:rPr>
        <w:t>ible contaminants. There is actually a mismatch between perceived safety and actual safety practices because most people do not treat their water</w:t>
      </w:r>
      <w:r w:rsidR="00C3087F">
        <w:rPr>
          <w:rFonts w:ascii="Times New Roman" w:hAnsi="Times New Roman" w:cs="Times New Roman"/>
          <w:sz w:val="24"/>
          <w:szCs w:val="24"/>
        </w:rPr>
        <w:t>.</w:t>
      </w:r>
    </w:p>
    <w:p w:rsidR="00C3087F" w:rsidRDefault="00C3087F" w:rsidP="00CB32DC">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Typhoid fever is </w:t>
      </w:r>
      <w:r w:rsidR="00AE766B">
        <w:rPr>
          <w:rFonts w:ascii="Times New Roman" w:hAnsi="Times New Roman" w:cs="Times New Roman"/>
          <w:sz w:val="24"/>
          <w:szCs w:val="24"/>
        </w:rPr>
        <w:t>among the most frequently reported water-</w:t>
      </w:r>
      <w:r>
        <w:rPr>
          <w:rFonts w:ascii="Times New Roman" w:hAnsi="Times New Roman" w:cs="Times New Roman"/>
          <w:sz w:val="24"/>
          <w:szCs w:val="24"/>
        </w:rPr>
        <w:t xml:space="preserve">borne diseases in Liberia. Table 4 shows that 66.1% </w:t>
      </w:r>
      <w:r w:rsidR="00862681">
        <w:rPr>
          <w:rFonts w:ascii="Times New Roman" w:hAnsi="Times New Roman" w:cs="Times New Roman"/>
          <w:sz w:val="24"/>
          <w:szCs w:val="24"/>
        </w:rPr>
        <w:t xml:space="preserve">of 29 respondents reported having typhoid fever in the previous month, with 24.58% reporting </w:t>
      </w:r>
      <w:proofErr w:type="spellStart"/>
      <w:r w:rsidR="00862681">
        <w:rPr>
          <w:rFonts w:ascii="Times New Roman" w:hAnsi="Times New Roman" w:cs="Times New Roman"/>
          <w:sz w:val="24"/>
          <w:szCs w:val="24"/>
        </w:rPr>
        <w:t>diarrhoea</w:t>
      </w:r>
      <w:proofErr w:type="spellEnd"/>
      <w:r>
        <w:rPr>
          <w:rFonts w:ascii="Times New Roman" w:hAnsi="Times New Roman" w:cs="Times New Roman"/>
          <w:sz w:val="24"/>
          <w:szCs w:val="24"/>
        </w:rPr>
        <w:t xml:space="preserve">. </w:t>
      </w:r>
    </w:p>
    <w:p w:rsidR="0058742A" w:rsidRDefault="00C3087F" w:rsidP="00222AAB">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Liberia has been considered a typhoid endemic country. An estimated 5,600</w:t>
      </w:r>
      <w:r w:rsidR="0008548C">
        <w:rPr>
          <w:rFonts w:ascii="Times New Roman" w:hAnsi="Times New Roman" w:cs="Times New Roman"/>
          <w:sz w:val="24"/>
          <w:szCs w:val="24"/>
        </w:rPr>
        <w:t xml:space="preserve"> to 7400</w:t>
      </w:r>
      <w:r w:rsidR="00DC2C12">
        <w:rPr>
          <w:rFonts w:ascii="Times New Roman" w:hAnsi="Times New Roman" w:cs="Times New Roman"/>
          <w:sz w:val="24"/>
          <w:szCs w:val="24"/>
        </w:rPr>
        <w:t xml:space="preserve"> cases are diagnosed every year</w:t>
      </w:r>
      <w:r w:rsidR="00AE766B">
        <w:rPr>
          <w:rFonts w:ascii="Times New Roman" w:hAnsi="Times New Roman" w:cs="Times New Roman"/>
          <w:sz w:val="24"/>
          <w:szCs w:val="24"/>
        </w:rPr>
        <w:t>,</w:t>
      </w:r>
      <w:r w:rsidR="00DC2C12">
        <w:rPr>
          <w:rFonts w:ascii="Times New Roman" w:hAnsi="Times New Roman" w:cs="Times New Roman"/>
          <w:sz w:val="24"/>
          <w:szCs w:val="24"/>
        </w:rPr>
        <w:t xml:space="preserve"> causing thousand</w:t>
      </w:r>
      <w:r w:rsidR="00AE766B">
        <w:rPr>
          <w:rFonts w:ascii="Times New Roman" w:hAnsi="Times New Roman" w:cs="Times New Roman"/>
          <w:sz w:val="24"/>
          <w:szCs w:val="24"/>
        </w:rPr>
        <w:t>s</w:t>
      </w:r>
      <w:r w:rsidR="007D3B11">
        <w:rPr>
          <w:rFonts w:ascii="Times New Roman" w:hAnsi="Times New Roman" w:cs="Times New Roman"/>
          <w:sz w:val="24"/>
          <w:szCs w:val="24"/>
        </w:rPr>
        <w:t xml:space="preserve"> of disability-adjusted life years lost. For every 100,000 population, there are 104 confirmed cases of typhoid fever. Most regre</w:t>
      </w:r>
      <w:r w:rsidR="00AE766B">
        <w:rPr>
          <w:rFonts w:ascii="Times New Roman" w:hAnsi="Times New Roman" w:cs="Times New Roman"/>
          <w:sz w:val="24"/>
          <w:szCs w:val="24"/>
        </w:rPr>
        <w:t>t</w:t>
      </w:r>
      <w:r w:rsidR="007D3B11">
        <w:rPr>
          <w:rFonts w:ascii="Times New Roman" w:hAnsi="Times New Roman" w:cs="Times New Roman"/>
          <w:sz w:val="24"/>
          <w:szCs w:val="24"/>
        </w:rPr>
        <w:t xml:space="preserve">tably, there </w:t>
      </w:r>
      <w:r w:rsidR="00AE766B">
        <w:rPr>
          <w:rFonts w:ascii="Times New Roman" w:hAnsi="Times New Roman" w:cs="Times New Roman"/>
          <w:sz w:val="24"/>
          <w:szCs w:val="24"/>
        </w:rPr>
        <w:t>are global and regional</w:t>
      </w:r>
      <w:r w:rsidR="007D3B11">
        <w:rPr>
          <w:rFonts w:ascii="Times New Roman" w:hAnsi="Times New Roman" w:cs="Times New Roman"/>
          <w:sz w:val="24"/>
          <w:szCs w:val="24"/>
        </w:rPr>
        <w:t xml:space="preserve"> </w:t>
      </w:r>
      <w:r w:rsidR="00862681">
        <w:rPr>
          <w:rFonts w:ascii="Times New Roman" w:hAnsi="Times New Roman" w:cs="Times New Roman"/>
          <w:sz w:val="24"/>
          <w:szCs w:val="24"/>
        </w:rPr>
        <w:t xml:space="preserve">strains of Salmonella </w:t>
      </w:r>
      <w:proofErr w:type="spellStart"/>
      <w:r w:rsidR="00862681">
        <w:rPr>
          <w:rFonts w:ascii="Times New Roman" w:hAnsi="Times New Roman" w:cs="Times New Roman"/>
          <w:sz w:val="24"/>
          <w:szCs w:val="24"/>
        </w:rPr>
        <w:t>Typhi</w:t>
      </w:r>
      <w:proofErr w:type="spellEnd"/>
      <w:r w:rsidR="00862681">
        <w:rPr>
          <w:rFonts w:ascii="Times New Roman" w:hAnsi="Times New Roman" w:cs="Times New Roman"/>
          <w:sz w:val="24"/>
          <w:szCs w:val="24"/>
        </w:rPr>
        <w:t xml:space="preserve"> that are drug-resistant</w:t>
      </w:r>
      <w:r w:rsidR="008C23D9">
        <w:rPr>
          <w:rFonts w:ascii="Times New Roman" w:hAnsi="Times New Roman" w:cs="Times New Roman"/>
          <w:sz w:val="24"/>
          <w:szCs w:val="24"/>
        </w:rPr>
        <w:t xml:space="preserve"> </w:t>
      </w:r>
      <w:r w:rsidR="008C23D9">
        <w:rPr>
          <w:rFonts w:ascii="Times New Roman" w:hAnsi="Times New Roman" w:cs="Times New Roman"/>
          <w:sz w:val="24"/>
          <w:szCs w:val="24"/>
        </w:rPr>
        <w:fldChar w:fldCharType="begin"/>
      </w:r>
      <w:r w:rsidR="008C23D9">
        <w:rPr>
          <w:rFonts w:ascii="Times New Roman" w:hAnsi="Times New Roman" w:cs="Times New Roman"/>
          <w:sz w:val="24"/>
          <w:szCs w:val="24"/>
        </w:rPr>
        <w:instrText xml:space="preserve"> ADDIN ZOTERO_ITEM CSL_CITATION {"citationID":"3otWelIR","properties":{"unsorted":false,"formattedCitation":"(Liberia Facts Sheet, 2024)","plainCitation":"(Liberia Facts Sheet, 2024)","noteIndex":0},"citationItems":[{"id":3324,"uris":["http://zotero.org/users/local/8ezhmN7w/items/BTFLX2LP"],"itemData":{"id":3324,"type":"webpage","title":"TakeonTyphoid_Liberia_Fact_Sheet_2024_L2","URL":"https://www.coalitionagainsttyphoid.org/wp-content/uploads/2024/08/TakeonTyphoid_Liberia_Fact_Sheet_2024_L2.pdf","author":[{"family":"Liberia Facts Sheet","given":""}],"accessed":{"date-parts":[["2026",6,29]]},"issued":{"date-parts":[["2024"]]}}}],"schema":"https://github.com/citation-style-language/schema/raw/master/csl-citation.json"} </w:instrText>
      </w:r>
      <w:r w:rsidR="008C23D9">
        <w:rPr>
          <w:rFonts w:ascii="Times New Roman" w:hAnsi="Times New Roman" w:cs="Times New Roman"/>
          <w:sz w:val="24"/>
          <w:szCs w:val="24"/>
        </w:rPr>
        <w:fldChar w:fldCharType="separate"/>
      </w:r>
      <w:r w:rsidR="008C23D9" w:rsidRPr="008C23D9">
        <w:rPr>
          <w:rFonts w:ascii="Times New Roman" w:hAnsi="Times New Roman" w:cs="Times New Roman"/>
          <w:sz w:val="24"/>
        </w:rPr>
        <w:t>(Liberia Facts Sheet, 2024)</w:t>
      </w:r>
      <w:r w:rsidR="008C23D9">
        <w:rPr>
          <w:rFonts w:ascii="Times New Roman" w:hAnsi="Times New Roman" w:cs="Times New Roman"/>
          <w:sz w:val="24"/>
          <w:szCs w:val="24"/>
        </w:rPr>
        <w:fldChar w:fldCharType="end"/>
      </w:r>
      <w:r w:rsidR="007D3B11">
        <w:rPr>
          <w:rFonts w:ascii="Times New Roman" w:hAnsi="Times New Roman" w:cs="Times New Roman"/>
          <w:sz w:val="24"/>
          <w:szCs w:val="24"/>
        </w:rPr>
        <w:t xml:space="preserve">. This means that standard treatments can </w:t>
      </w:r>
      <w:r w:rsidR="00707734">
        <w:rPr>
          <w:rFonts w:ascii="Times New Roman" w:hAnsi="Times New Roman" w:cs="Times New Roman"/>
          <w:sz w:val="24"/>
          <w:szCs w:val="24"/>
        </w:rPr>
        <w:t>sometimes be ineffective, further complicating recovery and health care</w:t>
      </w:r>
      <w:r w:rsidR="007D3B11">
        <w:rPr>
          <w:rFonts w:ascii="Times New Roman" w:hAnsi="Times New Roman" w:cs="Times New Roman"/>
          <w:sz w:val="24"/>
          <w:szCs w:val="24"/>
        </w:rPr>
        <w:t xml:space="preserve"> costs. The National prevalence of </w:t>
      </w:r>
      <w:proofErr w:type="spellStart"/>
      <w:r w:rsidR="007D3B11">
        <w:rPr>
          <w:rFonts w:ascii="Times New Roman" w:hAnsi="Times New Roman" w:cs="Times New Roman"/>
          <w:sz w:val="24"/>
          <w:szCs w:val="24"/>
        </w:rPr>
        <w:t>diarrh</w:t>
      </w:r>
      <w:r w:rsidR="0031708A">
        <w:rPr>
          <w:rFonts w:ascii="Times New Roman" w:hAnsi="Times New Roman" w:cs="Times New Roman"/>
          <w:sz w:val="24"/>
          <w:szCs w:val="24"/>
        </w:rPr>
        <w:t>o</w:t>
      </w:r>
      <w:r w:rsidR="007D3B11">
        <w:rPr>
          <w:rFonts w:ascii="Times New Roman" w:hAnsi="Times New Roman" w:cs="Times New Roman"/>
          <w:sz w:val="24"/>
          <w:szCs w:val="24"/>
        </w:rPr>
        <w:t>ea</w:t>
      </w:r>
      <w:proofErr w:type="spellEnd"/>
      <w:r w:rsidR="007D3B11">
        <w:rPr>
          <w:rFonts w:ascii="Times New Roman" w:hAnsi="Times New Roman" w:cs="Times New Roman"/>
          <w:sz w:val="24"/>
          <w:szCs w:val="24"/>
        </w:rPr>
        <w:t xml:space="preserve"> is about 22%, accounting for about 8% of death</w:t>
      </w:r>
      <w:r w:rsidR="0031708A">
        <w:rPr>
          <w:rFonts w:ascii="Times New Roman" w:hAnsi="Times New Roman" w:cs="Times New Roman"/>
          <w:sz w:val="24"/>
          <w:szCs w:val="24"/>
        </w:rPr>
        <w:t>s</w:t>
      </w:r>
      <w:r w:rsidR="007D3B11">
        <w:rPr>
          <w:rFonts w:ascii="Times New Roman" w:hAnsi="Times New Roman" w:cs="Times New Roman"/>
          <w:sz w:val="24"/>
          <w:szCs w:val="24"/>
        </w:rPr>
        <w:t xml:space="preserve"> in children.</w:t>
      </w:r>
      <w:r w:rsidR="0058742A">
        <w:rPr>
          <w:rFonts w:ascii="Times New Roman" w:hAnsi="Times New Roman" w:cs="Times New Roman"/>
          <w:sz w:val="24"/>
          <w:szCs w:val="24"/>
        </w:rPr>
        <w:t xml:space="preserve"> From the interview</w:t>
      </w:r>
      <w:r w:rsidR="0031708A">
        <w:rPr>
          <w:rFonts w:ascii="Times New Roman" w:hAnsi="Times New Roman" w:cs="Times New Roman"/>
          <w:sz w:val="24"/>
          <w:szCs w:val="24"/>
        </w:rPr>
        <w:t xml:space="preserve">s with healthcare </w:t>
      </w:r>
      <w:r w:rsidR="0031708A">
        <w:rPr>
          <w:rFonts w:ascii="Times New Roman" w:hAnsi="Times New Roman" w:cs="Times New Roman"/>
          <w:sz w:val="24"/>
          <w:szCs w:val="24"/>
        </w:rPr>
        <w:lastRenderedPageBreak/>
        <w:t xml:space="preserve">providers, typhoid and </w:t>
      </w:r>
      <w:proofErr w:type="spellStart"/>
      <w:r w:rsidR="0031708A">
        <w:rPr>
          <w:rFonts w:ascii="Times New Roman" w:hAnsi="Times New Roman" w:cs="Times New Roman"/>
          <w:sz w:val="24"/>
          <w:szCs w:val="24"/>
        </w:rPr>
        <w:t>diarrhoea</w:t>
      </w:r>
      <w:proofErr w:type="spellEnd"/>
      <w:r w:rsidR="0031708A">
        <w:rPr>
          <w:rFonts w:ascii="Times New Roman" w:hAnsi="Times New Roman" w:cs="Times New Roman"/>
          <w:sz w:val="24"/>
          <w:szCs w:val="24"/>
        </w:rPr>
        <w:t xml:space="preserve"> are what they see every day during patient screening</w:t>
      </w:r>
      <w:r w:rsidR="0058742A">
        <w:rPr>
          <w:rFonts w:ascii="Times New Roman" w:hAnsi="Times New Roman" w:cs="Times New Roman"/>
          <w:sz w:val="24"/>
          <w:szCs w:val="24"/>
        </w:rPr>
        <w:t>. They believe that the two conditions are endemic in the community and a</w:t>
      </w:r>
      <w:r w:rsidR="0031708A">
        <w:rPr>
          <w:rFonts w:ascii="Times New Roman" w:hAnsi="Times New Roman" w:cs="Times New Roman"/>
          <w:sz w:val="24"/>
          <w:szCs w:val="24"/>
        </w:rPr>
        <w:t>r</w:t>
      </w:r>
      <w:r w:rsidR="0058742A">
        <w:rPr>
          <w:rFonts w:ascii="Times New Roman" w:hAnsi="Times New Roman" w:cs="Times New Roman"/>
          <w:sz w:val="24"/>
          <w:szCs w:val="24"/>
        </w:rPr>
        <w:t xml:space="preserve">e not expected to go away in </w:t>
      </w:r>
      <w:r w:rsidR="0031708A">
        <w:rPr>
          <w:rFonts w:ascii="Times New Roman" w:hAnsi="Times New Roman" w:cs="Times New Roman"/>
          <w:sz w:val="24"/>
          <w:szCs w:val="24"/>
        </w:rPr>
        <w:t>the near futur</w:t>
      </w:r>
      <w:r w:rsidR="0058742A">
        <w:rPr>
          <w:rFonts w:ascii="Times New Roman" w:hAnsi="Times New Roman" w:cs="Times New Roman"/>
          <w:sz w:val="24"/>
          <w:szCs w:val="24"/>
        </w:rPr>
        <w:t>e.</w:t>
      </w:r>
      <w:r w:rsidR="00EC13A9">
        <w:rPr>
          <w:rFonts w:ascii="Times New Roman" w:hAnsi="Times New Roman" w:cs="Times New Roman"/>
          <w:sz w:val="24"/>
          <w:szCs w:val="24"/>
        </w:rPr>
        <w:t xml:space="preserve"> Some </w:t>
      </w:r>
      <w:r w:rsidR="0031708A">
        <w:rPr>
          <w:rFonts w:ascii="Times New Roman" w:hAnsi="Times New Roman" w:cs="Times New Roman"/>
          <w:sz w:val="24"/>
          <w:szCs w:val="24"/>
        </w:rPr>
        <w:t>respondents also said that most</w:t>
      </w:r>
      <w:r w:rsidR="00EC13A9">
        <w:rPr>
          <w:rFonts w:ascii="Times New Roman" w:hAnsi="Times New Roman" w:cs="Times New Roman"/>
          <w:sz w:val="24"/>
          <w:szCs w:val="24"/>
        </w:rPr>
        <w:t xml:space="preserve"> cases </w:t>
      </w:r>
      <w:r w:rsidR="0031708A">
        <w:rPr>
          <w:rFonts w:ascii="Times New Roman" w:hAnsi="Times New Roman" w:cs="Times New Roman"/>
          <w:sz w:val="24"/>
          <w:szCs w:val="24"/>
        </w:rPr>
        <w:t>s</w:t>
      </w:r>
      <w:r w:rsidR="00EC13A9">
        <w:rPr>
          <w:rFonts w:ascii="Times New Roman" w:hAnsi="Times New Roman" w:cs="Times New Roman"/>
          <w:sz w:val="24"/>
          <w:szCs w:val="24"/>
        </w:rPr>
        <w:t xml:space="preserve">een at the various health facilities are predominantly </w:t>
      </w:r>
      <w:proofErr w:type="spellStart"/>
      <w:r w:rsidR="00EC13A9">
        <w:rPr>
          <w:rFonts w:ascii="Times New Roman" w:hAnsi="Times New Roman" w:cs="Times New Roman"/>
          <w:sz w:val="24"/>
          <w:szCs w:val="24"/>
        </w:rPr>
        <w:t>diarrh</w:t>
      </w:r>
      <w:r w:rsidR="0031708A">
        <w:rPr>
          <w:rFonts w:ascii="Times New Roman" w:hAnsi="Times New Roman" w:cs="Times New Roman"/>
          <w:sz w:val="24"/>
          <w:szCs w:val="24"/>
        </w:rPr>
        <w:t>o</w:t>
      </w:r>
      <w:r w:rsidR="00EC13A9">
        <w:rPr>
          <w:rFonts w:ascii="Times New Roman" w:hAnsi="Times New Roman" w:cs="Times New Roman"/>
          <w:sz w:val="24"/>
          <w:szCs w:val="24"/>
        </w:rPr>
        <w:t>ea</w:t>
      </w:r>
      <w:proofErr w:type="spellEnd"/>
      <w:r w:rsidR="00EC13A9">
        <w:rPr>
          <w:rFonts w:ascii="Times New Roman" w:hAnsi="Times New Roman" w:cs="Times New Roman"/>
          <w:sz w:val="24"/>
          <w:szCs w:val="24"/>
        </w:rPr>
        <w:t xml:space="preserve"> and typhoid fever. Some </w:t>
      </w:r>
      <w:r w:rsidR="0031708A">
        <w:rPr>
          <w:rFonts w:ascii="Times New Roman" w:hAnsi="Times New Roman" w:cs="Times New Roman"/>
          <w:sz w:val="24"/>
          <w:szCs w:val="24"/>
        </w:rPr>
        <w:t>healthcare providers said that, even though they are aware that those patients contract the sickness from contaminated water and food, tracing the main source is a challenge because the patients mostly go to the clinic when the</w:t>
      </w:r>
      <w:r w:rsidR="00EC13A9">
        <w:rPr>
          <w:rFonts w:ascii="Times New Roman" w:hAnsi="Times New Roman" w:cs="Times New Roman"/>
          <w:sz w:val="24"/>
          <w:szCs w:val="24"/>
        </w:rPr>
        <w:t xml:space="preserve"> situation gets worse. Attending </w:t>
      </w:r>
      <w:r w:rsidR="00707734">
        <w:rPr>
          <w:rFonts w:ascii="Times New Roman" w:hAnsi="Times New Roman" w:cs="Times New Roman"/>
          <w:sz w:val="24"/>
          <w:szCs w:val="24"/>
        </w:rPr>
        <w:t xml:space="preserve">the </w:t>
      </w:r>
      <w:r w:rsidR="00EC13A9">
        <w:rPr>
          <w:rFonts w:ascii="Times New Roman" w:hAnsi="Times New Roman" w:cs="Times New Roman"/>
          <w:sz w:val="24"/>
          <w:szCs w:val="24"/>
        </w:rPr>
        <w:t xml:space="preserve">clinic for </w:t>
      </w:r>
      <w:r w:rsidR="00707734">
        <w:rPr>
          <w:rFonts w:ascii="Times New Roman" w:hAnsi="Times New Roman" w:cs="Times New Roman"/>
          <w:sz w:val="24"/>
          <w:szCs w:val="24"/>
        </w:rPr>
        <w:t>a check</w:t>
      </w:r>
      <w:r w:rsidR="00EC13A9">
        <w:rPr>
          <w:rFonts w:ascii="Times New Roman" w:hAnsi="Times New Roman" w:cs="Times New Roman"/>
          <w:sz w:val="24"/>
          <w:szCs w:val="24"/>
        </w:rPr>
        <w:t>up is a major challenge for a typical Liberian. More people only go to the he</w:t>
      </w:r>
      <w:r w:rsidR="00222AAB">
        <w:rPr>
          <w:rFonts w:ascii="Times New Roman" w:hAnsi="Times New Roman" w:cs="Times New Roman"/>
          <w:sz w:val="24"/>
          <w:szCs w:val="24"/>
        </w:rPr>
        <w:t>al</w:t>
      </w:r>
      <w:r w:rsidR="00EC13A9">
        <w:rPr>
          <w:rFonts w:ascii="Times New Roman" w:hAnsi="Times New Roman" w:cs="Times New Roman"/>
          <w:sz w:val="24"/>
          <w:szCs w:val="24"/>
        </w:rPr>
        <w:t>th care facilities for sever</w:t>
      </w:r>
      <w:r w:rsidR="00192219">
        <w:rPr>
          <w:rFonts w:ascii="Times New Roman" w:hAnsi="Times New Roman" w:cs="Times New Roman"/>
          <w:sz w:val="24"/>
          <w:szCs w:val="24"/>
        </w:rPr>
        <w:t>e</w:t>
      </w:r>
      <w:r w:rsidR="00EC13A9">
        <w:rPr>
          <w:rFonts w:ascii="Times New Roman" w:hAnsi="Times New Roman" w:cs="Times New Roman"/>
          <w:sz w:val="24"/>
          <w:szCs w:val="24"/>
        </w:rPr>
        <w:t xml:space="preserve"> cases. It has now become a normal thing in the country. Despite the </w:t>
      </w:r>
      <w:r w:rsidR="00192219">
        <w:rPr>
          <w:rFonts w:ascii="Times New Roman" w:hAnsi="Times New Roman" w:cs="Times New Roman"/>
          <w:sz w:val="24"/>
          <w:szCs w:val="24"/>
        </w:rPr>
        <w:t xml:space="preserve">government's efforts to increase access to healthcare facilities, clinic attendance remains </w:t>
      </w:r>
      <w:r w:rsidR="00862681">
        <w:rPr>
          <w:rFonts w:ascii="Times New Roman" w:hAnsi="Times New Roman" w:cs="Times New Roman"/>
          <w:sz w:val="24"/>
          <w:szCs w:val="24"/>
        </w:rPr>
        <w:t>low, particularly among me</w:t>
      </w:r>
      <w:r w:rsidR="00EC13A9">
        <w:rPr>
          <w:rFonts w:ascii="Times New Roman" w:hAnsi="Times New Roman" w:cs="Times New Roman"/>
          <w:sz w:val="24"/>
          <w:szCs w:val="24"/>
        </w:rPr>
        <w:t>n</w:t>
      </w:r>
      <w:r w:rsidR="00222AAB">
        <w:rPr>
          <w:rFonts w:ascii="Times New Roman" w:hAnsi="Times New Roman" w:cs="Times New Roman"/>
          <w:sz w:val="24"/>
          <w:szCs w:val="24"/>
        </w:rPr>
        <w:t xml:space="preserve"> </w:t>
      </w:r>
      <w:r w:rsidR="00222AAB">
        <w:rPr>
          <w:rFonts w:ascii="Times New Roman" w:hAnsi="Times New Roman" w:cs="Times New Roman"/>
          <w:sz w:val="24"/>
          <w:szCs w:val="24"/>
        </w:rPr>
        <w:fldChar w:fldCharType="begin"/>
      </w:r>
      <w:r w:rsidR="00222AAB">
        <w:rPr>
          <w:rFonts w:ascii="Times New Roman" w:hAnsi="Times New Roman" w:cs="Times New Roman"/>
          <w:sz w:val="24"/>
          <w:szCs w:val="24"/>
        </w:rPr>
        <w:instrText xml:space="preserve"> ADDIN ZOTERO_ITEM CSL_CITATION {"citationID":"BDlykzAA","properties":{"unsorted":false,"formattedCitation":"(Chavalala et al., 2025)","plainCitation":"(Chavalala et al., 2025)","noteIndex":0},"citationItems":[{"id":3330,"uris":["http://zotero.org/users/local/8ezhmN7w/items/9GJR3NWH"],"itemData":{"id":3330,"type":"article-journal","abstract":"Background\nThe reasons for men not to seek healthcare seem similar across the world. They avoid going for regular medical check-ups, and preventive care and often disregard symptoms or delay seeking medical attention when sick, in pain, or even when their lives are in danger.\n\nMethods\nThis study sought to explore the views of men on factors contributing to poor health-seeking behavior among men in Mopani, Vhembe, and Capricorn district municipalities in Limpopo Province. A qualitative descriptive design was used and individual semi-structured interviews were used to collect data in May and June 2024 from 21 men who were purposively selected. Collected data were audio recorded and transcribed verbatim for analysis. Tech’s eight steps were used to analyse data and guide the development of emerged main themes and sub-themes. Trustworthiness was ensured through credibility, confirmability, dependability, and transferability. Ethical approval was obtained from the University of Venda research ethics committee with Ethics Approval Number: FHS/21/PH/26/1215.\n\nResults\nSelf-medication, fear of knowing own health status, peer and community elders’ influence, stigma, and masculinity beliefs were among the reasons participants avoided utilizing health services. Educational and health promotional campaigns, challenging societal norms, and employing more nurses were suggested as strategies to improve men’s health-seeking behaviour.\n\nConclusions\nIt is evident from the findings that several factors contribute to men’s poor health-seeking behaviour including visiting health facilities to seek needed healthcare services. Self-treating of disease at hand, fear of knowing own health status, use of traditional healers, and sticking to cultural values are among the factors that contribute to men’s poor health-seeking behaviour. There is a need to challenge societal norms and how men are raised as factors that contribute to poor health-seeking behaviour among men.\n\nSupplementary Information\nThe online version contains supplementary material available at 10.1186/s12889-025-21283-9.","container-title":"BMC Public Health","DOI":"10.1186/s12889-025-21283-9","ISSN":"1471-2458","journalAbbreviation":"BMC Public Health","page":"83","PMID":"39780193","PMCID":"PMC11708084","source":"PubMed Central","title":"Men’s views on factors contributing to their poor health-seeking behaviour in Limpopo Province, South Africa","URL":"https://pmc.ncbi.nlm.nih.gov/articles/PMC11708084/","volume":"25","author":[{"family":"Chavalala","given":"Lazarros"},{"family":"Lebese","given":"Tsakani Rachel"},{"family":"Makhado","given":"Lufuno"}],"accessed":{"date-parts":[["2026",6,29]]},"issued":{"date-parts":[["2025",1,8]]}}}],"schema":"https://github.com/citation-style-language/schema/raw/master/csl-citation.json"} </w:instrText>
      </w:r>
      <w:r w:rsidR="00222AAB">
        <w:rPr>
          <w:rFonts w:ascii="Times New Roman" w:hAnsi="Times New Roman" w:cs="Times New Roman"/>
          <w:sz w:val="24"/>
          <w:szCs w:val="24"/>
        </w:rPr>
        <w:fldChar w:fldCharType="separate"/>
      </w:r>
      <w:r w:rsidR="00222AAB" w:rsidRPr="00222AAB">
        <w:rPr>
          <w:rFonts w:ascii="Times New Roman" w:hAnsi="Times New Roman" w:cs="Times New Roman"/>
          <w:sz w:val="24"/>
        </w:rPr>
        <w:t>(</w:t>
      </w:r>
      <w:proofErr w:type="spellStart"/>
      <w:r w:rsidR="00222AAB" w:rsidRPr="00222AAB">
        <w:rPr>
          <w:rFonts w:ascii="Times New Roman" w:hAnsi="Times New Roman" w:cs="Times New Roman"/>
          <w:sz w:val="24"/>
        </w:rPr>
        <w:t>Chavalala</w:t>
      </w:r>
      <w:proofErr w:type="spellEnd"/>
      <w:r w:rsidR="00222AAB" w:rsidRPr="00222AAB">
        <w:rPr>
          <w:rFonts w:ascii="Times New Roman" w:hAnsi="Times New Roman" w:cs="Times New Roman"/>
          <w:sz w:val="24"/>
        </w:rPr>
        <w:t xml:space="preserve"> et al., 2025)</w:t>
      </w:r>
      <w:r w:rsidR="00222AAB">
        <w:rPr>
          <w:rFonts w:ascii="Times New Roman" w:hAnsi="Times New Roman" w:cs="Times New Roman"/>
          <w:sz w:val="24"/>
          <w:szCs w:val="24"/>
        </w:rPr>
        <w:fldChar w:fldCharType="end"/>
      </w:r>
      <w:r w:rsidR="00EC13A9">
        <w:rPr>
          <w:rFonts w:ascii="Times New Roman" w:hAnsi="Times New Roman" w:cs="Times New Roman"/>
          <w:sz w:val="24"/>
          <w:szCs w:val="24"/>
        </w:rPr>
        <w:t>. The expla</w:t>
      </w:r>
      <w:r w:rsidR="00707734">
        <w:rPr>
          <w:rFonts w:ascii="Times New Roman" w:hAnsi="Times New Roman" w:cs="Times New Roman"/>
          <w:sz w:val="24"/>
          <w:szCs w:val="24"/>
        </w:rPr>
        <w:t xml:space="preserve">nation provided by the healthcare providers aligns with </w:t>
      </w:r>
      <w:r w:rsidR="00707734" w:rsidRPr="00862681">
        <w:rPr>
          <w:rFonts w:ascii="Times New Roman" w:hAnsi="Times New Roman" w:cs="Times New Roman"/>
          <w:b/>
          <w:i/>
          <w:sz w:val="24"/>
          <w:szCs w:val="24"/>
        </w:rPr>
        <w:t>Table 4,</w:t>
      </w:r>
      <w:r w:rsidR="00707734">
        <w:rPr>
          <w:rFonts w:ascii="Times New Roman" w:hAnsi="Times New Roman" w:cs="Times New Roman"/>
          <w:sz w:val="24"/>
          <w:szCs w:val="24"/>
        </w:rPr>
        <w:t xml:space="preserve"> which indicates </w:t>
      </w:r>
      <w:r w:rsidR="00862681">
        <w:rPr>
          <w:rFonts w:ascii="Times New Roman" w:hAnsi="Times New Roman" w:cs="Times New Roman"/>
          <w:sz w:val="24"/>
          <w:szCs w:val="24"/>
        </w:rPr>
        <w:t xml:space="preserve">that 66%1 and 24.58% of typhoid fever and </w:t>
      </w:r>
      <w:proofErr w:type="spellStart"/>
      <w:r w:rsidR="00862681">
        <w:rPr>
          <w:rFonts w:ascii="Times New Roman" w:hAnsi="Times New Roman" w:cs="Times New Roman"/>
          <w:sz w:val="24"/>
          <w:szCs w:val="24"/>
        </w:rPr>
        <w:t>diarrhoea</w:t>
      </w:r>
      <w:proofErr w:type="spellEnd"/>
      <w:r w:rsidR="00862681">
        <w:rPr>
          <w:rFonts w:ascii="Times New Roman" w:hAnsi="Times New Roman" w:cs="Times New Roman"/>
          <w:sz w:val="24"/>
          <w:szCs w:val="24"/>
        </w:rPr>
        <w:t>, respectively, are attributed to</w:t>
      </w:r>
      <w:r w:rsidR="00EC13A9">
        <w:rPr>
          <w:rFonts w:ascii="Times New Roman" w:hAnsi="Times New Roman" w:cs="Times New Roman"/>
          <w:sz w:val="24"/>
          <w:szCs w:val="24"/>
        </w:rPr>
        <w:t xml:space="preserve"> unsafe drinking water.</w:t>
      </w:r>
    </w:p>
    <w:p w:rsidR="00B07955" w:rsidRPr="00F7717A" w:rsidRDefault="00B07955" w:rsidP="00ED7803">
      <w:pPr>
        <w:spacing w:line="360" w:lineRule="auto"/>
        <w:contextualSpacing/>
        <w:jc w:val="both"/>
        <w:rPr>
          <w:rFonts w:ascii="Times New Roman" w:hAnsi="Times New Roman" w:cs="Times New Roman"/>
          <w:b/>
          <w:sz w:val="24"/>
          <w:szCs w:val="24"/>
        </w:rPr>
      </w:pPr>
      <w:r w:rsidRPr="00F7717A">
        <w:rPr>
          <w:rFonts w:ascii="Times New Roman" w:hAnsi="Times New Roman" w:cs="Times New Roman"/>
          <w:b/>
          <w:sz w:val="24"/>
          <w:szCs w:val="24"/>
        </w:rPr>
        <w:t xml:space="preserve">Conclusion </w:t>
      </w:r>
    </w:p>
    <w:p w:rsidR="00417DA9" w:rsidRDefault="00B07955" w:rsidP="00222AAB">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study assessed the </w:t>
      </w:r>
      <w:r w:rsidR="0031708A">
        <w:rPr>
          <w:rFonts w:ascii="Times New Roman" w:hAnsi="Times New Roman" w:cs="Times New Roman"/>
          <w:sz w:val="24"/>
          <w:szCs w:val="24"/>
        </w:rPr>
        <w:t>q</w:t>
      </w:r>
      <w:r>
        <w:rPr>
          <w:rFonts w:ascii="Times New Roman" w:hAnsi="Times New Roman" w:cs="Times New Roman"/>
          <w:sz w:val="24"/>
          <w:szCs w:val="24"/>
        </w:rPr>
        <w:t xml:space="preserve">uality of drinking water and its public health implications on the citizens of Johnsonville </w:t>
      </w:r>
      <w:r>
        <w:rPr>
          <w:rFonts w:ascii="Times New Roman" w:hAnsi="Times New Roman" w:cs="Times New Roman"/>
          <w:sz w:val="24"/>
          <w:szCs w:val="24"/>
        </w:rPr>
        <w:lastRenderedPageBreak/>
        <w:t>Township.</w:t>
      </w:r>
      <w:r w:rsidR="00F7717A">
        <w:rPr>
          <w:rFonts w:ascii="Times New Roman" w:hAnsi="Times New Roman" w:cs="Times New Roman"/>
          <w:sz w:val="24"/>
          <w:szCs w:val="24"/>
        </w:rPr>
        <w:t xml:space="preserve"> Misconception</w:t>
      </w:r>
      <w:r w:rsidR="0031708A">
        <w:rPr>
          <w:rFonts w:ascii="Times New Roman" w:hAnsi="Times New Roman" w:cs="Times New Roman"/>
          <w:sz w:val="24"/>
          <w:szCs w:val="24"/>
        </w:rPr>
        <w:t>s about the safety and quality of drinking water remain a major concern in the Township, as demonstrated by data showing that the majority of inhabitants rely on packaged sachet water and hand pumps</w:t>
      </w:r>
      <w:r w:rsidR="00F7717A">
        <w:rPr>
          <w:rFonts w:ascii="Times New Roman" w:hAnsi="Times New Roman" w:cs="Times New Roman"/>
          <w:sz w:val="24"/>
          <w:szCs w:val="24"/>
        </w:rPr>
        <w:t xml:space="preserve"> rather than a formal</w:t>
      </w:r>
      <w:r w:rsidR="0031708A">
        <w:rPr>
          <w:rFonts w:ascii="Times New Roman" w:hAnsi="Times New Roman" w:cs="Times New Roman"/>
          <w:sz w:val="24"/>
          <w:szCs w:val="24"/>
        </w:rPr>
        <w:t>ly</w:t>
      </w:r>
      <w:r w:rsidR="00F7717A">
        <w:rPr>
          <w:rFonts w:ascii="Times New Roman" w:hAnsi="Times New Roman" w:cs="Times New Roman"/>
          <w:sz w:val="24"/>
          <w:szCs w:val="24"/>
        </w:rPr>
        <w:t xml:space="preserve"> treated water system. Drinking quality is strongly linked to public he</w:t>
      </w:r>
      <w:r w:rsidR="0031708A">
        <w:rPr>
          <w:rFonts w:ascii="Times New Roman" w:hAnsi="Times New Roman" w:cs="Times New Roman"/>
          <w:sz w:val="24"/>
          <w:szCs w:val="24"/>
        </w:rPr>
        <w:t>al</w:t>
      </w:r>
      <w:r w:rsidR="00F7717A">
        <w:rPr>
          <w:rFonts w:ascii="Times New Roman" w:hAnsi="Times New Roman" w:cs="Times New Roman"/>
          <w:sz w:val="24"/>
          <w:szCs w:val="24"/>
        </w:rPr>
        <w:t xml:space="preserve">th effects in the </w:t>
      </w:r>
      <w:r w:rsidR="0031708A">
        <w:rPr>
          <w:rFonts w:ascii="Times New Roman" w:hAnsi="Times New Roman" w:cs="Times New Roman"/>
          <w:sz w:val="24"/>
          <w:szCs w:val="24"/>
        </w:rPr>
        <w:t>T</w:t>
      </w:r>
      <w:r w:rsidR="00F7717A">
        <w:rPr>
          <w:rFonts w:ascii="Times New Roman" w:hAnsi="Times New Roman" w:cs="Times New Roman"/>
          <w:sz w:val="24"/>
          <w:szCs w:val="24"/>
        </w:rPr>
        <w:t>ownship.</w:t>
      </w:r>
      <w:r w:rsidR="00EF2DA6">
        <w:rPr>
          <w:rFonts w:ascii="Times New Roman" w:hAnsi="Times New Roman" w:cs="Times New Roman"/>
          <w:sz w:val="24"/>
          <w:szCs w:val="24"/>
        </w:rPr>
        <w:t xml:space="preserve"> </w:t>
      </w:r>
    </w:p>
    <w:p w:rsidR="00417DA9" w:rsidRDefault="00417DA9" w:rsidP="00222AAB">
      <w:pPr>
        <w:spacing w:line="360" w:lineRule="auto"/>
        <w:ind w:firstLine="720"/>
        <w:contextualSpacing/>
        <w:jc w:val="both"/>
        <w:rPr>
          <w:rFonts w:ascii="Times New Roman" w:hAnsi="Times New Roman" w:cs="Times New Roman"/>
          <w:sz w:val="24"/>
          <w:szCs w:val="24"/>
        </w:rPr>
      </w:pPr>
      <w:r w:rsidRPr="00417DA9">
        <w:rPr>
          <w:rFonts w:ascii="Times New Roman" w:hAnsi="Times New Roman" w:cs="Times New Roman"/>
          <w:sz w:val="24"/>
          <w:szCs w:val="24"/>
        </w:rPr>
        <w:t xml:space="preserve">Proximity of water sources to contamination, structural and environmental constraints, poor sanitation and weak city administration continue to degrade the quality of drinking water. The data demonstrate a strong relationship between distance to water sources and the incidence of typhoid fever and </w:t>
      </w:r>
      <w:proofErr w:type="spellStart"/>
      <w:r w:rsidRPr="00417DA9">
        <w:rPr>
          <w:rFonts w:ascii="Times New Roman" w:hAnsi="Times New Roman" w:cs="Times New Roman"/>
          <w:sz w:val="24"/>
          <w:szCs w:val="24"/>
        </w:rPr>
        <w:t>diarrhoea</w:t>
      </w:r>
      <w:proofErr w:type="spellEnd"/>
      <w:r w:rsidRPr="00417DA9">
        <w:rPr>
          <w:rFonts w:ascii="Times New Roman" w:hAnsi="Times New Roman" w:cs="Times New Roman"/>
          <w:sz w:val="24"/>
          <w:szCs w:val="24"/>
        </w:rPr>
        <w:t>.</w:t>
      </w:r>
    </w:p>
    <w:p w:rsidR="00B07955" w:rsidRDefault="00EF2DA6" w:rsidP="00222AAB">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This calls for urgent intervention to pr</w:t>
      </w:r>
      <w:r w:rsidR="00192219">
        <w:rPr>
          <w:rFonts w:ascii="Times New Roman" w:hAnsi="Times New Roman" w:cs="Times New Roman"/>
          <w:sz w:val="24"/>
          <w:szCs w:val="24"/>
        </w:rPr>
        <w:t>otect the community from health risks and preventable disease burden</w:t>
      </w:r>
      <w:r>
        <w:rPr>
          <w:rFonts w:ascii="Times New Roman" w:hAnsi="Times New Roman" w:cs="Times New Roman"/>
          <w:sz w:val="24"/>
          <w:szCs w:val="24"/>
        </w:rPr>
        <w:t>s associated with poor water quality.</w:t>
      </w:r>
    </w:p>
    <w:p w:rsidR="00E579DC" w:rsidRPr="00E579DC" w:rsidRDefault="00E579DC" w:rsidP="00E579DC">
      <w:pPr>
        <w:spacing w:line="360" w:lineRule="auto"/>
        <w:contextualSpacing/>
        <w:jc w:val="both"/>
        <w:rPr>
          <w:rFonts w:ascii="Times New Roman" w:hAnsi="Times New Roman" w:cs="Times New Roman"/>
          <w:b/>
          <w:sz w:val="24"/>
          <w:szCs w:val="24"/>
        </w:rPr>
      </w:pPr>
      <w:r w:rsidRPr="00E579DC">
        <w:rPr>
          <w:rFonts w:ascii="Times New Roman" w:hAnsi="Times New Roman" w:cs="Times New Roman"/>
          <w:b/>
          <w:sz w:val="24"/>
          <w:szCs w:val="24"/>
        </w:rPr>
        <w:t>Recommendations</w:t>
      </w:r>
    </w:p>
    <w:p w:rsidR="00E579DC" w:rsidRPr="00E579DC" w:rsidRDefault="00E579DC" w:rsidP="003511D0">
      <w:pPr>
        <w:spacing w:after="0" w:line="360" w:lineRule="auto"/>
        <w:ind w:firstLine="720"/>
        <w:contextualSpacing/>
        <w:jc w:val="both"/>
        <w:rPr>
          <w:rFonts w:ascii="Times New Roman" w:eastAsia="Times New Roman" w:hAnsi="Times New Roman" w:cs="Times New Roman"/>
          <w:color w:val="0E101A"/>
          <w:sz w:val="24"/>
          <w:szCs w:val="24"/>
        </w:rPr>
      </w:pPr>
      <w:r w:rsidRPr="00E579DC">
        <w:rPr>
          <w:rFonts w:ascii="Times New Roman" w:eastAsia="Times New Roman" w:hAnsi="Times New Roman" w:cs="Times New Roman"/>
          <w:color w:val="0E101A"/>
          <w:sz w:val="24"/>
          <w:szCs w:val="24"/>
        </w:rPr>
        <w:t>Considering the research findings, we recommend the following:</w:t>
      </w:r>
    </w:p>
    <w:p w:rsidR="00E579DC" w:rsidRPr="00E579DC" w:rsidRDefault="00E579DC" w:rsidP="003511D0">
      <w:pPr>
        <w:numPr>
          <w:ilvl w:val="0"/>
          <w:numId w:val="3"/>
        </w:numPr>
        <w:spacing w:after="0" w:line="360" w:lineRule="auto"/>
        <w:jc w:val="both"/>
        <w:rPr>
          <w:rFonts w:ascii="Times New Roman" w:eastAsia="Times New Roman" w:hAnsi="Times New Roman" w:cs="Times New Roman"/>
          <w:color w:val="0E101A"/>
          <w:sz w:val="24"/>
          <w:szCs w:val="24"/>
        </w:rPr>
      </w:pPr>
      <w:r w:rsidRPr="00E579DC">
        <w:rPr>
          <w:rFonts w:ascii="Times New Roman" w:eastAsia="Times New Roman" w:hAnsi="Times New Roman" w:cs="Times New Roman"/>
          <w:color w:val="0E101A"/>
          <w:sz w:val="24"/>
          <w:szCs w:val="24"/>
        </w:rPr>
        <w:t>Since Johnsonville is a Township, the city ordinance should be enforced to enable the provision of basic socio-economic and public facilities.</w:t>
      </w:r>
    </w:p>
    <w:p w:rsidR="00E579DC" w:rsidRPr="00E579DC" w:rsidRDefault="00E579DC" w:rsidP="003511D0">
      <w:pPr>
        <w:numPr>
          <w:ilvl w:val="0"/>
          <w:numId w:val="3"/>
        </w:numPr>
        <w:spacing w:after="0" w:line="360" w:lineRule="auto"/>
        <w:jc w:val="both"/>
        <w:rPr>
          <w:rFonts w:ascii="Times New Roman" w:eastAsia="Times New Roman" w:hAnsi="Times New Roman" w:cs="Times New Roman"/>
          <w:color w:val="0E101A"/>
          <w:sz w:val="24"/>
          <w:szCs w:val="24"/>
        </w:rPr>
      </w:pPr>
      <w:r w:rsidRPr="00E579DC">
        <w:rPr>
          <w:rFonts w:ascii="Times New Roman" w:eastAsia="Times New Roman" w:hAnsi="Times New Roman" w:cs="Times New Roman"/>
          <w:color w:val="0E101A"/>
          <w:sz w:val="24"/>
          <w:szCs w:val="24"/>
        </w:rPr>
        <w:t>Establish community-based health assistance to raise awareness of water quality safety and the importance of good sanitation.</w:t>
      </w:r>
    </w:p>
    <w:p w:rsidR="00E579DC" w:rsidRPr="00E579DC" w:rsidRDefault="00E579DC" w:rsidP="003511D0">
      <w:pPr>
        <w:numPr>
          <w:ilvl w:val="0"/>
          <w:numId w:val="3"/>
        </w:numPr>
        <w:spacing w:after="0" w:line="360" w:lineRule="auto"/>
        <w:jc w:val="both"/>
        <w:rPr>
          <w:rFonts w:ascii="Times New Roman" w:eastAsia="Times New Roman" w:hAnsi="Times New Roman" w:cs="Times New Roman"/>
          <w:color w:val="0E101A"/>
          <w:sz w:val="24"/>
          <w:szCs w:val="24"/>
        </w:rPr>
      </w:pPr>
      <w:bookmarkStart w:id="0" w:name="_GoBack"/>
      <w:bookmarkEnd w:id="0"/>
      <w:r w:rsidRPr="00E579DC">
        <w:rPr>
          <w:rFonts w:ascii="Times New Roman" w:eastAsia="Times New Roman" w:hAnsi="Times New Roman" w:cs="Times New Roman"/>
          <w:color w:val="0E101A"/>
          <w:sz w:val="24"/>
          <w:szCs w:val="24"/>
        </w:rPr>
        <w:lastRenderedPageBreak/>
        <w:t>Improving access to quality</w:t>
      </w:r>
      <w:r w:rsidR="005D4BC8">
        <w:rPr>
          <w:rFonts w:ascii="Times New Roman" w:eastAsia="Times New Roman" w:hAnsi="Times New Roman" w:cs="Times New Roman"/>
          <w:color w:val="0E101A"/>
          <w:sz w:val="24"/>
          <w:szCs w:val="24"/>
        </w:rPr>
        <w:t>, safe drinking water, including formal water systems such as piped and borehole system</w:t>
      </w:r>
      <w:r w:rsidRPr="00E579DC">
        <w:rPr>
          <w:rFonts w:ascii="Times New Roman" w:eastAsia="Times New Roman" w:hAnsi="Times New Roman" w:cs="Times New Roman"/>
          <w:color w:val="0E101A"/>
          <w:sz w:val="24"/>
          <w:szCs w:val="24"/>
        </w:rPr>
        <w:t xml:space="preserve">s, should be </w:t>
      </w:r>
      <w:proofErr w:type="spellStart"/>
      <w:r w:rsidR="00862681">
        <w:rPr>
          <w:rFonts w:ascii="Times New Roman" w:eastAsia="Times New Roman" w:hAnsi="Times New Roman" w:cs="Times New Roman"/>
          <w:color w:val="0E101A"/>
          <w:sz w:val="24"/>
          <w:szCs w:val="24"/>
        </w:rPr>
        <w:t>prioriti</w:t>
      </w:r>
      <w:r w:rsidR="005D4BC8">
        <w:rPr>
          <w:rFonts w:ascii="Times New Roman" w:eastAsia="Times New Roman" w:hAnsi="Times New Roman" w:cs="Times New Roman"/>
          <w:color w:val="0E101A"/>
          <w:sz w:val="24"/>
          <w:szCs w:val="24"/>
        </w:rPr>
        <w:t>s</w:t>
      </w:r>
      <w:r w:rsidR="00862681">
        <w:rPr>
          <w:rFonts w:ascii="Times New Roman" w:eastAsia="Times New Roman" w:hAnsi="Times New Roman" w:cs="Times New Roman"/>
          <w:color w:val="0E101A"/>
          <w:sz w:val="24"/>
          <w:szCs w:val="24"/>
        </w:rPr>
        <w:t>ed</w:t>
      </w:r>
      <w:proofErr w:type="spellEnd"/>
      <w:r w:rsidR="00862681">
        <w:rPr>
          <w:rFonts w:ascii="Times New Roman" w:eastAsia="Times New Roman" w:hAnsi="Times New Roman" w:cs="Times New Roman"/>
          <w:color w:val="0E101A"/>
          <w:sz w:val="24"/>
          <w:szCs w:val="24"/>
        </w:rPr>
        <w:t>.</w:t>
      </w:r>
    </w:p>
    <w:p w:rsidR="00E579DC" w:rsidRPr="00E579DC" w:rsidRDefault="00E579DC" w:rsidP="003511D0">
      <w:pPr>
        <w:numPr>
          <w:ilvl w:val="0"/>
          <w:numId w:val="3"/>
        </w:numPr>
        <w:spacing w:after="0" w:line="360" w:lineRule="auto"/>
        <w:jc w:val="both"/>
        <w:rPr>
          <w:rFonts w:ascii="Times New Roman" w:eastAsia="Times New Roman" w:hAnsi="Times New Roman" w:cs="Times New Roman"/>
          <w:color w:val="0E101A"/>
          <w:sz w:val="24"/>
          <w:szCs w:val="24"/>
        </w:rPr>
      </w:pPr>
      <w:r w:rsidRPr="00E579DC">
        <w:rPr>
          <w:rFonts w:ascii="Times New Roman" w:eastAsia="Times New Roman" w:hAnsi="Times New Roman" w:cs="Times New Roman"/>
          <w:color w:val="0E101A"/>
          <w:sz w:val="24"/>
          <w:szCs w:val="24"/>
        </w:rPr>
        <w:lastRenderedPageBreak/>
        <w:t>Work along with NGOs to promote household water treatment and strengthen monitoring.</w:t>
      </w:r>
    </w:p>
    <w:p w:rsidR="00E579DC" w:rsidRDefault="00E579DC" w:rsidP="00222AAB">
      <w:pPr>
        <w:spacing w:line="360" w:lineRule="auto"/>
        <w:ind w:firstLine="720"/>
        <w:contextualSpacing/>
        <w:jc w:val="both"/>
        <w:rPr>
          <w:rFonts w:ascii="Times New Roman" w:hAnsi="Times New Roman" w:cs="Times New Roman"/>
          <w:sz w:val="24"/>
          <w:szCs w:val="24"/>
        </w:rPr>
      </w:pPr>
    </w:p>
    <w:p w:rsidR="00EF2DA6" w:rsidRDefault="00EF2DA6" w:rsidP="00222AAB">
      <w:pPr>
        <w:spacing w:line="360" w:lineRule="auto"/>
        <w:ind w:firstLine="720"/>
        <w:contextualSpacing/>
        <w:jc w:val="both"/>
        <w:rPr>
          <w:rFonts w:ascii="Times New Roman" w:hAnsi="Times New Roman" w:cs="Times New Roman"/>
          <w:sz w:val="24"/>
          <w:szCs w:val="24"/>
        </w:rPr>
      </w:pPr>
    </w:p>
    <w:p w:rsidR="00EF2DA6" w:rsidRPr="00222AAB" w:rsidRDefault="00EF2DA6" w:rsidP="00222AAB">
      <w:pPr>
        <w:spacing w:line="360" w:lineRule="auto"/>
        <w:ind w:firstLine="720"/>
        <w:contextualSpacing/>
        <w:jc w:val="both"/>
        <w:rPr>
          <w:rFonts w:ascii="Times New Roman" w:hAnsi="Times New Roman" w:cs="Times New Roman"/>
          <w:sz w:val="24"/>
          <w:szCs w:val="24"/>
        </w:rPr>
        <w:sectPr w:rsidR="00EF2DA6" w:rsidRPr="00222AAB" w:rsidSect="009B4262">
          <w:type w:val="continuous"/>
          <w:pgSz w:w="12240" w:h="15840"/>
          <w:pgMar w:top="1440" w:right="1440" w:bottom="1440" w:left="1440" w:header="720" w:footer="720" w:gutter="0"/>
          <w:cols w:num="2" w:space="720"/>
          <w:docGrid w:linePitch="360"/>
        </w:sectPr>
      </w:pPr>
    </w:p>
    <w:p w:rsidR="00380101" w:rsidRPr="008402A9" w:rsidRDefault="00ED14B8" w:rsidP="008402A9">
      <w:pPr>
        <w:pStyle w:val="NoSpacing"/>
        <w:spacing w:line="360" w:lineRule="auto"/>
        <w:jc w:val="both"/>
        <w:rPr>
          <w:rFonts w:ascii="Times New Roman" w:eastAsia="Arial Unicode MS" w:hAnsi="Times New Roman" w:cs="Times New Roman"/>
          <w:b/>
          <w:sz w:val="24"/>
          <w:szCs w:val="24"/>
        </w:rPr>
      </w:pPr>
      <w:r w:rsidRPr="008402A9">
        <w:rPr>
          <w:rFonts w:ascii="Times New Roman" w:eastAsia="Arial Unicode MS" w:hAnsi="Times New Roman" w:cs="Times New Roman"/>
          <w:b/>
          <w:sz w:val="24"/>
          <w:szCs w:val="24"/>
        </w:rPr>
        <w:lastRenderedPageBreak/>
        <w:t xml:space="preserve">References </w:t>
      </w:r>
    </w:p>
    <w:p w:rsidR="00EC13A9" w:rsidRDefault="00EC13A9" w:rsidP="00A40988">
      <w:pPr>
        <w:pStyle w:val="Bibliography"/>
        <w:rPr>
          <w:rFonts w:eastAsia="Arial Unicode MS"/>
        </w:rPr>
        <w:sectPr w:rsidR="00EC13A9" w:rsidSect="009B4262">
          <w:type w:val="continuous"/>
          <w:pgSz w:w="12240" w:h="15840"/>
          <w:pgMar w:top="1440" w:right="1440" w:bottom="1440" w:left="1440" w:header="720" w:footer="720" w:gutter="0"/>
          <w:cols w:num="2" w:space="720"/>
          <w:docGrid w:linePitch="360"/>
        </w:sectPr>
      </w:pPr>
    </w:p>
    <w:p w:rsidR="00222AAB" w:rsidRPr="003511D0" w:rsidRDefault="00ED14B8" w:rsidP="003511D0">
      <w:pPr>
        <w:pStyle w:val="Bibliography"/>
        <w:numPr>
          <w:ilvl w:val="0"/>
          <w:numId w:val="4"/>
        </w:numPr>
        <w:spacing w:line="360" w:lineRule="auto"/>
        <w:jc w:val="both"/>
        <w:rPr>
          <w:rFonts w:ascii="Times New Roman" w:hAnsi="Times New Roman" w:cs="Times New Roman"/>
          <w:sz w:val="24"/>
          <w:szCs w:val="24"/>
        </w:rPr>
      </w:pPr>
      <w:r w:rsidRPr="003511D0">
        <w:rPr>
          <w:rFonts w:ascii="Times New Roman" w:eastAsia="Arial Unicode MS" w:hAnsi="Times New Roman" w:cs="Times New Roman"/>
          <w:sz w:val="24"/>
          <w:szCs w:val="24"/>
        </w:rPr>
        <w:lastRenderedPageBreak/>
        <w:fldChar w:fldCharType="begin"/>
      </w:r>
      <w:r w:rsidRPr="003511D0">
        <w:rPr>
          <w:rFonts w:ascii="Times New Roman" w:eastAsia="Arial Unicode MS" w:hAnsi="Times New Roman" w:cs="Times New Roman"/>
          <w:sz w:val="24"/>
          <w:szCs w:val="24"/>
        </w:rPr>
        <w:instrText xml:space="preserve"> ADDIN ZOTERO_BIBL {"uncited":[],"omitted":[],"custom":[]} CSL_BIBLIOGRAPHY </w:instrText>
      </w:r>
      <w:r w:rsidRPr="003511D0">
        <w:rPr>
          <w:rFonts w:ascii="Times New Roman" w:eastAsia="Arial Unicode MS" w:hAnsi="Times New Roman" w:cs="Times New Roman"/>
          <w:sz w:val="24"/>
          <w:szCs w:val="24"/>
        </w:rPr>
        <w:fldChar w:fldCharType="separate"/>
      </w:r>
      <w:proofErr w:type="spellStart"/>
      <w:r w:rsidR="00222AAB" w:rsidRPr="003511D0">
        <w:rPr>
          <w:rFonts w:ascii="Times New Roman" w:hAnsi="Times New Roman" w:cs="Times New Roman"/>
          <w:sz w:val="24"/>
          <w:szCs w:val="24"/>
        </w:rPr>
        <w:t>Acheampong</w:t>
      </w:r>
      <w:proofErr w:type="spellEnd"/>
      <w:r w:rsidR="00222AAB" w:rsidRPr="003511D0">
        <w:rPr>
          <w:rFonts w:ascii="Times New Roman" w:hAnsi="Times New Roman" w:cs="Times New Roman"/>
          <w:sz w:val="24"/>
          <w:szCs w:val="24"/>
        </w:rPr>
        <w:t xml:space="preserve">, A. O., </w:t>
      </w:r>
      <w:proofErr w:type="spellStart"/>
      <w:r w:rsidR="00222AAB" w:rsidRPr="003511D0">
        <w:rPr>
          <w:rFonts w:ascii="Times New Roman" w:hAnsi="Times New Roman" w:cs="Times New Roman"/>
          <w:sz w:val="24"/>
          <w:szCs w:val="24"/>
        </w:rPr>
        <w:t>Opoku</w:t>
      </w:r>
      <w:proofErr w:type="spellEnd"/>
      <w:r w:rsidR="00222AAB" w:rsidRPr="003511D0">
        <w:rPr>
          <w:rFonts w:ascii="Times New Roman" w:hAnsi="Times New Roman" w:cs="Times New Roman"/>
          <w:sz w:val="24"/>
          <w:szCs w:val="24"/>
        </w:rPr>
        <w:t xml:space="preserve">, E. E. O., &amp; </w:t>
      </w:r>
      <w:proofErr w:type="spellStart"/>
      <w:r w:rsidR="00222AAB" w:rsidRPr="003511D0">
        <w:rPr>
          <w:rFonts w:ascii="Times New Roman" w:hAnsi="Times New Roman" w:cs="Times New Roman"/>
          <w:sz w:val="24"/>
          <w:szCs w:val="24"/>
        </w:rPr>
        <w:t>Tetteh</w:t>
      </w:r>
      <w:proofErr w:type="spellEnd"/>
      <w:r w:rsidR="00222AAB" w:rsidRPr="003511D0">
        <w:rPr>
          <w:rFonts w:ascii="Times New Roman" w:hAnsi="Times New Roman" w:cs="Times New Roman"/>
          <w:sz w:val="24"/>
          <w:szCs w:val="24"/>
        </w:rPr>
        <w:t xml:space="preserve">, G. K. (2024). Unveiling the effect of income inequality on safe drinking water, sanitation and hygiene (WASH): Does financial inclusion matter? </w:t>
      </w:r>
      <w:r w:rsidR="00222AAB" w:rsidRPr="003511D0">
        <w:rPr>
          <w:rFonts w:ascii="Times New Roman" w:hAnsi="Times New Roman" w:cs="Times New Roman"/>
          <w:i/>
          <w:iCs/>
          <w:sz w:val="24"/>
          <w:szCs w:val="24"/>
        </w:rPr>
        <w:t>World Development</w:t>
      </w:r>
      <w:r w:rsidR="00222AAB" w:rsidRPr="003511D0">
        <w:rPr>
          <w:rFonts w:ascii="Times New Roman" w:hAnsi="Times New Roman" w:cs="Times New Roman"/>
          <w:sz w:val="24"/>
          <w:szCs w:val="24"/>
        </w:rPr>
        <w:t xml:space="preserve">, </w:t>
      </w:r>
      <w:r w:rsidR="00222AAB" w:rsidRPr="003511D0">
        <w:rPr>
          <w:rFonts w:ascii="Times New Roman" w:hAnsi="Times New Roman" w:cs="Times New Roman"/>
          <w:i/>
          <w:iCs/>
          <w:sz w:val="24"/>
          <w:szCs w:val="24"/>
        </w:rPr>
        <w:t>178</w:t>
      </w:r>
      <w:r w:rsidR="00222AAB" w:rsidRPr="003511D0">
        <w:rPr>
          <w:rFonts w:ascii="Times New Roman" w:hAnsi="Times New Roman" w:cs="Times New Roman"/>
          <w:sz w:val="24"/>
          <w:szCs w:val="24"/>
        </w:rPr>
        <w:t>, 106573. https://doi.org/10.1016/j.worlddev.2024.106573</w:t>
      </w:r>
    </w:p>
    <w:p w:rsidR="00222AAB" w:rsidRPr="003511D0" w:rsidRDefault="00222AAB" w:rsidP="003511D0">
      <w:pPr>
        <w:pStyle w:val="Bibliography"/>
        <w:numPr>
          <w:ilvl w:val="0"/>
          <w:numId w:val="4"/>
        </w:numPr>
        <w:spacing w:line="360" w:lineRule="auto"/>
        <w:jc w:val="both"/>
        <w:rPr>
          <w:rFonts w:ascii="Times New Roman" w:hAnsi="Times New Roman" w:cs="Times New Roman"/>
          <w:sz w:val="24"/>
          <w:szCs w:val="24"/>
        </w:rPr>
      </w:pPr>
      <w:proofErr w:type="spellStart"/>
      <w:r w:rsidRPr="003511D0">
        <w:rPr>
          <w:rFonts w:ascii="Times New Roman" w:hAnsi="Times New Roman" w:cs="Times New Roman"/>
          <w:sz w:val="24"/>
          <w:szCs w:val="24"/>
        </w:rPr>
        <w:t>Arowosegbe</w:t>
      </w:r>
      <w:proofErr w:type="spellEnd"/>
      <w:r w:rsidRPr="003511D0">
        <w:rPr>
          <w:rFonts w:ascii="Times New Roman" w:hAnsi="Times New Roman" w:cs="Times New Roman"/>
          <w:sz w:val="24"/>
          <w:szCs w:val="24"/>
        </w:rPr>
        <w:t xml:space="preserve">, A. O., </w:t>
      </w:r>
      <w:proofErr w:type="spellStart"/>
      <w:r w:rsidRPr="003511D0">
        <w:rPr>
          <w:rFonts w:ascii="Times New Roman" w:hAnsi="Times New Roman" w:cs="Times New Roman"/>
          <w:sz w:val="24"/>
          <w:szCs w:val="24"/>
        </w:rPr>
        <w:t>Ojo</w:t>
      </w:r>
      <w:proofErr w:type="spellEnd"/>
      <w:r w:rsidRPr="003511D0">
        <w:rPr>
          <w:rFonts w:ascii="Times New Roman" w:hAnsi="Times New Roman" w:cs="Times New Roman"/>
          <w:sz w:val="24"/>
          <w:szCs w:val="24"/>
        </w:rPr>
        <w:t xml:space="preserve">, D. A., </w:t>
      </w:r>
      <w:proofErr w:type="spellStart"/>
      <w:r w:rsidRPr="003511D0">
        <w:rPr>
          <w:rFonts w:ascii="Times New Roman" w:hAnsi="Times New Roman" w:cs="Times New Roman"/>
          <w:sz w:val="24"/>
          <w:szCs w:val="24"/>
        </w:rPr>
        <w:t>Shittu</w:t>
      </w:r>
      <w:proofErr w:type="spellEnd"/>
      <w:r w:rsidRPr="003511D0">
        <w:rPr>
          <w:rFonts w:ascii="Times New Roman" w:hAnsi="Times New Roman" w:cs="Times New Roman"/>
          <w:sz w:val="24"/>
          <w:szCs w:val="24"/>
        </w:rPr>
        <w:t xml:space="preserve">, O. B., </w:t>
      </w:r>
      <w:proofErr w:type="spellStart"/>
      <w:r w:rsidRPr="003511D0">
        <w:rPr>
          <w:rFonts w:ascii="Times New Roman" w:hAnsi="Times New Roman" w:cs="Times New Roman"/>
          <w:sz w:val="24"/>
          <w:szCs w:val="24"/>
        </w:rPr>
        <w:t>Iwaloye</w:t>
      </w:r>
      <w:proofErr w:type="spellEnd"/>
      <w:r w:rsidRPr="003511D0">
        <w:rPr>
          <w:rFonts w:ascii="Times New Roman" w:hAnsi="Times New Roman" w:cs="Times New Roman"/>
          <w:sz w:val="24"/>
          <w:szCs w:val="24"/>
        </w:rPr>
        <w:t xml:space="preserve">, O., &amp; </w:t>
      </w:r>
      <w:proofErr w:type="spellStart"/>
      <w:r w:rsidRPr="003511D0">
        <w:rPr>
          <w:rFonts w:ascii="Times New Roman" w:hAnsi="Times New Roman" w:cs="Times New Roman"/>
          <w:sz w:val="24"/>
          <w:szCs w:val="24"/>
        </w:rPr>
        <w:t>Ekpo</w:t>
      </w:r>
      <w:proofErr w:type="spellEnd"/>
      <w:r w:rsidRPr="003511D0">
        <w:rPr>
          <w:rFonts w:ascii="Times New Roman" w:hAnsi="Times New Roman" w:cs="Times New Roman"/>
          <w:sz w:val="24"/>
          <w:szCs w:val="24"/>
        </w:rPr>
        <w:t xml:space="preserve">, U. F. (2021). Water, sanitation, and hygiene (WASH) facilities and infection control/prevention practices in traditional birth homes in Southwest Nigeria. </w:t>
      </w:r>
      <w:r w:rsidRPr="003511D0">
        <w:rPr>
          <w:rFonts w:ascii="Times New Roman" w:hAnsi="Times New Roman" w:cs="Times New Roman"/>
          <w:i/>
          <w:iCs/>
          <w:sz w:val="24"/>
          <w:szCs w:val="24"/>
        </w:rPr>
        <w:t>BMC Health Services Research</w:t>
      </w:r>
      <w:r w:rsidRPr="003511D0">
        <w:rPr>
          <w:rFonts w:ascii="Times New Roman" w:hAnsi="Times New Roman" w:cs="Times New Roman"/>
          <w:sz w:val="24"/>
          <w:szCs w:val="24"/>
        </w:rPr>
        <w:t xml:space="preserve">, </w:t>
      </w:r>
      <w:r w:rsidRPr="003511D0">
        <w:rPr>
          <w:rFonts w:ascii="Times New Roman" w:hAnsi="Times New Roman" w:cs="Times New Roman"/>
          <w:i/>
          <w:iCs/>
          <w:sz w:val="24"/>
          <w:szCs w:val="24"/>
        </w:rPr>
        <w:t>21</w:t>
      </w:r>
      <w:r w:rsidRPr="003511D0">
        <w:rPr>
          <w:rFonts w:ascii="Times New Roman" w:hAnsi="Times New Roman" w:cs="Times New Roman"/>
          <w:sz w:val="24"/>
          <w:szCs w:val="24"/>
        </w:rPr>
        <w:t>, 912. https://doi.org/10.1186/s12913-021-06911-5</w:t>
      </w:r>
    </w:p>
    <w:p w:rsidR="00222AAB" w:rsidRPr="003511D0" w:rsidRDefault="00222AAB" w:rsidP="003511D0">
      <w:pPr>
        <w:pStyle w:val="Bibliography"/>
        <w:numPr>
          <w:ilvl w:val="0"/>
          <w:numId w:val="4"/>
        </w:numPr>
        <w:spacing w:line="360" w:lineRule="auto"/>
        <w:jc w:val="both"/>
        <w:rPr>
          <w:rFonts w:ascii="Times New Roman" w:hAnsi="Times New Roman" w:cs="Times New Roman"/>
          <w:sz w:val="24"/>
          <w:szCs w:val="24"/>
        </w:rPr>
      </w:pPr>
      <w:proofErr w:type="spellStart"/>
      <w:r w:rsidRPr="003511D0">
        <w:rPr>
          <w:rFonts w:ascii="Times New Roman" w:hAnsi="Times New Roman" w:cs="Times New Roman"/>
          <w:sz w:val="24"/>
          <w:szCs w:val="24"/>
        </w:rPr>
        <w:t>Balali</w:t>
      </w:r>
      <w:proofErr w:type="spellEnd"/>
      <w:r w:rsidRPr="003511D0">
        <w:rPr>
          <w:rFonts w:ascii="Times New Roman" w:hAnsi="Times New Roman" w:cs="Times New Roman"/>
          <w:sz w:val="24"/>
          <w:szCs w:val="24"/>
        </w:rPr>
        <w:t xml:space="preserve">-Mood, M., </w:t>
      </w:r>
      <w:proofErr w:type="spellStart"/>
      <w:r w:rsidRPr="003511D0">
        <w:rPr>
          <w:rFonts w:ascii="Times New Roman" w:hAnsi="Times New Roman" w:cs="Times New Roman"/>
          <w:sz w:val="24"/>
          <w:szCs w:val="24"/>
        </w:rPr>
        <w:t>Naseri</w:t>
      </w:r>
      <w:proofErr w:type="spellEnd"/>
      <w:r w:rsidRPr="003511D0">
        <w:rPr>
          <w:rFonts w:ascii="Times New Roman" w:hAnsi="Times New Roman" w:cs="Times New Roman"/>
          <w:sz w:val="24"/>
          <w:szCs w:val="24"/>
        </w:rPr>
        <w:t xml:space="preserve">, K., </w:t>
      </w:r>
      <w:proofErr w:type="spellStart"/>
      <w:r w:rsidRPr="003511D0">
        <w:rPr>
          <w:rFonts w:ascii="Times New Roman" w:hAnsi="Times New Roman" w:cs="Times New Roman"/>
          <w:sz w:val="24"/>
          <w:szCs w:val="24"/>
        </w:rPr>
        <w:t>Tahergorabi</w:t>
      </w:r>
      <w:proofErr w:type="spellEnd"/>
      <w:r w:rsidRPr="003511D0">
        <w:rPr>
          <w:rFonts w:ascii="Times New Roman" w:hAnsi="Times New Roman" w:cs="Times New Roman"/>
          <w:sz w:val="24"/>
          <w:szCs w:val="24"/>
        </w:rPr>
        <w:t xml:space="preserve">, Z., </w:t>
      </w:r>
      <w:proofErr w:type="spellStart"/>
      <w:r w:rsidRPr="003511D0">
        <w:rPr>
          <w:rFonts w:ascii="Times New Roman" w:hAnsi="Times New Roman" w:cs="Times New Roman"/>
          <w:sz w:val="24"/>
          <w:szCs w:val="24"/>
        </w:rPr>
        <w:t>Khazdair</w:t>
      </w:r>
      <w:proofErr w:type="spellEnd"/>
      <w:r w:rsidRPr="003511D0">
        <w:rPr>
          <w:rFonts w:ascii="Times New Roman" w:hAnsi="Times New Roman" w:cs="Times New Roman"/>
          <w:sz w:val="24"/>
          <w:szCs w:val="24"/>
        </w:rPr>
        <w:t xml:space="preserve">, M. R., &amp; </w:t>
      </w:r>
      <w:proofErr w:type="spellStart"/>
      <w:r w:rsidRPr="003511D0">
        <w:rPr>
          <w:rFonts w:ascii="Times New Roman" w:hAnsi="Times New Roman" w:cs="Times New Roman"/>
          <w:sz w:val="24"/>
          <w:szCs w:val="24"/>
        </w:rPr>
        <w:t>Sadeghi</w:t>
      </w:r>
      <w:proofErr w:type="spellEnd"/>
      <w:r w:rsidRPr="003511D0">
        <w:rPr>
          <w:rFonts w:ascii="Times New Roman" w:hAnsi="Times New Roman" w:cs="Times New Roman"/>
          <w:sz w:val="24"/>
          <w:szCs w:val="24"/>
        </w:rPr>
        <w:t xml:space="preserve">, M. (2021). Toxic Mechanisms of Five Heavy Metals: Mercury, Lead, Chromium, Cadmium, and Arsenic. </w:t>
      </w:r>
      <w:r w:rsidRPr="003511D0">
        <w:rPr>
          <w:rFonts w:ascii="Times New Roman" w:hAnsi="Times New Roman" w:cs="Times New Roman"/>
          <w:i/>
          <w:iCs/>
          <w:sz w:val="24"/>
          <w:szCs w:val="24"/>
        </w:rPr>
        <w:t xml:space="preserve">Frontiers in </w:t>
      </w:r>
      <w:r w:rsidRPr="003511D0">
        <w:rPr>
          <w:rFonts w:ascii="Times New Roman" w:hAnsi="Times New Roman" w:cs="Times New Roman"/>
          <w:i/>
          <w:iCs/>
          <w:sz w:val="24"/>
          <w:szCs w:val="24"/>
        </w:rPr>
        <w:lastRenderedPageBreak/>
        <w:t>Pharmacology</w:t>
      </w:r>
      <w:r w:rsidRPr="003511D0">
        <w:rPr>
          <w:rFonts w:ascii="Times New Roman" w:hAnsi="Times New Roman" w:cs="Times New Roman"/>
          <w:sz w:val="24"/>
          <w:szCs w:val="24"/>
        </w:rPr>
        <w:t xml:space="preserve">, </w:t>
      </w:r>
      <w:r w:rsidRPr="003511D0">
        <w:rPr>
          <w:rFonts w:ascii="Times New Roman" w:hAnsi="Times New Roman" w:cs="Times New Roman"/>
          <w:i/>
          <w:iCs/>
          <w:sz w:val="24"/>
          <w:szCs w:val="24"/>
        </w:rPr>
        <w:t>12</w:t>
      </w:r>
      <w:r w:rsidRPr="003511D0">
        <w:rPr>
          <w:rFonts w:ascii="Times New Roman" w:hAnsi="Times New Roman" w:cs="Times New Roman"/>
          <w:sz w:val="24"/>
          <w:szCs w:val="24"/>
        </w:rPr>
        <w:t>, 643972. https://doi.org/10.3389/fphar.2021.643972</w:t>
      </w:r>
    </w:p>
    <w:p w:rsidR="00222AAB" w:rsidRPr="003511D0" w:rsidRDefault="00222AAB" w:rsidP="003511D0">
      <w:pPr>
        <w:pStyle w:val="Bibliography"/>
        <w:numPr>
          <w:ilvl w:val="0"/>
          <w:numId w:val="4"/>
        </w:numPr>
        <w:spacing w:line="360" w:lineRule="auto"/>
        <w:jc w:val="both"/>
        <w:rPr>
          <w:rFonts w:ascii="Times New Roman" w:hAnsi="Times New Roman" w:cs="Times New Roman"/>
          <w:sz w:val="24"/>
          <w:szCs w:val="24"/>
        </w:rPr>
      </w:pPr>
      <w:r w:rsidRPr="003511D0">
        <w:rPr>
          <w:rFonts w:ascii="Times New Roman" w:hAnsi="Times New Roman" w:cs="Times New Roman"/>
          <w:sz w:val="24"/>
          <w:szCs w:val="24"/>
        </w:rPr>
        <w:t xml:space="preserve">Bose, D., Bhattacharya, R., Kaur, T., Banerjee, R., Bhatia, T., Ray, A., </w:t>
      </w:r>
      <w:proofErr w:type="spellStart"/>
      <w:r w:rsidRPr="003511D0">
        <w:rPr>
          <w:rFonts w:ascii="Times New Roman" w:hAnsi="Times New Roman" w:cs="Times New Roman"/>
          <w:sz w:val="24"/>
          <w:szCs w:val="24"/>
        </w:rPr>
        <w:t>Batra</w:t>
      </w:r>
      <w:proofErr w:type="spellEnd"/>
      <w:r w:rsidRPr="003511D0">
        <w:rPr>
          <w:rFonts w:ascii="Times New Roman" w:hAnsi="Times New Roman" w:cs="Times New Roman"/>
          <w:sz w:val="24"/>
          <w:szCs w:val="24"/>
        </w:rPr>
        <w:t xml:space="preserve">, B., </w:t>
      </w:r>
      <w:proofErr w:type="spellStart"/>
      <w:r w:rsidRPr="003511D0">
        <w:rPr>
          <w:rFonts w:ascii="Times New Roman" w:hAnsi="Times New Roman" w:cs="Times New Roman"/>
          <w:sz w:val="24"/>
          <w:szCs w:val="24"/>
        </w:rPr>
        <w:t>Mondal</w:t>
      </w:r>
      <w:proofErr w:type="spellEnd"/>
      <w:r w:rsidRPr="003511D0">
        <w:rPr>
          <w:rFonts w:ascii="Times New Roman" w:hAnsi="Times New Roman" w:cs="Times New Roman"/>
          <w:sz w:val="24"/>
          <w:szCs w:val="24"/>
        </w:rPr>
        <w:t xml:space="preserve">, A., Ghosh, P., &amp; </w:t>
      </w:r>
      <w:proofErr w:type="spellStart"/>
      <w:r w:rsidRPr="003511D0">
        <w:rPr>
          <w:rFonts w:ascii="Times New Roman" w:hAnsi="Times New Roman" w:cs="Times New Roman"/>
          <w:sz w:val="24"/>
          <w:szCs w:val="24"/>
        </w:rPr>
        <w:t>Mondal</w:t>
      </w:r>
      <w:proofErr w:type="spellEnd"/>
      <w:r w:rsidRPr="003511D0">
        <w:rPr>
          <w:rFonts w:ascii="Times New Roman" w:hAnsi="Times New Roman" w:cs="Times New Roman"/>
          <w:sz w:val="24"/>
          <w:szCs w:val="24"/>
        </w:rPr>
        <w:t xml:space="preserve">, S. (2024). Overcoming water, sanitation, and hygiene challenges in critical regions of the global community. </w:t>
      </w:r>
      <w:r w:rsidRPr="003511D0">
        <w:rPr>
          <w:rFonts w:ascii="Times New Roman" w:hAnsi="Times New Roman" w:cs="Times New Roman"/>
          <w:i/>
          <w:iCs/>
          <w:sz w:val="24"/>
          <w:szCs w:val="24"/>
        </w:rPr>
        <w:t>Water-Energy Nexus</w:t>
      </w:r>
      <w:r w:rsidRPr="003511D0">
        <w:rPr>
          <w:rFonts w:ascii="Times New Roman" w:hAnsi="Times New Roman" w:cs="Times New Roman"/>
          <w:sz w:val="24"/>
          <w:szCs w:val="24"/>
        </w:rPr>
        <w:t xml:space="preserve">, </w:t>
      </w:r>
      <w:r w:rsidRPr="003511D0">
        <w:rPr>
          <w:rFonts w:ascii="Times New Roman" w:hAnsi="Times New Roman" w:cs="Times New Roman"/>
          <w:i/>
          <w:iCs/>
          <w:sz w:val="24"/>
          <w:szCs w:val="24"/>
        </w:rPr>
        <w:t>7</w:t>
      </w:r>
      <w:r w:rsidRPr="003511D0">
        <w:rPr>
          <w:rFonts w:ascii="Times New Roman" w:hAnsi="Times New Roman" w:cs="Times New Roman"/>
          <w:sz w:val="24"/>
          <w:szCs w:val="24"/>
        </w:rPr>
        <w:t>, 277–296. https://doi.org/10.1016/j.wen.2024.11.003</w:t>
      </w:r>
    </w:p>
    <w:p w:rsidR="00222AAB" w:rsidRPr="003511D0" w:rsidRDefault="00222AAB" w:rsidP="003511D0">
      <w:pPr>
        <w:pStyle w:val="Bibliography"/>
        <w:numPr>
          <w:ilvl w:val="0"/>
          <w:numId w:val="4"/>
        </w:numPr>
        <w:spacing w:line="360" w:lineRule="auto"/>
        <w:jc w:val="both"/>
        <w:rPr>
          <w:rFonts w:ascii="Times New Roman" w:hAnsi="Times New Roman" w:cs="Times New Roman"/>
          <w:sz w:val="24"/>
          <w:szCs w:val="24"/>
        </w:rPr>
      </w:pPr>
      <w:r w:rsidRPr="003511D0">
        <w:rPr>
          <w:rFonts w:ascii="Times New Roman" w:hAnsi="Times New Roman" w:cs="Times New Roman"/>
          <w:sz w:val="24"/>
          <w:szCs w:val="24"/>
        </w:rPr>
        <w:t xml:space="preserve">Chan, E. Y. Y., Tong, K. H. Y., Dubois, C., </w:t>
      </w:r>
      <w:proofErr w:type="spellStart"/>
      <w:r w:rsidRPr="003511D0">
        <w:rPr>
          <w:rFonts w:ascii="Times New Roman" w:hAnsi="Times New Roman" w:cs="Times New Roman"/>
          <w:sz w:val="24"/>
          <w:szCs w:val="24"/>
        </w:rPr>
        <w:t>Mc</w:t>
      </w:r>
      <w:proofErr w:type="spellEnd"/>
      <w:r w:rsidRPr="003511D0">
        <w:rPr>
          <w:rFonts w:ascii="Times New Roman" w:hAnsi="Times New Roman" w:cs="Times New Roman"/>
          <w:sz w:val="24"/>
          <w:szCs w:val="24"/>
        </w:rPr>
        <w:t xml:space="preserve"> Donnell, K., Kim, J. H., Hung, K. K. C., &amp; Kwok, K. O. (2021). Narrative Review of Primary Preventive Interventions against Water-Borne Diseases: Scientific Evidence of Health-EDRM in Contexts with Inadequate Safe Drinking Water. </w:t>
      </w:r>
      <w:r w:rsidRPr="003511D0">
        <w:rPr>
          <w:rFonts w:ascii="Times New Roman" w:hAnsi="Times New Roman" w:cs="Times New Roman"/>
          <w:i/>
          <w:iCs/>
          <w:sz w:val="24"/>
          <w:szCs w:val="24"/>
        </w:rPr>
        <w:t>International Journal of Environmental Research and Public Health</w:t>
      </w:r>
      <w:r w:rsidRPr="003511D0">
        <w:rPr>
          <w:rFonts w:ascii="Times New Roman" w:hAnsi="Times New Roman" w:cs="Times New Roman"/>
          <w:sz w:val="24"/>
          <w:szCs w:val="24"/>
        </w:rPr>
        <w:t xml:space="preserve">, </w:t>
      </w:r>
      <w:r w:rsidRPr="003511D0">
        <w:rPr>
          <w:rFonts w:ascii="Times New Roman" w:hAnsi="Times New Roman" w:cs="Times New Roman"/>
          <w:i/>
          <w:iCs/>
          <w:sz w:val="24"/>
          <w:szCs w:val="24"/>
        </w:rPr>
        <w:t>18</w:t>
      </w:r>
      <w:r w:rsidRPr="003511D0">
        <w:rPr>
          <w:rFonts w:ascii="Times New Roman" w:hAnsi="Times New Roman" w:cs="Times New Roman"/>
          <w:sz w:val="24"/>
          <w:szCs w:val="24"/>
        </w:rPr>
        <w:t xml:space="preserve">(23), 12268. </w:t>
      </w:r>
      <w:r w:rsidRPr="003511D0">
        <w:rPr>
          <w:rFonts w:ascii="Times New Roman" w:hAnsi="Times New Roman" w:cs="Times New Roman"/>
          <w:sz w:val="24"/>
          <w:szCs w:val="24"/>
        </w:rPr>
        <w:lastRenderedPageBreak/>
        <w:t>https://doi.org/10.3390/ijerph182312268</w:t>
      </w:r>
    </w:p>
    <w:p w:rsidR="00222AAB" w:rsidRPr="003511D0" w:rsidRDefault="00222AAB" w:rsidP="003511D0">
      <w:pPr>
        <w:pStyle w:val="Bibliography"/>
        <w:numPr>
          <w:ilvl w:val="0"/>
          <w:numId w:val="4"/>
        </w:numPr>
        <w:spacing w:line="360" w:lineRule="auto"/>
        <w:jc w:val="both"/>
        <w:rPr>
          <w:rFonts w:ascii="Times New Roman" w:hAnsi="Times New Roman" w:cs="Times New Roman"/>
          <w:sz w:val="24"/>
          <w:szCs w:val="24"/>
        </w:rPr>
      </w:pPr>
      <w:proofErr w:type="spellStart"/>
      <w:r w:rsidRPr="003511D0">
        <w:rPr>
          <w:rFonts w:ascii="Times New Roman" w:hAnsi="Times New Roman" w:cs="Times New Roman"/>
          <w:sz w:val="24"/>
          <w:szCs w:val="24"/>
        </w:rPr>
        <w:t>Chavalala</w:t>
      </w:r>
      <w:proofErr w:type="spellEnd"/>
      <w:r w:rsidRPr="003511D0">
        <w:rPr>
          <w:rFonts w:ascii="Times New Roman" w:hAnsi="Times New Roman" w:cs="Times New Roman"/>
          <w:sz w:val="24"/>
          <w:szCs w:val="24"/>
        </w:rPr>
        <w:t xml:space="preserve">, L., </w:t>
      </w:r>
      <w:proofErr w:type="spellStart"/>
      <w:r w:rsidRPr="003511D0">
        <w:rPr>
          <w:rFonts w:ascii="Times New Roman" w:hAnsi="Times New Roman" w:cs="Times New Roman"/>
          <w:sz w:val="24"/>
          <w:szCs w:val="24"/>
        </w:rPr>
        <w:t>Lebese</w:t>
      </w:r>
      <w:proofErr w:type="spellEnd"/>
      <w:r w:rsidRPr="003511D0">
        <w:rPr>
          <w:rFonts w:ascii="Times New Roman" w:hAnsi="Times New Roman" w:cs="Times New Roman"/>
          <w:sz w:val="24"/>
          <w:szCs w:val="24"/>
        </w:rPr>
        <w:t xml:space="preserve">, T. R., &amp; </w:t>
      </w:r>
      <w:proofErr w:type="spellStart"/>
      <w:r w:rsidRPr="003511D0">
        <w:rPr>
          <w:rFonts w:ascii="Times New Roman" w:hAnsi="Times New Roman" w:cs="Times New Roman"/>
          <w:sz w:val="24"/>
          <w:szCs w:val="24"/>
        </w:rPr>
        <w:t>Makhado</w:t>
      </w:r>
      <w:proofErr w:type="spellEnd"/>
      <w:r w:rsidRPr="003511D0">
        <w:rPr>
          <w:rFonts w:ascii="Times New Roman" w:hAnsi="Times New Roman" w:cs="Times New Roman"/>
          <w:sz w:val="24"/>
          <w:szCs w:val="24"/>
        </w:rPr>
        <w:t>, L. (2025). Men</w:t>
      </w:r>
      <w:r w:rsidR="00707734">
        <w:rPr>
          <w:rFonts w:ascii="Times New Roman" w:hAnsi="Times New Roman" w:cs="Times New Roman"/>
          <w:sz w:val="24"/>
          <w:szCs w:val="24"/>
        </w:rPr>
        <w:t>'</w:t>
      </w:r>
      <w:r w:rsidRPr="003511D0">
        <w:rPr>
          <w:rFonts w:ascii="Times New Roman" w:hAnsi="Times New Roman" w:cs="Times New Roman"/>
          <w:sz w:val="24"/>
          <w:szCs w:val="24"/>
        </w:rPr>
        <w:t xml:space="preserve">s views on factors contributing to their poor health-seeking </w:t>
      </w:r>
      <w:proofErr w:type="spellStart"/>
      <w:r w:rsidRPr="003511D0">
        <w:rPr>
          <w:rFonts w:ascii="Times New Roman" w:hAnsi="Times New Roman" w:cs="Times New Roman"/>
          <w:sz w:val="24"/>
          <w:szCs w:val="24"/>
        </w:rPr>
        <w:t>behaviour</w:t>
      </w:r>
      <w:proofErr w:type="spellEnd"/>
      <w:r w:rsidRPr="003511D0">
        <w:rPr>
          <w:rFonts w:ascii="Times New Roman" w:hAnsi="Times New Roman" w:cs="Times New Roman"/>
          <w:sz w:val="24"/>
          <w:szCs w:val="24"/>
        </w:rPr>
        <w:t xml:space="preserve"> in Limpopo Province, South Africa. </w:t>
      </w:r>
      <w:r w:rsidRPr="003511D0">
        <w:rPr>
          <w:rFonts w:ascii="Times New Roman" w:hAnsi="Times New Roman" w:cs="Times New Roman"/>
          <w:i/>
          <w:iCs/>
          <w:sz w:val="24"/>
          <w:szCs w:val="24"/>
        </w:rPr>
        <w:t>BMC Public Health</w:t>
      </w:r>
      <w:r w:rsidRPr="003511D0">
        <w:rPr>
          <w:rFonts w:ascii="Times New Roman" w:hAnsi="Times New Roman" w:cs="Times New Roman"/>
          <w:sz w:val="24"/>
          <w:szCs w:val="24"/>
        </w:rPr>
        <w:t xml:space="preserve">, </w:t>
      </w:r>
      <w:r w:rsidRPr="003511D0">
        <w:rPr>
          <w:rFonts w:ascii="Times New Roman" w:hAnsi="Times New Roman" w:cs="Times New Roman"/>
          <w:i/>
          <w:iCs/>
          <w:sz w:val="24"/>
          <w:szCs w:val="24"/>
        </w:rPr>
        <w:t>25</w:t>
      </w:r>
      <w:r w:rsidRPr="003511D0">
        <w:rPr>
          <w:rFonts w:ascii="Times New Roman" w:hAnsi="Times New Roman" w:cs="Times New Roman"/>
          <w:sz w:val="24"/>
          <w:szCs w:val="24"/>
        </w:rPr>
        <w:t>, 83. https://doi.org/10.1186/s12889-025-21283-9</w:t>
      </w:r>
    </w:p>
    <w:p w:rsidR="00222AAB" w:rsidRPr="003511D0" w:rsidRDefault="00222AAB" w:rsidP="003511D0">
      <w:pPr>
        <w:pStyle w:val="Bibliography"/>
        <w:numPr>
          <w:ilvl w:val="0"/>
          <w:numId w:val="4"/>
        </w:numPr>
        <w:spacing w:line="360" w:lineRule="auto"/>
        <w:jc w:val="both"/>
        <w:rPr>
          <w:rFonts w:ascii="Times New Roman" w:hAnsi="Times New Roman" w:cs="Times New Roman"/>
          <w:sz w:val="24"/>
          <w:szCs w:val="24"/>
        </w:rPr>
      </w:pPr>
      <w:proofErr w:type="spellStart"/>
      <w:r w:rsidRPr="003511D0">
        <w:rPr>
          <w:rFonts w:ascii="Times New Roman" w:hAnsi="Times New Roman" w:cs="Times New Roman"/>
          <w:sz w:val="24"/>
          <w:szCs w:val="24"/>
        </w:rPr>
        <w:t>Ejiohuo</w:t>
      </w:r>
      <w:proofErr w:type="spellEnd"/>
      <w:r w:rsidRPr="003511D0">
        <w:rPr>
          <w:rFonts w:ascii="Times New Roman" w:hAnsi="Times New Roman" w:cs="Times New Roman"/>
          <w:sz w:val="24"/>
          <w:szCs w:val="24"/>
        </w:rPr>
        <w:t xml:space="preserve">, O., </w:t>
      </w:r>
      <w:proofErr w:type="spellStart"/>
      <w:r w:rsidRPr="003511D0">
        <w:rPr>
          <w:rFonts w:ascii="Times New Roman" w:hAnsi="Times New Roman" w:cs="Times New Roman"/>
          <w:sz w:val="24"/>
          <w:szCs w:val="24"/>
        </w:rPr>
        <w:t>Onyeaka</w:t>
      </w:r>
      <w:proofErr w:type="spellEnd"/>
      <w:r w:rsidRPr="003511D0">
        <w:rPr>
          <w:rFonts w:ascii="Times New Roman" w:hAnsi="Times New Roman" w:cs="Times New Roman"/>
          <w:sz w:val="24"/>
          <w:szCs w:val="24"/>
        </w:rPr>
        <w:t xml:space="preserve">, H., </w:t>
      </w:r>
      <w:proofErr w:type="spellStart"/>
      <w:r w:rsidRPr="003511D0">
        <w:rPr>
          <w:rFonts w:ascii="Times New Roman" w:hAnsi="Times New Roman" w:cs="Times New Roman"/>
          <w:sz w:val="24"/>
          <w:szCs w:val="24"/>
        </w:rPr>
        <w:t>Akinsemolu</w:t>
      </w:r>
      <w:proofErr w:type="spellEnd"/>
      <w:r w:rsidRPr="003511D0">
        <w:rPr>
          <w:rFonts w:ascii="Times New Roman" w:hAnsi="Times New Roman" w:cs="Times New Roman"/>
          <w:sz w:val="24"/>
          <w:szCs w:val="24"/>
        </w:rPr>
        <w:t xml:space="preserve">, A., </w:t>
      </w:r>
      <w:proofErr w:type="spellStart"/>
      <w:r w:rsidRPr="003511D0">
        <w:rPr>
          <w:rFonts w:ascii="Times New Roman" w:hAnsi="Times New Roman" w:cs="Times New Roman"/>
          <w:sz w:val="24"/>
          <w:szCs w:val="24"/>
        </w:rPr>
        <w:t>Nwabor</w:t>
      </w:r>
      <w:proofErr w:type="spellEnd"/>
      <w:r w:rsidRPr="003511D0">
        <w:rPr>
          <w:rFonts w:ascii="Times New Roman" w:hAnsi="Times New Roman" w:cs="Times New Roman"/>
          <w:sz w:val="24"/>
          <w:szCs w:val="24"/>
        </w:rPr>
        <w:t xml:space="preserve">, O. F., </w:t>
      </w:r>
      <w:proofErr w:type="spellStart"/>
      <w:r w:rsidRPr="003511D0">
        <w:rPr>
          <w:rFonts w:ascii="Times New Roman" w:hAnsi="Times New Roman" w:cs="Times New Roman"/>
          <w:sz w:val="24"/>
          <w:szCs w:val="24"/>
        </w:rPr>
        <w:t>Siyanbola</w:t>
      </w:r>
      <w:proofErr w:type="spellEnd"/>
      <w:r w:rsidRPr="003511D0">
        <w:rPr>
          <w:rFonts w:ascii="Times New Roman" w:hAnsi="Times New Roman" w:cs="Times New Roman"/>
          <w:sz w:val="24"/>
          <w:szCs w:val="24"/>
        </w:rPr>
        <w:t xml:space="preserve">, K. F., </w:t>
      </w:r>
      <w:proofErr w:type="spellStart"/>
      <w:r w:rsidRPr="003511D0">
        <w:rPr>
          <w:rFonts w:ascii="Times New Roman" w:hAnsi="Times New Roman" w:cs="Times New Roman"/>
          <w:sz w:val="24"/>
          <w:szCs w:val="24"/>
        </w:rPr>
        <w:t>Tamasiga</w:t>
      </w:r>
      <w:proofErr w:type="spellEnd"/>
      <w:r w:rsidRPr="003511D0">
        <w:rPr>
          <w:rFonts w:ascii="Times New Roman" w:hAnsi="Times New Roman" w:cs="Times New Roman"/>
          <w:sz w:val="24"/>
          <w:szCs w:val="24"/>
        </w:rPr>
        <w:t>, P., &amp; Al-</w:t>
      </w:r>
      <w:proofErr w:type="spellStart"/>
      <w:r w:rsidRPr="003511D0">
        <w:rPr>
          <w:rFonts w:ascii="Times New Roman" w:hAnsi="Times New Roman" w:cs="Times New Roman"/>
          <w:sz w:val="24"/>
          <w:szCs w:val="24"/>
        </w:rPr>
        <w:t>Sharify</w:t>
      </w:r>
      <w:proofErr w:type="spellEnd"/>
      <w:r w:rsidRPr="003511D0">
        <w:rPr>
          <w:rFonts w:ascii="Times New Roman" w:hAnsi="Times New Roman" w:cs="Times New Roman"/>
          <w:sz w:val="24"/>
          <w:szCs w:val="24"/>
        </w:rPr>
        <w:t xml:space="preserve">, Z. T. (2025). Ensuring water purity: Mitigating environmental risks and safeguarding human health. </w:t>
      </w:r>
      <w:r w:rsidRPr="003511D0">
        <w:rPr>
          <w:rFonts w:ascii="Times New Roman" w:hAnsi="Times New Roman" w:cs="Times New Roman"/>
          <w:i/>
          <w:iCs/>
          <w:sz w:val="24"/>
          <w:szCs w:val="24"/>
        </w:rPr>
        <w:t>Water Biology and Security</w:t>
      </w:r>
      <w:r w:rsidRPr="003511D0">
        <w:rPr>
          <w:rFonts w:ascii="Times New Roman" w:hAnsi="Times New Roman" w:cs="Times New Roman"/>
          <w:sz w:val="24"/>
          <w:szCs w:val="24"/>
        </w:rPr>
        <w:t xml:space="preserve">, </w:t>
      </w:r>
      <w:r w:rsidRPr="003511D0">
        <w:rPr>
          <w:rFonts w:ascii="Times New Roman" w:hAnsi="Times New Roman" w:cs="Times New Roman"/>
          <w:i/>
          <w:iCs/>
          <w:sz w:val="24"/>
          <w:szCs w:val="24"/>
        </w:rPr>
        <w:t>4</w:t>
      </w:r>
      <w:r w:rsidRPr="003511D0">
        <w:rPr>
          <w:rFonts w:ascii="Times New Roman" w:hAnsi="Times New Roman" w:cs="Times New Roman"/>
          <w:sz w:val="24"/>
          <w:szCs w:val="24"/>
        </w:rPr>
        <w:t>(2), 100341. https://doi.org/10.1016/j.watbs.2024.100341</w:t>
      </w:r>
    </w:p>
    <w:p w:rsidR="00222AAB" w:rsidRPr="003511D0" w:rsidRDefault="00222AAB" w:rsidP="003511D0">
      <w:pPr>
        <w:pStyle w:val="Bibliography"/>
        <w:numPr>
          <w:ilvl w:val="0"/>
          <w:numId w:val="4"/>
        </w:numPr>
        <w:spacing w:line="360" w:lineRule="auto"/>
        <w:jc w:val="both"/>
        <w:rPr>
          <w:rFonts w:ascii="Times New Roman" w:hAnsi="Times New Roman" w:cs="Times New Roman"/>
          <w:sz w:val="24"/>
          <w:szCs w:val="24"/>
        </w:rPr>
      </w:pPr>
      <w:proofErr w:type="spellStart"/>
      <w:r w:rsidRPr="003511D0">
        <w:rPr>
          <w:rFonts w:ascii="Times New Roman" w:hAnsi="Times New Roman" w:cs="Times New Roman"/>
          <w:sz w:val="24"/>
          <w:szCs w:val="24"/>
        </w:rPr>
        <w:t>Gökçekuş</w:t>
      </w:r>
      <w:proofErr w:type="spellEnd"/>
      <w:r w:rsidRPr="003511D0">
        <w:rPr>
          <w:rFonts w:ascii="Times New Roman" w:hAnsi="Times New Roman" w:cs="Times New Roman"/>
          <w:sz w:val="24"/>
          <w:szCs w:val="24"/>
        </w:rPr>
        <w:t xml:space="preserve">, H., </w:t>
      </w:r>
      <w:proofErr w:type="spellStart"/>
      <w:r w:rsidRPr="003511D0">
        <w:rPr>
          <w:rFonts w:ascii="Times New Roman" w:hAnsi="Times New Roman" w:cs="Times New Roman"/>
          <w:sz w:val="24"/>
          <w:szCs w:val="24"/>
        </w:rPr>
        <w:t>Kassem</w:t>
      </w:r>
      <w:proofErr w:type="spellEnd"/>
      <w:r w:rsidRPr="003511D0">
        <w:rPr>
          <w:rFonts w:ascii="Times New Roman" w:hAnsi="Times New Roman" w:cs="Times New Roman"/>
          <w:sz w:val="24"/>
          <w:szCs w:val="24"/>
        </w:rPr>
        <w:t xml:space="preserve">, A. D. Y., &amp; </w:t>
      </w:r>
      <w:proofErr w:type="spellStart"/>
      <w:r w:rsidRPr="003511D0">
        <w:rPr>
          <w:rFonts w:ascii="Times New Roman" w:hAnsi="Times New Roman" w:cs="Times New Roman"/>
          <w:sz w:val="24"/>
          <w:szCs w:val="24"/>
        </w:rPr>
        <w:t>Dioh</w:t>
      </w:r>
      <w:proofErr w:type="spellEnd"/>
      <w:r w:rsidRPr="003511D0">
        <w:rPr>
          <w:rFonts w:ascii="Times New Roman" w:hAnsi="Times New Roman" w:cs="Times New Roman"/>
          <w:sz w:val="24"/>
          <w:szCs w:val="24"/>
        </w:rPr>
        <w:t xml:space="preserve">, F. S. (2022). </w:t>
      </w:r>
      <w:r w:rsidRPr="003511D0">
        <w:rPr>
          <w:rFonts w:ascii="Times New Roman" w:hAnsi="Times New Roman" w:cs="Times New Roman"/>
          <w:i/>
          <w:iCs/>
          <w:sz w:val="24"/>
          <w:szCs w:val="24"/>
        </w:rPr>
        <w:t>A REVIEW OF LIBERIA</w:t>
      </w:r>
      <w:r w:rsidR="00707734">
        <w:rPr>
          <w:rFonts w:ascii="Times New Roman" w:hAnsi="Times New Roman" w:cs="Times New Roman"/>
          <w:i/>
          <w:iCs/>
          <w:sz w:val="24"/>
          <w:szCs w:val="24"/>
        </w:rPr>
        <w:t>'</w:t>
      </w:r>
      <w:r w:rsidRPr="003511D0">
        <w:rPr>
          <w:rFonts w:ascii="Times New Roman" w:hAnsi="Times New Roman" w:cs="Times New Roman"/>
          <w:i/>
          <w:iCs/>
          <w:sz w:val="24"/>
          <w:szCs w:val="24"/>
        </w:rPr>
        <w:t>S WATER RESOURCES: THE QUALITY AND</w:t>
      </w:r>
      <w:r w:rsidRPr="003511D0">
        <w:rPr>
          <w:rFonts w:ascii="Times New Roman" w:hAnsi="Times New Roman" w:cs="Times New Roman"/>
          <w:sz w:val="24"/>
          <w:szCs w:val="24"/>
        </w:rPr>
        <w:t xml:space="preserve">. </w:t>
      </w:r>
      <w:r w:rsidRPr="003511D0">
        <w:rPr>
          <w:rFonts w:ascii="Times New Roman" w:hAnsi="Times New Roman" w:cs="Times New Roman"/>
          <w:i/>
          <w:iCs/>
          <w:sz w:val="24"/>
          <w:szCs w:val="24"/>
        </w:rPr>
        <w:t>09</w:t>
      </w:r>
      <w:r w:rsidRPr="003511D0">
        <w:rPr>
          <w:rFonts w:ascii="Times New Roman" w:hAnsi="Times New Roman" w:cs="Times New Roman"/>
          <w:sz w:val="24"/>
          <w:szCs w:val="24"/>
        </w:rPr>
        <w:t>(03).</w:t>
      </w:r>
    </w:p>
    <w:p w:rsidR="00222AAB" w:rsidRPr="003511D0" w:rsidRDefault="00222AAB" w:rsidP="003511D0">
      <w:pPr>
        <w:pStyle w:val="Bibliography"/>
        <w:numPr>
          <w:ilvl w:val="0"/>
          <w:numId w:val="4"/>
        </w:numPr>
        <w:spacing w:line="360" w:lineRule="auto"/>
        <w:jc w:val="both"/>
        <w:rPr>
          <w:rFonts w:ascii="Times New Roman" w:hAnsi="Times New Roman" w:cs="Times New Roman"/>
          <w:sz w:val="24"/>
          <w:szCs w:val="24"/>
        </w:rPr>
      </w:pPr>
      <w:r w:rsidRPr="003511D0">
        <w:rPr>
          <w:rFonts w:ascii="Times New Roman" w:hAnsi="Times New Roman" w:cs="Times New Roman"/>
          <w:sz w:val="24"/>
          <w:szCs w:val="24"/>
        </w:rPr>
        <w:t xml:space="preserve">Hall, R. P., Van </w:t>
      </w:r>
      <w:proofErr w:type="spellStart"/>
      <w:r w:rsidRPr="003511D0">
        <w:rPr>
          <w:rFonts w:ascii="Times New Roman" w:hAnsi="Times New Roman" w:cs="Times New Roman"/>
          <w:sz w:val="24"/>
          <w:szCs w:val="24"/>
        </w:rPr>
        <w:t>Koppen</w:t>
      </w:r>
      <w:proofErr w:type="spellEnd"/>
      <w:r w:rsidRPr="003511D0">
        <w:rPr>
          <w:rFonts w:ascii="Times New Roman" w:hAnsi="Times New Roman" w:cs="Times New Roman"/>
          <w:sz w:val="24"/>
          <w:szCs w:val="24"/>
        </w:rPr>
        <w:t xml:space="preserve">, B., &amp; Van </w:t>
      </w:r>
      <w:proofErr w:type="spellStart"/>
      <w:r w:rsidRPr="003511D0">
        <w:rPr>
          <w:rFonts w:ascii="Times New Roman" w:hAnsi="Times New Roman" w:cs="Times New Roman"/>
          <w:sz w:val="24"/>
          <w:szCs w:val="24"/>
        </w:rPr>
        <w:t>Houweling</w:t>
      </w:r>
      <w:proofErr w:type="spellEnd"/>
      <w:r w:rsidRPr="003511D0">
        <w:rPr>
          <w:rFonts w:ascii="Times New Roman" w:hAnsi="Times New Roman" w:cs="Times New Roman"/>
          <w:sz w:val="24"/>
          <w:szCs w:val="24"/>
        </w:rPr>
        <w:t xml:space="preserve">, E. (2014). The Human Right to Water: The Importance of Domestic and Productive Water Rights. </w:t>
      </w:r>
      <w:r w:rsidRPr="003511D0">
        <w:rPr>
          <w:rFonts w:ascii="Times New Roman" w:hAnsi="Times New Roman" w:cs="Times New Roman"/>
          <w:i/>
          <w:iCs/>
          <w:sz w:val="24"/>
          <w:szCs w:val="24"/>
        </w:rPr>
        <w:t>Science and Engineering Ethics</w:t>
      </w:r>
      <w:r w:rsidRPr="003511D0">
        <w:rPr>
          <w:rFonts w:ascii="Times New Roman" w:hAnsi="Times New Roman" w:cs="Times New Roman"/>
          <w:sz w:val="24"/>
          <w:szCs w:val="24"/>
        </w:rPr>
        <w:t xml:space="preserve">, </w:t>
      </w:r>
      <w:r w:rsidRPr="003511D0">
        <w:rPr>
          <w:rFonts w:ascii="Times New Roman" w:hAnsi="Times New Roman" w:cs="Times New Roman"/>
          <w:i/>
          <w:iCs/>
          <w:sz w:val="24"/>
          <w:szCs w:val="24"/>
        </w:rPr>
        <w:t>20</w:t>
      </w:r>
      <w:r w:rsidRPr="003511D0">
        <w:rPr>
          <w:rFonts w:ascii="Times New Roman" w:hAnsi="Times New Roman" w:cs="Times New Roman"/>
          <w:sz w:val="24"/>
          <w:szCs w:val="24"/>
        </w:rPr>
        <w:t xml:space="preserve">(4), 849–868. </w:t>
      </w:r>
      <w:r w:rsidRPr="003511D0">
        <w:rPr>
          <w:rFonts w:ascii="Times New Roman" w:hAnsi="Times New Roman" w:cs="Times New Roman"/>
          <w:sz w:val="24"/>
          <w:szCs w:val="24"/>
        </w:rPr>
        <w:lastRenderedPageBreak/>
        <w:t>https://doi.org/10.1007/s11948-013-9499-3</w:t>
      </w:r>
    </w:p>
    <w:p w:rsidR="00222AAB" w:rsidRPr="003511D0" w:rsidRDefault="00222AAB" w:rsidP="003511D0">
      <w:pPr>
        <w:pStyle w:val="Bibliography"/>
        <w:numPr>
          <w:ilvl w:val="0"/>
          <w:numId w:val="4"/>
        </w:numPr>
        <w:spacing w:line="360" w:lineRule="auto"/>
        <w:jc w:val="both"/>
        <w:rPr>
          <w:rFonts w:ascii="Times New Roman" w:hAnsi="Times New Roman" w:cs="Times New Roman"/>
          <w:sz w:val="24"/>
          <w:szCs w:val="24"/>
        </w:rPr>
      </w:pPr>
      <w:r w:rsidRPr="003511D0">
        <w:rPr>
          <w:rFonts w:ascii="Times New Roman" w:hAnsi="Times New Roman" w:cs="Times New Roman"/>
          <w:sz w:val="24"/>
          <w:szCs w:val="24"/>
        </w:rPr>
        <w:t xml:space="preserve">Li, X., &amp; Yang, H. Y. (2021). A Global Challenge: Clean Drinking Water. </w:t>
      </w:r>
      <w:r w:rsidRPr="003511D0">
        <w:rPr>
          <w:rFonts w:ascii="Times New Roman" w:hAnsi="Times New Roman" w:cs="Times New Roman"/>
          <w:i/>
          <w:iCs/>
          <w:sz w:val="24"/>
          <w:szCs w:val="24"/>
        </w:rPr>
        <w:t>Global Challenges</w:t>
      </w:r>
      <w:r w:rsidRPr="003511D0">
        <w:rPr>
          <w:rFonts w:ascii="Times New Roman" w:hAnsi="Times New Roman" w:cs="Times New Roman"/>
          <w:sz w:val="24"/>
          <w:szCs w:val="24"/>
        </w:rPr>
        <w:t xml:space="preserve">, </w:t>
      </w:r>
      <w:r w:rsidRPr="003511D0">
        <w:rPr>
          <w:rFonts w:ascii="Times New Roman" w:hAnsi="Times New Roman" w:cs="Times New Roman"/>
          <w:i/>
          <w:iCs/>
          <w:sz w:val="24"/>
          <w:szCs w:val="24"/>
        </w:rPr>
        <w:t>5</w:t>
      </w:r>
      <w:r w:rsidRPr="003511D0">
        <w:rPr>
          <w:rFonts w:ascii="Times New Roman" w:hAnsi="Times New Roman" w:cs="Times New Roman"/>
          <w:sz w:val="24"/>
          <w:szCs w:val="24"/>
        </w:rPr>
        <w:t>(1), 2000125. https://doi.org/10.1002/gch2.202000125</w:t>
      </w:r>
    </w:p>
    <w:p w:rsidR="00222AAB" w:rsidRPr="003511D0" w:rsidRDefault="00222AAB" w:rsidP="003511D0">
      <w:pPr>
        <w:pStyle w:val="Bibliography"/>
        <w:numPr>
          <w:ilvl w:val="0"/>
          <w:numId w:val="4"/>
        </w:numPr>
        <w:spacing w:line="360" w:lineRule="auto"/>
        <w:jc w:val="both"/>
        <w:rPr>
          <w:rFonts w:ascii="Times New Roman" w:hAnsi="Times New Roman" w:cs="Times New Roman"/>
          <w:sz w:val="24"/>
          <w:szCs w:val="24"/>
        </w:rPr>
      </w:pPr>
      <w:r w:rsidRPr="003511D0">
        <w:rPr>
          <w:rFonts w:ascii="Times New Roman" w:hAnsi="Times New Roman" w:cs="Times New Roman"/>
          <w:sz w:val="24"/>
          <w:szCs w:val="24"/>
        </w:rPr>
        <w:t xml:space="preserve">Liberia Facts Sheet. (2024). </w:t>
      </w:r>
      <w:r w:rsidRPr="003511D0">
        <w:rPr>
          <w:rFonts w:ascii="Times New Roman" w:hAnsi="Times New Roman" w:cs="Times New Roman"/>
          <w:i/>
          <w:iCs/>
          <w:sz w:val="24"/>
          <w:szCs w:val="24"/>
        </w:rPr>
        <w:t>TakeonTyphoid_Liberia_Fact_Sheet_2024_L2</w:t>
      </w:r>
      <w:r w:rsidRPr="003511D0">
        <w:rPr>
          <w:rFonts w:ascii="Times New Roman" w:hAnsi="Times New Roman" w:cs="Times New Roman"/>
          <w:sz w:val="24"/>
          <w:szCs w:val="24"/>
        </w:rPr>
        <w:t>. https://www.coalitionagainsttyphoid.org/wp-content/uploads/2024/08/TakeonTyphoid_Liberia_Fact_Sheet_2024_L2.pdf</w:t>
      </w:r>
    </w:p>
    <w:p w:rsidR="00222AAB" w:rsidRPr="003511D0" w:rsidRDefault="00222AAB" w:rsidP="003511D0">
      <w:pPr>
        <w:pStyle w:val="Bibliography"/>
        <w:numPr>
          <w:ilvl w:val="0"/>
          <w:numId w:val="4"/>
        </w:numPr>
        <w:spacing w:line="360" w:lineRule="auto"/>
        <w:jc w:val="both"/>
        <w:rPr>
          <w:rFonts w:ascii="Times New Roman" w:hAnsi="Times New Roman" w:cs="Times New Roman"/>
          <w:sz w:val="24"/>
          <w:szCs w:val="24"/>
        </w:rPr>
      </w:pPr>
      <w:r w:rsidRPr="003511D0">
        <w:rPr>
          <w:rFonts w:ascii="Times New Roman" w:hAnsi="Times New Roman" w:cs="Times New Roman"/>
          <w:sz w:val="24"/>
          <w:szCs w:val="24"/>
        </w:rPr>
        <w:t xml:space="preserve">Liu, Q., Liu, M., &amp; Liu, J. (2024). Association of drinking water services with the disease burden of diarrhea in children under five in 200 countries from 2000 to 2021. </w:t>
      </w:r>
      <w:r w:rsidRPr="003511D0">
        <w:rPr>
          <w:rFonts w:ascii="Times New Roman" w:hAnsi="Times New Roman" w:cs="Times New Roman"/>
          <w:i/>
          <w:iCs/>
          <w:sz w:val="24"/>
          <w:szCs w:val="24"/>
        </w:rPr>
        <w:t>Cell Reports Sustainability</w:t>
      </w:r>
      <w:r w:rsidRPr="003511D0">
        <w:rPr>
          <w:rFonts w:ascii="Times New Roman" w:hAnsi="Times New Roman" w:cs="Times New Roman"/>
          <w:sz w:val="24"/>
          <w:szCs w:val="24"/>
        </w:rPr>
        <w:t xml:space="preserve">, </w:t>
      </w:r>
      <w:r w:rsidRPr="003511D0">
        <w:rPr>
          <w:rFonts w:ascii="Times New Roman" w:hAnsi="Times New Roman" w:cs="Times New Roman"/>
          <w:i/>
          <w:iCs/>
          <w:sz w:val="24"/>
          <w:szCs w:val="24"/>
        </w:rPr>
        <w:t>1</w:t>
      </w:r>
      <w:r w:rsidRPr="003511D0">
        <w:rPr>
          <w:rFonts w:ascii="Times New Roman" w:hAnsi="Times New Roman" w:cs="Times New Roman"/>
          <w:sz w:val="24"/>
          <w:szCs w:val="24"/>
        </w:rPr>
        <w:t>(9), 100177. https://doi.org/10.1016/j.crsus.2024.100177</w:t>
      </w:r>
    </w:p>
    <w:p w:rsidR="00222AAB" w:rsidRPr="003511D0" w:rsidRDefault="00222AAB" w:rsidP="003511D0">
      <w:pPr>
        <w:pStyle w:val="Bibliography"/>
        <w:numPr>
          <w:ilvl w:val="0"/>
          <w:numId w:val="4"/>
        </w:numPr>
        <w:spacing w:line="360" w:lineRule="auto"/>
        <w:jc w:val="both"/>
        <w:rPr>
          <w:rFonts w:ascii="Times New Roman" w:hAnsi="Times New Roman" w:cs="Times New Roman"/>
          <w:sz w:val="24"/>
          <w:szCs w:val="24"/>
        </w:rPr>
      </w:pPr>
      <w:proofErr w:type="spellStart"/>
      <w:r w:rsidRPr="003511D0">
        <w:rPr>
          <w:rFonts w:ascii="Times New Roman" w:hAnsi="Times New Roman" w:cs="Times New Roman"/>
          <w:sz w:val="24"/>
          <w:szCs w:val="24"/>
        </w:rPr>
        <w:t>Oberly</w:t>
      </w:r>
      <w:proofErr w:type="spellEnd"/>
      <w:r w:rsidRPr="003511D0">
        <w:rPr>
          <w:rFonts w:ascii="Times New Roman" w:hAnsi="Times New Roman" w:cs="Times New Roman"/>
          <w:sz w:val="24"/>
          <w:szCs w:val="24"/>
        </w:rPr>
        <w:t xml:space="preserve">, P., &amp; Dave </w:t>
      </w:r>
      <w:proofErr w:type="spellStart"/>
      <w:r w:rsidRPr="003511D0">
        <w:rPr>
          <w:rFonts w:ascii="Times New Roman" w:hAnsi="Times New Roman" w:cs="Times New Roman"/>
          <w:sz w:val="24"/>
          <w:szCs w:val="24"/>
        </w:rPr>
        <w:t>Wuo</w:t>
      </w:r>
      <w:proofErr w:type="spellEnd"/>
      <w:r w:rsidRPr="003511D0">
        <w:rPr>
          <w:rFonts w:ascii="Times New Roman" w:hAnsi="Times New Roman" w:cs="Times New Roman"/>
          <w:sz w:val="24"/>
          <w:szCs w:val="24"/>
        </w:rPr>
        <w:t xml:space="preserve"> </w:t>
      </w:r>
      <w:proofErr w:type="spellStart"/>
      <w:r w:rsidRPr="003511D0">
        <w:rPr>
          <w:rFonts w:ascii="Times New Roman" w:hAnsi="Times New Roman" w:cs="Times New Roman"/>
          <w:sz w:val="24"/>
          <w:szCs w:val="24"/>
        </w:rPr>
        <w:t>Kehnel</w:t>
      </w:r>
      <w:proofErr w:type="spellEnd"/>
      <w:r w:rsidRPr="003511D0">
        <w:rPr>
          <w:rFonts w:ascii="Times New Roman" w:hAnsi="Times New Roman" w:cs="Times New Roman"/>
          <w:sz w:val="24"/>
          <w:szCs w:val="24"/>
        </w:rPr>
        <w:t xml:space="preserve">, J. (2026). Factors Contributing to the Consumption of Unsafe Drinking Water in Liberia: A Case Study of Stephen A. Tolbert Estate, Monrovia. </w:t>
      </w:r>
      <w:r w:rsidRPr="003511D0">
        <w:rPr>
          <w:rFonts w:ascii="Times New Roman" w:hAnsi="Times New Roman" w:cs="Times New Roman"/>
          <w:i/>
          <w:iCs/>
          <w:sz w:val="24"/>
          <w:szCs w:val="24"/>
        </w:rPr>
        <w:t>International Journal of Research and Innovation in Social Science</w:t>
      </w:r>
      <w:r w:rsidRPr="003511D0">
        <w:rPr>
          <w:rFonts w:ascii="Times New Roman" w:hAnsi="Times New Roman" w:cs="Times New Roman"/>
          <w:sz w:val="24"/>
          <w:szCs w:val="24"/>
        </w:rPr>
        <w:t xml:space="preserve">, </w:t>
      </w:r>
      <w:r w:rsidRPr="003511D0">
        <w:rPr>
          <w:rFonts w:ascii="Times New Roman" w:hAnsi="Times New Roman" w:cs="Times New Roman"/>
          <w:i/>
          <w:iCs/>
          <w:sz w:val="24"/>
          <w:szCs w:val="24"/>
        </w:rPr>
        <w:lastRenderedPageBreak/>
        <w:t>10</w:t>
      </w:r>
      <w:r w:rsidRPr="003511D0">
        <w:rPr>
          <w:rFonts w:ascii="Times New Roman" w:hAnsi="Times New Roman" w:cs="Times New Roman"/>
          <w:sz w:val="24"/>
          <w:szCs w:val="24"/>
        </w:rPr>
        <w:t>(3), 2669–2676. https://doi.org/10.47772/IJRISS.2026.100300192</w:t>
      </w:r>
    </w:p>
    <w:p w:rsidR="00222AAB" w:rsidRPr="003511D0" w:rsidRDefault="00222AAB" w:rsidP="003511D0">
      <w:pPr>
        <w:pStyle w:val="Bibliography"/>
        <w:numPr>
          <w:ilvl w:val="0"/>
          <w:numId w:val="4"/>
        </w:numPr>
        <w:spacing w:line="360" w:lineRule="auto"/>
        <w:jc w:val="both"/>
        <w:rPr>
          <w:rFonts w:ascii="Times New Roman" w:hAnsi="Times New Roman" w:cs="Times New Roman"/>
          <w:sz w:val="24"/>
          <w:szCs w:val="24"/>
        </w:rPr>
      </w:pPr>
      <w:r w:rsidRPr="003511D0">
        <w:rPr>
          <w:rFonts w:ascii="Times New Roman" w:hAnsi="Times New Roman" w:cs="Times New Roman"/>
          <w:sz w:val="24"/>
          <w:szCs w:val="24"/>
        </w:rPr>
        <w:t xml:space="preserve">Singh, S., &amp; </w:t>
      </w:r>
      <w:proofErr w:type="spellStart"/>
      <w:r w:rsidRPr="003511D0">
        <w:rPr>
          <w:rFonts w:ascii="Times New Roman" w:hAnsi="Times New Roman" w:cs="Times New Roman"/>
          <w:sz w:val="24"/>
          <w:szCs w:val="24"/>
        </w:rPr>
        <w:t>Jayaram</w:t>
      </w:r>
      <w:proofErr w:type="spellEnd"/>
      <w:r w:rsidRPr="003511D0">
        <w:rPr>
          <w:rFonts w:ascii="Times New Roman" w:hAnsi="Times New Roman" w:cs="Times New Roman"/>
          <w:sz w:val="24"/>
          <w:szCs w:val="24"/>
        </w:rPr>
        <w:t xml:space="preserve">, R. (2022). Attainment of water and sanitation goals: A review and agenda for research. </w:t>
      </w:r>
      <w:r w:rsidRPr="003511D0">
        <w:rPr>
          <w:rFonts w:ascii="Times New Roman" w:hAnsi="Times New Roman" w:cs="Times New Roman"/>
          <w:i/>
          <w:iCs/>
          <w:sz w:val="24"/>
          <w:szCs w:val="24"/>
        </w:rPr>
        <w:t>Sustainable Water Resources Management</w:t>
      </w:r>
      <w:r w:rsidRPr="003511D0">
        <w:rPr>
          <w:rFonts w:ascii="Times New Roman" w:hAnsi="Times New Roman" w:cs="Times New Roman"/>
          <w:sz w:val="24"/>
          <w:szCs w:val="24"/>
        </w:rPr>
        <w:t xml:space="preserve">, </w:t>
      </w:r>
      <w:r w:rsidRPr="003511D0">
        <w:rPr>
          <w:rFonts w:ascii="Times New Roman" w:hAnsi="Times New Roman" w:cs="Times New Roman"/>
          <w:i/>
          <w:iCs/>
          <w:sz w:val="24"/>
          <w:szCs w:val="24"/>
        </w:rPr>
        <w:t>8</w:t>
      </w:r>
      <w:r w:rsidRPr="003511D0">
        <w:rPr>
          <w:rFonts w:ascii="Times New Roman" w:hAnsi="Times New Roman" w:cs="Times New Roman"/>
          <w:sz w:val="24"/>
          <w:szCs w:val="24"/>
        </w:rPr>
        <w:t>(5), 146. https://doi.org/10.1007/s40899-022-00719-9</w:t>
      </w:r>
    </w:p>
    <w:p w:rsidR="00222AAB" w:rsidRPr="003511D0" w:rsidRDefault="00222AAB" w:rsidP="003511D0">
      <w:pPr>
        <w:pStyle w:val="Bibliography"/>
        <w:numPr>
          <w:ilvl w:val="0"/>
          <w:numId w:val="4"/>
        </w:numPr>
        <w:spacing w:line="360" w:lineRule="auto"/>
        <w:jc w:val="both"/>
        <w:rPr>
          <w:rFonts w:ascii="Times New Roman" w:hAnsi="Times New Roman" w:cs="Times New Roman"/>
          <w:sz w:val="24"/>
          <w:szCs w:val="24"/>
        </w:rPr>
      </w:pPr>
      <w:r w:rsidRPr="003511D0">
        <w:rPr>
          <w:rFonts w:ascii="Times New Roman" w:hAnsi="Times New Roman" w:cs="Times New Roman"/>
          <w:sz w:val="24"/>
          <w:szCs w:val="24"/>
        </w:rPr>
        <w:t xml:space="preserve">US EPA, O. (2017, August 4). </w:t>
      </w:r>
      <w:r w:rsidRPr="003511D0">
        <w:rPr>
          <w:rFonts w:ascii="Times New Roman" w:hAnsi="Times New Roman" w:cs="Times New Roman"/>
          <w:i/>
          <w:iCs/>
          <w:sz w:val="24"/>
          <w:szCs w:val="24"/>
        </w:rPr>
        <w:t>Septic Systems and Drinking Water</w:t>
      </w:r>
      <w:r w:rsidRPr="003511D0">
        <w:rPr>
          <w:rFonts w:ascii="Times New Roman" w:hAnsi="Times New Roman" w:cs="Times New Roman"/>
          <w:sz w:val="24"/>
          <w:szCs w:val="24"/>
        </w:rPr>
        <w:t xml:space="preserve"> [Overviews and Factsheets]. https://www.epa.gov/septic/septic-systems-and-drinking-water</w:t>
      </w:r>
    </w:p>
    <w:p w:rsidR="00222AAB" w:rsidRPr="003511D0" w:rsidRDefault="00222AAB" w:rsidP="003511D0">
      <w:pPr>
        <w:pStyle w:val="Bibliography"/>
        <w:numPr>
          <w:ilvl w:val="0"/>
          <w:numId w:val="4"/>
        </w:numPr>
        <w:spacing w:line="360" w:lineRule="auto"/>
        <w:jc w:val="both"/>
        <w:rPr>
          <w:rFonts w:ascii="Times New Roman" w:hAnsi="Times New Roman" w:cs="Times New Roman"/>
          <w:sz w:val="24"/>
          <w:szCs w:val="24"/>
        </w:rPr>
      </w:pPr>
      <w:r w:rsidRPr="003511D0">
        <w:rPr>
          <w:rFonts w:ascii="Times New Roman" w:hAnsi="Times New Roman" w:cs="Times New Roman"/>
          <w:sz w:val="24"/>
          <w:szCs w:val="24"/>
        </w:rPr>
        <w:t xml:space="preserve">WHO. (2020, December 14). </w:t>
      </w:r>
      <w:r w:rsidRPr="003511D0">
        <w:rPr>
          <w:rFonts w:ascii="Times New Roman" w:hAnsi="Times New Roman" w:cs="Times New Roman"/>
          <w:i/>
          <w:iCs/>
          <w:sz w:val="24"/>
          <w:szCs w:val="24"/>
        </w:rPr>
        <w:t>Almost 2 billion people depend on health care facilities without basic water services – WHO, UNICEF</w:t>
      </w:r>
      <w:r w:rsidRPr="003511D0">
        <w:rPr>
          <w:rFonts w:ascii="Times New Roman" w:hAnsi="Times New Roman" w:cs="Times New Roman"/>
          <w:sz w:val="24"/>
          <w:szCs w:val="24"/>
        </w:rPr>
        <w:t>. https://www.who.int/news/item/14-12-2020-almost-2-billion-people-</w:t>
      </w:r>
      <w:r w:rsidRPr="003511D0">
        <w:rPr>
          <w:rFonts w:ascii="Times New Roman" w:hAnsi="Times New Roman" w:cs="Times New Roman"/>
          <w:sz w:val="24"/>
          <w:szCs w:val="24"/>
        </w:rPr>
        <w:lastRenderedPageBreak/>
        <w:t>depend-on-health-care-facilities-without-basic-water-services-who-unicef</w:t>
      </w:r>
    </w:p>
    <w:p w:rsidR="00222AAB" w:rsidRPr="003511D0" w:rsidRDefault="00222AAB" w:rsidP="003511D0">
      <w:pPr>
        <w:pStyle w:val="Bibliography"/>
        <w:numPr>
          <w:ilvl w:val="0"/>
          <w:numId w:val="4"/>
        </w:numPr>
        <w:spacing w:line="360" w:lineRule="auto"/>
        <w:jc w:val="both"/>
        <w:rPr>
          <w:rFonts w:ascii="Times New Roman" w:hAnsi="Times New Roman" w:cs="Times New Roman"/>
          <w:sz w:val="24"/>
          <w:szCs w:val="24"/>
        </w:rPr>
      </w:pPr>
      <w:r w:rsidRPr="003511D0">
        <w:rPr>
          <w:rFonts w:ascii="Times New Roman" w:hAnsi="Times New Roman" w:cs="Times New Roman"/>
          <w:sz w:val="24"/>
          <w:szCs w:val="24"/>
        </w:rPr>
        <w:t xml:space="preserve">WHO. (2023, September 13). </w:t>
      </w:r>
      <w:r w:rsidRPr="003511D0">
        <w:rPr>
          <w:rFonts w:ascii="Times New Roman" w:hAnsi="Times New Roman" w:cs="Times New Roman"/>
          <w:i/>
          <w:iCs/>
          <w:sz w:val="24"/>
          <w:szCs w:val="24"/>
        </w:rPr>
        <w:t>Drinking-water</w:t>
      </w:r>
      <w:r w:rsidRPr="003511D0">
        <w:rPr>
          <w:rFonts w:ascii="Times New Roman" w:hAnsi="Times New Roman" w:cs="Times New Roman"/>
          <w:sz w:val="24"/>
          <w:szCs w:val="24"/>
        </w:rPr>
        <w:t>. https://www.who.int/news-room/fact-sheets/detail/drinking-water</w:t>
      </w:r>
    </w:p>
    <w:p w:rsidR="00222AAB" w:rsidRPr="003511D0" w:rsidRDefault="00222AAB" w:rsidP="003511D0">
      <w:pPr>
        <w:pStyle w:val="Bibliography"/>
        <w:numPr>
          <w:ilvl w:val="0"/>
          <w:numId w:val="4"/>
        </w:numPr>
        <w:spacing w:line="360" w:lineRule="auto"/>
        <w:jc w:val="both"/>
        <w:rPr>
          <w:rFonts w:ascii="Times New Roman" w:hAnsi="Times New Roman" w:cs="Times New Roman"/>
          <w:sz w:val="24"/>
          <w:szCs w:val="24"/>
        </w:rPr>
      </w:pPr>
      <w:r w:rsidRPr="003511D0">
        <w:rPr>
          <w:rFonts w:ascii="Times New Roman" w:hAnsi="Times New Roman" w:cs="Times New Roman"/>
          <w:sz w:val="24"/>
          <w:szCs w:val="24"/>
        </w:rPr>
        <w:t xml:space="preserve">World Bank. (2022, January 13). </w:t>
      </w:r>
      <w:r w:rsidRPr="003511D0">
        <w:rPr>
          <w:rFonts w:ascii="Times New Roman" w:hAnsi="Times New Roman" w:cs="Times New Roman"/>
          <w:i/>
          <w:iCs/>
          <w:sz w:val="24"/>
          <w:szCs w:val="24"/>
        </w:rPr>
        <w:t>P1752640ae486b0a089630a7454908775f</w:t>
      </w:r>
      <w:r w:rsidRPr="003511D0">
        <w:rPr>
          <w:rFonts w:ascii="Times New Roman" w:hAnsi="Times New Roman" w:cs="Times New Roman"/>
          <w:sz w:val="24"/>
          <w:szCs w:val="24"/>
        </w:rPr>
        <w:t>.</w:t>
      </w:r>
    </w:p>
    <w:p w:rsidR="00222AAB" w:rsidRPr="003511D0" w:rsidRDefault="00222AAB" w:rsidP="003511D0">
      <w:pPr>
        <w:pStyle w:val="Bibliography"/>
        <w:numPr>
          <w:ilvl w:val="0"/>
          <w:numId w:val="4"/>
        </w:numPr>
        <w:spacing w:line="360" w:lineRule="auto"/>
        <w:jc w:val="both"/>
        <w:rPr>
          <w:rFonts w:ascii="Times New Roman" w:hAnsi="Times New Roman" w:cs="Times New Roman"/>
          <w:sz w:val="24"/>
          <w:szCs w:val="24"/>
        </w:rPr>
      </w:pPr>
      <w:r w:rsidRPr="003511D0">
        <w:rPr>
          <w:rFonts w:ascii="Times New Roman" w:hAnsi="Times New Roman" w:cs="Times New Roman"/>
          <w:sz w:val="24"/>
          <w:szCs w:val="24"/>
        </w:rPr>
        <w:t xml:space="preserve">Zeng, H., </w:t>
      </w:r>
      <w:proofErr w:type="spellStart"/>
      <w:r w:rsidRPr="003511D0">
        <w:rPr>
          <w:rFonts w:ascii="Times New Roman" w:hAnsi="Times New Roman" w:cs="Times New Roman"/>
          <w:sz w:val="24"/>
          <w:szCs w:val="24"/>
        </w:rPr>
        <w:t>Gan</w:t>
      </w:r>
      <w:proofErr w:type="spellEnd"/>
      <w:r w:rsidRPr="003511D0">
        <w:rPr>
          <w:rFonts w:ascii="Times New Roman" w:hAnsi="Times New Roman" w:cs="Times New Roman"/>
          <w:sz w:val="24"/>
          <w:szCs w:val="24"/>
        </w:rPr>
        <w:t xml:space="preserve">, H., Liu, Y., &amp; Sun, B. (2024). The global disease burden attributable to unsafe water, sanitation, and </w:t>
      </w:r>
      <w:proofErr w:type="spellStart"/>
      <w:r w:rsidRPr="003511D0">
        <w:rPr>
          <w:rFonts w:ascii="Times New Roman" w:hAnsi="Times New Roman" w:cs="Times New Roman"/>
          <w:sz w:val="24"/>
          <w:szCs w:val="24"/>
        </w:rPr>
        <w:t>handwashing</w:t>
      </w:r>
      <w:proofErr w:type="spellEnd"/>
      <w:r w:rsidRPr="003511D0">
        <w:rPr>
          <w:rFonts w:ascii="Times New Roman" w:hAnsi="Times New Roman" w:cs="Times New Roman"/>
          <w:sz w:val="24"/>
          <w:szCs w:val="24"/>
        </w:rPr>
        <w:t xml:space="preserve"> with unqualified facilities from 1990 to 2019. </w:t>
      </w:r>
      <w:r w:rsidRPr="003511D0">
        <w:rPr>
          <w:rFonts w:ascii="Times New Roman" w:hAnsi="Times New Roman" w:cs="Times New Roman"/>
          <w:i/>
          <w:iCs/>
          <w:sz w:val="24"/>
          <w:szCs w:val="24"/>
        </w:rPr>
        <w:t>Journal of Global Health</w:t>
      </w:r>
      <w:r w:rsidRPr="003511D0">
        <w:rPr>
          <w:rFonts w:ascii="Times New Roman" w:hAnsi="Times New Roman" w:cs="Times New Roman"/>
          <w:sz w:val="24"/>
          <w:szCs w:val="24"/>
        </w:rPr>
        <w:t xml:space="preserve">, </w:t>
      </w:r>
      <w:r w:rsidRPr="003511D0">
        <w:rPr>
          <w:rFonts w:ascii="Times New Roman" w:hAnsi="Times New Roman" w:cs="Times New Roman"/>
          <w:i/>
          <w:iCs/>
          <w:sz w:val="24"/>
          <w:szCs w:val="24"/>
        </w:rPr>
        <w:t>14</w:t>
      </w:r>
      <w:r w:rsidRPr="003511D0">
        <w:rPr>
          <w:rFonts w:ascii="Times New Roman" w:hAnsi="Times New Roman" w:cs="Times New Roman"/>
          <w:sz w:val="24"/>
          <w:szCs w:val="24"/>
        </w:rPr>
        <w:t>, 04162. https://doi.org/10.7189/jogh.14.04162</w:t>
      </w:r>
    </w:p>
    <w:p w:rsidR="009B4262" w:rsidRPr="003511D0" w:rsidRDefault="00ED14B8" w:rsidP="003511D0">
      <w:pPr>
        <w:pStyle w:val="NoSpacing"/>
        <w:spacing w:line="360" w:lineRule="auto"/>
        <w:jc w:val="both"/>
        <w:rPr>
          <w:rFonts w:ascii="Times New Roman" w:eastAsia="Arial Unicode MS" w:hAnsi="Times New Roman" w:cs="Times New Roman"/>
          <w:sz w:val="24"/>
          <w:szCs w:val="24"/>
        </w:rPr>
        <w:sectPr w:rsidR="009B4262" w:rsidRPr="003511D0" w:rsidSect="009B4262">
          <w:type w:val="continuous"/>
          <w:pgSz w:w="12240" w:h="15840"/>
          <w:pgMar w:top="1440" w:right="1440" w:bottom="1440" w:left="1440" w:header="720" w:footer="720" w:gutter="0"/>
          <w:cols w:num="2" w:space="720"/>
          <w:docGrid w:linePitch="360"/>
        </w:sectPr>
      </w:pPr>
      <w:r w:rsidRPr="003511D0">
        <w:rPr>
          <w:rFonts w:ascii="Times New Roman" w:eastAsia="Arial Unicode MS" w:hAnsi="Times New Roman" w:cs="Times New Roman"/>
          <w:sz w:val="24"/>
          <w:szCs w:val="24"/>
        </w:rPr>
        <w:fldChar w:fldCharType="end"/>
      </w:r>
    </w:p>
    <w:p w:rsidR="00ED14B8" w:rsidRPr="003511D0" w:rsidRDefault="00ED14B8" w:rsidP="003511D0">
      <w:pPr>
        <w:pStyle w:val="NoSpacing"/>
        <w:spacing w:line="360" w:lineRule="auto"/>
        <w:jc w:val="both"/>
        <w:rPr>
          <w:rFonts w:ascii="Times New Roman" w:eastAsia="Arial Unicode MS" w:hAnsi="Times New Roman" w:cs="Times New Roman"/>
          <w:sz w:val="24"/>
          <w:szCs w:val="24"/>
        </w:rPr>
      </w:pPr>
    </w:p>
    <w:sectPr w:rsidR="00ED14B8" w:rsidRPr="003511D0" w:rsidSect="008962B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B2A" w:rsidRDefault="009C6B2A" w:rsidP="004F1C11">
      <w:pPr>
        <w:spacing w:after="0" w:line="240" w:lineRule="auto"/>
      </w:pPr>
      <w:r>
        <w:separator/>
      </w:r>
    </w:p>
  </w:endnote>
  <w:endnote w:type="continuationSeparator" w:id="0">
    <w:p w:rsidR="009C6B2A" w:rsidRDefault="009C6B2A" w:rsidP="004F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2405753"/>
      <w:docPartObj>
        <w:docPartGallery w:val="Page Numbers (Bottom of Page)"/>
        <w:docPartUnique/>
      </w:docPartObj>
    </w:sdtPr>
    <w:sdtEndPr>
      <w:rPr>
        <w:noProof/>
      </w:rPr>
    </w:sdtEndPr>
    <w:sdtContent>
      <w:p w:rsidR="00066D0E" w:rsidRDefault="00066D0E">
        <w:pPr>
          <w:pStyle w:val="Footer"/>
          <w:jc w:val="right"/>
        </w:pPr>
        <w:r>
          <w:fldChar w:fldCharType="begin"/>
        </w:r>
        <w:r>
          <w:instrText xml:space="preserve"> PAGE   \* MERGEFORMAT </w:instrText>
        </w:r>
        <w:r>
          <w:fldChar w:fldCharType="separate"/>
        </w:r>
        <w:r w:rsidR="005D4BC8">
          <w:rPr>
            <w:noProof/>
          </w:rPr>
          <w:t>12</w:t>
        </w:r>
        <w:r>
          <w:rPr>
            <w:noProof/>
          </w:rPr>
          <w:fldChar w:fldCharType="end"/>
        </w:r>
      </w:p>
    </w:sdtContent>
  </w:sdt>
  <w:p w:rsidR="00066D0E" w:rsidRDefault="00066D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B2A" w:rsidRDefault="009C6B2A" w:rsidP="004F1C11">
      <w:pPr>
        <w:spacing w:after="0" w:line="240" w:lineRule="auto"/>
      </w:pPr>
      <w:r>
        <w:separator/>
      </w:r>
    </w:p>
  </w:footnote>
  <w:footnote w:type="continuationSeparator" w:id="0">
    <w:p w:rsidR="009C6B2A" w:rsidRDefault="009C6B2A" w:rsidP="004F1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D0E" w:rsidRDefault="00066D0E">
    <w:pPr>
      <w:pStyle w:val="Header"/>
      <w:rPr>
        <w:i/>
      </w:rPr>
    </w:pPr>
  </w:p>
  <w:p w:rsidR="00066D0E" w:rsidRPr="004F1C11" w:rsidRDefault="00066D0E" w:rsidP="004F1C11">
    <w:pPr>
      <w:pStyle w:val="Header"/>
      <w:jc w:val="right"/>
      <w:rPr>
        <w:rFonts w:ascii="Bradley Hand ITC" w:hAnsi="Bradley Hand ITC"/>
        <w:i/>
      </w:rPr>
    </w:pPr>
    <w:proofErr w:type="spellStart"/>
    <w:r w:rsidRPr="004F1C11">
      <w:rPr>
        <w:rFonts w:ascii="Bradley Hand ITC" w:hAnsi="Bradley Hand ITC"/>
        <w:i/>
      </w:rPr>
      <w:t>Konah</w:t>
    </w:r>
    <w:proofErr w:type="spellEnd"/>
    <w:r w:rsidRPr="004F1C11">
      <w:rPr>
        <w:rFonts w:ascii="Bradley Hand ITC" w:hAnsi="Bradley Hand ITC"/>
        <w:i/>
      </w:rPr>
      <w:t xml:space="preserve"> </w:t>
    </w:r>
    <w:proofErr w:type="spellStart"/>
    <w:r w:rsidRPr="004F1C11">
      <w:rPr>
        <w:rFonts w:ascii="Bradley Hand ITC" w:hAnsi="Bradley Hand ITC"/>
        <w:i/>
      </w:rPr>
      <w:t>Kollie</w:t>
    </w:r>
    <w:proofErr w:type="spellEnd"/>
    <w:r w:rsidRPr="004F1C11">
      <w:rPr>
        <w:rFonts w:ascii="Bradley Hand ITC" w:hAnsi="Bradley Hand ITC"/>
        <w:i/>
      </w:rPr>
      <w:t xml:space="preserve"> &amp; D. </w:t>
    </w:r>
    <w:proofErr w:type="spellStart"/>
    <w:r w:rsidRPr="004F1C11">
      <w:rPr>
        <w:rFonts w:ascii="Bradley Hand ITC" w:hAnsi="Bradley Hand ITC"/>
        <w:i/>
      </w:rPr>
      <w:t>Kehnel</w:t>
    </w:r>
    <w:proofErr w:type="spellEnd"/>
    <w:r w:rsidRPr="004F1C11">
      <w:rPr>
        <w:rFonts w:ascii="Bradley Hand ITC" w:hAnsi="Bradley Hand ITC"/>
        <w:i/>
      </w:rPr>
      <w:t xml:space="preserve">, </w:t>
    </w:r>
    <w:proofErr w:type="spellStart"/>
    <w:r w:rsidRPr="004F1C11">
      <w:rPr>
        <w:rFonts w:ascii="Bradley Hand ITC" w:hAnsi="Bradley Hand ITC"/>
        <w:i/>
      </w:rPr>
      <w:t>Jr</w:t>
    </w:r>
    <w:proofErr w:type="spellEnd"/>
    <w:r w:rsidRPr="004F1C11">
      <w:rPr>
        <w:rFonts w:ascii="Bradley Hand ITC" w:hAnsi="Bradley Hand ITC"/>
        <w:i/>
      </w:rPr>
      <w:t xml:space="preserve">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B3FF4"/>
    <w:multiLevelType w:val="hybridMultilevel"/>
    <w:tmpl w:val="B1D60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9F4DAD"/>
    <w:multiLevelType w:val="hybridMultilevel"/>
    <w:tmpl w:val="59082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EA5697"/>
    <w:multiLevelType w:val="hybridMultilevel"/>
    <w:tmpl w:val="3DDC8DE2"/>
    <w:lvl w:ilvl="0" w:tplc="EF7CF9BC">
      <w:start w:val="1"/>
      <w:numFmt w:val="decimal"/>
      <w:lvlText w:val="%1."/>
      <w:lvlJc w:val="left"/>
      <w:pPr>
        <w:ind w:left="373" w:hanging="360"/>
      </w:pPr>
      <w:rPr>
        <w:rFonts w:hint="default"/>
        <w:b w:val="0"/>
        <w:sz w:val="24"/>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3">
    <w:nsid w:val="756B5DC0"/>
    <w:multiLevelType w:val="multilevel"/>
    <w:tmpl w:val="CE68F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c0NDAzNTQxMbMwNLVU0lEKTi0uzszPAykwrgUAhvYd/ywAAAA="/>
  </w:docVars>
  <w:rsids>
    <w:rsidRoot w:val="00BC4C87"/>
    <w:rsid w:val="00005041"/>
    <w:rsid w:val="00032CF1"/>
    <w:rsid w:val="0005449B"/>
    <w:rsid w:val="00066D0E"/>
    <w:rsid w:val="00081420"/>
    <w:rsid w:val="0008548C"/>
    <w:rsid w:val="000A25E6"/>
    <w:rsid w:val="000A7A21"/>
    <w:rsid w:val="000C1459"/>
    <w:rsid w:val="001177D2"/>
    <w:rsid w:val="00192219"/>
    <w:rsid w:val="001B743C"/>
    <w:rsid w:val="00222AAB"/>
    <w:rsid w:val="00224DAB"/>
    <w:rsid w:val="002468E9"/>
    <w:rsid w:val="00273D9E"/>
    <w:rsid w:val="002D4603"/>
    <w:rsid w:val="00312138"/>
    <w:rsid w:val="0031708A"/>
    <w:rsid w:val="00320905"/>
    <w:rsid w:val="003511D0"/>
    <w:rsid w:val="00375940"/>
    <w:rsid w:val="00380101"/>
    <w:rsid w:val="003D06C3"/>
    <w:rsid w:val="003E1106"/>
    <w:rsid w:val="0040286C"/>
    <w:rsid w:val="00417DA9"/>
    <w:rsid w:val="00457570"/>
    <w:rsid w:val="00471A54"/>
    <w:rsid w:val="00484579"/>
    <w:rsid w:val="00484B52"/>
    <w:rsid w:val="004A1A92"/>
    <w:rsid w:val="004A262C"/>
    <w:rsid w:val="004F1C11"/>
    <w:rsid w:val="004F58BB"/>
    <w:rsid w:val="005309A8"/>
    <w:rsid w:val="005716E9"/>
    <w:rsid w:val="0058742A"/>
    <w:rsid w:val="005D34EB"/>
    <w:rsid w:val="005D4BC8"/>
    <w:rsid w:val="0061660D"/>
    <w:rsid w:val="00632A30"/>
    <w:rsid w:val="00672F3A"/>
    <w:rsid w:val="006960EF"/>
    <w:rsid w:val="006A587F"/>
    <w:rsid w:val="006B487F"/>
    <w:rsid w:val="00707734"/>
    <w:rsid w:val="00790F0B"/>
    <w:rsid w:val="007D3B11"/>
    <w:rsid w:val="007F041B"/>
    <w:rsid w:val="008254B5"/>
    <w:rsid w:val="008335F0"/>
    <w:rsid w:val="008402A9"/>
    <w:rsid w:val="0084483B"/>
    <w:rsid w:val="00862681"/>
    <w:rsid w:val="00882C78"/>
    <w:rsid w:val="008962BD"/>
    <w:rsid w:val="008B3589"/>
    <w:rsid w:val="008C23D9"/>
    <w:rsid w:val="008E7B8E"/>
    <w:rsid w:val="008F5341"/>
    <w:rsid w:val="009505B9"/>
    <w:rsid w:val="00974A62"/>
    <w:rsid w:val="00975D54"/>
    <w:rsid w:val="009B4262"/>
    <w:rsid w:val="009C6B2A"/>
    <w:rsid w:val="00A40988"/>
    <w:rsid w:val="00A702FE"/>
    <w:rsid w:val="00A97BBB"/>
    <w:rsid w:val="00AA3F3A"/>
    <w:rsid w:val="00AB27A8"/>
    <w:rsid w:val="00AB5BD0"/>
    <w:rsid w:val="00AC6FC8"/>
    <w:rsid w:val="00AE73A7"/>
    <w:rsid w:val="00AE766B"/>
    <w:rsid w:val="00AF4379"/>
    <w:rsid w:val="00AF4BA6"/>
    <w:rsid w:val="00B03E47"/>
    <w:rsid w:val="00B07955"/>
    <w:rsid w:val="00B11F23"/>
    <w:rsid w:val="00B353E8"/>
    <w:rsid w:val="00BC4C87"/>
    <w:rsid w:val="00C25D7D"/>
    <w:rsid w:val="00C3087F"/>
    <w:rsid w:val="00C535C7"/>
    <w:rsid w:val="00C758A1"/>
    <w:rsid w:val="00C81084"/>
    <w:rsid w:val="00CB32DC"/>
    <w:rsid w:val="00CC3B0F"/>
    <w:rsid w:val="00CF167A"/>
    <w:rsid w:val="00D06E6D"/>
    <w:rsid w:val="00DA036B"/>
    <w:rsid w:val="00DB749D"/>
    <w:rsid w:val="00DC2C12"/>
    <w:rsid w:val="00DC37A1"/>
    <w:rsid w:val="00DD3B0A"/>
    <w:rsid w:val="00E17BC3"/>
    <w:rsid w:val="00E330ED"/>
    <w:rsid w:val="00E412CB"/>
    <w:rsid w:val="00E452C2"/>
    <w:rsid w:val="00E579DC"/>
    <w:rsid w:val="00EC13A9"/>
    <w:rsid w:val="00EC2A5D"/>
    <w:rsid w:val="00ED14B8"/>
    <w:rsid w:val="00ED6961"/>
    <w:rsid w:val="00ED7803"/>
    <w:rsid w:val="00EF2DA6"/>
    <w:rsid w:val="00F01403"/>
    <w:rsid w:val="00F11E30"/>
    <w:rsid w:val="00F17CEC"/>
    <w:rsid w:val="00F2400F"/>
    <w:rsid w:val="00F7717A"/>
    <w:rsid w:val="00FC243E"/>
    <w:rsid w:val="00FD19EE"/>
    <w:rsid w:val="00FD4552"/>
    <w:rsid w:val="00FE24AC"/>
    <w:rsid w:val="00FE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AACDC1-3A17-4F9C-924B-AA6861B2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57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4C87"/>
    <w:pPr>
      <w:spacing w:after="0" w:line="240" w:lineRule="auto"/>
    </w:pPr>
  </w:style>
  <w:style w:type="paragraph" w:styleId="ListParagraph">
    <w:name w:val="List Paragraph"/>
    <w:basedOn w:val="Normal"/>
    <w:uiPriority w:val="34"/>
    <w:qFormat/>
    <w:rsid w:val="00457570"/>
    <w:pPr>
      <w:ind w:left="720"/>
      <w:contextualSpacing/>
    </w:pPr>
  </w:style>
  <w:style w:type="character" w:styleId="Hyperlink">
    <w:name w:val="Hyperlink"/>
    <w:basedOn w:val="DefaultParagraphFont"/>
    <w:uiPriority w:val="99"/>
    <w:unhideWhenUsed/>
    <w:rsid w:val="00380101"/>
    <w:rPr>
      <w:color w:val="0563C1" w:themeColor="hyperlink"/>
      <w:u w:val="single"/>
    </w:rPr>
  </w:style>
  <w:style w:type="paragraph" w:styleId="Bibliography">
    <w:name w:val="Bibliography"/>
    <w:basedOn w:val="Normal"/>
    <w:next w:val="Normal"/>
    <w:uiPriority w:val="37"/>
    <w:unhideWhenUsed/>
    <w:rsid w:val="00ED14B8"/>
    <w:pPr>
      <w:spacing w:after="0" w:line="480" w:lineRule="auto"/>
      <w:ind w:left="720" w:hanging="720"/>
    </w:pPr>
  </w:style>
  <w:style w:type="paragraph" w:styleId="Caption">
    <w:name w:val="caption"/>
    <w:basedOn w:val="Normal"/>
    <w:next w:val="Normal"/>
    <w:uiPriority w:val="35"/>
    <w:unhideWhenUsed/>
    <w:qFormat/>
    <w:rsid w:val="00320905"/>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F1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C11"/>
  </w:style>
  <w:style w:type="paragraph" w:styleId="Footer">
    <w:name w:val="footer"/>
    <w:basedOn w:val="Normal"/>
    <w:link w:val="FooterChar"/>
    <w:uiPriority w:val="99"/>
    <w:unhideWhenUsed/>
    <w:rsid w:val="004F1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C11"/>
  </w:style>
  <w:style w:type="table" w:styleId="TableGrid">
    <w:name w:val="Table Grid"/>
    <w:basedOn w:val="TableNormal"/>
    <w:uiPriority w:val="39"/>
    <w:rsid w:val="000A25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24DAB"/>
    <w:rPr>
      <w:b/>
      <w:bCs/>
    </w:rPr>
  </w:style>
  <w:style w:type="paragraph" w:styleId="NormalWeb">
    <w:name w:val="Normal (Web)"/>
    <w:basedOn w:val="Normal"/>
    <w:uiPriority w:val="99"/>
    <w:semiHidden/>
    <w:unhideWhenUsed/>
    <w:rsid w:val="00E579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92362">
      <w:bodyDiv w:val="1"/>
      <w:marLeft w:val="0"/>
      <w:marRight w:val="0"/>
      <w:marTop w:val="0"/>
      <w:marBottom w:val="0"/>
      <w:divBdr>
        <w:top w:val="none" w:sz="0" w:space="0" w:color="auto"/>
        <w:left w:val="none" w:sz="0" w:space="0" w:color="auto"/>
        <w:bottom w:val="none" w:sz="0" w:space="0" w:color="auto"/>
        <w:right w:val="none" w:sz="0" w:space="0" w:color="auto"/>
      </w:divBdr>
      <w:divsChild>
        <w:div w:id="1127893454">
          <w:marLeft w:val="0"/>
          <w:marRight w:val="0"/>
          <w:marTop w:val="0"/>
          <w:marBottom w:val="0"/>
          <w:divBdr>
            <w:top w:val="none" w:sz="0" w:space="0" w:color="auto"/>
            <w:left w:val="none" w:sz="0" w:space="0" w:color="auto"/>
            <w:bottom w:val="none" w:sz="0" w:space="0" w:color="auto"/>
            <w:right w:val="none" w:sz="0" w:space="0" w:color="auto"/>
          </w:divBdr>
        </w:div>
      </w:divsChild>
    </w:div>
    <w:div w:id="183475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ekehnel@ciu.edu.lr" TargetMode="External"/><Relationship Id="rId5" Type="http://schemas.openxmlformats.org/officeDocument/2006/relationships/webSettings" Target="webSettings.xml"/><Relationship Id="rId10" Type="http://schemas.openxmlformats.org/officeDocument/2006/relationships/hyperlink" Target="mailto:tkkollie@ciu.edu.l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54F9A-ED13-4DA3-8963-33ADAA610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12</Pages>
  <Words>10628</Words>
  <Characters>60584</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107</cp:revision>
  <dcterms:created xsi:type="dcterms:W3CDTF">2026-06-23T09:13:00Z</dcterms:created>
  <dcterms:modified xsi:type="dcterms:W3CDTF">2026-06-30T00:08:00Z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08178b84-ef92-4b33-b8b3-e3acc417f19e</vt:lpwstr>
  </property>
  <property fmtid="{D5CDD505-2E9C-101B-9397-08002B2CF9AE}" pid="3" name="ZOTERO_PREF_1">
    <vt:lpwstr>&lt;data data-version="3" zotero-version="9.0.5"&gt;&lt;session id="n3zwaWQt"/&gt;&lt;style id="http://www.zotero.org/styles/apa" locale="en-US" hasBibliography="1" bibliographyStyleHasBeenSet="1"/&gt;&lt;prefs&gt;&lt;pref name="fieldType" value="Field"/&gt;&lt;pref name="automaticJourna</vt:lpwstr>
  </property>
  <property fmtid="{D5CDD505-2E9C-101B-9397-08002B2CF9AE}" pid="4" name="ZOTERO_PREF_2">
    <vt:lpwstr>lAbbreviations" value="true"/&gt;&lt;/prefs&gt;&lt;/data&gt;</vt:lpwstr>
  </property>
</Properties>
</file>