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B2EA31" w14:textId="32C011AA" w:rsidR="00BA5A85" w:rsidRPr="00BA5A85" w:rsidRDefault="00BA5A85" w:rsidP="00013268">
      <w:pPr>
        <w:spacing w:line="480" w:lineRule="auto"/>
        <w:jc w:val="both"/>
        <w:rPr>
          <w:rFonts w:cs="Times New Roman"/>
          <w:b/>
          <w:bCs/>
          <w:szCs w:val="24"/>
        </w:rPr>
      </w:pPr>
      <w:r w:rsidRPr="00BA5A85">
        <w:rPr>
          <w:rFonts w:cs="Times New Roman"/>
          <w:b/>
          <w:bCs/>
          <w:szCs w:val="24"/>
          <w:lang w:val="en-US"/>
        </w:rPr>
        <w:t>Title:</w:t>
      </w:r>
      <w:bookmarkStart w:id="0" w:name="_Hlk181792417"/>
      <w:r w:rsidRPr="00BA5A85">
        <w:rPr>
          <w:rFonts w:cs="Times New Roman"/>
          <w:b/>
          <w:bCs/>
          <w:szCs w:val="24"/>
          <w:lang w:val="en-US"/>
        </w:rPr>
        <w:t xml:space="preserve"> </w:t>
      </w:r>
      <w:r w:rsidRPr="00BA5A85">
        <w:rPr>
          <w:rFonts w:cs="Times New Roman"/>
          <w:b/>
          <w:bCs/>
          <w:szCs w:val="24"/>
        </w:rPr>
        <w:t>Chloroquine represses Dalton’s Lymphoma cell growth in vitro</w:t>
      </w:r>
      <w:r w:rsidR="007255B5">
        <w:rPr>
          <w:rFonts w:cs="Times New Roman"/>
          <w:b/>
          <w:bCs/>
          <w:szCs w:val="24"/>
        </w:rPr>
        <w:t xml:space="preserve"> and in vivo</w:t>
      </w:r>
      <w:r w:rsidRPr="00BA5A85">
        <w:rPr>
          <w:rFonts w:cs="Times New Roman"/>
          <w:b/>
          <w:bCs/>
          <w:szCs w:val="24"/>
        </w:rPr>
        <w:t xml:space="preserve"> by inducing</w:t>
      </w:r>
      <w:bookmarkEnd w:id="0"/>
      <w:r w:rsidRPr="00BA5A85">
        <w:rPr>
          <w:rFonts w:cs="Times New Roman"/>
          <w:b/>
          <w:bCs/>
          <w:szCs w:val="24"/>
        </w:rPr>
        <w:t xml:space="preserve"> </w:t>
      </w:r>
      <w:r w:rsidR="00370C0D" w:rsidRPr="00BA5A85">
        <w:rPr>
          <w:rFonts w:cs="Times New Roman"/>
          <w:b/>
          <w:bCs/>
          <w:szCs w:val="24"/>
        </w:rPr>
        <w:t>mitochondrial-mediated apoptosis</w:t>
      </w:r>
      <w:r w:rsidR="00370C0D">
        <w:rPr>
          <w:rFonts w:cs="Times New Roman"/>
          <w:b/>
          <w:bCs/>
          <w:szCs w:val="24"/>
        </w:rPr>
        <w:t xml:space="preserve"> and </w:t>
      </w:r>
      <w:r w:rsidR="007255B5">
        <w:rPr>
          <w:rFonts w:cs="Times New Roman"/>
          <w:b/>
          <w:bCs/>
          <w:szCs w:val="24"/>
        </w:rPr>
        <w:t xml:space="preserve">G2/M phase cell cycle arrest </w:t>
      </w:r>
    </w:p>
    <w:p w14:paraId="5396213C" w14:textId="11F6BF2C" w:rsidR="00E6595C" w:rsidRPr="00F26380" w:rsidRDefault="00E6595C" w:rsidP="00E6595C">
      <w:pPr>
        <w:spacing w:line="480" w:lineRule="auto"/>
        <w:jc w:val="both"/>
        <w:rPr>
          <w:rFonts w:cs="Times New Roman"/>
          <w:b/>
          <w:bCs/>
          <w:szCs w:val="24"/>
        </w:rPr>
      </w:pPr>
      <w:r w:rsidRPr="00F26380">
        <w:rPr>
          <w:rFonts w:cs="Times New Roman"/>
          <w:b/>
          <w:bCs/>
          <w:szCs w:val="24"/>
        </w:rPr>
        <w:t/>
      </w:r>
      <w:r w:rsidRPr="00F26380">
        <w:rPr>
          <w:rFonts w:cs="Times New Roman"/>
          <w:b/>
          <w:bCs/>
          <w:szCs w:val="24"/>
          <w:vertAlign w:val="superscript"/>
        </w:rPr>
        <w:t/>
      </w:r>
      <w:r w:rsidRPr="00F26380">
        <w:rPr>
          <w:rFonts w:cs="Times New Roman"/>
          <w:szCs w:val="24"/>
        </w:rPr>
        <w:t/>
      </w:r>
      <w:r w:rsidRPr="00F26380">
        <w:rPr>
          <w:rFonts w:cs="Times New Roman"/>
          <w:szCs w:val="24"/>
          <w:vertAlign w:val="superscript"/>
        </w:rPr>
        <w:t/>
      </w:r>
      <w:r w:rsidRPr="00F26380">
        <w:rPr>
          <w:rFonts w:cs="Times New Roman"/>
          <w:szCs w:val="24"/>
        </w:rPr>
        <w:t/>
      </w:r>
      <w:r w:rsidR="0018054C">
        <w:rPr>
          <w:rFonts w:cs="Times New Roman"/>
          <w:szCs w:val="24"/>
        </w:rPr>
        <w:t xml:space="preserve"/>
      </w:r>
      <w:r w:rsidR="0018054C" w:rsidRPr="00F26380">
        <w:rPr>
          <w:rFonts w:cs="Times New Roman"/>
          <w:szCs w:val="24"/>
        </w:rPr>
        <w:t/>
      </w:r>
      <w:r w:rsidR="0018054C">
        <w:rPr>
          <w:rFonts w:cs="Times New Roman"/>
          <w:szCs w:val="24"/>
          <w:vertAlign w:val="superscript"/>
        </w:rPr>
        <w:t/>
      </w:r>
      <w:r w:rsidR="0018054C" w:rsidRPr="0018054C">
        <w:rPr>
          <w:rFonts w:cs="Times New Roman"/>
          <w:szCs w:val="24"/>
        </w:rPr>
        <w:t/>
      </w:r>
      <w:r w:rsidRPr="0018054C">
        <w:rPr>
          <w:rFonts w:cs="Times New Roman"/>
          <w:szCs w:val="24"/>
        </w:rPr>
        <w:t xml:space="preserve"/>
      </w:r>
      <w:r w:rsidRPr="00F26380">
        <w:rPr>
          <w:rFonts w:cs="Times New Roman"/>
          <w:szCs w:val="24"/>
        </w:rPr>
        <w:t/>
      </w:r>
      <w:r w:rsidRPr="00F26380">
        <w:rPr>
          <w:rFonts w:cs="Times New Roman"/>
          <w:szCs w:val="24"/>
          <w:vertAlign w:val="superscript"/>
        </w:rPr>
        <w:t/>
      </w:r>
      <w:r w:rsidRPr="00F26380">
        <w:rPr>
          <w:rFonts w:cs="Times New Roman"/>
          <w:szCs w:val="24"/>
        </w:rPr>
        <w:t/>
      </w:r>
      <w:r>
        <w:rPr>
          <w:rFonts w:cs="Times New Roman"/>
          <w:szCs w:val="24"/>
          <w:vertAlign w:val="superscript"/>
        </w:rPr>
        <w:t/>
      </w:r>
      <w:r w:rsidRPr="00370C0D">
        <w:rPr>
          <w:rFonts w:cs="Times New Roman"/>
          <w:szCs w:val="24"/>
        </w:rPr>
        <w:t/>
      </w:r>
      <w:r w:rsidRPr="00F26380">
        <w:rPr>
          <w:rFonts w:cs="Times New Roman"/>
          <w:szCs w:val="24"/>
        </w:rPr>
        <w:t xml:space="preserve"/>
      </w:r>
    </w:p>
    <w:p w14:paraId="212109B6" w14:textId="77777777" w:rsidR="00BF5190" w:rsidRPr="00BF5190" w:rsidRDefault="00E6595C" w:rsidP="00BF5190">
      <w:pPr>
        <w:pStyle w:val="ListParagraph"/>
        <w:numPr>
          <w:ilvl w:val="0"/>
          <w:numId w:val="5"/>
        </w:numPr>
        <w:spacing w:after="0" w:line="480" w:lineRule="auto"/>
        <w:jc w:val="both"/>
        <w:rPr>
          <w:rFonts w:cs="Times New Roman"/>
          <w:szCs w:val="24"/>
          <w:lang w:val="ru-RU"/>
        </w:rPr>
      </w:pPr>
      <w:r w:rsidRPr="00F26380">
        <w:rPr>
          <w:rFonts w:cs="Times New Roman"/>
          <w:szCs w:val="24"/>
        </w:rPr>
        <w:t/>
      </w:r>
    </w:p>
    <w:p w14:paraId="14233096" w14:textId="0B7E4497" w:rsidR="00BF5190" w:rsidRPr="00BF5190" w:rsidRDefault="00BF5190" w:rsidP="00BF5190">
      <w:pPr>
        <w:pStyle w:val="ListParagraph"/>
        <w:numPr>
          <w:ilvl w:val="0"/>
          <w:numId w:val="5"/>
        </w:numPr>
        <w:spacing w:after="0" w:line="480" w:lineRule="auto"/>
        <w:jc w:val="both"/>
        <w:rPr>
          <w:rFonts w:cs="Times New Roman"/>
          <w:szCs w:val="24"/>
          <w:lang w:val="ru-RU"/>
        </w:rPr>
      </w:pPr>
      <w:r w:rsidRPr="00BD02D3">
        <w:t xml:space="preserve"/>
      </w:r>
      <w:proofErr w:type="spellStart"/>
      <w:r w:rsidRPr="00BD02D3">
        <w:t/>
      </w:r>
      <w:proofErr w:type="spellEnd"/>
      <w:r w:rsidRPr="00BD02D3">
        <w:t xml:space="preserve"/>
      </w:r>
      <w:proofErr w:type="spellStart"/>
      <w:r w:rsidRPr="00BD02D3">
        <w:t/>
      </w:r>
      <w:proofErr w:type="spellEnd"/>
      <w:r w:rsidRPr="00BD02D3">
        <w:t xml:space="preserve"/>
      </w:r>
    </w:p>
    <w:p w14:paraId="66187E31" w14:textId="15972FD1" w:rsidR="00E6595C" w:rsidRDefault="00E6595C" w:rsidP="00E6595C">
      <w:pPr>
        <w:spacing w:line="480" w:lineRule="auto"/>
        <w:jc w:val="both"/>
        <w:rPr>
          <w:rFonts w:cs="Times New Roman"/>
          <w:szCs w:val="24"/>
        </w:rPr>
      </w:pPr>
      <w:r w:rsidRPr="00F26380">
        <w:rPr>
          <w:rFonts w:cs="Times New Roman"/>
          <w:szCs w:val="24"/>
        </w:rPr>
        <w:t xml:space="preserve"/>
      </w:r>
      <w:r w:rsidRPr="00F26380">
        <w:rPr>
          <w:rFonts w:cs="Times New Roman"/>
          <w:color w:val="002060"/>
          <w:szCs w:val="24"/>
          <w:u w:val="single"/>
        </w:rPr>
        <w:t/>
      </w:r>
      <w:r w:rsidRPr="00F26380">
        <w:rPr>
          <w:rFonts w:cs="Times New Roman"/>
          <w:color w:val="002060"/>
          <w:szCs w:val="24"/>
        </w:rPr>
        <w:t xml:space="preserve"/>
      </w:r>
      <w:r w:rsidRPr="00F26380">
        <w:rPr>
          <w:rFonts w:cs="Times New Roman"/>
          <w:szCs w:val="24"/>
        </w:rPr>
        <w:t/>
      </w:r>
    </w:p>
    <w:p w14:paraId="78BD370B" w14:textId="77777777" w:rsidR="00777FE5" w:rsidRDefault="00777FE5" w:rsidP="00E6595C">
      <w:pPr>
        <w:spacing w:line="480" w:lineRule="auto"/>
        <w:jc w:val="both"/>
        <w:rPr>
          <w:rFonts w:cs="Times New Roman"/>
          <w:szCs w:val="24"/>
        </w:rPr>
      </w:pPr>
    </w:p>
    <w:p w14:paraId="21478985" w14:textId="77777777" w:rsidR="00777FE5" w:rsidRDefault="00777FE5" w:rsidP="00E6595C">
      <w:pPr>
        <w:spacing w:line="480" w:lineRule="auto"/>
        <w:jc w:val="both"/>
        <w:rPr>
          <w:rFonts w:cs="Times New Roman"/>
          <w:szCs w:val="24"/>
        </w:rPr>
      </w:pPr>
    </w:p>
    <w:p w14:paraId="79F2C09C" w14:textId="77777777" w:rsidR="00777FE5" w:rsidRDefault="00777FE5" w:rsidP="00E6595C">
      <w:pPr>
        <w:spacing w:line="480" w:lineRule="auto"/>
        <w:jc w:val="both"/>
        <w:rPr>
          <w:rFonts w:cs="Times New Roman"/>
          <w:szCs w:val="24"/>
        </w:rPr>
      </w:pPr>
    </w:p>
    <w:p w14:paraId="11B988AF" w14:textId="77777777" w:rsidR="00777FE5" w:rsidRDefault="00777FE5" w:rsidP="00E6595C">
      <w:pPr>
        <w:spacing w:line="480" w:lineRule="auto"/>
        <w:jc w:val="both"/>
        <w:rPr>
          <w:rFonts w:cs="Times New Roman"/>
          <w:szCs w:val="24"/>
        </w:rPr>
      </w:pPr>
    </w:p>
    <w:p w14:paraId="1CE494D8" w14:textId="77777777" w:rsidR="00777FE5" w:rsidRDefault="00777FE5" w:rsidP="00E6595C">
      <w:pPr>
        <w:spacing w:line="480" w:lineRule="auto"/>
        <w:jc w:val="both"/>
        <w:rPr>
          <w:rFonts w:cs="Times New Roman"/>
          <w:szCs w:val="24"/>
        </w:rPr>
      </w:pPr>
    </w:p>
    <w:p w14:paraId="093126D0" w14:textId="77777777" w:rsidR="00777FE5" w:rsidRDefault="00777FE5" w:rsidP="00E6595C">
      <w:pPr>
        <w:spacing w:line="480" w:lineRule="auto"/>
        <w:jc w:val="both"/>
        <w:rPr>
          <w:rFonts w:cs="Times New Roman"/>
          <w:szCs w:val="24"/>
        </w:rPr>
      </w:pPr>
    </w:p>
    <w:p w14:paraId="5710B210" w14:textId="77777777" w:rsidR="00777FE5" w:rsidRDefault="00777FE5" w:rsidP="00E6595C">
      <w:pPr>
        <w:spacing w:line="480" w:lineRule="auto"/>
        <w:jc w:val="both"/>
        <w:rPr>
          <w:rFonts w:cs="Times New Roman"/>
          <w:szCs w:val="24"/>
        </w:rPr>
      </w:pPr>
    </w:p>
    <w:p w14:paraId="330DA0A1" w14:textId="77777777" w:rsidR="00777FE5" w:rsidRDefault="00777FE5" w:rsidP="00E6595C">
      <w:pPr>
        <w:spacing w:line="480" w:lineRule="auto"/>
        <w:jc w:val="both"/>
        <w:rPr>
          <w:rFonts w:cs="Times New Roman"/>
          <w:szCs w:val="24"/>
        </w:rPr>
      </w:pPr>
    </w:p>
    <w:p w14:paraId="7A45D0DF" w14:textId="77777777" w:rsidR="00777FE5" w:rsidRDefault="00777FE5" w:rsidP="00E6595C">
      <w:pPr>
        <w:spacing w:line="480" w:lineRule="auto"/>
        <w:jc w:val="both"/>
        <w:rPr>
          <w:rFonts w:cs="Times New Roman"/>
          <w:szCs w:val="24"/>
        </w:rPr>
      </w:pPr>
    </w:p>
    <w:p w14:paraId="18E33FED" w14:textId="77777777" w:rsidR="00777FE5" w:rsidRDefault="00777FE5" w:rsidP="00013268">
      <w:pPr>
        <w:pStyle w:val="NormalWeb"/>
        <w:spacing w:line="480" w:lineRule="auto"/>
        <w:jc w:val="both"/>
      </w:pPr>
    </w:p>
    <w:p w14:paraId="5CEE4E3E" w14:textId="77777777" w:rsidR="00777FE5" w:rsidRDefault="00777FE5" w:rsidP="00013268">
      <w:pPr>
        <w:pStyle w:val="NormalWeb"/>
        <w:spacing w:line="480" w:lineRule="auto"/>
        <w:jc w:val="both"/>
      </w:pPr>
    </w:p>
    <w:p w14:paraId="08C75214" w14:textId="77777777" w:rsidR="00777FE5" w:rsidRPr="00794143" w:rsidRDefault="00777FE5" w:rsidP="00777FE5">
      <w:pPr>
        <w:tabs>
          <w:tab w:val="left" w:pos="4395"/>
        </w:tabs>
        <w:spacing w:line="276" w:lineRule="auto"/>
        <w:jc w:val="both"/>
        <w:rPr>
          <w:rFonts w:cs="Times New Roman"/>
          <w:b/>
          <w:color w:val="2C2D2E"/>
          <w:sz w:val="28"/>
          <w:szCs w:val="28"/>
          <w:shd w:val="clear" w:color="auto" w:fill="FFFFFF"/>
          <w:lang w:val="en-US"/>
        </w:rPr>
      </w:pPr>
      <w:r w:rsidRPr="00794143">
        <w:rPr>
          <w:rFonts w:cs="Times New Roman"/>
          <w:b/>
          <w:color w:val="2C2D2E"/>
          <w:sz w:val="28"/>
          <w:szCs w:val="28"/>
          <w:shd w:val="clear" w:color="auto" w:fill="FFFFFF"/>
          <w:lang w:val="en-US"/>
        </w:rPr>
        <w:lastRenderedPageBreak/>
        <w:t>Abstract</w:t>
      </w:r>
    </w:p>
    <w:p w14:paraId="79142796" w14:textId="61190BB6" w:rsidR="00BA5A85" w:rsidRDefault="00BA5A85" w:rsidP="00013268">
      <w:pPr>
        <w:pStyle w:val="NormalWeb"/>
        <w:spacing w:line="480" w:lineRule="auto"/>
        <w:jc w:val="both"/>
      </w:pPr>
      <w:r w:rsidRPr="00BA5A85">
        <w:t>Chloroquine, a well-established antimalarial drug, has emerged as a promising anticancer agent. There is evidence that chloroquine is used as an anticancer drug in various cancer cell lines and as an immunomodulator for cancer therapy. Still, its role as an anticancer agent against Dalton’s lymphoma is unclear. The present investigation aims to examine the anticancer potential of Chloroquine against Dalton’s lymphoma cells in vitro</w:t>
      </w:r>
      <w:r w:rsidR="00037F82">
        <w:t xml:space="preserve"> and in vivo</w:t>
      </w:r>
      <w:r w:rsidRPr="00BA5A85">
        <w:t>, specifically focusing on its ability to induce apoptosis and disrupt key cellular processes that are critical for cancer cell survival. We evaluated various concentrations of Chloroquine on DL to assess the cell viability, mitochondrial health, and the activation of apoptotic pathways. The result showed that Chloroquine significantly reduced DL cell viability in a dose-dependent manner with an IC-50 value of 1</w:t>
      </w:r>
      <w:r w:rsidR="00037F82">
        <w:t>2.</w:t>
      </w:r>
      <w:r w:rsidR="001F43B3">
        <w:t>67</w:t>
      </w:r>
      <w:r w:rsidR="00037F82">
        <w:t xml:space="preserve"> ± 0.</w:t>
      </w:r>
      <w:r w:rsidR="001F43B3">
        <w:t>688</w:t>
      </w:r>
      <w:r w:rsidRPr="00BA5A85">
        <w:t xml:space="preserve"> µM. Importantly, there was no effect of CQ on normal thymocytes at this dose. Chloroquine treatment induced apoptosis, confirmed by nuclear staining (DAPI, AO/EtBr), and Annexin V/PI staining analyzed via microscopy and flow cytometry, respectively. The treatment also caused a rise in intracellular reactive oxygen species (ROS), leading to oxidative stress and mitochondrial dysfunction, as indicated by JC-1 staining and a decrease in mitochondrial membrane potential. Chloroquine induces cell cycle arrest in the G2/M phase, as observed through flow cytometry. Further, Western blot revealed that CQ treatment upregulated key apoptotic proteins (Bax, caspase 3, and Cyt-c) while downregulating anti-apoptotic protein Bcl-2. </w:t>
      </w:r>
      <w:r w:rsidR="00037F82">
        <w:t xml:space="preserve">In vivo findings indicate the repression of tumor growth by hematological parameters, body weight, and abdominal circumference. </w:t>
      </w:r>
      <w:r w:rsidRPr="00BA5A85">
        <w:t xml:space="preserve">These findings collectively suggest that chloroquine holds promise as an anticancer agent capable of targeting multiple cellular pathways involved in apoptosis and cell cycle regulation in Dalton's lymphoma. </w:t>
      </w:r>
    </w:p>
    <w:p w14:paraId="1D3BF9C7" w14:textId="590CBF41" w:rsidR="00013268" w:rsidRPr="00530DAD" w:rsidRDefault="00BA5A85" w:rsidP="00013268">
      <w:pPr>
        <w:pStyle w:val="NormalWeb"/>
        <w:spacing w:line="480" w:lineRule="auto"/>
        <w:jc w:val="both"/>
        <w:rPr>
          <w:i/>
          <w:iCs/>
        </w:rPr>
      </w:pPr>
      <w:r w:rsidRPr="00BA5A85">
        <w:rPr>
          <w:b/>
          <w:bCs/>
          <w:i/>
          <w:iCs/>
        </w:rPr>
        <w:t>Keywords:</w:t>
      </w:r>
      <w:r w:rsidRPr="00BA5A85">
        <w:rPr>
          <w:i/>
          <w:iCs/>
        </w:rPr>
        <w:t xml:space="preserve"> Dalton’s lymphoma, Chloroquine, Apoptosis, Reactive oxygen species, Mitochondrial membrane potential.</w:t>
      </w:r>
    </w:p>
    <w:p w14:paraId="5A89ABF7" w14:textId="246A3EC4" w:rsidR="00FC7514" w:rsidRPr="00BA5A85" w:rsidRDefault="00EA106C" w:rsidP="00013268">
      <w:pPr>
        <w:spacing w:line="480" w:lineRule="auto"/>
        <w:rPr>
          <w:rFonts w:cs="Times New Roman"/>
          <w:b/>
          <w:bCs/>
          <w:szCs w:val="24"/>
        </w:rPr>
      </w:pPr>
      <w:r w:rsidRPr="00BA5A85">
        <w:rPr>
          <w:rFonts w:cs="Times New Roman"/>
          <w:b/>
          <w:bCs/>
          <w:szCs w:val="24"/>
        </w:rPr>
        <w:lastRenderedPageBreak/>
        <w:t>Introduction</w:t>
      </w:r>
    </w:p>
    <w:p w14:paraId="79E5DB44" w14:textId="0C489F80" w:rsidR="0043313A" w:rsidRPr="00BA5A85" w:rsidRDefault="0024554B" w:rsidP="00013268">
      <w:pPr>
        <w:spacing w:line="480" w:lineRule="auto"/>
        <w:jc w:val="both"/>
        <w:rPr>
          <w:rFonts w:cs="Times New Roman"/>
          <w:szCs w:val="24"/>
        </w:rPr>
      </w:pPr>
      <w:r w:rsidRPr="00BA5A85">
        <w:rPr>
          <w:rFonts w:cs="Times New Roman"/>
          <w:szCs w:val="24"/>
        </w:rPr>
        <w:t xml:space="preserve">Cancer is a group of diseases in which cells grow abnormally and uncontrollably in any part of the body. </w:t>
      </w:r>
      <w:r w:rsidR="00EA106C" w:rsidRPr="00BA5A85">
        <w:rPr>
          <w:rFonts w:cs="Times New Roman"/>
          <w:szCs w:val="24"/>
        </w:rPr>
        <w:t xml:space="preserve">As of right now, cancer continues to be the primary cause of mortality globally and the leading cause of significant harm to human life and health [1]. </w:t>
      </w:r>
      <w:r w:rsidR="00A60ACD" w:rsidRPr="00BA5A85">
        <w:rPr>
          <w:rFonts w:cs="Times New Roman"/>
          <w:szCs w:val="24"/>
        </w:rPr>
        <w:t xml:space="preserve">According to </w:t>
      </w:r>
      <w:r w:rsidR="00BA5A85">
        <w:rPr>
          <w:rFonts w:cs="Times New Roman"/>
          <w:szCs w:val="24"/>
        </w:rPr>
        <w:t xml:space="preserve">GLOBOCON, </w:t>
      </w:r>
      <w:r w:rsidR="00A60ACD" w:rsidRPr="00BA5A85">
        <w:rPr>
          <w:rFonts w:cs="Times New Roman"/>
          <w:szCs w:val="24"/>
        </w:rPr>
        <w:t xml:space="preserve">cancer was responsible for approximately </w:t>
      </w:r>
      <w:r w:rsidR="00BA5A85">
        <w:rPr>
          <w:rFonts w:cs="Times New Roman"/>
          <w:szCs w:val="24"/>
        </w:rPr>
        <w:t xml:space="preserve">9.8 </w:t>
      </w:r>
      <w:r w:rsidR="00A60ACD" w:rsidRPr="00BA5A85">
        <w:rPr>
          <w:rFonts w:cs="Times New Roman"/>
          <w:szCs w:val="24"/>
        </w:rPr>
        <w:t>million deaths in 202</w:t>
      </w:r>
      <w:r w:rsidR="00BA5A85">
        <w:rPr>
          <w:rFonts w:cs="Times New Roman"/>
          <w:szCs w:val="24"/>
        </w:rPr>
        <w:t>2</w:t>
      </w:r>
      <w:r w:rsidR="00257C11" w:rsidRPr="00BA5A85">
        <w:rPr>
          <w:rFonts w:cs="Times New Roman"/>
          <w:szCs w:val="24"/>
        </w:rPr>
        <w:t xml:space="preserve">, </w:t>
      </w:r>
      <w:r w:rsidR="00A60ACD" w:rsidRPr="00BA5A85">
        <w:rPr>
          <w:rFonts w:cs="Times New Roman"/>
          <w:szCs w:val="24"/>
        </w:rPr>
        <w:t>accounting for nearly one in six deaths worldwide</w:t>
      </w:r>
      <w:r w:rsidR="00257C11" w:rsidRPr="00BA5A85">
        <w:rPr>
          <w:rFonts w:cs="Times New Roman"/>
          <w:szCs w:val="24"/>
        </w:rPr>
        <w:t xml:space="preserve">. With an estimated </w:t>
      </w:r>
      <w:r w:rsidR="00BA5A85">
        <w:rPr>
          <w:rFonts w:cs="Times New Roman"/>
          <w:szCs w:val="24"/>
        </w:rPr>
        <w:t>20</w:t>
      </w:r>
      <w:r w:rsidR="00257C11" w:rsidRPr="00BA5A85">
        <w:rPr>
          <w:rFonts w:cs="Times New Roman"/>
          <w:szCs w:val="24"/>
        </w:rPr>
        <w:t xml:space="preserve"> million new cases identified, the incidence of cancer has been rising significantly</w:t>
      </w:r>
      <w:r w:rsidR="00417760" w:rsidRPr="00BA5A85">
        <w:rPr>
          <w:rFonts w:cs="Times New Roman"/>
          <w:szCs w:val="24"/>
        </w:rPr>
        <w:t xml:space="preserve"> [2]</w:t>
      </w:r>
      <w:r w:rsidR="00257C11" w:rsidRPr="00BA5A85">
        <w:rPr>
          <w:rFonts w:cs="Times New Roman"/>
          <w:szCs w:val="24"/>
        </w:rPr>
        <w:t>.</w:t>
      </w:r>
      <w:r w:rsidR="00A60ACD" w:rsidRPr="00BA5A85">
        <w:rPr>
          <w:rFonts w:cs="Times New Roman"/>
          <w:szCs w:val="24"/>
        </w:rPr>
        <w:t xml:space="preserve"> </w:t>
      </w:r>
      <w:r w:rsidR="009832DB" w:rsidRPr="00BA5A85">
        <w:rPr>
          <w:rFonts w:cs="Times New Roman"/>
          <w:szCs w:val="24"/>
        </w:rPr>
        <w:t>The rising incidence of cancer is primarily driven by factors such as</w:t>
      </w:r>
      <w:r w:rsidR="00784465" w:rsidRPr="00BA5A85">
        <w:rPr>
          <w:rFonts w:cs="Times New Roman"/>
          <w:szCs w:val="24"/>
        </w:rPr>
        <w:t xml:space="preserve"> changing lifestyles, aging populations, and environmental exposures [3]. The fact that new strategies are being investigated to get around these obstacles is indicative of the ongoing evolution of advances in cancer research and therapy</w:t>
      </w:r>
      <w:r w:rsidR="002C2B7B" w:rsidRPr="00BA5A85">
        <w:rPr>
          <w:rFonts w:cs="Times New Roman"/>
          <w:szCs w:val="24"/>
        </w:rPr>
        <w:t xml:space="preserve"> [4]</w:t>
      </w:r>
      <w:r w:rsidR="00784465" w:rsidRPr="00BA5A85">
        <w:rPr>
          <w:rFonts w:cs="Times New Roman"/>
          <w:szCs w:val="24"/>
        </w:rPr>
        <w:t>.</w:t>
      </w:r>
      <w:r w:rsidR="002C2B7B" w:rsidRPr="00BA5A85">
        <w:rPr>
          <w:rFonts w:cs="Times New Roman"/>
          <w:szCs w:val="24"/>
        </w:rPr>
        <w:t xml:space="preserve"> </w:t>
      </w:r>
      <w:r w:rsidR="00905742" w:rsidRPr="00BA5A85">
        <w:rPr>
          <w:rFonts w:cs="Times New Roman"/>
          <w:szCs w:val="24"/>
        </w:rPr>
        <w:t>There are many cancer therapies available, but chemotherapy is the most often used due to its higher survival rate than the others [5].</w:t>
      </w:r>
      <w:r w:rsidR="00A60ACD" w:rsidRPr="00BA5A85">
        <w:rPr>
          <w:rFonts w:cs="Times New Roman"/>
          <w:szCs w:val="24"/>
        </w:rPr>
        <w:t xml:space="preserve"> Chemotherap</w:t>
      </w:r>
      <w:r w:rsidR="00300D84" w:rsidRPr="00BA5A85">
        <w:rPr>
          <w:rFonts w:cs="Times New Roman"/>
          <w:szCs w:val="24"/>
        </w:rPr>
        <w:t xml:space="preserve">eutic </w:t>
      </w:r>
      <w:r w:rsidR="00A60ACD" w:rsidRPr="00BA5A85">
        <w:rPr>
          <w:rFonts w:cs="Times New Roman"/>
          <w:szCs w:val="24"/>
        </w:rPr>
        <w:t xml:space="preserve">drugs can have moderate to severe side effects in patients, some of which are permanent. Consequently, it </w:t>
      </w:r>
      <w:r w:rsidR="0043313A">
        <w:rPr>
          <w:rFonts w:cs="Times New Roman"/>
          <w:szCs w:val="24"/>
        </w:rPr>
        <w:t>is crucial to identify</w:t>
      </w:r>
      <w:r w:rsidR="00A60ACD" w:rsidRPr="00BA5A85">
        <w:rPr>
          <w:rFonts w:cs="Times New Roman"/>
          <w:szCs w:val="24"/>
        </w:rPr>
        <w:t xml:space="preserve"> an effective anticancer agent with </w:t>
      </w:r>
      <w:r w:rsidR="00BA5A85">
        <w:rPr>
          <w:rFonts w:cs="Times New Roman"/>
          <w:szCs w:val="24"/>
        </w:rPr>
        <w:t>minimal</w:t>
      </w:r>
      <w:r w:rsidR="00A60ACD" w:rsidRPr="00BA5A85">
        <w:rPr>
          <w:rFonts w:cs="Times New Roman"/>
          <w:szCs w:val="24"/>
        </w:rPr>
        <w:t xml:space="preserve"> side effects and strong anticancer potential against Dalton’s lymphoma [6]. </w:t>
      </w:r>
      <w:r w:rsidR="009634B5" w:rsidRPr="00BA5A85">
        <w:rPr>
          <w:rFonts w:cs="Times New Roman"/>
          <w:szCs w:val="24"/>
        </w:rPr>
        <w:t>Dalton's lymphoma, a transplantable T-cell lymphoma that spontaneously originated in the murine host's thymus, has become a valuable model for cancer research due to its application in pre-clinical systems for assessing new or existing medications in the treatment of different cancers and in the process of drug discovery [7]. Chemotherapy regimens have been the focus of many studies on Dalton's lymphoma to maximi</w:t>
      </w:r>
      <w:r w:rsidR="00E850DB" w:rsidRPr="00BA5A85">
        <w:rPr>
          <w:rFonts w:cs="Times New Roman"/>
          <w:szCs w:val="24"/>
        </w:rPr>
        <w:t>ze</w:t>
      </w:r>
      <w:r w:rsidR="009634B5" w:rsidRPr="00BA5A85">
        <w:rPr>
          <w:rFonts w:cs="Times New Roman"/>
          <w:szCs w:val="24"/>
        </w:rPr>
        <w:t xml:space="preserve"> treatment efficacy while reducing toxicity.</w:t>
      </w:r>
      <w:r w:rsidR="00DA24E6" w:rsidRPr="00BA5A85">
        <w:rPr>
          <w:rFonts w:cs="Times New Roman"/>
          <w:szCs w:val="24"/>
        </w:rPr>
        <w:t xml:space="preserve"> </w:t>
      </w:r>
      <w:r w:rsidR="005B7386" w:rsidRPr="00BA5A85">
        <w:rPr>
          <w:rFonts w:eastAsia="Times New Roman" w:cs="Times New Roman"/>
          <w:kern w:val="0"/>
          <w:szCs w:val="24"/>
          <w:lang w:eastAsia="en-IN"/>
          <w14:ligatures w14:val="none"/>
        </w:rPr>
        <w:t>Chloroquine</w:t>
      </w:r>
      <w:r w:rsidR="00BA5A85">
        <w:rPr>
          <w:rFonts w:eastAsia="Times New Roman" w:cs="Times New Roman"/>
          <w:kern w:val="0"/>
          <w:szCs w:val="24"/>
          <w:lang w:eastAsia="en-IN"/>
          <w14:ligatures w14:val="none"/>
        </w:rPr>
        <w:t xml:space="preserve"> (CQ)</w:t>
      </w:r>
      <w:r w:rsidR="005B7386" w:rsidRPr="00BA5A85">
        <w:rPr>
          <w:rFonts w:eastAsia="Times New Roman" w:cs="Times New Roman"/>
          <w:kern w:val="0"/>
          <w:szCs w:val="24"/>
          <w:lang w:eastAsia="en-IN"/>
          <w14:ligatures w14:val="none"/>
        </w:rPr>
        <w:t xml:space="preserve"> is a synthetic medication used to treat malaria. The discovery of chloroquine in 1934 and its subsequent introduction into medicine throughout the 1940s </w:t>
      </w:r>
      <w:r w:rsidR="00BA5A85">
        <w:rPr>
          <w:rFonts w:eastAsia="Times New Roman" w:cs="Times New Roman"/>
          <w:kern w:val="0"/>
          <w:szCs w:val="24"/>
          <w:lang w:eastAsia="en-IN"/>
          <w14:ligatures w14:val="none"/>
        </w:rPr>
        <w:t>made</w:t>
      </w:r>
      <w:r w:rsidR="005B7386" w:rsidRPr="00BA5A85">
        <w:rPr>
          <w:rFonts w:eastAsia="Times New Roman" w:cs="Times New Roman"/>
          <w:kern w:val="0"/>
          <w:szCs w:val="24"/>
          <w:lang w:eastAsia="en-IN"/>
          <w14:ligatures w14:val="none"/>
        </w:rPr>
        <w:t xml:space="preserve"> it a part of the quinoline derivatives, a significant class of chemically related antimalarial drugs</w:t>
      </w:r>
      <w:r w:rsidR="005B7386" w:rsidRPr="00BA5A85">
        <w:rPr>
          <w:rFonts w:cs="Times New Roman"/>
          <w:szCs w:val="24"/>
        </w:rPr>
        <w:t xml:space="preserve"> [8].</w:t>
      </w:r>
      <w:r w:rsidR="00FC2F72" w:rsidRPr="00BA5A85">
        <w:rPr>
          <w:rFonts w:cs="Times New Roman"/>
          <w:szCs w:val="24"/>
        </w:rPr>
        <w:t xml:space="preserve"> </w:t>
      </w:r>
      <w:r w:rsidR="005B7386" w:rsidRPr="00BA5A85">
        <w:rPr>
          <w:rFonts w:cs="Times New Roman"/>
          <w:szCs w:val="24"/>
        </w:rPr>
        <w:t xml:space="preserve">It </w:t>
      </w:r>
      <w:r w:rsidR="00DA24E6" w:rsidRPr="00BA5A85">
        <w:rPr>
          <w:rFonts w:cs="Times New Roman"/>
          <w:szCs w:val="24"/>
        </w:rPr>
        <w:t>has drawn attention recently for its possible biological effects on cancer cells</w:t>
      </w:r>
      <w:r w:rsidR="000652AF" w:rsidRPr="00BA5A85">
        <w:rPr>
          <w:rFonts w:cs="Times New Roman"/>
          <w:szCs w:val="24"/>
        </w:rPr>
        <w:t xml:space="preserve"> [</w:t>
      </w:r>
      <w:r w:rsidR="005B7386" w:rsidRPr="00BA5A85">
        <w:rPr>
          <w:rFonts w:cs="Times New Roman"/>
          <w:szCs w:val="24"/>
        </w:rPr>
        <w:t>9</w:t>
      </w:r>
      <w:r w:rsidR="000652AF" w:rsidRPr="00BA5A85">
        <w:rPr>
          <w:rFonts w:cs="Times New Roman"/>
          <w:szCs w:val="24"/>
        </w:rPr>
        <w:t>]</w:t>
      </w:r>
      <w:r w:rsidR="00DA24E6" w:rsidRPr="00BA5A85">
        <w:rPr>
          <w:rFonts w:cs="Times New Roman"/>
          <w:szCs w:val="24"/>
        </w:rPr>
        <w:t>.</w:t>
      </w:r>
      <w:r w:rsidR="00B14482" w:rsidRPr="00BA5A85">
        <w:rPr>
          <w:rFonts w:cs="Times New Roman"/>
          <w:szCs w:val="24"/>
        </w:rPr>
        <w:t xml:space="preserve"> </w:t>
      </w:r>
      <w:r w:rsidR="00803AE5" w:rsidRPr="00BA5A85">
        <w:rPr>
          <w:rFonts w:cs="Times New Roman"/>
          <w:szCs w:val="24"/>
        </w:rPr>
        <w:t xml:space="preserve"> Chloroquine has several therapeutic effects along with malarial treatment</w:t>
      </w:r>
      <w:r w:rsidR="00E850DB" w:rsidRPr="00BA5A85">
        <w:rPr>
          <w:rFonts w:cs="Times New Roman"/>
          <w:szCs w:val="24"/>
        </w:rPr>
        <w:t>,</w:t>
      </w:r>
      <w:r w:rsidR="00803AE5" w:rsidRPr="00BA5A85">
        <w:rPr>
          <w:rFonts w:cs="Times New Roman"/>
          <w:szCs w:val="24"/>
        </w:rPr>
        <w:t xml:space="preserve"> such as its effective</w:t>
      </w:r>
      <w:r w:rsidR="00E850DB" w:rsidRPr="00BA5A85">
        <w:rPr>
          <w:rFonts w:cs="Times New Roman"/>
          <w:szCs w:val="24"/>
        </w:rPr>
        <w:t>ness</w:t>
      </w:r>
      <w:r w:rsidR="00803AE5" w:rsidRPr="00BA5A85">
        <w:rPr>
          <w:rFonts w:cs="Times New Roman"/>
          <w:szCs w:val="24"/>
        </w:rPr>
        <w:t xml:space="preserve"> in rheumatoid arthritis [</w:t>
      </w:r>
      <w:r w:rsidR="005B7386" w:rsidRPr="00BA5A85">
        <w:rPr>
          <w:rFonts w:cs="Times New Roman"/>
          <w:szCs w:val="24"/>
        </w:rPr>
        <w:t>10</w:t>
      </w:r>
      <w:r w:rsidR="00803AE5" w:rsidRPr="00BA5A85">
        <w:rPr>
          <w:rFonts w:cs="Times New Roman"/>
          <w:szCs w:val="24"/>
        </w:rPr>
        <w:t>]</w:t>
      </w:r>
      <w:r w:rsidR="00600838" w:rsidRPr="00BA5A85">
        <w:rPr>
          <w:rFonts w:cs="Times New Roman"/>
          <w:szCs w:val="24"/>
        </w:rPr>
        <w:t xml:space="preserve"> </w:t>
      </w:r>
      <w:r w:rsidR="00E850DB" w:rsidRPr="00BA5A85">
        <w:rPr>
          <w:rFonts w:cs="Times New Roman"/>
          <w:szCs w:val="24"/>
        </w:rPr>
        <w:t>and </w:t>
      </w:r>
      <w:r w:rsidR="00600838" w:rsidRPr="00BA5A85">
        <w:rPr>
          <w:rFonts w:cs="Times New Roman"/>
          <w:szCs w:val="24"/>
        </w:rPr>
        <w:t>several viral infections [</w:t>
      </w:r>
      <w:r w:rsidR="00FC2F72" w:rsidRPr="00BA5A85">
        <w:rPr>
          <w:rFonts w:cs="Times New Roman"/>
          <w:szCs w:val="24"/>
        </w:rPr>
        <w:t>1</w:t>
      </w:r>
      <w:r w:rsidR="005B7386" w:rsidRPr="00BA5A85">
        <w:rPr>
          <w:rFonts w:cs="Times New Roman"/>
          <w:szCs w:val="24"/>
        </w:rPr>
        <w:t>1</w:t>
      </w:r>
      <w:r w:rsidR="00600838" w:rsidRPr="00BA5A85">
        <w:rPr>
          <w:rFonts w:cs="Times New Roman"/>
          <w:szCs w:val="24"/>
        </w:rPr>
        <w:t>]</w:t>
      </w:r>
      <w:r w:rsidR="00FF689F" w:rsidRPr="00BA5A85">
        <w:rPr>
          <w:rFonts w:cs="Times New Roman"/>
          <w:szCs w:val="24"/>
        </w:rPr>
        <w:t xml:space="preserve">. </w:t>
      </w:r>
      <w:r w:rsidR="009832DB" w:rsidRPr="00BA5A85">
        <w:rPr>
          <w:rFonts w:cs="Times New Roman"/>
          <w:szCs w:val="24"/>
        </w:rPr>
        <w:t xml:space="preserve">Additionally, CQ has been shown </w:t>
      </w:r>
      <w:r w:rsidR="009832DB" w:rsidRPr="00BA5A85">
        <w:rPr>
          <w:rFonts w:cs="Times New Roman"/>
          <w:szCs w:val="24"/>
        </w:rPr>
        <w:lastRenderedPageBreak/>
        <w:t>to induce cell death and inhibit cell growth in several cancer cell lines</w:t>
      </w:r>
      <w:r w:rsidR="00803AE5" w:rsidRPr="00BA5A85">
        <w:rPr>
          <w:rFonts w:cs="Times New Roman"/>
          <w:szCs w:val="24"/>
        </w:rPr>
        <w:t xml:space="preserve"> </w:t>
      </w:r>
      <w:r w:rsidR="00DA24E6" w:rsidRPr="00BA5A85">
        <w:rPr>
          <w:rFonts w:cs="Times New Roman"/>
          <w:szCs w:val="24"/>
        </w:rPr>
        <w:t>[</w:t>
      </w:r>
      <w:r w:rsidR="00600838" w:rsidRPr="00BA5A85">
        <w:rPr>
          <w:rFonts w:cs="Times New Roman"/>
          <w:szCs w:val="24"/>
        </w:rPr>
        <w:t>12</w:t>
      </w:r>
      <w:r w:rsidR="00FC2F72" w:rsidRPr="00BA5A85">
        <w:rPr>
          <w:rFonts w:cs="Times New Roman"/>
          <w:szCs w:val="24"/>
        </w:rPr>
        <w:t>,13</w:t>
      </w:r>
      <w:r w:rsidR="005B7386" w:rsidRPr="00BA5A85">
        <w:rPr>
          <w:rFonts w:cs="Times New Roman"/>
          <w:szCs w:val="24"/>
        </w:rPr>
        <w:t>,14</w:t>
      </w:r>
      <w:r w:rsidR="00DA24E6" w:rsidRPr="00BA5A85">
        <w:rPr>
          <w:rFonts w:cs="Times New Roman"/>
          <w:szCs w:val="24"/>
        </w:rPr>
        <w:t xml:space="preserve">]. </w:t>
      </w:r>
      <w:r w:rsidR="00600838" w:rsidRPr="00BA5A85">
        <w:rPr>
          <w:rFonts w:cs="Times New Roman"/>
          <w:szCs w:val="24"/>
        </w:rPr>
        <w:t xml:space="preserve">Chloroquine </w:t>
      </w:r>
      <w:r w:rsidR="00C36491" w:rsidRPr="00BA5A85">
        <w:rPr>
          <w:rFonts w:cs="Times New Roman"/>
          <w:szCs w:val="24"/>
        </w:rPr>
        <w:t xml:space="preserve">is also reported as a </w:t>
      </w:r>
      <w:r w:rsidR="000652AF" w:rsidRPr="00BA5A85">
        <w:rPr>
          <w:rFonts w:cs="Times New Roman"/>
          <w:szCs w:val="24"/>
        </w:rPr>
        <w:t>well-known</w:t>
      </w:r>
      <w:r w:rsidR="00C36491" w:rsidRPr="00BA5A85">
        <w:rPr>
          <w:rFonts w:cs="Times New Roman"/>
          <w:szCs w:val="24"/>
        </w:rPr>
        <w:t xml:space="preserve"> immunomodulator in various diseases like COVID-19 [</w:t>
      </w:r>
      <w:r w:rsidR="00FC2F72" w:rsidRPr="00BA5A85">
        <w:rPr>
          <w:rFonts w:cs="Times New Roman"/>
          <w:szCs w:val="24"/>
        </w:rPr>
        <w:t>1</w:t>
      </w:r>
      <w:r w:rsidR="005B7386" w:rsidRPr="00BA5A85">
        <w:rPr>
          <w:rFonts w:cs="Times New Roman"/>
          <w:szCs w:val="24"/>
        </w:rPr>
        <w:t>5</w:t>
      </w:r>
      <w:r w:rsidR="00C36491" w:rsidRPr="00BA5A85">
        <w:rPr>
          <w:rFonts w:cs="Times New Roman"/>
          <w:szCs w:val="24"/>
        </w:rPr>
        <w:t xml:space="preserve">] and cancer </w:t>
      </w:r>
      <w:r w:rsidR="001A12FE" w:rsidRPr="00BA5A85">
        <w:rPr>
          <w:rFonts w:cs="Times New Roman"/>
          <w:szCs w:val="24"/>
        </w:rPr>
        <w:t>through</w:t>
      </w:r>
      <w:r w:rsidR="00C36491" w:rsidRPr="00BA5A85">
        <w:rPr>
          <w:rFonts w:cs="Times New Roman"/>
          <w:szCs w:val="24"/>
        </w:rPr>
        <w:t xml:space="preserve"> macrophage polarization [1</w:t>
      </w:r>
      <w:r w:rsidR="005B7386" w:rsidRPr="00BA5A85">
        <w:rPr>
          <w:rFonts w:cs="Times New Roman"/>
          <w:szCs w:val="24"/>
        </w:rPr>
        <w:t>6</w:t>
      </w:r>
      <w:r w:rsidR="00C36491" w:rsidRPr="00BA5A85">
        <w:rPr>
          <w:rFonts w:cs="Times New Roman"/>
          <w:szCs w:val="24"/>
        </w:rPr>
        <w:t>]</w:t>
      </w:r>
      <w:r w:rsidR="00FF689F" w:rsidRPr="00BA5A85">
        <w:rPr>
          <w:rFonts w:cs="Times New Roman"/>
          <w:szCs w:val="24"/>
        </w:rPr>
        <w:t xml:space="preserve">. </w:t>
      </w:r>
      <w:r w:rsidR="001A12FE" w:rsidRPr="00BA5A85">
        <w:rPr>
          <w:rFonts w:cs="Times New Roman"/>
          <w:szCs w:val="24"/>
        </w:rPr>
        <w:t xml:space="preserve">Given the promising preclinical data on chloroquine's anticancer effects, this study aims to investigate its efficacy against Dalton's lymphoma. </w:t>
      </w:r>
    </w:p>
    <w:p w14:paraId="7D527472" w14:textId="4C358853" w:rsidR="00BA5A85" w:rsidRDefault="00D87DE0" w:rsidP="00013268">
      <w:pPr>
        <w:spacing w:line="480" w:lineRule="auto"/>
        <w:jc w:val="both"/>
        <w:rPr>
          <w:rFonts w:cs="Times New Roman"/>
          <w:b/>
          <w:bCs/>
          <w:szCs w:val="24"/>
        </w:rPr>
      </w:pPr>
      <w:r w:rsidRPr="00BA5A85">
        <w:rPr>
          <w:rFonts w:cs="Times New Roman"/>
          <w:b/>
          <w:bCs/>
          <w:szCs w:val="24"/>
        </w:rPr>
        <w:t>Materials and Methods</w:t>
      </w:r>
    </w:p>
    <w:p w14:paraId="4E034519" w14:textId="2B66C22B" w:rsidR="00C90A38" w:rsidRDefault="00C90A38" w:rsidP="00013268">
      <w:pPr>
        <w:spacing w:line="480" w:lineRule="auto"/>
        <w:jc w:val="both"/>
        <w:rPr>
          <w:rFonts w:cs="Times New Roman"/>
          <w:b/>
          <w:bCs/>
          <w:szCs w:val="24"/>
        </w:rPr>
      </w:pPr>
      <w:r>
        <w:rPr>
          <w:rFonts w:cs="Times New Roman"/>
          <w:b/>
          <w:bCs/>
          <w:szCs w:val="24"/>
        </w:rPr>
        <w:t>Reagents</w:t>
      </w:r>
    </w:p>
    <w:p w14:paraId="7C2E1CEB" w14:textId="4499A9DF" w:rsidR="00C90A38" w:rsidRPr="008B7EE6" w:rsidRDefault="00C90A38" w:rsidP="00013268">
      <w:pPr>
        <w:spacing w:line="480" w:lineRule="auto"/>
        <w:jc w:val="both"/>
        <w:rPr>
          <w:rFonts w:cs="Times New Roman"/>
          <w:szCs w:val="24"/>
        </w:rPr>
      </w:pPr>
      <w:r w:rsidRPr="00C90A38">
        <w:rPr>
          <w:rFonts w:cs="Times New Roman"/>
          <w:szCs w:val="24"/>
        </w:rPr>
        <w:t xml:space="preserve">RPMI-1640 medium and fetal bovine serum (FBS) were purchased from Gibco (Life Technologies). Antibiotic-Antimycotic solution containing Penicillin, Streptomycin, and Amphotericin B was obtained from </w:t>
      </w:r>
      <w:proofErr w:type="spellStart"/>
      <w:r w:rsidRPr="00C90A38">
        <w:rPr>
          <w:rFonts w:cs="Times New Roman"/>
          <w:szCs w:val="24"/>
        </w:rPr>
        <w:t>CELLclone</w:t>
      </w:r>
      <w:proofErr w:type="spellEnd"/>
      <w:r w:rsidRPr="00C90A38">
        <w:rPr>
          <w:rFonts w:cs="Times New Roman"/>
          <w:szCs w:val="24"/>
        </w:rPr>
        <w:t xml:space="preserve">™ </w:t>
      </w:r>
      <w:proofErr w:type="spellStart"/>
      <w:r w:rsidRPr="00C90A38">
        <w:rPr>
          <w:rFonts w:cs="Times New Roman"/>
          <w:szCs w:val="24"/>
        </w:rPr>
        <w:t>Genetix</w:t>
      </w:r>
      <w:proofErr w:type="spellEnd"/>
      <w:r w:rsidRPr="00C90A38">
        <w:rPr>
          <w:rFonts w:cs="Times New Roman"/>
          <w:szCs w:val="24"/>
        </w:rPr>
        <w:t xml:space="preserve"> Biotech Asia Pvt. Ltd. (India). Cell culture plates were supplied by TARSONS Products Pvt. Ltd. (India). MTT (CAS No. 298-93-1) and DMSO (CAS No. 67-68-5) were from Sigma-Aldrich (Bangalore, India), while </w:t>
      </w:r>
      <w:r>
        <w:rPr>
          <w:rFonts w:cs="Times New Roman"/>
          <w:szCs w:val="24"/>
        </w:rPr>
        <w:t>Chloroquine</w:t>
      </w:r>
      <w:r w:rsidRPr="00C90A38">
        <w:rPr>
          <w:rFonts w:cs="Times New Roman"/>
          <w:szCs w:val="24"/>
        </w:rPr>
        <w:t xml:space="preserve"> was procured from Sigma-Aldrich (USA). DCFH-DA, DAPI, and Rhodamine-123 were obtained from LobaChemie (Mumbai, India), and Propidium Iodide and Annexin V/PI apoptosis kit from Sigma-Aldrich and Elabscience, respectively.</w:t>
      </w:r>
      <w:r>
        <w:rPr>
          <w:rFonts w:cs="Times New Roman"/>
          <w:szCs w:val="24"/>
        </w:rPr>
        <w:t xml:space="preserve"> </w:t>
      </w:r>
      <w:r w:rsidRPr="00C90A38">
        <w:rPr>
          <w:rFonts w:cs="Times New Roman"/>
          <w:szCs w:val="24"/>
        </w:rPr>
        <w:t xml:space="preserve">RIPA buffer, RNase, and protease inhibitors were from </w:t>
      </w:r>
      <w:proofErr w:type="spellStart"/>
      <w:r w:rsidRPr="00C90A38">
        <w:rPr>
          <w:rFonts w:cs="Times New Roman"/>
          <w:szCs w:val="24"/>
        </w:rPr>
        <w:t>HiMedia</w:t>
      </w:r>
      <w:proofErr w:type="spellEnd"/>
      <w:r w:rsidRPr="00C90A38">
        <w:rPr>
          <w:rFonts w:cs="Times New Roman"/>
          <w:szCs w:val="24"/>
        </w:rPr>
        <w:t>. PVDF membranes were purchased from Merck</w:t>
      </w:r>
      <w:r w:rsidR="008B7EE6">
        <w:rPr>
          <w:rFonts w:cs="Times New Roman"/>
          <w:szCs w:val="24"/>
        </w:rPr>
        <w:t>.</w:t>
      </w:r>
      <w:r w:rsidRPr="00C90A38">
        <w:rPr>
          <w:rFonts w:cs="Times New Roman"/>
          <w:szCs w:val="24"/>
        </w:rPr>
        <w:t xml:space="preserve"> Antibodies were sourced from Cell Signaling Technology. All other reagents were of analytical grade.</w:t>
      </w:r>
    </w:p>
    <w:p w14:paraId="45575B74" w14:textId="77777777" w:rsidR="003239BA" w:rsidRPr="00BA5A85" w:rsidRDefault="003239BA" w:rsidP="00013268">
      <w:pPr>
        <w:spacing w:line="480" w:lineRule="auto"/>
        <w:jc w:val="both"/>
        <w:rPr>
          <w:rFonts w:cs="Times New Roman"/>
          <w:b/>
          <w:bCs/>
          <w:szCs w:val="24"/>
        </w:rPr>
      </w:pPr>
      <w:r w:rsidRPr="00BA5A85">
        <w:rPr>
          <w:rFonts w:cs="Times New Roman"/>
          <w:b/>
          <w:bCs/>
          <w:szCs w:val="24"/>
        </w:rPr>
        <w:t xml:space="preserve">Animal and tumor model </w:t>
      </w:r>
    </w:p>
    <w:p w14:paraId="6AFF3F93" w14:textId="0A966430" w:rsidR="00037F82" w:rsidRPr="00E607CF" w:rsidRDefault="001577C3" w:rsidP="00013268">
      <w:pPr>
        <w:spacing w:line="480" w:lineRule="auto"/>
        <w:jc w:val="both"/>
        <w:rPr>
          <w:rFonts w:cs="Times New Roman"/>
          <w:szCs w:val="24"/>
        </w:rPr>
      </w:pPr>
      <w:proofErr w:type="spellStart"/>
      <w:r w:rsidRPr="00BA5A85">
        <w:rPr>
          <w:rFonts w:cs="Times New Roman"/>
          <w:szCs w:val="24"/>
        </w:rPr>
        <w:t>Balb</w:t>
      </w:r>
      <w:proofErr w:type="spellEnd"/>
      <w:r w:rsidRPr="00BA5A85">
        <w:rPr>
          <w:rFonts w:cs="Times New Roman"/>
          <w:szCs w:val="24"/>
        </w:rPr>
        <w:t>/c mice were maintained under standard pathogen-free laboratory conditions as per the guidelines of the Institutional Animal Ethical Committee (IAEC), Department of Zoology, BHU, Varanasi</w:t>
      </w:r>
      <w:r w:rsidR="002977B1">
        <w:rPr>
          <w:rFonts w:cs="Times New Roman"/>
          <w:szCs w:val="24"/>
        </w:rPr>
        <w:t xml:space="preserve"> </w:t>
      </w:r>
      <w:r w:rsidR="002977B1" w:rsidRPr="00BD2978">
        <w:rPr>
          <w:rFonts w:cs="Times New Roman"/>
          <w:b/>
          <w:bCs/>
          <w:color w:val="000000" w:themeColor="text1"/>
          <w:szCs w:val="24"/>
        </w:rPr>
        <w:t>(BHU/DOZ/IAE</w:t>
      </w:r>
      <w:r w:rsidR="002977B1">
        <w:rPr>
          <w:rFonts w:cs="Times New Roman"/>
          <w:b/>
          <w:bCs/>
          <w:color w:val="000000" w:themeColor="text1"/>
          <w:szCs w:val="24"/>
        </w:rPr>
        <w:t>C</w:t>
      </w:r>
      <w:r w:rsidR="002977B1" w:rsidRPr="00BD2978">
        <w:rPr>
          <w:rFonts w:cs="Times New Roman"/>
          <w:b/>
          <w:bCs/>
          <w:color w:val="000000" w:themeColor="text1"/>
          <w:szCs w:val="24"/>
        </w:rPr>
        <w:t>/2024-</w:t>
      </w:r>
      <w:r w:rsidR="002977B1">
        <w:rPr>
          <w:rFonts w:cs="Times New Roman"/>
          <w:b/>
          <w:bCs/>
          <w:color w:val="000000" w:themeColor="text1"/>
          <w:szCs w:val="24"/>
        </w:rPr>
        <w:t>II</w:t>
      </w:r>
      <w:r w:rsidR="002977B1" w:rsidRPr="00BD2978">
        <w:rPr>
          <w:rFonts w:cs="Times New Roman"/>
          <w:b/>
          <w:bCs/>
          <w:color w:val="000000" w:themeColor="text1"/>
          <w:szCs w:val="24"/>
        </w:rPr>
        <w:t>/004</w:t>
      </w:r>
      <w:r w:rsidR="002977B1">
        <w:rPr>
          <w:rFonts w:cs="Times New Roman"/>
          <w:b/>
          <w:bCs/>
          <w:color w:val="000000" w:themeColor="text1"/>
          <w:szCs w:val="24"/>
        </w:rPr>
        <w:t xml:space="preserve"> dated 23/11/2024</w:t>
      </w:r>
      <w:r w:rsidR="002977B1" w:rsidRPr="00BD2978">
        <w:rPr>
          <w:rFonts w:cs="Times New Roman"/>
          <w:b/>
          <w:bCs/>
          <w:color w:val="000000" w:themeColor="text1"/>
          <w:szCs w:val="24"/>
        </w:rPr>
        <w:t>)</w:t>
      </w:r>
      <w:r w:rsidRPr="00BA5A85">
        <w:rPr>
          <w:rFonts w:cs="Times New Roman"/>
          <w:szCs w:val="24"/>
        </w:rPr>
        <w:t xml:space="preserve">. Mice were provided with sterilized food and water ad libitum and housed in an infection-free conventional polystyrene cage with a 12:12 hr light/dark cycle. DL is a spontaneously developed murine lymphoma that </w:t>
      </w:r>
      <w:r w:rsidRPr="00BA5A85">
        <w:rPr>
          <w:rFonts w:cs="Times New Roman"/>
          <w:szCs w:val="24"/>
        </w:rPr>
        <w:lastRenderedPageBreak/>
        <w:t xml:space="preserve">is highly aggressive and immunosuppressive. For DL </w:t>
      </w:r>
      <w:r w:rsidR="00037F82">
        <w:rPr>
          <w:rFonts w:cs="Times New Roman"/>
          <w:szCs w:val="24"/>
        </w:rPr>
        <w:t>cell induction, 1 × 10</w:t>
      </w:r>
      <w:r w:rsidR="00037F82" w:rsidRPr="00037F82">
        <w:rPr>
          <w:rFonts w:cs="Times New Roman"/>
          <w:szCs w:val="24"/>
          <w:vertAlign w:val="superscript"/>
        </w:rPr>
        <w:t>6</w:t>
      </w:r>
      <w:r w:rsidR="00037F82">
        <w:rPr>
          <w:rFonts w:cs="Times New Roman"/>
          <w:szCs w:val="24"/>
        </w:rPr>
        <w:t xml:space="preserve"> cells were suspended in 500 μL</w:t>
      </w:r>
      <w:r w:rsidRPr="00BA5A85">
        <w:rPr>
          <w:rFonts w:cs="Times New Roman"/>
          <w:szCs w:val="24"/>
        </w:rPr>
        <w:t xml:space="preserve"> PBS and serially transplanted into the </w:t>
      </w:r>
      <w:r w:rsidR="00BA5A85" w:rsidRPr="00BA5A85">
        <w:rPr>
          <w:rFonts w:cs="Times New Roman"/>
          <w:szCs w:val="24"/>
        </w:rPr>
        <w:t>intraperitoneal</w:t>
      </w:r>
      <w:r w:rsidRPr="00BA5A85">
        <w:rPr>
          <w:rFonts w:cs="Times New Roman"/>
          <w:szCs w:val="24"/>
        </w:rPr>
        <w:t xml:space="preserve"> cavity of </w:t>
      </w:r>
      <w:r w:rsidR="00013268" w:rsidRPr="00BA5A85">
        <w:rPr>
          <w:rFonts w:cs="Times New Roman"/>
          <w:szCs w:val="24"/>
        </w:rPr>
        <w:t>8–10-week-old</w:t>
      </w:r>
      <w:r w:rsidRPr="00BA5A85">
        <w:rPr>
          <w:rFonts w:cs="Times New Roman"/>
          <w:szCs w:val="24"/>
        </w:rPr>
        <w:t xml:space="preserve"> healthy mice</w:t>
      </w:r>
      <w:r w:rsidR="00037F82">
        <w:rPr>
          <w:rFonts w:cs="Times New Roman"/>
          <w:szCs w:val="24"/>
        </w:rPr>
        <w:t xml:space="preserve"> </w:t>
      </w:r>
      <w:r w:rsidRPr="00BA5A85">
        <w:rPr>
          <w:rFonts w:cs="Times New Roman"/>
          <w:szCs w:val="24"/>
        </w:rPr>
        <w:t>[</w:t>
      </w:r>
      <w:r w:rsidR="00BA5A85">
        <w:rPr>
          <w:rFonts w:cs="Times New Roman"/>
          <w:szCs w:val="24"/>
        </w:rPr>
        <w:t>6</w:t>
      </w:r>
      <w:r w:rsidRPr="00BA5A85">
        <w:rPr>
          <w:rFonts w:cs="Times New Roman"/>
          <w:szCs w:val="24"/>
        </w:rPr>
        <w:t>].</w:t>
      </w:r>
    </w:p>
    <w:p w14:paraId="6091EE20" w14:textId="62B12630" w:rsidR="00FC3D50" w:rsidRPr="00BA5A85" w:rsidRDefault="00FC3D50" w:rsidP="00013268">
      <w:pPr>
        <w:spacing w:line="480" w:lineRule="auto"/>
        <w:jc w:val="both"/>
        <w:rPr>
          <w:rFonts w:cs="Times New Roman"/>
          <w:b/>
          <w:bCs/>
          <w:szCs w:val="24"/>
        </w:rPr>
      </w:pPr>
      <w:r w:rsidRPr="00BA5A85">
        <w:rPr>
          <w:rFonts w:cs="Times New Roman"/>
          <w:b/>
          <w:bCs/>
          <w:szCs w:val="24"/>
        </w:rPr>
        <w:t>MTT assay</w:t>
      </w:r>
    </w:p>
    <w:p w14:paraId="4811CFFA" w14:textId="7FB4C31A" w:rsidR="00D61D4B" w:rsidRDefault="00FC3D50" w:rsidP="00013268">
      <w:pPr>
        <w:spacing w:line="480" w:lineRule="auto"/>
        <w:jc w:val="both"/>
        <w:rPr>
          <w:rFonts w:cs="Times New Roman"/>
          <w:szCs w:val="24"/>
        </w:rPr>
      </w:pPr>
      <w:r w:rsidRPr="00BA5A85">
        <w:rPr>
          <w:rFonts w:cs="Times New Roman"/>
          <w:szCs w:val="24"/>
        </w:rPr>
        <w:t>The effect of Chloroquine on DL cell viability was studied</w:t>
      </w:r>
      <w:r w:rsidR="001C7660" w:rsidRPr="00BA5A85">
        <w:rPr>
          <w:rFonts w:cs="Times New Roman"/>
          <w:szCs w:val="24"/>
        </w:rPr>
        <w:t xml:space="preserve"> using an</w:t>
      </w:r>
      <w:r w:rsidRPr="00BA5A85">
        <w:rPr>
          <w:rFonts w:cs="Times New Roman"/>
          <w:szCs w:val="24"/>
        </w:rPr>
        <w:t xml:space="preserve"> MTT assay. </w:t>
      </w:r>
      <w:r w:rsidR="001C7660" w:rsidRPr="00BA5A85">
        <w:rPr>
          <w:rFonts w:cs="Times New Roman"/>
          <w:szCs w:val="24"/>
        </w:rPr>
        <w:t>Briefly</w:t>
      </w:r>
      <w:r w:rsidR="00BA5A85" w:rsidRPr="00BA5A85">
        <w:rPr>
          <w:rFonts w:cs="Times New Roman"/>
          <w:szCs w:val="24"/>
        </w:rPr>
        <w:t>,</w:t>
      </w:r>
      <w:r w:rsidR="001C7660" w:rsidRPr="00BA5A85">
        <w:rPr>
          <w:rFonts w:cs="Times New Roman"/>
          <w:szCs w:val="24"/>
        </w:rPr>
        <w:t xml:space="preserve"> Dalton’s lymphoma cells and thymocyte cells were seeded in </w:t>
      </w:r>
      <w:r w:rsidR="00BA5A85" w:rsidRPr="00BA5A85">
        <w:rPr>
          <w:rFonts w:cs="Times New Roman"/>
          <w:szCs w:val="24"/>
        </w:rPr>
        <w:t>96-well</w:t>
      </w:r>
      <w:r w:rsidR="001C7660" w:rsidRPr="00BA5A85">
        <w:rPr>
          <w:rFonts w:cs="Times New Roman"/>
          <w:szCs w:val="24"/>
        </w:rPr>
        <w:t xml:space="preserve"> plates with 2 x 10</w:t>
      </w:r>
      <w:r w:rsidR="001C7660" w:rsidRPr="00BA5A85">
        <w:rPr>
          <w:rFonts w:cs="Times New Roman"/>
          <w:szCs w:val="24"/>
          <w:vertAlign w:val="superscript"/>
        </w:rPr>
        <w:t>4</w:t>
      </w:r>
      <w:r w:rsidR="001C7660" w:rsidRPr="00BA5A85">
        <w:rPr>
          <w:rFonts w:cs="Times New Roman"/>
          <w:szCs w:val="24"/>
        </w:rPr>
        <w:t xml:space="preserve"> cells per well in RPMI 1640 supplemented with 10% FBS for 24 hr with various doses of chloroquine (</w:t>
      </w:r>
      <w:r w:rsidR="00013268">
        <w:rPr>
          <w:rFonts w:cs="Times New Roman"/>
          <w:szCs w:val="24"/>
        </w:rPr>
        <w:t>0,</w:t>
      </w:r>
      <w:r w:rsidR="000D5D8F" w:rsidRPr="00BA5A85">
        <w:rPr>
          <w:rFonts w:cs="Times New Roman"/>
          <w:szCs w:val="24"/>
        </w:rPr>
        <w:t>1, 2, 5, 10, 15, 20 μM</w:t>
      </w:r>
      <w:r w:rsidR="00D44950">
        <w:rPr>
          <w:rFonts w:cs="Times New Roman"/>
          <w:szCs w:val="24"/>
        </w:rPr>
        <w:t>) from a 1 mM stock prepared in DMSO and placed</w:t>
      </w:r>
      <w:r w:rsidR="001C7660" w:rsidRPr="00BA5A85">
        <w:rPr>
          <w:rFonts w:cs="Times New Roman"/>
          <w:szCs w:val="24"/>
        </w:rPr>
        <w:t xml:space="preserve"> in a 5% CO</w:t>
      </w:r>
      <w:r w:rsidR="001C7660" w:rsidRPr="00BA5A85">
        <w:rPr>
          <w:rFonts w:cs="Times New Roman"/>
          <w:szCs w:val="24"/>
          <w:vertAlign w:val="subscript"/>
        </w:rPr>
        <w:t>2</w:t>
      </w:r>
      <w:r w:rsidR="001C7660" w:rsidRPr="00BA5A85">
        <w:rPr>
          <w:rFonts w:cs="Times New Roman"/>
          <w:szCs w:val="24"/>
        </w:rPr>
        <w:t xml:space="preserve"> incubator. After incubation</w:t>
      </w:r>
      <w:r w:rsidR="001500FD" w:rsidRPr="00BA5A85">
        <w:rPr>
          <w:rFonts w:cs="Times New Roman"/>
          <w:szCs w:val="24"/>
        </w:rPr>
        <w:t>,</w:t>
      </w:r>
      <w:r w:rsidR="001C7660" w:rsidRPr="00BA5A85">
        <w:rPr>
          <w:rFonts w:cs="Times New Roman"/>
          <w:szCs w:val="24"/>
        </w:rPr>
        <w:t xml:space="preserve"> cells were treated with </w:t>
      </w:r>
      <w:r w:rsidR="001500FD" w:rsidRPr="00BA5A85">
        <w:rPr>
          <w:rFonts w:cs="Times New Roman"/>
          <w:szCs w:val="24"/>
        </w:rPr>
        <w:t>10 μ</w:t>
      </w:r>
      <w:r w:rsidR="00371852">
        <w:rPr>
          <w:rFonts w:cs="Times New Roman"/>
          <w:szCs w:val="24"/>
        </w:rPr>
        <w:t>L</w:t>
      </w:r>
      <w:r w:rsidR="001500FD" w:rsidRPr="00BA5A85">
        <w:rPr>
          <w:rFonts w:cs="Times New Roman"/>
          <w:szCs w:val="24"/>
        </w:rPr>
        <w:t xml:space="preserve"> </w:t>
      </w:r>
      <w:r w:rsidR="001C7660" w:rsidRPr="00BA5A85">
        <w:rPr>
          <w:rFonts w:cs="Times New Roman"/>
          <w:szCs w:val="24"/>
        </w:rPr>
        <w:t xml:space="preserve">MTT </w:t>
      </w:r>
      <w:r w:rsidR="001500FD" w:rsidRPr="00BA5A85">
        <w:rPr>
          <w:rFonts w:cs="Times New Roman"/>
          <w:szCs w:val="24"/>
        </w:rPr>
        <w:t>(5</w:t>
      </w:r>
      <w:r w:rsidR="00371852">
        <w:rPr>
          <w:rFonts w:cs="Times New Roman"/>
          <w:szCs w:val="24"/>
        </w:rPr>
        <w:t xml:space="preserve"> </w:t>
      </w:r>
      <w:r w:rsidR="001500FD" w:rsidRPr="00BA5A85">
        <w:rPr>
          <w:rFonts w:cs="Times New Roman"/>
          <w:szCs w:val="24"/>
        </w:rPr>
        <w:t xml:space="preserve">mg/ml) for </w:t>
      </w:r>
      <w:r w:rsidR="00037F82">
        <w:rPr>
          <w:rFonts w:cs="Times New Roman"/>
          <w:szCs w:val="24"/>
        </w:rPr>
        <w:t>4</w:t>
      </w:r>
      <w:r w:rsidR="001500FD" w:rsidRPr="00BA5A85">
        <w:rPr>
          <w:rFonts w:cs="Times New Roman"/>
          <w:szCs w:val="24"/>
        </w:rPr>
        <w:t xml:space="preserve"> hr at 37</w:t>
      </w:r>
      <w:r w:rsidR="00371852">
        <w:rPr>
          <w:rFonts w:cs="Times New Roman"/>
          <w:szCs w:val="24"/>
        </w:rPr>
        <w:t xml:space="preserve"> </w:t>
      </w:r>
      <w:r w:rsidR="001500FD" w:rsidRPr="00BA5A85">
        <w:rPr>
          <w:rFonts w:cs="Times New Roman"/>
          <w:szCs w:val="24"/>
        </w:rPr>
        <w:t>℃. The insoluble formazan crystals were dissolved in 100 μL of DMSO</w:t>
      </w:r>
      <w:r w:rsidR="00037F82">
        <w:rPr>
          <w:rFonts w:cs="Times New Roman"/>
          <w:szCs w:val="24"/>
        </w:rPr>
        <w:t>,</w:t>
      </w:r>
      <w:r w:rsidR="001500FD" w:rsidRPr="00BA5A85">
        <w:rPr>
          <w:rFonts w:cs="Times New Roman"/>
          <w:szCs w:val="24"/>
        </w:rPr>
        <w:t xml:space="preserve"> and the absorbance was taken with the help of an ELISA plate reader (Bio-Rad, CA, USA) at 595</w:t>
      </w:r>
      <w:r w:rsidR="00371852">
        <w:rPr>
          <w:rFonts w:cs="Times New Roman"/>
          <w:szCs w:val="24"/>
        </w:rPr>
        <w:t xml:space="preserve"> </w:t>
      </w:r>
      <w:r w:rsidR="001500FD" w:rsidRPr="00BA5A85">
        <w:rPr>
          <w:rFonts w:cs="Times New Roman"/>
          <w:szCs w:val="24"/>
        </w:rPr>
        <w:t xml:space="preserve">nm. The % cell viability of </w:t>
      </w:r>
      <w:r w:rsidR="00D61D4B" w:rsidRPr="00BA5A85">
        <w:rPr>
          <w:rFonts w:cs="Times New Roman"/>
          <w:szCs w:val="24"/>
        </w:rPr>
        <w:t>the </w:t>
      </w:r>
      <w:r w:rsidR="001500FD" w:rsidRPr="00BA5A85">
        <w:rPr>
          <w:rFonts w:cs="Times New Roman"/>
          <w:szCs w:val="24"/>
        </w:rPr>
        <w:t>DL cell was calculated using the following equation</w:t>
      </w:r>
      <w:r w:rsidR="00037F82">
        <w:rPr>
          <w:rFonts w:cs="Times New Roman"/>
          <w:szCs w:val="24"/>
        </w:rPr>
        <w:t>,</w:t>
      </w:r>
      <w:r w:rsidR="001500FD" w:rsidRPr="00BA5A85">
        <w:rPr>
          <w:rFonts w:cs="Times New Roman"/>
          <w:szCs w:val="24"/>
        </w:rPr>
        <w:t xml:space="preserve"> and IC</w:t>
      </w:r>
      <w:r w:rsidR="001500FD" w:rsidRPr="00371852">
        <w:rPr>
          <w:rFonts w:cs="Times New Roman"/>
          <w:szCs w:val="24"/>
          <w:vertAlign w:val="subscript"/>
        </w:rPr>
        <w:t>50</w:t>
      </w:r>
      <w:r w:rsidR="001500FD" w:rsidRPr="00BA5A85">
        <w:rPr>
          <w:rFonts w:cs="Times New Roman"/>
          <w:szCs w:val="24"/>
        </w:rPr>
        <w:t xml:space="preserve"> values were obtained </w:t>
      </w:r>
      <w:r w:rsidR="00D61D4B" w:rsidRPr="00BA5A85">
        <w:rPr>
          <w:rFonts w:cs="Times New Roman"/>
          <w:szCs w:val="24"/>
        </w:rPr>
        <w:t>by GraphPad Prism 5 software.</w:t>
      </w:r>
    </w:p>
    <w:p w14:paraId="0F8C5030" w14:textId="14ED0CD1" w:rsidR="00013268" w:rsidRPr="00BA5A85" w:rsidRDefault="00013268" w:rsidP="00013268">
      <w:pPr>
        <w:spacing w:line="480" w:lineRule="auto"/>
        <w:jc w:val="both"/>
        <w:rPr>
          <w:rFonts w:cs="Times New Roman"/>
          <w:szCs w:val="24"/>
        </w:rPr>
      </w:pPr>
      <m:oMathPara>
        <m:oMath>
          <m:r>
            <m:rPr>
              <m:sty m:val="p"/>
            </m:rPr>
            <w:rPr>
              <w:rFonts w:ascii="Cambria Math" w:eastAsia="Calibri" w:hAnsi="Cambria Math" w:cs="Times New Roman"/>
              <w:color w:val="000000"/>
              <w:kern w:val="0"/>
              <w:szCs w:val="24"/>
              <w14:ligatures w14:val="none"/>
            </w:rPr>
            <m:t>% inhibition</m:t>
          </m:r>
          <m:r>
            <w:rPr>
              <w:rFonts w:ascii="Cambria Math" w:eastAsia="Calibri" w:hAnsi="Cambria Math" w:cs="Times New Roman"/>
              <w:color w:val="000000"/>
              <w:kern w:val="0"/>
              <w:szCs w:val="24"/>
              <w14:ligatures w14:val="none"/>
            </w:rPr>
            <m:t>=</m:t>
          </m:r>
          <m:f>
            <m:fPr>
              <m:ctrlPr>
                <w:rPr>
                  <w:rFonts w:ascii="Cambria Math" w:eastAsia="Calibri" w:hAnsi="Cambria Math" w:cs="Times New Roman"/>
                  <w:bCs/>
                  <w:color w:val="000000"/>
                  <w:kern w:val="0"/>
                  <w:szCs w:val="24"/>
                  <w14:ligatures w14:val="none"/>
                </w:rPr>
              </m:ctrlPr>
            </m:fPr>
            <m:num>
              <m:r>
                <w:rPr>
                  <w:rFonts w:ascii="Cambria Math" w:eastAsia="Calibri" w:hAnsi="Cambria Math" w:cs="Times New Roman"/>
                  <w:color w:val="000000"/>
                  <w:kern w:val="0"/>
                  <w:szCs w:val="24"/>
                  <w14:ligatures w14:val="none"/>
                </w:rPr>
                <m:t>Mean OD of untreated cells-Mean OD of of Treated cells</m:t>
              </m:r>
            </m:num>
            <m:den>
              <m:r>
                <w:rPr>
                  <w:rFonts w:ascii="Cambria Math" w:eastAsia="Calibri" w:hAnsi="Cambria Math" w:cs="Times New Roman"/>
                  <w:color w:val="000000"/>
                  <w:kern w:val="0"/>
                  <w:szCs w:val="24"/>
                  <w14:ligatures w14:val="none"/>
                </w:rPr>
                <m:t>Mean OD of untreated cells</m:t>
              </m:r>
            </m:den>
          </m:f>
          <m:r>
            <w:rPr>
              <w:rFonts w:ascii="Cambria Math" w:eastAsia="Calibri" w:hAnsi="Cambria Math" w:cs="Times New Roman"/>
              <w:color w:val="000000"/>
              <w:kern w:val="0"/>
              <w:szCs w:val="24"/>
              <w14:ligatures w14:val="none"/>
            </w:rPr>
            <m:t>×100</m:t>
          </m:r>
        </m:oMath>
      </m:oMathPara>
    </w:p>
    <w:p w14:paraId="028DC008" w14:textId="30E828D3" w:rsidR="00BA5A85" w:rsidRPr="00BA5A85" w:rsidRDefault="00BA5A85" w:rsidP="00013268">
      <w:pPr>
        <w:spacing w:line="480" w:lineRule="auto"/>
        <w:jc w:val="both"/>
        <w:rPr>
          <w:rFonts w:cs="Times New Roman"/>
          <w:b/>
          <w:bCs/>
          <w:szCs w:val="24"/>
        </w:rPr>
      </w:pPr>
      <w:r w:rsidRPr="00BA5A85">
        <w:rPr>
          <w:rFonts w:cs="Times New Roman"/>
          <w:b/>
          <w:bCs/>
          <w:szCs w:val="24"/>
        </w:rPr>
        <w:t>DAPI</w:t>
      </w:r>
    </w:p>
    <w:p w14:paraId="3536C9BB" w14:textId="5C771ECA" w:rsidR="00777FE5" w:rsidRDefault="00BA5A85" w:rsidP="00013268">
      <w:pPr>
        <w:spacing w:line="480" w:lineRule="auto"/>
        <w:jc w:val="both"/>
        <w:rPr>
          <w:rFonts w:cs="Times New Roman"/>
          <w:szCs w:val="24"/>
        </w:rPr>
      </w:pPr>
      <w:r w:rsidRPr="00BA5A85">
        <w:rPr>
          <w:rFonts w:cs="Times New Roman"/>
          <w:szCs w:val="24"/>
        </w:rPr>
        <w:t>Dalton's Lymphoma (DL) cells were c</w:t>
      </w:r>
      <w:r>
        <w:rPr>
          <w:rFonts w:cs="Times New Roman"/>
          <w:szCs w:val="24"/>
        </w:rPr>
        <w:t>ultured</w:t>
      </w:r>
      <w:r w:rsidRPr="00BA5A85">
        <w:rPr>
          <w:rFonts w:cs="Times New Roman"/>
          <w:szCs w:val="24"/>
        </w:rPr>
        <w:t xml:space="preserve"> in RPMI-1640 media </w:t>
      </w:r>
      <w:r>
        <w:rPr>
          <w:rFonts w:cs="Times New Roman"/>
          <w:szCs w:val="24"/>
        </w:rPr>
        <w:t>in a 6-well culture plate and treated with</w:t>
      </w:r>
      <w:r w:rsidRPr="00BA5A85">
        <w:rPr>
          <w:rFonts w:cs="Times New Roman"/>
          <w:szCs w:val="24"/>
        </w:rPr>
        <w:t xml:space="preserve"> chloroquine at concentrations of 5 µM, 10 µM, and 20 µM for 24 hours, with an untreated group designated as the control. </w:t>
      </w:r>
      <w:r>
        <w:rPr>
          <w:rFonts w:cs="Times New Roman"/>
          <w:szCs w:val="24"/>
        </w:rPr>
        <w:t>After</w:t>
      </w:r>
      <w:r w:rsidRPr="00BA5A85">
        <w:rPr>
          <w:rFonts w:cs="Times New Roman"/>
          <w:szCs w:val="24"/>
        </w:rPr>
        <w:t xml:space="preserve"> treatment, the cells were fixed with 4% paraformaldehyde</w:t>
      </w:r>
      <w:r w:rsidR="00371852">
        <w:rPr>
          <w:rFonts w:cs="Times New Roman"/>
          <w:szCs w:val="24"/>
        </w:rPr>
        <w:t xml:space="preserve"> (PFA)</w:t>
      </w:r>
      <w:r w:rsidRPr="00BA5A85">
        <w:rPr>
          <w:rFonts w:cs="Times New Roman"/>
          <w:szCs w:val="24"/>
        </w:rPr>
        <w:t xml:space="preserve">, permeabilized with 0.1% Triton X-100, and stained with a </w:t>
      </w:r>
      <w:r>
        <w:rPr>
          <w:rFonts w:cs="Times New Roman"/>
          <w:szCs w:val="24"/>
        </w:rPr>
        <w:t>40</w:t>
      </w:r>
      <w:r w:rsidRPr="00BA5A85">
        <w:rPr>
          <w:rFonts w:cs="Times New Roman"/>
          <w:szCs w:val="24"/>
        </w:rPr>
        <w:t xml:space="preserve"> µg/mL DAPI solution</w:t>
      </w:r>
      <w:r w:rsidR="00013268">
        <w:rPr>
          <w:rFonts w:cs="Times New Roman"/>
          <w:szCs w:val="24"/>
        </w:rPr>
        <w:t xml:space="preserve"> </w:t>
      </w:r>
      <w:r w:rsidR="00013268" w:rsidRPr="00850A64">
        <w:rPr>
          <w:rFonts w:cs="Times New Roman"/>
          <w:bCs/>
          <w:szCs w:val="24"/>
        </w:rPr>
        <w:t>(4,6-diamidino-2-phenylindole)</w:t>
      </w:r>
      <w:r w:rsidRPr="00BA5A85">
        <w:rPr>
          <w:rFonts w:cs="Times New Roman"/>
          <w:szCs w:val="24"/>
        </w:rPr>
        <w:t>. The</w:t>
      </w:r>
      <w:r w:rsidR="00371852">
        <w:rPr>
          <w:rFonts w:cs="Times New Roman"/>
          <w:szCs w:val="24"/>
        </w:rPr>
        <w:t xml:space="preserve"> </w:t>
      </w:r>
      <w:r w:rsidRPr="00BA5A85">
        <w:rPr>
          <w:rFonts w:cs="Times New Roman"/>
          <w:szCs w:val="24"/>
        </w:rPr>
        <w:t>nuclei were visualised and</w:t>
      </w:r>
      <w:r w:rsidR="00013268">
        <w:rPr>
          <w:rFonts w:cs="Times New Roman"/>
          <w:szCs w:val="24"/>
        </w:rPr>
        <w:t xml:space="preserve"> the </w:t>
      </w:r>
      <w:r w:rsidR="00037F82">
        <w:rPr>
          <w:rFonts w:cs="Times New Roman"/>
          <w:szCs w:val="24"/>
        </w:rPr>
        <w:t>images</w:t>
      </w:r>
      <w:r w:rsidR="00013268">
        <w:rPr>
          <w:rFonts w:cs="Times New Roman"/>
          <w:szCs w:val="24"/>
        </w:rPr>
        <w:t xml:space="preserve"> were captured </w:t>
      </w:r>
      <w:r w:rsidRPr="00BA5A85">
        <w:rPr>
          <w:rFonts w:cs="Times New Roman"/>
          <w:szCs w:val="24"/>
        </w:rPr>
        <w:t>with a confocal microscope</w:t>
      </w:r>
      <w:r>
        <w:rPr>
          <w:rFonts w:cs="Times New Roman"/>
          <w:szCs w:val="24"/>
        </w:rPr>
        <w:t>.</w:t>
      </w:r>
    </w:p>
    <w:p w14:paraId="51787A2A" w14:textId="77777777" w:rsidR="000B5445" w:rsidRDefault="000B5445" w:rsidP="00013268">
      <w:pPr>
        <w:spacing w:line="480" w:lineRule="auto"/>
        <w:jc w:val="both"/>
        <w:rPr>
          <w:rFonts w:cs="Times New Roman"/>
          <w:szCs w:val="24"/>
        </w:rPr>
      </w:pPr>
    </w:p>
    <w:p w14:paraId="3AC1EE02" w14:textId="77777777" w:rsidR="000B5445" w:rsidRPr="00013268" w:rsidRDefault="000B5445" w:rsidP="00013268">
      <w:pPr>
        <w:spacing w:line="480" w:lineRule="auto"/>
        <w:jc w:val="both"/>
        <w:rPr>
          <w:rFonts w:cs="Times New Roman"/>
          <w:szCs w:val="24"/>
        </w:rPr>
      </w:pPr>
    </w:p>
    <w:p w14:paraId="18E86D57" w14:textId="5BA497BC" w:rsidR="00BA5A85" w:rsidRDefault="00BA5A85" w:rsidP="00013268">
      <w:pPr>
        <w:spacing w:line="480" w:lineRule="auto"/>
        <w:jc w:val="both"/>
        <w:rPr>
          <w:rFonts w:cs="Times New Roman"/>
          <w:b/>
          <w:bCs/>
          <w:szCs w:val="24"/>
        </w:rPr>
      </w:pPr>
      <w:r w:rsidRPr="00BA5A85">
        <w:rPr>
          <w:rFonts w:cs="Times New Roman"/>
          <w:b/>
          <w:bCs/>
          <w:szCs w:val="24"/>
        </w:rPr>
        <w:lastRenderedPageBreak/>
        <w:t>AO/EtBr</w:t>
      </w:r>
    </w:p>
    <w:p w14:paraId="6048CCDF" w14:textId="51F4A200" w:rsidR="00BA5A85" w:rsidRDefault="00BA5A85" w:rsidP="00013268">
      <w:pPr>
        <w:spacing w:line="480" w:lineRule="auto"/>
        <w:jc w:val="both"/>
        <w:rPr>
          <w:rFonts w:cs="Times New Roman"/>
          <w:szCs w:val="24"/>
        </w:rPr>
      </w:pPr>
      <w:r w:rsidRPr="00BA5A85">
        <w:rPr>
          <w:rFonts w:cs="Times New Roman"/>
          <w:szCs w:val="24"/>
        </w:rPr>
        <w:t>Dalton's Lymphoma (DL) cells were cul</w:t>
      </w:r>
      <w:r w:rsidR="00013268">
        <w:rPr>
          <w:rFonts w:cs="Times New Roman"/>
          <w:szCs w:val="24"/>
        </w:rPr>
        <w:t xml:space="preserve">tured </w:t>
      </w:r>
      <w:r w:rsidRPr="00BA5A85">
        <w:rPr>
          <w:rFonts w:cs="Times New Roman"/>
          <w:szCs w:val="24"/>
        </w:rPr>
        <w:t xml:space="preserve">in </w:t>
      </w:r>
      <w:r w:rsidR="00182415">
        <w:rPr>
          <w:rFonts w:cs="Times New Roman"/>
          <w:szCs w:val="24"/>
        </w:rPr>
        <w:t xml:space="preserve">complete </w:t>
      </w:r>
      <w:r w:rsidRPr="00BA5A85">
        <w:rPr>
          <w:rFonts w:cs="Times New Roman"/>
          <w:szCs w:val="24"/>
        </w:rPr>
        <w:t>RPMI-1640 media and inoculated into 6-well plates</w:t>
      </w:r>
      <w:r>
        <w:rPr>
          <w:rFonts w:cs="Times New Roman"/>
          <w:szCs w:val="24"/>
        </w:rPr>
        <w:t xml:space="preserve">, and </w:t>
      </w:r>
      <w:r w:rsidRPr="00BA5A85">
        <w:rPr>
          <w:rFonts w:cs="Times New Roman"/>
          <w:szCs w:val="24"/>
        </w:rPr>
        <w:t>the cells were administered chloroquine at concentrations of 5 µM, 10 µM, and 20 µM for</w:t>
      </w:r>
      <w:r w:rsidR="00182415">
        <w:rPr>
          <w:rFonts w:cs="Times New Roman"/>
          <w:szCs w:val="24"/>
        </w:rPr>
        <w:t xml:space="preserve"> incubated for</w:t>
      </w:r>
      <w:r w:rsidRPr="00BA5A85">
        <w:rPr>
          <w:rFonts w:cs="Times New Roman"/>
          <w:szCs w:val="24"/>
        </w:rPr>
        <w:t xml:space="preserve"> 24 hours, in combination with an untreated control group. </w:t>
      </w:r>
      <w:r>
        <w:rPr>
          <w:rFonts w:cs="Times New Roman"/>
          <w:szCs w:val="24"/>
        </w:rPr>
        <w:t>After</w:t>
      </w:r>
      <w:r w:rsidRPr="00BA5A85">
        <w:rPr>
          <w:rFonts w:cs="Times New Roman"/>
          <w:szCs w:val="24"/>
        </w:rPr>
        <w:t xml:space="preserve"> the treatment period, cells were collected and rinsed with phosphate-buffered saline (PBS). A staining solution comprising Acridine Orange (</w:t>
      </w:r>
      <w:r>
        <w:rPr>
          <w:rFonts w:cs="Times New Roman"/>
          <w:szCs w:val="24"/>
        </w:rPr>
        <w:t>40</w:t>
      </w:r>
      <w:r w:rsidRPr="00BA5A85">
        <w:rPr>
          <w:rFonts w:cs="Times New Roman"/>
          <w:szCs w:val="24"/>
        </w:rPr>
        <w:t xml:space="preserve"> µg/mL) and Ethidium Bromide (</w:t>
      </w:r>
      <w:r>
        <w:rPr>
          <w:rFonts w:cs="Times New Roman"/>
          <w:szCs w:val="24"/>
        </w:rPr>
        <w:t xml:space="preserve">40 </w:t>
      </w:r>
      <w:r w:rsidRPr="00BA5A85">
        <w:rPr>
          <w:rFonts w:cs="Times New Roman"/>
          <w:szCs w:val="24"/>
        </w:rPr>
        <w:t xml:space="preserve">µg/mL) was introduced to the cell suspension. Following a </w:t>
      </w:r>
      <w:r w:rsidR="00037F82">
        <w:rPr>
          <w:rFonts w:cs="Times New Roman"/>
          <w:szCs w:val="24"/>
        </w:rPr>
        <w:t>15-minute</w:t>
      </w:r>
      <w:r w:rsidRPr="00BA5A85">
        <w:rPr>
          <w:rFonts w:cs="Times New Roman"/>
          <w:szCs w:val="24"/>
        </w:rPr>
        <w:t xml:space="preserve"> incubation period in </w:t>
      </w:r>
      <w:r w:rsidR="00037F82">
        <w:rPr>
          <w:rFonts w:cs="Times New Roman"/>
          <w:szCs w:val="24"/>
        </w:rPr>
        <w:t xml:space="preserve">the </w:t>
      </w:r>
      <w:r w:rsidRPr="00BA5A85">
        <w:rPr>
          <w:rFonts w:cs="Times New Roman"/>
          <w:szCs w:val="24"/>
        </w:rPr>
        <w:t>dark</w:t>
      </w:r>
      <w:r w:rsidR="00182415">
        <w:rPr>
          <w:rFonts w:cs="Times New Roman"/>
          <w:szCs w:val="24"/>
        </w:rPr>
        <w:t xml:space="preserve"> at room </w:t>
      </w:r>
      <w:r w:rsidR="00E13570">
        <w:rPr>
          <w:rFonts w:cs="Times New Roman"/>
          <w:szCs w:val="24"/>
        </w:rPr>
        <w:t>temperature</w:t>
      </w:r>
      <w:r w:rsidRPr="00BA5A85">
        <w:rPr>
          <w:rFonts w:cs="Times New Roman"/>
          <w:szCs w:val="24"/>
        </w:rPr>
        <w:t xml:space="preserve">, the cells were promptly examined under a </w:t>
      </w:r>
      <w:r>
        <w:rPr>
          <w:rFonts w:cs="Times New Roman"/>
          <w:szCs w:val="24"/>
        </w:rPr>
        <w:t>confocal</w:t>
      </w:r>
      <w:r w:rsidRPr="00BA5A85">
        <w:rPr>
          <w:rFonts w:cs="Times New Roman"/>
          <w:szCs w:val="24"/>
        </w:rPr>
        <w:t xml:space="preserve"> microscope with </w:t>
      </w:r>
      <w:r w:rsidR="00E13570">
        <w:rPr>
          <w:rFonts w:cs="Times New Roman"/>
          <w:szCs w:val="24"/>
        </w:rPr>
        <w:t>red (TRITC)</w:t>
      </w:r>
      <w:r w:rsidRPr="00BA5A85">
        <w:rPr>
          <w:rFonts w:cs="Times New Roman"/>
          <w:szCs w:val="24"/>
        </w:rPr>
        <w:t xml:space="preserve"> and green </w:t>
      </w:r>
      <w:r w:rsidR="00E13570">
        <w:rPr>
          <w:rFonts w:cs="Times New Roman"/>
          <w:szCs w:val="24"/>
        </w:rPr>
        <w:t xml:space="preserve">(FITC) </w:t>
      </w:r>
      <w:r w:rsidR="00530DAD" w:rsidRPr="00BA5A85">
        <w:rPr>
          <w:rFonts w:cs="Times New Roman"/>
          <w:szCs w:val="24"/>
        </w:rPr>
        <w:t>filters</w:t>
      </w:r>
      <w:r w:rsidR="00530DAD">
        <w:rPr>
          <w:rFonts w:cs="Times New Roman"/>
          <w:szCs w:val="24"/>
        </w:rPr>
        <w:t xml:space="preserve"> </w:t>
      </w:r>
      <w:r w:rsidR="00530DAD" w:rsidRPr="00BA5A85">
        <w:rPr>
          <w:rFonts w:cs="Times New Roman"/>
          <w:szCs w:val="24"/>
        </w:rPr>
        <w:t>to</w:t>
      </w:r>
      <w:r w:rsidRPr="00BA5A85">
        <w:rPr>
          <w:rFonts w:cs="Times New Roman"/>
          <w:szCs w:val="24"/>
        </w:rPr>
        <w:t xml:space="preserve"> visualise the</w:t>
      </w:r>
      <w:r w:rsidR="00371852">
        <w:rPr>
          <w:rFonts w:cs="Times New Roman"/>
          <w:szCs w:val="24"/>
        </w:rPr>
        <w:t xml:space="preserve"> </w:t>
      </w:r>
      <w:r w:rsidRPr="00BA5A85">
        <w:rPr>
          <w:rFonts w:cs="Times New Roman"/>
          <w:szCs w:val="24"/>
        </w:rPr>
        <w:t>nuclei</w:t>
      </w:r>
      <w:r w:rsidR="00182415">
        <w:rPr>
          <w:rFonts w:cs="Times New Roman"/>
          <w:szCs w:val="24"/>
        </w:rPr>
        <w:t xml:space="preserve"> and the cytoplasm</w:t>
      </w:r>
      <w:r w:rsidR="0043313A">
        <w:rPr>
          <w:rFonts w:cs="Times New Roman"/>
          <w:szCs w:val="24"/>
        </w:rPr>
        <w:t xml:space="preserve"> [21]</w:t>
      </w:r>
      <w:r w:rsidR="00037F82">
        <w:rPr>
          <w:rFonts w:cs="Times New Roman"/>
          <w:szCs w:val="24"/>
        </w:rPr>
        <w:t>,</w:t>
      </w:r>
      <w:r w:rsidRPr="00BA5A85">
        <w:rPr>
          <w:rFonts w:cs="Times New Roman"/>
          <w:szCs w:val="24"/>
        </w:rPr>
        <w:t xml:space="preserve"> and images were </w:t>
      </w:r>
      <w:r w:rsidR="00182415">
        <w:rPr>
          <w:rFonts w:cs="Times New Roman"/>
          <w:szCs w:val="24"/>
        </w:rPr>
        <w:t>taken</w:t>
      </w:r>
      <w:r w:rsidRPr="00BA5A85">
        <w:rPr>
          <w:rFonts w:cs="Times New Roman"/>
          <w:szCs w:val="24"/>
        </w:rPr>
        <w:t xml:space="preserve"> for </w:t>
      </w:r>
      <w:r w:rsidR="00E13570">
        <w:rPr>
          <w:rFonts w:cs="Times New Roman"/>
          <w:szCs w:val="24"/>
        </w:rPr>
        <w:t xml:space="preserve">the </w:t>
      </w:r>
      <w:r w:rsidRPr="00BA5A85">
        <w:rPr>
          <w:rFonts w:cs="Times New Roman"/>
          <w:szCs w:val="24"/>
        </w:rPr>
        <w:t>analysis.</w:t>
      </w:r>
    </w:p>
    <w:p w14:paraId="15679999" w14:textId="77777777" w:rsidR="00BA5A85" w:rsidRDefault="00BA5A85" w:rsidP="00013268">
      <w:pPr>
        <w:spacing w:line="480" w:lineRule="auto"/>
        <w:jc w:val="both"/>
        <w:rPr>
          <w:rFonts w:cs="Times New Roman"/>
          <w:b/>
          <w:bCs/>
          <w:szCs w:val="24"/>
        </w:rPr>
      </w:pPr>
      <w:r w:rsidRPr="00BA5A85">
        <w:rPr>
          <w:rFonts w:cs="Times New Roman"/>
          <w:b/>
          <w:bCs/>
          <w:szCs w:val="24"/>
        </w:rPr>
        <w:t>Annexin/</w:t>
      </w:r>
      <w:r>
        <w:rPr>
          <w:rFonts w:cs="Times New Roman"/>
          <w:b/>
          <w:bCs/>
          <w:szCs w:val="24"/>
        </w:rPr>
        <w:t>P</w:t>
      </w:r>
      <w:r w:rsidRPr="00BA5A85">
        <w:rPr>
          <w:rFonts w:cs="Times New Roman"/>
          <w:b/>
          <w:bCs/>
          <w:szCs w:val="24"/>
        </w:rPr>
        <w:t>I staining</w:t>
      </w:r>
    </w:p>
    <w:p w14:paraId="21B3D7CC" w14:textId="2874DEA7" w:rsidR="00BA5A85" w:rsidRPr="00BA5A85" w:rsidRDefault="00BA5A85" w:rsidP="00013268">
      <w:pPr>
        <w:spacing w:line="480" w:lineRule="auto"/>
        <w:jc w:val="both"/>
        <w:rPr>
          <w:rFonts w:cs="Times New Roman"/>
          <w:szCs w:val="24"/>
        </w:rPr>
      </w:pPr>
      <w:r w:rsidRPr="00BA5A85">
        <w:rPr>
          <w:rFonts w:cs="Times New Roman"/>
          <w:szCs w:val="24"/>
        </w:rPr>
        <w:t>Dalton's Lymphoma (DL) cells were</w:t>
      </w:r>
      <w:r w:rsidR="00E13570">
        <w:rPr>
          <w:rFonts w:cs="Times New Roman"/>
          <w:szCs w:val="24"/>
        </w:rPr>
        <w:t xml:space="preserve"> isolated</w:t>
      </w:r>
      <w:r w:rsidR="00037F82">
        <w:rPr>
          <w:rFonts w:cs="Times New Roman"/>
          <w:szCs w:val="24"/>
        </w:rPr>
        <w:t>,</w:t>
      </w:r>
      <w:r w:rsidR="00E13570">
        <w:rPr>
          <w:rFonts w:cs="Times New Roman"/>
          <w:szCs w:val="24"/>
        </w:rPr>
        <w:t xml:space="preserve"> </w:t>
      </w:r>
      <w:r w:rsidR="00037F82">
        <w:rPr>
          <w:rFonts w:cs="Times New Roman"/>
          <w:szCs w:val="24"/>
        </w:rPr>
        <w:t>centrifuged,</w:t>
      </w:r>
      <w:r w:rsidR="00E13570">
        <w:rPr>
          <w:rFonts w:cs="Times New Roman"/>
          <w:szCs w:val="24"/>
        </w:rPr>
        <w:t xml:space="preserve"> and</w:t>
      </w:r>
      <w:r w:rsidRPr="00BA5A85">
        <w:rPr>
          <w:rFonts w:cs="Times New Roman"/>
          <w:szCs w:val="24"/>
        </w:rPr>
        <w:t xml:space="preserve"> </w:t>
      </w:r>
      <w:r w:rsidR="00182415">
        <w:rPr>
          <w:rFonts w:cs="Times New Roman"/>
          <w:szCs w:val="24"/>
        </w:rPr>
        <w:t>suspended</w:t>
      </w:r>
      <w:r w:rsidRPr="00BA5A85">
        <w:rPr>
          <w:rFonts w:cs="Times New Roman"/>
          <w:szCs w:val="24"/>
        </w:rPr>
        <w:t xml:space="preserve"> in</w:t>
      </w:r>
      <w:r w:rsidR="00182415">
        <w:rPr>
          <w:rFonts w:cs="Times New Roman"/>
          <w:szCs w:val="24"/>
        </w:rPr>
        <w:t xml:space="preserve"> complete</w:t>
      </w:r>
      <w:r w:rsidRPr="00BA5A85">
        <w:rPr>
          <w:rFonts w:cs="Times New Roman"/>
          <w:szCs w:val="24"/>
        </w:rPr>
        <w:t xml:space="preserve"> RPMI-1640 media and </w:t>
      </w:r>
      <w:r>
        <w:rPr>
          <w:rFonts w:cs="Times New Roman"/>
          <w:szCs w:val="24"/>
        </w:rPr>
        <w:t xml:space="preserve">seeded </w:t>
      </w:r>
      <w:r w:rsidR="00182415">
        <w:rPr>
          <w:rFonts w:cs="Times New Roman"/>
          <w:szCs w:val="24"/>
        </w:rPr>
        <w:t xml:space="preserve">in </w:t>
      </w:r>
      <w:r w:rsidR="00037F82">
        <w:rPr>
          <w:rFonts w:cs="Times New Roman"/>
          <w:szCs w:val="24"/>
        </w:rPr>
        <w:t>6-well</w:t>
      </w:r>
      <w:r w:rsidR="00182415">
        <w:rPr>
          <w:rFonts w:cs="Times New Roman"/>
          <w:szCs w:val="24"/>
        </w:rPr>
        <w:t xml:space="preserve"> culture </w:t>
      </w:r>
      <w:r w:rsidR="009F293F">
        <w:rPr>
          <w:rFonts w:cs="Times New Roman"/>
          <w:szCs w:val="24"/>
        </w:rPr>
        <w:t>plate</w:t>
      </w:r>
      <w:r w:rsidR="00182415">
        <w:rPr>
          <w:rFonts w:cs="Times New Roman"/>
          <w:szCs w:val="24"/>
        </w:rPr>
        <w:t xml:space="preserve"> and exposed </w:t>
      </w:r>
      <w:r w:rsidR="00037F82">
        <w:rPr>
          <w:rFonts w:cs="Times New Roman"/>
          <w:szCs w:val="24"/>
        </w:rPr>
        <w:t>to</w:t>
      </w:r>
      <w:r w:rsidR="00182415">
        <w:rPr>
          <w:rFonts w:cs="Times New Roman"/>
          <w:szCs w:val="24"/>
        </w:rPr>
        <w:t xml:space="preserve"> different </w:t>
      </w:r>
      <w:r w:rsidR="00037F82">
        <w:rPr>
          <w:rFonts w:cs="Times New Roman"/>
          <w:szCs w:val="24"/>
        </w:rPr>
        <w:t>concentrations</w:t>
      </w:r>
      <w:r w:rsidR="00182415">
        <w:rPr>
          <w:rFonts w:cs="Times New Roman"/>
          <w:szCs w:val="24"/>
        </w:rPr>
        <w:t xml:space="preserve"> of </w:t>
      </w:r>
      <w:r w:rsidR="00182415" w:rsidRPr="00BA5A85">
        <w:rPr>
          <w:rFonts w:cs="Times New Roman"/>
          <w:szCs w:val="24"/>
        </w:rPr>
        <w:t>chloroquine</w:t>
      </w:r>
      <w:r w:rsidRPr="00BA5A85">
        <w:rPr>
          <w:rFonts w:cs="Times New Roman"/>
          <w:szCs w:val="24"/>
        </w:rPr>
        <w:t xml:space="preserve"> </w:t>
      </w:r>
      <w:r w:rsidR="00182415">
        <w:rPr>
          <w:rFonts w:cs="Times New Roman"/>
          <w:szCs w:val="24"/>
        </w:rPr>
        <w:t>(</w:t>
      </w:r>
      <w:r w:rsidRPr="00BA5A85">
        <w:rPr>
          <w:rFonts w:cs="Times New Roman"/>
          <w:szCs w:val="24"/>
        </w:rPr>
        <w:t>5</w:t>
      </w:r>
      <w:r w:rsidR="00182415">
        <w:rPr>
          <w:rFonts w:cs="Times New Roman"/>
          <w:szCs w:val="24"/>
        </w:rPr>
        <w:t xml:space="preserve"> </w:t>
      </w:r>
      <w:r w:rsidRPr="00BA5A85">
        <w:rPr>
          <w:rFonts w:cs="Times New Roman"/>
          <w:szCs w:val="24"/>
        </w:rPr>
        <w:t xml:space="preserve">µM, 10 µM, </w:t>
      </w:r>
      <w:r w:rsidR="00182415">
        <w:rPr>
          <w:rFonts w:cs="Times New Roman"/>
          <w:szCs w:val="24"/>
        </w:rPr>
        <w:t xml:space="preserve">&amp; </w:t>
      </w:r>
      <w:r w:rsidRPr="00BA5A85">
        <w:rPr>
          <w:rFonts w:cs="Times New Roman"/>
          <w:szCs w:val="24"/>
        </w:rPr>
        <w:t>20 µM</w:t>
      </w:r>
      <w:r w:rsidR="00182415">
        <w:rPr>
          <w:rFonts w:cs="Times New Roman"/>
          <w:szCs w:val="24"/>
        </w:rPr>
        <w:t>) for 24</w:t>
      </w:r>
      <w:r w:rsidRPr="00BA5A85">
        <w:rPr>
          <w:rFonts w:cs="Times New Roman"/>
          <w:szCs w:val="24"/>
        </w:rPr>
        <w:t xml:space="preserve"> hours, with </w:t>
      </w:r>
      <w:r w:rsidR="00037F82">
        <w:rPr>
          <w:rFonts w:cs="Times New Roman"/>
          <w:szCs w:val="24"/>
        </w:rPr>
        <w:t xml:space="preserve">a </w:t>
      </w:r>
      <w:r w:rsidRPr="00BA5A85">
        <w:rPr>
          <w:rFonts w:cs="Times New Roman"/>
          <w:szCs w:val="24"/>
        </w:rPr>
        <w:t>contr</w:t>
      </w:r>
      <w:r>
        <w:rPr>
          <w:rFonts w:cs="Times New Roman"/>
          <w:szCs w:val="24"/>
        </w:rPr>
        <w:t>ol</w:t>
      </w:r>
      <w:r w:rsidR="00E13570">
        <w:rPr>
          <w:rFonts w:cs="Times New Roman"/>
          <w:szCs w:val="24"/>
        </w:rPr>
        <w:t xml:space="preserve"> group</w:t>
      </w:r>
      <w:r>
        <w:rPr>
          <w:rFonts w:cs="Times New Roman"/>
          <w:szCs w:val="24"/>
        </w:rPr>
        <w:t>.</w:t>
      </w:r>
      <w:r>
        <w:rPr>
          <w:rFonts w:cs="Times New Roman"/>
          <w:b/>
          <w:bCs/>
          <w:szCs w:val="24"/>
        </w:rPr>
        <w:t xml:space="preserve"> </w:t>
      </w:r>
      <w:r>
        <w:rPr>
          <w:rFonts w:cs="Times New Roman"/>
          <w:szCs w:val="24"/>
        </w:rPr>
        <w:t>After</w:t>
      </w:r>
      <w:r w:rsidRPr="00BA5A85">
        <w:rPr>
          <w:rFonts w:cs="Times New Roman"/>
          <w:szCs w:val="24"/>
        </w:rPr>
        <w:t xml:space="preserve"> </w:t>
      </w:r>
      <w:r w:rsidR="00E13570">
        <w:rPr>
          <w:rFonts w:cs="Times New Roman"/>
          <w:szCs w:val="24"/>
        </w:rPr>
        <w:t>24 hours of the treatment</w:t>
      </w:r>
      <w:r w:rsidRPr="00BA5A85">
        <w:rPr>
          <w:rFonts w:cs="Times New Roman"/>
          <w:szCs w:val="24"/>
        </w:rPr>
        <w:t xml:space="preserve">, cells were collected and rinsed with cold phosphate-buffered saline (PBS). The cell pellet was subsequently resuspended in </w:t>
      </w:r>
      <w:r w:rsidR="003C6545">
        <w:rPr>
          <w:rFonts w:cs="Times New Roman"/>
          <w:szCs w:val="24"/>
        </w:rPr>
        <w:t>1X</w:t>
      </w:r>
      <w:r w:rsidRPr="00BA5A85">
        <w:rPr>
          <w:rFonts w:cs="Times New Roman"/>
          <w:szCs w:val="24"/>
        </w:rPr>
        <w:t xml:space="preserve"> Annexin V binding buffer. Annexin V-FITC and Propidium Iodide (PI) were included </w:t>
      </w:r>
      <w:r>
        <w:rPr>
          <w:rFonts w:cs="Times New Roman"/>
          <w:szCs w:val="24"/>
        </w:rPr>
        <w:t>in</w:t>
      </w:r>
      <w:r w:rsidRPr="00BA5A85">
        <w:rPr>
          <w:rFonts w:cs="Times New Roman"/>
          <w:szCs w:val="24"/>
        </w:rPr>
        <w:t xml:space="preserve"> the cell suspension in accordance with the </w:t>
      </w:r>
      <w:r w:rsidRPr="009F293F">
        <w:rPr>
          <w:rFonts w:cs="Times New Roman"/>
          <w:szCs w:val="24"/>
        </w:rPr>
        <w:t>manufacturer's instructions</w:t>
      </w:r>
      <w:r w:rsidRPr="00BA5A85">
        <w:rPr>
          <w:rFonts w:cs="Times New Roman"/>
          <w:szCs w:val="24"/>
        </w:rPr>
        <w:t xml:space="preserve">. The cells were incubated in the dark at room temperature for 15 minutes. </w:t>
      </w:r>
      <w:r>
        <w:rPr>
          <w:rFonts w:cs="Times New Roman"/>
          <w:szCs w:val="24"/>
        </w:rPr>
        <w:t>After</w:t>
      </w:r>
      <w:r w:rsidRPr="00BA5A85">
        <w:rPr>
          <w:rFonts w:cs="Times New Roman"/>
          <w:szCs w:val="24"/>
        </w:rPr>
        <w:t xml:space="preserve"> incubation, a small aliquot of the cell suspension was dropped on a glass slide, covered with a coverslip, and examined under a </w:t>
      </w:r>
      <w:r>
        <w:rPr>
          <w:rFonts w:cs="Times New Roman"/>
          <w:szCs w:val="24"/>
        </w:rPr>
        <w:t xml:space="preserve">confocal </w:t>
      </w:r>
      <w:r w:rsidRPr="00BA5A85">
        <w:rPr>
          <w:rFonts w:cs="Times New Roman"/>
          <w:szCs w:val="24"/>
        </w:rPr>
        <w:t>microscope fitted with filters for FITC (green) and PI (red) fluorescence.</w:t>
      </w:r>
      <w:r>
        <w:rPr>
          <w:rFonts w:cs="Times New Roman"/>
          <w:b/>
          <w:bCs/>
          <w:szCs w:val="24"/>
        </w:rPr>
        <w:t xml:space="preserve"> </w:t>
      </w:r>
      <w:r w:rsidRPr="00BA5A85">
        <w:rPr>
          <w:rFonts w:cs="Times New Roman"/>
          <w:szCs w:val="24"/>
        </w:rPr>
        <w:t>Further evaluated by Flow Cytometry</w:t>
      </w:r>
      <w:r>
        <w:rPr>
          <w:rFonts w:cs="Times New Roman"/>
          <w:b/>
          <w:bCs/>
          <w:szCs w:val="24"/>
        </w:rPr>
        <w:t xml:space="preserve"> </w:t>
      </w:r>
      <w:r w:rsidR="00530DAD">
        <w:rPr>
          <w:rFonts w:cs="Times New Roman"/>
          <w:szCs w:val="24"/>
        </w:rPr>
        <w:t>(</w:t>
      </w:r>
      <w:r w:rsidR="00530DAD" w:rsidRPr="00417BC7">
        <w:rPr>
          <w:rFonts w:cs="Times New Roman"/>
          <w:szCs w:val="24"/>
        </w:rPr>
        <w:t>Beckman Coulter CytoFLEX LX flow cytometer</w:t>
      </w:r>
      <w:r w:rsidR="00530DAD">
        <w:rPr>
          <w:rFonts w:cs="Times New Roman"/>
          <w:szCs w:val="24"/>
        </w:rPr>
        <w:t>)</w:t>
      </w:r>
      <w:r>
        <w:rPr>
          <w:rFonts w:cs="Times New Roman"/>
          <w:szCs w:val="24"/>
        </w:rPr>
        <w:t>.</w:t>
      </w:r>
      <w:r w:rsidRPr="00BA5A85">
        <w:rPr>
          <w:rFonts w:cs="Times New Roman"/>
          <w:szCs w:val="24"/>
        </w:rPr>
        <w:t xml:space="preserve"> The data </w:t>
      </w:r>
      <w:r>
        <w:rPr>
          <w:rFonts w:cs="Times New Roman"/>
          <w:szCs w:val="24"/>
        </w:rPr>
        <w:t>were</w:t>
      </w:r>
      <w:r w:rsidRPr="00BA5A85">
        <w:rPr>
          <w:rFonts w:cs="Times New Roman"/>
          <w:szCs w:val="24"/>
        </w:rPr>
        <w:t xml:space="preserve"> examined to distinguish cell populations: viable cells (Annexin V-/PI-), early apoptotic cells (Annexin V+/PI-), and late apoptotic/necrotic cells (Annexin V+/PI+).</w:t>
      </w:r>
      <w:r>
        <w:rPr>
          <w:rFonts w:cs="Times New Roman"/>
          <w:szCs w:val="24"/>
        </w:rPr>
        <w:t xml:space="preserve"> </w:t>
      </w:r>
      <w:r w:rsidRPr="00BA5A85">
        <w:rPr>
          <w:rFonts w:cs="Times New Roman"/>
          <w:szCs w:val="24"/>
        </w:rPr>
        <w:t xml:space="preserve">and the study was done using the software </w:t>
      </w:r>
      <w:proofErr w:type="spellStart"/>
      <w:r w:rsidR="009F293F">
        <w:rPr>
          <w:rFonts w:cs="Times New Roman"/>
          <w:szCs w:val="24"/>
        </w:rPr>
        <w:t>FlowJo</w:t>
      </w:r>
      <w:proofErr w:type="spellEnd"/>
      <w:r w:rsidRPr="00BA5A85">
        <w:rPr>
          <w:rFonts w:cs="Times New Roman"/>
          <w:szCs w:val="24"/>
        </w:rPr>
        <w:t>.</w:t>
      </w:r>
    </w:p>
    <w:p w14:paraId="44C3E7F6" w14:textId="42438719" w:rsidR="00574001" w:rsidRPr="00BA5A85" w:rsidRDefault="00574001" w:rsidP="00013268">
      <w:pPr>
        <w:spacing w:line="480" w:lineRule="auto"/>
        <w:jc w:val="both"/>
        <w:rPr>
          <w:rFonts w:cs="Times New Roman"/>
          <w:b/>
          <w:bCs/>
          <w:szCs w:val="24"/>
        </w:rPr>
      </w:pPr>
      <w:r w:rsidRPr="00BA5A85">
        <w:rPr>
          <w:rFonts w:cs="Times New Roman"/>
          <w:b/>
          <w:bCs/>
          <w:szCs w:val="24"/>
        </w:rPr>
        <w:lastRenderedPageBreak/>
        <w:t>ROS estimation</w:t>
      </w:r>
    </w:p>
    <w:p w14:paraId="0DC3B538" w14:textId="57170057" w:rsidR="00BA5A85" w:rsidRDefault="001C79A8" w:rsidP="00013268">
      <w:pPr>
        <w:spacing w:line="480" w:lineRule="auto"/>
        <w:jc w:val="both"/>
        <w:rPr>
          <w:rFonts w:cs="Times New Roman"/>
          <w:szCs w:val="24"/>
        </w:rPr>
      </w:pPr>
      <w:r w:rsidRPr="00BA5A85">
        <w:rPr>
          <w:rFonts w:cs="Times New Roman"/>
          <w:szCs w:val="24"/>
        </w:rPr>
        <w:t xml:space="preserve">The intracellular ROS production was measured by DCFH-DA </w:t>
      </w:r>
      <w:r w:rsidR="00E76974" w:rsidRPr="00BA5A85">
        <w:rPr>
          <w:rFonts w:cs="Times New Roman"/>
          <w:szCs w:val="24"/>
        </w:rPr>
        <w:t xml:space="preserve">fluorescent dye. Briefly, DL cells were cultured with chloroquine </w:t>
      </w:r>
      <w:r w:rsidR="006D60E5" w:rsidRPr="00BA5A85">
        <w:rPr>
          <w:rFonts w:cs="Times New Roman"/>
          <w:szCs w:val="24"/>
        </w:rPr>
        <w:t>a</w:t>
      </w:r>
      <w:r w:rsidR="00E76974" w:rsidRPr="00BA5A85">
        <w:rPr>
          <w:rFonts w:cs="Times New Roman"/>
          <w:szCs w:val="24"/>
        </w:rPr>
        <w:t>t different concentrations for 24 h</w:t>
      </w:r>
      <w:r w:rsidR="006D60E5" w:rsidRPr="00BA5A85">
        <w:rPr>
          <w:rFonts w:cs="Times New Roman"/>
          <w:szCs w:val="24"/>
        </w:rPr>
        <w:t>ou</w:t>
      </w:r>
      <w:r w:rsidR="00E76974" w:rsidRPr="00BA5A85">
        <w:rPr>
          <w:rFonts w:cs="Times New Roman"/>
          <w:szCs w:val="24"/>
        </w:rPr>
        <w:t>r</w:t>
      </w:r>
      <w:r w:rsidR="006D60E5" w:rsidRPr="00BA5A85">
        <w:rPr>
          <w:rFonts w:cs="Times New Roman"/>
          <w:szCs w:val="24"/>
        </w:rPr>
        <w:t>s. After that cells were washed</w:t>
      </w:r>
      <w:r w:rsidR="006A48E4">
        <w:rPr>
          <w:rFonts w:cs="Times New Roman"/>
          <w:szCs w:val="24"/>
        </w:rPr>
        <w:t xml:space="preserve"> with chil</w:t>
      </w:r>
      <w:r w:rsidR="003C6545">
        <w:rPr>
          <w:rFonts w:cs="Times New Roman"/>
          <w:szCs w:val="24"/>
        </w:rPr>
        <w:t>le</w:t>
      </w:r>
      <w:r w:rsidR="006A48E4">
        <w:rPr>
          <w:rFonts w:cs="Times New Roman"/>
          <w:szCs w:val="24"/>
        </w:rPr>
        <w:t>d PBS</w:t>
      </w:r>
      <w:r w:rsidR="006D60E5" w:rsidRPr="00BA5A85">
        <w:rPr>
          <w:rFonts w:cs="Times New Roman"/>
          <w:szCs w:val="24"/>
        </w:rPr>
        <w:t xml:space="preserve"> and stained with DCFH-DA (</w:t>
      </w:r>
      <w:r w:rsidR="009F293F">
        <w:rPr>
          <w:rFonts w:cs="Times New Roman"/>
          <w:szCs w:val="24"/>
        </w:rPr>
        <w:t>2</w:t>
      </w:r>
      <w:r w:rsidR="006D60E5" w:rsidRPr="00BA5A85">
        <w:rPr>
          <w:rFonts w:cs="Times New Roman"/>
          <w:szCs w:val="24"/>
        </w:rPr>
        <w:t xml:space="preserve"> μ</w:t>
      </w:r>
      <w:r w:rsidR="009F293F">
        <w:rPr>
          <w:rFonts w:cs="Times New Roman"/>
          <w:szCs w:val="24"/>
        </w:rPr>
        <w:t>M</w:t>
      </w:r>
      <w:r w:rsidR="006D60E5" w:rsidRPr="00BA5A85">
        <w:rPr>
          <w:rFonts w:cs="Times New Roman"/>
          <w:szCs w:val="24"/>
        </w:rPr>
        <w:t>) and incubated at 37</w:t>
      </w:r>
      <w:r w:rsidR="006A48E4">
        <w:rPr>
          <w:rFonts w:cs="Times New Roman"/>
          <w:szCs w:val="24"/>
        </w:rPr>
        <w:t xml:space="preserve"> </w:t>
      </w:r>
      <w:r w:rsidR="006D60E5" w:rsidRPr="00BA5A85">
        <w:rPr>
          <w:rFonts w:cs="Times New Roman"/>
          <w:szCs w:val="24"/>
        </w:rPr>
        <w:t>℃ for 20 min. The morphological analysis and fluorescence intensity of stained cells were examined</w:t>
      </w:r>
      <w:r w:rsidR="009F293F">
        <w:rPr>
          <w:rFonts w:cs="Times New Roman"/>
          <w:szCs w:val="24"/>
        </w:rPr>
        <w:t xml:space="preserve"> </w:t>
      </w:r>
      <w:r w:rsidR="006D60E5" w:rsidRPr="00BA5A85">
        <w:rPr>
          <w:rFonts w:cs="Times New Roman"/>
          <w:szCs w:val="24"/>
        </w:rPr>
        <w:t xml:space="preserve">under </w:t>
      </w:r>
      <w:r w:rsidR="003C6545">
        <w:rPr>
          <w:rFonts w:cs="Times New Roman"/>
          <w:szCs w:val="24"/>
        </w:rPr>
        <w:t>40x</w:t>
      </w:r>
      <w:r w:rsidR="006D60E5" w:rsidRPr="00BA5A85">
        <w:rPr>
          <w:rFonts w:cs="Times New Roman"/>
          <w:szCs w:val="24"/>
        </w:rPr>
        <w:t xml:space="preserve"> magnification in a confocal microscope</w:t>
      </w:r>
      <w:r w:rsidR="006B6F3F">
        <w:rPr>
          <w:rFonts w:cs="Times New Roman"/>
          <w:szCs w:val="24"/>
        </w:rPr>
        <w:t xml:space="preserve"> [21]</w:t>
      </w:r>
      <w:r w:rsidR="006D60E5" w:rsidRPr="00BA5A85">
        <w:rPr>
          <w:rFonts w:cs="Times New Roman"/>
          <w:szCs w:val="24"/>
        </w:rPr>
        <w:t xml:space="preserve">. </w:t>
      </w:r>
      <w:r w:rsidR="006A48E4">
        <w:rPr>
          <w:rFonts w:cs="Times New Roman"/>
          <w:szCs w:val="24"/>
        </w:rPr>
        <w:t>A</w:t>
      </w:r>
      <w:r w:rsidR="006D60E5" w:rsidRPr="00BA5A85">
        <w:rPr>
          <w:rFonts w:cs="Times New Roman"/>
          <w:szCs w:val="24"/>
        </w:rPr>
        <w:t xml:space="preserve">lso observed the intensities of ROS production by using </w:t>
      </w:r>
      <w:r w:rsidR="006A48E4">
        <w:rPr>
          <w:rFonts w:cs="Times New Roman"/>
          <w:szCs w:val="24"/>
        </w:rPr>
        <w:t>Flow Cytometry (</w:t>
      </w:r>
      <w:r w:rsidR="006D60E5" w:rsidRPr="00417BC7">
        <w:rPr>
          <w:rFonts w:cs="Times New Roman"/>
          <w:szCs w:val="24"/>
        </w:rPr>
        <w:t>Beckman Coulter CytoFLEX LX flow cytometer</w:t>
      </w:r>
      <w:r w:rsidR="006A48E4">
        <w:rPr>
          <w:rFonts w:cs="Times New Roman"/>
          <w:szCs w:val="24"/>
        </w:rPr>
        <w:t>)</w:t>
      </w:r>
      <w:r w:rsidR="006D60E5" w:rsidRPr="00BA5A85">
        <w:rPr>
          <w:rFonts w:cs="Times New Roman"/>
          <w:szCs w:val="24"/>
        </w:rPr>
        <w:t xml:space="preserve">. The collected data were </w:t>
      </w:r>
      <w:r w:rsidR="006A48E4" w:rsidRPr="00BA5A85">
        <w:rPr>
          <w:rFonts w:cs="Times New Roman"/>
          <w:szCs w:val="24"/>
        </w:rPr>
        <w:t>analysed</w:t>
      </w:r>
      <w:r w:rsidR="006D60E5" w:rsidRPr="00BA5A85">
        <w:rPr>
          <w:rFonts w:cs="Times New Roman"/>
          <w:szCs w:val="24"/>
        </w:rPr>
        <w:t xml:space="preserve"> using </w:t>
      </w:r>
      <w:proofErr w:type="spellStart"/>
      <w:r w:rsidR="006A48E4">
        <w:rPr>
          <w:rFonts w:cs="Times New Roman"/>
          <w:szCs w:val="24"/>
        </w:rPr>
        <w:t>C</w:t>
      </w:r>
      <w:r w:rsidR="006D60E5" w:rsidRPr="00BA5A85">
        <w:rPr>
          <w:rFonts w:cs="Times New Roman"/>
          <w:szCs w:val="24"/>
        </w:rPr>
        <w:t>ytExpert</w:t>
      </w:r>
      <w:proofErr w:type="spellEnd"/>
      <w:r w:rsidR="006D60E5" w:rsidRPr="00BA5A85">
        <w:rPr>
          <w:rFonts w:cs="Times New Roman"/>
          <w:szCs w:val="24"/>
        </w:rPr>
        <w:t xml:space="preserve"> software</w:t>
      </w:r>
      <w:r w:rsidR="00BA5A85">
        <w:rPr>
          <w:rFonts w:cs="Times New Roman"/>
          <w:szCs w:val="24"/>
        </w:rPr>
        <w:t>.</w:t>
      </w:r>
    </w:p>
    <w:p w14:paraId="7B51359F" w14:textId="2C80817D" w:rsidR="003F0AFA" w:rsidRDefault="003F0AFA" w:rsidP="00013268">
      <w:pPr>
        <w:spacing w:line="480" w:lineRule="auto"/>
        <w:jc w:val="both"/>
        <w:rPr>
          <w:rFonts w:cs="Times New Roman"/>
          <w:b/>
          <w:bCs/>
          <w:szCs w:val="24"/>
        </w:rPr>
      </w:pPr>
      <w:r w:rsidRPr="003F0AFA">
        <w:rPr>
          <w:rFonts w:cs="Times New Roman"/>
          <w:b/>
          <w:bCs/>
          <w:szCs w:val="24"/>
        </w:rPr>
        <w:t xml:space="preserve">Mitochondrial membrane potential assay by JC-1 </w:t>
      </w:r>
      <w:r w:rsidR="006A48E4" w:rsidRPr="003F0AFA">
        <w:rPr>
          <w:rFonts w:cs="Times New Roman"/>
          <w:b/>
          <w:bCs/>
          <w:szCs w:val="24"/>
        </w:rPr>
        <w:t>dyes</w:t>
      </w:r>
    </w:p>
    <w:p w14:paraId="4B00E223" w14:textId="2C6A00CC" w:rsidR="003F0AFA" w:rsidRDefault="005679EC" w:rsidP="00013268">
      <w:pPr>
        <w:spacing w:line="480" w:lineRule="auto"/>
        <w:jc w:val="both"/>
        <w:rPr>
          <w:rFonts w:cs="Times New Roman"/>
          <w:szCs w:val="24"/>
        </w:rPr>
      </w:pPr>
      <w:r w:rsidRPr="005679EC">
        <w:rPr>
          <w:rFonts w:cs="Times New Roman"/>
          <w:szCs w:val="24"/>
        </w:rPr>
        <w:t xml:space="preserve">Dalton's Lymphoma (DL) cells were cultured in RPMI-1640 media. Cells were inoculated in </w:t>
      </w:r>
      <w:r w:rsidR="003C6545">
        <w:rPr>
          <w:rFonts w:cs="Times New Roman"/>
          <w:szCs w:val="24"/>
        </w:rPr>
        <w:t>6-well</w:t>
      </w:r>
      <w:r w:rsidRPr="005679EC">
        <w:rPr>
          <w:rFonts w:cs="Times New Roman"/>
          <w:szCs w:val="24"/>
        </w:rPr>
        <w:t xml:space="preserve"> culture plates and subjected to chloroquine treatment at </w:t>
      </w:r>
      <w:r w:rsidR="006A48E4">
        <w:rPr>
          <w:rFonts w:cs="Times New Roman"/>
          <w:szCs w:val="24"/>
        </w:rPr>
        <w:t>different</w:t>
      </w:r>
      <w:r w:rsidRPr="005679EC">
        <w:rPr>
          <w:rFonts w:cs="Times New Roman"/>
          <w:szCs w:val="24"/>
        </w:rPr>
        <w:t xml:space="preserve"> concentrations of 5 µM, 10 µM, and 20 µM for a duration of 24 hours</w:t>
      </w:r>
      <w:r w:rsidR="003C6545">
        <w:rPr>
          <w:rFonts w:cs="Times New Roman"/>
          <w:szCs w:val="24"/>
        </w:rPr>
        <w:t>,</w:t>
      </w:r>
      <w:r w:rsidR="006A48E4">
        <w:rPr>
          <w:rFonts w:cs="Times New Roman"/>
          <w:szCs w:val="24"/>
        </w:rPr>
        <w:t xml:space="preserve"> along with </w:t>
      </w:r>
      <w:r w:rsidR="003C6545">
        <w:rPr>
          <w:rFonts w:cs="Times New Roman"/>
          <w:szCs w:val="24"/>
        </w:rPr>
        <w:t xml:space="preserve">a </w:t>
      </w:r>
      <w:r w:rsidR="006A48E4">
        <w:rPr>
          <w:rFonts w:cs="Times New Roman"/>
          <w:szCs w:val="24"/>
        </w:rPr>
        <w:t>control group</w:t>
      </w:r>
      <w:r w:rsidRPr="005679EC">
        <w:rPr>
          <w:rFonts w:cs="Times New Roman"/>
          <w:szCs w:val="24"/>
        </w:rPr>
        <w:t>. Subsequent to the treatment period, cells were collected and rinsed with PBS. The cell pellets were subsequently resuspended in</w:t>
      </w:r>
      <w:r w:rsidR="006A48E4">
        <w:rPr>
          <w:rFonts w:cs="Times New Roman"/>
          <w:szCs w:val="24"/>
        </w:rPr>
        <w:t xml:space="preserve"> PBS </w:t>
      </w:r>
      <w:r w:rsidRPr="005679EC">
        <w:rPr>
          <w:rFonts w:cs="Times New Roman"/>
          <w:szCs w:val="24"/>
        </w:rPr>
        <w:t xml:space="preserve">and </w:t>
      </w:r>
      <w:r w:rsidR="003C6545">
        <w:rPr>
          <w:rFonts w:cs="Times New Roman"/>
          <w:szCs w:val="24"/>
        </w:rPr>
        <w:t>stained</w:t>
      </w:r>
      <w:r w:rsidRPr="005679EC">
        <w:rPr>
          <w:rFonts w:cs="Times New Roman"/>
          <w:szCs w:val="24"/>
        </w:rPr>
        <w:t xml:space="preserve"> with JC-1</w:t>
      </w:r>
      <w:r>
        <w:rPr>
          <w:rFonts w:cs="Times New Roman"/>
          <w:szCs w:val="24"/>
        </w:rPr>
        <w:t xml:space="preserve"> dye (</w:t>
      </w:r>
      <w:r w:rsidR="006B6F3F">
        <w:rPr>
          <w:rFonts w:cs="Times New Roman"/>
          <w:szCs w:val="24"/>
        </w:rPr>
        <w:t>2</w:t>
      </w:r>
      <w:r w:rsidR="00530DAD">
        <w:rPr>
          <w:rFonts w:cs="Times New Roman"/>
          <w:szCs w:val="24"/>
        </w:rPr>
        <w:t xml:space="preserve"> </w:t>
      </w:r>
      <w:r w:rsidRPr="005679EC">
        <w:rPr>
          <w:rFonts w:cs="Times New Roman"/>
          <w:szCs w:val="24"/>
        </w:rPr>
        <w:t>µ</w:t>
      </w:r>
      <w:r>
        <w:rPr>
          <w:rFonts w:cs="Times New Roman"/>
          <w:szCs w:val="24"/>
        </w:rPr>
        <w:t>M)</w:t>
      </w:r>
      <w:r w:rsidRPr="005679EC">
        <w:rPr>
          <w:rFonts w:cs="Times New Roman"/>
          <w:szCs w:val="24"/>
        </w:rPr>
        <w:t xml:space="preserve"> for </w:t>
      </w:r>
      <w:r w:rsidR="006A48E4">
        <w:rPr>
          <w:rFonts w:cs="Times New Roman"/>
          <w:szCs w:val="24"/>
        </w:rPr>
        <w:t>25</w:t>
      </w:r>
      <w:r w:rsidRPr="005679EC">
        <w:rPr>
          <w:rFonts w:cs="Times New Roman"/>
          <w:szCs w:val="24"/>
        </w:rPr>
        <w:t>-30 minutes at 37</w:t>
      </w:r>
      <w:r w:rsidR="006A48E4">
        <w:rPr>
          <w:rFonts w:cs="Times New Roman"/>
          <w:szCs w:val="24"/>
        </w:rPr>
        <w:t xml:space="preserve"> </w:t>
      </w:r>
      <w:r w:rsidRPr="005679EC">
        <w:rPr>
          <w:rFonts w:cs="Times New Roman"/>
          <w:szCs w:val="24"/>
        </w:rPr>
        <w:t xml:space="preserve">°C in </w:t>
      </w:r>
      <w:r w:rsidR="003C6545">
        <w:rPr>
          <w:rFonts w:cs="Times New Roman"/>
          <w:szCs w:val="24"/>
        </w:rPr>
        <w:t xml:space="preserve">the </w:t>
      </w:r>
      <w:r w:rsidRPr="005679EC">
        <w:rPr>
          <w:rFonts w:cs="Times New Roman"/>
          <w:szCs w:val="24"/>
        </w:rPr>
        <w:t>dark</w:t>
      </w:r>
      <w:r w:rsidR="006A48E4">
        <w:rPr>
          <w:rFonts w:cs="Times New Roman"/>
          <w:szCs w:val="24"/>
        </w:rPr>
        <w:t xml:space="preserve"> </w:t>
      </w:r>
      <w:r w:rsidR="0043313A">
        <w:rPr>
          <w:rFonts w:cs="Times New Roman"/>
          <w:szCs w:val="24"/>
        </w:rPr>
        <w:t>[23].</w:t>
      </w:r>
      <w:r>
        <w:rPr>
          <w:rFonts w:cs="Times New Roman"/>
          <w:szCs w:val="24"/>
        </w:rPr>
        <w:t xml:space="preserve"> </w:t>
      </w:r>
      <w:r w:rsidRPr="005679EC">
        <w:rPr>
          <w:rFonts w:cs="Times New Roman"/>
          <w:szCs w:val="24"/>
        </w:rPr>
        <w:t xml:space="preserve">Following incubation, cells were washed to eliminate excess dye, resuspended in PBS, and a drop of the cell suspension was applied to a microscope slide. The cells were observed using a </w:t>
      </w:r>
      <w:r>
        <w:rPr>
          <w:rFonts w:cs="Times New Roman"/>
          <w:szCs w:val="24"/>
        </w:rPr>
        <w:t>confocal</w:t>
      </w:r>
      <w:r w:rsidRPr="005679EC">
        <w:rPr>
          <w:rFonts w:cs="Times New Roman"/>
          <w:szCs w:val="24"/>
        </w:rPr>
        <w:t xml:space="preserve"> microscope. Images were obtained utilising filters for red fluorescence (J-aggregates, signifying elevated mitochondrial membrane potential) and green fluorescence (JC-1 monomers, signifying diminished mitochondrial membrane potential).</w:t>
      </w:r>
      <w:r>
        <w:rPr>
          <w:rFonts w:cs="Times New Roman"/>
          <w:szCs w:val="24"/>
        </w:rPr>
        <w:t xml:space="preserve"> Further validated by </w:t>
      </w:r>
      <w:r w:rsidRPr="005679EC">
        <w:rPr>
          <w:rFonts w:cs="Times New Roman"/>
          <w:szCs w:val="24"/>
        </w:rPr>
        <w:t>flow cytometry</w:t>
      </w:r>
      <w:r>
        <w:rPr>
          <w:rFonts w:cs="Times New Roman"/>
          <w:szCs w:val="24"/>
        </w:rPr>
        <w:t>, in which</w:t>
      </w:r>
      <w:r w:rsidRPr="005679EC">
        <w:rPr>
          <w:rFonts w:cs="Times New Roman"/>
          <w:szCs w:val="24"/>
        </w:rPr>
        <w:t xml:space="preserve"> fluorescence transition from red (PE channel) to green (FITC channel) was measured to ascertain the percentage of cells exhibiting depolarised mitochondria.</w:t>
      </w:r>
    </w:p>
    <w:p w14:paraId="3841EE3D" w14:textId="77777777" w:rsidR="00777FE5" w:rsidRDefault="00777FE5" w:rsidP="00013268">
      <w:pPr>
        <w:spacing w:line="480" w:lineRule="auto"/>
        <w:jc w:val="both"/>
        <w:rPr>
          <w:rFonts w:cs="Times New Roman"/>
          <w:szCs w:val="24"/>
        </w:rPr>
      </w:pPr>
    </w:p>
    <w:p w14:paraId="204934E6" w14:textId="77777777" w:rsidR="00777FE5" w:rsidRPr="004646CC" w:rsidRDefault="00777FE5" w:rsidP="00013268">
      <w:pPr>
        <w:spacing w:line="480" w:lineRule="auto"/>
        <w:jc w:val="both"/>
        <w:rPr>
          <w:rFonts w:cs="Times New Roman"/>
          <w:szCs w:val="24"/>
        </w:rPr>
      </w:pPr>
    </w:p>
    <w:p w14:paraId="1739A527" w14:textId="49DB2ED7" w:rsidR="003F0AFA" w:rsidRDefault="003F0AFA" w:rsidP="00013268">
      <w:pPr>
        <w:spacing w:line="480" w:lineRule="auto"/>
        <w:jc w:val="both"/>
        <w:rPr>
          <w:rFonts w:cs="Times New Roman"/>
          <w:b/>
          <w:bCs/>
          <w:szCs w:val="24"/>
        </w:rPr>
      </w:pPr>
      <w:r>
        <w:rPr>
          <w:rFonts w:cs="Times New Roman"/>
          <w:b/>
          <w:bCs/>
          <w:szCs w:val="24"/>
        </w:rPr>
        <w:lastRenderedPageBreak/>
        <w:t>Cell cycle analysis</w:t>
      </w:r>
    </w:p>
    <w:p w14:paraId="267B278A" w14:textId="0FEE6096" w:rsidR="003F0AFA" w:rsidRDefault="003F0AFA" w:rsidP="00013268">
      <w:pPr>
        <w:spacing w:line="480" w:lineRule="auto"/>
        <w:jc w:val="both"/>
        <w:rPr>
          <w:rFonts w:cs="Times New Roman"/>
          <w:szCs w:val="24"/>
        </w:rPr>
      </w:pPr>
      <w:r w:rsidRPr="003F0AFA">
        <w:rPr>
          <w:rFonts w:cs="Times New Roman"/>
          <w:szCs w:val="24"/>
        </w:rPr>
        <w:t>For the cell cycle study</w:t>
      </w:r>
      <w:r>
        <w:rPr>
          <w:rFonts w:cs="Times New Roman"/>
          <w:szCs w:val="24"/>
        </w:rPr>
        <w:t xml:space="preserve">, </w:t>
      </w:r>
      <w:r w:rsidRPr="003F0AFA">
        <w:rPr>
          <w:rFonts w:cs="Times New Roman"/>
          <w:szCs w:val="24"/>
        </w:rPr>
        <w:t xml:space="preserve">Dalton's Lymphoma (DL) cells were </w:t>
      </w:r>
      <w:r>
        <w:rPr>
          <w:rFonts w:cs="Times New Roman"/>
          <w:szCs w:val="24"/>
        </w:rPr>
        <w:t xml:space="preserve">cultured in </w:t>
      </w:r>
      <w:r w:rsidRPr="003F0AFA">
        <w:rPr>
          <w:rFonts w:cs="Times New Roman"/>
          <w:szCs w:val="24"/>
        </w:rPr>
        <w:t>RPMI-1640 media</w:t>
      </w:r>
      <w:r>
        <w:rPr>
          <w:rFonts w:cs="Times New Roman"/>
          <w:szCs w:val="24"/>
        </w:rPr>
        <w:t xml:space="preserve"> and</w:t>
      </w:r>
      <w:r w:rsidRPr="003F0AFA">
        <w:rPr>
          <w:rFonts w:cs="Times New Roman"/>
          <w:szCs w:val="24"/>
        </w:rPr>
        <w:t xml:space="preserve"> </w:t>
      </w:r>
      <w:r>
        <w:rPr>
          <w:rFonts w:cs="Times New Roman"/>
          <w:szCs w:val="24"/>
        </w:rPr>
        <w:t>treated with</w:t>
      </w:r>
      <w:r w:rsidRPr="003F0AFA">
        <w:rPr>
          <w:rFonts w:cs="Times New Roman"/>
          <w:szCs w:val="24"/>
        </w:rPr>
        <w:t xml:space="preserve"> chloroquine at concentrations of 5 µM, 10 µM, and 20 µM for 24 hours, with an untreated group </w:t>
      </w:r>
      <w:r w:rsidR="004030C8">
        <w:rPr>
          <w:rFonts w:cs="Times New Roman"/>
          <w:szCs w:val="24"/>
        </w:rPr>
        <w:t>labelled</w:t>
      </w:r>
      <w:r w:rsidRPr="003F0AFA">
        <w:rPr>
          <w:rFonts w:cs="Times New Roman"/>
          <w:szCs w:val="24"/>
        </w:rPr>
        <w:t xml:space="preserve"> as a control. </w:t>
      </w:r>
      <w:r>
        <w:rPr>
          <w:rFonts w:cs="Times New Roman"/>
          <w:szCs w:val="24"/>
        </w:rPr>
        <w:t xml:space="preserve">After </w:t>
      </w:r>
      <w:r w:rsidRPr="003F0AFA">
        <w:rPr>
          <w:rFonts w:cs="Times New Roman"/>
          <w:szCs w:val="24"/>
        </w:rPr>
        <w:t>treatment, cells were collected, rinsed with ice-cold phosphate-buffered saline (PBS), and preserved overnight in 70% ethanol at -20°C.</w:t>
      </w:r>
      <w:r>
        <w:rPr>
          <w:rFonts w:cs="Times New Roman"/>
          <w:szCs w:val="24"/>
        </w:rPr>
        <w:t xml:space="preserve"> </w:t>
      </w:r>
      <w:r w:rsidRPr="003F0AFA">
        <w:rPr>
          <w:rFonts w:cs="Times New Roman"/>
          <w:szCs w:val="24"/>
        </w:rPr>
        <w:t>Subsequent to fixation, the cells were rinsed with PBS and subsequently treated with RNase A</w:t>
      </w:r>
      <w:r>
        <w:rPr>
          <w:rFonts w:cs="Times New Roman"/>
          <w:szCs w:val="24"/>
        </w:rPr>
        <w:t xml:space="preserve"> (20 </w:t>
      </w:r>
      <w:r w:rsidRPr="003F0AFA">
        <w:rPr>
          <w:rFonts w:cs="Times New Roman"/>
          <w:szCs w:val="24"/>
        </w:rPr>
        <w:t>µ</w:t>
      </w:r>
      <w:r>
        <w:rPr>
          <w:rFonts w:cs="Times New Roman"/>
          <w:szCs w:val="24"/>
        </w:rPr>
        <w:t>g/ml)</w:t>
      </w:r>
      <w:r w:rsidRPr="003F0AFA">
        <w:rPr>
          <w:rFonts w:cs="Times New Roman"/>
          <w:szCs w:val="24"/>
        </w:rPr>
        <w:t xml:space="preserve"> to guarantee that only DNA would be stained. The cells were then stained using Propidium Iodide (PI) solution</w:t>
      </w:r>
      <w:r>
        <w:rPr>
          <w:rFonts w:cs="Times New Roman"/>
          <w:szCs w:val="24"/>
        </w:rPr>
        <w:t xml:space="preserve"> (20 </w:t>
      </w:r>
      <w:r w:rsidRPr="003F0AFA">
        <w:rPr>
          <w:rFonts w:cs="Times New Roman"/>
          <w:szCs w:val="24"/>
        </w:rPr>
        <w:t>µ</w:t>
      </w:r>
      <w:r>
        <w:rPr>
          <w:rFonts w:cs="Times New Roman"/>
          <w:szCs w:val="24"/>
        </w:rPr>
        <w:t>g/ml)</w:t>
      </w:r>
      <w:r w:rsidRPr="003F0AFA">
        <w:rPr>
          <w:rFonts w:cs="Times New Roman"/>
          <w:szCs w:val="24"/>
        </w:rPr>
        <w:t xml:space="preserve">. The cellular DNA content was subsequently analysed via a flow cytometer. The proportion of cells in the G0/G1, S, and G2/M stages of the cell cycle was measured </w:t>
      </w:r>
      <w:r>
        <w:rPr>
          <w:rFonts w:cs="Times New Roman"/>
          <w:szCs w:val="24"/>
        </w:rPr>
        <w:t>using</w:t>
      </w:r>
      <w:r w:rsidRPr="003F0AFA">
        <w:rPr>
          <w:rFonts w:cs="Times New Roman"/>
          <w:szCs w:val="24"/>
        </w:rPr>
        <w:t xml:space="preserve"> cell cycle analysis software</w:t>
      </w:r>
      <w:r w:rsidR="00BB0532">
        <w:rPr>
          <w:rFonts w:cs="Times New Roman"/>
          <w:szCs w:val="24"/>
        </w:rPr>
        <w:t xml:space="preserve"> [24]</w:t>
      </w:r>
      <w:r w:rsidRPr="003F0AFA">
        <w:rPr>
          <w:rFonts w:cs="Times New Roman"/>
          <w:szCs w:val="24"/>
        </w:rPr>
        <w:t>.</w:t>
      </w:r>
    </w:p>
    <w:p w14:paraId="6D924FA3" w14:textId="54BAB29B" w:rsidR="004646CC" w:rsidRDefault="004646CC" w:rsidP="00013268">
      <w:pPr>
        <w:spacing w:line="480" w:lineRule="auto"/>
        <w:jc w:val="both"/>
        <w:rPr>
          <w:rFonts w:cs="Times New Roman"/>
          <w:b/>
          <w:bCs/>
          <w:szCs w:val="24"/>
        </w:rPr>
      </w:pPr>
      <w:r w:rsidRPr="004646CC">
        <w:rPr>
          <w:rFonts w:cs="Times New Roman"/>
          <w:b/>
          <w:bCs/>
          <w:szCs w:val="24"/>
        </w:rPr>
        <w:t>Western blot analysis</w:t>
      </w:r>
    </w:p>
    <w:p w14:paraId="5D995101" w14:textId="4E3C4020" w:rsidR="00B425E3" w:rsidRDefault="004646CC" w:rsidP="00013268">
      <w:pPr>
        <w:spacing w:line="480" w:lineRule="auto"/>
        <w:jc w:val="both"/>
        <w:rPr>
          <w:rFonts w:cs="Times New Roman"/>
          <w:szCs w:val="24"/>
        </w:rPr>
      </w:pPr>
      <w:r w:rsidRPr="004646CC">
        <w:rPr>
          <w:rFonts w:cs="Times New Roman"/>
          <w:szCs w:val="24"/>
        </w:rPr>
        <w:t xml:space="preserve">Dalton's Lymphoma (DL) cells were </w:t>
      </w:r>
      <w:r>
        <w:rPr>
          <w:rFonts w:cs="Times New Roman"/>
          <w:szCs w:val="24"/>
        </w:rPr>
        <w:t>cultured</w:t>
      </w:r>
      <w:r w:rsidRPr="004646CC">
        <w:rPr>
          <w:rFonts w:cs="Times New Roman"/>
          <w:szCs w:val="24"/>
        </w:rPr>
        <w:t xml:space="preserve"> in RPMI-1640 media and subjected to chloroquine treatment at concentrations of 5 µM, 10 µM, and 20 µM for a duration of 24 hours. A control group was included that did not receive treatment.</w:t>
      </w:r>
      <w:r>
        <w:rPr>
          <w:rFonts w:cs="Times New Roman"/>
          <w:szCs w:val="24"/>
        </w:rPr>
        <w:t xml:space="preserve"> </w:t>
      </w:r>
      <w:r w:rsidRPr="004646CC">
        <w:rPr>
          <w:rFonts w:cs="Times New Roman"/>
          <w:szCs w:val="24"/>
        </w:rPr>
        <w:t>After treatment, cells were collected and rinsed with ice-cold PBS. Total cellular proteins were extracted utilising RIPA lysis buffer supplemented with a protease inhibitor cocktail. The cell lysates were centrifuged to eliminate cellular debris, and the supernatant containing the protein was obtained. The total protein concentration of each sample was quantified using a BCA</w:t>
      </w:r>
      <w:r w:rsidRPr="004646CC">
        <w:rPr>
          <w:rFonts w:cs="Times New Roman"/>
          <w:b/>
          <w:bCs/>
          <w:szCs w:val="24"/>
        </w:rPr>
        <w:t xml:space="preserve"> </w:t>
      </w:r>
      <w:r w:rsidRPr="004646CC">
        <w:rPr>
          <w:rFonts w:cs="Times New Roman"/>
          <w:szCs w:val="24"/>
        </w:rPr>
        <w:t>protein assay kit to</w:t>
      </w:r>
      <w:r w:rsidRPr="004646CC">
        <w:rPr>
          <w:rFonts w:cs="Times New Roman"/>
          <w:b/>
          <w:bCs/>
          <w:szCs w:val="24"/>
        </w:rPr>
        <w:t xml:space="preserve"> </w:t>
      </w:r>
      <w:r w:rsidRPr="004646CC">
        <w:rPr>
          <w:rFonts w:cs="Times New Roman"/>
          <w:szCs w:val="24"/>
        </w:rPr>
        <w:t>guarantee uniform loading.</w:t>
      </w:r>
      <w:r>
        <w:rPr>
          <w:rFonts w:cs="Times New Roman"/>
          <w:szCs w:val="24"/>
        </w:rPr>
        <w:t xml:space="preserve"> </w:t>
      </w:r>
      <w:r w:rsidRPr="004646CC">
        <w:rPr>
          <w:rFonts w:cs="Times New Roman"/>
          <w:szCs w:val="24"/>
        </w:rPr>
        <w:t xml:space="preserve">Equal quantities of protein (50 µg) from each sample were subjected to sodium dodecyl </w:t>
      </w:r>
      <w:r w:rsidR="006A48E4" w:rsidRPr="004646CC">
        <w:rPr>
          <w:rFonts w:cs="Times New Roman"/>
          <w:szCs w:val="24"/>
        </w:rPr>
        <w:t>sulphate</w:t>
      </w:r>
      <w:r w:rsidRPr="004646CC">
        <w:rPr>
          <w:rFonts w:cs="Times New Roman"/>
          <w:szCs w:val="24"/>
        </w:rPr>
        <w:t xml:space="preserve">-polyacrylamide gel electrophoresis (SDS-PAGE) and subsequently transferred to a polyvinylidene difluoride (PVDF) membrane. The membrane was incubated with 5% non-fat dried milk or bovine serum albumin (BSA) in Tris-buffered saline with Tween 20 (TBST) for one hour to inhibit non-specific antibody binding. The membrane was treated overnight at 4°C with primary antibodies targeting essential apoptotic proteins, including </w:t>
      </w:r>
      <w:r w:rsidRPr="004030C8">
        <w:rPr>
          <w:rFonts w:cs="Times New Roman"/>
          <w:szCs w:val="24"/>
        </w:rPr>
        <w:t xml:space="preserve">Bax, </w:t>
      </w:r>
      <w:r w:rsidRPr="004030C8">
        <w:rPr>
          <w:rFonts w:cs="Times New Roman"/>
          <w:szCs w:val="24"/>
        </w:rPr>
        <w:lastRenderedPageBreak/>
        <w:t>Bcl-2, Cytochrome c, and cleaved Caspase-3. A β-actin antibody</w:t>
      </w:r>
      <w:r w:rsidRPr="004646CC">
        <w:rPr>
          <w:rFonts w:cs="Times New Roman"/>
          <w:szCs w:val="24"/>
        </w:rPr>
        <w:t xml:space="preserve"> served as a loading control. Following TBST washing, the membrane was incubated with a horseradish peroxidase (HRP)-conjugated secondary antibody for 2-3 hours. The protein bands were visualised with an enhanced chemiluminescence (ECL) detection </w:t>
      </w:r>
      <w:r w:rsidR="00EF1756">
        <w:rPr>
          <w:rFonts w:cs="Times New Roman"/>
          <w:szCs w:val="24"/>
        </w:rPr>
        <w:t>kit</w:t>
      </w:r>
      <w:r w:rsidRPr="004646CC">
        <w:rPr>
          <w:rFonts w:cs="Times New Roman"/>
          <w:szCs w:val="24"/>
        </w:rPr>
        <w:t xml:space="preserve">, and the band intensities were recorded and measured using a </w:t>
      </w:r>
      <w:proofErr w:type="spellStart"/>
      <w:r w:rsidRPr="004646CC">
        <w:rPr>
          <w:rFonts w:cs="Times New Roman"/>
          <w:szCs w:val="24"/>
        </w:rPr>
        <w:t>Chemidoc</w:t>
      </w:r>
      <w:proofErr w:type="spellEnd"/>
      <w:r w:rsidR="00EF1756">
        <w:rPr>
          <w:rFonts w:cs="Times New Roman"/>
          <w:szCs w:val="24"/>
        </w:rPr>
        <w:t xml:space="preserve"> (</w:t>
      </w:r>
      <w:r w:rsidR="00EF1756" w:rsidRPr="00EF1756">
        <w:rPr>
          <w:rFonts w:cs="Times New Roman"/>
          <w:szCs w:val="24"/>
        </w:rPr>
        <w:t>Amersham Imager 6</w:t>
      </w:r>
      <w:r w:rsidR="00EF1756">
        <w:rPr>
          <w:rFonts w:cs="Times New Roman"/>
          <w:szCs w:val="24"/>
        </w:rPr>
        <w:t>80 RGB)</w:t>
      </w:r>
      <w:r w:rsidRPr="004646CC">
        <w:rPr>
          <w:rFonts w:cs="Times New Roman"/>
          <w:szCs w:val="24"/>
        </w:rPr>
        <w:t xml:space="preserve"> and </w:t>
      </w:r>
      <w:r>
        <w:rPr>
          <w:rFonts w:cs="Times New Roman"/>
          <w:szCs w:val="24"/>
        </w:rPr>
        <w:t>ImageJ</w:t>
      </w:r>
      <w:r w:rsidRPr="004646CC">
        <w:rPr>
          <w:rFonts w:cs="Times New Roman"/>
          <w:szCs w:val="24"/>
        </w:rPr>
        <w:t xml:space="preserve"> software</w:t>
      </w:r>
      <w:r>
        <w:rPr>
          <w:rFonts w:cs="Times New Roman"/>
          <w:szCs w:val="24"/>
        </w:rPr>
        <w:t>,</w:t>
      </w:r>
      <w:r w:rsidRPr="004646CC">
        <w:rPr>
          <w:rFonts w:cs="Times New Roman"/>
          <w:szCs w:val="24"/>
        </w:rPr>
        <w:t xml:space="preserve"> respectively.</w:t>
      </w:r>
    </w:p>
    <w:p w14:paraId="5C512EE8" w14:textId="77777777" w:rsidR="00B425E3" w:rsidRPr="00B425E3" w:rsidRDefault="00B425E3" w:rsidP="00B425E3">
      <w:pPr>
        <w:spacing w:line="480" w:lineRule="auto"/>
        <w:rPr>
          <w:rFonts w:cs="Times New Roman"/>
          <w:b/>
          <w:bCs/>
          <w:szCs w:val="24"/>
        </w:rPr>
      </w:pPr>
      <w:r w:rsidRPr="00B425E3">
        <w:rPr>
          <w:rFonts w:cs="Times New Roman"/>
          <w:b/>
          <w:bCs/>
          <w:szCs w:val="24"/>
        </w:rPr>
        <w:t>In vivo study</w:t>
      </w:r>
    </w:p>
    <w:p w14:paraId="31816AD3" w14:textId="1B8B09EA" w:rsidR="00B425E3" w:rsidRPr="00B425E3" w:rsidRDefault="00B425E3" w:rsidP="00B425E3">
      <w:pPr>
        <w:spacing w:line="480" w:lineRule="auto"/>
        <w:rPr>
          <w:rFonts w:cs="Times New Roman"/>
          <w:szCs w:val="24"/>
        </w:rPr>
      </w:pPr>
      <w:r w:rsidRPr="00B425E3">
        <w:rPr>
          <w:rFonts w:cs="Times New Roman"/>
          <w:b/>
          <w:bCs/>
          <w:szCs w:val="24"/>
        </w:rPr>
        <w:t>Tumor Induction</w:t>
      </w:r>
      <w:r w:rsidRPr="00B425E3">
        <w:rPr>
          <w:rFonts w:cs="Times New Roman"/>
          <w:b/>
          <w:bCs/>
          <w:szCs w:val="24"/>
        </w:rPr>
        <w:br/>
      </w:r>
      <w:r w:rsidRPr="00B425E3">
        <w:rPr>
          <w:rFonts w:cs="Times New Roman"/>
          <w:szCs w:val="24"/>
        </w:rPr>
        <w:t xml:space="preserve">Dalton’s Lymphoma (DL) was induced in mice belonging to Groups II to V by intraperitoneal injection of 1 × 10⁶ DL cells suspended in </w:t>
      </w:r>
      <w:r>
        <w:rPr>
          <w:rFonts w:cs="Times New Roman"/>
          <w:szCs w:val="24"/>
        </w:rPr>
        <w:t>5</w:t>
      </w:r>
      <w:r w:rsidRPr="00B425E3">
        <w:rPr>
          <w:rFonts w:cs="Times New Roman"/>
          <w:szCs w:val="24"/>
        </w:rPr>
        <w:t>00 μL of phosphate-buffered saline (PBS). Mice in Group I served as the healthy control and did not receive DL cell transplantation.</w:t>
      </w:r>
    </w:p>
    <w:p w14:paraId="4CEBF3BF" w14:textId="77777777" w:rsidR="00B425E3" w:rsidRPr="00B425E3" w:rsidRDefault="00B425E3" w:rsidP="00B425E3">
      <w:pPr>
        <w:spacing w:line="480" w:lineRule="auto"/>
        <w:jc w:val="both"/>
        <w:rPr>
          <w:rFonts w:cs="Times New Roman"/>
          <w:szCs w:val="24"/>
        </w:rPr>
      </w:pPr>
      <w:r w:rsidRPr="00B425E3">
        <w:rPr>
          <w:rFonts w:cs="Times New Roman"/>
          <w:b/>
          <w:bCs/>
          <w:szCs w:val="24"/>
        </w:rPr>
        <w:t>Treatment Protocol</w:t>
      </w:r>
    </w:p>
    <w:p w14:paraId="12F2D116" w14:textId="74CB94B4" w:rsidR="00B425E3" w:rsidRPr="00B425E3" w:rsidRDefault="00B425E3" w:rsidP="00B425E3">
      <w:pPr>
        <w:spacing w:line="480" w:lineRule="auto"/>
        <w:jc w:val="both"/>
        <w:rPr>
          <w:rFonts w:cs="Times New Roman"/>
          <w:szCs w:val="24"/>
        </w:rPr>
      </w:pPr>
      <w:r w:rsidRPr="00B425E3">
        <w:rPr>
          <w:rFonts w:cs="Times New Roman"/>
          <w:szCs w:val="24"/>
        </w:rPr>
        <w:t xml:space="preserve">After 24 hours of DL cell transplantation, animals were administered the respective treatments </w:t>
      </w:r>
      <w:r w:rsidR="002853E8">
        <w:rPr>
          <w:rFonts w:cs="Times New Roman"/>
          <w:szCs w:val="24"/>
        </w:rPr>
        <w:t xml:space="preserve">alternatively </w:t>
      </w:r>
      <w:r w:rsidRPr="00B425E3">
        <w:rPr>
          <w:rFonts w:cs="Times New Roman"/>
          <w:szCs w:val="24"/>
        </w:rPr>
        <w:t>for 18 days via the intraperitoneal (i.p.) route. The experimental groups</w:t>
      </w:r>
      <w:r w:rsidR="002853E8">
        <w:rPr>
          <w:rFonts w:cs="Times New Roman"/>
          <w:szCs w:val="24"/>
        </w:rPr>
        <w:t xml:space="preserve"> (n=6/group)</w:t>
      </w:r>
      <w:r w:rsidRPr="00B425E3">
        <w:rPr>
          <w:rFonts w:cs="Times New Roman"/>
          <w:szCs w:val="24"/>
        </w:rPr>
        <w:t xml:space="preserve"> were organized as follows:</w:t>
      </w:r>
    </w:p>
    <w:p w14:paraId="084C05A6" w14:textId="77777777" w:rsidR="00B425E3" w:rsidRPr="00B425E3" w:rsidRDefault="00B425E3" w:rsidP="00B425E3">
      <w:pPr>
        <w:pStyle w:val="ListParagraph"/>
        <w:numPr>
          <w:ilvl w:val="0"/>
          <w:numId w:val="4"/>
        </w:numPr>
        <w:spacing w:line="480" w:lineRule="auto"/>
        <w:jc w:val="both"/>
        <w:rPr>
          <w:rFonts w:cs="Times New Roman"/>
          <w:szCs w:val="24"/>
        </w:rPr>
      </w:pPr>
      <w:r w:rsidRPr="00B425E3">
        <w:rPr>
          <w:rFonts w:cs="Times New Roman"/>
          <w:b/>
          <w:bCs/>
          <w:szCs w:val="24"/>
        </w:rPr>
        <w:t>Group I (Healthy Control):</w:t>
      </w:r>
      <w:r w:rsidRPr="00B425E3">
        <w:rPr>
          <w:rFonts w:cs="Times New Roman"/>
          <w:szCs w:val="24"/>
        </w:rPr>
        <w:t xml:space="preserve"> Normal mice without DL cell transplantation; received no treatment.</w:t>
      </w:r>
    </w:p>
    <w:p w14:paraId="67815DCF" w14:textId="77777777" w:rsidR="00B425E3" w:rsidRPr="00B425E3" w:rsidRDefault="00B425E3" w:rsidP="00B425E3">
      <w:pPr>
        <w:pStyle w:val="ListParagraph"/>
        <w:numPr>
          <w:ilvl w:val="0"/>
          <w:numId w:val="4"/>
        </w:numPr>
        <w:spacing w:line="480" w:lineRule="auto"/>
        <w:jc w:val="both"/>
        <w:rPr>
          <w:rFonts w:cs="Times New Roman"/>
          <w:szCs w:val="24"/>
        </w:rPr>
      </w:pPr>
      <w:r w:rsidRPr="00B425E3">
        <w:rPr>
          <w:rFonts w:cs="Times New Roman"/>
          <w:b/>
          <w:bCs/>
          <w:szCs w:val="24"/>
        </w:rPr>
        <w:t>Group II (Tumor Control):</w:t>
      </w:r>
      <w:r w:rsidRPr="00B425E3">
        <w:rPr>
          <w:rFonts w:cs="Times New Roman"/>
          <w:szCs w:val="24"/>
        </w:rPr>
        <w:t xml:space="preserve"> DL-transplanted mice administered vehicle (PBS, 10 mL/kg, i.p.).</w:t>
      </w:r>
    </w:p>
    <w:p w14:paraId="68F8CA5A" w14:textId="77777777" w:rsidR="00B425E3" w:rsidRPr="00B425E3" w:rsidRDefault="00B425E3" w:rsidP="00B425E3">
      <w:pPr>
        <w:pStyle w:val="ListParagraph"/>
        <w:numPr>
          <w:ilvl w:val="0"/>
          <w:numId w:val="4"/>
        </w:numPr>
        <w:spacing w:line="480" w:lineRule="auto"/>
        <w:jc w:val="both"/>
        <w:rPr>
          <w:rFonts w:cs="Times New Roman"/>
          <w:szCs w:val="24"/>
        </w:rPr>
      </w:pPr>
      <w:r w:rsidRPr="00B425E3">
        <w:rPr>
          <w:rFonts w:cs="Times New Roman"/>
          <w:b/>
          <w:bCs/>
          <w:szCs w:val="24"/>
        </w:rPr>
        <w:t>Group III (Positive Control):</w:t>
      </w:r>
      <w:r w:rsidRPr="00B425E3">
        <w:rPr>
          <w:rFonts w:cs="Times New Roman"/>
          <w:szCs w:val="24"/>
        </w:rPr>
        <w:t xml:space="preserve"> DL-transplanted mice treated with Doxorubicin (2 mg/kg, i.p.), serving as the standard chemotherapeutic reference.</w:t>
      </w:r>
    </w:p>
    <w:p w14:paraId="2B77DE13" w14:textId="77777777" w:rsidR="00B425E3" w:rsidRPr="00B425E3" w:rsidRDefault="00B425E3" w:rsidP="00B425E3">
      <w:pPr>
        <w:pStyle w:val="ListParagraph"/>
        <w:numPr>
          <w:ilvl w:val="0"/>
          <w:numId w:val="4"/>
        </w:numPr>
        <w:spacing w:line="480" w:lineRule="auto"/>
        <w:jc w:val="both"/>
        <w:rPr>
          <w:rFonts w:cs="Times New Roman"/>
          <w:szCs w:val="24"/>
        </w:rPr>
      </w:pPr>
      <w:r w:rsidRPr="00B425E3">
        <w:rPr>
          <w:rFonts w:cs="Times New Roman"/>
          <w:b/>
          <w:bCs/>
          <w:szCs w:val="24"/>
        </w:rPr>
        <w:t>Group IV (Test Group – Low Dose):</w:t>
      </w:r>
      <w:r w:rsidRPr="00B425E3">
        <w:rPr>
          <w:rFonts w:cs="Times New Roman"/>
          <w:szCs w:val="24"/>
        </w:rPr>
        <w:t xml:space="preserve"> DL-transplanted mice treated with Chloroquine at 25 mg/kg, i.p.</w:t>
      </w:r>
    </w:p>
    <w:p w14:paraId="308F50A6" w14:textId="77777777" w:rsidR="00B425E3" w:rsidRPr="00B425E3" w:rsidRDefault="00B425E3" w:rsidP="00B425E3">
      <w:pPr>
        <w:pStyle w:val="ListParagraph"/>
        <w:numPr>
          <w:ilvl w:val="0"/>
          <w:numId w:val="4"/>
        </w:numPr>
        <w:spacing w:line="480" w:lineRule="auto"/>
        <w:jc w:val="both"/>
        <w:rPr>
          <w:rFonts w:cs="Times New Roman"/>
          <w:szCs w:val="24"/>
        </w:rPr>
      </w:pPr>
      <w:r w:rsidRPr="00B425E3">
        <w:rPr>
          <w:rFonts w:cs="Times New Roman"/>
          <w:b/>
          <w:bCs/>
          <w:szCs w:val="24"/>
        </w:rPr>
        <w:t>Group V (Test Group – High Dose):</w:t>
      </w:r>
      <w:r w:rsidRPr="00B425E3">
        <w:rPr>
          <w:rFonts w:cs="Times New Roman"/>
          <w:szCs w:val="24"/>
        </w:rPr>
        <w:t xml:space="preserve"> DL-transplanted mice treated with Chloroquine at 50 mg/kg, i.p.</w:t>
      </w:r>
    </w:p>
    <w:p w14:paraId="0515D0AB" w14:textId="77777777" w:rsidR="00B425E3" w:rsidRPr="00B425E3" w:rsidRDefault="00B425E3" w:rsidP="00B425E3">
      <w:pPr>
        <w:spacing w:line="480" w:lineRule="auto"/>
        <w:rPr>
          <w:rFonts w:cs="Times New Roman"/>
          <w:b/>
          <w:bCs/>
          <w:szCs w:val="24"/>
        </w:rPr>
      </w:pPr>
      <w:r w:rsidRPr="00B425E3">
        <w:rPr>
          <w:rFonts w:cs="Times New Roman"/>
          <w:b/>
          <w:bCs/>
          <w:szCs w:val="24"/>
        </w:rPr>
        <w:lastRenderedPageBreak/>
        <w:t>Observation Period</w:t>
      </w:r>
    </w:p>
    <w:p w14:paraId="30F2D3DD" w14:textId="77777777" w:rsidR="00B425E3" w:rsidRPr="00B425E3" w:rsidRDefault="00B425E3" w:rsidP="00B425E3">
      <w:pPr>
        <w:spacing w:line="480" w:lineRule="auto"/>
        <w:jc w:val="both"/>
        <w:rPr>
          <w:rFonts w:cs="Times New Roman"/>
          <w:b/>
          <w:bCs/>
          <w:szCs w:val="24"/>
        </w:rPr>
      </w:pPr>
      <w:r w:rsidRPr="00B425E3">
        <w:rPr>
          <w:rFonts w:cs="Times New Roman"/>
          <w:szCs w:val="24"/>
        </w:rPr>
        <w:t>Throughout the experimental duration, animals were observed daily for general health status, changes in body weight, survival, and physical activity. Upon completion of the 18-day treatment schedule, the animals were humanely sacrificed, and tissue samples were harvested for subsequent analyses.</w:t>
      </w:r>
    </w:p>
    <w:p w14:paraId="6EB69169" w14:textId="77777777" w:rsidR="00B425E3" w:rsidRPr="00B425E3" w:rsidRDefault="00B425E3" w:rsidP="00B425E3">
      <w:pPr>
        <w:spacing w:line="480" w:lineRule="auto"/>
        <w:rPr>
          <w:rFonts w:cs="Times New Roman"/>
          <w:szCs w:val="24"/>
        </w:rPr>
      </w:pPr>
      <w:r w:rsidRPr="00B425E3">
        <w:rPr>
          <w:rFonts w:cs="Times New Roman"/>
          <w:b/>
          <w:bCs/>
          <w:szCs w:val="24"/>
        </w:rPr>
        <w:t>Measurement of Body Weight and Abdominal Circumference</w:t>
      </w:r>
    </w:p>
    <w:p w14:paraId="6CF557F6" w14:textId="13A21AB5" w:rsidR="00B425E3" w:rsidRPr="00B425E3" w:rsidRDefault="00B425E3" w:rsidP="00B425E3">
      <w:pPr>
        <w:spacing w:line="480" w:lineRule="auto"/>
        <w:jc w:val="both"/>
        <w:rPr>
          <w:rFonts w:cs="Times New Roman"/>
          <w:szCs w:val="24"/>
        </w:rPr>
      </w:pPr>
      <w:r>
        <w:rPr>
          <w:rFonts w:cs="Times New Roman"/>
          <w:szCs w:val="24"/>
        </w:rPr>
        <w:t>The body</w:t>
      </w:r>
      <w:r w:rsidRPr="00B425E3">
        <w:rPr>
          <w:rFonts w:cs="Times New Roman"/>
          <w:szCs w:val="24"/>
        </w:rPr>
        <w:t xml:space="preserve"> weight of all experimental animals was recorded at regular intervals throughout the study using a digital balance. In addition, abdominal circumference was measured with a vernier calliper to monitor tumor-associated ascites formation and physical changes. These parameters were documented systematically to evaluate treatment response and disease progression.</w:t>
      </w:r>
    </w:p>
    <w:p w14:paraId="1B3C6B16" w14:textId="77777777" w:rsidR="00B425E3" w:rsidRPr="00B425E3" w:rsidRDefault="00B425E3" w:rsidP="00B425E3">
      <w:pPr>
        <w:spacing w:line="480" w:lineRule="auto"/>
        <w:rPr>
          <w:rFonts w:cs="Times New Roman"/>
          <w:szCs w:val="24"/>
        </w:rPr>
      </w:pPr>
      <w:r w:rsidRPr="00B425E3">
        <w:rPr>
          <w:rFonts w:cs="Times New Roman"/>
          <w:b/>
          <w:bCs/>
          <w:szCs w:val="24"/>
        </w:rPr>
        <w:t>Measurement of Hematological Parameters</w:t>
      </w:r>
    </w:p>
    <w:p w14:paraId="0EB3AE08" w14:textId="1E258211" w:rsidR="00EF1756" w:rsidRPr="00E607CF" w:rsidRDefault="00B425E3" w:rsidP="00013268">
      <w:pPr>
        <w:spacing w:line="480" w:lineRule="auto"/>
        <w:jc w:val="both"/>
        <w:rPr>
          <w:rFonts w:cs="Times New Roman"/>
          <w:szCs w:val="24"/>
        </w:rPr>
      </w:pPr>
      <w:r w:rsidRPr="00B425E3">
        <w:rPr>
          <w:rFonts w:cs="Times New Roman"/>
          <w:szCs w:val="24"/>
        </w:rPr>
        <w:t xml:space="preserve">Following completion of the treatment period, mice were fasted for 24 hours </w:t>
      </w:r>
      <w:r>
        <w:rPr>
          <w:rFonts w:cs="Times New Roman"/>
          <w:szCs w:val="24"/>
        </w:rPr>
        <w:t>before</w:t>
      </w:r>
      <w:r w:rsidRPr="00B425E3">
        <w:rPr>
          <w:rFonts w:cs="Times New Roman"/>
          <w:szCs w:val="24"/>
        </w:rPr>
        <w:t xml:space="preserve"> blood collection. Blood samples were obtained and transferred into EDTA-coated tubes to prevent coagulation. The samples were subjected to complete blood count (CBC) analysis for the evaluation of hematological indices, including haemoglobin (Hb) concentration and white blood cell (WBC).</w:t>
      </w:r>
    </w:p>
    <w:p w14:paraId="0B0DD38B" w14:textId="7028418F" w:rsidR="000E11D7" w:rsidRPr="00BA5A85" w:rsidRDefault="000E11D7" w:rsidP="00013268">
      <w:pPr>
        <w:spacing w:line="480" w:lineRule="auto"/>
        <w:jc w:val="both"/>
        <w:rPr>
          <w:rFonts w:cs="Times New Roman"/>
          <w:b/>
          <w:bCs/>
          <w:szCs w:val="24"/>
        </w:rPr>
      </w:pPr>
      <w:r w:rsidRPr="00BA5A85">
        <w:rPr>
          <w:rFonts w:cs="Times New Roman"/>
          <w:b/>
          <w:bCs/>
          <w:szCs w:val="24"/>
        </w:rPr>
        <w:t>Results</w:t>
      </w:r>
    </w:p>
    <w:p w14:paraId="5616D03B" w14:textId="413972F2" w:rsidR="000E11D7" w:rsidRPr="00BA5A85" w:rsidRDefault="000E11D7" w:rsidP="00013268">
      <w:pPr>
        <w:spacing w:line="480" w:lineRule="auto"/>
        <w:jc w:val="both"/>
        <w:rPr>
          <w:rFonts w:cs="Times New Roman"/>
          <w:szCs w:val="24"/>
        </w:rPr>
      </w:pPr>
      <w:r w:rsidRPr="00BA5A85">
        <w:rPr>
          <w:rFonts w:cs="Times New Roman"/>
          <w:b/>
          <w:bCs/>
          <w:szCs w:val="24"/>
        </w:rPr>
        <w:t xml:space="preserve">Chloroquine reduces </w:t>
      </w:r>
      <w:r w:rsidR="00EF1756">
        <w:rPr>
          <w:rFonts w:cs="Times New Roman"/>
          <w:b/>
          <w:bCs/>
          <w:szCs w:val="24"/>
        </w:rPr>
        <w:t>the</w:t>
      </w:r>
      <w:r w:rsidRPr="00BA5A85">
        <w:rPr>
          <w:rFonts w:cs="Times New Roman"/>
          <w:b/>
          <w:bCs/>
          <w:szCs w:val="24"/>
        </w:rPr>
        <w:t xml:space="preserve"> viability of DL cells</w:t>
      </w:r>
    </w:p>
    <w:p w14:paraId="7167F758" w14:textId="131352F4" w:rsidR="00B108A8" w:rsidRDefault="00510661" w:rsidP="00013268">
      <w:pPr>
        <w:spacing w:line="480" w:lineRule="auto"/>
        <w:jc w:val="both"/>
        <w:rPr>
          <w:rFonts w:cs="Times New Roman"/>
          <w:szCs w:val="24"/>
        </w:rPr>
      </w:pPr>
      <w:r w:rsidRPr="00510661">
        <w:rPr>
          <w:rFonts w:cs="Times New Roman"/>
          <w:szCs w:val="24"/>
        </w:rPr>
        <w:t xml:space="preserve">We employed the MTT test, a prevalent three-step colorimetric method, to evaluate the impact of chloroquine on several cell types. This assay is predicated on the principle that metabolically active cells possess mitochondrial dehydrogenase enzymes capable of converting yellow tetrazolium salt (MTT) into insoluble purple formazan crystals. The quantity of formazan </w:t>
      </w:r>
      <w:r w:rsidRPr="00510661">
        <w:rPr>
          <w:rFonts w:cs="Times New Roman"/>
          <w:szCs w:val="24"/>
        </w:rPr>
        <w:lastRenderedPageBreak/>
        <w:t>produced correlates directly with the number of viable cells, serving as an indicator of cellular activity and health. This investigation involved exposing cells to increasing doses of chloroquine, followed by MTT dye incubation to assess mitochondrial activity. The results demonstrated that chloroquine markedly reduced the viability of Dalton's lymphoma (DL) cells in a dose-dependent manner (</w:t>
      </w:r>
      <w:r w:rsidRPr="006B387E">
        <w:rPr>
          <w:rFonts w:cs="Times New Roman"/>
          <w:b/>
          <w:bCs/>
          <w:szCs w:val="24"/>
        </w:rPr>
        <w:t>Fig. 1</w:t>
      </w:r>
      <w:r w:rsidR="006B387E">
        <w:rPr>
          <w:rFonts w:cs="Times New Roman"/>
          <w:b/>
          <w:bCs/>
          <w:szCs w:val="24"/>
        </w:rPr>
        <w:t>A</w:t>
      </w:r>
      <w:r w:rsidRPr="00510661">
        <w:rPr>
          <w:rFonts w:cs="Times New Roman"/>
          <w:szCs w:val="24"/>
        </w:rPr>
        <w:t>). Quantitative investigation revealed a significant decrease in cell viability, with the IC₅₀ value determined to be 12.</w:t>
      </w:r>
      <w:r w:rsidR="001F43B3">
        <w:rPr>
          <w:rFonts w:cs="Times New Roman"/>
          <w:szCs w:val="24"/>
        </w:rPr>
        <w:t>67</w:t>
      </w:r>
      <w:r w:rsidRPr="00510661">
        <w:rPr>
          <w:rFonts w:cs="Times New Roman"/>
          <w:szCs w:val="24"/>
        </w:rPr>
        <w:t xml:space="preserve"> μM ± 0.</w:t>
      </w:r>
      <w:r w:rsidR="001F43B3">
        <w:rPr>
          <w:rFonts w:cs="Times New Roman"/>
          <w:szCs w:val="24"/>
        </w:rPr>
        <w:t>688</w:t>
      </w:r>
      <w:r w:rsidRPr="00510661">
        <w:rPr>
          <w:rFonts w:cs="Times New Roman"/>
          <w:szCs w:val="24"/>
        </w:rPr>
        <w:t xml:space="preserve">. This discovery indicates that chloroquine exerts a potent cytotoxic effect on tumor-derived DL cells, suggesting its potential to inhibit cellular proliferation. Unlike DL cells, normal thymocytes demonstrated negligible effects from chloroquine treatment </w:t>
      </w:r>
      <w:r w:rsidRPr="006B387E">
        <w:rPr>
          <w:rFonts w:cs="Times New Roman"/>
          <w:b/>
          <w:bCs/>
          <w:szCs w:val="24"/>
        </w:rPr>
        <w:t>(Fig. 1</w:t>
      </w:r>
      <w:r w:rsidR="006B387E" w:rsidRPr="006B387E">
        <w:rPr>
          <w:rFonts w:cs="Times New Roman"/>
          <w:b/>
          <w:bCs/>
          <w:szCs w:val="24"/>
        </w:rPr>
        <w:t>B</w:t>
      </w:r>
      <w:r w:rsidRPr="006B387E">
        <w:rPr>
          <w:rFonts w:cs="Times New Roman"/>
          <w:b/>
          <w:bCs/>
          <w:szCs w:val="24"/>
        </w:rPr>
        <w:t>)</w:t>
      </w:r>
      <w:r w:rsidRPr="00510661">
        <w:rPr>
          <w:rFonts w:cs="Times New Roman"/>
          <w:szCs w:val="24"/>
        </w:rPr>
        <w:t>. Thymocyte viability remained predominantly stable, even at concentrations nearing or surpassing the IC₅₀ value determined for DL cells.</w:t>
      </w:r>
    </w:p>
    <w:p w14:paraId="288712AD" w14:textId="67622604" w:rsidR="003622C4" w:rsidRDefault="00D30027" w:rsidP="00013268">
      <w:pPr>
        <w:spacing w:line="480" w:lineRule="auto"/>
        <w:jc w:val="both"/>
        <w:rPr>
          <w:rFonts w:cs="Times New Roman"/>
          <w:szCs w:val="24"/>
        </w:rPr>
      </w:pPr>
      <w:r>
        <w:rPr>
          <w:noProof/>
        </w:rPr>
        <mc:AlternateContent>
          <mc:Choice Requires="wps">
            <w:drawing>
              <wp:anchor distT="0" distB="0" distL="114300" distR="114300" simplePos="0" relativeHeight="251661312" behindDoc="0" locked="0" layoutInCell="1" allowOverlap="1" wp14:anchorId="102AB9E3" wp14:editId="2417ED0C">
                <wp:simplePos x="0" y="0"/>
                <wp:positionH relativeFrom="column">
                  <wp:posOffset>4226974</wp:posOffset>
                </wp:positionH>
                <wp:positionV relativeFrom="paragraph">
                  <wp:posOffset>50165</wp:posOffset>
                </wp:positionV>
                <wp:extent cx="423447" cy="257750"/>
                <wp:effectExtent l="0" t="0" r="15240" b="28575"/>
                <wp:wrapNone/>
                <wp:docPr id="1071065912" name="Rectangle 3"/>
                <wp:cNvGraphicFramePr/>
                <a:graphic xmlns:a="http://schemas.openxmlformats.org/drawingml/2006/main">
                  <a:graphicData uri="http://schemas.microsoft.com/office/word/2010/wordprocessingShape">
                    <wps:wsp>
                      <wps:cNvSpPr/>
                      <wps:spPr>
                        <a:xfrm>
                          <a:off x="0" y="0"/>
                          <a:ext cx="423447" cy="257750"/>
                        </a:xfrm>
                        <a:prstGeom prst="rect">
                          <a:avLst/>
                        </a:prstGeom>
                      </wps:spPr>
                      <wps:style>
                        <a:lnRef idx="2">
                          <a:schemeClr val="accent6"/>
                        </a:lnRef>
                        <a:fillRef idx="1">
                          <a:schemeClr val="lt1"/>
                        </a:fillRef>
                        <a:effectRef idx="0">
                          <a:schemeClr val="accent6"/>
                        </a:effectRef>
                        <a:fontRef idx="minor">
                          <a:schemeClr val="dk1"/>
                        </a:fontRef>
                      </wps:style>
                      <wps:txbx>
                        <w:txbxContent>
                          <w:p w14:paraId="0D23A2B6" w14:textId="6CDBBB15" w:rsidR="00D30027" w:rsidRPr="00D30027" w:rsidRDefault="00D30027" w:rsidP="00D30027">
                            <w:pPr>
                              <w:jc w:val="center"/>
                              <w:rPr>
                                <w:b/>
                                <w:bCs/>
                              </w:rPr>
                            </w:pPr>
                            <w:r w:rsidRPr="00D30027">
                              <w:rPr>
                                <w:b/>
                                <w:bCs/>
                              </w:rPr>
                              <w:t>1 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02AB9E3" id="Rectangle 3" o:spid="_x0000_s1026" style="position:absolute;left:0;text-align:left;margin-left:332.85pt;margin-top:3.95pt;width:33.35pt;height:20.3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0qt2VQIAAPYEAAAOAAAAZHJzL2Uyb0RvYy54bWysVFFv2jAQfp+0/2D5fQ0wKBsiVKhVp0mo&#10;RWunPhvHhmiOzzsbEvbrd3ZCyjqepr04Pt99d77P32V+01SGHRT6EmzOh1cDzpSVUJR2m/Pvz/cf&#10;PnHmg7CFMGBVzo/K85vF+3fz2s3UCHZgCoWMklg/q13OdyG4WZZ5uVOV8FfglCWnBqxEIBO3WYGi&#10;puyVyUaDwXVWAxYOQSrv6fSudfJFyq+1kuFRa68CMzmnu4W0Ylo3cc0WczHbonC7UnbXEP9wi0qU&#10;lor2qe5EEGyP5V+pqlIieNDhSkKVgdalVKkH6mY4eNPN0044lXohcrzrafL/L618ODy5NRINtfMz&#10;T9vYRaOxil+6H2sSWceeLNUEJulwPPo4Hk85k+QaTabTSSIzewU79OGLgorFTc6R3iJRJA4rH6gg&#10;hZ5CyHgtn3bhaFS8gbHflGZlQQVHCZ2UoW4NsoOgNxVSKhuu4ztSvhQdYbo0pgcOLwFNGHagLjbC&#10;VFJMDxxcAv5ZsUekqmBDD65KC3gpQfGjr9zGn7pve47th2bTdE+ygeK4RobQStc7eV8Snyvhw1og&#10;aZVUTfMXHmnRBuqcQ7fjbAf469J5jCcJkZezmrSfc/9zL1BxZr5aEtfn4XgchyUZ48l0RAaeezbn&#10;HruvboGeYkiT7mTaxvhgTluNUL3QmC5jVXIJK6l2zmXAk3Eb2pmkQZdquUxhNCBOhJV9cjImjwRH&#10;vTw3LwJdJ6pAanyA05yI2RtttbERaWG5D6DLJLxIcctrRz0NV9JP9yOI03tup6jX39XiNwAAAP//&#10;AwBQSwMEFAAGAAgAAAAhAPa5Qe3eAAAACAEAAA8AAABkcnMvZG93bnJldi54bWxMj0tPwzAQhO9I&#10;/AdrkbhRp6+kTbOpWlDpFcqjVzdekoh4HcVOG/59zQmOoxnNfJOtB9OIM3WutowwHkUgiAuray4R&#10;3t92DwsQzivWqrFMCD/kYJ3f3mQq1fbCr3Q++FKEEnapQqi8b1MpXVGRUW5kW+LgfdnOKB9kV0rd&#10;qUsoN42cRFEsjao5LFSqpceKiu9DbxD64nl7LNvNy9Nuyntpx0vz8akR7++GzQqEp8H/heEXP6BD&#10;HphOtmftRIMQx/MkRBGSJYjgJ9PJDMQJYbaYg8wz+f9AfgUAAP//AwBQSwECLQAUAAYACAAAACEA&#10;toM4kv4AAADhAQAAEwAAAAAAAAAAAAAAAAAAAAAAW0NvbnRlbnRfVHlwZXNdLnhtbFBLAQItABQA&#10;BgAIAAAAIQA4/SH/1gAAAJQBAAALAAAAAAAAAAAAAAAAAC8BAABfcmVscy8ucmVsc1BLAQItABQA&#10;BgAIAAAAIQD10qt2VQIAAPYEAAAOAAAAAAAAAAAAAAAAAC4CAABkcnMvZTJvRG9jLnhtbFBLAQIt&#10;ABQABgAIAAAAIQD2uUHt3gAAAAgBAAAPAAAAAAAAAAAAAAAAAK8EAABkcnMvZG93bnJldi54bWxQ&#10;SwUGAAAAAAQABADzAAAAugUAAAAA&#10;" fillcolor="white [3201]" strokecolor="#70ad47 [3209]" strokeweight="1pt">
                <v:textbox>
                  <w:txbxContent>
                    <w:p w14:paraId="0D23A2B6" w14:textId="6CDBBB15" w:rsidR="00D30027" w:rsidRPr="00D30027" w:rsidRDefault="00D30027" w:rsidP="00D30027">
                      <w:pPr>
                        <w:jc w:val="center"/>
                        <w:rPr>
                          <w:b/>
                          <w:bCs/>
                        </w:rPr>
                      </w:pPr>
                      <w:r w:rsidRPr="00D30027">
                        <w:rPr>
                          <w:b/>
                          <w:bCs/>
                        </w:rPr>
                        <w:t>1 B</w:t>
                      </w:r>
                    </w:p>
                  </w:txbxContent>
                </v:textbox>
              </v:rect>
            </w:pict>
          </mc:Fallback>
        </mc:AlternateContent>
      </w:r>
      <w:r>
        <w:rPr>
          <w:noProof/>
        </w:rPr>
        <mc:AlternateContent>
          <mc:Choice Requires="wps">
            <w:drawing>
              <wp:anchor distT="0" distB="0" distL="114300" distR="114300" simplePos="0" relativeHeight="251659264" behindDoc="0" locked="0" layoutInCell="1" allowOverlap="1" wp14:anchorId="55F0D744" wp14:editId="36095D18">
                <wp:simplePos x="0" y="0"/>
                <wp:positionH relativeFrom="column">
                  <wp:posOffset>1288752</wp:posOffset>
                </wp:positionH>
                <wp:positionV relativeFrom="paragraph">
                  <wp:posOffset>155047</wp:posOffset>
                </wp:positionV>
                <wp:extent cx="423447" cy="257750"/>
                <wp:effectExtent l="0" t="0" r="15240" b="28575"/>
                <wp:wrapNone/>
                <wp:docPr id="763984406" name="Rectangle 3"/>
                <wp:cNvGraphicFramePr/>
                <a:graphic xmlns:a="http://schemas.openxmlformats.org/drawingml/2006/main">
                  <a:graphicData uri="http://schemas.microsoft.com/office/word/2010/wordprocessingShape">
                    <wps:wsp>
                      <wps:cNvSpPr/>
                      <wps:spPr>
                        <a:xfrm>
                          <a:off x="0" y="0"/>
                          <a:ext cx="423447" cy="257750"/>
                        </a:xfrm>
                        <a:prstGeom prst="rect">
                          <a:avLst/>
                        </a:prstGeom>
                      </wps:spPr>
                      <wps:style>
                        <a:lnRef idx="2">
                          <a:schemeClr val="accent6"/>
                        </a:lnRef>
                        <a:fillRef idx="1">
                          <a:schemeClr val="lt1"/>
                        </a:fillRef>
                        <a:effectRef idx="0">
                          <a:schemeClr val="accent6"/>
                        </a:effectRef>
                        <a:fontRef idx="minor">
                          <a:schemeClr val="dk1"/>
                        </a:fontRef>
                      </wps:style>
                      <wps:txbx>
                        <w:txbxContent>
                          <w:p w14:paraId="05ED17D4" w14:textId="5FB17C9E" w:rsidR="00D30027" w:rsidRPr="00D30027" w:rsidRDefault="00D30027" w:rsidP="00D30027">
                            <w:pPr>
                              <w:jc w:val="center"/>
                              <w:rPr>
                                <w:b/>
                                <w:bCs/>
                              </w:rPr>
                            </w:pPr>
                            <w:r w:rsidRPr="00D30027">
                              <w:rPr>
                                <w:b/>
                                <w:bCs/>
                              </w:rPr>
                              <w:t>1 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5F0D744" id="_x0000_s1027" style="position:absolute;left:0;text-align:left;margin-left:101.5pt;margin-top:12.2pt;width:33.35pt;height:20.3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xKoVgIAAP0EAAAOAAAAZHJzL2Uyb0RvYy54bWysVN9v2jAQfp+0/8Hy+wgwKBtqqBBVp0mo&#10;RWunPhvHLtEcn3c2JOyv39kJoet4mvbi3Pl+n78v1zdNZdhBoS/B5nw0GHKmrISitC85//509+ET&#10;Zz4IWwgDVuX8qDy/Wbx/d127uRrDDkyhkFES6+e1y/kuBDfPMi93qhJ+AE5ZMmrASgRS8SUrUNSU&#10;vTLZeDi8ymrAwiFI5T3d3rZGvkj5tVYyPGjtVWAm59RbSCemcxvPbHEt5i8o3K6UXRviH7qoRGmp&#10;aJ/qVgTB9lj+laoqJYIHHQYSqgy0LqVKM9A0o+GbaR53wqk0Cy3Hu35N/v+llfeHR7dBWkPt/NyT&#10;GKdoNFbxS/2xJi3r2C9LNYFJupyMP04mM84kmcbT2Wyalpmdgx368EVBxaKQc6S3SCsSh7UPVJBc&#10;Ty6knMsnKRyNih0Y+01pVhZUcJyiEzLUyiA7CHpTIaWy4Sq+I+VL3jFMl8b0gaNLgSaMuqDON4ap&#10;hJg+cHgp8M+KfUSqCjb0wVVpAS8lKH70lVv/0/TtzHH80GwbGpoIFXuMN1sojhtkCC2CvZN3Ja11&#10;LXzYCCTIEriJhuGBDm2gzjl0Emc7wF+X7qM/IYmsnNVEgZz7n3uBijPz1RLGPo8mk8iZpEymszEp&#10;+NqyfW2x+2oF9CIjIryTSYz+wZxEjVA9E1uXsSqZhJVUO+cy4ElZhZaaxHeplsvkRjxxIqzto5Mx&#10;edxzhM1T8yzQddgKBMp7ONFFzN9ArPWNkRaW+wC6TPg777V7AeJYglH3P4gkfq0nr/Nfa/EbAAD/&#10;/wMAUEsDBBQABgAIAAAAIQB8NKJZ3gAAAAkBAAAPAAAAZHJzL2Rvd25yZXYueG1sTI/BTsMwEETv&#10;SPyDtUjcqN20BBriVAVUuJYC7dWNlyQiXkex04a/ZznR26xmNPsmX46uFUfsQ+NJw3SiQCCV3jZU&#10;afh4X9/cgwjRkDWtJ9TwgwGWxeVFbjLrT/SGx22sBJdQyIyGOsYukzKUNToTJr5DYu/L985EPvtK&#10;2t6cuNy1MlEqlc40xB9q0+FTjeX3dnAahvLlcV91q83zekav0k8X7nNntb6+GlcPICKO8T8Mf/iM&#10;DgUzHfxANohWQ6JmvCWymM9BcCBJF3cgDhrSWwWyyOX5guIXAAD//wMAUEsBAi0AFAAGAAgAAAAh&#10;ALaDOJL+AAAA4QEAABMAAAAAAAAAAAAAAAAAAAAAAFtDb250ZW50X1R5cGVzXS54bWxQSwECLQAU&#10;AAYACAAAACEAOP0h/9YAAACUAQAACwAAAAAAAAAAAAAAAAAvAQAAX3JlbHMvLnJlbHNQSwECLQAU&#10;AAYACAAAACEA3YsSqFYCAAD9BAAADgAAAAAAAAAAAAAAAAAuAgAAZHJzL2Uyb0RvYy54bWxQSwEC&#10;LQAUAAYACAAAACEAfDSiWd4AAAAJAQAADwAAAAAAAAAAAAAAAACwBAAAZHJzL2Rvd25yZXYueG1s&#10;UEsFBgAAAAAEAAQA8wAAALsFAAAAAA==&#10;" fillcolor="white [3201]" strokecolor="#70ad47 [3209]" strokeweight="1pt">
                <v:textbox>
                  <w:txbxContent>
                    <w:p w14:paraId="05ED17D4" w14:textId="5FB17C9E" w:rsidR="00D30027" w:rsidRPr="00D30027" w:rsidRDefault="00D30027" w:rsidP="00D30027">
                      <w:pPr>
                        <w:jc w:val="center"/>
                        <w:rPr>
                          <w:b/>
                          <w:bCs/>
                        </w:rPr>
                      </w:pPr>
                      <w:r w:rsidRPr="00D30027">
                        <w:rPr>
                          <w:b/>
                          <w:bCs/>
                        </w:rPr>
                        <w:t>1 A</w:t>
                      </w:r>
                    </w:p>
                  </w:txbxContent>
                </v:textbox>
              </v:rect>
            </w:pict>
          </mc:Fallback>
        </mc:AlternateContent>
      </w:r>
      <w:r w:rsidR="008A62AE">
        <w:rPr>
          <w:noProof/>
        </w:rPr>
        <w:drawing>
          <wp:inline distT="0" distB="0" distL="0" distR="0" wp14:anchorId="784D7934" wp14:editId="0720BA8D">
            <wp:extent cx="2528939" cy="1761294"/>
            <wp:effectExtent l="0" t="0" r="5080" b="0"/>
            <wp:docPr id="139325408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543604" cy="1771508"/>
                    </a:xfrm>
                    <a:prstGeom prst="rect">
                      <a:avLst/>
                    </a:prstGeom>
                    <a:noFill/>
                    <a:ln>
                      <a:noFill/>
                    </a:ln>
                  </pic:spPr>
                </pic:pic>
              </a:graphicData>
            </a:graphic>
          </wp:inline>
        </w:drawing>
      </w:r>
      <w:r w:rsidR="008A62AE">
        <w:rPr>
          <w:noProof/>
        </w:rPr>
        <w:drawing>
          <wp:inline distT="0" distB="0" distL="0" distR="0" wp14:anchorId="4F2FC15E" wp14:editId="44A4F390">
            <wp:extent cx="2614325" cy="1866601"/>
            <wp:effectExtent l="0" t="0" r="0" b="635"/>
            <wp:docPr id="11843657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642266" cy="1886551"/>
                    </a:xfrm>
                    <a:prstGeom prst="rect">
                      <a:avLst/>
                    </a:prstGeom>
                    <a:noFill/>
                    <a:ln>
                      <a:noFill/>
                    </a:ln>
                  </pic:spPr>
                </pic:pic>
              </a:graphicData>
            </a:graphic>
          </wp:inline>
        </w:drawing>
      </w:r>
    </w:p>
    <w:p w14:paraId="2D02611B" w14:textId="77777777" w:rsidR="004710DF" w:rsidRDefault="004710DF" w:rsidP="004710DF">
      <w:pPr>
        <w:jc w:val="both"/>
      </w:pPr>
      <w:r>
        <w:rPr>
          <w:b/>
          <w:bCs/>
        </w:rPr>
        <w:t xml:space="preserve">Fig. 1 </w:t>
      </w:r>
      <w:r>
        <w:t xml:space="preserve">The cell viability was assessed using the standard MTT Assay. The bar graph showed the cytotoxic effect of CQ on DL cells </w:t>
      </w:r>
      <w:r>
        <w:rPr>
          <w:b/>
          <w:bCs/>
        </w:rPr>
        <w:t>Fig. 1 (A)</w:t>
      </w:r>
      <w:r>
        <w:t>, but did not affect Murine Thymocytes (</w:t>
      </w:r>
      <w:r>
        <w:rPr>
          <w:b/>
          <w:bCs/>
        </w:rPr>
        <w:t>Fig. 1 (B))</w:t>
      </w:r>
      <w:r>
        <w:t xml:space="preserve">. Results were expressed as mean ± SD, with statistical significance at *p &lt; 0.05, **p &lt; 0.01, ***p &lt; 0.001. </w:t>
      </w:r>
    </w:p>
    <w:p w14:paraId="04ECB2C4" w14:textId="77777777" w:rsidR="004710DF" w:rsidRDefault="004710DF" w:rsidP="00013268">
      <w:pPr>
        <w:spacing w:line="480" w:lineRule="auto"/>
        <w:jc w:val="both"/>
        <w:rPr>
          <w:rFonts w:cs="Times New Roman"/>
          <w:b/>
          <w:bCs/>
          <w:szCs w:val="24"/>
        </w:rPr>
      </w:pPr>
    </w:p>
    <w:p w14:paraId="315526F2" w14:textId="6C75F95F" w:rsidR="0043313A" w:rsidRPr="0043313A" w:rsidRDefault="0043313A" w:rsidP="00013268">
      <w:pPr>
        <w:spacing w:line="480" w:lineRule="auto"/>
        <w:jc w:val="both"/>
        <w:rPr>
          <w:rFonts w:cs="Times New Roman"/>
          <w:b/>
          <w:bCs/>
          <w:szCs w:val="24"/>
        </w:rPr>
      </w:pPr>
      <w:r w:rsidRPr="0043313A">
        <w:rPr>
          <w:rFonts w:cs="Times New Roman"/>
          <w:b/>
          <w:bCs/>
          <w:szCs w:val="24"/>
        </w:rPr>
        <w:t>DAPI assay</w:t>
      </w:r>
    </w:p>
    <w:p w14:paraId="171C7660" w14:textId="49AEA6A6" w:rsidR="0043313A" w:rsidRDefault="00BA5A85" w:rsidP="00013268">
      <w:pPr>
        <w:spacing w:line="480" w:lineRule="auto"/>
        <w:jc w:val="both"/>
        <w:rPr>
          <w:rFonts w:cs="Times New Roman"/>
          <w:szCs w:val="24"/>
        </w:rPr>
      </w:pPr>
      <w:r w:rsidRPr="00BA5A85">
        <w:rPr>
          <w:rFonts w:cs="Times New Roman"/>
          <w:szCs w:val="24"/>
        </w:rPr>
        <w:t>The impact of chloroquine on the nucle</w:t>
      </w:r>
      <w:r>
        <w:rPr>
          <w:rFonts w:cs="Times New Roman"/>
          <w:szCs w:val="24"/>
        </w:rPr>
        <w:t xml:space="preserve">ar </w:t>
      </w:r>
      <w:r w:rsidRPr="00BA5A85">
        <w:rPr>
          <w:rFonts w:cs="Times New Roman"/>
          <w:szCs w:val="24"/>
        </w:rPr>
        <w:t xml:space="preserve">morphology of DL cells was assessed via DAPI staining, demonstrating a distinct, dose-dependent activation of apoptosis. Control cells </w:t>
      </w:r>
      <w:r>
        <w:rPr>
          <w:rFonts w:cs="Times New Roman"/>
          <w:szCs w:val="24"/>
        </w:rPr>
        <w:t xml:space="preserve">have </w:t>
      </w:r>
      <w:r w:rsidRPr="00BA5A85">
        <w:rPr>
          <w:rFonts w:cs="Times New Roman"/>
          <w:szCs w:val="24"/>
        </w:rPr>
        <w:t>spherical nuclei indicative of healthy cells.</w:t>
      </w:r>
      <w:r>
        <w:rPr>
          <w:rFonts w:cs="Times New Roman"/>
          <w:szCs w:val="24"/>
        </w:rPr>
        <w:t xml:space="preserve"> </w:t>
      </w:r>
      <w:r w:rsidRPr="00BA5A85">
        <w:rPr>
          <w:rFonts w:cs="Times New Roman"/>
          <w:szCs w:val="24"/>
        </w:rPr>
        <w:t xml:space="preserve">Treatment with chloroquine </w:t>
      </w:r>
      <w:r>
        <w:rPr>
          <w:rFonts w:cs="Times New Roman"/>
          <w:szCs w:val="24"/>
        </w:rPr>
        <w:t>(</w:t>
      </w:r>
      <w:r w:rsidR="00B108A8">
        <w:rPr>
          <w:rFonts w:cs="Times New Roman"/>
          <w:szCs w:val="24"/>
        </w:rPr>
        <w:t xml:space="preserve">0, </w:t>
      </w:r>
      <w:r>
        <w:rPr>
          <w:rFonts w:cs="Times New Roman"/>
          <w:szCs w:val="24"/>
        </w:rPr>
        <w:t xml:space="preserve">5, 10, </w:t>
      </w:r>
      <w:r w:rsidRPr="00BA5A85">
        <w:rPr>
          <w:rFonts w:cs="Times New Roman"/>
          <w:szCs w:val="24"/>
        </w:rPr>
        <w:t>20 µM</w:t>
      </w:r>
      <w:r>
        <w:rPr>
          <w:rFonts w:cs="Times New Roman"/>
          <w:szCs w:val="24"/>
        </w:rPr>
        <w:t>)</w:t>
      </w:r>
      <w:r w:rsidRPr="00BA5A85">
        <w:rPr>
          <w:rFonts w:cs="Times New Roman"/>
          <w:szCs w:val="24"/>
        </w:rPr>
        <w:t xml:space="preserve"> </w:t>
      </w:r>
      <w:r w:rsidRPr="00BA5A85">
        <w:rPr>
          <w:rFonts w:cs="Times New Roman"/>
          <w:szCs w:val="24"/>
        </w:rPr>
        <w:lastRenderedPageBreak/>
        <w:t>resulted in extensive and severe nuclear deterioration, with the majority of nuclei fragmenting into discrete apoptotic bodies. These findings validate that chloroquine promotes apoptosis in DL cells in a dose-dependent manner</w:t>
      </w:r>
      <w:r w:rsidR="00D26558">
        <w:rPr>
          <w:rFonts w:cs="Times New Roman"/>
          <w:szCs w:val="24"/>
        </w:rPr>
        <w:t xml:space="preserve">, as shown in </w:t>
      </w:r>
      <w:r w:rsidR="00D26558" w:rsidRPr="00D26558">
        <w:rPr>
          <w:rFonts w:cs="Times New Roman"/>
          <w:b/>
          <w:bCs/>
          <w:szCs w:val="24"/>
        </w:rPr>
        <w:t>Fig. 2</w:t>
      </w:r>
      <w:r w:rsidRPr="00BA5A85">
        <w:rPr>
          <w:rFonts w:cs="Times New Roman"/>
          <w:szCs w:val="24"/>
        </w:rPr>
        <w:t>.</w:t>
      </w:r>
    </w:p>
    <w:p w14:paraId="2545DAE6" w14:textId="051B24B8" w:rsidR="004710DF" w:rsidRPr="006610D3" w:rsidRDefault="009E0C86" w:rsidP="00013268">
      <w:pPr>
        <w:spacing w:line="480" w:lineRule="auto"/>
        <w:jc w:val="both"/>
        <w:rPr>
          <w:rFonts w:cs="Times New Roman"/>
          <w:szCs w:val="24"/>
        </w:rPr>
      </w:pPr>
      <w:r>
        <w:rPr>
          <w:noProof/>
        </w:rPr>
        <w:drawing>
          <wp:inline distT="0" distB="0" distL="0" distR="0" wp14:anchorId="24396B84" wp14:editId="153CAF8A">
            <wp:extent cx="5615275" cy="3893015"/>
            <wp:effectExtent l="0" t="0" r="5080" b="0"/>
            <wp:docPr id="114580048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49031" cy="3916418"/>
                    </a:xfrm>
                    <a:prstGeom prst="rect">
                      <a:avLst/>
                    </a:prstGeom>
                    <a:noFill/>
                    <a:ln>
                      <a:noFill/>
                    </a:ln>
                  </pic:spPr>
                </pic:pic>
              </a:graphicData>
            </a:graphic>
          </wp:inline>
        </w:drawing>
      </w:r>
    </w:p>
    <w:p w14:paraId="6ECBCF3A" w14:textId="77777777" w:rsidR="00E52ABA" w:rsidRDefault="00E52ABA" w:rsidP="00E52ABA">
      <w:pPr>
        <w:jc w:val="both"/>
      </w:pPr>
      <w:r>
        <w:rPr>
          <w:b/>
          <w:bCs/>
        </w:rPr>
        <w:t xml:space="preserve">Fig. 2 </w:t>
      </w:r>
      <w:r>
        <w:t xml:space="preserve">DL cells were treated with CQ at 5, 10, and 20 </w:t>
      </w:r>
      <w:r>
        <w:rPr>
          <w:rFonts w:cs="Times New Roman"/>
        </w:rPr>
        <w:t>µ</w:t>
      </w:r>
      <w:r>
        <w:t>M for 24 hours, followed by DAPI staining. Images captured at 40X using confocal microscopy revealed alterations in nuclear morphology. The images are representatives of biological triplicates.</w:t>
      </w:r>
    </w:p>
    <w:p w14:paraId="49A60C60" w14:textId="77777777" w:rsidR="00E52ABA" w:rsidRDefault="00E52ABA" w:rsidP="00013268">
      <w:pPr>
        <w:spacing w:line="480" w:lineRule="auto"/>
        <w:jc w:val="both"/>
        <w:rPr>
          <w:rFonts w:cs="Times New Roman"/>
          <w:b/>
          <w:bCs/>
          <w:szCs w:val="24"/>
        </w:rPr>
      </w:pPr>
    </w:p>
    <w:p w14:paraId="4FA8D5A6" w14:textId="425B750B" w:rsidR="00BA5A85" w:rsidRPr="00BA5A85" w:rsidRDefault="0043313A" w:rsidP="00013268">
      <w:pPr>
        <w:spacing w:line="480" w:lineRule="auto"/>
        <w:jc w:val="both"/>
        <w:rPr>
          <w:rFonts w:cs="Times New Roman"/>
          <w:b/>
          <w:bCs/>
          <w:szCs w:val="24"/>
        </w:rPr>
      </w:pPr>
      <w:r>
        <w:rPr>
          <w:rFonts w:cs="Times New Roman"/>
          <w:b/>
          <w:bCs/>
          <w:szCs w:val="24"/>
        </w:rPr>
        <w:t xml:space="preserve">Cellular destruction by </w:t>
      </w:r>
      <w:r w:rsidR="00BA5A85" w:rsidRPr="00BA5A85">
        <w:rPr>
          <w:rFonts w:cs="Times New Roman"/>
          <w:b/>
          <w:bCs/>
          <w:szCs w:val="24"/>
        </w:rPr>
        <w:t>AO/EtBr</w:t>
      </w:r>
      <w:r>
        <w:rPr>
          <w:rFonts w:cs="Times New Roman"/>
          <w:b/>
          <w:bCs/>
          <w:szCs w:val="24"/>
        </w:rPr>
        <w:t xml:space="preserve"> dual staining</w:t>
      </w:r>
    </w:p>
    <w:p w14:paraId="018F752B" w14:textId="4C3BF869" w:rsidR="00B108A8" w:rsidRDefault="00BA5A85" w:rsidP="00013268">
      <w:pPr>
        <w:spacing w:line="480" w:lineRule="auto"/>
        <w:jc w:val="both"/>
        <w:rPr>
          <w:rFonts w:cs="Times New Roman"/>
          <w:szCs w:val="24"/>
        </w:rPr>
      </w:pPr>
      <w:r w:rsidRPr="00BA5A85">
        <w:rPr>
          <w:rFonts w:cs="Times New Roman"/>
          <w:szCs w:val="24"/>
        </w:rPr>
        <w:t xml:space="preserve">The induction of apoptosis in DL cells by chloroquine was evaluated by dual </w:t>
      </w:r>
      <w:r>
        <w:rPr>
          <w:rFonts w:cs="Times New Roman"/>
          <w:szCs w:val="24"/>
        </w:rPr>
        <w:t>staining</w:t>
      </w:r>
      <w:r w:rsidRPr="00BA5A85">
        <w:rPr>
          <w:rFonts w:cs="Times New Roman"/>
          <w:szCs w:val="24"/>
        </w:rPr>
        <w:t xml:space="preserve"> with Acridine Orange (AO) and Ethidium Bromide (EtBr), which distinguishes living, early apoptotic, and late apoptotic cells based on membrane integrity and nuclear morphology. In the untreated control group, cells displayed homogeneous green fluorescence, signifying viability and undamaged cell membranes. At a chloroquine concentration of 5 µM, the majority of cells exhibited a green </w:t>
      </w:r>
      <w:r>
        <w:rPr>
          <w:rFonts w:cs="Times New Roman"/>
          <w:szCs w:val="24"/>
        </w:rPr>
        <w:t>stain;</w:t>
      </w:r>
      <w:r w:rsidRPr="00BA5A85">
        <w:rPr>
          <w:rFonts w:cs="Times New Roman"/>
          <w:szCs w:val="24"/>
        </w:rPr>
        <w:t xml:space="preserve"> however</w:t>
      </w:r>
      <w:r>
        <w:rPr>
          <w:rFonts w:cs="Times New Roman"/>
          <w:szCs w:val="24"/>
        </w:rPr>
        <w:t>,</w:t>
      </w:r>
      <w:r w:rsidRPr="00BA5A85">
        <w:rPr>
          <w:rFonts w:cs="Times New Roman"/>
          <w:szCs w:val="24"/>
        </w:rPr>
        <w:t xml:space="preserve"> a few displayed early apoptotic features, indicated by brilliant </w:t>
      </w:r>
      <w:r w:rsidRPr="00BA5A85">
        <w:rPr>
          <w:rFonts w:cs="Times New Roman"/>
          <w:szCs w:val="24"/>
        </w:rPr>
        <w:lastRenderedPageBreak/>
        <w:t xml:space="preserve">green compacted or fragmented chromatin. Following treatment with 10 µM chloroquine, a notable rise in the population of orange-to-red fluorescent cells was detected, indicating late-stage apoptotic cells with reduced membrane integrity that </w:t>
      </w:r>
      <w:r>
        <w:rPr>
          <w:rFonts w:cs="Times New Roman"/>
          <w:szCs w:val="24"/>
        </w:rPr>
        <w:t>allowed</w:t>
      </w:r>
      <w:r w:rsidRPr="00BA5A85">
        <w:rPr>
          <w:rFonts w:cs="Times New Roman"/>
          <w:szCs w:val="24"/>
        </w:rPr>
        <w:t xml:space="preserve"> EtBr to penetrate and stain the nucleus. At the maximum dosage of 20 µM, most cells exhibited intense orange-red fluorescence, signifying widespread apoptosis and cellular mortality. This dose-dependent transition from a green to an orange-red cell population verifies that chloroquine successfully triggers apoptosis in DL cells</w:t>
      </w:r>
      <w:r w:rsidR="00D26558">
        <w:rPr>
          <w:rFonts w:cs="Times New Roman"/>
          <w:szCs w:val="24"/>
        </w:rPr>
        <w:t xml:space="preserve">, as shown in </w:t>
      </w:r>
      <w:r w:rsidR="00D26558" w:rsidRPr="00D26558">
        <w:rPr>
          <w:rFonts w:cs="Times New Roman"/>
          <w:b/>
          <w:bCs/>
          <w:szCs w:val="24"/>
        </w:rPr>
        <w:t>Fig. 3</w:t>
      </w:r>
      <w:r w:rsidRPr="00BA5A85">
        <w:rPr>
          <w:rFonts w:cs="Times New Roman"/>
          <w:szCs w:val="24"/>
        </w:rPr>
        <w:t>.</w:t>
      </w:r>
    </w:p>
    <w:p w14:paraId="5BCEE60F" w14:textId="132E848E" w:rsidR="00E52ABA" w:rsidRPr="00BA5A85" w:rsidRDefault="00345136" w:rsidP="00013268">
      <w:pPr>
        <w:spacing w:line="480" w:lineRule="auto"/>
        <w:jc w:val="both"/>
        <w:rPr>
          <w:rFonts w:cs="Times New Roman"/>
          <w:szCs w:val="24"/>
        </w:rPr>
      </w:pPr>
      <w:r>
        <w:rPr>
          <w:noProof/>
        </w:rPr>
        <w:drawing>
          <wp:inline distT="0" distB="0" distL="0" distR="0" wp14:anchorId="5E1FF1F8" wp14:editId="0A9B74B3">
            <wp:extent cx="5541632" cy="3660694"/>
            <wp:effectExtent l="0" t="0" r="2540" b="0"/>
            <wp:docPr id="185680568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65958" cy="3676763"/>
                    </a:xfrm>
                    <a:prstGeom prst="rect">
                      <a:avLst/>
                    </a:prstGeom>
                    <a:noFill/>
                    <a:ln>
                      <a:noFill/>
                    </a:ln>
                  </pic:spPr>
                </pic:pic>
              </a:graphicData>
            </a:graphic>
          </wp:inline>
        </w:drawing>
      </w:r>
    </w:p>
    <w:p w14:paraId="1B1AFED9" w14:textId="77777777" w:rsidR="00345136" w:rsidRDefault="00345136" w:rsidP="00345136">
      <w:pPr>
        <w:jc w:val="both"/>
        <w:rPr>
          <w:lang w:val="en-US"/>
        </w:rPr>
      </w:pPr>
      <w:r>
        <w:rPr>
          <w:b/>
          <w:bCs/>
        </w:rPr>
        <w:t xml:space="preserve">Fig. 3 </w:t>
      </w:r>
      <w:r>
        <w:rPr>
          <w:lang w:val="en-US"/>
        </w:rPr>
        <w:t xml:space="preserve">Composite image of AO/EtBr-stained DL cells treated with CQ at various concentrations for 24 hrs.  Data are representative of one of three similar experiments, and the magnification of the image was 40X Confocal microscope. </w:t>
      </w:r>
    </w:p>
    <w:p w14:paraId="5912B323" w14:textId="77777777" w:rsidR="00345136" w:rsidRDefault="00345136" w:rsidP="00013268">
      <w:pPr>
        <w:spacing w:line="480" w:lineRule="auto"/>
        <w:jc w:val="both"/>
        <w:rPr>
          <w:rFonts w:cs="Times New Roman"/>
          <w:b/>
          <w:bCs/>
          <w:szCs w:val="24"/>
        </w:rPr>
      </w:pPr>
    </w:p>
    <w:p w14:paraId="6A527329" w14:textId="5D95DB80" w:rsidR="00F17283" w:rsidRDefault="00F17283" w:rsidP="00013268">
      <w:pPr>
        <w:spacing w:line="480" w:lineRule="auto"/>
        <w:jc w:val="both"/>
        <w:rPr>
          <w:rFonts w:cs="Times New Roman"/>
          <w:b/>
          <w:bCs/>
          <w:szCs w:val="24"/>
        </w:rPr>
      </w:pPr>
      <w:r w:rsidRPr="00BA5A85">
        <w:rPr>
          <w:rFonts w:cs="Times New Roman"/>
          <w:b/>
          <w:bCs/>
          <w:szCs w:val="24"/>
        </w:rPr>
        <w:t>Chloroquine induces apoptosis in DL cells</w:t>
      </w:r>
      <w:r w:rsidR="00BA5A85">
        <w:rPr>
          <w:rFonts w:cs="Times New Roman"/>
          <w:b/>
          <w:bCs/>
          <w:szCs w:val="24"/>
        </w:rPr>
        <w:t>, visualized by annexin V /PI staining</w:t>
      </w:r>
    </w:p>
    <w:p w14:paraId="6C1D109E" w14:textId="26867D89" w:rsidR="00345136" w:rsidRDefault="00BA5A85" w:rsidP="00013268">
      <w:pPr>
        <w:spacing w:line="480" w:lineRule="auto"/>
        <w:jc w:val="both"/>
        <w:rPr>
          <w:rFonts w:cs="Times New Roman"/>
          <w:b/>
          <w:bCs/>
          <w:szCs w:val="24"/>
        </w:rPr>
      </w:pPr>
      <w:r w:rsidRPr="00BA5A85">
        <w:rPr>
          <w:rFonts w:cs="Times New Roman"/>
          <w:szCs w:val="24"/>
        </w:rPr>
        <w:t xml:space="preserve">Confocal microscopy of Annexin V/PI-stained cells confirmed the occurrence of apoptosis visually. The untreated control cells predominantly remained unstained, signifying their </w:t>
      </w:r>
      <w:r w:rsidRPr="00BA5A85">
        <w:rPr>
          <w:rFonts w:cs="Times New Roman"/>
          <w:szCs w:val="24"/>
        </w:rPr>
        <w:lastRenderedPageBreak/>
        <w:t>viability. In the 5 µM chloroquine treatment group, several cells displayed green fluorescence on their outer membrane, indicative of Annexin V binding to phosphatidylserine in early apoptotic cells. At 10 µM, there was an elevated quantity of green-stained (early apoptotic) cells, along with the emergence of red-stained nuclei (late apoptotic) in cells exhibiting green fluorescence. At a dose of 20 µM, most cells exhibited pronounced red and green fluorescence</w:t>
      </w:r>
      <w:r w:rsidR="00B61792">
        <w:rPr>
          <w:rFonts w:cs="Times New Roman"/>
          <w:szCs w:val="24"/>
        </w:rPr>
        <w:t xml:space="preserve"> </w:t>
      </w:r>
      <w:r w:rsidR="00B61792" w:rsidRPr="00B61792">
        <w:rPr>
          <w:rFonts w:cs="Times New Roman"/>
          <w:b/>
          <w:bCs/>
          <w:szCs w:val="24"/>
        </w:rPr>
        <w:t>Fig. 4 (</w:t>
      </w:r>
      <w:r w:rsidR="006B387E">
        <w:rPr>
          <w:rFonts w:cs="Times New Roman"/>
          <w:b/>
          <w:bCs/>
          <w:szCs w:val="24"/>
        </w:rPr>
        <w:t>A</w:t>
      </w:r>
      <w:r w:rsidR="00B61792">
        <w:rPr>
          <w:rFonts w:cs="Times New Roman"/>
          <w:szCs w:val="24"/>
        </w:rPr>
        <w:t>)</w:t>
      </w:r>
      <w:r w:rsidRPr="00BA5A85">
        <w:rPr>
          <w:rFonts w:cs="Times New Roman"/>
          <w:szCs w:val="24"/>
        </w:rPr>
        <w:t>, signifying they were in the advanced stages of apoptosis with impaired membrane integrity</w:t>
      </w:r>
      <w:r w:rsidR="00E32D0F" w:rsidRPr="00BA5A85">
        <w:rPr>
          <w:rFonts w:cs="Times New Roman"/>
          <w:szCs w:val="24"/>
        </w:rPr>
        <w:t>,</w:t>
      </w:r>
      <w:r>
        <w:rPr>
          <w:rFonts w:cs="Times New Roman"/>
          <w:szCs w:val="24"/>
        </w:rPr>
        <w:t xml:space="preserve"> further validated by </w:t>
      </w:r>
      <w:r w:rsidR="00E32D0F" w:rsidRPr="00BA5A85">
        <w:rPr>
          <w:rFonts w:cs="Times New Roman"/>
          <w:szCs w:val="24"/>
        </w:rPr>
        <w:t xml:space="preserve">quantitative analysis of apoptotic cells using Annexin V/PI staining followed by flow cytometry. Annexin V binds to phosphatidylserine residues that emerge on the surface of apoptotic cells, whereas Propidium iodide (PI) stains the </w:t>
      </w:r>
      <w:r w:rsidR="00B108A8" w:rsidRPr="00BA5A85">
        <w:rPr>
          <w:rFonts w:cs="Times New Roman"/>
          <w:szCs w:val="24"/>
        </w:rPr>
        <w:t>nucl</w:t>
      </w:r>
      <w:r w:rsidR="00B108A8">
        <w:rPr>
          <w:rFonts w:cs="Times New Roman"/>
          <w:szCs w:val="24"/>
        </w:rPr>
        <w:t xml:space="preserve">eus </w:t>
      </w:r>
      <w:r w:rsidR="00E32D0F" w:rsidRPr="00BA5A85">
        <w:rPr>
          <w:rFonts w:cs="Times New Roman"/>
          <w:szCs w:val="24"/>
        </w:rPr>
        <w:t>of</w:t>
      </w:r>
      <w:r w:rsidR="00B108A8">
        <w:rPr>
          <w:rFonts w:cs="Times New Roman"/>
          <w:szCs w:val="24"/>
        </w:rPr>
        <w:t xml:space="preserve"> </w:t>
      </w:r>
      <w:r w:rsidR="00E32D0F" w:rsidRPr="00BA5A85">
        <w:rPr>
          <w:rFonts w:cs="Times New Roman"/>
          <w:szCs w:val="24"/>
        </w:rPr>
        <w:t xml:space="preserve">dead cells since it cannot penetrate intact cell membranes. </w:t>
      </w:r>
      <w:r w:rsidR="00E76E15" w:rsidRPr="00E76E15">
        <w:rPr>
          <w:rFonts w:cs="Times New Roman"/>
          <w:szCs w:val="24"/>
        </w:rPr>
        <w:t>Treatment with chloroquine induced a significant, concentration-dependent apoptotic response in DL cells. As determined by flow cytometry, the apoptotic cell population increased from 3.63% in control cells to 15.97% at 5 µM, 45.94% at 10 µM, and reached a maximum of 72.27% at 20 µM chloroquine</w:t>
      </w:r>
      <w:r w:rsidR="00D26558">
        <w:rPr>
          <w:rFonts w:cs="Times New Roman"/>
          <w:szCs w:val="24"/>
        </w:rPr>
        <w:t xml:space="preserve">, as shown in </w:t>
      </w:r>
      <w:r w:rsidR="00D26558" w:rsidRPr="00D26558">
        <w:rPr>
          <w:rFonts w:cs="Times New Roman"/>
          <w:b/>
          <w:bCs/>
          <w:szCs w:val="24"/>
        </w:rPr>
        <w:t>Fig. 4</w:t>
      </w:r>
      <w:r w:rsidR="00B61792">
        <w:rPr>
          <w:rFonts w:cs="Times New Roman"/>
          <w:szCs w:val="24"/>
        </w:rPr>
        <w:t xml:space="preserve"> </w:t>
      </w:r>
      <w:r w:rsidR="00B61792" w:rsidRPr="00B61792">
        <w:rPr>
          <w:rFonts w:cs="Times New Roman"/>
          <w:b/>
          <w:bCs/>
          <w:szCs w:val="24"/>
        </w:rPr>
        <w:t>(</w:t>
      </w:r>
      <w:r w:rsidR="006B387E">
        <w:rPr>
          <w:rFonts w:cs="Times New Roman"/>
          <w:b/>
          <w:bCs/>
          <w:szCs w:val="24"/>
        </w:rPr>
        <w:t>B</w:t>
      </w:r>
      <w:r w:rsidR="00B61792" w:rsidRPr="00B61792">
        <w:rPr>
          <w:rFonts w:cs="Times New Roman"/>
          <w:b/>
          <w:bCs/>
          <w:szCs w:val="24"/>
        </w:rPr>
        <w:t>)</w:t>
      </w:r>
    </w:p>
    <w:p w14:paraId="2CDDFBB3" w14:textId="2371F873" w:rsidR="00345136" w:rsidRDefault="006D2197" w:rsidP="00013268">
      <w:pPr>
        <w:spacing w:line="480" w:lineRule="auto"/>
        <w:jc w:val="both"/>
        <w:rPr>
          <w:rFonts w:cs="Times New Roman"/>
          <w:szCs w:val="24"/>
        </w:rPr>
      </w:pPr>
      <w:r>
        <w:rPr>
          <w:noProof/>
        </w:rPr>
        <w:lastRenderedPageBreak/>
        <mc:AlternateContent>
          <mc:Choice Requires="wps">
            <w:drawing>
              <wp:anchor distT="0" distB="0" distL="114300" distR="114300" simplePos="0" relativeHeight="251667456" behindDoc="0" locked="0" layoutInCell="1" allowOverlap="1" wp14:anchorId="66552B24" wp14:editId="07E5F672">
                <wp:simplePos x="0" y="0"/>
                <wp:positionH relativeFrom="column">
                  <wp:posOffset>4251990</wp:posOffset>
                </wp:positionH>
                <wp:positionV relativeFrom="paragraph">
                  <wp:posOffset>4148097</wp:posOffset>
                </wp:positionV>
                <wp:extent cx="423447" cy="257750"/>
                <wp:effectExtent l="0" t="0" r="15240" b="28575"/>
                <wp:wrapNone/>
                <wp:docPr id="1999691737" name="Rectangle 3"/>
                <wp:cNvGraphicFramePr/>
                <a:graphic xmlns:a="http://schemas.openxmlformats.org/drawingml/2006/main">
                  <a:graphicData uri="http://schemas.microsoft.com/office/word/2010/wordprocessingShape">
                    <wps:wsp>
                      <wps:cNvSpPr/>
                      <wps:spPr>
                        <a:xfrm>
                          <a:off x="0" y="0"/>
                          <a:ext cx="423447" cy="257750"/>
                        </a:xfrm>
                        <a:prstGeom prst="rect">
                          <a:avLst/>
                        </a:prstGeom>
                      </wps:spPr>
                      <wps:style>
                        <a:lnRef idx="2">
                          <a:schemeClr val="accent6"/>
                        </a:lnRef>
                        <a:fillRef idx="1">
                          <a:schemeClr val="lt1"/>
                        </a:fillRef>
                        <a:effectRef idx="0">
                          <a:schemeClr val="accent6"/>
                        </a:effectRef>
                        <a:fontRef idx="minor">
                          <a:schemeClr val="dk1"/>
                        </a:fontRef>
                      </wps:style>
                      <wps:txbx>
                        <w:txbxContent>
                          <w:p w14:paraId="270218F8" w14:textId="1688649A" w:rsidR="006D2197" w:rsidRPr="00D30027" w:rsidRDefault="006D2197" w:rsidP="006D2197">
                            <w:pPr>
                              <w:jc w:val="center"/>
                              <w:rPr>
                                <w:b/>
                                <w:bCs/>
                              </w:rPr>
                            </w:pPr>
                            <w:r>
                              <w:rPr>
                                <w:b/>
                                <w:bCs/>
                              </w:rPr>
                              <w:t>4</w:t>
                            </w:r>
                            <w:r w:rsidRPr="00D30027">
                              <w:rPr>
                                <w:b/>
                                <w:bCs/>
                              </w:rPr>
                              <w:t xml:space="preserve"> </w:t>
                            </w:r>
                            <w:r>
                              <w:rPr>
                                <w:b/>
                                <w:bCs/>
                              </w:rPr>
                              <w:t>C</w:t>
                            </w:r>
                            <w:r w:rsidRPr="006D2197">
                              <w:rPr>
                                <w:b/>
                                <w:bCs/>
                                <w:noProof/>
                              </w:rPr>
                              <w:drawing>
                                <wp:inline distT="0" distB="0" distL="0" distR="0" wp14:anchorId="7CC8D5E4" wp14:editId="3FC27E3E">
                                  <wp:extent cx="227330" cy="150495"/>
                                  <wp:effectExtent l="0" t="0" r="1270" b="1905"/>
                                  <wp:docPr id="10601323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7330" cy="15049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6552B24" id="_x0000_s1028" style="position:absolute;left:0;text-align:left;margin-left:334.8pt;margin-top:326.6pt;width:33.35pt;height:20.3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jvlWAIAAP0EAAAOAAAAZHJzL2Uyb0RvYy54bWysVMFu2zAMvQ/YPwi6r06ypNmCOEXQosOA&#10;oA3WDj0rspQYk0WNUmJnXz9Kdtysy2nYRSZFPlIkHz2/aSrDDgp9CTbnw6sBZ8pKKEq7zfn35/sP&#10;nzjzQdhCGLAq50fl+c3i/bt57WZqBDswhUJGQayf1S7nuxDcLMu83KlK+CtwypJRA1YikIrbrEBR&#10;U/TKZKPB4DqrAQuHIJX3dHvXGvkixddayfCotVeBmZzT20I6MZ2beGaLuZhtUbhdKbtniH94RSVK&#10;S0n7UHciCLbH8q9QVSkRPOhwJaHKQOtSqlQDVTMcvKnmaSecSrVQc7zr2+T/X1j5cHhya6Q21M7P&#10;PImxikZjFb/0PtakZh37ZqkmMEmX49HH8XjKmSTTaDKdTlIzs1ewQx++KKhYFHKONIvUInFY+UAJ&#10;yfXkQspr+iSFo1HxBcZ+U5qVBSUcJXRihro1yA6CZiqkVDZcxzlSvOQdYbo0pgcOLwFNGHagzjfC&#10;VGJMDxxcAv6ZsUekrGBDD65KC3gpQPGjz9z6n6pva47lh2bTUNGx5m4yGyiOa2QILYO9k/cltXUl&#10;fFgLJMoSuWkNwyMd2kCdc+gkznaAvy7dR39iElk5q2kFcu5/7gUqzsxXSxz7PByP484kZTyZjkjB&#10;c8vm3GL31S3QRIa08E4mMfoHcxI1QvVC27qMWckkrKTcOZcBT8ptaFeT9l2q5TK50Z44EVb2yckY&#10;PPY50ua5eRHoOm4FIuUDnNZFzN5QrPWNSAvLfQBdJv7FTrd97SZAO5Zo1P0P4hKf68nr9a+1+A0A&#10;AP//AwBQSwMEFAAGAAgAAAAhAOFClVjfAAAACwEAAA8AAABkcnMvZG93bnJldi54bWxMj01PwzAM&#10;hu9I/IfISNxYulWEtTSdBmhwHYONa9aYtqJxqibdyr/HnODmj0evHxeryXXihENoPWmYzxIQSJW3&#10;LdUa3t82N0sQIRqypvOEGr4xwKq8vChMbv2ZXvG0i7XgEAq50dDE2OdShqpBZ8LM90i8+/SDM5Hb&#10;oZZ2MGcOd51cJImSzrTEFxrT42OD1ddudBrG6vnho+7X26dNSi/SzzO3P1itr6+m9T2IiFP8g+FX&#10;n9WhZKejH8kG0WlQKlOMcnGbLkAwcZeqFMSRJ1m6BFkW8v8P5Q8AAAD//wMAUEsBAi0AFAAGAAgA&#10;AAAhALaDOJL+AAAA4QEAABMAAAAAAAAAAAAAAAAAAAAAAFtDb250ZW50X1R5cGVzXS54bWxQSwEC&#10;LQAUAAYACAAAACEAOP0h/9YAAACUAQAACwAAAAAAAAAAAAAAAAAvAQAAX3JlbHMvLnJlbHNQSwEC&#10;LQAUAAYACAAAACEA5io75VgCAAD9BAAADgAAAAAAAAAAAAAAAAAuAgAAZHJzL2Uyb0RvYy54bWxQ&#10;SwECLQAUAAYACAAAACEA4UKVWN8AAAALAQAADwAAAAAAAAAAAAAAAACyBAAAZHJzL2Rvd25yZXYu&#10;eG1sUEsFBgAAAAAEAAQA8wAAAL4FAAAAAA==&#10;" fillcolor="white [3201]" strokecolor="#70ad47 [3209]" strokeweight="1pt">
                <v:textbox>
                  <w:txbxContent>
                    <w:p w14:paraId="270218F8" w14:textId="1688649A" w:rsidR="006D2197" w:rsidRPr="00D30027" w:rsidRDefault="006D2197" w:rsidP="006D2197">
                      <w:pPr>
                        <w:jc w:val="center"/>
                        <w:rPr>
                          <w:b/>
                          <w:bCs/>
                        </w:rPr>
                      </w:pPr>
                      <w:r>
                        <w:rPr>
                          <w:b/>
                          <w:bCs/>
                        </w:rPr>
                        <w:t>4</w:t>
                      </w:r>
                      <w:r w:rsidRPr="00D30027">
                        <w:rPr>
                          <w:b/>
                          <w:bCs/>
                        </w:rPr>
                        <w:t xml:space="preserve"> </w:t>
                      </w:r>
                      <w:r>
                        <w:rPr>
                          <w:b/>
                          <w:bCs/>
                        </w:rPr>
                        <w:t>C</w:t>
                      </w:r>
                      <w:r w:rsidRPr="006D2197">
                        <w:rPr>
                          <w:b/>
                          <w:bCs/>
                          <w:noProof/>
                        </w:rPr>
                        <w:drawing>
                          <wp:inline distT="0" distB="0" distL="0" distR="0" wp14:anchorId="7CC8D5E4" wp14:editId="3FC27E3E">
                            <wp:extent cx="227330" cy="150495"/>
                            <wp:effectExtent l="0" t="0" r="1270" b="1905"/>
                            <wp:docPr id="10601323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7330" cy="150495"/>
                                    </a:xfrm>
                                    <a:prstGeom prst="rect">
                                      <a:avLst/>
                                    </a:prstGeom>
                                    <a:noFill/>
                                    <a:ln>
                                      <a:noFill/>
                                    </a:ln>
                                  </pic:spPr>
                                </pic:pic>
                              </a:graphicData>
                            </a:graphic>
                          </wp:inline>
                        </w:drawing>
                      </w:r>
                    </w:p>
                  </w:txbxContent>
                </v:textbox>
              </v:rect>
            </w:pict>
          </mc:Fallback>
        </mc:AlternateContent>
      </w:r>
      <w:r>
        <w:rPr>
          <w:noProof/>
        </w:rPr>
        <mc:AlternateContent>
          <mc:Choice Requires="wps">
            <w:drawing>
              <wp:anchor distT="0" distB="0" distL="114300" distR="114300" simplePos="0" relativeHeight="251665408" behindDoc="0" locked="0" layoutInCell="1" allowOverlap="1" wp14:anchorId="55213F8E" wp14:editId="301945A0">
                <wp:simplePos x="0" y="0"/>
                <wp:positionH relativeFrom="column">
                  <wp:posOffset>-343910</wp:posOffset>
                </wp:positionH>
                <wp:positionV relativeFrom="paragraph">
                  <wp:posOffset>3619483</wp:posOffset>
                </wp:positionV>
                <wp:extent cx="423447" cy="257750"/>
                <wp:effectExtent l="0" t="0" r="15240" b="28575"/>
                <wp:wrapNone/>
                <wp:docPr id="489866155" name="Rectangle 3"/>
                <wp:cNvGraphicFramePr/>
                <a:graphic xmlns:a="http://schemas.openxmlformats.org/drawingml/2006/main">
                  <a:graphicData uri="http://schemas.microsoft.com/office/word/2010/wordprocessingShape">
                    <wps:wsp>
                      <wps:cNvSpPr/>
                      <wps:spPr>
                        <a:xfrm>
                          <a:off x="0" y="0"/>
                          <a:ext cx="423447" cy="257750"/>
                        </a:xfrm>
                        <a:prstGeom prst="rect">
                          <a:avLst/>
                        </a:prstGeom>
                      </wps:spPr>
                      <wps:style>
                        <a:lnRef idx="2">
                          <a:schemeClr val="accent6"/>
                        </a:lnRef>
                        <a:fillRef idx="1">
                          <a:schemeClr val="lt1"/>
                        </a:fillRef>
                        <a:effectRef idx="0">
                          <a:schemeClr val="accent6"/>
                        </a:effectRef>
                        <a:fontRef idx="minor">
                          <a:schemeClr val="dk1"/>
                        </a:fontRef>
                      </wps:style>
                      <wps:txbx>
                        <w:txbxContent>
                          <w:p w14:paraId="4E6469EE" w14:textId="356D59DE" w:rsidR="006D2197" w:rsidRPr="00D30027" w:rsidRDefault="006D2197" w:rsidP="006D2197">
                            <w:pPr>
                              <w:jc w:val="center"/>
                              <w:rPr>
                                <w:b/>
                                <w:bCs/>
                              </w:rPr>
                            </w:pPr>
                            <w:r>
                              <w:rPr>
                                <w:b/>
                                <w:bCs/>
                              </w:rPr>
                              <w:t>4</w:t>
                            </w:r>
                            <w:r w:rsidRPr="00D30027">
                              <w:rPr>
                                <w:b/>
                                <w:bCs/>
                              </w:rPr>
                              <w:t xml:space="preserve"> </w:t>
                            </w:r>
                            <w:r>
                              <w:rPr>
                                <w:b/>
                                <w:bCs/>
                              </w:rPr>
                              <w:t>B</w:t>
                            </w:r>
                            <w:r w:rsidRPr="006D2197">
                              <w:rPr>
                                <w:b/>
                                <w:bCs/>
                                <w:noProof/>
                              </w:rPr>
                              <w:drawing>
                                <wp:inline distT="0" distB="0" distL="0" distR="0" wp14:anchorId="4A0B1187" wp14:editId="1A08BC8C">
                                  <wp:extent cx="227330" cy="150495"/>
                                  <wp:effectExtent l="0" t="0" r="1270" b="1905"/>
                                  <wp:docPr id="77670448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7330" cy="15049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5213F8E" id="_x0000_s1029" style="position:absolute;left:0;text-align:left;margin-left:-27.1pt;margin-top:285pt;width:33.35pt;height:20.3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PNoWAIAAP0EAAAOAAAAZHJzL2Uyb0RvYy54bWysVN9v2jAQfp+0/8Hy+whQKBsiVIiq06Sq&#10;rUqnPhvHhmiOzzsbEvbX72xC6Dqepr04d7777pe/y+ymqQzbK/Ql2JwPen3OlJVQlHaT8+8vd58+&#10;c+aDsIUwYFXOD8rzm/nHD7PaTdUQtmAKhYyCWD+tXc63Ibhplnm5VZXwPXDKklEDViKQipusQFFT&#10;9Mpkw37/OqsBC4cglfd0e3s08nmKr7WS4VFrrwIzOafaQjoxnet4ZvOZmG5QuG0p2zLEP1RRidJS&#10;0i7UrQiC7bD8K1RVSgQPOvQkVBloXUqVeqBuBv133ay2wqnUCw3Hu25M/v+FlQ/7lXtCGkPt/NST&#10;GLtoNFbxS/WxJg3r0A1LNYFJuhwNr0ajCWeSTMPxZDJOw8zOYIc+fFVQsSjkHOkt0ojE/t4HSkiu&#10;JxdSzumTFA5GxQqMfVaalQUlHCZ0YoZaGmR7QW8qpFQ2XMd3pHjJO8J0aUwHHFwCmjBoQa1vhKnE&#10;mA7YvwT8M2OHSFnBhg5clRbwUoDiR5f56H/q/thzbD8064aazvlVrDHerKE4PCFDODLYO3lX0ljv&#10;hQ9PAomyRG5aw/BIhzZQ5xxaibMt4K9L99GfmERWzmpagZz7nzuBijPzzRLHvgxGo7gzSRmNJ0NS&#10;8K1l/dZid9US6EUGtPBOJjH6B3MSNUL1Stu6iFnJJKyk3DmXAU/KMhxXk/ZdqsUiudGeOBHu7crJ&#10;GDzOOdLmpXkV6FpuBSLlA5zWRUzfUezoG5EWFrsAukz8O8+1fQHasUSj9n8Ql/itnrzOf635bwAA&#10;AP//AwBQSwMEFAAGAAgAAAAhAPLldZ3eAAAACgEAAA8AAABkcnMvZG93bnJldi54bWxMj8tOwzAQ&#10;RfdI/IM1SOxaO4EECJlUBVTYQnlt3XhIIuJxFDtt+HvcFSxHc3TvueVqtr3Y0+g7xwjJUoEgrp3p&#10;uEF4e90srkH4oNno3jEh/JCHVXV6UurCuAO/0H4bGhFD2BcaoQ1hKKT0dUtW+6UbiOPvy41Wh3iO&#10;jTSjPsRw28tUqVxa3XFsaPVA9y3V39vJIkz1491nM6yfHzYX/CRdcmPfPwzi+dm8vgURaA5/MBz1&#10;ozpU0WnnJjZe9AiL7DKNKEJ2peKoI5FmIHYIeaJykFUp/0+ofgEAAP//AwBQSwECLQAUAAYACAAA&#10;ACEAtoM4kv4AAADhAQAAEwAAAAAAAAAAAAAAAAAAAAAAW0NvbnRlbnRfVHlwZXNdLnhtbFBLAQIt&#10;ABQABgAIAAAAIQA4/SH/1gAAAJQBAAALAAAAAAAAAAAAAAAAAC8BAABfcmVscy8ucmVsc1BLAQIt&#10;ABQABgAIAAAAIQAwSPNoWAIAAP0EAAAOAAAAAAAAAAAAAAAAAC4CAABkcnMvZTJvRG9jLnhtbFBL&#10;AQItABQABgAIAAAAIQDy5XWd3gAAAAoBAAAPAAAAAAAAAAAAAAAAALIEAABkcnMvZG93bnJldi54&#10;bWxQSwUGAAAAAAQABADzAAAAvQUAAAAA&#10;" fillcolor="white [3201]" strokecolor="#70ad47 [3209]" strokeweight="1pt">
                <v:textbox>
                  <w:txbxContent>
                    <w:p w14:paraId="4E6469EE" w14:textId="356D59DE" w:rsidR="006D2197" w:rsidRPr="00D30027" w:rsidRDefault="006D2197" w:rsidP="006D2197">
                      <w:pPr>
                        <w:jc w:val="center"/>
                        <w:rPr>
                          <w:b/>
                          <w:bCs/>
                        </w:rPr>
                      </w:pPr>
                      <w:r>
                        <w:rPr>
                          <w:b/>
                          <w:bCs/>
                        </w:rPr>
                        <w:t>4</w:t>
                      </w:r>
                      <w:r w:rsidRPr="00D30027">
                        <w:rPr>
                          <w:b/>
                          <w:bCs/>
                        </w:rPr>
                        <w:t xml:space="preserve"> </w:t>
                      </w:r>
                      <w:r>
                        <w:rPr>
                          <w:b/>
                          <w:bCs/>
                        </w:rPr>
                        <w:t>B</w:t>
                      </w:r>
                      <w:r w:rsidRPr="006D2197">
                        <w:rPr>
                          <w:b/>
                          <w:bCs/>
                          <w:noProof/>
                        </w:rPr>
                        <w:drawing>
                          <wp:inline distT="0" distB="0" distL="0" distR="0" wp14:anchorId="4A0B1187" wp14:editId="1A08BC8C">
                            <wp:extent cx="227330" cy="150495"/>
                            <wp:effectExtent l="0" t="0" r="1270" b="1905"/>
                            <wp:docPr id="77670448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7330" cy="150495"/>
                                    </a:xfrm>
                                    <a:prstGeom prst="rect">
                                      <a:avLst/>
                                    </a:prstGeom>
                                    <a:noFill/>
                                    <a:ln>
                                      <a:noFill/>
                                    </a:ln>
                                  </pic:spPr>
                                </pic:pic>
                              </a:graphicData>
                            </a:graphic>
                          </wp:inline>
                        </w:drawing>
                      </w:r>
                    </w:p>
                  </w:txbxContent>
                </v:textbox>
              </v:rect>
            </w:pict>
          </mc:Fallback>
        </mc:AlternateContent>
      </w:r>
      <w:r>
        <w:rPr>
          <w:noProof/>
        </w:rPr>
        <mc:AlternateContent>
          <mc:Choice Requires="wps">
            <w:drawing>
              <wp:anchor distT="0" distB="0" distL="114300" distR="114300" simplePos="0" relativeHeight="251663360" behindDoc="0" locked="0" layoutInCell="1" allowOverlap="1" wp14:anchorId="11D37CA6" wp14:editId="7961B32F">
                <wp:simplePos x="0" y="0"/>
                <wp:positionH relativeFrom="column">
                  <wp:posOffset>0</wp:posOffset>
                </wp:positionH>
                <wp:positionV relativeFrom="paragraph">
                  <wp:posOffset>0</wp:posOffset>
                </wp:positionV>
                <wp:extent cx="423447" cy="257750"/>
                <wp:effectExtent l="0" t="0" r="15240" b="28575"/>
                <wp:wrapNone/>
                <wp:docPr id="1191263110" name="Rectangle 3"/>
                <wp:cNvGraphicFramePr/>
                <a:graphic xmlns:a="http://schemas.openxmlformats.org/drawingml/2006/main">
                  <a:graphicData uri="http://schemas.microsoft.com/office/word/2010/wordprocessingShape">
                    <wps:wsp>
                      <wps:cNvSpPr/>
                      <wps:spPr>
                        <a:xfrm>
                          <a:off x="0" y="0"/>
                          <a:ext cx="423447" cy="257750"/>
                        </a:xfrm>
                        <a:prstGeom prst="rect">
                          <a:avLst/>
                        </a:prstGeom>
                      </wps:spPr>
                      <wps:style>
                        <a:lnRef idx="2">
                          <a:schemeClr val="accent6"/>
                        </a:lnRef>
                        <a:fillRef idx="1">
                          <a:schemeClr val="lt1"/>
                        </a:fillRef>
                        <a:effectRef idx="0">
                          <a:schemeClr val="accent6"/>
                        </a:effectRef>
                        <a:fontRef idx="minor">
                          <a:schemeClr val="dk1"/>
                        </a:fontRef>
                      </wps:style>
                      <wps:txbx>
                        <w:txbxContent>
                          <w:p w14:paraId="6884ED1F" w14:textId="7030A8E6" w:rsidR="006D2197" w:rsidRPr="00D30027" w:rsidRDefault="006D2197" w:rsidP="006D2197">
                            <w:pPr>
                              <w:jc w:val="center"/>
                              <w:rPr>
                                <w:b/>
                                <w:bCs/>
                              </w:rPr>
                            </w:pPr>
                            <w:r>
                              <w:rPr>
                                <w:b/>
                                <w:bCs/>
                              </w:rPr>
                              <w:t>4</w:t>
                            </w:r>
                            <w:r w:rsidRPr="00D30027">
                              <w:rPr>
                                <w:b/>
                                <w:bCs/>
                              </w:rPr>
                              <w:t xml:space="preserve"> 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1D37CA6" id="_x0000_s1030" style="position:absolute;left:0;text-align:left;margin-left:0;margin-top:0;width:33.35pt;height:20.3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Gh/VwIAAP0EAAAOAAAAZHJzL2Uyb0RvYy54bWysVN9v2jAQfp+0/8Hy+wgwKBtqqBBVp0mo&#10;RWunPhvHLtEcn3c2JOyv39kJoet4mvbi3Pnuu1/+Ltc3TWXYQaEvweZ8NBhypqyEorQvOf/+dPfh&#10;E2c+CFsIA1bl/Kg8v1m8f3ddu7kaww5MoZBREOvntcv5LgQ3zzIvd6oSfgBOWTJqwEoEUvElK1DU&#10;FL0y2Xg4vMpqwMIhSOU93d62Rr5I8bVWMjxo7VVgJudUW0gnpnMbz2xxLeYvKNyulF0Z4h+qqERp&#10;KWkf6lYEwfZY/hWqKiWCBx0GEqoMtC6lSj1QN6Phm24ed8Kp1AsNx7t+TP7/hZX3h0e3QRpD7fzc&#10;kxi7aDRW8Uv1sSYN69gPSzWBSbqcjD9OJjPOJJnG09lsmoaZncEOffiioGJRyDnSW6QRicPaB0pI&#10;ricXUs7pkxSORsUKjP2mNCsLSjhO6MQMtTLIDoLeVEipbLiK70jxkneE6dKYHji6BDRh1IE63whT&#10;iTE9cHgJ+GfGHpGygg09uCot4KUAxY8+c+t/6r7tObYfmm1DTdOQY43xZgvFcYMMoWWwd/KupLGu&#10;hQ8bgURZIjetYXigQxuocw6dxNkO8Nel++hPTCIrZzWtQM79z71AxZn5aoljn0eTSdyZpEymszEp&#10;+NqyfW2x+2oF9CIjWngnkxj9gzmJGqF6pm1dxqxkElZS7pzLgCdlFdrVpH2XarlMbrQnToS1fXQy&#10;Bo9zjrR5ap4Fuo5bgUh5D6d1EfM3FGt9I9LCch9Al4l/57l2L0A7lmjU/Q/iEr/Wk9f5r7X4DQAA&#10;//8DAFBLAwQUAAYACAAAACEASHA6e9kAAAADAQAADwAAAGRycy9kb3ducmV2LnhtbEyPwU7DMBBE&#10;70j9B2uRuFGngAKk2VQFVLhCaenVjZckaryOYqcNf8/CBS4rjWY08zZfjK5VR+pD4xlhNk1AEZfe&#10;NlwhbN5Xl3egQjRsTeuZEL4owKKYnOUms/7Eb3Rcx0pJCYfMINQxdpnWoazJmTD1HbF4n753Jors&#10;K217c5Jy1+qrJEm1Mw3LQm06eqypPKwHhzCUzw+7qlu+Pq2u+UX72b3bfljEi/NxOQcVaYx/YfjB&#10;F3QohGnvB7ZBtQjySPy94qXpLag9wk2Sgi5y/Z+9+AYAAP//AwBQSwECLQAUAAYACAAAACEAtoM4&#10;kv4AAADhAQAAEwAAAAAAAAAAAAAAAAAAAAAAW0NvbnRlbnRfVHlwZXNdLnhtbFBLAQItABQABgAI&#10;AAAAIQA4/SH/1gAAAJQBAAALAAAAAAAAAAAAAAAAAC8BAABfcmVscy8ucmVsc1BLAQItABQABgAI&#10;AAAAIQCQaGh/VwIAAP0EAAAOAAAAAAAAAAAAAAAAAC4CAABkcnMvZTJvRG9jLnhtbFBLAQItABQA&#10;BgAIAAAAIQBIcDp72QAAAAMBAAAPAAAAAAAAAAAAAAAAALEEAABkcnMvZG93bnJldi54bWxQSwUG&#10;AAAAAAQABADzAAAAtwUAAAAA&#10;" fillcolor="white [3201]" strokecolor="#70ad47 [3209]" strokeweight="1pt">
                <v:textbox>
                  <w:txbxContent>
                    <w:p w14:paraId="6884ED1F" w14:textId="7030A8E6" w:rsidR="006D2197" w:rsidRPr="00D30027" w:rsidRDefault="006D2197" w:rsidP="006D2197">
                      <w:pPr>
                        <w:jc w:val="center"/>
                        <w:rPr>
                          <w:b/>
                          <w:bCs/>
                        </w:rPr>
                      </w:pPr>
                      <w:r>
                        <w:rPr>
                          <w:b/>
                          <w:bCs/>
                        </w:rPr>
                        <w:t>4</w:t>
                      </w:r>
                      <w:r w:rsidRPr="00D30027">
                        <w:rPr>
                          <w:b/>
                          <w:bCs/>
                        </w:rPr>
                        <w:t xml:space="preserve"> A</w:t>
                      </w:r>
                    </w:p>
                  </w:txbxContent>
                </v:textbox>
              </v:rect>
            </w:pict>
          </mc:Fallback>
        </mc:AlternateContent>
      </w:r>
      <w:r w:rsidR="00525FCA">
        <w:rPr>
          <w:noProof/>
        </w:rPr>
        <w:drawing>
          <wp:inline distT="0" distB="0" distL="0" distR="0" wp14:anchorId="245945D9" wp14:editId="76146296">
            <wp:extent cx="5363662" cy="3373262"/>
            <wp:effectExtent l="0" t="0" r="8890" b="0"/>
            <wp:docPr id="124434768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24278" cy="3411384"/>
                    </a:xfrm>
                    <a:prstGeom prst="rect">
                      <a:avLst/>
                    </a:prstGeom>
                    <a:noFill/>
                    <a:ln>
                      <a:noFill/>
                    </a:ln>
                  </pic:spPr>
                </pic:pic>
              </a:graphicData>
            </a:graphic>
          </wp:inline>
        </w:drawing>
      </w:r>
      <w:r w:rsidR="00525FCA" w:rsidRPr="00525FCA">
        <w:t xml:space="preserve"> </w:t>
      </w:r>
      <w:r>
        <w:rPr>
          <w:noProof/>
        </w:rPr>
        <w:drawing>
          <wp:inline distT="0" distB="0" distL="0" distR="0" wp14:anchorId="4B6A3992" wp14:editId="23E91C4D">
            <wp:extent cx="3040313" cy="2927307"/>
            <wp:effectExtent l="0" t="0" r="8255" b="6985"/>
            <wp:docPr id="190412065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51558" cy="2938134"/>
                    </a:xfrm>
                    <a:prstGeom prst="rect">
                      <a:avLst/>
                    </a:prstGeom>
                    <a:noFill/>
                    <a:ln>
                      <a:noFill/>
                    </a:ln>
                  </pic:spPr>
                </pic:pic>
              </a:graphicData>
            </a:graphic>
          </wp:inline>
        </w:drawing>
      </w:r>
      <w:r>
        <w:rPr>
          <w:noProof/>
        </w:rPr>
        <w:drawing>
          <wp:inline distT="0" distB="0" distL="0" distR="0" wp14:anchorId="7ACB582E" wp14:editId="49110881">
            <wp:extent cx="2589777" cy="2092889"/>
            <wp:effectExtent l="0" t="0" r="1270" b="3175"/>
            <wp:docPr id="16981813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93129" cy="2095598"/>
                    </a:xfrm>
                    <a:prstGeom prst="rect">
                      <a:avLst/>
                    </a:prstGeom>
                    <a:noFill/>
                    <a:ln>
                      <a:noFill/>
                    </a:ln>
                  </pic:spPr>
                </pic:pic>
              </a:graphicData>
            </a:graphic>
          </wp:inline>
        </w:drawing>
      </w:r>
    </w:p>
    <w:p w14:paraId="2CB1E9D1" w14:textId="77777777" w:rsidR="006D2197" w:rsidRDefault="006D2197" w:rsidP="006D2197">
      <w:pPr>
        <w:jc w:val="both"/>
      </w:pPr>
      <w:r>
        <w:rPr>
          <w:b/>
          <w:bCs/>
        </w:rPr>
        <w:t xml:space="preserve">Fig. 4 (A) </w:t>
      </w:r>
      <w:r>
        <w:t xml:space="preserve">Annexin V/PI staining of DL cells subjected to different concentrations of CQ demonstrates dose-dependent apoptosis, with images captured at 40X magnification using a confocal microscope. </w:t>
      </w:r>
      <w:r>
        <w:rPr>
          <w:b/>
          <w:bCs/>
        </w:rPr>
        <w:t>(B)</w:t>
      </w:r>
      <w:r>
        <w:t xml:space="preserve"> Quantitative evaluation of apoptosis induced by CQ was conducted using flow cytometry analysis. </w:t>
      </w:r>
      <w:r>
        <w:rPr>
          <w:b/>
          <w:bCs/>
        </w:rPr>
        <w:t>(C)</w:t>
      </w:r>
      <w:r>
        <w:t xml:space="preserve"> The histogram illustrates the percentage of apoptotic cells at different concentrations of CQ, with significance denoted at ***p&lt;0.001 relative to the control group.</w:t>
      </w:r>
    </w:p>
    <w:p w14:paraId="10991B6F" w14:textId="77777777" w:rsidR="006D2197" w:rsidRDefault="006D2197" w:rsidP="00013268">
      <w:pPr>
        <w:spacing w:line="480" w:lineRule="auto"/>
        <w:jc w:val="both"/>
        <w:rPr>
          <w:rFonts w:cs="Times New Roman"/>
          <w:b/>
          <w:bCs/>
          <w:szCs w:val="24"/>
        </w:rPr>
      </w:pPr>
    </w:p>
    <w:p w14:paraId="316852B8" w14:textId="10EA8911" w:rsidR="00E32D0F" w:rsidRPr="00E76E15" w:rsidRDefault="00E32D0F" w:rsidP="00013268">
      <w:pPr>
        <w:spacing w:line="480" w:lineRule="auto"/>
        <w:jc w:val="both"/>
        <w:rPr>
          <w:rFonts w:cs="Times New Roman"/>
          <w:szCs w:val="24"/>
        </w:rPr>
      </w:pPr>
      <w:r w:rsidRPr="00BA5A85">
        <w:rPr>
          <w:rFonts w:cs="Times New Roman"/>
          <w:b/>
          <w:bCs/>
          <w:szCs w:val="24"/>
        </w:rPr>
        <w:t>Chloroquine induces intracellular ROS production</w:t>
      </w:r>
    </w:p>
    <w:p w14:paraId="680C1A73" w14:textId="166D5606" w:rsidR="007D59A3" w:rsidRDefault="007D59A3" w:rsidP="00013268">
      <w:pPr>
        <w:spacing w:line="480" w:lineRule="auto"/>
        <w:jc w:val="both"/>
        <w:rPr>
          <w:rFonts w:cs="Times New Roman"/>
          <w:b/>
          <w:bCs/>
          <w:color w:val="000000" w:themeColor="text1"/>
          <w:szCs w:val="24"/>
        </w:rPr>
      </w:pPr>
      <w:r w:rsidRPr="00BA5A85">
        <w:rPr>
          <w:rFonts w:cs="Times New Roman"/>
          <w:szCs w:val="24"/>
        </w:rPr>
        <w:lastRenderedPageBreak/>
        <w:t xml:space="preserve">DCFH-DA staining was used to assess the intracellular generation of reactive oxygen species (ROS) after treatment with varying doses of Chloroquine. In DL cells, the production of ROS is essential for inducing apoptosis. When Chloroquine-treated cells were compared to the control group, ROS levels significantly increased in a dose-dependent manner, as seen in </w:t>
      </w:r>
      <w:r w:rsidR="00D26558" w:rsidRPr="00D26558">
        <w:rPr>
          <w:rFonts w:cs="Times New Roman"/>
          <w:b/>
          <w:bCs/>
          <w:szCs w:val="24"/>
        </w:rPr>
        <w:t>Fig. 5</w:t>
      </w:r>
      <w:r w:rsidR="00B108A8">
        <w:rPr>
          <w:rFonts w:cs="Times New Roman"/>
          <w:b/>
          <w:bCs/>
          <w:szCs w:val="24"/>
        </w:rPr>
        <w:t xml:space="preserve"> (</w:t>
      </w:r>
      <w:r w:rsidR="006B387E">
        <w:rPr>
          <w:rFonts w:cs="Times New Roman"/>
          <w:b/>
          <w:bCs/>
          <w:szCs w:val="24"/>
        </w:rPr>
        <w:t>A</w:t>
      </w:r>
      <w:r w:rsidR="00B108A8">
        <w:rPr>
          <w:rFonts w:cs="Times New Roman"/>
          <w:b/>
          <w:bCs/>
          <w:szCs w:val="24"/>
        </w:rPr>
        <w:t>)</w:t>
      </w:r>
      <w:r w:rsidRPr="00D26558">
        <w:rPr>
          <w:rFonts w:cs="Times New Roman"/>
          <w:szCs w:val="24"/>
        </w:rPr>
        <w:t>.</w:t>
      </w:r>
      <w:r w:rsidRPr="00BA5A85">
        <w:rPr>
          <w:rFonts w:cs="Times New Roman"/>
          <w:szCs w:val="24"/>
        </w:rPr>
        <w:t xml:space="preserve"> Low levels of fluorescence in the control cells indicated a low level of ROS production, whereas cells treated with Chloroquine concentrations showed increasingly brighter green fluorescence, indicating increased intracellular ROS</w:t>
      </w:r>
      <w:r w:rsidR="009D34FF" w:rsidRPr="00BA5A85">
        <w:rPr>
          <w:rFonts w:cs="Times New Roman"/>
          <w:szCs w:val="24"/>
        </w:rPr>
        <w:t xml:space="preserve"> generation determined by Confocal microscopy and further validated through Flow cytometry.</w:t>
      </w:r>
      <w:r w:rsidRPr="00BA5A85">
        <w:rPr>
          <w:rFonts w:cs="Times New Roman"/>
          <w:szCs w:val="24"/>
        </w:rPr>
        <w:t xml:space="preserve"> This implies that Chloroquine causes oxidative stress in DL cells.</w:t>
      </w:r>
      <w:r w:rsidR="009D34FF" w:rsidRPr="00BA5A85">
        <w:rPr>
          <w:rFonts w:cs="Times New Roman"/>
          <w:szCs w:val="24"/>
        </w:rPr>
        <w:t xml:space="preserve"> The result revealed that </w:t>
      </w:r>
      <w:r w:rsidR="00BA5A85">
        <w:rPr>
          <w:rFonts w:cs="Times New Roman"/>
          <w:szCs w:val="24"/>
        </w:rPr>
        <w:t>Chloroquine-treated</w:t>
      </w:r>
      <w:r w:rsidR="009D34FF" w:rsidRPr="00BA5A85">
        <w:rPr>
          <w:rFonts w:cs="Times New Roman"/>
          <w:szCs w:val="24"/>
        </w:rPr>
        <w:t xml:space="preserve"> DL cells present increased ROS production from 20.40%, 61.85%, and 85.82% at concentration</w:t>
      </w:r>
      <w:r w:rsidR="00393FE4" w:rsidRPr="00BA5A85">
        <w:rPr>
          <w:rFonts w:cs="Times New Roman"/>
          <w:szCs w:val="24"/>
        </w:rPr>
        <w:t>s</w:t>
      </w:r>
      <w:r w:rsidR="009D34FF" w:rsidRPr="00BA5A85">
        <w:rPr>
          <w:rFonts w:cs="Times New Roman"/>
          <w:szCs w:val="24"/>
        </w:rPr>
        <w:t xml:space="preserve"> 5 μM, 10 μM, and 20 μM respectively</w:t>
      </w:r>
      <w:r w:rsidR="00B108A8">
        <w:rPr>
          <w:rFonts w:cs="Times New Roman"/>
          <w:szCs w:val="24"/>
        </w:rPr>
        <w:t xml:space="preserve"> </w:t>
      </w:r>
      <w:r w:rsidR="00510661" w:rsidRPr="006B387E">
        <w:rPr>
          <w:rFonts w:cs="Times New Roman"/>
          <w:b/>
          <w:bCs/>
          <w:szCs w:val="24"/>
        </w:rPr>
        <w:t>(</w:t>
      </w:r>
      <w:r w:rsidR="00B108A8" w:rsidRPr="006B387E">
        <w:rPr>
          <w:rFonts w:cs="Times New Roman"/>
          <w:b/>
          <w:bCs/>
          <w:color w:val="000000" w:themeColor="text1"/>
          <w:szCs w:val="24"/>
        </w:rPr>
        <w:t>Fig.5 (</w:t>
      </w:r>
      <w:r w:rsidR="006B387E">
        <w:rPr>
          <w:rFonts w:cs="Times New Roman"/>
          <w:b/>
          <w:bCs/>
          <w:color w:val="000000" w:themeColor="text1"/>
          <w:szCs w:val="24"/>
        </w:rPr>
        <w:t>B</w:t>
      </w:r>
      <w:r w:rsidR="00B108A8" w:rsidRPr="006B387E">
        <w:rPr>
          <w:rFonts w:cs="Times New Roman"/>
          <w:b/>
          <w:bCs/>
          <w:color w:val="000000" w:themeColor="text1"/>
          <w:szCs w:val="24"/>
        </w:rPr>
        <w:t>)</w:t>
      </w:r>
      <w:r w:rsidR="00510661" w:rsidRPr="006B387E">
        <w:rPr>
          <w:rFonts w:cs="Times New Roman"/>
          <w:b/>
          <w:bCs/>
          <w:color w:val="000000" w:themeColor="text1"/>
          <w:szCs w:val="24"/>
        </w:rPr>
        <w:t>).</w:t>
      </w:r>
    </w:p>
    <w:p w14:paraId="7A87C323" w14:textId="6EABAD22" w:rsidR="004C1DC8" w:rsidRDefault="00EC2B39" w:rsidP="00013268">
      <w:pPr>
        <w:spacing w:line="480" w:lineRule="auto"/>
        <w:jc w:val="both"/>
        <w:rPr>
          <w:noProof/>
        </w:rPr>
      </w:pPr>
      <w:r>
        <w:rPr>
          <w:noProof/>
        </w:rPr>
        <mc:AlternateContent>
          <mc:Choice Requires="wps">
            <w:drawing>
              <wp:anchor distT="0" distB="0" distL="114300" distR="114300" simplePos="0" relativeHeight="251669504" behindDoc="0" locked="0" layoutInCell="1" allowOverlap="1" wp14:anchorId="79003AAE" wp14:editId="4B1DF586">
                <wp:simplePos x="0" y="0"/>
                <wp:positionH relativeFrom="column">
                  <wp:posOffset>0</wp:posOffset>
                </wp:positionH>
                <wp:positionV relativeFrom="paragraph">
                  <wp:posOffset>0</wp:posOffset>
                </wp:positionV>
                <wp:extent cx="423447" cy="257750"/>
                <wp:effectExtent l="0" t="0" r="15240" b="28575"/>
                <wp:wrapNone/>
                <wp:docPr id="1718353843" name="Rectangle 3"/>
                <wp:cNvGraphicFramePr/>
                <a:graphic xmlns:a="http://schemas.openxmlformats.org/drawingml/2006/main">
                  <a:graphicData uri="http://schemas.microsoft.com/office/word/2010/wordprocessingShape">
                    <wps:wsp>
                      <wps:cNvSpPr/>
                      <wps:spPr>
                        <a:xfrm>
                          <a:off x="0" y="0"/>
                          <a:ext cx="423447" cy="257750"/>
                        </a:xfrm>
                        <a:prstGeom prst="rect">
                          <a:avLst/>
                        </a:prstGeom>
                      </wps:spPr>
                      <wps:style>
                        <a:lnRef idx="2">
                          <a:schemeClr val="accent6"/>
                        </a:lnRef>
                        <a:fillRef idx="1">
                          <a:schemeClr val="lt1"/>
                        </a:fillRef>
                        <a:effectRef idx="0">
                          <a:schemeClr val="accent6"/>
                        </a:effectRef>
                        <a:fontRef idx="minor">
                          <a:schemeClr val="dk1"/>
                        </a:fontRef>
                      </wps:style>
                      <wps:txbx>
                        <w:txbxContent>
                          <w:p w14:paraId="1D7965F8" w14:textId="7AF758ED" w:rsidR="00EC2B39" w:rsidRPr="00D30027" w:rsidRDefault="00EC2B39" w:rsidP="00EC2B39">
                            <w:pPr>
                              <w:jc w:val="center"/>
                              <w:rPr>
                                <w:b/>
                                <w:bCs/>
                              </w:rPr>
                            </w:pPr>
                            <w:r>
                              <w:rPr>
                                <w:b/>
                                <w:bCs/>
                              </w:rPr>
                              <w:t>5</w:t>
                            </w:r>
                            <w:r w:rsidRPr="00D30027">
                              <w:rPr>
                                <w:b/>
                                <w:bCs/>
                              </w:rPr>
                              <w:t xml:space="preserve"> 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9003AAE" id="_x0000_s1031" style="position:absolute;left:0;text-align:left;margin-left:0;margin-top:0;width:33.35pt;height:20.3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qDyWAIAAP0EAAAOAAAAZHJzL2Uyb0RvYy54bWysVN9v2jAQfp+0/8Hy+wgwKBtqqBBVp0mo&#10;rdZOfTaODdEcn3c2JOyv39kJoet4mvbi3Pnuu1/+Ltc3TWXYQaEvweZ8NBhypqyEorTbnH9/vvvw&#10;iTMfhC2EAatyflSe3yzev7uu3VyNYQemUMgoiPXz2uV8F4KbZ5mXO1UJPwCnLBk1YCUCqbjNChQ1&#10;Ra9MNh4Or7IasHAIUnlPt7etkS9SfK2VDA9aexWYyTnVFtKJ6dzEM1tci/kWhduVsitD/EMVlSgt&#10;Je1D3Yog2B7Lv0JVpUTwoMNAQpWB1qVUqQfqZjR8083TTjiVeqHheNePyf+/sPL+8OQekcZQOz/3&#10;JMYuGo1V/FJ9rEnDOvbDUk1gki4n44+TyYwzSabxdDabpmFmZ7BDH74oqFgUco70FmlE4rD2gRKS&#10;68mFlHP6JIWjUbECY78pzcqCEo4TOjFDrQyyg6A3FVIqG67iO1K85B1hujSmB44uAU0YdaDON8JU&#10;YkwPHF4C/pmxR6SsYEMPrkoLeClA8aPP3Pqfum97ju2HZtNQ0zmfxhrjzQaK4yMyhJbB3sm7ksa6&#10;Fj48CiTKErlpDcMDHdpAnXPoJM52gL8u3Ud/YhJZOatpBXLuf+4FKs7MV0sc+zyaTOLOJGUynY1J&#10;wdeWzWuL3VcroBcZ0cI7mcToH8xJ1AjVC23rMmYlk7CScudcBjwpq9CuJu27VMtlcqM9cSKs7ZOT&#10;MXicc6TNc/Mi0HXcCkTKeziti5i/oVjrG5EWlvsAukz8O8+1ewHasUSj7n8Ql/i1nrzOf63FbwAA&#10;AP//AwBQSwMEFAAGAAgAAAAhAEhwOnvZAAAAAwEAAA8AAABkcnMvZG93bnJldi54bWxMj8FOwzAQ&#10;RO9I/QdrkbhRp4ACpNlUBVS4Qmnp1Y2XJGq8jmKnDX/PwgUuK41mNPM2X4yuVUfqQ+MZYTZNQBGX&#10;3jZcIWzeV5d3oEI0bE3rmRC+KMCimJzlJrP+xG90XMdKSQmHzCDUMXaZ1qGsyZkw9R2xeJ++dyaK&#10;7Ctte3OSctfqqyRJtTMNy0JtOnqsqTysB4cwlM8Pu6pbvj6trvlF+9m9235YxIvzcTkHFWmMf2H4&#10;wRd0KIRp7we2QbUI8kj8veKl6S2oPcJNkoIucv2fvfgGAAD//wMAUEsBAi0AFAAGAAgAAAAhALaD&#10;OJL+AAAA4QEAABMAAAAAAAAAAAAAAAAAAAAAAFtDb250ZW50X1R5cGVzXS54bWxQSwECLQAUAAYA&#10;CAAAACEAOP0h/9YAAACUAQAACwAAAAAAAAAAAAAAAAAvAQAAX3JlbHMvLnJlbHNQSwECLQAUAAYA&#10;CAAAACEARgqg8lgCAAD9BAAADgAAAAAAAAAAAAAAAAAuAgAAZHJzL2Uyb0RvYy54bWxQSwECLQAU&#10;AAYACAAAACEASHA6e9kAAAADAQAADwAAAAAAAAAAAAAAAACyBAAAZHJzL2Rvd25yZXYueG1sUEsF&#10;BgAAAAAEAAQA8wAAALgFAAAAAA==&#10;" fillcolor="white [3201]" strokecolor="#70ad47 [3209]" strokeweight="1pt">
                <v:textbox>
                  <w:txbxContent>
                    <w:p w14:paraId="1D7965F8" w14:textId="7AF758ED" w:rsidR="00EC2B39" w:rsidRPr="00D30027" w:rsidRDefault="00EC2B39" w:rsidP="00EC2B39">
                      <w:pPr>
                        <w:jc w:val="center"/>
                        <w:rPr>
                          <w:b/>
                          <w:bCs/>
                        </w:rPr>
                      </w:pPr>
                      <w:r>
                        <w:rPr>
                          <w:b/>
                          <w:bCs/>
                        </w:rPr>
                        <w:t>5</w:t>
                      </w:r>
                      <w:r w:rsidRPr="00D30027">
                        <w:rPr>
                          <w:b/>
                          <w:bCs/>
                        </w:rPr>
                        <w:t xml:space="preserve"> A</w:t>
                      </w:r>
                    </w:p>
                  </w:txbxContent>
                </v:textbox>
              </v:rect>
            </w:pict>
          </mc:Fallback>
        </mc:AlternateContent>
      </w:r>
      <w:r>
        <w:rPr>
          <w:noProof/>
        </w:rPr>
        <w:drawing>
          <wp:inline distT="0" distB="0" distL="0" distR="0" wp14:anchorId="6A984A12" wp14:editId="24B174FF">
            <wp:extent cx="5458460" cy="3343275"/>
            <wp:effectExtent l="0" t="0" r="8890" b="9525"/>
            <wp:docPr id="65818292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62160" cy="3345541"/>
                    </a:xfrm>
                    <a:prstGeom prst="rect">
                      <a:avLst/>
                    </a:prstGeom>
                    <a:noFill/>
                    <a:ln>
                      <a:noFill/>
                    </a:ln>
                  </pic:spPr>
                </pic:pic>
              </a:graphicData>
            </a:graphic>
          </wp:inline>
        </w:drawing>
      </w:r>
      <w:r w:rsidRPr="00EC2B39">
        <w:rPr>
          <w:noProof/>
        </w:rPr>
        <w:t xml:space="preserve"> </w:t>
      </w:r>
    </w:p>
    <w:p w14:paraId="0FB3CB3B" w14:textId="77777777" w:rsidR="004C1DC8" w:rsidRDefault="004C1DC8" w:rsidP="00013268">
      <w:pPr>
        <w:spacing w:line="480" w:lineRule="auto"/>
        <w:jc w:val="both"/>
        <w:rPr>
          <w:noProof/>
        </w:rPr>
      </w:pPr>
    </w:p>
    <w:p w14:paraId="28A2772D" w14:textId="77777777" w:rsidR="004C1DC8" w:rsidRDefault="004C1DC8" w:rsidP="00013268">
      <w:pPr>
        <w:spacing w:line="480" w:lineRule="auto"/>
        <w:jc w:val="both"/>
        <w:rPr>
          <w:noProof/>
        </w:rPr>
      </w:pPr>
    </w:p>
    <w:p w14:paraId="059F3DC3" w14:textId="6DD61C89" w:rsidR="006D2197" w:rsidRDefault="004C1DC8" w:rsidP="00013268">
      <w:pPr>
        <w:spacing w:line="480" w:lineRule="auto"/>
        <w:jc w:val="both"/>
        <w:rPr>
          <w:noProof/>
        </w:rPr>
      </w:pPr>
      <w:r>
        <w:rPr>
          <w:noProof/>
        </w:rPr>
        <w:lastRenderedPageBreak/>
        <mc:AlternateContent>
          <mc:Choice Requires="wps">
            <w:drawing>
              <wp:anchor distT="0" distB="0" distL="114300" distR="114300" simplePos="0" relativeHeight="251700224" behindDoc="0" locked="0" layoutInCell="1" allowOverlap="1" wp14:anchorId="4A11A1B0" wp14:editId="1418F6DD">
                <wp:simplePos x="0" y="0"/>
                <wp:positionH relativeFrom="column">
                  <wp:posOffset>4105275</wp:posOffset>
                </wp:positionH>
                <wp:positionV relativeFrom="paragraph">
                  <wp:posOffset>0</wp:posOffset>
                </wp:positionV>
                <wp:extent cx="423447" cy="257750"/>
                <wp:effectExtent l="0" t="0" r="15240" b="28575"/>
                <wp:wrapNone/>
                <wp:docPr id="1127334852" name="Rectangle 3"/>
                <wp:cNvGraphicFramePr/>
                <a:graphic xmlns:a="http://schemas.openxmlformats.org/drawingml/2006/main">
                  <a:graphicData uri="http://schemas.microsoft.com/office/word/2010/wordprocessingShape">
                    <wps:wsp>
                      <wps:cNvSpPr/>
                      <wps:spPr>
                        <a:xfrm>
                          <a:off x="0" y="0"/>
                          <a:ext cx="423447" cy="257750"/>
                        </a:xfrm>
                        <a:prstGeom prst="rect">
                          <a:avLst/>
                        </a:prstGeom>
                      </wps:spPr>
                      <wps:style>
                        <a:lnRef idx="2">
                          <a:schemeClr val="accent6"/>
                        </a:lnRef>
                        <a:fillRef idx="1">
                          <a:schemeClr val="lt1"/>
                        </a:fillRef>
                        <a:effectRef idx="0">
                          <a:schemeClr val="accent6"/>
                        </a:effectRef>
                        <a:fontRef idx="minor">
                          <a:schemeClr val="dk1"/>
                        </a:fontRef>
                      </wps:style>
                      <wps:txbx>
                        <w:txbxContent>
                          <w:p w14:paraId="16664E4A" w14:textId="77777777" w:rsidR="004C1DC8" w:rsidRPr="00D30027" w:rsidRDefault="004C1DC8" w:rsidP="004C1DC8">
                            <w:pPr>
                              <w:jc w:val="center"/>
                              <w:rPr>
                                <w:b/>
                                <w:bCs/>
                              </w:rPr>
                            </w:pPr>
                            <w:r>
                              <w:rPr>
                                <w:b/>
                                <w:bCs/>
                              </w:rPr>
                              <w:t>5</w:t>
                            </w:r>
                            <w:r w:rsidRPr="00D30027">
                              <w:rPr>
                                <w:b/>
                                <w:bCs/>
                              </w:rPr>
                              <w:t xml:space="preserve"> </w:t>
                            </w:r>
                            <w:r>
                              <w:rPr>
                                <w:b/>
                                <w:bCs/>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A11A1B0" id="_x0000_s1032" style="position:absolute;left:0;text-align:left;margin-left:323.25pt;margin-top:0;width:33.35pt;height:20.3pt;z-index:251700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4m/VwIAAP0EAAAOAAAAZHJzL2Uyb0RvYy54bWysVN9v2jAQfp+0/8Hy+wgwKBtqqBBVp0mo&#10;RWunPhvHLtEcn3c2JOyv39kJoet4mvbi3Pnuu1/+Ltc3TWXYQaEvweZ8NBhypqyEorQvOf/+dPfh&#10;E2c+CFsIA1bl/Kg8v1m8f3ddu7kaww5MoZBREOvntcv5LgQ3zzIvd6oSfgBOWTJqwEoEUvElK1DU&#10;FL0y2Xg4vMpqwMIhSOU93d62Rr5I8bVWMjxo7VVgJudUW0gnpnMbz2xxLeYvKNyulF0Z4h+qqERp&#10;KWkf6lYEwfZY/hWqKiWCBx0GEqoMtC6lSj1QN6Phm24ed8Kp1AsNx7t+TP7/hZX3h0e3QRpD7fzc&#10;kxi7aDRW8Uv1sSYN69gPSzWBSbqcjD9OJjPOJJnG09lsmoaZncEOffiioGJRyDnSW6QRicPaB0pI&#10;ricXUs7pkxSORsUKjP2mNCsLSjhO6MQMtTLIDoLeVEipbLiK70jxkneE6dKYHji6BDRh1IE63whT&#10;iTE9cHgJ+GfGHpGygg09uCot4KUAxY8+c+t/6r7tObYfmm1DTec8NRZvtlAcN8gQWgZ7J+9KGuta&#10;+LARSJQlctMahgc6tIE659BJnO0Af126j/7EJLJyVtMK5Nz/3AtUnJmvljj2eTSZxJ1JymQ6G5OC&#10;ry3b1xa7r1ZALzKihXcyidE/mJOoEapn2tZlzEomYSXlzrkMeFJWoV1N2neplsvkRnviRFjbRydj&#10;8DjnSJun5lmg67gViJT3cFoXMX9DsdY3Ii0s9wF0mfh3nmv3ArRjiUbd/yAu8Ws9eZ3/WovfAAAA&#10;//8DAFBLAwQUAAYACAAAACEA73nGptwAAAAHAQAADwAAAGRycy9kb3ducmV2LnhtbEyPzU7DMBCE&#10;70i8g7VI3KiTtgQI2VQFVHqF8nd14yWJiNdR7LTh7VlOcBzNaOabYjW5Th1oCK1nhHSWgCKuvG25&#10;Rnh92VxcgwrRsDWdZ0L4pgCr8vSkMLn1R36mwy7WSko45AahibHPtQ5VQ86Eme+Jxfv0gzNR5FBr&#10;O5ijlLtOz5Mk0860LAuN6em+oeprNzqEsXq8+6j79dPDZsFb7dMb9/ZuEc/PpvUtqEhT/AvDL76g&#10;QylMez+yDapDyJbZpUQR5JHYV+liDmqPsEwy0GWh//OXPwAAAP//AwBQSwECLQAUAAYACAAAACEA&#10;toM4kv4AAADhAQAAEwAAAAAAAAAAAAAAAAAAAAAAW0NvbnRlbnRfVHlwZXNdLnhtbFBLAQItABQA&#10;BgAIAAAAIQA4/SH/1gAAAJQBAAALAAAAAAAAAAAAAAAAAC8BAABfcmVscy8ucmVsc1BLAQItABQA&#10;BgAIAAAAIQB9q4m/VwIAAP0EAAAOAAAAAAAAAAAAAAAAAC4CAABkcnMvZTJvRG9jLnhtbFBLAQIt&#10;ABQABgAIAAAAIQDvecam3AAAAAcBAAAPAAAAAAAAAAAAAAAAALEEAABkcnMvZG93bnJldi54bWxQ&#10;SwUGAAAAAAQABADzAAAAugUAAAAA&#10;" fillcolor="white [3201]" strokecolor="#70ad47 [3209]" strokeweight="1pt">
                <v:textbox>
                  <w:txbxContent>
                    <w:p w14:paraId="16664E4A" w14:textId="77777777" w:rsidR="004C1DC8" w:rsidRPr="00D30027" w:rsidRDefault="004C1DC8" w:rsidP="004C1DC8">
                      <w:pPr>
                        <w:jc w:val="center"/>
                        <w:rPr>
                          <w:b/>
                          <w:bCs/>
                        </w:rPr>
                      </w:pPr>
                      <w:r>
                        <w:rPr>
                          <w:b/>
                          <w:bCs/>
                        </w:rPr>
                        <w:t>5</w:t>
                      </w:r>
                      <w:r w:rsidRPr="00D30027">
                        <w:rPr>
                          <w:b/>
                          <w:bCs/>
                        </w:rPr>
                        <w:t xml:space="preserve"> </w:t>
                      </w:r>
                      <w:r>
                        <w:rPr>
                          <w:b/>
                          <w:bCs/>
                        </w:rPr>
                        <w:t>C</w:t>
                      </w:r>
                    </w:p>
                  </w:txbxContent>
                </v:textbox>
              </v:rect>
            </w:pict>
          </mc:Fallback>
        </mc:AlternateContent>
      </w:r>
      <w:r>
        <w:rPr>
          <w:noProof/>
        </w:rPr>
        <mc:AlternateContent>
          <mc:Choice Requires="wps">
            <w:drawing>
              <wp:anchor distT="0" distB="0" distL="114300" distR="114300" simplePos="0" relativeHeight="251698176" behindDoc="0" locked="0" layoutInCell="1" allowOverlap="1" wp14:anchorId="41F3A7C2" wp14:editId="377409C6">
                <wp:simplePos x="0" y="0"/>
                <wp:positionH relativeFrom="column">
                  <wp:posOffset>-342900</wp:posOffset>
                </wp:positionH>
                <wp:positionV relativeFrom="paragraph">
                  <wp:posOffset>-257175</wp:posOffset>
                </wp:positionV>
                <wp:extent cx="423447" cy="257750"/>
                <wp:effectExtent l="0" t="0" r="15240" b="28575"/>
                <wp:wrapNone/>
                <wp:docPr id="444088136" name="Rectangle 3"/>
                <wp:cNvGraphicFramePr/>
                <a:graphic xmlns:a="http://schemas.openxmlformats.org/drawingml/2006/main">
                  <a:graphicData uri="http://schemas.microsoft.com/office/word/2010/wordprocessingShape">
                    <wps:wsp>
                      <wps:cNvSpPr/>
                      <wps:spPr>
                        <a:xfrm>
                          <a:off x="0" y="0"/>
                          <a:ext cx="423447" cy="257750"/>
                        </a:xfrm>
                        <a:prstGeom prst="rect">
                          <a:avLst/>
                        </a:prstGeom>
                      </wps:spPr>
                      <wps:style>
                        <a:lnRef idx="2">
                          <a:schemeClr val="accent6"/>
                        </a:lnRef>
                        <a:fillRef idx="1">
                          <a:schemeClr val="lt1"/>
                        </a:fillRef>
                        <a:effectRef idx="0">
                          <a:schemeClr val="accent6"/>
                        </a:effectRef>
                        <a:fontRef idx="minor">
                          <a:schemeClr val="dk1"/>
                        </a:fontRef>
                      </wps:style>
                      <wps:txbx>
                        <w:txbxContent>
                          <w:p w14:paraId="42702831" w14:textId="77777777" w:rsidR="004C1DC8" w:rsidRPr="00D30027" w:rsidRDefault="004C1DC8" w:rsidP="004C1DC8">
                            <w:pPr>
                              <w:jc w:val="center"/>
                              <w:rPr>
                                <w:b/>
                                <w:bCs/>
                              </w:rPr>
                            </w:pPr>
                            <w:r>
                              <w:rPr>
                                <w:b/>
                                <w:bCs/>
                              </w:rPr>
                              <w:t>5</w:t>
                            </w:r>
                            <w:r w:rsidRPr="00D30027">
                              <w:rPr>
                                <w:b/>
                                <w:bCs/>
                              </w:rPr>
                              <w:t xml:space="preserve"> </w:t>
                            </w:r>
                            <w:r>
                              <w:rPr>
                                <w:b/>
                                <w:bCs/>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1F3A7C2" id="_x0000_s1033" style="position:absolute;left:0;text-align:left;margin-left:-27pt;margin-top:-20.25pt;width:33.35pt;height:20.3pt;z-index:251698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UEyWAIAAP0EAAAOAAAAZHJzL2Uyb0RvYy54bWysVN9v2jAQfp+0/8Hy+wgwKBtqqBBVp0mo&#10;RWunPhvHLtEcn3c2JOyv39kJoet4mvbi3Pnuu1/+Ltc3TWXYQaEvweZ8NBhypqyEorQvOf/+dPfh&#10;E2c+CFsIA1bl/Kg8v1m8f3ddu7kaww5MoZBREOvntcv5LgQ3zzIvd6oSfgBOWTJqwEoEUvElK1DU&#10;FL0y2Xg4vMpqwMIhSOU93d62Rr5I8bVWMjxo7VVgJudUW0gnpnMbz2xxLeYvKNyulF0Z4h+qqERp&#10;KWkf6lYEwfZY/hWqKiWCBx0GEqoMtC6lSj1QN6Phm24ed8Kp1AsNx7t+TP7/hZX3h0e3QRpD7fzc&#10;kxi7aDRW8Uv1sSYN69gPSzWBSbqcjD9OJjPOJJnG09lsmoaZncEOffiioGJRyDnSW6QRicPaB0pI&#10;ricXUs7pkxSORsUKjP2mNCsLSjhO6MQMtTLIDoLeVEipbLiK70jxkneE6dKYHji6BDRh1IE63whT&#10;iTE9cHgJ+GfGHpGygg09uCot4KUAxY8+c+t/6r7tObYfmm1DTed8FmuMN1sojhtkCC2DvZN3JY11&#10;LXzYCCTKErlpDcMDHdpAnXPoJM52gL8u3Ud/YhJZOatpBXLuf+4FKs7MV0sc+zyaTOLOJGUynY1J&#10;wdeW7WuL3VcroBcZ0cI7mcToH8xJ1AjVM23rMmYlk7CScudcBjwpq9CuJu27VMtlcqM9cSKs7aOT&#10;MXicc6TNU/Ms0HXcCkTKeziti5i/oVjrG5EWlvsAukz8O8+1ewHasUSj7n8Ql/i1nrzOf63FbwAA&#10;AP//AwBQSwMEFAAGAAgAAAAhAJeYqdXcAAAABwEAAA8AAABkcnMvZG93bnJldi54bWxMj01PwzAM&#10;hu9I/IfISNy2dGPjozSdBmhwhW3A1WtMW9E4VZNu5d/jnuBmy49eP2+2GlyjjtSF2rOB2TQBRVx4&#10;W3NpYL/bTG5BhYhssfFMBn4owCo/P8swtf7Eb3TcxlJJCIcUDVQxtqnWoajIYZj6llhuX75zGGXt&#10;Sm07PEm4a/Q8Sa61w5rlQ4UtPVZUfG97Z6Avnh8+y3b9+rS54hftZ3fu/cMac3kxrO9BRRriHwyj&#10;vqhDLk4H37MNqjEwWS6kS5RhkSxBjcT8BtRhJHWe6f/++S8AAAD//wMAUEsBAi0AFAAGAAgAAAAh&#10;ALaDOJL+AAAA4QEAABMAAAAAAAAAAAAAAAAAAAAAAFtDb250ZW50X1R5cGVzXS54bWxQSwECLQAU&#10;AAYACAAAACEAOP0h/9YAAACUAQAACwAAAAAAAAAAAAAAAAAvAQAAX3JlbHMvLnJlbHNQSwECLQAU&#10;AAYACAAAACEAq8lBMlgCAAD9BAAADgAAAAAAAAAAAAAAAAAuAgAAZHJzL2Uyb0RvYy54bWxQSwEC&#10;LQAUAAYACAAAACEAl5ip1dwAAAAHAQAADwAAAAAAAAAAAAAAAACyBAAAZHJzL2Rvd25yZXYueG1s&#10;UEsFBgAAAAAEAAQA8wAAALsFAAAAAA==&#10;" fillcolor="white [3201]" strokecolor="#70ad47 [3209]" strokeweight="1pt">
                <v:textbox>
                  <w:txbxContent>
                    <w:p w14:paraId="42702831" w14:textId="77777777" w:rsidR="004C1DC8" w:rsidRPr="00D30027" w:rsidRDefault="004C1DC8" w:rsidP="004C1DC8">
                      <w:pPr>
                        <w:jc w:val="center"/>
                        <w:rPr>
                          <w:b/>
                          <w:bCs/>
                        </w:rPr>
                      </w:pPr>
                      <w:r>
                        <w:rPr>
                          <w:b/>
                          <w:bCs/>
                        </w:rPr>
                        <w:t>5</w:t>
                      </w:r>
                      <w:r w:rsidRPr="00D30027">
                        <w:rPr>
                          <w:b/>
                          <w:bCs/>
                        </w:rPr>
                        <w:t xml:space="preserve"> </w:t>
                      </w:r>
                      <w:r>
                        <w:rPr>
                          <w:b/>
                          <w:bCs/>
                        </w:rPr>
                        <w:t>B</w:t>
                      </w:r>
                    </w:p>
                  </w:txbxContent>
                </v:textbox>
              </v:rect>
            </w:pict>
          </mc:Fallback>
        </mc:AlternateContent>
      </w:r>
      <w:r w:rsidR="00EC2B39">
        <w:rPr>
          <w:noProof/>
        </w:rPr>
        <w:drawing>
          <wp:inline distT="0" distB="0" distL="0" distR="0" wp14:anchorId="4EE2525E" wp14:editId="37E39C46">
            <wp:extent cx="2876550" cy="2519673"/>
            <wp:effectExtent l="0" t="0" r="0" b="0"/>
            <wp:docPr id="206364757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87589" cy="2529342"/>
                    </a:xfrm>
                    <a:prstGeom prst="rect">
                      <a:avLst/>
                    </a:prstGeom>
                    <a:noFill/>
                    <a:ln>
                      <a:noFill/>
                    </a:ln>
                  </pic:spPr>
                </pic:pic>
              </a:graphicData>
            </a:graphic>
          </wp:inline>
        </w:drawing>
      </w:r>
      <w:r w:rsidR="00EC2B39">
        <w:rPr>
          <w:noProof/>
        </w:rPr>
        <w:drawing>
          <wp:inline distT="0" distB="0" distL="0" distR="0" wp14:anchorId="6F5E8860" wp14:editId="238EC9E2">
            <wp:extent cx="2686050" cy="2110359"/>
            <wp:effectExtent l="0" t="0" r="0" b="4445"/>
            <wp:docPr id="55766161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93044" cy="2115854"/>
                    </a:xfrm>
                    <a:prstGeom prst="rect">
                      <a:avLst/>
                    </a:prstGeom>
                    <a:noFill/>
                    <a:ln>
                      <a:noFill/>
                    </a:ln>
                  </pic:spPr>
                </pic:pic>
              </a:graphicData>
            </a:graphic>
          </wp:inline>
        </w:drawing>
      </w:r>
    </w:p>
    <w:p w14:paraId="5F89168F" w14:textId="19697838" w:rsidR="00EC2B39" w:rsidRDefault="00EC2B39" w:rsidP="00EC2B39">
      <w:pPr>
        <w:jc w:val="both"/>
      </w:pPr>
      <w:r>
        <w:rPr>
          <w:b/>
          <w:bCs/>
        </w:rPr>
        <w:t>Fig. 5</w:t>
      </w:r>
      <w:r>
        <w:t xml:space="preserve"> </w:t>
      </w:r>
      <w:r>
        <w:rPr>
          <w:b/>
          <w:bCs/>
        </w:rPr>
        <w:t>(A)</w:t>
      </w:r>
      <w:r>
        <w:t xml:space="preserve">DL cells were treated with different concentrations of CQ, and detection of intracellular ROS was performed through DCFH-DA staining. The treatment of CQ for 24 h increased the DCF fluorescence intensity, </w:t>
      </w:r>
      <w:r>
        <w:rPr>
          <w:lang w:val="en-US"/>
        </w:rPr>
        <w:t xml:space="preserve">and the images were captured at 40X magnification in a confocal microscope. </w:t>
      </w:r>
      <w:r>
        <w:rPr>
          <w:b/>
          <w:bCs/>
          <w:lang w:val="en-US"/>
        </w:rPr>
        <w:t>(</w:t>
      </w:r>
      <w:r>
        <w:rPr>
          <w:b/>
          <w:bCs/>
        </w:rPr>
        <w:t>B)</w:t>
      </w:r>
      <w:r>
        <w:t xml:space="preserve"> Intracellular ROS levels are represented as DCF Fluorescent intensity measured by Flow cytometry. </w:t>
      </w:r>
      <w:r>
        <w:rPr>
          <w:lang w:val="en-US"/>
        </w:rPr>
        <w:t>Data are representative of one of three similar experiments</w:t>
      </w:r>
      <w:r>
        <w:rPr>
          <w:b/>
          <w:bCs/>
        </w:rPr>
        <w:t xml:space="preserve"> (C).</w:t>
      </w:r>
      <w:r>
        <w:rPr>
          <w:b/>
          <w:bCs/>
          <w:lang w:val="en-US"/>
        </w:rPr>
        <w:t xml:space="preserve"> </w:t>
      </w:r>
      <w:r>
        <w:rPr>
          <w:lang w:val="en-US"/>
        </w:rPr>
        <w:t xml:space="preserve">A histogram represents the ROS level in a concentration-dependent manner. </w:t>
      </w:r>
      <w:r>
        <w:t>*p&lt;0.05 and ***p&lt;0.001 were considered statistically significant vs. Control.</w:t>
      </w:r>
    </w:p>
    <w:p w14:paraId="0ADECE32" w14:textId="5B3ECACB" w:rsidR="00EC2B39" w:rsidRPr="00BA5A85" w:rsidRDefault="00EC2B39" w:rsidP="00013268">
      <w:pPr>
        <w:spacing w:line="480" w:lineRule="auto"/>
        <w:jc w:val="both"/>
        <w:rPr>
          <w:rFonts w:cs="Times New Roman"/>
          <w:szCs w:val="24"/>
        </w:rPr>
      </w:pPr>
    </w:p>
    <w:p w14:paraId="405E2097" w14:textId="36C3CC22" w:rsidR="009D34FF" w:rsidRPr="00BA5A85" w:rsidRDefault="009D34FF" w:rsidP="00013268">
      <w:pPr>
        <w:spacing w:line="480" w:lineRule="auto"/>
        <w:jc w:val="both"/>
        <w:rPr>
          <w:rFonts w:cs="Times New Roman"/>
          <w:b/>
          <w:bCs/>
          <w:szCs w:val="24"/>
        </w:rPr>
      </w:pPr>
      <w:r w:rsidRPr="00BA5A85">
        <w:rPr>
          <w:rFonts w:cs="Times New Roman"/>
          <w:b/>
          <w:bCs/>
          <w:szCs w:val="24"/>
        </w:rPr>
        <w:t>Downregulation of Mitochondrial membrane potential (Δψ M) in Chloroquine-treated DL cells</w:t>
      </w:r>
      <w:r w:rsidR="00B108A8">
        <w:rPr>
          <w:rFonts w:cs="Times New Roman"/>
          <w:b/>
          <w:bCs/>
          <w:szCs w:val="24"/>
        </w:rPr>
        <w:t xml:space="preserve"> assessed by JC-1</w:t>
      </w:r>
    </w:p>
    <w:p w14:paraId="5EC48B08" w14:textId="29595FD6" w:rsidR="00C3744B" w:rsidRDefault="00C3744B" w:rsidP="00013268">
      <w:pPr>
        <w:spacing w:line="480" w:lineRule="auto"/>
        <w:jc w:val="both"/>
        <w:rPr>
          <w:rFonts w:cs="Times New Roman"/>
          <w:b/>
          <w:bCs/>
          <w:szCs w:val="24"/>
        </w:rPr>
      </w:pPr>
      <w:r w:rsidRPr="00BA5A85">
        <w:rPr>
          <w:rFonts w:cs="Times New Roman"/>
          <w:szCs w:val="24"/>
        </w:rPr>
        <w:t xml:space="preserve">Chloroquine’s impact on mitochondrial membrane potential (MMP) was evaluated through the JC-1 dye, a </w:t>
      </w:r>
      <w:r w:rsidR="00393FE4" w:rsidRPr="00BA5A85">
        <w:rPr>
          <w:rFonts w:cs="Times New Roman"/>
          <w:szCs w:val="24"/>
        </w:rPr>
        <w:t>compa</w:t>
      </w:r>
      <w:r w:rsidRPr="00BA5A85">
        <w:rPr>
          <w:rFonts w:cs="Times New Roman"/>
          <w:szCs w:val="24"/>
        </w:rPr>
        <w:t>ssi</w:t>
      </w:r>
      <w:r w:rsidR="00393FE4" w:rsidRPr="00BA5A85">
        <w:rPr>
          <w:rFonts w:cs="Times New Roman"/>
          <w:szCs w:val="24"/>
        </w:rPr>
        <w:t>ona</w:t>
      </w:r>
      <w:r w:rsidRPr="00BA5A85">
        <w:rPr>
          <w:rFonts w:cs="Times New Roman"/>
          <w:szCs w:val="24"/>
        </w:rPr>
        <w:t>te measure of mitochondrial health. The dye appears as green fluorescent monomers in cells going through apoptosis or mitochondrial damage because of MMP damage, whereas in healthy cells with intact MMP, JC-1 builds up in the mitochondria and forms red fluorescent aggregates. Red fluorescence</w:t>
      </w:r>
      <w:r w:rsidR="00393FE4" w:rsidRPr="00BA5A85">
        <w:rPr>
          <w:rFonts w:cs="Times New Roman"/>
          <w:szCs w:val="24"/>
        </w:rPr>
        <w:t xml:space="preserve"> </w:t>
      </w:r>
      <w:r w:rsidRPr="00BA5A85">
        <w:rPr>
          <w:rFonts w:cs="Times New Roman"/>
          <w:szCs w:val="24"/>
        </w:rPr>
        <w:t>predominat</w:t>
      </w:r>
      <w:r w:rsidR="00393FE4" w:rsidRPr="00BA5A85">
        <w:rPr>
          <w:rFonts w:cs="Times New Roman"/>
          <w:szCs w:val="24"/>
        </w:rPr>
        <w:t>ed</w:t>
      </w:r>
      <w:r w:rsidRPr="00BA5A85">
        <w:rPr>
          <w:rFonts w:cs="Times New Roman"/>
          <w:szCs w:val="24"/>
        </w:rPr>
        <w:t xml:space="preserve"> in</w:t>
      </w:r>
      <w:r w:rsidR="00393FE4" w:rsidRPr="00BA5A85">
        <w:rPr>
          <w:rFonts w:cs="Times New Roman"/>
          <w:szCs w:val="24"/>
        </w:rPr>
        <w:t xml:space="preserve"> the</w:t>
      </w:r>
      <w:r w:rsidRPr="00BA5A85">
        <w:rPr>
          <w:rFonts w:cs="Times New Roman"/>
          <w:szCs w:val="24"/>
        </w:rPr>
        <w:t xml:space="preserve"> untreated control cells, in</w:t>
      </w:r>
      <w:r w:rsidR="00393FE4" w:rsidRPr="00BA5A85">
        <w:rPr>
          <w:rFonts w:cs="Times New Roman"/>
          <w:szCs w:val="24"/>
        </w:rPr>
        <w:t>d</w:t>
      </w:r>
      <w:r w:rsidRPr="00BA5A85">
        <w:rPr>
          <w:rFonts w:cs="Times New Roman"/>
          <w:szCs w:val="24"/>
        </w:rPr>
        <w:t>i</w:t>
      </w:r>
      <w:r w:rsidR="00393FE4" w:rsidRPr="00BA5A85">
        <w:rPr>
          <w:rFonts w:cs="Times New Roman"/>
          <w:szCs w:val="24"/>
        </w:rPr>
        <w:t>ca</w:t>
      </w:r>
      <w:r w:rsidRPr="00BA5A85">
        <w:rPr>
          <w:rFonts w:cs="Times New Roman"/>
          <w:szCs w:val="24"/>
        </w:rPr>
        <w:t>ting that the mitochondrial membrane potential was intact</w:t>
      </w:r>
      <w:r w:rsidR="00393FE4" w:rsidRPr="00BA5A85">
        <w:rPr>
          <w:rFonts w:cs="Times New Roman"/>
          <w:szCs w:val="24"/>
        </w:rPr>
        <w:t xml:space="preserve">, as shown in the </w:t>
      </w:r>
      <w:r w:rsidR="006B387E">
        <w:rPr>
          <w:rFonts w:cs="Times New Roman"/>
          <w:b/>
          <w:bCs/>
          <w:szCs w:val="24"/>
        </w:rPr>
        <w:t>F</w:t>
      </w:r>
      <w:r w:rsidR="00393FE4" w:rsidRPr="00D26558">
        <w:rPr>
          <w:rFonts w:cs="Times New Roman"/>
          <w:b/>
          <w:bCs/>
          <w:szCs w:val="24"/>
        </w:rPr>
        <w:t>ig</w:t>
      </w:r>
      <w:r w:rsidR="00D26558" w:rsidRPr="00D26558">
        <w:rPr>
          <w:rFonts w:cs="Times New Roman"/>
          <w:b/>
          <w:bCs/>
          <w:szCs w:val="24"/>
        </w:rPr>
        <w:t>. 6 (</w:t>
      </w:r>
      <w:r w:rsidR="006B387E">
        <w:rPr>
          <w:rFonts w:cs="Times New Roman"/>
          <w:b/>
          <w:bCs/>
          <w:szCs w:val="24"/>
        </w:rPr>
        <w:t>A</w:t>
      </w:r>
      <w:r w:rsidR="00D26558" w:rsidRPr="00D26558">
        <w:rPr>
          <w:rFonts w:cs="Times New Roman"/>
          <w:b/>
          <w:bCs/>
          <w:szCs w:val="24"/>
        </w:rPr>
        <w:t>)</w:t>
      </w:r>
      <w:r w:rsidRPr="00D26558">
        <w:rPr>
          <w:rFonts w:cs="Times New Roman"/>
          <w:b/>
          <w:bCs/>
          <w:szCs w:val="24"/>
        </w:rPr>
        <w:t>.</w:t>
      </w:r>
      <w:r w:rsidRPr="00BA5A85">
        <w:rPr>
          <w:rFonts w:cs="Times New Roman"/>
          <w:szCs w:val="24"/>
        </w:rPr>
        <w:t xml:space="preserve"> However,</w:t>
      </w:r>
      <w:r w:rsidR="00393FE4" w:rsidRPr="00BA5A85">
        <w:rPr>
          <w:rFonts w:cs="Times New Roman"/>
          <w:szCs w:val="24"/>
        </w:rPr>
        <w:t xml:space="preserve"> in</w:t>
      </w:r>
      <w:r w:rsidRPr="00BA5A85">
        <w:rPr>
          <w:rFonts w:cs="Times New Roman"/>
          <w:szCs w:val="24"/>
        </w:rPr>
        <w:t xml:space="preserve"> </w:t>
      </w:r>
      <w:r w:rsidR="002D796D" w:rsidRPr="00BA5A85">
        <w:rPr>
          <w:rFonts w:cs="Times New Roman"/>
          <w:szCs w:val="24"/>
        </w:rPr>
        <w:t xml:space="preserve">the </w:t>
      </w:r>
      <w:r w:rsidR="00393FE4" w:rsidRPr="00BA5A85">
        <w:rPr>
          <w:rFonts w:cs="Times New Roman"/>
          <w:szCs w:val="24"/>
        </w:rPr>
        <w:t>Chlo</w:t>
      </w:r>
      <w:r w:rsidRPr="00BA5A85">
        <w:rPr>
          <w:rFonts w:cs="Times New Roman"/>
          <w:szCs w:val="24"/>
        </w:rPr>
        <w:t>r</w:t>
      </w:r>
      <w:r w:rsidR="00393FE4" w:rsidRPr="00BA5A85">
        <w:rPr>
          <w:rFonts w:cs="Times New Roman"/>
          <w:szCs w:val="24"/>
        </w:rPr>
        <w:t>oquin</w:t>
      </w:r>
      <w:r w:rsidRPr="00BA5A85">
        <w:rPr>
          <w:rFonts w:cs="Times New Roman"/>
          <w:szCs w:val="24"/>
        </w:rPr>
        <w:t>e</w:t>
      </w:r>
      <w:r w:rsidR="00393FE4" w:rsidRPr="00BA5A85">
        <w:rPr>
          <w:rFonts w:cs="Times New Roman"/>
          <w:szCs w:val="24"/>
        </w:rPr>
        <w:t>-trea</w:t>
      </w:r>
      <w:r w:rsidRPr="00BA5A85">
        <w:rPr>
          <w:rFonts w:cs="Times New Roman"/>
          <w:szCs w:val="24"/>
        </w:rPr>
        <w:t>t</w:t>
      </w:r>
      <w:r w:rsidR="00393FE4" w:rsidRPr="00BA5A85">
        <w:rPr>
          <w:rFonts w:cs="Times New Roman"/>
          <w:szCs w:val="24"/>
        </w:rPr>
        <w:t>ed</w:t>
      </w:r>
      <w:r w:rsidRPr="00BA5A85">
        <w:rPr>
          <w:rFonts w:cs="Times New Roman"/>
          <w:szCs w:val="24"/>
        </w:rPr>
        <w:t xml:space="preserve"> </w:t>
      </w:r>
      <w:r w:rsidR="00393FE4" w:rsidRPr="00BA5A85">
        <w:rPr>
          <w:rFonts w:cs="Times New Roman"/>
          <w:szCs w:val="24"/>
        </w:rPr>
        <w:t>DL cell</w:t>
      </w:r>
      <w:r w:rsidRPr="00BA5A85">
        <w:rPr>
          <w:rFonts w:cs="Times New Roman"/>
          <w:szCs w:val="24"/>
        </w:rPr>
        <w:t>s</w:t>
      </w:r>
      <w:r w:rsidR="00393FE4" w:rsidRPr="00BA5A85">
        <w:rPr>
          <w:rFonts w:cs="Times New Roman"/>
          <w:szCs w:val="24"/>
        </w:rPr>
        <w:t>, t</w:t>
      </w:r>
      <w:r w:rsidRPr="00BA5A85">
        <w:rPr>
          <w:rFonts w:cs="Times New Roman"/>
          <w:szCs w:val="24"/>
        </w:rPr>
        <w:t>h</w:t>
      </w:r>
      <w:r w:rsidR="00393FE4" w:rsidRPr="00BA5A85">
        <w:rPr>
          <w:rFonts w:cs="Times New Roman"/>
          <w:szCs w:val="24"/>
        </w:rPr>
        <w:t xml:space="preserve">ere </w:t>
      </w:r>
      <w:r w:rsidRPr="00BA5A85">
        <w:rPr>
          <w:rFonts w:cs="Times New Roman"/>
          <w:szCs w:val="24"/>
        </w:rPr>
        <w:t>w</w:t>
      </w:r>
      <w:r w:rsidR="00393FE4" w:rsidRPr="00BA5A85">
        <w:rPr>
          <w:rFonts w:cs="Times New Roman"/>
          <w:szCs w:val="24"/>
        </w:rPr>
        <w:t>as</w:t>
      </w:r>
      <w:r w:rsidRPr="00BA5A85">
        <w:rPr>
          <w:rFonts w:cs="Times New Roman"/>
          <w:szCs w:val="24"/>
        </w:rPr>
        <w:t xml:space="preserve"> a </w:t>
      </w:r>
      <w:r w:rsidR="00393FE4" w:rsidRPr="00BA5A85">
        <w:rPr>
          <w:rFonts w:cs="Times New Roman"/>
          <w:szCs w:val="24"/>
        </w:rPr>
        <w:t xml:space="preserve">significant </w:t>
      </w:r>
      <w:r w:rsidRPr="00BA5A85">
        <w:rPr>
          <w:rFonts w:cs="Times New Roman"/>
          <w:szCs w:val="24"/>
        </w:rPr>
        <w:t>decrease</w:t>
      </w:r>
      <w:r w:rsidR="00393FE4" w:rsidRPr="00BA5A85">
        <w:rPr>
          <w:rFonts w:cs="Times New Roman"/>
          <w:szCs w:val="24"/>
        </w:rPr>
        <w:t xml:space="preserve"> in the</w:t>
      </w:r>
      <w:r w:rsidRPr="00BA5A85">
        <w:rPr>
          <w:rFonts w:cs="Times New Roman"/>
          <w:szCs w:val="24"/>
        </w:rPr>
        <w:t xml:space="preserve"> red</w:t>
      </w:r>
      <w:r w:rsidR="006A3A57">
        <w:rPr>
          <w:rFonts w:cs="Times New Roman"/>
          <w:szCs w:val="24"/>
        </w:rPr>
        <w:t xml:space="preserve"> </w:t>
      </w:r>
      <w:r w:rsidRPr="00BA5A85">
        <w:rPr>
          <w:rFonts w:cs="Times New Roman"/>
          <w:szCs w:val="24"/>
        </w:rPr>
        <w:t xml:space="preserve">fluorescence </w:t>
      </w:r>
      <w:r w:rsidR="006A3A57">
        <w:rPr>
          <w:rFonts w:cs="Times New Roman"/>
          <w:szCs w:val="24"/>
        </w:rPr>
        <w:t xml:space="preserve">and an increase in green fluorescence when compared with the </w:t>
      </w:r>
      <w:r w:rsidRPr="00BA5A85">
        <w:rPr>
          <w:rFonts w:cs="Times New Roman"/>
          <w:szCs w:val="24"/>
        </w:rPr>
        <w:t>control</w:t>
      </w:r>
      <w:r w:rsidR="002D796D" w:rsidRPr="00BA5A85">
        <w:rPr>
          <w:rFonts w:cs="Times New Roman"/>
          <w:szCs w:val="24"/>
        </w:rPr>
        <w:t xml:space="preserve"> </w:t>
      </w:r>
      <w:r w:rsidR="00393FE4" w:rsidRPr="00BA5A85">
        <w:rPr>
          <w:rFonts w:cs="Times New Roman"/>
          <w:szCs w:val="24"/>
        </w:rPr>
        <w:t>group</w:t>
      </w:r>
      <w:r w:rsidR="002D796D" w:rsidRPr="00BA5A85">
        <w:rPr>
          <w:rFonts w:cs="Times New Roman"/>
          <w:szCs w:val="24"/>
        </w:rPr>
        <w:t>.</w:t>
      </w:r>
      <w:r w:rsidR="00393FE4" w:rsidRPr="00BA5A85">
        <w:rPr>
          <w:rFonts w:cs="Times New Roman"/>
          <w:szCs w:val="24"/>
        </w:rPr>
        <w:t xml:space="preserve"> </w:t>
      </w:r>
      <w:r w:rsidR="002D796D" w:rsidRPr="00BA5A85">
        <w:rPr>
          <w:rFonts w:cs="Times New Roman"/>
          <w:szCs w:val="24"/>
        </w:rPr>
        <w:t xml:space="preserve">The result was also confirmed by a Flow cytometer and showed a 57.92% loss of </w:t>
      </w:r>
      <w:proofErr w:type="spellStart"/>
      <w:r w:rsidR="002D796D" w:rsidRPr="00BA5A85">
        <w:rPr>
          <w:rFonts w:cs="Times New Roman"/>
          <w:szCs w:val="24"/>
        </w:rPr>
        <w:t>Δψ</w:t>
      </w:r>
      <w:proofErr w:type="spellEnd"/>
      <w:r w:rsidR="002D796D" w:rsidRPr="00BA5A85">
        <w:rPr>
          <w:rFonts w:cs="Times New Roman"/>
          <w:szCs w:val="24"/>
        </w:rPr>
        <w:t xml:space="preserve"> M in Chloroquine-treated DL cells as compared to </w:t>
      </w:r>
      <w:r w:rsidR="00D26558">
        <w:rPr>
          <w:rFonts w:cs="Times New Roman"/>
          <w:szCs w:val="24"/>
        </w:rPr>
        <w:t xml:space="preserve">the </w:t>
      </w:r>
      <w:r w:rsidR="002D796D" w:rsidRPr="00BA5A85">
        <w:rPr>
          <w:rFonts w:cs="Times New Roman"/>
          <w:szCs w:val="24"/>
        </w:rPr>
        <w:t>control</w:t>
      </w:r>
      <w:r w:rsidR="006A3A57">
        <w:rPr>
          <w:rFonts w:cs="Times New Roman"/>
          <w:szCs w:val="24"/>
        </w:rPr>
        <w:t xml:space="preserve"> </w:t>
      </w:r>
      <w:r w:rsidR="006A3A57" w:rsidRPr="00BA5A85">
        <w:rPr>
          <w:rFonts w:cs="Times New Roman"/>
          <w:szCs w:val="24"/>
        </w:rPr>
        <w:t>(p &lt; 0.001)</w:t>
      </w:r>
      <w:r w:rsidR="00D26558">
        <w:rPr>
          <w:rFonts w:cs="Times New Roman"/>
          <w:szCs w:val="24"/>
        </w:rPr>
        <w:t xml:space="preserve">, as shown in </w:t>
      </w:r>
      <w:r w:rsidR="00D26558" w:rsidRPr="00D26558">
        <w:rPr>
          <w:rFonts w:cs="Times New Roman"/>
          <w:b/>
          <w:bCs/>
          <w:szCs w:val="24"/>
        </w:rPr>
        <w:t xml:space="preserve">Fig. </w:t>
      </w:r>
      <w:r w:rsidR="00D26558">
        <w:rPr>
          <w:rFonts w:cs="Times New Roman"/>
          <w:b/>
          <w:bCs/>
          <w:szCs w:val="24"/>
        </w:rPr>
        <w:t>6 (</w:t>
      </w:r>
      <w:r w:rsidR="006B387E">
        <w:rPr>
          <w:rFonts w:cs="Times New Roman"/>
          <w:b/>
          <w:bCs/>
          <w:szCs w:val="24"/>
        </w:rPr>
        <w:t>B</w:t>
      </w:r>
      <w:r w:rsidR="00D26558">
        <w:rPr>
          <w:rFonts w:cs="Times New Roman"/>
          <w:b/>
          <w:bCs/>
          <w:szCs w:val="24"/>
        </w:rPr>
        <w:t>).</w:t>
      </w:r>
    </w:p>
    <w:p w14:paraId="1F059C94" w14:textId="49AAB9D8" w:rsidR="00EC2B39" w:rsidRDefault="00536037" w:rsidP="00013268">
      <w:pPr>
        <w:spacing w:line="480" w:lineRule="auto"/>
        <w:jc w:val="both"/>
        <w:rPr>
          <w:rFonts w:cs="Times New Roman"/>
          <w:b/>
          <w:bCs/>
          <w:szCs w:val="24"/>
        </w:rPr>
      </w:pPr>
      <w:r>
        <w:rPr>
          <w:noProof/>
        </w:rPr>
        <w:lastRenderedPageBreak/>
        <mc:AlternateContent>
          <mc:Choice Requires="wps">
            <w:drawing>
              <wp:anchor distT="0" distB="0" distL="114300" distR="114300" simplePos="0" relativeHeight="251679744" behindDoc="0" locked="0" layoutInCell="1" allowOverlap="1" wp14:anchorId="3BBECE01" wp14:editId="69830EB5">
                <wp:simplePos x="0" y="0"/>
                <wp:positionH relativeFrom="column">
                  <wp:posOffset>3914775</wp:posOffset>
                </wp:positionH>
                <wp:positionV relativeFrom="paragraph">
                  <wp:posOffset>3876040</wp:posOffset>
                </wp:positionV>
                <wp:extent cx="423447" cy="257750"/>
                <wp:effectExtent l="0" t="0" r="15240" b="28575"/>
                <wp:wrapNone/>
                <wp:docPr id="208098434" name="Rectangle 3"/>
                <wp:cNvGraphicFramePr/>
                <a:graphic xmlns:a="http://schemas.openxmlformats.org/drawingml/2006/main">
                  <a:graphicData uri="http://schemas.microsoft.com/office/word/2010/wordprocessingShape">
                    <wps:wsp>
                      <wps:cNvSpPr/>
                      <wps:spPr>
                        <a:xfrm>
                          <a:off x="0" y="0"/>
                          <a:ext cx="423447" cy="257750"/>
                        </a:xfrm>
                        <a:prstGeom prst="rect">
                          <a:avLst/>
                        </a:prstGeom>
                      </wps:spPr>
                      <wps:style>
                        <a:lnRef idx="2">
                          <a:schemeClr val="accent6"/>
                        </a:lnRef>
                        <a:fillRef idx="1">
                          <a:schemeClr val="lt1"/>
                        </a:fillRef>
                        <a:effectRef idx="0">
                          <a:schemeClr val="accent6"/>
                        </a:effectRef>
                        <a:fontRef idx="minor">
                          <a:schemeClr val="dk1"/>
                        </a:fontRef>
                      </wps:style>
                      <wps:txbx>
                        <w:txbxContent>
                          <w:p w14:paraId="4E04C1E2" w14:textId="6F9C94A0" w:rsidR="008E7081" w:rsidRPr="00D30027" w:rsidRDefault="008E7081" w:rsidP="008E7081">
                            <w:pPr>
                              <w:jc w:val="center"/>
                              <w:rPr>
                                <w:b/>
                                <w:bCs/>
                              </w:rPr>
                            </w:pPr>
                            <w:r>
                              <w:rPr>
                                <w:b/>
                                <w:bCs/>
                              </w:rPr>
                              <w:t>6</w:t>
                            </w:r>
                            <w:r w:rsidRPr="00D30027">
                              <w:rPr>
                                <w:b/>
                                <w:bCs/>
                              </w:rPr>
                              <w:t xml:space="preserve"> </w:t>
                            </w:r>
                            <w:r>
                              <w:rPr>
                                <w:b/>
                                <w:bCs/>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BBECE01" id="_x0000_s1034" style="position:absolute;left:0;text-align:left;margin-left:308.25pt;margin-top:305.2pt;width:33.35pt;height:20.3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6r+QWAIAAP0EAAAOAAAAZHJzL2Uyb0RvYy54bWysVN9v2jAQfp+0/8Hy+wgwKB0iVIiq06Sq&#10;rUqnPhvHhmiOzzsbEvbX72xC6Dqepr04d7777pe/y+ymqQzbK/Ql2JwPen3OlJVQlHaT8+8vd5+u&#10;OfNB2EIYsCrnB+X5zfzjh1ntpmoIWzCFQkZBrJ/WLufbENw0y7zcqkr4HjhlyagBKxFIxU1WoKgp&#10;emWyYb9/ldWAhUOQynu6vT0a+TzF11rJ8Ki1V4GZnFNtIZ2YznU8s/lMTDco3LaUbRniH6qoRGkp&#10;aRfqVgTBdlj+FaoqJYIHHXoSqgy0LqVKPVA3g/67blZb4VTqhYbjXTcm///Cyof9yj0hjaF2fupJ&#10;jF00Gqv4pfpYk4Z16IalmsAkXY6Gn0ejCWeSTMPxZDJOw8zOYIc+fFVQsSjkHOkt0ojE/t4HSkiu&#10;JxdSzumTFA5GxQqMfVaalQUlHCZ0YoZaGmR7QW8qpFQ2XMV3pHjJO8J0aUwHHFwCmjBoQa1vhKnE&#10;mA7YvwT8M2OHSFnBhg5clRbwUoDiR5f56H/q/thzbD8064aazvl1rDHerKE4PCFDODLYO3lX0ljv&#10;hQ9PAomyRG5aw/BIhzZQ5xxaibMt4K9L99GfmERWzmpagZz7nzuBijPzzRLHvgxGo7gzSRmNJ0NS&#10;8K1l/dZid9US6EUGtPBOJjH6B3MSNUL1Stu6iFnJJKyk3DmXAU/KMhxXk/ZdqsUiudGeOBHu7crJ&#10;GDzOOdLmpXkV6FpuBSLlA5zWRUzfUezoG5EWFrsAukz8O8+1fQHasUSj9n8Ql/itnrzOf635bwAA&#10;AP//AwBQSwMEFAAGAAgAAAAhADasGfvfAAAACwEAAA8AAABkcnMvZG93bnJldi54bWxMj01PwzAM&#10;hu9I/IfIk7ixpBurRtd0GqDBFcbHrlnjtRWNUzXpVv493glur+VHrx/n69G14oR9aDxpSKYKBFLp&#10;bUOVho/37e0SRIiGrGk9oYYfDLAurq9yk1l/pjc87WIluIRCZjTUMXaZlKGs0Zkw9R0S746+dyby&#10;2FfS9ubM5a6VM6VS6UxDfKE2HT7WWH7vBqdhKJ8f9lW3eX3azulF+uTefX5ZrW8m42YFIuIY/2C4&#10;6LM6FOx08APZIFoNaZIuGL0EdQeCiXQ5n4E4cFgkCmSRy/8/FL8AAAD//wMAUEsBAi0AFAAGAAgA&#10;AAAhALaDOJL+AAAA4QEAABMAAAAAAAAAAAAAAAAAAAAAAFtDb250ZW50X1R5cGVzXS54bWxQSwEC&#10;LQAUAAYACAAAACEAOP0h/9YAAACUAQAACwAAAAAAAAAAAAAAAAAvAQAAX3JlbHMvLnJlbHNQSwEC&#10;LQAUAAYACAAAACEAPeq/kFgCAAD9BAAADgAAAAAAAAAAAAAAAAAuAgAAZHJzL2Uyb0RvYy54bWxQ&#10;SwECLQAUAAYACAAAACEANqwZ+98AAAALAQAADwAAAAAAAAAAAAAAAACyBAAAZHJzL2Rvd25yZXYu&#10;eG1sUEsFBgAAAAAEAAQA8wAAAL4FAAAAAA==&#10;" fillcolor="white [3201]" strokecolor="#70ad47 [3209]" strokeweight="1pt">
                <v:textbox>
                  <w:txbxContent>
                    <w:p w14:paraId="4E04C1E2" w14:textId="6F9C94A0" w:rsidR="008E7081" w:rsidRPr="00D30027" w:rsidRDefault="008E7081" w:rsidP="008E7081">
                      <w:pPr>
                        <w:jc w:val="center"/>
                        <w:rPr>
                          <w:b/>
                          <w:bCs/>
                        </w:rPr>
                      </w:pPr>
                      <w:r>
                        <w:rPr>
                          <w:b/>
                          <w:bCs/>
                        </w:rPr>
                        <w:t>6</w:t>
                      </w:r>
                      <w:r w:rsidRPr="00D30027">
                        <w:rPr>
                          <w:b/>
                          <w:bCs/>
                        </w:rPr>
                        <w:t xml:space="preserve"> </w:t>
                      </w:r>
                      <w:r>
                        <w:rPr>
                          <w:b/>
                          <w:bCs/>
                        </w:rPr>
                        <w:t>C</w:t>
                      </w:r>
                    </w:p>
                  </w:txbxContent>
                </v:textbox>
              </v:rect>
            </w:pict>
          </mc:Fallback>
        </mc:AlternateContent>
      </w:r>
      <w:r>
        <w:rPr>
          <w:noProof/>
        </w:rPr>
        <mc:AlternateContent>
          <mc:Choice Requires="wps">
            <w:drawing>
              <wp:anchor distT="0" distB="0" distL="114300" distR="114300" simplePos="0" relativeHeight="251677696" behindDoc="0" locked="0" layoutInCell="1" allowOverlap="1" wp14:anchorId="03BCD05E" wp14:editId="13A7685C">
                <wp:simplePos x="0" y="0"/>
                <wp:positionH relativeFrom="column">
                  <wp:posOffset>1306830</wp:posOffset>
                </wp:positionH>
                <wp:positionV relativeFrom="paragraph">
                  <wp:posOffset>2905125</wp:posOffset>
                </wp:positionV>
                <wp:extent cx="423447" cy="257750"/>
                <wp:effectExtent l="0" t="0" r="15240" b="28575"/>
                <wp:wrapNone/>
                <wp:docPr id="1042280487" name="Rectangle 3"/>
                <wp:cNvGraphicFramePr/>
                <a:graphic xmlns:a="http://schemas.openxmlformats.org/drawingml/2006/main">
                  <a:graphicData uri="http://schemas.microsoft.com/office/word/2010/wordprocessingShape">
                    <wps:wsp>
                      <wps:cNvSpPr/>
                      <wps:spPr>
                        <a:xfrm>
                          <a:off x="0" y="0"/>
                          <a:ext cx="423447" cy="257750"/>
                        </a:xfrm>
                        <a:prstGeom prst="rect">
                          <a:avLst/>
                        </a:prstGeom>
                      </wps:spPr>
                      <wps:style>
                        <a:lnRef idx="2">
                          <a:schemeClr val="accent6"/>
                        </a:lnRef>
                        <a:fillRef idx="1">
                          <a:schemeClr val="lt1"/>
                        </a:fillRef>
                        <a:effectRef idx="0">
                          <a:schemeClr val="accent6"/>
                        </a:effectRef>
                        <a:fontRef idx="minor">
                          <a:schemeClr val="dk1"/>
                        </a:fontRef>
                      </wps:style>
                      <wps:txbx>
                        <w:txbxContent>
                          <w:p w14:paraId="7BD12503" w14:textId="72AEAFAF" w:rsidR="008E7081" w:rsidRPr="00D30027" w:rsidRDefault="008E7081" w:rsidP="008E7081">
                            <w:pPr>
                              <w:jc w:val="center"/>
                              <w:rPr>
                                <w:b/>
                                <w:bCs/>
                              </w:rPr>
                            </w:pPr>
                            <w:r>
                              <w:rPr>
                                <w:b/>
                                <w:bCs/>
                              </w:rPr>
                              <w:t>6</w:t>
                            </w:r>
                            <w:r w:rsidRPr="00D30027">
                              <w:rPr>
                                <w:b/>
                                <w:bCs/>
                              </w:rPr>
                              <w:t xml:space="preserve"> </w:t>
                            </w:r>
                            <w:r>
                              <w:rPr>
                                <w:b/>
                                <w:bCs/>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3BCD05E" id="_x0000_s1035" style="position:absolute;left:0;text-align:left;margin-left:102.9pt;margin-top:228.75pt;width:33.35pt;height:20.3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HcdWAIAAP0EAAAOAAAAZHJzL2Uyb0RvYy54bWysVN9v2jAQfp+0/8Hy+wgwKCsiVIiq06Sq&#10;rUqnPhvHhmiOzzsbEvbX72xC6Dqepr04d7777pe/y+ymqQzbK/Ql2JwPen3OlJVQlHaT8+8vd5++&#10;cOaDsIUwYFXOD8rzm/nHD7PaTdUQtmAKhYyCWD+tXc63Ibhplnm5VZXwPXDKklEDViKQipusQFFT&#10;9Mpkw37/KqsBC4cglfd0e3s08nmKr7WS4VFrrwIzOafaQjoxnet4ZvOZmG5QuG0p2zLEP1RRidJS&#10;0i7UrQiC7bD8K1RVSgQPOvQkVBloXUqVeqBuBv133ay2wqnUCw3Hu25M/v+FlQ/7lXtCGkPt/NST&#10;GLtoNFbxS/WxJg3r0A1LNYFJuhwNP49GE84kmYbjyWSchpmdwQ59+KqgYlHIOdJbpBGJ/b0PlJBc&#10;Ty6knNMnKRyMihUY+6w0KwtKOEzoxAy1NMj2gt5USKlsuIrvSPGSd4Tp0pgOOLgENGHQglrfCFOJ&#10;MR2wfwn4Z8YOkbKCDR24Ki3gpQDFjy7z0f/U/bHn2H5o1g01nfPrWGO8WUNxeEKGcGSwd/KupLHe&#10;Cx+eBBJlidy0huGRDm2gzjm0EmdbwF+X7qM/MYmsnNW0Ajn3P3cCFWfmmyWOXQ9Go7gzSRmNJ0NS&#10;8K1l/dZid9US6EUGtPBOJjH6B3MSNUL1Stu6iFnJJKyk3DmXAU/KMhxXk/ZdqsUiudGeOBHu7crJ&#10;GDzOOdLmpXkV6FpuBSLlA5zWRUzfUezoG5EWFrsAukz8O8+1fQHasUSj9n8Ql/itnrzOf635bwAA&#10;AP//AwBQSwMEFAAGAAgAAAAhALy/JSvgAAAACwEAAA8AAABkcnMvZG93bnJldi54bWxMj0tPwzAQ&#10;hO9I/AdrkbhRJ4H0EeJUBVS4Qunj6sZLEhGvo9hpw79nOdHb7uxo5tt8OdpWnLD3jSMF8SQCgVQ6&#10;01ClYPu5vpuD8EGT0a0jVPCDHpbF9VWuM+PO9IGnTagEh5DPtII6hC6T0pc1Wu0nrkPi25frrQ68&#10;9pU0vT5zuG1lEkVTaXVD3FDrDp9rLL83g1UwlK9Ph6pbvb+s7+lNunhhd3uj1O3NuHoEEXAM/2b4&#10;w2d0KJjp6AYyXrQKkihl9KDgIZ2lINiRzBIejqws5jHIIpeXPxS/AAAA//8DAFBLAQItABQABgAI&#10;AAAAIQC2gziS/gAAAOEBAAATAAAAAAAAAAAAAAAAAAAAAABbQ29udGVudF9UeXBlc10ueG1sUEsB&#10;Ai0AFAAGAAgAAAAhADj9If/WAAAAlAEAAAsAAAAAAAAAAAAAAAAALwEAAF9yZWxzLy5yZWxzUEsB&#10;Ai0AFAAGAAgAAAAhAOuIdx1YAgAA/QQAAA4AAAAAAAAAAAAAAAAALgIAAGRycy9lMm9Eb2MueG1s&#10;UEsBAi0AFAAGAAgAAAAhALy/JSvgAAAACwEAAA8AAAAAAAAAAAAAAAAAsgQAAGRycy9kb3ducmV2&#10;LnhtbFBLBQYAAAAABAAEAPMAAAC/BQAAAAA=&#10;" fillcolor="white [3201]" strokecolor="#70ad47 [3209]" strokeweight="1pt">
                <v:textbox>
                  <w:txbxContent>
                    <w:p w14:paraId="7BD12503" w14:textId="72AEAFAF" w:rsidR="008E7081" w:rsidRPr="00D30027" w:rsidRDefault="008E7081" w:rsidP="008E7081">
                      <w:pPr>
                        <w:jc w:val="center"/>
                        <w:rPr>
                          <w:b/>
                          <w:bCs/>
                        </w:rPr>
                      </w:pPr>
                      <w:r>
                        <w:rPr>
                          <w:b/>
                          <w:bCs/>
                        </w:rPr>
                        <w:t>6</w:t>
                      </w:r>
                      <w:r w:rsidRPr="00D30027">
                        <w:rPr>
                          <w:b/>
                          <w:bCs/>
                        </w:rPr>
                        <w:t xml:space="preserve"> </w:t>
                      </w:r>
                      <w:r>
                        <w:rPr>
                          <w:b/>
                          <w:bCs/>
                        </w:rPr>
                        <w:t>B</w:t>
                      </w:r>
                    </w:p>
                  </w:txbxContent>
                </v:textbox>
              </v:rect>
            </w:pict>
          </mc:Fallback>
        </mc:AlternateContent>
      </w:r>
      <w:r w:rsidR="004C1DC8">
        <w:rPr>
          <w:noProof/>
        </w:rPr>
        <mc:AlternateContent>
          <mc:Choice Requires="wps">
            <w:drawing>
              <wp:anchor distT="0" distB="0" distL="114300" distR="114300" simplePos="0" relativeHeight="251675648" behindDoc="0" locked="0" layoutInCell="1" allowOverlap="1" wp14:anchorId="1F76FFD4" wp14:editId="21ABD966">
                <wp:simplePos x="0" y="0"/>
                <wp:positionH relativeFrom="column">
                  <wp:posOffset>1826895</wp:posOffset>
                </wp:positionH>
                <wp:positionV relativeFrom="paragraph">
                  <wp:posOffset>-403860</wp:posOffset>
                </wp:positionV>
                <wp:extent cx="423447" cy="257750"/>
                <wp:effectExtent l="0" t="0" r="15240" b="28575"/>
                <wp:wrapNone/>
                <wp:docPr id="790132873" name="Rectangle 3"/>
                <wp:cNvGraphicFramePr/>
                <a:graphic xmlns:a="http://schemas.openxmlformats.org/drawingml/2006/main">
                  <a:graphicData uri="http://schemas.microsoft.com/office/word/2010/wordprocessingShape">
                    <wps:wsp>
                      <wps:cNvSpPr/>
                      <wps:spPr>
                        <a:xfrm>
                          <a:off x="0" y="0"/>
                          <a:ext cx="423447" cy="257750"/>
                        </a:xfrm>
                        <a:prstGeom prst="rect">
                          <a:avLst/>
                        </a:prstGeom>
                      </wps:spPr>
                      <wps:style>
                        <a:lnRef idx="2">
                          <a:schemeClr val="accent6"/>
                        </a:lnRef>
                        <a:fillRef idx="1">
                          <a:schemeClr val="lt1"/>
                        </a:fillRef>
                        <a:effectRef idx="0">
                          <a:schemeClr val="accent6"/>
                        </a:effectRef>
                        <a:fontRef idx="minor">
                          <a:schemeClr val="dk1"/>
                        </a:fontRef>
                      </wps:style>
                      <wps:txbx>
                        <w:txbxContent>
                          <w:p w14:paraId="03FB83C5" w14:textId="2879B303" w:rsidR="008E7081" w:rsidRPr="00D30027" w:rsidRDefault="008E7081" w:rsidP="008E7081">
                            <w:pPr>
                              <w:jc w:val="center"/>
                              <w:rPr>
                                <w:b/>
                                <w:bCs/>
                              </w:rPr>
                            </w:pPr>
                            <w:r>
                              <w:rPr>
                                <w:b/>
                                <w:bCs/>
                              </w:rPr>
                              <w:t>6</w:t>
                            </w:r>
                            <w:r w:rsidRPr="00D30027">
                              <w:rPr>
                                <w:b/>
                                <w:bCs/>
                              </w:rPr>
                              <w:t xml:space="preserve"> 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F76FFD4" id="_x0000_s1036" style="position:absolute;left:0;text-align:left;margin-left:143.85pt;margin-top:-31.8pt;width:33.35pt;height:20.3pt;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rruWAIAAP4EAAAOAAAAZHJzL2Uyb0RvYy54bWysVFFv2jAQfp+0/2D5fQQYlA01VIiq0yTU&#10;orVTn41jl2iOzzsbEvbrd3ZC6Dqepr04Pt99d77z9+X6pqkMOyj0JdicjwZDzpSVUJT2Jeffn+4+&#10;fOLMB2ELYcCqnB+V5zeL9++uazdXY9iBKRQySmL9vHY534Xg5lnm5U5Vwg/AKUtODViJQCa+ZAWK&#10;mrJXJhsPh1dZDVg4BKm8p9Pb1skXKb/WSoYHrb0KzOSc7hbSimndxjVbXIv5Cwq3K2V3DfEPt6hE&#10;aalon+pWBMH2WP6VqiolggcdBhKqDLQupUo9UDej4ZtuHnfCqdQLDce7fkz+/6WV94dHt0EaQ+38&#10;3NM2dtForOKX7seaNKxjPyzVBCbpcDL+OJnMOJPkGk9ns2kaZnYGO/Thi4KKxU3Okd4ijUgc1j5Q&#10;QQo9hZBxLp924WhUvIGx35RmZUEFxwmdmKFWBtlB0JsKKZUNV/EdKV+KjjBdGtMDR5eAJow6UBcb&#10;YSoxpgcOLwH/rNgjUlWwoQdXpQW8lKD40Vdu40/dtz3H9kOzbahpElQaajzaQnHcIENoKeydvCtp&#10;rmvhw0YgcZbYTToMD7RoA3XOodtxtgP8dek8xhOVyMtZTRrIuf+5F6g4M18tkezzaDKJoknGZDob&#10;k4GvPdvXHruvVkBPMiLFO5m2MT6Y01YjVM8k12WsSi5hJdXOuQx4Mlah1SYJXqrlMoWRUJwIa/vo&#10;ZEweBx1589Q8C3QduQKx8h5OehHzNxxrYyPSwnIfQJeJgOe5dk9AIks86n4IUcWv7RR1/m0tfgMA&#10;AP//AwBQSwMEFAAGAAgAAAAhAJKIAorgAAAACwEAAA8AAABkcnMvZG93bnJldi54bWxMj01PwzAM&#10;hu9I/IfISNy2dO3oRmk6baDBdYyva9aYtqJxqibdyr+fObGj7UevnzdfjbYVR+x940jBbBqBQCqd&#10;aahS8P62nSxB+KDJ6NYRKvhFD6vi+irXmXEnesXjPlSCQ8hnWkEdQpdJ6csarfZT1yHx7dv1Vgce&#10;+0qaXp843LYyjqJUWt0Qf6h1h481lj/7wSoYyufNV9Wtd0/bhF6km93bj0+j1O3NuH4AEXAM/zD8&#10;6bM6FOx0cAMZL1oF8XKxYFTBJE1SEEwkd/M5iANv4iQCWeTyskNxBgAA//8DAFBLAQItABQABgAI&#10;AAAAIQC2gziS/gAAAOEBAAATAAAAAAAAAAAAAAAAAAAAAABbQ29udGVudF9UeXBlc10ueG1sUEsB&#10;Ai0AFAAGAAgAAAAhADj9If/WAAAAlAEAAAsAAAAAAAAAAAAAAAAALwEAAF9yZWxzLy5yZWxzUEsB&#10;Ai0AFAAGAAgAAAAhACJCuu5YAgAA/gQAAA4AAAAAAAAAAAAAAAAALgIAAGRycy9lMm9Eb2MueG1s&#10;UEsBAi0AFAAGAAgAAAAhAJKIAorgAAAACwEAAA8AAAAAAAAAAAAAAAAAsgQAAGRycy9kb3ducmV2&#10;LnhtbFBLBQYAAAAABAAEAPMAAAC/BQAAAAA=&#10;" fillcolor="white [3201]" strokecolor="#70ad47 [3209]" strokeweight="1pt">
                <v:textbox>
                  <w:txbxContent>
                    <w:p w14:paraId="03FB83C5" w14:textId="2879B303" w:rsidR="008E7081" w:rsidRPr="00D30027" w:rsidRDefault="008E7081" w:rsidP="008E7081">
                      <w:pPr>
                        <w:jc w:val="center"/>
                        <w:rPr>
                          <w:b/>
                          <w:bCs/>
                        </w:rPr>
                      </w:pPr>
                      <w:r>
                        <w:rPr>
                          <w:b/>
                          <w:bCs/>
                        </w:rPr>
                        <w:t>6</w:t>
                      </w:r>
                      <w:r w:rsidRPr="00D30027">
                        <w:rPr>
                          <w:b/>
                          <w:bCs/>
                        </w:rPr>
                        <w:t xml:space="preserve"> A</w:t>
                      </w:r>
                    </w:p>
                  </w:txbxContent>
                </v:textbox>
              </v:rect>
            </w:pict>
          </mc:Fallback>
        </mc:AlternateContent>
      </w:r>
      <w:r w:rsidR="008E7081">
        <w:rPr>
          <w:noProof/>
        </w:rPr>
        <w:drawing>
          <wp:inline distT="0" distB="0" distL="0" distR="0" wp14:anchorId="5BD878F5" wp14:editId="5F655B08">
            <wp:extent cx="4737697" cy="2871085"/>
            <wp:effectExtent l="0" t="0" r="6350" b="5715"/>
            <wp:docPr id="74408905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37697" cy="2871085"/>
                    </a:xfrm>
                    <a:prstGeom prst="rect">
                      <a:avLst/>
                    </a:prstGeom>
                    <a:noFill/>
                    <a:ln>
                      <a:noFill/>
                    </a:ln>
                  </pic:spPr>
                </pic:pic>
              </a:graphicData>
            </a:graphic>
          </wp:inline>
        </w:drawing>
      </w:r>
      <w:r w:rsidR="008E7081">
        <w:rPr>
          <w:noProof/>
        </w:rPr>
        <w:drawing>
          <wp:inline distT="0" distB="0" distL="0" distR="0" wp14:anchorId="73BC5FA5" wp14:editId="43D1DF76">
            <wp:extent cx="2812488" cy="2749337"/>
            <wp:effectExtent l="0" t="0" r="6985" b="0"/>
            <wp:docPr id="78307944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41013" cy="2777221"/>
                    </a:xfrm>
                    <a:prstGeom prst="rect">
                      <a:avLst/>
                    </a:prstGeom>
                    <a:noFill/>
                    <a:ln>
                      <a:noFill/>
                    </a:ln>
                  </pic:spPr>
                </pic:pic>
              </a:graphicData>
            </a:graphic>
          </wp:inline>
        </w:drawing>
      </w:r>
      <w:r w:rsidR="008E7081">
        <w:rPr>
          <w:noProof/>
        </w:rPr>
        <w:drawing>
          <wp:inline distT="0" distB="0" distL="0" distR="0" wp14:anchorId="1AA53BA7" wp14:editId="0FD6F06B">
            <wp:extent cx="2795372" cy="1974088"/>
            <wp:effectExtent l="0" t="0" r="5080" b="7620"/>
            <wp:docPr id="183672356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06166" cy="1981711"/>
                    </a:xfrm>
                    <a:prstGeom prst="rect">
                      <a:avLst/>
                    </a:prstGeom>
                    <a:noFill/>
                    <a:ln>
                      <a:noFill/>
                    </a:ln>
                  </pic:spPr>
                </pic:pic>
              </a:graphicData>
            </a:graphic>
          </wp:inline>
        </w:drawing>
      </w:r>
    </w:p>
    <w:p w14:paraId="0F373D91" w14:textId="2EA09946" w:rsidR="008E7081" w:rsidRDefault="008E7081" w:rsidP="00536037">
      <w:pPr>
        <w:jc w:val="both"/>
      </w:pPr>
      <w:r>
        <w:rPr>
          <w:b/>
          <w:bCs/>
        </w:rPr>
        <w:t>Fig. 6 (A)</w:t>
      </w:r>
      <w:r>
        <w:t xml:space="preserve">CQ significantly disrupted </w:t>
      </w:r>
      <w:r>
        <w:rPr>
          <w:lang w:val="el-GR"/>
        </w:rPr>
        <w:t>ΔΨ</w:t>
      </w:r>
      <w:r>
        <w:rPr>
          <w:lang w:val="en-US"/>
        </w:rPr>
        <w:t>m</w:t>
      </w:r>
      <w:r>
        <w:t xml:space="preserve"> in DL cells after 24 h incubation with several doses</w:t>
      </w:r>
      <w:r>
        <w:rPr>
          <w:b/>
          <w:bCs/>
        </w:rPr>
        <w:t xml:space="preserve">. </w:t>
      </w:r>
      <w:r>
        <w:t>CQ-treated cells stained with JC-1 dye showed decreased red fluorescence intensity compared to the control under the Confocal microscope at 40X magnification.</w:t>
      </w:r>
      <w:r>
        <w:rPr>
          <w:b/>
          <w:bCs/>
        </w:rPr>
        <w:t xml:space="preserve"> (B)</w:t>
      </w:r>
      <w:r>
        <w:rPr>
          <w:b/>
          <w:bCs/>
          <w:lang w:val="en-US"/>
        </w:rPr>
        <w:t xml:space="preserve"> </w:t>
      </w:r>
      <w:r>
        <w:rPr>
          <w:lang w:val="en-US"/>
        </w:rPr>
        <w:t>Loss of mitochondrial membrane potential was examined in DL cells by JC-1 dye using flow cytometry</w:t>
      </w:r>
      <w:r>
        <w:rPr>
          <w:b/>
          <w:bCs/>
          <w:lang w:val="en-US"/>
        </w:rPr>
        <w:t xml:space="preserve">. (C) </w:t>
      </w:r>
      <w:r>
        <w:rPr>
          <w:lang w:val="en-US"/>
        </w:rPr>
        <w:t>A histogram represents the disruption of mitochondrial membrane potential in a concentration-dependent manner. **</w:t>
      </w:r>
      <w:r>
        <w:t>*p&lt;0.001 was considered statistically significant vs. Control.</w:t>
      </w:r>
      <w:bookmarkStart w:id="1" w:name="_Hlk182473493"/>
    </w:p>
    <w:p w14:paraId="3C976F9A" w14:textId="77777777" w:rsidR="00536037" w:rsidRPr="00536037" w:rsidRDefault="00536037" w:rsidP="00536037">
      <w:pPr>
        <w:jc w:val="both"/>
      </w:pPr>
    </w:p>
    <w:p w14:paraId="0E938075" w14:textId="069B4F20" w:rsidR="002D796D" w:rsidRDefault="002D796D" w:rsidP="00013268">
      <w:pPr>
        <w:spacing w:line="480" w:lineRule="auto"/>
        <w:jc w:val="both"/>
        <w:rPr>
          <w:rFonts w:cs="Times New Roman"/>
          <w:b/>
          <w:bCs/>
          <w:szCs w:val="24"/>
        </w:rPr>
      </w:pPr>
      <w:r w:rsidRPr="00BA5A85">
        <w:rPr>
          <w:rFonts w:cs="Times New Roman"/>
          <w:b/>
          <w:bCs/>
          <w:szCs w:val="24"/>
        </w:rPr>
        <w:t>Chloroquine induces cell cycle arrest at G2/M phase</w:t>
      </w:r>
    </w:p>
    <w:p w14:paraId="78E82B20" w14:textId="0024017E" w:rsidR="00E6595C" w:rsidRDefault="003F0AFA" w:rsidP="00013268">
      <w:pPr>
        <w:spacing w:line="480" w:lineRule="auto"/>
        <w:jc w:val="both"/>
        <w:rPr>
          <w:rFonts w:cs="Times New Roman"/>
          <w:szCs w:val="24"/>
        </w:rPr>
      </w:pPr>
      <w:r w:rsidRPr="003F0AFA">
        <w:rPr>
          <w:rFonts w:cs="Times New Roman"/>
          <w:szCs w:val="24"/>
        </w:rPr>
        <w:t xml:space="preserve">The impact of chloroquine on the cell cycle distribution of DL cells was assessed using flow cytometry. The untreated control cells exhibited a typical cell cycle profile, predominantly </w:t>
      </w:r>
      <w:r w:rsidRPr="003F0AFA">
        <w:rPr>
          <w:rFonts w:cs="Times New Roman"/>
          <w:szCs w:val="24"/>
        </w:rPr>
        <w:lastRenderedPageBreak/>
        <w:t xml:space="preserve">comprising cells in the G0/G1 phase, </w:t>
      </w:r>
      <w:r>
        <w:rPr>
          <w:rFonts w:cs="Times New Roman"/>
          <w:szCs w:val="24"/>
        </w:rPr>
        <w:t>followed</w:t>
      </w:r>
      <w:r w:rsidRPr="003F0AFA">
        <w:rPr>
          <w:rFonts w:cs="Times New Roman"/>
          <w:szCs w:val="24"/>
        </w:rPr>
        <w:t xml:space="preserve"> by the S and G2/M phases. Treatment with chloroquine led to a dose-dependent increase </w:t>
      </w:r>
      <w:r>
        <w:rPr>
          <w:rFonts w:cs="Times New Roman"/>
          <w:szCs w:val="24"/>
        </w:rPr>
        <w:t>in</w:t>
      </w:r>
      <w:r w:rsidRPr="003F0AFA">
        <w:rPr>
          <w:rFonts w:cs="Times New Roman"/>
          <w:szCs w:val="24"/>
        </w:rPr>
        <w:t xml:space="preserve"> cells in the G2/M phase. A modest elevation in the G2/M population was noted at the 5 µM concentration</w:t>
      </w:r>
      <w:r w:rsidR="006A3A57">
        <w:rPr>
          <w:rFonts w:cs="Times New Roman"/>
          <w:szCs w:val="24"/>
        </w:rPr>
        <w:t xml:space="preserve"> (31.42%)</w:t>
      </w:r>
      <w:r w:rsidRPr="003F0AFA">
        <w:rPr>
          <w:rFonts w:cs="Times New Roman"/>
          <w:szCs w:val="24"/>
        </w:rPr>
        <w:t>. The effect was more prominent at the 10 µM concentration, demonstrating a considerable rise in the percentage of cells stopped in the G2/M phase</w:t>
      </w:r>
      <w:r w:rsidR="006A3A57">
        <w:rPr>
          <w:rFonts w:cs="Times New Roman"/>
          <w:szCs w:val="24"/>
        </w:rPr>
        <w:t xml:space="preserve"> (36.69</w:t>
      </w:r>
      <w:r w:rsidR="00B425E3">
        <w:rPr>
          <w:rFonts w:cs="Times New Roman"/>
          <w:szCs w:val="24"/>
        </w:rPr>
        <w:t>%</w:t>
      </w:r>
      <w:r w:rsidR="006A3A57">
        <w:rPr>
          <w:rFonts w:cs="Times New Roman"/>
          <w:szCs w:val="24"/>
        </w:rPr>
        <w:t>)</w:t>
      </w:r>
      <w:r w:rsidRPr="003F0AFA">
        <w:rPr>
          <w:rFonts w:cs="Times New Roman"/>
          <w:szCs w:val="24"/>
        </w:rPr>
        <w:t>, alongside a corresponding decline in the G0/G1 population</w:t>
      </w:r>
      <w:r w:rsidR="00B425E3">
        <w:rPr>
          <w:rFonts w:cs="Times New Roman"/>
          <w:szCs w:val="24"/>
        </w:rPr>
        <w:t xml:space="preserve"> (35.41%)</w:t>
      </w:r>
      <w:r w:rsidRPr="003F0AFA">
        <w:rPr>
          <w:rFonts w:cs="Times New Roman"/>
          <w:szCs w:val="24"/>
        </w:rPr>
        <w:t>. At a dose of 20 µM, a significant fraction of the cell population</w:t>
      </w:r>
      <w:r w:rsidR="006A3A57">
        <w:rPr>
          <w:rFonts w:cs="Times New Roman"/>
          <w:szCs w:val="24"/>
        </w:rPr>
        <w:t xml:space="preserve"> (42.79%)</w:t>
      </w:r>
      <w:r w:rsidRPr="003F0AFA">
        <w:rPr>
          <w:rFonts w:cs="Times New Roman"/>
          <w:szCs w:val="24"/>
        </w:rPr>
        <w:t xml:space="preserve"> was halted in the G2/M phase, indicating a strong cell cycle arrest at this checkpoint. The results indicate that chloroquine </w:t>
      </w:r>
      <w:r w:rsidR="005679EC" w:rsidRPr="003F0AFA">
        <w:rPr>
          <w:rFonts w:cs="Times New Roman"/>
          <w:szCs w:val="24"/>
        </w:rPr>
        <w:t>obstructs</w:t>
      </w:r>
      <w:r w:rsidRPr="003F0AFA">
        <w:rPr>
          <w:rFonts w:cs="Times New Roman"/>
          <w:szCs w:val="24"/>
        </w:rPr>
        <w:t xml:space="preserve"> normal cell cycle progression in DL cells, causing a G2/M </w:t>
      </w:r>
      <w:r w:rsidR="004C1DC8">
        <w:rPr>
          <w:noProof/>
        </w:rPr>
        <mc:AlternateContent>
          <mc:Choice Requires="wps">
            <w:drawing>
              <wp:anchor distT="0" distB="0" distL="114300" distR="114300" simplePos="0" relativeHeight="251681792" behindDoc="0" locked="0" layoutInCell="1" allowOverlap="1" wp14:anchorId="2D4AFDC0" wp14:editId="2CD35CE4">
                <wp:simplePos x="0" y="0"/>
                <wp:positionH relativeFrom="column">
                  <wp:posOffset>1860550</wp:posOffset>
                </wp:positionH>
                <wp:positionV relativeFrom="paragraph">
                  <wp:posOffset>3063875</wp:posOffset>
                </wp:positionV>
                <wp:extent cx="423447" cy="257750"/>
                <wp:effectExtent l="0" t="0" r="15240" b="28575"/>
                <wp:wrapNone/>
                <wp:docPr id="507853121" name="Rectangle 3"/>
                <wp:cNvGraphicFramePr/>
                <a:graphic xmlns:a="http://schemas.openxmlformats.org/drawingml/2006/main">
                  <a:graphicData uri="http://schemas.microsoft.com/office/word/2010/wordprocessingShape">
                    <wps:wsp>
                      <wps:cNvSpPr/>
                      <wps:spPr>
                        <a:xfrm>
                          <a:off x="0" y="0"/>
                          <a:ext cx="423447" cy="257750"/>
                        </a:xfrm>
                        <a:prstGeom prst="rect">
                          <a:avLst/>
                        </a:prstGeom>
                      </wps:spPr>
                      <wps:style>
                        <a:lnRef idx="2">
                          <a:schemeClr val="accent6"/>
                        </a:lnRef>
                        <a:fillRef idx="1">
                          <a:schemeClr val="lt1"/>
                        </a:fillRef>
                        <a:effectRef idx="0">
                          <a:schemeClr val="accent6"/>
                        </a:effectRef>
                        <a:fontRef idx="minor">
                          <a:schemeClr val="dk1"/>
                        </a:fontRef>
                      </wps:style>
                      <wps:txbx>
                        <w:txbxContent>
                          <w:p w14:paraId="3A7DC472" w14:textId="38E8850C" w:rsidR="006E2125" w:rsidRPr="00D30027" w:rsidRDefault="006E2125" w:rsidP="006E2125">
                            <w:pPr>
                              <w:jc w:val="center"/>
                              <w:rPr>
                                <w:b/>
                                <w:bCs/>
                              </w:rPr>
                            </w:pPr>
                            <w:r>
                              <w:rPr>
                                <w:b/>
                                <w:bCs/>
                              </w:rPr>
                              <w:t>7</w:t>
                            </w:r>
                            <w:r w:rsidRPr="00D30027">
                              <w:rPr>
                                <w:b/>
                                <w:bCs/>
                              </w:rPr>
                              <w:t xml:space="preserve"> </w:t>
                            </w:r>
                            <w:r w:rsidR="004C1DC8">
                              <w:rPr>
                                <w:b/>
                                <w:bCs/>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D4AFDC0" id="_x0000_s1037" style="position:absolute;left:0;text-align:left;margin-left:146.5pt;margin-top:241.25pt;width:33.35pt;height:20.3pt;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HJjWAIAAP4EAAAOAAAAZHJzL2Uyb0RvYy54bWysVFFv2jAQfp+0/2D5fQQYlA01VIiq0yTU&#10;orVTn41jl2iOzzsbEvbrd3ZC6Dqepr04Pt99d77z9+X6pqkMOyj0JdicjwZDzpSVUJT2Jeffn+4+&#10;fOLMB2ELYcCqnB+V5zeL9++uazdXY9iBKRQySmL9vHY534Xg5lnm5U5Vwg/AKUtODViJQCa+ZAWK&#10;mrJXJhsPh1dZDVg4BKm8p9Pb1skXKb/WSoYHrb0KzOSc7hbSimndxjVbXIv5Cwq3K2V3DfEPt6hE&#10;aalon+pWBMH2WP6VqiolggcdBhKqDLQupUo9UDej4ZtuHnfCqdQLDce7fkz+/6WV94dHt0EaQ+38&#10;3NM2dtForOKX7seaNKxjPyzVBCbpcDL+OJnMOJPkGk9ns2kaZnYGO/Thi4KKxU3Okd4ijUgc1j5Q&#10;QQo9hZBxLp924WhUvIGx35RmZUEFxwmdmKFWBtlB0JsKKZUNV/EdKV+KjjBdGtMDR5eAJow6UBcb&#10;YSoxpgcOLwH/rNgjUlWwoQdXpQW8lKD40Vdu40/dtz3H9kOzbahpElQKjUdbKI4bZAgthb2TdyXN&#10;dS182AgkzhK7SYfhgRZtoM45dDvOdoC/Lp3HeKISeTmrSQM59z/3AhVn5qslkn0eTSZRNMmYTGdj&#10;MvC1Z/vaY/fVCuhJRqR4J9M2xgdz2mqE6pnkuoxVySWspNo5lwFPxiq02iTBS7VcpjASihNhbR+d&#10;jMnjoCNvnppnga4jVyBW3sNJL2L+hmNtbERaWO4D6DIR8DzX7glIZIlH3Q8hqvi1naLOv63FbwAA&#10;AP//AwBQSwMEFAAGAAgAAAAhALKks6HgAAAACwEAAA8AAABkcnMvZG93bnJldi54bWxMj81OwzAQ&#10;hO9IvIO1SNyo80OgCdlUBVS4Qlvg6sZLEhGvo9hpw9tjTnAczWjmm3I1m14caXSdZYR4EYEgrq3u&#10;uEHY7zZXSxDOK9aqt0wI3+RgVZ2flarQ9sSvdNz6RoQSdoVCaL0fCild3ZJRbmEH4uB92tEoH+TY&#10;SD2qUyg3vUyi6EYa1XFYaNVADy3VX9vJIEz10/1HM6xfHjcpP0sb5+btXSNeXszrOxCeZv8Xhl/8&#10;gA5VYDrYibUTPUKSp+GLR7heJhmIkEiz/BbEASFL0hhkVcr/H6ofAAAA//8DAFBLAQItABQABgAI&#10;AAAAIQC2gziS/gAAAOEBAAATAAAAAAAAAAAAAAAAAAAAAABbQ29udGVudF9UeXBlc10ueG1sUEsB&#10;Ai0AFAAGAAgAAAAhADj9If/WAAAAlAEAAAsAAAAAAAAAAAAAAAAALwEAAF9yZWxzLy5yZWxzUEsB&#10;Ai0AFAAGAAgAAAAhAPQgcmNYAgAA/gQAAA4AAAAAAAAAAAAAAAAALgIAAGRycy9lMm9Eb2MueG1s&#10;UEsBAi0AFAAGAAgAAAAhALKks6HgAAAACwEAAA8AAAAAAAAAAAAAAAAAsgQAAGRycy9kb3ducmV2&#10;LnhtbFBLBQYAAAAABAAEAPMAAAC/BQAAAAA=&#10;" fillcolor="white [3201]" strokecolor="#70ad47 [3209]" strokeweight="1pt">
                <v:textbox>
                  <w:txbxContent>
                    <w:p w14:paraId="3A7DC472" w14:textId="38E8850C" w:rsidR="006E2125" w:rsidRPr="00D30027" w:rsidRDefault="006E2125" w:rsidP="006E2125">
                      <w:pPr>
                        <w:jc w:val="center"/>
                        <w:rPr>
                          <w:b/>
                          <w:bCs/>
                        </w:rPr>
                      </w:pPr>
                      <w:r>
                        <w:rPr>
                          <w:b/>
                          <w:bCs/>
                        </w:rPr>
                        <w:t>7</w:t>
                      </w:r>
                      <w:r w:rsidRPr="00D30027">
                        <w:rPr>
                          <w:b/>
                          <w:bCs/>
                        </w:rPr>
                        <w:t xml:space="preserve"> </w:t>
                      </w:r>
                      <w:r w:rsidR="004C1DC8">
                        <w:rPr>
                          <w:b/>
                          <w:bCs/>
                        </w:rPr>
                        <w:t>A</w:t>
                      </w:r>
                    </w:p>
                  </w:txbxContent>
                </v:textbox>
              </v:rect>
            </w:pict>
          </mc:Fallback>
        </mc:AlternateContent>
      </w:r>
      <w:r w:rsidRPr="003F0AFA">
        <w:rPr>
          <w:rFonts w:cs="Times New Roman"/>
          <w:szCs w:val="24"/>
        </w:rPr>
        <w:t>phase arrest in a dose-dependent manner</w:t>
      </w:r>
      <w:r w:rsidR="00D26558">
        <w:rPr>
          <w:rFonts w:cs="Times New Roman"/>
          <w:szCs w:val="24"/>
        </w:rPr>
        <w:t xml:space="preserve">, as shown in </w:t>
      </w:r>
      <w:r w:rsidR="00D26558" w:rsidRPr="00D26558">
        <w:rPr>
          <w:rFonts w:cs="Times New Roman"/>
          <w:b/>
          <w:bCs/>
          <w:szCs w:val="24"/>
        </w:rPr>
        <w:t>Fig. 7</w:t>
      </w:r>
      <w:r w:rsidRPr="003F0AFA">
        <w:rPr>
          <w:rFonts w:cs="Times New Roman"/>
          <w:szCs w:val="24"/>
        </w:rPr>
        <w:t>.</w:t>
      </w:r>
    </w:p>
    <w:p w14:paraId="13C536E0" w14:textId="7AE6B7BF" w:rsidR="008E7081" w:rsidRDefault="006E2125" w:rsidP="00013268">
      <w:pPr>
        <w:spacing w:line="480" w:lineRule="auto"/>
        <w:jc w:val="both"/>
        <w:rPr>
          <w:rFonts w:cs="Times New Roman"/>
          <w:szCs w:val="24"/>
        </w:rPr>
      </w:pPr>
      <w:r>
        <w:rPr>
          <w:noProof/>
        </w:rPr>
        <w:drawing>
          <wp:inline distT="0" distB="0" distL="0" distR="0" wp14:anchorId="3EE508F0" wp14:editId="03D1C667">
            <wp:extent cx="3767229" cy="2755474"/>
            <wp:effectExtent l="0" t="0" r="5080" b="6985"/>
            <wp:docPr id="15805755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40745" cy="2809246"/>
                    </a:xfrm>
                    <a:prstGeom prst="rect">
                      <a:avLst/>
                    </a:prstGeom>
                    <a:noFill/>
                    <a:ln>
                      <a:noFill/>
                    </a:ln>
                  </pic:spPr>
                </pic:pic>
              </a:graphicData>
            </a:graphic>
          </wp:inline>
        </w:drawing>
      </w:r>
    </w:p>
    <w:p w14:paraId="41C4FED5" w14:textId="3C8B19F4" w:rsidR="006E2125" w:rsidRDefault="004C1DC8" w:rsidP="00013268">
      <w:pPr>
        <w:spacing w:line="480" w:lineRule="auto"/>
        <w:jc w:val="both"/>
        <w:rPr>
          <w:rFonts w:cs="Times New Roman"/>
          <w:szCs w:val="24"/>
        </w:rPr>
      </w:pPr>
      <w:r>
        <w:rPr>
          <w:noProof/>
        </w:rPr>
        <mc:AlternateContent>
          <mc:Choice Requires="wps">
            <w:drawing>
              <wp:anchor distT="0" distB="0" distL="114300" distR="114300" simplePos="0" relativeHeight="251683840" behindDoc="0" locked="0" layoutInCell="1" allowOverlap="1" wp14:anchorId="3E2F1E10" wp14:editId="0AD549B5">
                <wp:simplePos x="0" y="0"/>
                <wp:positionH relativeFrom="column">
                  <wp:posOffset>1510665</wp:posOffset>
                </wp:positionH>
                <wp:positionV relativeFrom="paragraph">
                  <wp:posOffset>459105</wp:posOffset>
                </wp:positionV>
                <wp:extent cx="423447" cy="257750"/>
                <wp:effectExtent l="0" t="0" r="15240" b="28575"/>
                <wp:wrapNone/>
                <wp:docPr id="933023966" name="Rectangle 3"/>
                <wp:cNvGraphicFramePr/>
                <a:graphic xmlns:a="http://schemas.openxmlformats.org/drawingml/2006/main">
                  <a:graphicData uri="http://schemas.microsoft.com/office/word/2010/wordprocessingShape">
                    <wps:wsp>
                      <wps:cNvSpPr/>
                      <wps:spPr>
                        <a:xfrm>
                          <a:off x="0" y="0"/>
                          <a:ext cx="423447" cy="257750"/>
                        </a:xfrm>
                        <a:prstGeom prst="rect">
                          <a:avLst/>
                        </a:prstGeom>
                      </wps:spPr>
                      <wps:style>
                        <a:lnRef idx="2">
                          <a:schemeClr val="accent6"/>
                        </a:lnRef>
                        <a:fillRef idx="1">
                          <a:schemeClr val="lt1"/>
                        </a:fillRef>
                        <a:effectRef idx="0">
                          <a:schemeClr val="accent6"/>
                        </a:effectRef>
                        <a:fontRef idx="minor">
                          <a:schemeClr val="dk1"/>
                        </a:fontRef>
                      </wps:style>
                      <wps:txbx>
                        <w:txbxContent>
                          <w:p w14:paraId="41D07792" w14:textId="7543B28F" w:rsidR="006E2125" w:rsidRPr="00D30027" w:rsidRDefault="006E2125" w:rsidP="006E2125">
                            <w:pPr>
                              <w:jc w:val="center"/>
                              <w:rPr>
                                <w:b/>
                                <w:bCs/>
                              </w:rPr>
                            </w:pPr>
                            <w:r>
                              <w:rPr>
                                <w:b/>
                                <w:bCs/>
                              </w:rPr>
                              <w:t>7</w:t>
                            </w:r>
                            <w:r w:rsidRPr="00D30027">
                              <w:rPr>
                                <w:b/>
                                <w:bCs/>
                              </w:rPr>
                              <w:t xml:space="preserve"> </w:t>
                            </w:r>
                            <w:r>
                              <w:rPr>
                                <w:b/>
                                <w:bCs/>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E2F1E10" id="_x0000_s1038" style="position:absolute;left:0;text-align:left;margin-left:118.95pt;margin-top:36.15pt;width:33.35pt;height:20.3pt;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VsuVwIAAP4EAAAOAAAAZHJzL2Uyb0RvYy54bWysVN9v2jAQfp+0/8Hy+xrIoGyooUKtOk1C&#10;LRqd+mwcu0RzfN7ZkLC/fmcTAut4mvbi3Pl+n78vN7dtbdhOoa/AFnx4NeBMWQllZV8L/v354cMn&#10;znwQthQGrCr4Xnl+O3v/7qZxU5XDBkypkFES66eNK/gmBDfNMi83qhb+CpyyZNSAtQik4mtWomgo&#10;e22yfDC4zhrA0iFI5T3d3h+MfJbya61keNLaq8BMwam3kE5M5zqe2exGTF9RuE0luzbEP3RRi8pS&#10;0T7VvQiCbbH6K1VdSQQPOlxJqDPQupIqzUDTDAdvpllthFNpFlqOd/2a/P9LKx93K7dEWkPj/NST&#10;GKdoNdbxS/2xNi1r3y9LtYFJuhzlH0ejCWeSTPl4MhmnZWanYIc+fFFQsygUHOkt0orEbuEDFSTX&#10;owspp/JJCnujYgfGflOaVSUVzFN0Qoa6M8h2gt5USKlsuI7vSPmSdwzTlTF94PBSoAnDLqjzjWEq&#10;IaYPHFwK/LNiH5Gqgg19cF1ZwEsJyh995YP/cfrDzHH80K5bGpoIlccm49Uayv0SGcIBwt7Jh4r2&#10;uhA+LAUSZgndxMPwRIc20BQcOomzDeCvS/fRn6BEVs4a4kDB/c+tQMWZ+WoJZJ+Ho1EkTVJG40lO&#10;Cp5b1ucWu63vgJ5kSIx3MonRP5ijqBHqF6LrPFYlk7CSahdcBjwqd+HATSK8VPN5ciOiOBEWduVk&#10;TB4XHXHz3L4IdB24AqHyEY58EdM3GDv4xkgL820AXSUAnvbaPQGRLOGo+yFEFp/ryev025r9BgAA&#10;//8DAFBLAwQUAAYACAAAACEAtNsvHt4AAAAKAQAADwAAAGRycy9kb3ducmV2LnhtbEyPy07DMBBF&#10;90j9B2sqsaPOA7UkxKlaUGFbymvrxkMSNR5HsdOGv2dYwXJ0j+49U6wn24kzDr51pCBeRCCQKmda&#10;qhW8ve5u7kD4oMnozhEq+EYP63J2VejcuAu94PkQasEl5HOtoAmhz6X0VYNW+4XrkTj7coPVgc+h&#10;lmbQFy63nUyiaCmtbokXGt3jQ4PV6TBaBWP1tP2s+83+cZfSs3RxZt8/jFLX82lzDyLgFP5g+NVn&#10;dSjZ6ehGMl50CpJ0lTGqYJWkIBhIo9sliCOTcZKBLAv5/4XyBwAA//8DAFBLAQItABQABgAIAAAA&#10;IQC2gziS/gAAAOEBAAATAAAAAAAAAAAAAAAAAAAAAABbQ29udGVudF9UeXBlc10ueG1sUEsBAi0A&#10;FAAGAAgAAAAhADj9If/WAAAAlAEAAAsAAAAAAAAAAAAAAAAALwEAAF9yZWxzLy5yZWxzUEsBAi0A&#10;FAAGAAgAAAAhAM+BWy5XAgAA/gQAAA4AAAAAAAAAAAAAAAAALgIAAGRycy9lMm9Eb2MueG1sUEsB&#10;Ai0AFAAGAAgAAAAhALTbLx7eAAAACgEAAA8AAAAAAAAAAAAAAAAAsQQAAGRycy9kb3ducmV2Lnht&#10;bFBLBQYAAAAABAAEAPMAAAC8BQAAAAA=&#10;" fillcolor="white [3201]" strokecolor="#70ad47 [3209]" strokeweight="1pt">
                <v:textbox>
                  <w:txbxContent>
                    <w:p w14:paraId="41D07792" w14:textId="7543B28F" w:rsidR="006E2125" w:rsidRPr="00D30027" w:rsidRDefault="006E2125" w:rsidP="006E2125">
                      <w:pPr>
                        <w:jc w:val="center"/>
                        <w:rPr>
                          <w:b/>
                          <w:bCs/>
                        </w:rPr>
                      </w:pPr>
                      <w:r>
                        <w:rPr>
                          <w:b/>
                          <w:bCs/>
                        </w:rPr>
                        <w:t>7</w:t>
                      </w:r>
                      <w:r w:rsidRPr="00D30027">
                        <w:rPr>
                          <w:b/>
                          <w:bCs/>
                        </w:rPr>
                        <w:t xml:space="preserve"> </w:t>
                      </w:r>
                      <w:r>
                        <w:rPr>
                          <w:b/>
                          <w:bCs/>
                        </w:rPr>
                        <w:t>B</w:t>
                      </w:r>
                    </w:p>
                  </w:txbxContent>
                </v:textbox>
              </v:rect>
            </w:pict>
          </mc:Fallback>
        </mc:AlternateContent>
      </w:r>
      <w:r w:rsidR="006E2125">
        <w:rPr>
          <w:noProof/>
        </w:rPr>
        <w:drawing>
          <wp:inline distT="0" distB="0" distL="0" distR="0" wp14:anchorId="059B32A6" wp14:editId="70AC7844">
            <wp:extent cx="3428999" cy="2286000"/>
            <wp:effectExtent l="0" t="0" r="635" b="0"/>
            <wp:docPr id="113497748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445183" cy="2296789"/>
                    </a:xfrm>
                    <a:prstGeom prst="rect">
                      <a:avLst/>
                    </a:prstGeom>
                    <a:noFill/>
                    <a:ln>
                      <a:noFill/>
                    </a:ln>
                  </pic:spPr>
                </pic:pic>
              </a:graphicData>
            </a:graphic>
          </wp:inline>
        </w:drawing>
      </w:r>
    </w:p>
    <w:p w14:paraId="390C1E3E" w14:textId="51E655F3" w:rsidR="000B4F17" w:rsidRDefault="000B4F17" w:rsidP="004C3309">
      <w:pPr>
        <w:jc w:val="both"/>
      </w:pPr>
      <w:r>
        <w:rPr>
          <w:b/>
          <w:bCs/>
          <w:lang w:val="en-US"/>
        </w:rPr>
        <w:lastRenderedPageBreak/>
        <w:t xml:space="preserve">Fig.7 </w:t>
      </w:r>
      <w:r>
        <w:t xml:space="preserve">Cell cycle analysis of DL cells labelled with PI dye after treatment with CQ for 24 h. </w:t>
      </w:r>
      <w:r>
        <w:rPr>
          <w:b/>
          <w:bCs/>
        </w:rPr>
        <w:t xml:space="preserve">(A) </w:t>
      </w:r>
      <w:r>
        <w:rPr>
          <w:lang w:val="en-US"/>
        </w:rPr>
        <w:t xml:space="preserve">Flow cytometry analysis showed a consistent rise in the % of cells in the G2/M phase of the cell cycle. </w:t>
      </w:r>
      <w:r>
        <w:rPr>
          <w:b/>
          <w:bCs/>
          <w:lang w:val="en-US"/>
        </w:rPr>
        <w:t xml:space="preserve">(B) </w:t>
      </w:r>
      <w:r>
        <w:rPr>
          <w:lang w:val="en-US"/>
        </w:rPr>
        <w:t xml:space="preserve"> A histogram represents the percentage of the cell population in a concentration-dependent manner. </w:t>
      </w:r>
      <w:r>
        <w:t xml:space="preserve">**p &lt; 0.01 and </w:t>
      </w:r>
      <w:r>
        <w:rPr>
          <w:lang w:val="en-US"/>
        </w:rPr>
        <w:t>**</w:t>
      </w:r>
      <w:r>
        <w:t>*p&lt;0.001 were considered statistically significant vs. Control.</w:t>
      </w:r>
    </w:p>
    <w:p w14:paraId="114FA595" w14:textId="77777777" w:rsidR="004C3309" w:rsidRPr="004C3309" w:rsidRDefault="004C3309" w:rsidP="004C3309">
      <w:pPr>
        <w:jc w:val="both"/>
      </w:pPr>
    </w:p>
    <w:p w14:paraId="24AE06D2" w14:textId="3A39089C" w:rsidR="004646CC" w:rsidRPr="004646CC" w:rsidRDefault="004646CC" w:rsidP="00013268">
      <w:pPr>
        <w:spacing w:line="480" w:lineRule="auto"/>
        <w:jc w:val="both"/>
        <w:rPr>
          <w:rFonts w:cs="Times New Roman"/>
          <w:b/>
          <w:bCs/>
          <w:szCs w:val="24"/>
        </w:rPr>
      </w:pPr>
      <w:r w:rsidRPr="004646CC">
        <w:rPr>
          <w:rFonts w:cs="Times New Roman"/>
          <w:b/>
          <w:bCs/>
          <w:szCs w:val="24"/>
        </w:rPr>
        <w:t>Chloroquine Regulates Apoptotic Protein Expression to Trigger Mitochondrial Apoptosis</w:t>
      </w:r>
    </w:p>
    <w:p w14:paraId="4E8F0946" w14:textId="5FEDC18B" w:rsidR="00BA5A85" w:rsidRDefault="004C1DC8" w:rsidP="00013268">
      <w:pPr>
        <w:spacing w:line="480" w:lineRule="auto"/>
        <w:jc w:val="both"/>
        <w:rPr>
          <w:rFonts w:cs="Times New Roman"/>
          <w:szCs w:val="24"/>
        </w:rPr>
      </w:pPr>
      <w:r>
        <w:rPr>
          <w:noProof/>
        </w:rPr>
        <mc:AlternateContent>
          <mc:Choice Requires="wps">
            <w:drawing>
              <wp:anchor distT="0" distB="0" distL="114300" distR="114300" simplePos="0" relativeHeight="251687936" behindDoc="0" locked="0" layoutInCell="1" allowOverlap="1" wp14:anchorId="69EFFA1C" wp14:editId="2C0D8473">
                <wp:simplePos x="0" y="0"/>
                <wp:positionH relativeFrom="column">
                  <wp:posOffset>3666490</wp:posOffset>
                </wp:positionH>
                <wp:positionV relativeFrom="paragraph">
                  <wp:posOffset>3852545</wp:posOffset>
                </wp:positionV>
                <wp:extent cx="423447" cy="257750"/>
                <wp:effectExtent l="0" t="0" r="15240" b="28575"/>
                <wp:wrapNone/>
                <wp:docPr id="551871514" name="Rectangle 3"/>
                <wp:cNvGraphicFramePr/>
                <a:graphic xmlns:a="http://schemas.openxmlformats.org/drawingml/2006/main">
                  <a:graphicData uri="http://schemas.microsoft.com/office/word/2010/wordprocessingShape">
                    <wps:wsp>
                      <wps:cNvSpPr/>
                      <wps:spPr>
                        <a:xfrm>
                          <a:off x="0" y="0"/>
                          <a:ext cx="423447" cy="257750"/>
                        </a:xfrm>
                        <a:prstGeom prst="rect">
                          <a:avLst/>
                        </a:prstGeom>
                      </wps:spPr>
                      <wps:style>
                        <a:lnRef idx="2">
                          <a:schemeClr val="accent6"/>
                        </a:lnRef>
                        <a:fillRef idx="1">
                          <a:schemeClr val="lt1"/>
                        </a:fillRef>
                        <a:effectRef idx="0">
                          <a:schemeClr val="accent6"/>
                        </a:effectRef>
                        <a:fontRef idx="minor">
                          <a:schemeClr val="dk1"/>
                        </a:fontRef>
                      </wps:style>
                      <wps:txbx>
                        <w:txbxContent>
                          <w:p w14:paraId="0EB0CB0F" w14:textId="46C865FB" w:rsidR="004761EA" w:rsidRPr="00D30027" w:rsidRDefault="004761EA" w:rsidP="004761EA">
                            <w:pPr>
                              <w:jc w:val="center"/>
                              <w:rPr>
                                <w:b/>
                                <w:bCs/>
                              </w:rPr>
                            </w:pPr>
                            <w:r>
                              <w:rPr>
                                <w:b/>
                                <w:bCs/>
                              </w:rPr>
                              <w:t>8</w:t>
                            </w:r>
                            <w:r w:rsidRPr="00D30027">
                              <w:rPr>
                                <w:b/>
                                <w:bCs/>
                              </w:rPr>
                              <w:t xml:space="preserve"> </w:t>
                            </w:r>
                            <w:r>
                              <w:rPr>
                                <w:b/>
                                <w:bCs/>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9EFFA1C" id="_x0000_s1039" style="position:absolute;left:0;text-align:left;margin-left:288.7pt;margin-top:303.35pt;width:33.35pt;height:20.3pt;z-index:25168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5OjVwIAAP4EAAAOAAAAZHJzL2Uyb0RvYy54bWysVN9v2jAQfp+0/8Hy+whQKBsiVIiq06Sq&#10;rUqnPhvHhmiOzzsbEvbX72xC6Dqepr04d77f5+/L7KapDNsr9CXYnA96fc6UlVCUdpPz7y93nz5z&#10;5oOwhTBgVc4PyvOb+ccPs9pN1RC2YAqFjJJYP61dzrchuGmWeblVlfA9cMqSUQNWIpCKm6xAUVP2&#10;ymTDfv86qwELhyCV93R7ezTyecqvtZLhUWuvAjM5p95COjGd63hm85mYblC4bSnbNsQ/dFGJ0lLR&#10;LtWtCILtsPwrVVVKBA869CRUGWhdSpVmoGkG/XfTrLbCqTQLLce7bk3+/6WVD/uVe0JaQ+381JMY&#10;p2g0VvFL/bEmLevQLUs1gUm6HA2vRqMJZ5JMw/FkMk7LzM7BDn34qqBiUcg50lukFYn9vQ9UkFxP&#10;LqScyycpHIyKHRj7rDQrCyo4TNEJGWppkO0FvamQUtlwHd+R8iXvGKZLY7rAwaVAEwZtUOsbw1RC&#10;TBfYvxT4Z8UuIlUFG7rgqrSAlxIUP7rKR//T9MeZ4/ihWTc0NBHqKjYZr9ZQHJ6QIRwh7J28K2mv&#10;98KHJ4GEWUI38TA80qEN1DmHVuJsC/jr0n30JyiRlbOaOJBz/3MnUHFmvlkC2ZfBaBRJk5TReDIk&#10;Bd9a1m8tdlctgZ5kQIx3MonRP5iTqBGqV6LrIlYlk7CSaudcBjwpy3DkJhFeqsUiuRFRnAj3duVk&#10;TB4XHXHz0rwKdC24AqHyAU58EdN3GDv6xkgLi10AXSYAnvfaPgGRLOGo/SFEFr/Vk9f5tzX/DQAA&#10;//8DAFBLAwQUAAYACAAAACEAIhFOJN8AAAALAQAADwAAAGRycy9kb3ducmV2LnhtbEyPwU7DMAyG&#10;70i8Q2QkbiwtKy10TacBGlxhsHH1Gq+taJyqSbfy9mQnuNnyp9/fXywn04kjDa61rCCeRSCIK6tb&#10;rhV8fqxv7kE4j6yxs0wKfsjBsry8KDDX9sTvdNz4WoQQdjkqaLzvcyld1ZBBN7M9cbgd7GDQh3Wo&#10;pR7wFMJNJ2+jKJUGWw4fGuzpqaHqezMaBWP18vhV96u35/WcX6WNH8x2p5W6vppWCxCeJv8Hw1k/&#10;qEMZnPZ2ZO1Ep+Auy5KAKkijNAMRiDRJYhD785DNQZaF/N+h/AUAAP//AwBQSwECLQAUAAYACAAA&#10;ACEAtoM4kv4AAADhAQAAEwAAAAAAAAAAAAAAAAAAAAAAW0NvbnRlbnRfVHlwZXNdLnhtbFBLAQIt&#10;ABQABgAIAAAAIQA4/SH/1gAAAJQBAAALAAAAAAAAAAAAAAAAAC8BAABfcmVscy8ucmVsc1BLAQIt&#10;ABQABgAIAAAAIQAZ45OjVwIAAP4EAAAOAAAAAAAAAAAAAAAAAC4CAABkcnMvZTJvRG9jLnhtbFBL&#10;AQItABQABgAIAAAAIQAiEU4k3wAAAAsBAAAPAAAAAAAAAAAAAAAAALEEAABkcnMvZG93bnJldi54&#10;bWxQSwUGAAAAAAQABADzAAAAvQUAAAAA&#10;" fillcolor="white [3201]" strokecolor="#70ad47 [3209]" strokeweight="1pt">
                <v:textbox>
                  <w:txbxContent>
                    <w:p w14:paraId="0EB0CB0F" w14:textId="46C865FB" w:rsidR="004761EA" w:rsidRPr="00D30027" w:rsidRDefault="004761EA" w:rsidP="004761EA">
                      <w:pPr>
                        <w:jc w:val="center"/>
                        <w:rPr>
                          <w:b/>
                          <w:bCs/>
                        </w:rPr>
                      </w:pPr>
                      <w:r>
                        <w:rPr>
                          <w:b/>
                          <w:bCs/>
                        </w:rPr>
                        <w:t>8</w:t>
                      </w:r>
                      <w:r w:rsidRPr="00D30027">
                        <w:rPr>
                          <w:b/>
                          <w:bCs/>
                        </w:rPr>
                        <w:t xml:space="preserve"> </w:t>
                      </w:r>
                      <w:r>
                        <w:rPr>
                          <w:b/>
                          <w:bCs/>
                        </w:rPr>
                        <w:t>B</w:t>
                      </w:r>
                    </w:p>
                  </w:txbxContent>
                </v:textbox>
              </v:rect>
            </w:pict>
          </mc:Fallback>
        </mc:AlternateContent>
      </w:r>
      <w:r>
        <w:rPr>
          <w:noProof/>
        </w:rPr>
        <mc:AlternateContent>
          <mc:Choice Requires="wps">
            <w:drawing>
              <wp:anchor distT="0" distB="0" distL="114300" distR="114300" simplePos="0" relativeHeight="251685888" behindDoc="0" locked="0" layoutInCell="1" allowOverlap="1" wp14:anchorId="549273B1" wp14:editId="768CA8FE">
                <wp:simplePos x="0" y="0"/>
                <wp:positionH relativeFrom="column">
                  <wp:posOffset>1000760</wp:posOffset>
                </wp:positionH>
                <wp:positionV relativeFrom="paragraph">
                  <wp:posOffset>3900805</wp:posOffset>
                </wp:positionV>
                <wp:extent cx="422910" cy="313055"/>
                <wp:effectExtent l="0" t="0" r="15240" b="10795"/>
                <wp:wrapNone/>
                <wp:docPr id="88001948" name="Rectangle 3"/>
                <wp:cNvGraphicFramePr/>
                <a:graphic xmlns:a="http://schemas.openxmlformats.org/drawingml/2006/main">
                  <a:graphicData uri="http://schemas.microsoft.com/office/word/2010/wordprocessingShape">
                    <wps:wsp>
                      <wps:cNvSpPr/>
                      <wps:spPr>
                        <a:xfrm>
                          <a:off x="0" y="0"/>
                          <a:ext cx="422910" cy="313055"/>
                        </a:xfrm>
                        <a:prstGeom prst="rect">
                          <a:avLst/>
                        </a:prstGeom>
                      </wps:spPr>
                      <wps:style>
                        <a:lnRef idx="2">
                          <a:schemeClr val="accent6"/>
                        </a:lnRef>
                        <a:fillRef idx="1">
                          <a:schemeClr val="lt1"/>
                        </a:fillRef>
                        <a:effectRef idx="0">
                          <a:schemeClr val="accent6"/>
                        </a:effectRef>
                        <a:fontRef idx="minor">
                          <a:schemeClr val="dk1"/>
                        </a:fontRef>
                      </wps:style>
                      <wps:txbx>
                        <w:txbxContent>
                          <w:p w14:paraId="4D4AF804" w14:textId="0DA4CF21" w:rsidR="004761EA" w:rsidRPr="00D30027" w:rsidRDefault="004761EA" w:rsidP="004761EA">
                            <w:pPr>
                              <w:jc w:val="center"/>
                              <w:rPr>
                                <w:b/>
                                <w:bCs/>
                              </w:rPr>
                            </w:pPr>
                            <w:r>
                              <w:rPr>
                                <w:b/>
                                <w:bCs/>
                              </w:rPr>
                              <w:t>8</w:t>
                            </w:r>
                            <w:r w:rsidRPr="00D30027">
                              <w:rPr>
                                <w:b/>
                                <w:bCs/>
                              </w:rPr>
                              <w:t xml:space="preserve"> </w:t>
                            </w:r>
                            <w:r>
                              <w:rPr>
                                <w:b/>
                                <w:bCs/>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9273B1" id="_x0000_s1040" style="position:absolute;left:0;text-align:left;margin-left:78.8pt;margin-top:307.15pt;width:33.3pt;height:24.6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4zgVgIAAP4EAAAOAAAAZHJzL2Uyb0RvYy54bWysVF1P2zAUfZ+0/2D5fU1TChsVKaqKmCYh&#10;qICJZ9exaTTH17t2m3S/ftdOmjLWp2kvju17z/3yObm6bmvDdgp9Bbbg+WjMmbISysq+Fvz78+2n&#10;L5z5IGwpDFhV8L3y/Hr+8cNV42ZqAhswpUJGQayfNa7gmxDcLMu83Kha+BE4ZcmoAWsR6IivWYmi&#10;oei1ySbj8UXWAJYOQSrv6famM/J5iq+1kuFBa68CMwWn2kJaMa3ruGbzKzF7ReE2lezLEP9QRS0q&#10;S0mHUDciCLbF6q9QdSURPOgwklBnoHUlVeqBusnH77p52ginUi80HO+GMfn/F1be757cCmkMjfMz&#10;T9vYRauxjl+qj7VpWPthWKoNTNLldDK5zGmkkkxn+dn4/DwOMzuCHfrwVUHN4qbgSG+RRiR2dz50&#10;rgcXwh3Tp13YGxUrMPZRaVaVlHCS0IkZammQ7QS9qZBS2XDRp07eEaYrYwZgfgpoQt6Det8IU4kx&#10;A3B8CvhnxgGRsoINA7iuLOCpAOWPIXPnf+i+6zm2H9p1S02ToKaxyHi1hnK/QobQUdg7eVvRXO+E&#10;DyuBxFl6CtJheKBFG2gKDv2Osw3gr1P30Z+oRFbOGtJAwf3PrUDFmflmiWSX+XQaRZMO0/PPEzrg&#10;W8v6rcVu6yXQk+SkeCfTNvoHc9hqhPqF5LqIWckkrKTcBZcBD4dl6LRJgpdqsUhuJBQnwp19cjIG&#10;j4OOvHluXwS6nlyBWHkPB72I2TuOdb4RaWGxDaCrRMDjXPsnIJElCvc/hKjit+fkdfxtzX8DAAD/&#10;/wMAUEsDBBQABgAIAAAAIQBtYFc03gAAAAsBAAAPAAAAZHJzL2Rvd25yZXYueG1sTI/LTsMwEEX3&#10;SPyDNUjsqPMoBkKcqoBKt1BeWzcekoh4HMVOG/6eYQXLO3N050y5ml0vDjiGzpOGdJGAQKq97ajR&#10;8PqyubgGEaIha3pPqOEbA6yq05PSFNYf6RkPu9gILqFQGA1tjEMhZahbdCYs/IDEu08/OhM5jo20&#10;ozlyuetlliRKOtMRX2jNgPct1l+7yWmY6se7j2ZYPz1sctpKn964t3er9fnZvL4FEXGOfzD86rM6&#10;VOy09xPZIHrOl1eKUQ0qXeYgmMiyZQZizxOVK5BVKf//UP0AAAD//wMAUEsBAi0AFAAGAAgAAAAh&#10;ALaDOJL+AAAA4QEAABMAAAAAAAAAAAAAAAAAAAAAAFtDb250ZW50X1R5cGVzXS54bWxQSwECLQAU&#10;AAYACAAAACEAOP0h/9YAAACUAQAACwAAAAAAAAAAAAAAAAAvAQAAX3JlbHMvLnJlbHNQSwECLQAU&#10;AAYACAAAACEAZleM4FYCAAD+BAAADgAAAAAAAAAAAAAAAAAuAgAAZHJzL2Uyb0RvYy54bWxQSwEC&#10;LQAUAAYACAAAACEAbWBXNN4AAAALAQAADwAAAAAAAAAAAAAAAACwBAAAZHJzL2Rvd25yZXYueG1s&#10;UEsFBgAAAAAEAAQA8wAAALsFAAAAAA==&#10;" fillcolor="white [3201]" strokecolor="#70ad47 [3209]" strokeweight="1pt">
                <v:textbox>
                  <w:txbxContent>
                    <w:p w14:paraId="4D4AF804" w14:textId="0DA4CF21" w:rsidR="004761EA" w:rsidRPr="00D30027" w:rsidRDefault="004761EA" w:rsidP="004761EA">
                      <w:pPr>
                        <w:jc w:val="center"/>
                        <w:rPr>
                          <w:b/>
                          <w:bCs/>
                        </w:rPr>
                      </w:pPr>
                      <w:r>
                        <w:rPr>
                          <w:b/>
                          <w:bCs/>
                        </w:rPr>
                        <w:t>8</w:t>
                      </w:r>
                      <w:r w:rsidRPr="00D30027">
                        <w:rPr>
                          <w:b/>
                          <w:bCs/>
                        </w:rPr>
                        <w:t xml:space="preserve"> </w:t>
                      </w:r>
                      <w:r>
                        <w:rPr>
                          <w:b/>
                          <w:bCs/>
                        </w:rPr>
                        <w:t>A</w:t>
                      </w:r>
                    </w:p>
                  </w:txbxContent>
                </v:textbox>
              </v:rect>
            </w:pict>
          </mc:Fallback>
        </mc:AlternateContent>
      </w:r>
      <w:r w:rsidR="004646CC" w:rsidRPr="004646CC">
        <w:rPr>
          <w:rFonts w:cs="Times New Roman"/>
          <w:szCs w:val="24"/>
        </w:rPr>
        <w:t>Western blot</w:t>
      </w:r>
      <w:r w:rsidR="004646CC">
        <w:rPr>
          <w:rFonts w:cs="Times New Roman"/>
          <w:szCs w:val="24"/>
        </w:rPr>
        <w:t xml:space="preserve"> analysis</w:t>
      </w:r>
      <w:r w:rsidR="004646CC" w:rsidRPr="004646CC">
        <w:rPr>
          <w:rFonts w:cs="Times New Roman"/>
          <w:szCs w:val="24"/>
        </w:rPr>
        <w:t xml:space="preserve"> demonstrated that chloroquine</w:t>
      </w:r>
      <w:r w:rsidR="004646CC">
        <w:rPr>
          <w:rFonts w:cs="Times New Roman"/>
          <w:szCs w:val="24"/>
        </w:rPr>
        <w:t xml:space="preserve"> treatment</w:t>
      </w:r>
      <w:r w:rsidR="004646CC" w:rsidRPr="004646CC">
        <w:rPr>
          <w:rFonts w:cs="Times New Roman"/>
          <w:szCs w:val="24"/>
        </w:rPr>
        <w:t xml:space="preserve"> influences the expression of critical proteins associated with the intrinsic apoptotic pathway in a dose-dependent </w:t>
      </w:r>
      <w:r w:rsidR="004646CC">
        <w:rPr>
          <w:rFonts w:cs="Times New Roman"/>
          <w:szCs w:val="24"/>
        </w:rPr>
        <w:t>manner</w:t>
      </w:r>
      <w:r w:rsidR="004646CC" w:rsidRPr="004646CC">
        <w:rPr>
          <w:rFonts w:cs="Times New Roman"/>
          <w:szCs w:val="24"/>
        </w:rPr>
        <w:t xml:space="preserve">. In comparison to the untreated control, a notable elevation in the expression of the pro-apoptotic protein Bax and a reduction in the anti-apoptotic protein Bcl-2 were seen with </w:t>
      </w:r>
      <w:r w:rsidR="004646CC">
        <w:rPr>
          <w:rFonts w:cs="Times New Roman"/>
          <w:szCs w:val="24"/>
        </w:rPr>
        <w:t>increasing</w:t>
      </w:r>
      <w:r w:rsidR="004646CC" w:rsidRPr="004646CC">
        <w:rPr>
          <w:rFonts w:cs="Times New Roman"/>
          <w:szCs w:val="24"/>
        </w:rPr>
        <w:t xml:space="preserve"> </w:t>
      </w:r>
      <w:r w:rsidR="004646CC">
        <w:rPr>
          <w:rFonts w:cs="Times New Roman"/>
          <w:szCs w:val="24"/>
        </w:rPr>
        <w:t>doses</w:t>
      </w:r>
      <w:r w:rsidR="004646CC" w:rsidRPr="004646CC">
        <w:rPr>
          <w:rFonts w:cs="Times New Roman"/>
          <w:szCs w:val="24"/>
        </w:rPr>
        <w:t xml:space="preserve"> of chloroquine. This alteration led to an increased Bax/Bcl-2 ratio, promoting apoptosis. Moreover, chloroquine administration resulted in a dose-dependent elevation of Cytochrome c levels in the cytoplasm. The release of Cytochrome c initiated the downstream caspase cascade, as indicated by elevated levels of cleaved (active) forms of Caspase-</w:t>
      </w:r>
      <w:r w:rsidR="004646CC">
        <w:rPr>
          <w:rFonts w:cs="Times New Roman"/>
          <w:szCs w:val="24"/>
        </w:rPr>
        <w:t>3</w:t>
      </w:r>
      <w:r w:rsidR="004646CC" w:rsidRPr="004646CC">
        <w:rPr>
          <w:rFonts w:cs="Times New Roman"/>
          <w:szCs w:val="24"/>
        </w:rPr>
        <w:t xml:space="preserve">. The expression of the loading control, β-actin, was uniform across all samples, validating equal protein loading. Collectively, our findings indicate that chloroquine promotes apoptosis in DL cells via the mitochondrial-mediated intrinsic </w:t>
      </w:r>
      <w:r w:rsidR="00461451">
        <w:rPr>
          <w:rFonts w:cs="Times New Roman"/>
          <w:szCs w:val="24"/>
        </w:rPr>
        <w:t>pathway</w:t>
      </w:r>
      <w:r w:rsidR="00D26558">
        <w:rPr>
          <w:rFonts w:cs="Times New Roman"/>
          <w:szCs w:val="24"/>
        </w:rPr>
        <w:t xml:space="preserve">, as shown in </w:t>
      </w:r>
      <w:r w:rsidR="00D26558" w:rsidRPr="00D26558">
        <w:rPr>
          <w:rFonts w:cs="Times New Roman"/>
          <w:b/>
          <w:bCs/>
          <w:szCs w:val="24"/>
        </w:rPr>
        <w:t>Fig. 8</w:t>
      </w:r>
      <w:r w:rsidR="004646CC" w:rsidRPr="004646CC">
        <w:rPr>
          <w:rFonts w:cs="Times New Roman"/>
          <w:szCs w:val="24"/>
        </w:rPr>
        <w:t>.</w:t>
      </w:r>
    </w:p>
    <w:p w14:paraId="29495A9D" w14:textId="5C0FA9B1" w:rsidR="00E114BB" w:rsidRDefault="00E114BB" w:rsidP="00013268">
      <w:pPr>
        <w:spacing w:line="480" w:lineRule="auto"/>
        <w:jc w:val="both"/>
        <w:rPr>
          <w:rFonts w:cs="Times New Roman"/>
          <w:szCs w:val="24"/>
        </w:rPr>
      </w:pPr>
      <w:r>
        <w:rPr>
          <w:noProof/>
        </w:rPr>
        <w:drawing>
          <wp:inline distT="0" distB="0" distL="0" distR="0" wp14:anchorId="59739875" wp14:editId="720C178E">
            <wp:extent cx="5252720" cy="2908897"/>
            <wp:effectExtent l="0" t="0" r="5080" b="6350"/>
            <wp:docPr id="102618177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67666" cy="2917174"/>
                    </a:xfrm>
                    <a:prstGeom prst="rect">
                      <a:avLst/>
                    </a:prstGeom>
                    <a:noFill/>
                    <a:ln>
                      <a:noFill/>
                    </a:ln>
                  </pic:spPr>
                </pic:pic>
              </a:graphicData>
            </a:graphic>
          </wp:inline>
        </w:drawing>
      </w:r>
    </w:p>
    <w:p w14:paraId="7344C024" w14:textId="77777777" w:rsidR="00E114BB" w:rsidRDefault="00E114BB" w:rsidP="00E114BB">
      <w:pPr>
        <w:jc w:val="both"/>
      </w:pPr>
      <w:r>
        <w:rPr>
          <w:b/>
          <w:bCs/>
        </w:rPr>
        <w:lastRenderedPageBreak/>
        <w:t xml:space="preserve">Fig. 8 </w:t>
      </w:r>
      <w:r>
        <w:t xml:space="preserve">CQ induces mitochondrial-mediated apoptosis in DL cells. </w:t>
      </w:r>
      <w:r>
        <w:rPr>
          <w:b/>
          <w:bCs/>
        </w:rPr>
        <w:t xml:space="preserve">(A) </w:t>
      </w:r>
      <w:r>
        <w:t xml:space="preserve">Western blot analysis for apoptosis-related proteins modulated by CQ.  </w:t>
      </w:r>
      <w:r>
        <w:rPr>
          <w:b/>
          <w:bCs/>
        </w:rPr>
        <w:t xml:space="preserve">(B) </w:t>
      </w:r>
      <w:r>
        <w:t xml:space="preserve">The bar graph represents a decreased level of Bcl2 and an increased level of Bax, </w:t>
      </w:r>
      <w:proofErr w:type="spellStart"/>
      <w:r>
        <w:t>Cyt</w:t>
      </w:r>
      <w:proofErr w:type="spellEnd"/>
      <w:r>
        <w:t xml:space="preserve">-c, and Caspase-3 expression. Significant at *P &lt; 0.05, **p </w:t>
      </w:r>
      <w:r>
        <w:rPr>
          <w:i/>
          <w:iCs/>
        </w:rPr>
        <w:t xml:space="preserve">&lt; </w:t>
      </w:r>
      <w:r>
        <w:t xml:space="preserve">0.01, ***p </w:t>
      </w:r>
      <w:r>
        <w:rPr>
          <w:i/>
          <w:iCs/>
        </w:rPr>
        <w:t xml:space="preserve">&lt; </w:t>
      </w:r>
      <w:r>
        <w:t xml:space="preserve">0.001 vs. the control group. </w:t>
      </w:r>
    </w:p>
    <w:p w14:paraId="2F45C9AF" w14:textId="77777777" w:rsidR="00E114BB" w:rsidRDefault="00E114BB" w:rsidP="00013268">
      <w:pPr>
        <w:spacing w:line="480" w:lineRule="auto"/>
        <w:jc w:val="both"/>
        <w:rPr>
          <w:rFonts w:cs="Times New Roman"/>
          <w:szCs w:val="24"/>
        </w:rPr>
      </w:pPr>
    </w:p>
    <w:p w14:paraId="663CAD03" w14:textId="77777777" w:rsidR="00B425E3" w:rsidRPr="00B43436" w:rsidRDefault="00B425E3" w:rsidP="00B425E3">
      <w:pPr>
        <w:spacing w:line="480" w:lineRule="auto"/>
        <w:jc w:val="both"/>
        <w:rPr>
          <w:rFonts w:cs="Times New Roman"/>
          <w:b/>
          <w:bCs/>
          <w:szCs w:val="24"/>
        </w:rPr>
      </w:pPr>
      <w:r w:rsidRPr="00B43436">
        <w:rPr>
          <w:rFonts w:cs="Times New Roman"/>
          <w:b/>
          <w:bCs/>
          <w:szCs w:val="24"/>
        </w:rPr>
        <w:t>Effect of Chloroquine on Body Weight and Abdominal Circumference in DL-Bearing Mice</w:t>
      </w:r>
    </w:p>
    <w:p w14:paraId="7B988D1E" w14:textId="7FD256A4" w:rsidR="00760A86" w:rsidRDefault="00B425E3" w:rsidP="00B425E3">
      <w:pPr>
        <w:spacing w:line="480" w:lineRule="auto"/>
        <w:jc w:val="both"/>
        <w:rPr>
          <w:rFonts w:cs="Times New Roman"/>
          <w:b/>
          <w:bCs/>
          <w:szCs w:val="24"/>
        </w:rPr>
      </w:pPr>
      <w:r w:rsidRPr="00B43436">
        <w:rPr>
          <w:rFonts w:cs="Times New Roman"/>
          <w:szCs w:val="24"/>
        </w:rPr>
        <w:t>At Day 0, all groups showed comparable body weights (25.1–2</w:t>
      </w:r>
      <w:r>
        <w:rPr>
          <w:rFonts w:cs="Times New Roman"/>
          <w:szCs w:val="24"/>
        </w:rPr>
        <w:t>7</w:t>
      </w:r>
      <w:r w:rsidRPr="00B43436">
        <w:rPr>
          <w:rFonts w:cs="Times New Roman"/>
          <w:szCs w:val="24"/>
        </w:rPr>
        <w:t>.</w:t>
      </w:r>
      <w:r>
        <w:rPr>
          <w:rFonts w:cs="Times New Roman"/>
          <w:szCs w:val="24"/>
        </w:rPr>
        <w:t>6</w:t>
      </w:r>
      <w:r w:rsidRPr="00B43436">
        <w:rPr>
          <w:rFonts w:cs="Times New Roman"/>
          <w:szCs w:val="24"/>
        </w:rPr>
        <w:t xml:space="preserve"> g) and abdominal circumferences (2.</w:t>
      </w:r>
      <w:r>
        <w:rPr>
          <w:rFonts w:cs="Times New Roman"/>
          <w:szCs w:val="24"/>
        </w:rPr>
        <w:t>2</w:t>
      </w:r>
      <w:r w:rsidRPr="00B43436">
        <w:rPr>
          <w:rFonts w:cs="Times New Roman"/>
          <w:szCs w:val="24"/>
        </w:rPr>
        <w:t>–2.</w:t>
      </w:r>
      <w:r>
        <w:rPr>
          <w:rFonts w:cs="Times New Roman"/>
          <w:szCs w:val="24"/>
        </w:rPr>
        <w:t>8</w:t>
      </w:r>
      <w:r w:rsidRPr="00B43436">
        <w:rPr>
          <w:rFonts w:cs="Times New Roman"/>
          <w:szCs w:val="24"/>
        </w:rPr>
        <w:t xml:space="preserve"> cm). By Day 18, the Tumor Control group displayed a significant increase in body weight (27.2 g to 35.9 g) and abdominal circumference (2.2 cm to 3.9 cm). Chloroquine treatment attenuated these changes in a dose-dependent manner: the low dose group (2</w:t>
      </w:r>
      <w:r>
        <w:rPr>
          <w:rFonts w:cs="Times New Roman"/>
          <w:szCs w:val="24"/>
        </w:rPr>
        <w:t>4</w:t>
      </w:r>
      <w:r w:rsidRPr="00B43436">
        <w:rPr>
          <w:rFonts w:cs="Times New Roman"/>
          <w:szCs w:val="24"/>
        </w:rPr>
        <w:t>.8 g to 3</w:t>
      </w:r>
      <w:r>
        <w:rPr>
          <w:rFonts w:cs="Times New Roman"/>
          <w:szCs w:val="24"/>
        </w:rPr>
        <w:t>4</w:t>
      </w:r>
      <w:r w:rsidRPr="00B43436">
        <w:rPr>
          <w:rFonts w:cs="Times New Roman"/>
          <w:szCs w:val="24"/>
        </w:rPr>
        <w:t>.</w:t>
      </w:r>
      <w:r>
        <w:rPr>
          <w:rFonts w:cs="Times New Roman"/>
          <w:szCs w:val="24"/>
        </w:rPr>
        <w:t>6</w:t>
      </w:r>
      <w:r w:rsidRPr="00B43436">
        <w:rPr>
          <w:rFonts w:cs="Times New Roman"/>
          <w:szCs w:val="24"/>
        </w:rPr>
        <w:t xml:space="preserve"> g; 2.</w:t>
      </w:r>
      <w:r>
        <w:rPr>
          <w:rFonts w:cs="Times New Roman"/>
          <w:szCs w:val="24"/>
        </w:rPr>
        <w:t>6</w:t>
      </w:r>
      <w:r w:rsidRPr="00B43436">
        <w:rPr>
          <w:rFonts w:cs="Times New Roman"/>
          <w:szCs w:val="24"/>
        </w:rPr>
        <w:t xml:space="preserve"> cm to 3.</w:t>
      </w:r>
      <w:r>
        <w:rPr>
          <w:rFonts w:cs="Times New Roman"/>
          <w:szCs w:val="24"/>
        </w:rPr>
        <w:t>4</w:t>
      </w:r>
      <w:r w:rsidRPr="00B43436">
        <w:rPr>
          <w:rFonts w:cs="Times New Roman"/>
          <w:szCs w:val="24"/>
        </w:rPr>
        <w:t xml:space="preserve"> cm) and the high dose group (25.1 g to 29.6 g; 2.</w:t>
      </w:r>
      <w:r>
        <w:rPr>
          <w:rFonts w:cs="Times New Roman"/>
          <w:szCs w:val="24"/>
        </w:rPr>
        <w:t>7</w:t>
      </w:r>
      <w:r w:rsidRPr="00B43436">
        <w:rPr>
          <w:rFonts w:cs="Times New Roman"/>
          <w:szCs w:val="24"/>
        </w:rPr>
        <w:t xml:space="preserve"> cm to 2.8 cm) showed significantly lower increases than Tumor Control. Doxorubicin also reduced weight (27.8 g to 32.5 g) and circumference (2.</w:t>
      </w:r>
      <w:r>
        <w:rPr>
          <w:rFonts w:cs="Times New Roman"/>
          <w:szCs w:val="24"/>
        </w:rPr>
        <w:t>8</w:t>
      </w:r>
      <w:r w:rsidRPr="00B43436">
        <w:rPr>
          <w:rFonts w:cs="Times New Roman"/>
          <w:szCs w:val="24"/>
        </w:rPr>
        <w:t xml:space="preserve"> cm to 3.3 cm) compared to Tumor Control</w:t>
      </w:r>
      <w:r w:rsidR="006B387E">
        <w:rPr>
          <w:rFonts w:cs="Times New Roman"/>
          <w:szCs w:val="24"/>
        </w:rPr>
        <w:t xml:space="preserve">, as shown in </w:t>
      </w:r>
      <w:r w:rsidR="006B387E" w:rsidRPr="006B387E">
        <w:rPr>
          <w:rFonts w:cs="Times New Roman"/>
          <w:b/>
          <w:bCs/>
          <w:szCs w:val="24"/>
        </w:rPr>
        <w:t>Fig. 9</w:t>
      </w:r>
      <w:r w:rsidR="006B387E">
        <w:rPr>
          <w:rFonts w:cs="Times New Roman"/>
          <w:szCs w:val="24"/>
        </w:rPr>
        <w:t xml:space="preserve"> </w:t>
      </w:r>
      <w:r w:rsidR="006B387E" w:rsidRPr="006B387E">
        <w:rPr>
          <w:rFonts w:cs="Times New Roman"/>
          <w:b/>
          <w:bCs/>
          <w:szCs w:val="24"/>
        </w:rPr>
        <w:t>(A) and 9 (B)</w:t>
      </w:r>
      <w:r w:rsidR="006B387E">
        <w:rPr>
          <w:rFonts w:cs="Times New Roman"/>
          <w:b/>
          <w:bCs/>
          <w:szCs w:val="24"/>
        </w:rPr>
        <w:t>.</w:t>
      </w:r>
    </w:p>
    <w:p w14:paraId="63A5F96F" w14:textId="4352D41A" w:rsidR="00760A86" w:rsidRDefault="004C1DC8" w:rsidP="00B425E3">
      <w:pPr>
        <w:spacing w:line="480" w:lineRule="auto"/>
        <w:jc w:val="both"/>
        <w:rPr>
          <w:rFonts w:cs="Times New Roman"/>
          <w:b/>
          <w:bCs/>
          <w:szCs w:val="24"/>
        </w:rPr>
      </w:pPr>
      <w:r>
        <w:rPr>
          <w:noProof/>
        </w:rPr>
        <mc:AlternateContent>
          <mc:Choice Requires="wps">
            <w:drawing>
              <wp:anchor distT="0" distB="0" distL="114300" distR="114300" simplePos="0" relativeHeight="251692032" behindDoc="0" locked="0" layoutInCell="1" allowOverlap="1" wp14:anchorId="4B2C4A11" wp14:editId="0203947C">
                <wp:simplePos x="0" y="0"/>
                <wp:positionH relativeFrom="column">
                  <wp:posOffset>3982085</wp:posOffset>
                </wp:positionH>
                <wp:positionV relativeFrom="paragraph">
                  <wp:posOffset>32385</wp:posOffset>
                </wp:positionV>
                <wp:extent cx="423447" cy="257750"/>
                <wp:effectExtent l="0" t="0" r="15240" b="28575"/>
                <wp:wrapNone/>
                <wp:docPr id="981286485" name="Rectangle 3"/>
                <wp:cNvGraphicFramePr/>
                <a:graphic xmlns:a="http://schemas.openxmlformats.org/drawingml/2006/main">
                  <a:graphicData uri="http://schemas.microsoft.com/office/word/2010/wordprocessingShape">
                    <wps:wsp>
                      <wps:cNvSpPr/>
                      <wps:spPr>
                        <a:xfrm>
                          <a:off x="0" y="0"/>
                          <a:ext cx="423447" cy="257750"/>
                        </a:xfrm>
                        <a:prstGeom prst="rect">
                          <a:avLst/>
                        </a:prstGeom>
                      </wps:spPr>
                      <wps:style>
                        <a:lnRef idx="2">
                          <a:schemeClr val="accent6"/>
                        </a:lnRef>
                        <a:fillRef idx="1">
                          <a:schemeClr val="lt1"/>
                        </a:fillRef>
                        <a:effectRef idx="0">
                          <a:schemeClr val="accent6"/>
                        </a:effectRef>
                        <a:fontRef idx="minor">
                          <a:schemeClr val="dk1"/>
                        </a:fontRef>
                      </wps:style>
                      <wps:txbx>
                        <w:txbxContent>
                          <w:p w14:paraId="6C7409FE" w14:textId="62B7F56A" w:rsidR="00612DCF" w:rsidRPr="00D30027" w:rsidRDefault="00612DCF" w:rsidP="00612DCF">
                            <w:pPr>
                              <w:jc w:val="center"/>
                              <w:rPr>
                                <w:b/>
                                <w:bCs/>
                              </w:rPr>
                            </w:pPr>
                            <w:r>
                              <w:rPr>
                                <w:b/>
                                <w:bCs/>
                              </w:rPr>
                              <w:t>9</w:t>
                            </w:r>
                            <w:r w:rsidRPr="00D30027">
                              <w:rPr>
                                <w:b/>
                                <w:bCs/>
                              </w:rPr>
                              <w:t xml:space="preserve"> </w:t>
                            </w:r>
                            <w:r>
                              <w:rPr>
                                <w:b/>
                                <w:bCs/>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B2C4A11" id="_x0000_s1041" style="position:absolute;left:0;text-align:left;margin-left:313.55pt;margin-top:2.55pt;width:33.35pt;height:20.3pt;z-index:25169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cA5VwIAAP4EAAAOAAAAZHJzL2Uyb0RvYy54bWysVN9v2jAQfp+0/8Hy+wgwKBtqqBBVp0mo&#10;rdZOfTaODdEcn3c2JOyv39kJoet4mvbi3Pl+n78v1zdNZdhBoS/B5nw0GHKmrISitNucf3+++/CJ&#10;Mx+ELYQBq3J+VJ7fLN6/u67dXI1hB6ZQyCiJ9fPa5XwXgptnmZc7VQk/AKcsGTVgJQKpuM0KFDVl&#10;r0w2Hg6vshqwcAhSeU+3t62RL1J+rZUMD1p7FZjJOfUW0onp3MQzW1yL+RaF25Wya0P8QxeVKC0V&#10;7VPdiiDYHsu/UlWlRPCgw0BClYHWpVRpBppmNHwzzdNOOJVmoeV416/J/7+08v7w5B6R1lA7P/ck&#10;xikajVX8Un+sScs69stSTWCSLifjj5PJjDNJpvF0NpumZWbnYIc+fFFQsSjkHOkt0orEYe0DFSTX&#10;kwsp5/JJCkejYgfGflOalQUVHKfohAy1MsgOgt5USKlsuIrvSPmSdwzTpTF94OhSoAmjLqjzjWEq&#10;IaYPHF4K/LNiH5Gqgg19cFVawEsJih995db/NH07cxw/NJuGhiZCTWOT8WoDxfERGUILYe/kXUl7&#10;XQsfHgUSZgndxMPwQIc2UOccOomzHeCvS/fRn6BEVs5q4kDO/c+9QMWZ+WoJZJ9Hk0kkTVIm09mY&#10;FHxt2by22H21AnqSETHeySRG/2BOokaoXoiuy1iVTMJKqp1zGfCkrELLTSK8VMtlciOiOBHW9snJ&#10;mDwuOuLmuXkR6DpwBULlPZz4IuZvMNb6xkgLy30AXSYAnvfaPQGRLOGo+yFEFr/Wk9f5t7X4DQAA&#10;//8DAFBLAwQUAAYACAAAACEApx/Sjd4AAAAIAQAADwAAAGRycy9kb3ducmV2LnhtbEyPzU7DMBCE&#10;70i8g7VI3KiTlrY0ZFMVUOkVyt/VjZckIl5HsdOGt2c5wWk1mtHsN/l6dK06Uh8azwjpJAFFXHrb&#10;cIXw+rK9ugEVomFrWs+E8E0B1sX5WW4y60/8TMd9rJSUcMgMQh1jl2kdypqcCRPfEYv36Xtnosi+&#10;0rY3Jyl3rZ4myUI707B8qE1H9zWVX/vBIQzl491H1W2eHrYz3mmfrtzbu0W8vBg3t6AijfEvDL/4&#10;gg6FMB38wDaoFmExXaYSRZjLEX+xmsmUA8L1fAm6yPX/AcUPAAAA//8DAFBLAQItABQABgAIAAAA&#10;IQC2gziS/gAAAOEBAAATAAAAAAAAAAAAAAAAAAAAAABbQ29udGVudF9UeXBlc10ueG1sUEsBAi0A&#10;FAAGAAgAAAAhADj9If/WAAAAlAEAAAsAAAAAAAAAAAAAAAAALwEAAF9yZWxzLy5yZWxzUEsBAi0A&#10;FAAGAAgAAAAhAG+hwDlXAgAA/gQAAA4AAAAAAAAAAAAAAAAALgIAAGRycy9lMm9Eb2MueG1sUEsB&#10;Ai0AFAAGAAgAAAAhAKcf0o3eAAAACAEAAA8AAAAAAAAAAAAAAAAAsQQAAGRycy9kb3ducmV2Lnht&#10;bFBLBQYAAAAABAAEAPMAAAC8BQAAAAA=&#10;" fillcolor="white [3201]" strokecolor="#70ad47 [3209]" strokeweight="1pt">
                <v:textbox>
                  <w:txbxContent>
                    <w:p w14:paraId="6C7409FE" w14:textId="62B7F56A" w:rsidR="00612DCF" w:rsidRPr="00D30027" w:rsidRDefault="00612DCF" w:rsidP="00612DCF">
                      <w:pPr>
                        <w:jc w:val="center"/>
                        <w:rPr>
                          <w:b/>
                          <w:bCs/>
                        </w:rPr>
                      </w:pPr>
                      <w:r>
                        <w:rPr>
                          <w:b/>
                          <w:bCs/>
                        </w:rPr>
                        <w:t>9</w:t>
                      </w:r>
                      <w:r w:rsidRPr="00D30027">
                        <w:rPr>
                          <w:b/>
                          <w:bCs/>
                        </w:rPr>
                        <w:t xml:space="preserve"> </w:t>
                      </w:r>
                      <w:r>
                        <w:rPr>
                          <w:b/>
                          <w:bCs/>
                        </w:rPr>
                        <w:t>B</w:t>
                      </w:r>
                    </w:p>
                  </w:txbxContent>
                </v:textbox>
              </v:rect>
            </w:pict>
          </mc:Fallback>
        </mc:AlternateContent>
      </w:r>
      <w:r>
        <w:rPr>
          <w:noProof/>
        </w:rPr>
        <mc:AlternateContent>
          <mc:Choice Requires="wps">
            <w:drawing>
              <wp:anchor distT="0" distB="0" distL="114300" distR="114300" simplePos="0" relativeHeight="251689984" behindDoc="0" locked="0" layoutInCell="1" allowOverlap="1" wp14:anchorId="48737CA4" wp14:editId="2463A2F0">
                <wp:simplePos x="0" y="0"/>
                <wp:positionH relativeFrom="column">
                  <wp:posOffset>915670</wp:posOffset>
                </wp:positionH>
                <wp:positionV relativeFrom="paragraph">
                  <wp:posOffset>24130</wp:posOffset>
                </wp:positionV>
                <wp:extent cx="423447" cy="257750"/>
                <wp:effectExtent l="0" t="0" r="15240" b="28575"/>
                <wp:wrapNone/>
                <wp:docPr id="608422902" name="Rectangle 3"/>
                <wp:cNvGraphicFramePr/>
                <a:graphic xmlns:a="http://schemas.openxmlformats.org/drawingml/2006/main">
                  <a:graphicData uri="http://schemas.microsoft.com/office/word/2010/wordprocessingShape">
                    <wps:wsp>
                      <wps:cNvSpPr/>
                      <wps:spPr>
                        <a:xfrm>
                          <a:off x="0" y="0"/>
                          <a:ext cx="423447" cy="257750"/>
                        </a:xfrm>
                        <a:prstGeom prst="rect">
                          <a:avLst/>
                        </a:prstGeom>
                      </wps:spPr>
                      <wps:style>
                        <a:lnRef idx="2">
                          <a:schemeClr val="accent6"/>
                        </a:lnRef>
                        <a:fillRef idx="1">
                          <a:schemeClr val="lt1"/>
                        </a:fillRef>
                        <a:effectRef idx="0">
                          <a:schemeClr val="accent6"/>
                        </a:effectRef>
                        <a:fontRef idx="minor">
                          <a:schemeClr val="dk1"/>
                        </a:fontRef>
                      </wps:style>
                      <wps:txbx>
                        <w:txbxContent>
                          <w:p w14:paraId="10FD2B53" w14:textId="07A047F8" w:rsidR="004761EA" w:rsidRPr="00D30027" w:rsidRDefault="004761EA" w:rsidP="004761EA">
                            <w:pPr>
                              <w:jc w:val="center"/>
                              <w:rPr>
                                <w:b/>
                                <w:bCs/>
                              </w:rPr>
                            </w:pPr>
                            <w:r>
                              <w:rPr>
                                <w:b/>
                                <w:bCs/>
                              </w:rPr>
                              <w:t>9</w:t>
                            </w:r>
                            <w:r w:rsidRPr="00D30027">
                              <w:rPr>
                                <w:b/>
                                <w:bCs/>
                              </w:rPr>
                              <w:t xml:space="preserve"> </w:t>
                            </w:r>
                            <w:r w:rsidR="00612DCF">
                              <w:rPr>
                                <w:b/>
                                <w:bCs/>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8737CA4" id="_x0000_s1042" style="position:absolute;left:0;text-align:left;margin-left:72.1pt;margin-top:1.9pt;width:33.35pt;height:20.3pt;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Ol0WAIAAP4EAAAOAAAAZHJzL2Uyb0RvYy54bWysVFFv2jAQfp+0/2D5fQQYlA01VIiq0yTU&#10;orVTn41jl2iOzzsbEvbrd3ZC6Dqepr04Pt99d77z9+X6pqkMOyj0JdicjwZDzpSVUJT2Jeffn+4+&#10;fOLMB2ELYcCqnB+V5zeL9++uazdXY9iBKRQySmL9vHY534Xg5lnm5U5Vwg/AKUtODViJQCa+ZAWK&#10;mrJXJhsPh1dZDVg4BKm8p9Pb1skXKb/WSoYHrb0KzOSc7hbSimndxjVbXIv5Cwq3K2V3DfEPt6hE&#10;aalon+pWBMH2WP6VqiolggcdBhKqDLQupUo9UDej4ZtuHnfCqdQLDce7fkz+/6WV94dHt0EaQ+38&#10;3NM2dtForOKX7seaNKxjPyzVBCbpcDL+OJnMOJPkGk9ns2kaZnYGO/Thi4KKxU3Okd4ijUgc1j5Q&#10;QQo9hZBxLp924WhUvIGx35RmZUEFxwmdmKFWBtlB0JsKKZUNV/EdKV+KjjBdGtMDR5eAJow6UBcb&#10;YSoxpgcOLwH/rNgjUlWwoQdXpQW8lKD40Vdu40/dtz3H9kOzbahpElTqLB5toThukCG0FPZO3pU0&#10;17XwYSOQOEvsJh2GB1q0gTrn0O042wH+unQe44lK5OWsJg3k3P/cC1Scma+WSPZ5NJlE0SRjMp2N&#10;ycDXnu1rj91XK6AnGZHinUzbGB/MaasRqmeS6zJWJZewkmrnXAY8GavQapMEL9VymcJIKE6EtX10&#10;MiaPg468eWqeBbqOXIFYeQ8nvYj5G461sRFpYbkPoMtEwPNcuycgkSUedT+EqOLXdoo6/7YWvwEA&#10;AP//AwBQSwMEFAAGAAgAAAAhAO6GK0XcAAAACAEAAA8AAABkcnMvZG93bnJldi54bWxMj81OwzAQ&#10;hO9IfQdrkbhRJ6mF2hCnKqDClZa/qxsvSdR4HcVOG96e5USPoxnNfFOsJ9eJEw6h9aQhnScgkCpv&#10;W6o1vL9tb5cgQjRkTecJNfxggHU5uypMbv2Zdnjax1pwCYXcaGhi7HMpQ9WgM2HueyT2vv3gTGQ5&#10;1NIO5szlrpNZktxJZ1rihcb0+NhgddyPTsNYPT981f3m9Wm7oBfp05X7+LRa31xPm3sQEaf4H4Y/&#10;fEaHkpkOfiQbRMdaqYyjGhb8gP0sTVYgDhqUUiDLQl4eKH8BAAD//wMAUEsBAi0AFAAGAAgAAAAh&#10;ALaDOJL+AAAA4QEAABMAAAAAAAAAAAAAAAAAAAAAAFtDb250ZW50X1R5cGVzXS54bWxQSwECLQAU&#10;AAYACAAAACEAOP0h/9YAAACUAQAACwAAAAAAAAAAAAAAAAAvAQAAX3JlbHMvLnJlbHNQSwECLQAU&#10;AAYACAAAACEAVADpdFgCAAD+BAAADgAAAAAAAAAAAAAAAAAuAgAAZHJzL2Uyb0RvYy54bWxQSwEC&#10;LQAUAAYACAAAACEA7oYrRdwAAAAIAQAADwAAAAAAAAAAAAAAAACyBAAAZHJzL2Rvd25yZXYueG1s&#10;UEsFBgAAAAAEAAQA8wAAALsFAAAAAA==&#10;" fillcolor="white [3201]" strokecolor="#70ad47 [3209]" strokeweight="1pt">
                <v:textbox>
                  <w:txbxContent>
                    <w:p w14:paraId="10FD2B53" w14:textId="07A047F8" w:rsidR="004761EA" w:rsidRPr="00D30027" w:rsidRDefault="004761EA" w:rsidP="004761EA">
                      <w:pPr>
                        <w:jc w:val="center"/>
                        <w:rPr>
                          <w:b/>
                          <w:bCs/>
                        </w:rPr>
                      </w:pPr>
                      <w:r>
                        <w:rPr>
                          <w:b/>
                          <w:bCs/>
                        </w:rPr>
                        <w:t>9</w:t>
                      </w:r>
                      <w:r w:rsidRPr="00D30027">
                        <w:rPr>
                          <w:b/>
                          <w:bCs/>
                        </w:rPr>
                        <w:t xml:space="preserve"> </w:t>
                      </w:r>
                      <w:r w:rsidR="00612DCF">
                        <w:rPr>
                          <w:b/>
                          <w:bCs/>
                        </w:rPr>
                        <w:t>A</w:t>
                      </w:r>
                    </w:p>
                  </w:txbxContent>
                </v:textbox>
              </v:rect>
            </w:pict>
          </mc:Fallback>
        </mc:AlternateContent>
      </w:r>
      <w:r w:rsidR="00760A86">
        <w:rPr>
          <w:noProof/>
        </w:rPr>
        <w:drawing>
          <wp:inline distT="0" distB="0" distL="0" distR="0" wp14:anchorId="28CB6576" wp14:editId="51F996D7">
            <wp:extent cx="2595914" cy="2315870"/>
            <wp:effectExtent l="0" t="0" r="0" b="8255"/>
            <wp:docPr id="1013557267"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02182" cy="2321462"/>
                    </a:xfrm>
                    <a:prstGeom prst="rect">
                      <a:avLst/>
                    </a:prstGeom>
                    <a:noFill/>
                    <a:ln>
                      <a:noFill/>
                    </a:ln>
                  </pic:spPr>
                </pic:pic>
              </a:graphicData>
            </a:graphic>
          </wp:inline>
        </w:drawing>
      </w:r>
      <w:r w:rsidR="00760A86">
        <w:rPr>
          <w:noProof/>
        </w:rPr>
        <w:drawing>
          <wp:inline distT="0" distB="0" distL="0" distR="0" wp14:anchorId="1E003570" wp14:editId="246857B6">
            <wp:extent cx="2927158" cy="2497431"/>
            <wp:effectExtent l="0" t="0" r="6985" b="0"/>
            <wp:docPr id="49874794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33418" cy="2502772"/>
                    </a:xfrm>
                    <a:prstGeom prst="rect">
                      <a:avLst/>
                    </a:prstGeom>
                    <a:noFill/>
                    <a:ln>
                      <a:noFill/>
                    </a:ln>
                  </pic:spPr>
                </pic:pic>
              </a:graphicData>
            </a:graphic>
          </wp:inline>
        </w:drawing>
      </w:r>
    </w:p>
    <w:p w14:paraId="632A0EFF" w14:textId="77777777" w:rsidR="004C1DC8" w:rsidRDefault="00760A86" w:rsidP="004C1DC8">
      <w:pPr>
        <w:jc w:val="both"/>
      </w:pPr>
      <w:r>
        <w:rPr>
          <w:b/>
          <w:bCs/>
        </w:rPr>
        <w:t xml:space="preserve">Fig. 9 (A) </w:t>
      </w:r>
      <w:r>
        <w:t>Comparisons of body weight (</w:t>
      </w:r>
      <w:r>
        <w:rPr>
          <w:b/>
          <w:bCs/>
        </w:rPr>
        <w:t xml:space="preserve">B) </w:t>
      </w:r>
      <w:r>
        <w:t>Abdominal circumference were performed until day 18 for the mentioned treatments. The body weight and abdominal circumference of DL mice significantly increased when compared day 0 to day 18 but there is no such increase in both CQ-treated groups</w:t>
      </w:r>
      <w:r>
        <w:rPr>
          <w:b/>
          <w:bCs/>
        </w:rPr>
        <w:t xml:space="preserve">. </w:t>
      </w:r>
      <w:r>
        <w:t xml:space="preserve">Data are significant at *P </w:t>
      </w:r>
      <w:r>
        <w:rPr>
          <w:i/>
          <w:iCs/>
        </w:rPr>
        <w:t xml:space="preserve">&lt; </w:t>
      </w:r>
      <w:r>
        <w:t xml:space="preserve">0.05, **p </w:t>
      </w:r>
      <w:r>
        <w:rPr>
          <w:i/>
          <w:iCs/>
        </w:rPr>
        <w:t xml:space="preserve">&lt; </w:t>
      </w:r>
      <w:r>
        <w:t xml:space="preserve">0.01, *** </w:t>
      </w:r>
      <w:r>
        <w:rPr>
          <w:i/>
          <w:iCs/>
        </w:rPr>
        <w:t xml:space="preserve">&lt; </w:t>
      </w:r>
      <w:r>
        <w:t xml:space="preserve">0.001 vs. the control group. </w:t>
      </w:r>
    </w:p>
    <w:p w14:paraId="0E0E5D1A" w14:textId="14C1A029" w:rsidR="00B425E3" w:rsidRPr="00B43436" w:rsidRDefault="00B425E3" w:rsidP="004C1DC8">
      <w:pPr>
        <w:jc w:val="both"/>
        <w:rPr>
          <w:rFonts w:cs="Times New Roman"/>
          <w:b/>
          <w:bCs/>
          <w:szCs w:val="24"/>
        </w:rPr>
      </w:pPr>
      <w:r w:rsidRPr="00B43436">
        <w:rPr>
          <w:rFonts w:cs="Times New Roman"/>
          <w:b/>
          <w:bCs/>
          <w:szCs w:val="24"/>
        </w:rPr>
        <w:lastRenderedPageBreak/>
        <w:t>Effect of Chloroquine Treatment on Hematological Parameters in DL-Induced Mice</w:t>
      </w:r>
    </w:p>
    <w:p w14:paraId="5816552F" w14:textId="2E21E5F3" w:rsidR="00B425E3" w:rsidRPr="00B43436" w:rsidRDefault="00B425E3" w:rsidP="00B425E3">
      <w:pPr>
        <w:spacing w:line="480" w:lineRule="auto"/>
        <w:jc w:val="both"/>
        <w:rPr>
          <w:rFonts w:cs="Times New Roman"/>
          <w:szCs w:val="24"/>
        </w:rPr>
      </w:pPr>
      <w:r w:rsidRPr="00B43436">
        <w:rPr>
          <w:rFonts w:cs="Times New Roman"/>
          <w:szCs w:val="24"/>
        </w:rPr>
        <w:t>The WBC count was markedly elevated in the Tumor Control group (44.8</w:t>
      </w:r>
      <w:r>
        <w:rPr>
          <w:rFonts w:cs="Times New Roman"/>
          <w:szCs w:val="24"/>
        </w:rPr>
        <w:t>0</w:t>
      </w:r>
      <w:r w:rsidRPr="00B43436">
        <w:rPr>
          <w:rFonts w:cs="Times New Roman"/>
          <w:szCs w:val="24"/>
        </w:rPr>
        <w:t xml:space="preserve"> ×10³/µL) compared to Healthy mice (2.4</w:t>
      </w:r>
      <w:r>
        <w:rPr>
          <w:rFonts w:cs="Times New Roman"/>
          <w:szCs w:val="24"/>
        </w:rPr>
        <w:t>6</w:t>
      </w:r>
      <w:r w:rsidRPr="00B43436">
        <w:rPr>
          <w:rFonts w:cs="Times New Roman"/>
          <w:szCs w:val="24"/>
        </w:rPr>
        <w:t>×10³/µL), indicating leukocytosis associated with DL progression. Treatment with Chloroquine significantly reduced WBC count in a dose-dependent manner. The low-dose group (25 mg/kg) showed values ranging between 32.8</w:t>
      </w:r>
      <w:r>
        <w:rPr>
          <w:rFonts w:cs="Times New Roman"/>
          <w:szCs w:val="24"/>
        </w:rPr>
        <w:t>0</w:t>
      </w:r>
      <w:r w:rsidRPr="00B43436">
        <w:rPr>
          <w:rFonts w:cs="Times New Roman"/>
          <w:szCs w:val="24"/>
        </w:rPr>
        <w:t>–</w:t>
      </w:r>
      <w:r>
        <w:rPr>
          <w:rFonts w:cs="Times New Roman"/>
          <w:szCs w:val="24"/>
        </w:rPr>
        <w:t>38</w:t>
      </w:r>
      <w:r w:rsidRPr="00B43436">
        <w:rPr>
          <w:rFonts w:cs="Times New Roman"/>
          <w:szCs w:val="24"/>
        </w:rPr>
        <w:t>.6</w:t>
      </w:r>
      <w:r>
        <w:rPr>
          <w:rFonts w:cs="Times New Roman"/>
          <w:szCs w:val="24"/>
        </w:rPr>
        <w:t>1</w:t>
      </w:r>
      <w:r w:rsidRPr="00B43436">
        <w:rPr>
          <w:rFonts w:cs="Times New Roman"/>
          <w:szCs w:val="24"/>
        </w:rPr>
        <w:t xml:space="preserve"> ×10³/µL, whereas the high-dose group (50 mg/kg) exhibited further reduction (22.</w:t>
      </w:r>
      <w:r>
        <w:rPr>
          <w:rFonts w:cs="Times New Roman"/>
          <w:szCs w:val="24"/>
        </w:rPr>
        <w:t>38</w:t>
      </w:r>
      <w:r w:rsidRPr="00B43436">
        <w:rPr>
          <w:rFonts w:cs="Times New Roman"/>
          <w:szCs w:val="24"/>
        </w:rPr>
        <w:t>–28.6</w:t>
      </w:r>
      <w:r>
        <w:rPr>
          <w:rFonts w:cs="Times New Roman"/>
          <w:szCs w:val="24"/>
        </w:rPr>
        <w:t>0</w:t>
      </w:r>
      <w:r w:rsidRPr="00B43436">
        <w:rPr>
          <w:rFonts w:cs="Times New Roman"/>
          <w:szCs w:val="24"/>
        </w:rPr>
        <w:t xml:space="preserve"> ×10³/µL). Doxorubicin treatment produced the most pronounced effect, lowering WBC counts to 9.5</w:t>
      </w:r>
      <w:r>
        <w:rPr>
          <w:rFonts w:cs="Times New Roman"/>
          <w:szCs w:val="24"/>
        </w:rPr>
        <w:t>2</w:t>
      </w:r>
      <w:r w:rsidRPr="00B43436">
        <w:rPr>
          <w:rFonts w:cs="Times New Roman"/>
          <w:szCs w:val="24"/>
        </w:rPr>
        <w:t>–14.</w:t>
      </w:r>
      <w:r>
        <w:rPr>
          <w:rFonts w:cs="Times New Roman"/>
          <w:szCs w:val="24"/>
        </w:rPr>
        <w:t>38</w:t>
      </w:r>
      <w:r w:rsidRPr="00B43436">
        <w:rPr>
          <w:rFonts w:cs="Times New Roman"/>
          <w:szCs w:val="24"/>
        </w:rPr>
        <w:t xml:space="preserve"> ×10³/µL, approaching near-normal levels</w:t>
      </w:r>
      <w:r w:rsidR="006B387E">
        <w:rPr>
          <w:rFonts w:cs="Times New Roman"/>
          <w:szCs w:val="24"/>
        </w:rPr>
        <w:t xml:space="preserve"> shown in </w:t>
      </w:r>
      <w:r w:rsidR="006B387E" w:rsidRPr="006B387E">
        <w:rPr>
          <w:rFonts w:cs="Times New Roman"/>
          <w:b/>
          <w:bCs/>
          <w:szCs w:val="24"/>
        </w:rPr>
        <w:t>Fig. 10 (A)</w:t>
      </w:r>
      <w:r w:rsidRPr="006B387E">
        <w:rPr>
          <w:rFonts w:cs="Times New Roman"/>
          <w:b/>
          <w:bCs/>
          <w:szCs w:val="24"/>
        </w:rPr>
        <w:t>.</w:t>
      </w:r>
    </w:p>
    <w:p w14:paraId="062D1F9C" w14:textId="40BE4560" w:rsidR="00B425E3" w:rsidRDefault="00B425E3" w:rsidP="00B425E3">
      <w:pPr>
        <w:spacing w:line="480" w:lineRule="auto"/>
        <w:jc w:val="both"/>
        <w:rPr>
          <w:rFonts w:cs="Times New Roman"/>
          <w:b/>
          <w:bCs/>
          <w:szCs w:val="24"/>
        </w:rPr>
      </w:pPr>
      <w:r w:rsidRPr="00B43436">
        <w:rPr>
          <w:rFonts w:cs="Times New Roman"/>
          <w:szCs w:val="24"/>
        </w:rPr>
        <w:t>Haemoglobin levels were significantly reduced in the Tumor Control group (2.7–4.2 g/dL) compared to Healthy mice (9.3–12.5 g/dL), indicating anaemia associated with DL progression. Chloroquine treatment improved Hb concentration in a dose-dependent manner. The low-dose group (25 mg/kg) recorded Hb values of 5.4–6.9</w:t>
      </w:r>
      <w:r>
        <w:rPr>
          <w:rFonts w:cs="Times New Roman"/>
          <w:szCs w:val="24"/>
        </w:rPr>
        <w:t>7</w:t>
      </w:r>
      <w:r w:rsidRPr="00B43436">
        <w:rPr>
          <w:rFonts w:cs="Times New Roman"/>
          <w:szCs w:val="24"/>
        </w:rPr>
        <w:t xml:space="preserve"> g/dL, while the high-dose group (50 mg/kg) showed further improvement (7.2–8.</w:t>
      </w:r>
      <w:r>
        <w:rPr>
          <w:rFonts w:cs="Times New Roman"/>
          <w:szCs w:val="24"/>
        </w:rPr>
        <w:t>6</w:t>
      </w:r>
      <w:r w:rsidRPr="00B43436">
        <w:rPr>
          <w:rFonts w:cs="Times New Roman"/>
          <w:szCs w:val="24"/>
        </w:rPr>
        <w:t>8 g/dL). Doxorubicin treatment also increased Hb levels (6.3–8.</w:t>
      </w:r>
      <w:r>
        <w:rPr>
          <w:rFonts w:cs="Times New Roman"/>
          <w:szCs w:val="24"/>
        </w:rPr>
        <w:t>27</w:t>
      </w:r>
      <w:r w:rsidRPr="00B43436">
        <w:rPr>
          <w:rFonts w:cs="Times New Roman"/>
          <w:szCs w:val="24"/>
        </w:rPr>
        <w:t xml:space="preserve"> g/dL), though values remained below those of Healthy controls.</w:t>
      </w:r>
      <w:r w:rsidR="006B387E">
        <w:rPr>
          <w:rFonts w:cs="Times New Roman"/>
          <w:szCs w:val="24"/>
        </w:rPr>
        <w:t xml:space="preserve"> shown in </w:t>
      </w:r>
      <w:r w:rsidR="006B387E" w:rsidRPr="006B387E">
        <w:rPr>
          <w:rFonts w:cs="Times New Roman"/>
          <w:b/>
          <w:bCs/>
          <w:szCs w:val="24"/>
        </w:rPr>
        <w:t>Fig. 10 (</w:t>
      </w:r>
      <w:r w:rsidR="006B387E">
        <w:rPr>
          <w:rFonts w:cs="Times New Roman"/>
          <w:b/>
          <w:bCs/>
          <w:szCs w:val="24"/>
        </w:rPr>
        <w:t>B</w:t>
      </w:r>
      <w:r w:rsidR="006B387E" w:rsidRPr="006B387E">
        <w:rPr>
          <w:rFonts w:cs="Times New Roman"/>
          <w:b/>
          <w:bCs/>
          <w:szCs w:val="24"/>
        </w:rPr>
        <w:t>).</w:t>
      </w:r>
    </w:p>
    <w:p w14:paraId="6EADD2F3" w14:textId="2C34EF6A" w:rsidR="006A3C37" w:rsidRDefault="004C1DC8" w:rsidP="00B425E3">
      <w:pPr>
        <w:spacing w:line="480" w:lineRule="auto"/>
        <w:jc w:val="both"/>
        <w:rPr>
          <w:rFonts w:cs="Times New Roman"/>
          <w:szCs w:val="24"/>
        </w:rPr>
      </w:pPr>
      <w:r>
        <w:rPr>
          <w:noProof/>
        </w:rPr>
        <mc:AlternateContent>
          <mc:Choice Requires="wps">
            <w:drawing>
              <wp:anchor distT="0" distB="0" distL="114300" distR="114300" simplePos="0" relativeHeight="251694080" behindDoc="0" locked="0" layoutInCell="1" allowOverlap="1" wp14:anchorId="2A6E0842" wp14:editId="52B27537">
                <wp:simplePos x="0" y="0"/>
                <wp:positionH relativeFrom="column">
                  <wp:posOffset>1217930</wp:posOffset>
                </wp:positionH>
                <wp:positionV relativeFrom="paragraph">
                  <wp:posOffset>31115</wp:posOffset>
                </wp:positionV>
                <wp:extent cx="490953" cy="257750"/>
                <wp:effectExtent l="0" t="0" r="23495" b="28575"/>
                <wp:wrapNone/>
                <wp:docPr id="1131363426" name="Rectangle 3"/>
                <wp:cNvGraphicFramePr/>
                <a:graphic xmlns:a="http://schemas.openxmlformats.org/drawingml/2006/main">
                  <a:graphicData uri="http://schemas.microsoft.com/office/word/2010/wordprocessingShape">
                    <wps:wsp>
                      <wps:cNvSpPr/>
                      <wps:spPr>
                        <a:xfrm>
                          <a:off x="0" y="0"/>
                          <a:ext cx="490953" cy="257750"/>
                        </a:xfrm>
                        <a:prstGeom prst="rect">
                          <a:avLst/>
                        </a:prstGeom>
                      </wps:spPr>
                      <wps:style>
                        <a:lnRef idx="2">
                          <a:schemeClr val="accent6"/>
                        </a:lnRef>
                        <a:fillRef idx="1">
                          <a:schemeClr val="lt1"/>
                        </a:fillRef>
                        <a:effectRef idx="0">
                          <a:schemeClr val="accent6"/>
                        </a:effectRef>
                        <a:fontRef idx="minor">
                          <a:schemeClr val="dk1"/>
                        </a:fontRef>
                      </wps:style>
                      <wps:txbx>
                        <w:txbxContent>
                          <w:p w14:paraId="464EDB9E" w14:textId="26BDE5EC" w:rsidR="00612DCF" w:rsidRPr="00D30027" w:rsidRDefault="00612DCF" w:rsidP="00612DCF">
                            <w:pPr>
                              <w:rPr>
                                <w:b/>
                                <w:bCs/>
                              </w:rPr>
                            </w:pPr>
                            <w:r>
                              <w:rPr>
                                <w:b/>
                                <w:bCs/>
                              </w:rPr>
                              <w:t>10 A AAAA</w:t>
                            </w:r>
                            <w:r w:rsidRPr="00D30027">
                              <w:rPr>
                                <w:b/>
                                <w:bCs/>
                              </w:rPr>
                              <w:t xml:space="preserve"> </w:t>
                            </w:r>
                            <w:r>
                              <w:rPr>
                                <w:b/>
                                <w:bCs/>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A6E0842" id="_x0000_s1043" style="position:absolute;left:0;text-align:left;margin-left:95.9pt;margin-top:2.45pt;width:38.65pt;height:20.3pt;z-index:251694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VzkVwIAAP4EAAAOAAAAZHJzL2Uyb0RvYy54bWysVN9v2jAQfp+0/8Hy+wgwKCtqqFCrTpNQ&#10;i0qnPhvHLtEcn3c2JOyv39mEwDqepr04d77f5+/LzW1TGbZT6EuwOR/0+pwpK6Eo7VvOv788fPrC&#10;mQ/CFsKAVTnfK89vZx8/3NRuqoawAVMoZJTE+mntcr4JwU2zzMuNqoTvgVOWjBqwEoFUfMsKFDVl&#10;r0w27PevshqwcAhSeU+39wcjn6X8WisZnrT2KjCTc+otpBPTuY5nNrsR0zcUblPKtg3xD11UorRU&#10;tEt1L4JgWyz/SlWVEsGDDj0JVQZal1KlGWiaQf/dNKuNcCrNQsvxrluT/39p5eNu5ZZIa6idn3oS&#10;4xSNxip+qT/WpGXtu2WpJjBJl6Pr/vX4M2eSTMPxZDJOy8xOwQ59+KqgYlHIOdJbpBWJ3cIHKkiu&#10;RxdSTuWTFPZGxQ6MfVaalQUVHKbohAx1Z5DtBL2pkFLZcBXfkfIl7ximS2O6wMGlQBMGbVDrG8NU&#10;QkwX2L8U+GfFLiJVBRu64Kq0gJcSFD+6ygf/4/SHmeP4oVk3NDQRahKbjFdrKPZLZAgHCHsnH0ra&#10;60L4sBRImCV0Ew/DEx3aQJ1zaCXONoC/Lt1Hf4ISWTmriQM59z+3AhVn5pslkF0PRqNImqSMxpMh&#10;KXhuWZ9b7La6A3qSATHeySRG/2COokaoXomu81iVTMJKqp1zGfCo3IUDN4nwUs3nyY2I4kRY2JWT&#10;MXlcdMTNS/Mq0LXgCoTKRzjyRUzfYezgGyMtzLcBdJkAeNpr+wREsoSj9ocQWXyuJ6/Tb2v2GwAA&#10;//8DAFBLAwQUAAYACAAAACEAZxEKb9sAAAAIAQAADwAAAGRycy9kb3ducmV2LnhtbEyPwU7DMBBE&#10;70j8g7VI3KiTQisS4lQFVLhCoeW6jZckIl5HsdOGv2c5wfFpVjNvi9XkOnWkIbSeDaSzBBRx5W3L&#10;tYH3t83VLagQkS12nsnANwVYlednBebWn/iVjttYKynhkKOBJsY+1zpUDTkMM98TS/bpB4dRcKi1&#10;HfAk5a7T8yRZaocty0KDPT00VH1tR2dgrJ7uP+p+/fK4ueZn7dPM7fbWmMuLaX0HKtIU/47hV1/U&#10;oRSngx/ZBtUJZ6moRwM3GSjJ58ssBXUQXixAl4X+/0D5AwAA//8DAFBLAQItABQABgAIAAAAIQC2&#10;gziS/gAAAOEBAAATAAAAAAAAAAAAAAAAAAAAAABbQ29udGVudF9UeXBlc10ueG1sUEsBAi0AFAAG&#10;AAgAAAAhADj9If/WAAAAlAEAAAsAAAAAAAAAAAAAAAAALwEAAF9yZWxzLy5yZWxzUEsBAi0AFAAG&#10;AAgAAAAhANyFXORXAgAA/gQAAA4AAAAAAAAAAAAAAAAALgIAAGRycy9lMm9Eb2MueG1sUEsBAi0A&#10;FAAGAAgAAAAhAGcRCm/bAAAACAEAAA8AAAAAAAAAAAAAAAAAsQQAAGRycy9kb3ducmV2LnhtbFBL&#10;BQYAAAAABAAEAPMAAAC5BQAAAAA=&#10;" fillcolor="white [3201]" strokecolor="#70ad47 [3209]" strokeweight="1pt">
                <v:textbox>
                  <w:txbxContent>
                    <w:p w14:paraId="464EDB9E" w14:textId="26BDE5EC" w:rsidR="00612DCF" w:rsidRPr="00D30027" w:rsidRDefault="00612DCF" w:rsidP="00612DCF">
                      <w:pPr>
                        <w:rPr>
                          <w:b/>
                          <w:bCs/>
                        </w:rPr>
                      </w:pPr>
                      <w:r>
                        <w:rPr>
                          <w:b/>
                          <w:bCs/>
                        </w:rPr>
                        <w:t>10 A AAAA</w:t>
                      </w:r>
                      <w:r w:rsidRPr="00D30027">
                        <w:rPr>
                          <w:b/>
                          <w:bCs/>
                        </w:rPr>
                        <w:t xml:space="preserve"> </w:t>
                      </w:r>
                      <w:r>
                        <w:rPr>
                          <w:b/>
                          <w:bCs/>
                        </w:rPr>
                        <w:t>A</w:t>
                      </w:r>
                    </w:p>
                  </w:txbxContent>
                </v:textbox>
              </v:rect>
            </w:pict>
          </mc:Fallback>
        </mc:AlternateContent>
      </w:r>
      <w:r>
        <w:rPr>
          <w:noProof/>
        </w:rPr>
        <mc:AlternateContent>
          <mc:Choice Requires="wps">
            <w:drawing>
              <wp:anchor distT="0" distB="0" distL="114300" distR="114300" simplePos="0" relativeHeight="251696128" behindDoc="0" locked="0" layoutInCell="1" allowOverlap="1" wp14:anchorId="46AB1F70" wp14:editId="17735848">
                <wp:simplePos x="0" y="0"/>
                <wp:positionH relativeFrom="column">
                  <wp:posOffset>4653915</wp:posOffset>
                </wp:positionH>
                <wp:positionV relativeFrom="paragraph">
                  <wp:posOffset>88265</wp:posOffset>
                </wp:positionV>
                <wp:extent cx="490953" cy="257750"/>
                <wp:effectExtent l="0" t="0" r="23495" b="28575"/>
                <wp:wrapNone/>
                <wp:docPr id="724526836" name="Rectangle 3"/>
                <wp:cNvGraphicFramePr/>
                <a:graphic xmlns:a="http://schemas.openxmlformats.org/drawingml/2006/main">
                  <a:graphicData uri="http://schemas.microsoft.com/office/word/2010/wordprocessingShape">
                    <wps:wsp>
                      <wps:cNvSpPr/>
                      <wps:spPr>
                        <a:xfrm>
                          <a:off x="0" y="0"/>
                          <a:ext cx="490953" cy="257750"/>
                        </a:xfrm>
                        <a:prstGeom prst="rect">
                          <a:avLst/>
                        </a:prstGeom>
                      </wps:spPr>
                      <wps:style>
                        <a:lnRef idx="2">
                          <a:schemeClr val="accent6"/>
                        </a:lnRef>
                        <a:fillRef idx="1">
                          <a:schemeClr val="lt1"/>
                        </a:fillRef>
                        <a:effectRef idx="0">
                          <a:schemeClr val="accent6"/>
                        </a:effectRef>
                        <a:fontRef idx="minor">
                          <a:schemeClr val="dk1"/>
                        </a:fontRef>
                      </wps:style>
                      <wps:txbx>
                        <w:txbxContent>
                          <w:p w14:paraId="7D2847DC" w14:textId="0FAFD257" w:rsidR="00612DCF" w:rsidRPr="00D30027" w:rsidRDefault="00612DCF" w:rsidP="00612DCF">
                            <w:pPr>
                              <w:rPr>
                                <w:b/>
                                <w:bCs/>
                              </w:rPr>
                            </w:pPr>
                            <w:r>
                              <w:rPr>
                                <w:b/>
                                <w:bCs/>
                              </w:rPr>
                              <w:t>10 B AAAA</w:t>
                            </w:r>
                            <w:r w:rsidRPr="00D30027">
                              <w:rPr>
                                <w:b/>
                                <w:bCs/>
                              </w:rPr>
                              <w:t xml:space="preserve"> </w:t>
                            </w:r>
                            <w:r>
                              <w:rPr>
                                <w:b/>
                                <w:bCs/>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6AB1F70" id="_x0000_s1044" style="position:absolute;left:0;text-align:left;margin-left:366.45pt;margin-top:6.95pt;width:38.65pt;height:20.3pt;z-index:251696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qJGWAIAAP4EAAAOAAAAZHJzL2Uyb0RvYy54bWysVN9v2jAQfp+0/8Hy+xpgUFpEqFCrTpNQ&#10;i0anPhvHhmiOzzsbEvbX72xC6Dqepr04d77f5+/L9K6pDNsr9CXYnPevepwpK6Eo7Sbn318eP91w&#10;5oOwhTBgVc4PyvO72ccP09pN1AC2YAqFjJJYP6ldzrchuEmWeblVlfBX4JQlowasRCAVN1mBoqbs&#10;lckGvd51VgMWDkEq7+n24Wjks5RfayXDs9ZeBWZyTr2FdGI61/HMZlMx2aBw21K2bYh/6KISpaWi&#10;XaoHEQTbYflXqqqUCB50uJJQZaB1KVWagabp995Ns9oKp9IstBzvujX5/5dWPu1Xbom0htr5iScx&#10;TtForOKX+mNNWtahW5ZqApN0Obzt3Y4+cybJNBiNx6O0zOwc7NCHLwoqFoWcI71FWpHYL3ygguR6&#10;ciHlXD5J4WBU7MDYb0qzsqCCgxSdkKHuDbK9oDcVUiobruM7Ur7kHcN0aUwX2L8UaEK/DWp9Y5hK&#10;iOkCe5cC/6zYRaSqYEMXXJUW8FKC4kdX+eh/mv44cxw/NOuGhiZC3cQm49UaisMSGcIRwt7Jx5L2&#10;uhA+LAUSZgndxMPwTIc2UOccWomzLeCvS/fRn6BEVs5q4kDO/c+dQMWZ+WoJZLf94TCSJinD0XhA&#10;Cr61rN9a7K66B3qSPjHeySRG/2BOokaoXomu81iVTMJKqp1zGfCk3IcjN4nwUs3nyY2I4kRY2JWT&#10;MXlcdMTNS/Mq0LXgCoTKJzjxRUzeYezoGyMtzHcBdJkAeN5r+wREsoSj9ocQWfxWT17n39bsNwAA&#10;AP//AwBQSwMEFAAGAAgAAAAhANC5NfjeAAAACQEAAA8AAABkcnMvZG93bnJldi54bWxMj01PwzAM&#10;hu9I+w+RkXZj6QeDrTSdNtDgCtuAa9aYtlrjVE26lX+POcHJst5Hrx/nq9G24oy9bxwpiGcRCKTS&#10;mYYqBYf99mYBwgdNRreOUME3elgVk6tcZ8Zd6A3Pu1AJLiGfaQV1CF0mpS9rtNrPXIfE2ZfrrQ68&#10;9pU0vb5wuW1lEkV30uqG+EKtO3yssTztBqtgKJ83n1W3fn3apvQiXby07x9Gqen1uH4AEXAMfzD8&#10;6rM6FOx0dAMZL1oF92myZJSDlCcDizhKQBwVzG/nIItc/v+g+AEAAP//AwBQSwECLQAUAAYACAAA&#10;ACEAtoM4kv4AAADhAQAAEwAAAAAAAAAAAAAAAAAAAAAAW0NvbnRlbnRfVHlwZXNdLnhtbFBLAQIt&#10;ABQABgAIAAAAIQA4/SH/1gAAAJQBAAALAAAAAAAAAAAAAAAAAC8BAABfcmVscy8ucmVsc1BLAQIt&#10;ABQABgAIAAAAIQBKpqJGWAIAAP4EAAAOAAAAAAAAAAAAAAAAAC4CAABkcnMvZTJvRG9jLnhtbFBL&#10;AQItABQABgAIAAAAIQDQuTX43gAAAAkBAAAPAAAAAAAAAAAAAAAAALIEAABkcnMvZG93bnJldi54&#10;bWxQSwUGAAAAAAQABADzAAAAvQUAAAAA&#10;" fillcolor="white [3201]" strokecolor="#70ad47 [3209]" strokeweight="1pt">
                <v:textbox>
                  <w:txbxContent>
                    <w:p w14:paraId="7D2847DC" w14:textId="0FAFD257" w:rsidR="00612DCF" w:rsidRPr="00D30027" w:rsidRDefault="00612DCF" w:rsidP="00612DCF">
                      <w:pPr>
                        <w:rPr>
                          <w:b/>
                          <w:bCs/>
                        </w:rPr>
                      </w:pPr>
                      <w:r>
                        <w:rPr>
                          <w:b/>
                          <w:bCs/>
                        </w:rPr>
                        <w:t>10 B AAAA</w:t>
                      </w:r>
                      <w:r w:rsidRPr="00D30027">
                        <w:rPr>
                          <w:b/>
                          <w:bCs/>
                        </w:rPr>
                        <w:t xml:space="preserve"> </w:t>
                      </w:r>
                      <w:r>
                        <w:rPr>
                          <w:b/>
                          <w:bCs/>
                        </w:rPr>
                        <w:t>A</w:t>
                      </w:r>
                    </w:p>
                  </w:txbxContent>
                </v:textbox>
              </v:rect>
            </w:pict>
          </mc:Fallback>
        </mc:AlternateContent>
      </w:r>
      <w:r w:rsidR="006A3C37">
        <w:rPr>
          <w:noProof/>
        </w:rPr>
        <w:drawing>
          <wp:inline distT="0" distB="0" distL="0" distR="0" wp14:anchorId="39F3125C" wp14:editId="06CF9B33">
            <wp:extent cx="2786158" cy="2726230"/>
            <wp:effectExtent l="0" t="0" r="0" b="0"/>
            <wp:docPr id="6893218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92258" cy="2732199"/>
                    </a:xfrm>
                    <a:prstGeom prst="rect">
                      <a:avLst/>
                    </a:prstGeom>
                    <a:noFill/>
                    <a:ln>
                      <a:noFill/>
                    </a:ln>
                  </pic:spPr>
                </pic:pic>
              </a:graphicData>
            </a:graphic>
          </wp:inline>
        </w:drawing>
      </w:r>
      <w:r w:rsidR="006A3C37">
        <w:rPr>
          <w:noProof/>
        </w:rPr>
        <w:drawing>
          <wp:inline distT="0" distB="0" distL="0" distR="0" wp14:anchorId="3D1430EF" wp14:editId="43D61425">
            <wp:extent cx="2613958" cy="2530519"/>
            <wp:effectExtent l="0" t="0" r="0" b="3175"/>
            <wp:docPr id="1908090453"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19298" cy="2535688"/>
                    </a:xfrm>
                    <a:prstGeom prst="rect">
                      <a:avLst/>
                    </a:prstGeom>
                    <a:noFill/>
                    <a:ln>
                      <a:noFill/>
                    </a:ln>
                  </pic:spPr>
                </pic:pic>
              </a:graphicData>
            </a:graphic>
          </wp:inline>
        </w:drawing>
      </w:r>
    </w:p>
    <w:p w14:paraId="20DED97C" w14:textId="77777777" w:rsidR="004761EA" w:rsidRDefault="004761EA" w:rsidP="004761EA">
      <w:pPr>
        <w:jc w:val="both"/>
      </w:pPr>
      <w:r>
        <w:rPr>
          <w:b/>
          <w:bCs/>
        </w:rPr>
        <w:t xml:space="preserve">Fig. 10 </w:t>
      </w:r>
      <w:r>
        <w:t>Mice received intraperitoneal injections of 1 × 10</w:t>
      </w:r>
      <w:r>
        <w:rPr>
          <w:vertAlign w:val="superscript"/>
        </w:rPr>
        <w:t>6</w:t>
      </w:r>
      <w:r>
        <w:t xml:space="preserve"> live DL cells and were treated for a duration of up to 18 days. Blood was collected and examined for </w:t>
      </w:r>
      <w:r>
        <w:rPr>
          <w:b/>
          <w:bCs/>
        </w:rPr>
        <w:t>(A)</w:t>
      </w:r>
      <w:r>
        <w:t xml:space="preserve"> white blood cells and </w:t>
      </w:r>
      <w:r>
        <w:rPr>
          <w:b/>
          <w:bCs/>
        </w:rPr>
        <w:t>(B)</w:t>
      </w:r>
      <w:r>
        <w:t xml:space="preserve"> </w:t>
      </w:r>
      <w:r>
        <w:lastRenderedPageBreak/>
        <w:t xml:space="preserve">haemoglobin. All results were shown as mean ± standard deviation (n = 6). Statistically significant at ** p&lt; 0.01 and ***p &lt; 0.001 when comparing DL vehicle-treated animals to normal mice, and ##p ≤ 0.001 and ###p ≤ 0.001 when comparing CQ-treated DL mice to vehicle-treated DL mice. </w:t>
      </w:r>
    </w:p>
    <w:p w14:paraId="5659882F" w14:textId="77777777" w:rsidR="006A3C37" w:rsidRPr="00461451" w:rsidRDefault="006A3C37" w:rsidP="00B425E3">
      <w:pPr>
        <w:spacing w:line="480" w:lineRule="auto"/>
        <w:jc w:val="both"/>
        <w:rPr>
          <w:rFonts w:cs="Times New Roman"/>
          <w:szCs w:val="24"/>
        </w:rPr>
      </w:pPr>
    </w:p>
    <w:bookmarkEnd w:id="1"/>
    <w:p w14:paraId="574A0BB8" w14:textId="0C245BB9" w:rsidR="009E5523" w:rsidRPr="00BA5A85" w:rsidRDefault="009E5523" w:rsidP="00013268">
      <w:pPr>
        <w:spacing w:line="480" w:lineRule="auto"/>
        <w:jc w:val="both"/>
        <w:rPr>
          <w:rFonts w:cs="Times New Roman"/>
          <w:b/>
          <w:bCs/>
          <w:szCs w:val="24"/>
        </w:rPr>
      </w:pPr>
      <w:r w:rsidRPr="00BA5A85">
        <w:rPr>
          <w:rFonts w:cs="Times New Roman"/>
          <w:b/>
          <w:bCs/>
          <w:szCs w:val="24"/>
        </w:rPr>
        <w:t>Discussion</w:t>
      </w:r>
    </w:p>
    <w:p w14:paraId="407B29C2" w14:textId="1EA4AFF1" w:rsidR="00B12CE5" w:rsidRPr="000D6D51" w:rsidRDefault="00CD3A15" w:rsidP="00B12CE5">
      <w:pPr>
        <w:spacing w:line="480" w:lineRule="auto"/>
        <w:jc w:val="both"/>
        <w:rPr>
          <w:rFonts w:cs="Times New Roman"/>
          <w:szCs w:val="24"/>
        </w:rPr>
      </w:pPr>
      <w:r w:rsidRPr="00CD3A15">
        <w:rPr>
          <w:rFonts w:cs="Times New Roman"/>
          <w:szCs w:val="24"/>
        </w:rPr>
        <w:t>The combined results of this investigation offer a thorough comprehension of the cytotoxic processes of chloroquine against DL cells, emphasising its capacity to cause cell cycle arrest and then set off a strong, mitochondria-mediated cascade of apoptosis. The preliminary morphological evaluations using DAPI and AO/EtBr staining demonstrated unequivocal, dose-dependent indications of apoptosis, showcasing distinct nuclear condensation, fragmentation, and membrane integrity loss. The qualitative observations were statistically validated using Annexin V/PI staining using microscopy and flow cytometry, which demonstrated a notable shift in the cell population towards early and late apoptosis following chloroquine t</w:t>
      </w:r>
      <w:r>
        <w:rPr>
          <w:rFonts w:cs="Times New Roman"/>
          <w:szCs w:val="24"/>
        </w:rPr>
        <w:t>reatment</w:t>
      </w:r>
      <w:r w:rsidRPr="00CD3A15">
        <w:rPr>
          <w:rFonts w:cs="Times New Roman"/>
          <w:szCs w:val="24"/>
        </w:rPr>
        <w:t>.</w:t>
      </w:r>
      <w:r w:rsidR="00F36533">
        <w:rPr>
          <w:rFonts w:cs="Times New Roman"/>
          <w:szCs w:val="24"/>
        </w:rPr>
        <w:t xml:space="preserve"> CQ also increases intracellular ROS production.</w:t>
      </w:r>
      <w:r>
        <w:rPr>
          <w:rFonts w:cs="Times New Roman"/>
          <w:szCs w:val="24"/>
        </w:rPr>
        <w:t xml:space="preserve"> </w:t>
      </w:r>
      <w:r w:rsidRPr="00CD3A15">
        <w:rPr>
          <w:rFonts w:cs="Times New Roman"/>
          <w:szCs w:val="24"/>
        </w:rPr>
        <w:t xml:space="preserve">A critical precursor to this apoptotic induction seems to be the interruption of cell cycle progression. Our flow cytometry data revealed a substantial increase </w:t>
      </w:r>
      <w:r>
        <w:rPr>
          <w:rFonts w:cs="Times New Roman"/>
          <w:szCs w:val="24"/>
        </w:rPr>
        <w:t>in</w:t>
      </w:r>
      <w:r w:rsidRPr="00CD3A15">
        <w:rPr>
          <w:rFonts w:cs="Times New Roman"/>
          <w:szCs w:val="24"/>
        </w:rPr>
        <w:t xml:space="preserve"> cells in the G2/M phase, suggesting that chloroquine imposes a checkpoint arrest. This arrest inhibits injured cells from undergoing mitosis and frequently represents a pivotal moment in determining the cell's fate</w:t>
      </w:r>
      <w:r>
        <w:rPr>
          <w:rFonts w:cs="Times New Roman"/>
          <w:szCs w:val="24"/>
        </w:rPr>
        <w:t xml:space="preserve">: </w:t>
      </w:r>
      <w:r w:rsidRPr="00CD3A15">
        <w:rPr>
          <w:rFonts w:cs="Times New Roman"/>
          <w:szCs w:val="24"/>
        </w:rPr>
        <w:t xml:space="preserve">survival or apoptosis. The primary mechanism facilitating this cell death procedure is the activation of the intrinsic apoptotic pathway, which initiates in the mitochondria. The JC-1 assay results unequivocally demonstrated a dose-dependent depolarisation of the mitochondrial membrane potential (ΔΨm), a pivotal upstream event in this cascade. The decline of ΔΨm is regulated by the Bcl-2 protein family. The Western blot analysis </w:t>
      </w:r>
      <w:r w:rsidR="00565423" w:rsidRPr="00CD3A15">
        <w:rPr>
          <w:rFonts w:cs="Times New Roman"/>
          <w:szCs w:val="24"/>
        </w:rPr>
        <w:t>validated</w:t>
      </w:r>
      <w:r w:rsidRPr="00CD3A15">
        <w:rPr>
          <w:rFonts w:cs="Times New Roman"/>
          <w:szCs w:val="24"/>
        </w:rPr>
        <w:t xml:space="preserve"> this, demonstrating that chloroquine treatment disturbs the essential equilibrium between pro- and anti-apoptotic proteins, resulting in an elevated Bax/Bcl-2 ratio. This transition enhances the permeabilization of the outer </w:t>
      </w:r>
      <w:r w:rsidRPr="00CD3A15">
        <w:rPr>
          <w:rFonts w:cs="Times New Roman"/>
          <w:szCs w:val="24"/>
        </w:rPr>
        <w:lastRenderedPageBreak/>
        <w:t>mitochondrial membrane, enabling the release of Cytochrome c into the cytosol.</w:t>
      </w:r>
      <w:r>
        <w:rPr>
          <w:rFonts w:cs="Times New Roman"/>
          <w:szCs w:val="24"/>
        </w:rPr>
        <w:t xml:space="preserve"> </w:t>
      </w:r>
      <w:r w:rsidRPr="00CD3A15">
        <w:rPr>
          <w:rFonts w:cs="Times New Roman"/>
          <w:szCs w:val="24"/>
        </w:rPr>
        <w:t xml:space="preserve">The release of Cytochrome c </w:t>
      </w:r>
      <w:r w:rsidRPr="00E607CF">
        <w:rPr>
          <w:rFonts w:cs="Times New Roman"/>
          <w:szCs w:val="24"/>
        </w:rPr>
        <w:t>begins</w:t>
      </w:r>
      <w:r w:rsidRPr="00CD3A15">
        <w:rPr>
          <w:rFonts w:cs="Times New Roman"/>
          <w:szCs w:val="24"/>
        </w:rPr>
        <w:t xml:space="preserve"> the terminal execution phase. Western blotting demonstrates that cytosolic Cytochrome c initiates the activation of the initiator Caspase-9</w:t>
      </w:r>
      <w:r w:rsidR="00E607CF" w:rsidRPr="00E607CF">
        <w:rPr>
          <w:rFonts w:cs="Times New Roman"/>
          <w:szCs w:val="24"/>
        </w:rPr>
        <w:t xml:space="preserve"> (not shown)</w:t>
      </w:r>
      <w:r w:rsidRPr="00CD3A15">
        <w:rPr>
          <w:rFonts w:cs="Times New Roman"/>
          <w:szCs w:val="24"/>
        </w:rPr>
        <w:t>, which subsequently activates the executioner Caspase-3, thus methodically disassembling the cell.</w:t>
      </w:r>
      <w:r w:rsidR="00565423">
        <w:rPr>
          <w:rFonts w:cs="Times New Roman"/>
          <w:szCs w:val="24"/>
        </w:rPr>
        <w:t xml:space="preserve"> In vivo study shows, </w:t>
      </w:r>
      <w:r w:rsidR="00565423" w:rsidRPr="000D6D51">
        <w:rPr>
          <w:rFonts w:cs="Times New Roman"/>
          <w:szCs w:val="24"/>
        </w:rPr>
        <w:t>Chloroquine treatment significantly attenuated tumor-associated changes in DL-bearing mice. The Tumor Control group showed marked increases in body weight and abdominal circumference due to tumor burden and ascitic fluid, whereas chloroquine, especially at the high dose, effectively minimized these effects, comparable to doxorubicin. Hematological analysis revealed severe leukocytosis and anaemia in Tumor Control mice, reflecting lymphoma progression. Chloroquine reduced WBC counts and improved haemoglobin levels in a dose-dependent manner, indicating suppression of abnormal proliferation and partial restoration of erythropoiesis.</w:t>
      </w:r>
      <w:r w:rsidR="00565423">
        <w:rPr>
          <w:rFonts w:cs="Times New Roman"/>
          <w:szCs w:val="24"/>
        </w:rPr>
        <w:t xml:space="preserve"> </w:t>
      </w:r>
      <w:r w:rsidR="00565423" w:rsidRPr="00E607CF">
        <w:rPr>
          <w:rFonts w:cs="Times New Roman"/>
          <w:szCs w:val="24"/>
        </w:rPr>
        <w:t>T</w:t>
      </w:r>
      <w:r w:rsidR="00565423" w:rsidRPr="00CD3A15">
        <w:rPr>
          <w:rFonts w:cs="Times New Roman"/>
          <w:szCs w:val="24"/>
        </w:rPr>
        <w:t xml:space="preserve">hese findings </w:t>
      </w:r>
      <w:r w:rsidR="00565423" w:rsidRPr="00E607CF">
        <w:rPr>
          <w:rFonts w:cs="Times New Roman"/>
          <w:szCs w:val="24"/>
        </w:rPr>
        <w:t>highlight</w:t>
      </w:r>
      <w:r w:rsidR="00565423" w:rsidRPr="00CD3A15">
        <w:rPr>
          <w:rFonts w:cs="Times New Roman"/>
          <w:szCs w:val="24"/>
        </w:rPr>
        <w:t xml:space="preserve"> that chloroquine's anti-cancer effectiveness is multifaceted, encompassing cell cycle arrest</w:t>
      </w:r>
      <w:r w:rsidR="00565423">
        <w:rPr>
          <w:rFonts w:cs="Times New Roman"/>
          <w:szCs w:val="24"/>
        </w:rPr>
        <w:t>,</w:t>
      </w:r>
      <w:r w:rsidR="00565423" w:rsidRPr="00CD3A15">
        <w:rPr>
          <w:rFonts w:cs="Times New Roman"/>
          <w:szCs w:val="24"/>
        </w:rPr>
        <w:t xml:space="preserve"> the direct</w:t>
      </w:r>
      <w:r w:rsidR="00B12CE5">
        <w:rPr>
          <w:rFonts w:cs="Times New Roman"/>
          <w:szCs w:val="24"/>
        </w:rPr>
        <w:t xml:space="preserve"> and</w:t>
      </w:r>
      <w:r w:rsidR="00565423" w:rsidRPr="00CD3A15">
        <w:rPr>
          <w:rFonts w:cs="Times New Roman"/>
          <w:szCs w:val="24"/>
        </w:rPr>
        <w:t xml:space="preserve"> robust activation of the intrinsic apoptotic pathway</w:t>
      </w:r>
      <w:r w:rsidR="00B12CE5">
        <w:rPr>
          <w:rFonts w:cs="Times New Roman"/>
          <w:szCs w:val="24"/>
        </w:rPr>
        <w:t>. T</w:t>
      </w:r>
      <w:r w:rsidR="00B12CE5" w:rsidRPr="000D6D51">
        <w:rPr>
          <w:rFonts w:cs="Times New Roman"/>
          <w:szCs w:val="24"/>
        </w:rPr>
        <w:t xml:space="preserve">hese findings </w:t>
      </w:r>
      <w:r w:rsidR="00B12CE5">
        <w:rPr>
          <w:rFonts w:cs="Times New Roman"/>
          <w:szCs w:val="24"/>
        </w:rPr>
        <w:t xml:space="preserve">also </w:t>
      </w:r>
      <w:r w:rsidR="00B12CE5" w:rsidRPr="000D6D51">
        <w:rPr>
          <w:rFonts w:cs="Times New Roman"/>
          <w:szCs w:val="24"/>
        </w:rPr>
        <w:t>suggest that chloroquine can mitigate physiological and hematological alterations in DL-bearing mice, highlighting its potential as a therapeutic option in lymphoma management.</w:t>
      </w:r>
    </w:p>
    <w:p w14:paraId="3098FEF6" w14:textId="62EE0BB8" w:rsidR="00AA57B8" w:rsidRPr="00B12CE5" w:rsidRDefault="00565423" w:rsidP="00013268">
      <w:pPr>
        <w:spacing w:line="480" w:lineRule="auto"/>
        <w:jc w:val="both"/>
        <w:rPr>
          <w:rFonts w:cs="Times New Roman"/>
          <w:szCs w:val="24"/>
        </w:rPr>
      </w:pPr>
      <w:r w:rsidRPr="00CD3A15">
        <w:rPr>
          <w:rFonts w:cs="Times New Roman"/>
          <w:szCs w:val="24"/>
        </w:rPr>
        <w:t xml:space="preserve"> </w:t>
      </w:r>
      <w:r w:rsidR="000E4F6E" w:rsidRPr="00BA5A85">
        <w:rPr>
          <w:rFonts w:cs="Times New Roman"/>
          <w:b/>
          <w:bCs/>
          <w:szCs w:val="24"/>
        </w:rPr>
        <w:t>Conclusion</w:t>
      </w:r>
    </w:p>
    <w:p w14:paraId="5EC4BEF1" w14:textId="77777777" w:rsidR="00777FE5" w:rsidRDefault="00F36533" w:rsidP="006610D3">
      <w:pPr>
        <w:spacing w:line="480" w:lineRule="auto"/>
        <w:jc w:val="both"/>
        <w:rPr>
          <w:rFonts w:cs="Times New Roman"/>
          <w:szCs w:val="24"/>
        </w:rPr>
      </w:pPr>
      <w:r w:rsidRPr="00F36533">
        <w:rPr>
          <w:rFonts w:cs="Times New Roman"/>
          <w:szCs w:val="24"/>
        </w:rPr>
        <w:t xml:space="preserve">This study offers a thorough mechanistic insight into chloroquine's significant anti-neoplastic effects on Dalton's Lymphoma. The drug's diverse effectiveness begins with the establishment of a G2/M cell cycle arrest, which then activates a strong induction of apoptosis through the intrinsic mitochondrial route. This is supported by a dose-dependent reduction in mitochondrial membrane potential, an increased Bax/Bcl-2 ratio, and the sequential activation of the Caspase-9/Caspase-3 pathway. Importantly, these direct cytotoxic pathways result in substantial therapeutic effects in vivo, where chloroquine treatment not only managed tumour burden but also improved the related physiological and haematological disorders, including leukocytosis </w:t>
      </w:r>
      <w:r w:rsidRPr="00F36533">
        <w:rPr>
          <w:rFonts w:cs="Times New Roman"/>
          <w:szCs w:val="24"/>
        </w:rPr>
        <w:lastRenderedPageBreak/>
        <w:t>and anaemia. Thus, by combining the ability to directly destroy cells with the reduction of systemic diseases, this study makes chloroquine an attractive treatment option for lymphoma.</w:t>
      </w:r>
    </w:p>
    <w:p w14:paraId="01C9EA47" w14:textId="31405A62" w:rsidR="007909BC" w:rsidRPr="007909BC" w:rsidRDefault="007909BC" w:rsidP="007909BC">
      <w:pPr>
        <w:rPr>
          <w:b/>
          <w:bCs/>
        </w:rPr>
      </w:pPr>
      <w:r w:rsidRPr="007909BC">
        <w:rPr>
          <w:b/>
          <w:bCs/>
        </w:rPr>
        <w:t xml:space="preserve">Abbreviations </w:t>
      </w:r>
    </w:p>
    <w:p w14:paraId="1FA3F83C" w14:textId="5DEDAB1A" w:rsidR="007909BC" w:rsidRDefault="007909BC" w:rsidP="007909BC">
      <w:r>
        <w:t>AO                       Acridine orange</w:t>
      </w:r>
    </w:p>
    <w:p w14:paraId="7076D855" w14:textId="77777777" w:rsidR="007909BC" w:rsidRDefault="007909BC" w:rsidP="007909BC">
      <w:r>
        <w:t>EtBr                     Ethidium bromide</w:t>
      </w:r>
    </w:p>
    <w:p w14:paraId="1A561A1C" w14:textId="77777777" w:rsidR="007909BC" w:rsidRDefault="007909BC" w:rsidP="007909BC">
      <w:r>
        <w:t>Bcl-2                    B-cell lymphoma 2</w:t>
      </w:r>
    </w:p>
    <w:p w14:paraId="743466EE" w14:textId="77777777" w:rsidR="007909BC" w:rsidRDefault="007909BC" w:rsidP="007909BC">
      <w:proofErr w:type="spellStart"/>
      <w:r>
        <w:t>Cyt</w:t>
      </w:r>
      <w:proofErr w:type="spellEnd"/>
      <w:r>
        <w:t>-c                    Cytochrome-c</w:t>
      </w:r>
    </w:p>
    <w:p w14:paraId="195DB299" w14:textId="77777777" w:rsidR="007909BC" w:rsidRDefault="007909BC" w:rsidP="007909BC">
      <w:r>
        <w:t>CQ                       Chloroquine</w:t>
      </w:r>
    </w:p>
    <w:p w14:paraId="3A994E0E" w14:textId="77777777" w:rsidR="007909BC" w:rsidRDefault="007909BC" w:rsidP="007909BC">
      <w:r>
        <w:t>DL cells                Dalton’s lymphoma cells</w:t>
      </w:r>
    </w:p>
    <w:p w14:paraId="26544AF3" w14:textId="77777777" w:rsidR="007909BC" w:rsidRDefault="007909BC" w:rsidP="007909BC">
      <w:r>
        <w:t>DAPI                    4′ 6-diamidino-2-phenylindole</w:t>
      </w:r>
    </w:p>
    <w:p w14:paraId="0ACC1A48" w14:textId="77777777" w:rsidR="007909BC" w:rsidRDefault="007909BC" w:rsidP="007909BC">
      <w:r>
        <w:t>DCFH-DA            Dichloro-dihydro-fluorescein diacetate</w:t>
      </w:r>
    </w:p>
    <w:p w14:paraId="5318F301" w14:textId="77777777" w:rsidR="007909BC" w:rsidRDefault="007909BC" w:rsidP="007909BC">
      <w:r>
        <w:t>ECL                      Enhanced chemiluminescent</w:t>
      </w:r>
    </w:p>
    <w:p w14:paraId="7F2F45B3" w14:textId="77777777" w:rsidR="007909BC" w:rsidRDefault="007909BC" w:rsidP="007909BC">
      <w:r>
        <w:t xml:space="preserve">FBS                      </w:t>
      </w:r>
      <w:proofErr w:type="spellStart"/>
      <w:r>
        <w:t>Fetal</w:t>
      </w:r>
      <w:proofErr w:type="spellEnd"/>
      <w:r>
        <w:t xml:space="preserve"> Bovine Serum</w:t>
      </w:r>
    </w:p>
    <w:p w14:paraId="5391EA26" w14:textId="77777777" w:rsidR="007909BC" w:rsidRDefault="007909BC" w:rsidP="007909BC">
      <w:r>
        <w:t>FITC                    Fluorescein iso-thiocyanate</w:t>
      </w:r>
    </w:p>
    <w:p w14:paraId="1FD0930A" w14:textId="77777777" w:rsidR="007909BC" w:rsidRDefault="007909BC" w:rsidP="007909BC">
      <w:r>
        <w:t>JC-1                     5,5’,6,6’-tetrachloro-1,1’,3,3’-tetraethylbenzimidazolylcarbocyanine iodide</w:t>
      </w:r>
    </w:p>
    <w:p w14:paraId="1FA5BB4E" w14:textId="77777777" w:rsidR="007909BC" w:rsidRDefault="007909BC" w:rsidP="007909BC">
      <w:proofErr w:type="spellStart"/>
      <w:r>
        <w:t>ΔΨm</w:t>
      </w:r>
      <w:proofErr w:type="spellEnd"/>
      <w:r>
        <w:t xml:space="preserve">                    Mitochondrial membrane potential</w:t>
      </w:r>
    </w:p>
    <w:p w14:paraId="340F5C8E" w14:textId="77777777" w:rsidR="007909BC" w:rsidRDefault="007909BC" w:rsidP="007909BC">
      <w:r>
        <w:t>MTT                    3-(4,5-Dimethylthiazol-2-yl)-2,5-Diphenyltetrazolium Bromide</w:t>
      </w:r>
    </w:p>
    <w:p w14:paraId="4C5E766C" w14:textId="77777777" w:rsidR="007909BC" w:rsidRDefault="007909BC" w:rsidP="007909BC">
      <w:r>
        <w:t xml:space="preserve"> PI                       Propidium iodide</w:t>
      </w:r>
    </w:p>
    <w:p w14:paraId="5EF1E7F9" w14:textId="77777777" w:rsidR="007909BC" w:rsidRDefault="007909BC" w:rsidP="007909BC">
      <w:r>
        <w:t>PVDF                 Polyvinylidene fluoride</w:t>
      </w:r>
    </w:p>
    <w:p w14:paraId="015D1407" w14:textId="77777777" w:rsidR="007909BC" w:rsidRDefault="007909BC" w:rsidP="007909BC">
      <w:r>
        <w:t>RIPA                  Radio-immunoprecipitation assay buffer</w:t>
      </w:r>
    </w:p>
    <w:p w14:paraId="6AD5F87A" w14:textId="77777777" w:rsidR="007909BC" w:rsidRDefault="007909BC" w:rsidP="007909BC">
      <w:r>
        <w:t>ROS                    Reactive oxygen species</w:t>
      </w:r>
    </w:p>
    <w:p w14:paraId="062A3B8F" w14:textId="669204D4" w:rsidR="007909BC" w:rsidRDefault="007909BC" w:rsidP="00B07C85">
      <w:r>
        <w:t>SDS-PAGE        Sodium Dodecyl Sulphate–Polyacrylamide Gel Electrophoresis</w:t>
      </w:r>
    </w:p>
    <w:p w14:paraId="35AD1EE7" w14:textId="77777777" w:rsidR="00CC0E10" w:rsidRDefault="00CC0E10" w:rsidP="00B07C85"/>
    <w:p w14:paraId="7FD5D539" w14:textId="77777777" w:rsidR="00CC0E10" w:rsidRPr="00CC0E10" w:rsidRDefault="00CC0E10" w:rsidP="00CC0E10">
      <w:pPr>
        <w:jc w:val="both"/>
      </w:pPr>
      <w:r w:rsidRPr="00CC0E10">
        <w:rPr>
          <w:b/>
          <w:bCs/>
        </w:rPr>
        <w:t>Acknowledgements</w:t>
      </w:r>
      <w:r w:rsidRPr="00CC0E10">
        <w:t xml:space="preserve"> </w:t>
      </w:r>
    </w:p>
    <w:p w14:paraId="4961FB0B" w14:textId="77777777" w:rsidR="00CC0E10" w:rsidRPr="00CC0E10" w:rsidRDefault="00CC0E10" w:rsidP="00CC0E10">
      <w:pPr>
        <w:spacing w:line="360" w:lineRule="auto"/>
        <w:jc w:val="both"/>
      </w:pPr>
      <w:r w:rsidRPr="00CC0E10">
        <w:t>A.A. acknowledges SERB and DHR New Delhi. IoE, Banaras Hindu University for their grant. We are highly thankful to the ISLS and Central Discovery Centre, Banaras Hindu University for providing the instrumentation facility</w:t>
      </w:r>
    </w:p>
    <w:p w14:paraId="4EE8C144" w14:textId="77777777" w:rsidR="00CC0E10" w:rsidRPr="00CC0E10" w:rsidRDefault="00CC0E10" w:rsidP="00CC0E10">
      <w:pPr>
        <w:jc w:val="both"/>
        <w:rPr>
          <w:b/>
          <w:bCs/>
        </w:rPr>
      </w:pPr>
      <w:r w:rsidRPr="00CC0E10">
        <w:rPr>
          <w:b/>
          <w:bCs/>
        </w:rPr>
        <w:t xml:space="preserve">Author Contributions </w:t>
      </w:r>
    </w:p>
    <w:p w14:paraId="524B3999" w14:textId="77777777" w:rsidR="00CC0E10" w:rsidRPr="00CC0E10" w:rsidRDefault="00CC0E10" w:rsidP="00CC0E10">
      <w:pPr>
        <w:spacing w:line="360" w:lineRule="auto"/>
        <w:jc w:val="both"/>
      </w:pPr>
      <w:r w:rsidRPr="00CC0E10">
        <w:t xml:space="preserve">V.S. contributed to the data analysis, investigation, design, execution of the experiments, writing, and drafting the original manuscript. All experimental data were analysed and drafting </w:t>
      </w:r>
      <w:r w:rsidRPr="00CC0E10">
        <w:lastRenderedPageBreak/>
        <w:t>by A.K.P. and., N.K., H.J contributed to the article review and editing. The manuscript was critically revised for accurate, knowledgeable content by A.A. Finally, all authors approved the final version of the manuscript for publication</w:t>
      </w:r>
    </w:p>
    <w:p w14:paraId="2AED9201" w14:textId="77777777" w:rsidR="00CC0E10" w:rsidRPr="00CC0E10" w:rsidRDefault="00CC0E10" w:rsidP="00CC0E10">
      <w:pPr>
        <w:jc w:val="both"/>
        <w:rPr>
          <w:b/>
          <w:bCs/>
        </w:rPr>
      </w:pPr>
      <w:r w:rsidRPr="00CC0E10">
        <w:rPr>
          <w:b/>
          <w:bCs/>
        </w:rPr>
        <w:t xml:space="preserve">Compliance with ethical standards Conflict of interest </w:t>
      </w:r>
    </w:p>
    <w:p w14:paraId="7706E7A8" w14:textId="77777777" w:rsidR="00CC0E10" w:rsidRPr="00CC0E10" w:rsidRDefault="00CC0E10" w:rsidP="00CC0E10">
      <w:pPr>
        <w:jc w:val="both"/>
      </w:pPr>
      <w:r w:rsidRPr="00CC0E10">
        <w:t>The authors declare no competing interests.</w:t>
      </w:r>
    </w:p>
    <w:p w14:paraId="59255B30" w14:textId="77777777" w:rsidR="00CC0E10" w:rsidRDefault="00CC0E10" w:rsidP="00CC0E10">
      <w:pPr>
        <w:jc w:val="both"/>
      </w:pPr>
    </w:p>
    <w:p w14:paraId="6DA393E1" w14:textId="77777777" w:rsidR="00B07C85" w:rsidRPr="00B07C85" w:rsidRDefault="00B07C85" w:rsidP="00B07C85"/>
    <w:p w14:paraId="114FB819" w14:textId="7DAFDD2B" w:rsidR="00257C11" w:rsidRPr="006610D3" w:rsidRDefault="00803AE5" w:rsidP="006610D3">
      <w:pPr>
        <w:spacing w:line="480" w:lineRule="auto"/>
        <w:jc w:val="both"/>
        <w:rPr>
          <w:rFonts w:cs="Times New Roman"/>
          <w:szCs w:val="24"/>
        </w:rPr>
      </w:pPr>
      <w:r w:rsidRPr="00BA5A85">
        <w:rPr>
          <w:rFonts w:cs="Times New Roman"/>
          <w:b/>
          <w:bCs/>
          <w:szCs w:val="24"/>
        </w:rPr>
        <w:t>References</w:t>
      </w:r>
    </w:p>
    <w:p w14:paraId="3DFAC6E3" w14:textId="77777777" w:rsidR="00F36533" w:rsidRDefault="00257C11" w:rsidP="00F36533">
      <w:pPr>
        <w:pStyle w:val="ListParagraph"/>
        <w:numPr>
          <w:ilvl w:val="0"/>
          <w:numId w:val="2"/>
        </w:numPr>
        <w:spacing w:line="480" w:lineRule="auto"/>
        <w:jc w:val="both"/>
        <w:rPr>
          <w:rFonts w:cs="Times New Roman"/>
          <w:szCs w:val="24"/>
        </w:rPr>
      </w:pPr>
      <w:r w:rsidRPr="00BA5A85">
        <w:rPr>
          <w:rFonts w:cs="Times New Roman"/>
          <w:szCs w:val="24"/>
        </w:rPr>
        <w:t>Wang, H., Wang, Z., Wei, C., Wang, J., Xu, Y., Bai, G., ... &amp; Chen, Y. (2021). Anticancer potential of indirubins in medicinal chemistry: Biological activity, structural modification, and structure-activity relationship. </w:t>
      </w:r>
      <w:r w:rsidRPr="00BA5A85">
        <w:rPr>
          <w:rFonts w:cs="Times New Roman"/>
          <w:i/>
          <w:iCs/>
          <w:szCs w:val="24"/>
        </w:rPr>
        <w:t>European Journal of Medicinal Chemistry</w:t>
      </w:r>
      <w:r w:rsidRPr="00BA5A85">
        <w:rPr>
          <w:rFonts w:cs="Times New Roman"/>
          <w:szCs w:val="24"/>
        </w:rPr>
        <w:t>, </w:t>
      </w:r>
      <w:r w:rsidRPr="00BA5A85">
        <w:rPr>
          <w:rFonts w:cs="Times New Roman"/>
          <w:i/>
          <w:iCs/>
          <w:szCs w:val="24"/>
        </w:rPr>
        <w:t>223</w:t>
      </w:r>
      <w:r w:rsidRPr="00BA5A85">
        <w:rPr>
          <w:rFonts w:cs="Times New Roman"/>
          <w:szCs w:val="24"/>
        </w:rPr>
        <w:t>, 113652.</w:t>
      </w:r>
    </w:p>
    <w:p w14:paraId="712D70AF" w14:textId="77777777" w:rsidR="00F36533" w:rsidRPr="00F36533" w:rsidRDefault="00BA5A85" w:rsidP="00F36533">
      <w:pPr>
        <w:pStyle w:val="ListParagraph"/>
        <w:numPr>
          <w:ilvl w:val="0"/>
          <w:numId w:val="2"/>
        </w:numPr>
        <w:spacing w:line="480" w:lineRule="auto"/>
        <w:jc w:val="both"/>
        <w:rPr>
          <w:rFonts w:cs="Times New Roman"/>
          <w:szCs w:val="24"/>
        </w:rPr>
      </w:pPr>
      <w:r w:rsidRPr="00F36533">
        <w:t xml:space="preserve">Bray, F., </w:t>
      </w:r>
      <w:proofErr w:type="spellStart"/>
      <w:r w:rsidRPr="00F36533">
        <w:t>Laversanne</w:t>
      </w:r>
      <w:proofErr w:type="spellEnd"/>
      <w:r w:rsidRPr="00F36533">
        <w:t xml:space="preserve">, M., Sung, H., </w:t>
      </w:r>
      <w:proofErr w:type="spellStart"/>
      <w:r w:rsidRPr="00F36533">
        <w:t>Ferlay</w:t>
      </w:r>
      <w:proofErr w:type="spellEnd"/>
      <w:r w:rsidRPr="00F36533">
        <w:t xml:space="preserve">, J., Siegel, R. L., </w:t>
      </w:r>
      <w:proofErr w:type="spellStart"/>
      <w:r w:rsidRPr="00F36533">
        <w:t>Soerjomataram</w:t>
      </w:r>
      <w:proofErr w:type="spellEnd"/>
      <w:r w:rsidRPr="00F36533">
        <w:t>, I., &amp; Jemal, A. (2024). Global cancer statistics 2022: GLOBOCAN estimates of incidence and mortality worldwide for 36 cancers in 185 countries. </w:t>
      </w:r>
      <w:r w:rsidRPr="00F36533">
        <w:rPr>
          <w:i/>
          <w:iCs/>
        </w:rPr>
        <w:t>CA: a cancer journal for clinicians</w:t>
      </w:r>
      <w:r w:rsidRPr="00F36533">
        <w:t>, </w:t>
      </w:r>
      <w:r w:rsidRPr="00F36533">
        <w:rPr>
          <w:i/>
          <w:iCs/>
        </w:rPr>
        <w:t>74</w:t>
      </w:r>
      <w:r w:rsidRPr="00F36533">
        <w:t>(3), 229-263.</w:t>
      </w:r>
    </w:p>
    <w:p w14:paraId="2CC64631" w14:textId="77777777" w:rsidR="00F36533" w:rsidRPr="00F36533" w:rsidRDefault="00784465" w:rsidP="00F36533">
      <w:pPr>
        <w:pStyle w:val="ListParagraph"/>
        <w:numPr>
          <w:ilvl w:val="0"/>
          <w:numId w:val="2"/>
        </w:numPr>
        <w:spacing w:line="480" w:lineRule="auto"/>
        <w:jc w:val="both"/>
        <w:rPr>
          <w:rFonts w:cs="Times New Roman"/>
          <w:szCs w:val="24"/>
        </w:rPr>
      </w:pPr>
      <w:r w:rsidRPr="00BA5A85">
        <w:t xml:space="preserve">Paim, J., Travassos, C., Almeida, C., Bahia, L., &amp; Macinko, J. (2011). The Brazilian health system: history, advances, and challenges. </w:t>
      </w:r>
      <w:r w:rsidRPr="00F36533">
        <w:rPr>
          <w:i/>
          <w:iCs/>
        </w:rPr>
        <w:t>The Lancet</w:t>
      </w:r>
      <w:r w:rsidRPr="00BA5A85">
        <w:t xml:space="preserve">, </w:t>
      </w:r>
      <w:r w:rsidRPr="00F36533">
        <w:rPr>
          <w:i/>
          <w:iCs/>
        </w:rPr>
        <w:t>377</w:t>
      </w:r>
      <w:r w:rsidRPr="00BA5A85">
        <w:t xml:space="preserve">(9779), 1778–1797. </w:t>
      </w:r>
    </w:p>
    <w:p w14:paraId="2587A743" w14:textId="77777777" w:rsidR="00F36533" w:rsidRPr="00F36533" w:rsidRDefault="002C2B7B" w:rsidP="00F36533">
      <w:pPr>
        <w:pStyle w:val="ListParagraph"/>
        <w:numPr>
          <w:ilvl w:val="0"/>
          <w:numId w:val="2"/>
        </w:numPr>
        <w:spacing w:line="480" w:lineRule="auto"/>
        <w:jc w:val="both"/>
        <w:rPr>
          <w:rFonts w:cs="Times New Roman"/>
          <w:szCs w:val="24"/>
        </w:rPr>
      </w:pPr>
      <w:r w:rsidRPr="00BA5A85">
        <w:t>Kumari, R., Pandey, S. K., Patel, A. K., Kushwaha, D., Acharya, A., &amp; Bharty, M. K. (2024). Exploring 2-(</w:t>
      </w:r>
      <w:proofErr w:type="spellStart"/>
      <w:r w:rsidRPr="00BA5A85">
        <w:t>benzylthio</w:t>
      </w:r>
      <w:proofErr w:type="spellEnd"/>
      <w:r w:rsidRPr="00BA5A85">
        <w:t>)-5-(4-nitrophenyl)-1, 3, 4-oxadiazole as antiproliferative agent: Synthesis, single crystal XRD, DFT, Hirshfeld surface analysis, in vitro antiproliferative activity and molecular docking analysis. </w:t>
      </w:r>
      <w:r w:rsidRPr="00F36533">
        <w:rPr>
          <w:i/>
          <w:iCs/>
        </w:rPr>
        <w:t>Journal of Molecular Structure</w:t>
      </w:r>
      <w:r w:rsidRPr="00BA5A85">
        <w:t>, </w:t>
      </w:r>
      <w:r w:rsidRPr="00F36533">
        <w:rPr>
          <w:i/>
          <w:iCs/>
        </w:rPr>
        <w:t>1311</w:t>
      </w:r>
      <w:r w:rsidRPr="00BA5A85">
        <w:t>, 138422.</w:t>
      </w:r>
    </w:p>
    <w:p w14:paraId="61994F57" w14:textId="77777777" w:rsidR="00F36533" w:rsidRPr="00F36533" w:rsidRDefault="00905742" w:rsidP="00F36533">
      <w:pPr>
        <w:pStyle w:val="ListParagraph"/>
        <w:numPr>
          <w:ilvl w:val="0"/>
          <w:numId w:val="2"/>
        </w:numPr>
        <w:spacing w:line="480" w:lineRule="auto"/>
        <w:jc w:val="both"/>
        <w:rPr>
          <w:rFonts w:cs="Times New Roman"/>
          <w:szCs w:val="24"/>
        </w:rPr>
      </w:pPr>
      <w:r w:rsidRPr="00BA5A85">
        <w:t xml:space="preserve">Gupta, S., Pandey, S. K., Kumar, S., Gautam, R. N., Patel, A. K., Bharty, M. K., ... &amp; Butcher, R. J. (2023). Experimental, spectroscopic, and theoretical investigation on </w:t>
      </w:r>
      <w:r w:rsidRPr="00BA5A85">
        <w:lastRenderedPageBreak/>
        <w:t xml:space="preserve">structural and anticancer activities of Schiff bases derived from </w:t>
      </w:r>
      <w:proofErr w:type="spellStart"/>
      <w:r w:rsidRPr="00BA5A85">
        <w:t>isonicotinohydrazide</w:t>
      </w:r>
      <w:proofErr w:type="spellEnd"/>
      <w:r w:rsidRPr="00BA5A85">
        <w:t>. </w:t>
      </w:r>
      <w:r w:rsidRPr="00F36533">
        <w:rPr>
          <w:i/>
          <w:iCs/>
        </w:rPr>
        <w:t>Journal of Molecular Structure</w:t>
      </w:r>
      <w:r w:rsidRPr="00BA5A85">
        <w:t>, </w:t>
      </w:r>
      <w:r w:rsidRPr="00F36533">
        <w:rPr>
          <w:i/>
          <w:iCs/>
        </w:rPr>
        <w:t>1293</w:t>
      </w:r>
      <w:r w:rsidRPr="00BA5A85">
        <w:t>, 136212.</w:t>
      </w:r>
    </w:p>
    <w:p w14:paraId="337B671D" w14:textId="77777777" w:rsidR="00F36533" w:rsidRPr="00F36533" w:rsidRDefault="00A60ACD" w:rsidP="00F36533">
      <w:pPr>
        <w:pStyle w:val="ListParagraph"/>
        <w:numPr>
          <w:ilvl w:val="0"/>
          <w:numId w:val="2"/>
        </w:numPr>
        <w:spacing w:line="480" w:lineRule="auto"/>
        <w:jc w:val="both"/>
        <w:rPr>
          <w:rFonts w:cs="Times New Roman"/>
          <w:szCs w:val="24"/>
        </w:rPr>
      </w:pPr>
      <w:r w:rsidRPr="00BA5A85">
        <w:t>Kumar, S., Verma, P. K., Shukla, A., Singh, R. K., Patel, A. K., Yadav, L., ... &amp; Acharya, A. (2023). Moringa oleifera L. leaf extract induces cell cycle arrest and mitochondrial apoptosis in Dalton's Lymphoma: An in vitro and in vivo study. </w:t>
      </w:r>
      <w:r w:rsidRPr="00F36533">
        <w:rPr>
          <w:i/>
          <w:iCs/>
        </w:rPr>
        <w:t>Journal of Ethnopharmacology</w:t>
      </w:r>
      <w:r w:rsidRPr="00BA5A85">
        <w:t>, </w:t>
      </w:r>
      <w:r w:rsidRPr="00F36533">
        <w:rPr>
          <w:i/>
          <w:iCs/>
        </w:rPr>
        <w:t>302</w:t>
      </w:r>
      <w:r w:rsidRPr="00BA5A85">
        <w:t>, 115849.</w:t>
      </w:r>
    </w:p>
    <w:p w14:paraId="7C1C715A" w14:textId="77777777" w:rsidR="00F36533" w:rsidRPr="00F36533" w:rsidRDefault="009634B5" w:rsidP="00F36533">
      <w:pPr>
        <w:pStyle w:val="ListParagraph"/>
        <w:numPr>
          <w:ilvl w:val="0"/>
          <w:numId w:val="2"/>
        </w:numPr>
        <w:spacing w:line="480" w:lineRule="auto"/>
        <w:jc w:val="both"/>
        <w:rPr>
          <w:rFonts w:cs="Times New Roman"/>
          <w:szCs w:val="24"/>
        </w:rPr>
      </w:pPr>
      <w:r w:rsidRPr="00BA5A85">
        <w:t>Koiri, R. K., Mehrotra, A., &amp; Trigun, S. K. (2017). Dalton’s lymphoma as a murine model for understanding the progression and development of t-cell lymphoma and its role in drug discovery. </w:t>
      </w:r>
      <w:r w:rsidRPr="00F36533">
        <w:rPr>
          <w:i/>
          <w:iCs/>
        </w:rPr>
        <w:t xml:space="preserve">Int j </w:t>
      </w:r>
      <w:proofErr w:type="spellStart"/>
      <w:r w:rsidRPr="00F36533">
        <w:rPr>
          <w:i/>
          <w:iCs/>
        </w:rPr>
        <w:t>immunother</w:t>
      </w:r>
      <w:proofErr w:type="spellEnd"/>
      <w:r w:rsidRPr="00F36533">
        <w:rPr>
          <w:i/>
          <w:iCs/>
        </w:rPr>
        <w:t xml:space="preserve"> cancer res</w:t>
      </w:r>
      <w:r w:rsidRPr="00BA5A85">
        <w:t>, </w:t>
      </w:r>
      <w:r w:rsidRPr="00F36533">
        <w:rPr>
          <w:i/>
          <w:iCs/>
        </w:rPr>
        <w:t>3</w:t>
      </w:r>
      <w:r w:rsidRPr="00BA5A85">
        <w:t>(1), 1-6.</w:t>
      </w:r>
    </w:p>
    <w:p w14:paraId="697083C6" w14:textId="77777777" w:rsidR="00F36533" w:rsidRPr="00F36533" w:rsidRDefault="00F36533" w:rsidP="00F36533">
      <w:pPr>
        <w:pStyle w:val="ListParagraph"/>
        <w:numPr>
          <w:ilvl w:val="0"/>
          <w:numId w:val="2"/>
        </w:numPr>
        <w:spacing w:line="480" w:lineRule="auto"/>
        <w:jc w:val="both"/>
        <w:rPr>
          <w:rFonts w:cs="Times New Roman"/>
          <w:szCs w:val="24"/>
        </w:rPr>
      </w:pPr>
      <w:r w:rsidRPr="00F36533">
        <w:t>Britannica, T. (2020). Editors of encyclopaedia. </w:t>
      </w:r>
      <w:r w:rsidRPr="00F36533">
        <w:rPr>
          <w:i/>
          <w:iCs/>
        </w:rPr>
        <w:t xml:space="preserve">Argon. </w:t>
      </w:r>
      <w:proofErr w:type="spellStart"/>
      <w:r w:rsidRPr="00F36533">
        <w:rPr>
          <w:i/>
          <w:iCs/>
        </w:rPr>
        <w:t>Encyclopedia</w:t>
      </w:r>
      <w:proofErr w:type="spellEnd"/>
      <w:r w:rsidRPr="00F36533">
        <w:rPr>
          <w:i/>
          <w:iCs/>
        </w:rPr>
        <w:t xml:space="preserve"> Britannica</w:t>
      </w:r>
      <w:r w:rsidRPr="00F36533">
        <w:t>.</w:t>
      </w:r>
    </w:p>
    <w:p w14:paraId="0DB8D3FD" w14:textId="06DD0E0C" w:rsidR="00F36533" w:rsidRPr="00F36533" w:rsidRDefault="00FC2F72" w:rsidP="00F36533">
      <w:pPr>
        <w:pStyle w:val="ListParagraph"/>
        <w:numPr>
          <w:ilvl w:val="0"/>
          <w:numId w:val="2"/>
        </w:numPr>
        <w:spacing w:line="480" w:lineRule="auto"/>
        <w:jc w:val="both"/>
        <w:rPr>
          <w:rFonts w:cs="Times New Roman"/>
          <w:szCs w:val="24"/>
        </w:rPr>
      </w:pPr>
      <w:r w:rsidRPr="00BA5A85">
        <w:t xml:space="preserve">Adedokun, K. A., </w:t>
      </w:r>
      <w:proofErr w:type="spellStart"/>
      <w:r w:rsidRPr="00BA5A85">
        <w:t>Imodoye</w:t>
      </w:r>
      <w:proofErr w:type="spellEnd"/>
      <w:r w:rsidRPr="00BA5A85">
        <w:t xml:space="preserve">, S. O., Bello, I. O., &amp; </w:t>
      </w:r>
      <w:proofErr w:type="spellStart"/>
      <w:r w:rsidRPr="00BA5A85">
        <w:t>Lanihun</w:t>
      </w:r>
      <w:proofErr w:type="spellEnd"/>
      <w:r w:rsidRPr="00BA5A85">
        <w:t>, A. A. (2023). Therapeutic potentials of medicinal plants and significance of computational tools in anti-cancer drug discovery. In </w:t>
      </w:r>
      <w:r w:rsidRPr="00F36533">
        <w:rPr>
          <w:i/>
          <w:iCs/>
        </w:rPr>
        <w:t>Phytochemistry, Computational Tools and Databases in Drug Discovery</w:t>
      </w:r>
      <w:r w:rsidRPr="00BA5A85">
        <w:t> (pp. 393-455). Elsevier.</w:t>
      </w:r>
    </w:p>
    <w:p w14:paraId="183A368B" w14:textId="77777777" w:rsidR="00F36533" w:rsidRPr="00F36533" w:rsidRDefault="00803AE5" w:rsidP="00F36533">
      <w:pPr>
        <w:pStyle w:val="ListParagraph"/>
        <w:numPr>
          <w:ilvl w:val="0"/>
          <w:numId w:val="2"/>
        </w:numPr>
        <w:spacing w:line="480" w:lineRule="auto"/>
        <w:jc w:val="both"/>
        <w:rPr>
          <w:rFonts w:cs="Times New Roman"/>
          <w:szCs w:val="24"/>
        </w:rPr>
      </w:pPr>
      <w:r w:rsidRPr="00BA5A85">
        <w:t>Zhou, W., Wang, H., Yang, Y., Chen, Z. S., Zou, C., &amp; Zhang, J. (2020). Chloroquine against malaria, cancers and viral diseases. </w:t>
      </w:r>
      <w:r w:rsidRPr="00F36533">
        <w:rPr>
          <w:i/>
          <w:iCs/>
        </w:rPr>
        <w:t>Drug Discovery Today</w:t>
      </w:r>
      <w:r w:rsidRPr="00BA5A85">
        <w:t>, </w:t>
      </w:r>
      <w:r w:rsidRPr="00F36533">
        <w:rPr>
          <w:i/>
          <w:iCs/>
        </w:rPr>
        <w:t>25</w:t>
      </w:r>
      <w:r w:rsidRPr="00BA5A85">
        <w:t>(11), 2012-2022.</w:t>
      </w:r>
    </w:p>
    <w:p w14:paraId="792E9C3B" w14:textId="77777777" w:rsidR="00F36533" w:rsidRPr="00F36533" w:rsidRDefault="00600838" w:rsidP="00F36533">
      <w:pPr>
        <w:pStyle w:val="ListParagraph"/>
        <w:numPr>
          <w:ilvl w:val="0"/>
          <w:numId w:val="2"/>
        </w:numPr>
        <w:spacing w:line="480" w:lineRule="auto"/>
        <w:jc w:val="both"/>
        <w:rPr>
          <w:rFonts w:cs="Times New Roman"/>
          <w:szCs w:val="24"/>
        </w:rPr>
      </w:pPr>
      <w:r w:rsidRPr="00BA5A85">
        <w:t xml:space="preserve">Savarino, A., </w:t>
      </w:r>
      <w:proofErr w:type="spellStart"/>
      <w:r w:rsidRPr="00BA5A85">
        <w:t>Boelaert</w:t>
      </w:r>
      <w:proofErr w:type="spellEnd"/>
      <w:r w:rsidRPr="00BA5A85">
        <w:t>, J. R., Cassone, A., Majori, G., &amp; Cauda, R. (2003). Effects of chloroquine on viral infections: an old drug against today's diseases. </w:t>
      </w:r>
      <w:r w:rsidRPr="00F36533">
        <w:rPr>
          <w:i/>
          <w:iCs/>
        </w:rPr>
        <w:t>The Lancet infectious diseases</w:t>
      </w:r>
      <w:r w:rsidRPr="00BA5A85">
        <w:t>, </w:t>
      </w:r>
      <w:r w:rsidRPr="00F36533">
        <w:rPr>
          <w:i/>
          <w:iCs/>
        </w:rPr>
        <w:t>3</w:t>
      </w:r>
      <w:r w:rsidRPr="00BA5A85">
        <w:t>(11), 722-727.</w:t>
      </w:r>
    </w:p>
    <w:p w14:paraId="36F297AE" w14:textId="77777777" w:rsidR="00F36533" w:rsidRPr="00F36533" w:rsidRDefault="00DA24E6" w:rsidP="00F36533">
      <w:pPr>
        <w:pStyle w:val="ListParagraph"/>
        <w:numPr>
          <w:ilvl w:val="0"/>
          <w:numId w:val="2"/>
        </w:numPr>
        <w:spacing w:line="480" w:lineRule="auto"/>
        <w:jc w:val="both"/>
        <w:rPr>
          <w:rFonts w:cs="Times New Roman"/>
          <w:szCs w:val="24"/>
        </w:rPr>
      </w:pPr>
      <w:r w:rsidRPr="00BA5A85">
        <w:t xml:space="preserve">Sasaki, K., Tsuno, N. H., Sunami, E., </w:t>
      </w:r>
      <w:proofErr w:type="spellStart"/>
      <w:r w:rsidRPr="00BA5A85">
        <w:t>Tsurita</w:t>
      </w:r>
      <w:proofErr w:type="spellEnd"/>
      <w:r w:rsidRPr="00BA5A85">
        <w:t xml:space="preserve">, G., Kawai, K., </w:t>
      </w:r>
      <w:proofErr w:type="spellStart"/>
      <w:r w:rsidRPr="00BA5A85">
        <w:t>Okaji</w:t>
      </w:r>
      <w:proofErr w:type="spellEnd"/>
      <w:r w:rsidRPr="00BA5A85">
        <w:t>, Y., ... &amp; Nagawa, H. (2010). Chloroquine potentiates the anti-cancer effect of 5-fluorouracil on colon cancer cells. </w:t>
      </w:r>
      <w:r w:rsidRPr="00F36533">
        <w:rPr>
          <w:i/>
          <w:iCs/>
        </w:rPr>
        <w:t>BMC cancer</w:t>
      </w:r>
      <w:r w:rsidRPr="00BA5A85">
        <w:t>, </w:t>
      </w:r>
      <w:r w:rsidRPr="00F36533">
        <w:rPr>
          <w:i/>
          <w:iCs/>
        </w:rPr>
        <w:t>10</w:t>
      </w:r>
      <w:r w:rsidRPr="00BA5A85">
        <w:t>, 1-11.</w:t>
      </w:r>
    </w:p>
    <w:p w14:paraId="55BF09AF" w14:textId="77777777" w:rsidR="00F36533" w:rsidRPr="00F36533" w:rsidRDefault="00803AE5" w:rsidP="00F36533">
      <w:pPr>
        <w:pStyle w:val="ListParagraph"/>
        <w:numPr>
          <w:ilvl w:val="0"/>
          <w:numId w:val="2"/>
        </w:numPr>
        <w:spacing w:line="480" w:lineRule="auto"/>
        <w:jc w:val="both"/>
        <w:rPr>
          <w:rFonts w:cs="Times New Roman"/>
          <w:szCs w:val="24"/>
        </w:rPr>
      </w:pPr>
      <w:r w:rsidRPr="00BA5A85">
        <w:t>Zhang, Y., Cao, Y., Sun, X., Feng, Y., Du, Y., Liu, F., ... &amp; Jin, F. (2017). Chloroquine (CQ) exerts anti-breast cancer through modulating microenvironment and inducing apoptosis. </w:t>
      </w:r>
      <w:r w:rsidRPr="00F36533">
        <w:rPr>
          <w:i/>
          <w:iCs/>
        </w:rPr>
        <w:t>International immunopharmacology</w:t>
      </w:r>
      <w:r w:rsidRPr="00BA5A85">
        <w:t>, </w:t>
      </w:r>
      <w:r w:rsidRPr="00F36533">
        <w:rPr>
          <w:i/>
          <w:iCs/>
        </w:rPr>
        <w:t>42</w:t>
      </w:r>
      <w:r w:rsidRPr="00BA5A85">
        <w:t>, 100-107.</w:t>
      </w:r>
    </w:p>
    <w:p w14:paraId="7ECD2F93" w14:textId="77777777" w:rsidR="00F36533" w:rsidRPr="00F36533" w:rsidRDefault="00803AE5" w:rsidP="00F36533">
      <w:pPr>
        <w:pStyle w:val="ListParagraph"/>
        <w:numPr>
          <w:ilvl w:val="0"/>
          <w:numId w:val="2"/>
        </w:numPr>
        <w:spacing w:line="480" w:lineRule="auto"/>
        <w:jc w:val="both"/>
        <w:rPr>
          <w:rFonts w:cs="Times New Roman"/>
          <w:szCs w:val="24"/>
        </w:rPr>
      </w:pPr>
      <w:r w:rsidRPr="00BA5A85">
        <w:lastRenderedPageBreak/>
        <w:t>Zheng, Y., Zhao, Y. L., Deng, X., Yang, S., Mao, Y., Li, Z., ... &amp; Wei, Y. (2009). Chloroquine inhibits colon cancer cell growth in vitro and tumor growth in vivo via induction of apoptosis. </w:t>
      </w:r>
      <w:r w:rsidRPr="00F36533">
        <w:rPr>
          <w:i/>
          <w:iCs/>
        </w:rPr>
        <w:t>Cancer investigation</w:t>
      </w:r>
      <w:r w:rsidRPr="00BA5A85">
        <w:t>, </w:t>
      </w:r>
      <w:r w:rsidRPr="00F36533">
        <w:rPr>
          <w:i/>
          <w:iCs/>
        </w:rPr>
        <w:t>27</w:t>
      </w:r>
      <w:r w:rsidRPr="00BA5A85">
        <w:t>(3), 286-292.</w:t>
      </w:r>
    </w:p>
    <w:p w14:paraId="0FF8A4BE" w14:textId="77777777" w:rsidR="00F36533" w:rsidRPr="00F36533" w:rsidRDefault="00C36491" w:rsidP="00F36533">
      <w:pPr>
        <w:pStyle w:val="ListParagraph"/>
        <w:numPr>
          <w:ilvl w:val="0"/>
          <w:numId w:val="2"/>
        </w:numPr>
        <w:spacing w:line="480" w:lineRule="auto"/>
        <w:jc w:val="both"/>
        <w:rPr>
          <w:rFonts w:cs="Times New Roman"/>
          <w:szCs w:val="24"/>
        </w:rPr>
      </w:pPr>
      <w:r w:rsidRPr="00BA5A85">
        <w:t>Zhao, M. (2020). Cytokine storm and immunomodulatory therapy in COVID-19: role of chloroquine and anti-IL-6 monoclonal antibodies. </w:t>
      </w:r>
      <w:r w:rsidRPr="00F36533">
        <w:rPr>
          <w:i/>
          <w:iCs/>
        </w:rPr>
        <w:t>International journal of antimicrobial agents</w:t>
      </w:r>
      <w:r w:rsidRPr="00BA5A85">
        <w:t>, </w:t>
      </w:r>
      <w:r w:rsidRPr="00F36533">
        <w:rPr>
          <w:i/>
          <w:iCs/>
        </w:rPr>
        <w:t>55</w:t>
      </w:r>
      <w:r w:rsidRPr="00BA5A85">
        <w:t>(6), 105982.</w:t>
      </w:r>
    </w:p>
    <w:p w14:paraId="4F53006B" w14:textId="77777777" w:rsidR="00F36533" w:rsidRPr="00F36533" w:rsidRDefault="00C36491" w:rsidP="00F36533">
      <w:pPr>
        <w:pStyle w:val="ListParagraph"/>
        <w:numPr>
          <w:ilvl w:val="0"/>
          <w:numId w:val="2"/>
        </w:numPr>
        <w:spacing w:line="480" w:lineRule="auto"/>
        <w:jc w:val="both"/>
        <w:rPr>
          <w:rFonts w:cs="Times New Roman"/>
          <w:szCs w:val="24"/>
        </w:rPr>
      </w:pPr>
      <w:r w:rsidRPr="00BA5A85">
        <w:t xml:space="preserve">Chen, D., Xie, J., </w:t>
      </w:r>
      <w:proofErr w:type="spellStart"/>
      <w:r w:rsidRPr="00BA5A85">
        <w:t>Fiskesund</w:t>
      </w:r>
      <w:proofErr w:type="spellEnd"/>
      <w:r w:rsidRPr="00BA5A85">
        <w:t xml:space="preserve">, R., Dong, W., Liang, X., </w:t>
      </w:r>
      <w:proofErr w:type="spellStart"/>
      <w:r w:rsidRPr="00BA5A85">
        <w:t>Lv</w:t>
      </w:r>
      <w:proofErr w:type="spellEnd"/>
      <w:r w:rsidRPr="00BA5A85">
        <w:t>, J., ... &amp; Huang, B. (2018). Chloroquine modulates antitumor immune response by resetting tumor-associated macrophages toward M1 phenotype. </w:t>
      </w:r>
      <w:r w:rsidRPr="00F36533">
        <w:rPr>
          <w:i/>
          <w:iCs/>
        </w:rPr>
        <w:t>Nature communications</w:t>
      </w:r>
      <w:r w:rsidRPr="00BA5A85">
        <w:t>, </w:t>
      </w:r>
      <w:r w:rsidRPr="00F36533">
        <w:rPr>
          <w:i/>
          <w:iCs/>
        </w:rPr>
        <w:t>9</w:t>
      </w:r>
      <w:r w:rsidRPr="00BA5A85">
        <w:t>(1), 873.</w:t>
      </w:r>
      <w:bookmarkStart w:id="2" w:name="_Hlk182476531"/>
    </w:p>
    <w:p w14:paraId="3DA3C0A4" w14:textId="77777777" w:rsidR="00F36533" w:rsidRPr="00F36533" w:rsidRDefault="000100A2" w:rsidP="00F36533">
      <w:pPr>
        <w:pStyle w:val="ListParagraph"/>
        <w:numPr>
          <w:ilvl w:val="0"/>
          <w:numId w:val="2"/>
        </w:numPr>
        <w:spacing w:line="480" w:lineRule="auto"/>
        <w:jc w:val="both"/>
        <w:rPr>
          <w:rFonts w:cs="Times New Roman"/>
          <w:szCs w:val="24"/>
        </w:rPr>
      </w:pPr>
      <w:r w:rsidRPr="00BA5A85">
        <w:t>Maurya, A. K., &amp; Vinayak, M. (2015). Quercetin regresses Dalton's lymphoma growth via suppression of PI3K/AKT signaling leading to upregulation of p53 and decrease in energy metabolism. </w:t>
      </w:r>
      <w:r w:rsidRPr="00F36533">
        <w:rPr>
          <w:i/>
          <w:iCs/>
        </w:rPr>
        <w:t>Nutrition and cancer</w:t>
      </w:r>
      <w:r w:rsidRPr="00BA5A85">
        <w:t>, </w:t>
      </w:r>
      <w:r w:rsidRPr="00F36533">
        <w:rPr>
          <w:i/>
          <w:iCs/>
        </w:rPr>
        <w:t>67</w:t>
      </w:r>
      <w:r w:rsidRPr="00BA5A85">
        <w:t>(2), 354-363.</w:t>
      </w:r>
      <w:bookmarkStart w:id="3" w:name="_Hlk182475295"/>
      <w:bookmarkEnd w:id="2"/>
    </w:p>
    <w:p w14:paraId="5A42EFDE" w14:textId="77777777" w:rsidR="00F36533" w:rsidRPr="00F36533" w:rsidRDefault="004701A5" w:rsidP="00F36533">
      <w:pPr>
        <w:pStyle w:val="ListParagraph"/>
        <w:numPr>
          <w:ilvl w:val="0"/>
          <w:numId w:val="2"/>
        </w:numPr>
        <w:spacing w:line="480" w:lineRule="auto"/>
        <w:jc w:val="both"/>
        <w:rPr>
          <w:rFonts w:cs="Times New Roman"/>
          <w:szCs w:val="24"/>
        </w:rPr>
      </w:pPr>
      <w:r w:rsidRPr="00BA5A85">
        <w:t>Atale, N., Gupta, S., Yadav, U. C. S., &amp; Rani, V. (2014). Cell‐death assessment by fluorescent and nonfluorescent cytosolic and nuclear staining techniques. </w:t>
      </w:r>
      <w:r w:rsidRPr="00F36533">
        <w:rPr>
          <w:i/>
          <w:iCs/>
        </w:rPr>
        <w:t>Journal of microscopy</w:t>
      </w:r>
      <w:r w:rsidRPr="00BA5A85">
        <w:t>, </w:t>
      </w:r>
      <w:r w:rsidRPr="00F36533">
        <w:rPr>
          <w:i/>
          <w:iCs/>
        </w:rPr>
        <w:t>255</w:t>
      </w:r>
      <w:r w:rsidRPr="00BA5A85">
        <w:t>(1), 7-19.</w:t>
      </w:r>
      <w:bookmarkStart w:id="4" w:name="_Hlk182475436"/>
      <w:bookmarkEnd w:id="3"/>
    </w:p>
    <w:p w14:paraId="317D4B6B" w14:textId="77777777" w:rsidR="00F36533" w:rsidRPr="00F36533" w:rsidRDefault="002E7DCC" w:rsidP="00F36533">
      <w:pPr>
        <w:pStyle w:val="ListParagraph"/>
        <w:numPr>
          <w:ilvl w:val="0"/>
          <w:numId w:val="2"/>
        </w:numPr>
        <w:spacing w:line="480" w:lineRule="auto"/>
        <w:jc w:val="both"/>
        <w:rPr>
          <w:rFonts w:cs="Times New Roman"/>
          <w:szCs w:val="24"/>
        </w:rPr>
      </w:pPr>
      <w:r w:rsidRPr="00BA5A85">
        <w:t>Fu, Y. B., Ahmed, Z., Yang, H., &amp; Horbach, C. (2018). TUNEL assay and DAPI staining revealed few alterations of cellular morphology in naturally and artificially aged seeds of cultivated flax. </w:t>
      </w:r>
      <w:r w:rsidRPr="00F36533">
        <w:rPr>
          <w:i/>
          <w:iCs/>
        </w:rPr>
        <w:t>Plants</w:t>
      </w:r>
      <w:r w:rsidRPr="00BA5A85">
        <w:t>, </w:t>
      </w:r>
      <w:r w:rsidRPr="00F36533">
        <w:rPr>
          <w:i/>
          <w:iCs/>
        </w:rPr>
        <w:t>7</w:t>
      </w:r>
      <w:r w:rsidRPr="00BA5A85">
        <w:t>(2), 34.</w:t>
      </w:r>
      <w:bookmarkStart w:id="5" w:name="_Hlk182475616"/>
      <w:bookmarkEnd w:id="4"/>
    </w:p>
    <w:p w14:paraId="2CDECA90" w14:textId="77777777" w:rsidR="00F36533" w:rsidRPr="00F36533" w:rsidRDefault="009E59B1" w:rsidP="00F36533">
      <w:pPr>
        <w:pStyle w:val="ListParagraph"/>
        <w:numPr>
          <w:ilvl w:val="0"/>
          <w:numId w:val="2"/>
        </w:numPr>
        <w:spacing w:line="480" w:lineRule="auto"/>
        <w:jc w:val="both"/>
        <w:rPr>
          <w:rFonts w:cs="Times New Roman"/>
          <w:szCs w:val="24"/>
        </w:rPr>
      </w:pPr>
      <w:r w:rsidRPr="00BA5A85">
        <w:t xml:space="preserve">Lugli, E., Troiano, L., </w:t>
      </w:r>
      <w:proofErr w:type="spellStart"/>
      <w:r w:rsidRPr="00BA5A85">
        <w:t>Ferraresi</w:t>
      </w:r>
      <w:proofErr w:type="spellEnd"/>
      <w:r w:rsidRPr="00BA5A85">
        <w:t xml:space="preserve">, R., Roat, E., Prada, N., Nasi, M., ... &amp; </w:t>
      </w:r>
      <w:proofErr w:type="spellStart"/>
      <w:r w:rsidRPr="00BA5A85">
        <w:t>Cossarizza</w:t>
      </w:r>
      <w:proofErr w:type="spellEnd"/>
      <w:r w:rsidRPr="00BA5A85">
        <w:t>, A. (2005). Characterization of cells with different mitochondrial membrane potential during apoptosis. </w:t>
      </w:r>
      <w:r w:rsidRPr="00F36533">
        <w:rPr>
          <w:i/>
          <w:iCs/>
        </w:rPr>
        <w:t>Cytometry Part A</w:t>
      </w:r>
      <w:r w:rsidRPr="00BA5A85">
        <w:t>, </w:t>
      </w:r>
      <w:r w:rsidRPr="00F36533">
        <w:rPr>
          <w:i/>
          <w:iCs/>
        </w:rPr>
        <w:t>68</w:t>
      </w:r>
      <w:r w:rsidRPr="00BA5A85">
        <w:t>(1), 28-35.</w:t>
      </w:r>
    </w:p>
    <w:p w14:paraId="0ABE815B" w14:textId="77777777" w:rsidR="00F36533" w:rsidRPr="00F36533" w:rsidRDefault="0043313A" w:rsidP="00F36533">
      <w:pPr>
        <w:pStyle w:val="ListParagraph"/>
        <w:numPr>
          <w:ilvl w:val="0"/>
          <w:numId w:val="2"/>
        </w:numPr>
        <w:spacing w:line="480" w:lineRule="auto"/>
        <w:jc w:val="both"/>
        <w:rPr>
          <w:rFonts w:cs="Times New Roman"/>
          <w:szCs w:val="24"/>
        </w:rPr>
      </w:pPr>
      <w:r w:rsidRPr="0043313A">
        <w:t>Yadav, D. K., Patel, A. K., Hansda, S. R., Acharya, A., Marandi, L., Yadav, S. D., &amp; Sinha, S. (2024). Comprehensive property combination for biomedical application achieved in a Ti35Zr35Nb15Mo5Fe5Cr5 complex concentrated alloy. </w:t>
      </w:r>
      <w:r w:rsidRPr="00F36533">
        <w:rPr>
          <w:i/>
          <w:iCs/>
        </w:rPr>
        <w:t>Materials Today Communications</w:t>
      </w:r>
      <w:r w:rsidRPr="0043313A">
        <w:t>, </w:t>
      </w:r>
      <w:r w:rsidRPr="00F36533">
        <w:rPr>
          <w:i/>
          <w:iCs/>
        </w:rPr>
        <w:t>41</w:t>
      </w:r>
      <w:r w:rsidRPr="0043313A">
        <w:t>, 110992.</w:t>
      </w:r>
    </w:p>
    <w:p w14:paraId="0B8E4305" w14:textId="77777777" w:rsidR="00F36533" w:rsidRPr="00F36533" w:rsidRDefault="006B6F3F" w:rsidP="00F36533">
      <w:pPr>
        <w:pStyle w:val="ListParagraph"/>
        <w:numPr>
          <w:ilvl w:val="0"/>
          <w:numId w:val="2"/>
        </w:numPr>
        <w:spacing w:line="480" w:lineRule="auto"/>
        <w:jc w:val="both"/>
        <w:rPr>
          <w:rFonts w:cs="Times New Roman"/>
          <w:szCs w:val="24"/>
        </w:rPr>
      </w:pPr>
      <w:r w:rsidRPr="006B6F3F">
        <w:lastRenderedPageBreak/>
        <w:t>Kumar, N., Delu, V., Ulasov, I., Kumar, S., Singh, R. K., Kumar, S., ... &amp; Acharya, A. (2024). Pharmacological insights: Mitochondrial ROS generation by FNC (</w:t>
      </w:r>
      <w:proofErr w:type="spellStart"/>
      <w:r w:rsidRPr="006B6F3F">
        <w:t>Azvudine</w:t>
      </w:r>
      <w:proofErr w:type="spellEnd"/>
      <w:r w:rsidRPr="006B6F3F">
        <w:t>) in Dalton’s lymphoma cells revealed by super resolution imaging. </w:t>
      </w:r>
      <w:r w:rsidRPr="00F36533">
        <w:rPr>
          <w:i/>
          <w:iCs/>
        </w:rPr>
        <w:t>Cell biochemistry and biophysics</w:t>
      </w:r>
      <w:r w:rsidRPr="00F36533">
        <w:t>, </w:t>
      </w:r>
      <w:r w:rsidRPr="00F36533">
        <w:rPr>
          <w:i/>
          <w:iCs/>
        </w:rPr>
        <w:t>82</w:t>
      </w:r>
      <w:r w:rsidRPr="00F36533">
        <w:t>(2), 873-883.</w:t>
      </w:r>
    </w:p>
    <w:p w14:paraId="3800FDA4" w14:textId="6DFFDB55" w:rsidR="006B6F3F" w:rsidRPr="00F36533" w:rsidRDefault="006B6F3F" w:rsidP="00F36533">
      <w:pPr>
        <w:pStyle w:val="ListParagraph"/>
        <w:numPr>
          <w:ilvl w:val="0"/>
          <w:numId w:val="2"/>
        </w:numPr>
        <w:spacing w:line="480" w:lineRule="auto"/>
        <w:jc w:val="both"/>
        <w:rPr>
          <w:rFonts w:cs="Times New Roman"/>
          <w:szCs w:val="24"/>
        </w:rPr>
      </w:pPr>
      <w:r w:rsidRPr="006B6F3F">
        <w:t xml:space="preserve">Kumar, S., Shukla, A., Singh, S. P., Singh, R. K., Patel, A. K., Verma, P. K., ... &amp; Acharya, A. (2024). Synthesized gold nanoparticles with moringa oleifera leaf extract induce mitotic arrest (G2/M phase) and apoptosis in </w:t>
      </w:r>
      <w:proofErr w:type="spellStart"/>
      <w:r w:rsidRPr="006B6F3F">
        <w:t>dalton’s</w:t>
      </w:r>
      <w:proofErr w:type="spellEnd"/>
      <w:r w:rsidRPr="006B6F3F">
        <w:t xml:space="preserve"> lymphoma cells. </w:t>
      </w:r>
      <w:r w:rsidRPr="00F36533">
        <w:rPr>
          <w:i/>
          <w:iCs/>
        </w:rPr>
        <w:t>Cell Biochemistry and Biophysics</w:t>
      </w:r>
      <w:r w:rsidRPr="00F36533">
        <w:t>, </w:t>
      </w:r>
      <w:r w:rsidRPr="00F36533">
        <w:rPr>
          <w:i/>
          <w:iCs/>
        </w:rPr>
        <w:t>82</w:t>
      </w:r>
      <w:r w:rsidRPr="00F36533">
        <w:t>(2), 1043-1059.</w:t>
      </w:r>
    </w:p>
    <w:p w14:paraId="0D6361D8" w14:textId="71C71EB0" w:rsidR="0043313A" w:rsidRPr="00612DCF" w:rsidRDefault="00F36533" w:rsidP="006610D3">
      <w:pPr>
        <w:pStyle w:val="ListParagraph"/>
        <w:numPr>
          <w:ilvl w:val="0"/>
          <w:numId w:val="2"/>
        </w:numPr>
        <w:spacing w:line="480" w:lineRule="auto"/>
        <w:jc w:val="both"/>
        <w:rPr>
          <w:rFonts w:cs="Times New Roman"/>
          <w:szCs w:val="24"/>
        </w:rPr>
      </w:pPr>
      <w:r w:rsidRPr="00F36533">
        <w:rPr>
          <w:rFonts w:cs="Times New Roman"/>
          <w:szCs w:val="24"/>
        </w:rPr>
        <w:t>Kumar, N., Shukla, A., Kumar, S., Ulasov, I., Singh, R. K., Kumar, S., ... &amp; Acharya, A. (2024). FNC (4′-azido-2′-deoxy-2′-fluoro (</w:t>
      </w:r>
      <w:proofErr w:type="spellStart"/>
      <w:r w:rsidRPr="00F36533">
        <w:rPr>
          <w:rFonts w:cs="Times New Roman"/>
          <w:szCs w:val="24"/>
        </w:rPr>
        <w:t>arbino</w:t>
      </w:r>
      <w:proofErr w:type="spellEnd"/>
      <w:r w:rsidRPr="00F36533">
        <w:rPr>
          <w:rFonts w:cs="Times New Roman"/>
          <w:szCs w:val="24"/>
        </w:rPr>
        <w:t>) cytidine) as an effective therapeutic agent for NHL: ROS generation, cell cycle arrest, and mitochondrial-mediated apoptosis. </w:t>
      </w:r>
      <w:r w:rsidRPr="00F36533">
        <w:rPr>
          <w:rFonts w:cs="Times New Roman"/>
          <w:i/>
          <w:iCs/>
          <w:szCs w:val="24"/>
        </w:rPr>
        <w:t>Cell biochemistry and biophysics</w:t>
      </w:r>
      <w:r w:rsidRPr="00F36533">
        <w:rPr>
          <w:rFonts w:cs="Times New Roman"/>
          <w:szCs w:val="24"/>
        </w:rPr>
        <w:t>, </w:t>
      </w:r>
      <w:r w:rsidRPr="00F36533">
        <w:rPr>
          <w:rFonts w:cs="Times New Roman"/>
          <w:i/>
          <w:iCs/>
          <w:szCs w:val="24"/>
        </w:rPr>
        <w:t>82</w:t>
      </w:r>
      <w:r w:rsidRPr="00F36533">
        <w:rPr>
          <w:rFonts w:cs="Times New Roman"/>
          <w:szCs w:val="24"/>
        </w:rPr>
        <w:t>(2), 623-639.</w:t>
      </w:r>
      <w:bookmarkEnd w:id="5"/>
    </w:p>
    <w:sectPr w:rsidR="0043313A" w:rsidRPr="00612DCF">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1"/>
    <w:family w:val="auto"/>
    <w:pitch w:val="variable"/>
    <w:sig w:usb0="00008000" w:usb1="00000000" w:usb2="00000000" w:usb3="00000000" w:csb0="00000000"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8CB4CE8"/>
    <w:multiLevelType w:val="hybridMultilevel"/>
    <w:tmpl w:val="3244B564"/>
    <w:lvl w:ilvl="0" w:tplc="40090009">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191C6E54"/>
    <w:multiLevelType w:val="multilevel"/>
    <w:tmpl w:val="A6FA70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3025302A"/>
    <w:multiLevelType w:val="hybridMultilevel"/>
    <w:tmpl w:val="CA582DF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4BBB0202"/>
    <w:multiLevelType w:val="hybridMultilevel"/>
    <w:tmpl w:val="45040FA4"/>
    <w:lvl w:ilvl="0" w:tplc="40090017">
      <w:start w:val="1"/>
      <w:numFmt w:val="lowerLetter"/>
      <w:lvlText w:val="%1)"/>
      <w:lvlJc w:val="left"/>
      <w:pPr>
        <w:ind w:left="1080" w:hanging="360"/>
      </w:pPr>
      <w:rPr>
        <w:rFont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4" w15:restartNumberingAfterBreak="0">
    <w:nsid w:val="5F463BFB"/>
    <w:multiLevelType w:val="hybridMultilevel"/>
    <w:tmpl w:val="5E36CEB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1203130115">
    <w:abstractNumId w:val="0"/>
  </w:num>
  <w:num w:numId="2" w16cid:durableId="835073482">
    <w:abstractNumId w:val="4"/>
  </w:num>
  <w:num w:numId="3" w16cid:durableId="588081079">
    <w:abstractNumId w:val="1"/>
  </w:num>
  <w:num w:numId="4" w16cid:durableId="744575936">
    <w:abstractNumId w:val="3"/>
  </w:num>
  <w:num w:numId="5" w16cid:durableId="166797844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7514"/>
    <w:rsid w:val="00000D67"/>
    <w:rsid w:val="000100A2"/>
    <w:rsid w:val="00011A4E"/>
    <w:rsid w:val="00013268"/>
    <w:rsid w:val="00033BB1"/>
    <w:rsid w:val="00037F82"/>
    <w:rsid w:val="00055310"/>
    <w:rsid w:val="00056CA7"/>
    <w:rsid w:val="000652AF"/>
    <w:rsid w:val="000711CA"/>
    <w:rsid w:val="000725A3"/>
    <w:rsid w:val="00095454"/>
    <w:rsid w:val="000B4F17"/>
    <w:rsid w:val="000B5445"/>
    <w:rsid w:val="000C602A"/>
    <w:rsid w:val="000D5D8F"/>
    <w:rsid w:val="000E11D7"/>
    <w:rsid w:val="000E4F6E"/>
    <w:rsid w:val="00100188"/>
    <w:rsid w:val="0012557D"/>
    <w:rsid w:val="001279C8"/>
    <w:rsid w:val="001500FD"/>
    <w:rsid w:val="001577C3"/>
    <w:rsid w:val="001669C4"/>
    <w:rsid w:val="0018010B"/>
    <w:rsid w:val="0018054C"/>
    <w:rsid w:val="00182415"/>
    <w:rsid w:val="00193C46"/>
    <w:rsid w:val="001A12FE"/>
    <w:rsid w:val="001A1EC2"/>
    <w:rsid w:val="001C3CDC"/>
    <w:rsid w:val="001C7660"/>
    <w:rsid w:val="001C79A8"/>
    <w:rsid w:val="001D7BCB"/>
    <w:rsid w:val="001E2868"/>
    <w:rsid w:val="001F43B3"/>
    <w:rsid w:val="002376C9"/>
    <w:rsid w:val="00241A3F"/>
    <w:rsid w:val="0024554B"/>
    <w:rsid w:val="00250A5E"/>
    <w:rsid w:val="00251BCD"/>
    <w:rsid w:val="00257C11"/>
    <w:rsid w:val="00261EB7"/>
    <w:rsid w:val="00271907"/>
    <w:rsid w:val="002734DC"/>
    <w:rsid w:val="002853E8"/>
    <w:rsid w:val="00294F71"/>
    <w:rsid w:val="00296684"/>
    <w:rsid w:val="002977B1"/>
    <w:rsid w:val="002A03E9"/>
    <w:rsid w:val="002A096B"/>
    <w:rsid w:val="002A1BB1"/>
    <w:rsid w:val="002B22C4"/>
    <w:rsid w:val="002B27D0"/>
    <w:rsid w:val="002C2B7B"/>
    <w:rsid w:val="002D75ED"/>
    <w:rsid w:val="002D796D"/>
    <w:rsid w:val="002E7DCC"/>
    <w:rsid w:val="00300D84"/>
    <w:rsid w:val="003134D4"/>
    <w:rsid w:val="0031555E"/>
    <w:rsid w:val="003239BA"/>
    <w:rsid w:val="00342BF5"/>
    <w:rsid w:val="00345136"/>
    <w:rsid w:val="003622C4"/>
    <w:rsid w:val="00364B82"/>
    <w:rsid w:val="00370C0D"/>
    <w:rsid w:val="00371247"/>
    <w:rsid w:val="00371852"/>
    <w:rsid w:val="00393FE4"/>
    <w:rsid w:val="00396709"/>
    <w:rsid w:val="003A7030"/>
    <w:rsid w:val="003B7E97"/>
    <w:rsid w:val="003C6545"/>
    <w:rsid w:val="003D2319"/>
    <w:rsid w:val="003F0AFA"/>
    <w:rsid w:val="003F2D98"/>
    <w:rsid w:val="004030C8"/>
    <w:rsid w:val="00417760"/>
    <w:rsid w:val="00417B93"/>
    <w:rsid w:val="00417BC7"/>
    <w:rsid w:val="00420958"/>
    <w:rsid w:val="0043313A"/>
    <w:rsid w:val="0044451A"/>
    <w:rsid w:val="00451E8F"/>
    <w:rsid w:val="00461451"/>
    <w:rsid w:val="00461DC5"/>
    <w:rsid w:val="004646CC"/>
    <w:rsid w:val="004701A5"/>
    <w:rsid w:val="004710DF"/>
    <w:rsid w:val="004761EA"/>
    <w:rsid w:val="00481E03"/>
    <w:rsid w:val="004868E1"/>
    <w:rsid w:val="004A7E3F"/>
    <w:rsid w:val="004C1DC8"/>
    <w:rsid w:val="004C3309"/>
    <w:rsid w:val="004F0352"/>
    <w:rsid w:val="00507D47"/>
    <w:rsid w:val="00510661"/>
    <w:rsid w:val="00524245"/>
    <w:rsid w:val="00525FCA"/>
    <w:rsid w:val="00530DAD"/>
    <w:rsid w:val="00536037"/>
    <w:rsid w:val="005545DB"/>
    <w:rsid w:val="00565423"/>
    <w:rsid w:val="005679EC"/>
    <w:rsid w:val="00574001"/>
    <w:rsid w:val="00581528"/>
    <w:rsid w:val="005B051C"/>
    <w:rsid w:val="005B7386"/>
    <w:rsid w:val="005C1FA0"/>
    <w:rsid w:val="00600838"/>
    <w:rsid w:val="00600FBD"/>
    <w:rsid w:val="00612DCF"/>
    <w:rsid w:val="00641BCF"/>
    <w:rsid w:val="0065743E"/>
    <w:rsid w:val="006610D3"/>
    <w:rsid w:val="006A3A57"/>
    <w:rsid w:val="006A3C37"/>
    <w:rsid w:val="006A4194"/>
    <w:rsid w:val="006A48E4"/>
    <w:rsid w:val="006B387E"/>
    <w:rsid w:val="006B3F16"/>
    <w:rsid w:val="006B6F3F"/>
    <w:rsid w:val="006C4DBF"/>
    <w:rsid w:val="006D2197"/>
    <w:rsid w:val="006D60E5"/>
    <w:rsid w:val="006E2125"/>
    <w:rsid w:val="007104A9"/>
    <w:rsid w:val="0071339E"/>
    <w:rsid w:val="007255B5"/>
    <w:rsid w:val="00727C2E"/>
    <w:rsid w:val="00760A86"/>
    <w:rsid w:val="007646D4"/>
    <w:rsid w:val="007731DB"/>
    <w:rsid w:val="00777FE5"/>
    <w:rsid w:val="00784322"/>
    <w:rsid w:val="00784465"/>
    <w:rsid w:val="007909BC"/>
    <w:rsid w:val="0079318F"/>
    <w:rsid w:val="007B722D"/>
    <w:rsid w:val="007D59A3"/>
    <w:rsid w:val="007F33DA"/>
    <w:rsid w:val="007F4C39"/>
    <w:rsid w:val="00803AE5"/>
    <w:rsid w:val="008211C1"/>
    <w:rsid w:val="00821904"/>
    <w:rsid w:val="00854F02"/>
    <w:rsid w:val="008A62AE"/>
    <w:rsid w:val="008B2F55"/>
    <w:rsid w:val="008B7EE6"/>
    <w:rsid w:val="008C5691"/>
    <w:rsid w:val="008C6F57"/>
    <w:rsid w:val="008C7A8D"/>
    <w:rsid w:val="008E7081"/>
    <w:rsid w:val="008F68DE"/>
    <w:rsid w:val="00905742"/>
    <w:rsid w:val="00916417"/>
    <w:rsid w:val="00923456"/>
    <w:rsid w:val="00935A9A"/>
    <w:rsid w:val="00942649"/>
    <w:rsid w:val="00945AC7"/>
    <w:rsid w:val="0095342A"/>
    <w:rsid w:val="009634B5"/>
    <w:rsid w:val="00964D4C"/>
    <w:rsid w:val="009832DB"/>
    <w:rsid w:val="0099796C"/>
    <w:rsid w:val="009D34FF"/>
    <w:rsid w:val="009E0C86"/>
    <w:rsid w:val="009E5523"/>
    <w:rsid w:val="009E59B1"/>
    <w:rsid w:val="009F293F"/>
    <w:rsid w:val="00A11108"/>
    <w:rsid w:val="00A2532D"/>
    <w:rsid w:val="00A42106"/>
    <w:rsid w:val="00A60ACD"/>
    <w:rsid w:val="00A778FC"/>
    <w:rsid w:val="00A83B8A"/>
    <w:rsid w:val="00AA57B8"/>
    <w:rsid w:val="00AC3EC2"/>
    <w:rsid w:val="00AD0732"/>
    <w:rsid w:val="00AF5C92"/>
    <w:rsid w:val="00B00573"/>
    <w:rsid w:val="00B07C85"/>
    <w:rsid w:val="00B108A8"/>
    <w:rsid w:val="00B12CE5"/>
    <w:rsid w:val="00B14482"/>
    <w:rsid w:val="00B15743"/>
    <w:rsid w:val="00B272FC"/>
    <w:rsid w:val="00B425E3"/>
    <w:rsid w:val="00B42D33"/>
    <w:rsid w:val="00B601AD"/>
    <w:rsid w:val="00B61792"/>
    <w:rsid w:val="00B80F63"/>
    <w:rsid w:val="00BA5A85"/>
    <w:rsid w:val="00BB0532"/>
    <w:rsid w:val="00BB230A"/>
    <w:rsid w:val="00BC4CE4"/>
    <w:rsid w:val="00BD45D8"/>
    <w:rsid w:val="00BF5190"/>
    <w:rsid w:val="00C23CA5"/>
    <w:rsid w:val="00C36491"/>
    <w:rsid w:val="00C3744B"/>
    <w:rsid w:val="00C45F7A"/>
    <w:rsid w:val="00C5325F"/>
    <w:rsid w:val="00C809F8"/>
    <w:rsid w:val="00C86C9D"/>
    <w:rsid w:val="00C8746F"/>
    <w:rsid w:val="00C90A38"/>
    <w:rsid w:val="00CA4028"/>
    <w:rsid w:val="00CB5852"/>
    <w:rsid w:val="00CC0E10"/>
    <w:rsid w:val="00CD3A15"/>
    <w:rsid w:val="00D042E7"/>
    <w:rsid w:val="00D11FCA"/>
    <w:rsid w:val="00D150C7"/>
    <w:rsid w:val="00D26558"/>
    <w:rsid w:val="00D30027"/>
    <w:rsid w:val="00D44950"/>
    <w:rsid w:val="00D57263"/>
    <w:rsid w:val="00D61D4B"/>
    <w:rsid w:val="00D75B37"/>
    <w:rsid w:val="00D76C40"/>
    <w:rsid w:val="00D834C6"/>
    <w:rsid w:val="00D87DE0"/>
    <w:rsid w:val="00DA24E6"/>
    <w:rsid w:val="00DB1A0E"/>
    <w:rsid w:val="00DD782B"/>
    <w:rsid w:val="00E114BB"/>
    <w:rsid w:val="00E12E83"/>
    <w:rsid w:val="00E13570"/>
    <w:rsid w:val="00E138AA"/>
    <w:rsid w:val="00E32D0F"/>
    <w:rsid w:val="00E52ABA"/>
    <w:rsid w:val="00E56366"/>
    <w:rsid w:val="00E607CF"/>
    <w:rsid w:val="00E6595C"/>
    <w:rsid w:val="00E76974"/>
    <w:rsid w:val="00E76E15"/>
    <w:rsid w:val="00E850DB"/>
    <w:rsid w:val="00EA106C"/>
    <w:rsid w:val="00EC2B39"/>
    <w:rsid w:val="00EE00EA"/>
    <w:rsid w:val="00EF1756"/>
    <w:rsid w:val="00F17283"/>
    <w:rsid w:val="00F27609"/>
    <w:rsid w:val="00F36533"/>
    <w:rsid w:val="00F76452"/>
    <w:rsid w:val="00F8397C"/>
    <w:rsid w:val="00F87C69"/>
    <w:rsid w:val="00FA465F"/>
    <w:rsid w:val="00FA78BB"/>
    <w:rsid w:val="00FB5FB8"/>
    <w:rsid w:val="00FC0DA6"/>
    <w:rsid w:val="00FC28AF"/>
    <w:rsid w:val="00FC2F72"/>
    <w:rsid w:val="00FC3D30"/>
    <w:rsid w:val="00FC3D50"/>
    <w:rsid w:val="00FC7514"/>
    <w:rsid w:val="00FF689F"/>
    <w:rsid w:val="00FF7D21"/>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64117AC"/>
  <w15:chartTrackingRefBased/>
  <w15:docId w15:val="{D0073D2D-4ADD-4265-9F81-9A610F93B7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kern w:val="2"/>
        <w:sz w:val="24"/>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761EA"/>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C7514"/>
    <w:pPr>
      <w:ind w:left="720"/>
      <w:contextualSpacing/>
    </w:pPr>
  </w:style>
  <w:style w:type="paragraph" w:styleId="NormalWeb">
    <w:name w:val="Normal (Web)"/>
    <w:basedOn w:val="Normal"/>
    <w:uiPriority w:val="99"/>
    <w:unhideWhenUsed/>
    <w:rsid w:val="00784465"/>
    <w:pPr>
      <w:spacing w:before="100" w:beforeAutospacing="1" w:after="100" w:afterAutospacing="1" w:line="240" w:lineRule="auto"/>
    </w:pPr>
    <w:rPr>
      <w:rFonts w:eastAsia="Times New Roman" w:cs="Times New Roman"/>
      <w:kern w:val="0"/>
      <w:szCs w:val="24"/>
      <w:lang w:eastAsia="en-IN"/>
      <w14:ligatures w14:val="none"/>
    </w:rPr>
  </w:style>
  <w:style w:type="character" w:customStyle="1" w:styleId="url">
    <w:name w:val="url"/>
    <w:basedOn w:val="DefaultParagraphFont"/>
    <w:rsid w:val="00784465"/>
  </w:style>
  <w:style w:type="character" w:styleId="Hyperlink">
    <w:name w:val="Hyperlink"/>
    <w:basedOn w:val="DefaultParagraphFont"/>
    <w:uiPriority w:val="99"/>
    <w:unhideWhenUsed/>
    <w:rsid w:val="00784465"/>
    <w:rPr>
      <w:color w:val="0563C1" w:themeColor="hyperlink"/>
      <w:u w:val="single"/>
    </w:rPr>
  </w:style>
  <w:style w:type="character" w:customStyle="1" w:styleId="UnresolvedMention1">
    <w:name w:val="Unresolved Mention1"/>
    <w:basedOn w:val="DefaultParagraphFont"/>
    <w:uiPriority w:val="99"/>
    <w:semiHidden/>
    <w:unhideWhenUsed/>
    <w:rsid w:val="00784465"/>
    <w:rPr>
      <w:color w:val="605E5C"/>
      <w:shd w:val="clear" w:color="auto" w:fill="E1DFDD"/>
    </w:rPr>
  </w:style>
  <w:style w:type="character" w:styleId="PlaceholderText">
    <w:name w:val="Placeholder Text"/>
    <w:basedOn w:val="DefaultParagraphFont"/>
    <w:uiPriority w:val="99"/>
    <w:semiHidden/>
    <w:rsid w:val="001A1EC2"/>
    <w:rPr>
      <w:color w:val="666666"/>
    </w:rPr>
  </w:style>
  <w:style w:type="character" w:styleId="UnresolvedMention">
    <w:name w:val="Unresolved Mention"/>
    <w:basedOn w:val="DefaultParagraphFont"/>
    <w:uiPriority w:val="99"/>
    <w:semiHidden/>
    <w:unhideWhenUsed/>
    <w:rsid w:val="00F3653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253186">
      <w:bodyDiv w:val="1"/>
      <w:marLeft w:val="0"/>
      <w:marRight w:val="0"/>
      <w:marTop w:val="0"/>
      <w:marBottom w:val="0"/>
      <w:divBdr>
        <w:top w:val="none" w:sz="0" w:space="0" w:color="auto"/>
        <w:left w:val="none" w:sz="0" w:space="0" w:color="auto"/>
        <w:bottom w:val="none" w:sz="0" w:space="0" w:color="auto"/>
        <w:right w:val="none" w:sz="0" w:space="0" w:color="auto"/>
      </w:divBdr>
    </w:div>
    <w:div w:id="27995348">
      <w:bodyDiv w:val="1"/>
      <w:marLeft w:val="0"/>
      <w:marRight w:val="0"/>
      <w:marTop w:val="0"/>
      <w:marBottom w:val="0"/>
      <w:divBdr>
        <w:top w:val="none" w:sz="0" w:space="0" w:color="auto"/>
        <w:left w:val="none" w:sz="0" w:space="0" w:color="auto"/>
        <w:bottom w:val="none" w:sz="0" w:space="0" w:color="auto"/>
        <w:right w:val="none" w:sz="0" w:space="0" w:color="auto"/>
      </w:divBdr>
      <w:divsChild>
        <w:div w:id="414596519">
          <w:marLeft w:val="0"/>
          <w:marRight w:val="0"/>
          <w:marTop w:val="0"/>
          <w:marBottom w:val="0"/>
          <w:divBdr>
            <w:top w:val="none" w:sz="0" w:space="0" w:color="auto"/>
            <w:left w:val="none" w:sz="0" w:space="0" w:color="auto"/>
            <w:bottom w:val="none" w:sz="0" w:space="0" w:color="auto"/>
            <w:right w:val="none" w:sz="0" w:space="0" w:color="auto"/>
          </w:divBdr>
          <w:divsChild>
            <w:div w:id="1842968562">
              <w:marLeft w:val="0"/>
              <w:marRight w:val="0"/>
              <w:marTop w:val="0"/>
              <w:marBottom w:val="0"/>
              <w:divBdr>
                <w:top w:val="none" w:sz="0" w:space="0" w:color="auto"/>
                <w:left w:val="none" w:sz="0" w:space="0" w:color="auto"/>
                <w:bottom w:val="none" w:sz="0" w:space="0" w:color="auto"/>
                <w:right w:val="none" w:sz="0" w:space="0" w:color="auto"/>
              </w:divBdr>
              <w:divsChild>
                <w:div w:id="21907434">
                  <w:marLeft w:val="0"/>
                  <w:marRight w:val="0"/>
                  <w:marTop w:val="0"/>
                  <w:marBottom w:val="0"/>
                  <w:divBdr>
                    <w:top w:val="none" w:sz="0" w:space="0" w:color="auto"/>
                    <w:left w:val="none" w:sz="0" w:space="0" w:color="auto"/>
                    <w:bottom w:val="none" w:sz="0" w:space="0" w:color="auto"/>
                    <w:right w:val="none" w:sz="0" w:space="0" w:color="auto"/>
                  </w:divBdr>
                  <w:divsChild>
                    <w:div w:id="1887790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0092172">
          <w:marLeft w:val="0"/>
          <w:marRight w:val="0"/>
          <w:marTop w:val="0"/>
          <w:marBottom w:val="0"/>
          <w:divBdr>
            <w:top w:val="none" w:sz="0" w:space="0" w:color="auto"/>
            <w:left w:val="none" w:sz="0" w:space="0" w:color="auto"/>
            <w:bottom w:val="none" w:sz="0" w:space="0" w:color="auto"/>
            <w:right w:val="none" w:sz="0" w:space="0" w:color="auto"/>
          </w:divBdr>
          <w:divsChild>
            <w:div w:id="270205664">
              <w:marLeft w:val="0"/>
              <w:marRight w:val="0"/>
              <w:marTop w:val="0"/>
              <w:marBottom w:val="0"/>
              <w:divBdr>
                <w:top w:val="none" w:sz="0" w:space="0" w:color="auto"/>
                <w:left w:val="none" w:sz="0" w:space="0" w:color="auto"/>
                <w:bottom w:val="none" w:sz="0" w:space="0" w:color="auto"/>
                <w:right w:val="none" w:sz="0" w:space="0" w:color="auto"/>
              </w:divBdr>
              <w:divsChild>
                <w:div w:id="270669969">
                  <w:marLeft w:val="0"/>
                  <w:marRight w:val="0"/>
                  <w:marTop w:val="0"/>
                  <w:marBottom w:val="0"/>
                  <w:divBdr>
                    <w:top w:val="none" w:sz="0" w:space="0" w:color="auto"/>
                    <w:left w:val="none" w:sz="0" w:space="0" w:color="auto"/>
                    <w:bottom w:val="none" w:sz="0" w:space="0" w:color="auto"/>
                    <w:right w:val="none" w:sz="0" w:space="0" w:color="auto"/>
                  </w:divBdr>
                  <w:divsChild>
                    <w:div w:id="1424838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632626">
      <w:bodyDiv w:val="1"/>
      <w:marLeft w:val="0"/>
      <w:marRight w:val="0"/>
      <w:marTop w:val="0"/>
      <w:marBottom w:val="0"/>
      <w:divBdr>
        <w:top w:val="none" w:sz="0" w:space="0" w:color="auto"/>
        <w:left w:val="none" w:sz="0" w:space="0" w:color="auto"/>
        <w:bottom w:val="none" w:sz="0" w:space="0" w:color="auto"/>
        <w:right w:val="none" w:sz="0" w:space="0" w:color="auto"/>
      </w:divBdr>
    </w:div>
    <w:div w:id="86000607">
      <w:bodyDiv w:val="1"/>
      <w:marLeft w:val="0"/>
      <w:marRight w:val="0"/>
      <w:marTop w:val="0"/>
      <w:marBottom w:val="0"/>
      <w:divBdr>
        <w:top w:val="none" w:sz="0" w:space="0" w:color="auto"/>
        <w:left w:val="none" w:sz="0" w:space="0" w:color="auto"/>
        <w:bottom w:val="none" w:sz="0" w:space="0" w:color="auto"/>
        <w:right w:val="none" w:sz="0" w:space="0" w:color="auto"/>
      </w:divBdr>
    </w:div>
    <w:div w:id="91627706">
      <w:bodyDiv w:val="1"/>
      <w:marLeft w:val="0"/>
      <w:marRight w:val="0"/>
      <w:marTop w:val="0"/>
      <w:marBottom w:val="0"/>
      <w:divBdr>
        <w:top w:val="none" w:sz="0" w:space="0" w:color="auto"/>
        <w:left w:val="none" w:sz="0" w:space="0" w:color="auto"/>
        <w:bottom w:val="none" w:sz="0" w:space="0" w:color="auto"/>
        <w:right w:val="none" w:sz="0" w:space="0" w:color="auto"/>
      </w:divBdr>
    </w:div>
    <w:div w:id="115174837">
      <w:bodyDiv w:val="1"/>
      <w:marLeft w:val="0"/>
      <w:marRight w:val="0"/>
      <w:marTop w:val="0"/>
      <w:marBottom w:val="0"/>
      <w:divBdr>
        <w:top w:val="none" w:sz="0" w:space="0" w:color="auto"/>
        <w:left w:val="none" w:sz="0" w:space="0" w:color="auto"/>
        <w:bottom w:val="none" w:sz="0" w:space="0" w:color="auto"/>
        <w:right w:val="none" w:sz="0" w:space="0" w:color="auto"/>
      </w:divBdr>
    </w:div>
    <w:div w:id="149255506">
      <w:bodyDiv w:val="1"/>
      <w:marLeft w:val="0"/>
      <w:marRight w:val="0"/>
      <w:marTop w:val="0"/>
      <w:marBottom w:val="0"/>
      <w:divBdr>
        <w:top w:val="none" w:sz="0" w:space="0" w:color="auto"/>
        <w:left w:val="none" w:sz="0" w:space="0" w:color="auto"/>
        <w:bottom w:val="none" w:sz="0" w:space="0" w:color="auto"/>
        <w:right w:val="none" w:sz="0" w:space="0" w:color="auto"/>
      </w:divBdr>
    </w:div>
    <w:div w:id="161043016">
      <w:bodyDiv w:val="1"/>
      <w:marLeft w:val="0"/>
      <w:marRight w:val="0"/>
      <w:marTop w:val="0"/>
      <w:marBottom w:val="0"/>
      <w:divBdr>
        <w:top w:val="none" w:sz="0" w:space="0" w:color="auto"/>
        <w:left w:val="none" w:sz="0" w:space="0" w:color="auto"/>
        <w:bottom w:val="none" w:sz="0" w:space="0" w:color="auto"/>
        <w:right w:val="none" w:sz="0" w:space="0" w:color="auto"/>
      </w:divBdr>
    </w:div>
    <w:div w:id="233510778">
      <w:bodyDiv w:val="1"/>
      <w:marLeft w:val="0"/>
      <w:marRight w:val="0"/>
      <w:marTop w:val="0"/>
      <w:marBottom w:val="0"/>
      <w:divBdr>
        <w:top w:val="none" w:sz="0" w:space="0" w:color="auto"/>
        <w:left w:val="none" w:sz="0" w:space="0" w:color="auto"/>
        <w:bottom w:val="none" w:sz="0" w:space="0" w:color="auto"/>
        <w:right w:val="none" w:sz="0" w:space="0" w:color="auto"/>
      </w:divBdr>
    </w:div>
    <w:div w:id="243028392">
      <w:bodyDiv w:val="1"/>
      <w:marLeft w:val="0"/>
      <w:marRight w:val="0"/>
      <w:marTop w:val="0"/>
      <w:marBottom w:val="0"/>
      <w:divBdr>
        <w:top w:val="none" w:sz="0" w:space="0" w:color="auto"/>
        <w:left w:val="none" w:sz="0" w:space="0" w:color="auto"/>
        <w:bottom w:val="none" w:sz="0" w:space="0" w:color="auto"/>
        <w:right w:val="none" w:sz="0" w:space="0" w:color="auto"/>
      </w:divBdr>
    </w:div>
    <w:div w:id="248587515">
      <w:bodyDiv w:val="1"/>
      <w:marLeft w:val="0"/>
      <w:marRight w:val="0"/>
      <w:marTop w:val="0"/>
      <w:marBottom w:val="0"/>
      <w:divBdr>
        <w:top w:val="none" w:sz="0" w:space="0" w:color="auto"/>
        <w:left w:val="none" w:sz="0" w:space="0" w:color="auto"/>
        <w:bottom w:val="none" w:sz="0" w:space="0" w:color="auto"/>
        <w:right w:val="none" w:sz="0" w:space="0" w:color="auto"/>
      </w:divBdr>
    </w:div>
    <w:div w:id="278032676">
      <w:bodyDiv w:val="1"/>
      <w:marLeft w:val="0"/>
      <w:marRight w:val="0"/>
      <w:marTop w:val="0"/>
      <w:marBottom w:val="0"/>
      <w:divBdr>
        <w:top w:val="none" w:sz="0" w:space="0" w:color="auto"/>
        <w:left w:val="none" w:sz="0" w:space="0" w:color="auto"/>
        <w:bottom w:val="none" w:sz="0" w:space="0" w:color="auto"/>
        <w:right w:val="none" w:sz="0" w:space="0" w:color="auto"/>
      </w:divBdr>
    </w:div>
    <w:div w:id="329021582">
      <w:bodyDiv w:val="1"/>
      <w:marLeft w:val="0"/>
      <w:marRight w:val="0"/>
      <w:marTop w:val="0"/>
      <w:marBottom w:val="0"/>
      <w:divBdr>
        <w:top w:val="none" w:sz="0" w:space="0" w:color="auto"/>
        <w:left w:val="none" w:sz="0" w:space="0" w:color="auto"/>
        <w:bottom w:val="none" w:sz="0" w:space="0" w:color="auto"/>
        <w:right w:val="none" w:sz="0" w:space="0" w:color="auto"/>
      </w:divBdr>
    </w:div>
    <w:div w:id="347946254">
      <w:bodyDiv w:val="1"/>
      <w:marLeft w:val="0"/>
      <w:marRight w:val="0"/>
      <w:marTop w:val="0"/>
      <w:marBottom w:val="0"/>
      <w:divBdr>
        <w:top w:val="none" w:sz="0" w:space="0" w:color="auto"/>
        <w:left w:val="none" w:sz="0" w:space="0" w:color="auto"/>
        <w:bottom w:val="none" w:sz="0" w:space="0" w:color="auto"/>
        <w:right w:val="none" w:sz="0" w:space="0" w:color="auto"/>
      </w:divBdr>
    </w:div>
    <w:div w:id="355040030">
      <w:bodyDiv w:val="1"/>
      <w:marLeft w:val="0"/>
      <w:marRight w:val="0"/>
      <w:marTop w:val="0"/>
      <w:marBottom w:val="0"/>
      <w:divBdr>
        <w:top w:val="none" w:sz="0" w:space="0" w:color="auto"/>
        <w:left w:val="none" w:sz="0" w:space="0" w:color="auto"/>
        <w:bottom w:val="none" w:sz="0" w:space="0" w:color="auto"/>
        <w:right w:val="none" w:sz="0" w:space="0" w:color="auto"/>
      </w:divBdr>
    </w:div>
    <w:div w:id="396322941">
      <w:bodyDiv w:val="1"/>
      <w:marLeft w:val="0"/>
      <w:marRight w:val="0"/>
      <w:marTop w:val="0"/>
      <w:marBottom w:val="0"/>
      <w:divBdr>
        <w:top w:val="none" w:sz="0" w:space="0" w:color="auto"/>
        <w:left w:val="none" w:sz="0" w:space="0" w:color="auto"/>
        <w:bottom w:val="none" w:sz="0" w:space="0" w:color="auto"/>
        <w:right w:val="none" w:sz="0" w:space="0" w:color="auto"/>
      </w:divBdr>
      <w:divsChild>
        <w:div w:id="884097780">
          <w:marLeft w:val="-720"/>
          <w:marRight w:val="0"/>
          <w:marTop w:val="0"/>
          <w:marBottom w:val="0"/>
          <w:divBdr>
            <w:top w:val="none" w:sz="0" w:space="0" w:color="auto"/>
            <w:left w:val="none" w:sz="0" w:space="0" w:color="auto"/>
            <w:bottom w:val="none" w:sz="0" w:space="0" w:color="auto"/>
            <w:right w:val="none" w:sz="0" w:space="0" w:color="auto"/>
          </w:divBdr>
        </w:div>
      </w:divsChild>
    </w:div>
    <w:div w:id="436369727">
      <w:bodyDiv w:val="1"/>
      <w:marLeft w:val="0"/>
      <w:marRight w:val="0"/>
      <w:marTop w:val="0"/>
      <w:marBottom w:val="0"/>
      <w:divBdr>
        <w:top w:val="none" w:sz="0" w:space="0" w:color="auto"/>
        <w:left w:val="none" w:sz="0" w:space="0" w:color="auto"/>
        <w:bottom w:val="none" w:sz="0" w:space="0" w:color="auto"/>
        <w:right w:val="none" w:sz="0" w:space="0" w:color="auto"/>
      </w:divBdr>
    </w:div>
    <w:div w:id="524320459">
      <w:bodyDiv w:val="1"/>
      <w:marLeft w:val="0"/>
      <w:marRight w:val="0"/>
      <w:marTop w:val="0"/>
      <w:marBottom w:val="0"/>
      <w:divBdr>
        <w:top w:val="none" w:sz="0" w:space="0" w:color="auto"/>
        <w:left w:val="none" w:sz="0" w:space="0" w:color="auto"/>
        <w:bottom w:val="none" w:sz="0" w:space="0" w:color="auto"/>
        <w:right w:val="none" w:sz="0" w:space="0" w:color="auto"/>
      </w:divBdr>
    </w:div>
    <w:div w:id="574703684">
      <w:bodyDiv w:val="1"/>
      <w:marLeft w:val="0"/>
      <w:marRight w:val="0"/>
      <w:marTop w:val="0"/>
      <w:marBottom w:val="0"/>
      <w:divBdr>
        <w:top w:val="none" w:sz="0" w:space="0" w:color="auto"/>
        <w:left w:val="none" w:sz="0" w:space="0" w:color="auto"/>
        <w:bottom w:val="none" w:sz="0" w:space="0" w:color="auto"/>
        <w:right w:val="none" w:sz="0" w:space="0" w:color="auto"/>
      </w:divBdr>
    </w:div>
    <w:div w:id="583538211">
      <w:bodyDiv w:val="1"/>
      <w:marLeft w:val="0"/>
      <w:marRight w:val="0"/>
      <w:marTop w:val="0"/>
      <w:marBottom w:val="0"/>
      <w:divBdr>
        <w:top w:val="none" w:sz="0" w:space="0" w:color="auto"/>
        <w:left w:val="none" w:sz="0" w:space="0" w:color="auto"/>
        <w:bottom w:val="none" w:sz="0" w:space="0" w:color="auto"/>
        <w:right w:val="none" w:sz="0" w:space="0" w:color="auto"/>
      </w:divBdr>
    </w:div>
    <w:div w:id="642655957">
      <w:bodyDiv w:val="1"/>
      <w:marLeft w:val="0"/>
      <w:marRight w:val="0"/>
      <w:marTop w:val="0"/>
      <w:marBottom w:val="0"/>
      <w:divBdr>
        <w:top w:val="none" w:sz="0" w:space="0" w:color="auto"/>
        <w:left w:val="none" w:sz="0" w:space="0" w:color="auto"/>
        <w:bottom w:val="none" w:sz="0" w:space="0" w:color="auto"/>
        <w:right w:val="none" w:sz="0" w:space="0" w:color="auto"/>
      </w:divBdr>
    </w:div>
    <w:div w:id="717360737">
      <w:bodyDiv w:val="1"/>
      <w:marLeft w:val="0"/>
      <w:marRight w:val="0"/>
      <w:marTop w:val="0"/>
      <w:marBottom w:val="0"/>
      <w:divBdr>
        <w:top w:val="none" w:sz="0" w:space="0" w:color="auto"/>
        <w:left w:val="none" w:sz="0" w:space="0" w:color="auto"/>
        <w:bottom w:val="none" w:sz="0" w:space="0" w:color="auto"/>
        <w:right w:val="none" w:sz="0" w:space="0" w:color="auto"/>
      </w:divBdr>
    </w:div>
    <w:div w:id="718213759">
      <w:bodyDiv w:val="1"/>
      <w:marLeft w:val="0"/>
      <w:marRight w:val="0"/>
      <w:marTop w:val="0"/>
      <w:marBottom w:val="0"/>
      <w:divBdr>
        <w:top w:val="none" w:sz="0" w:space="0" w:color="auto"/>
        <w:left w:val="none" w:sz="0" w:space="0" w:color="auto"/>
        <w:bottom w:val="none" w:sz="0" w:space="0" w:color="auto"/>
        <w:right w:val="none" w:sz="0" w:space="0" w:color="auto"/>
      </w:divBdr>
    </w:div>
    <w:div w:id="732042983">
      <w:bodyDiv w:val="1"/>
      <w:marLeft w:val="0"/>
      <w:marRight w:val="0"/>
      <w:marTop w:val="0"/>
      <w:marBottom w:val="0"/>
      <w:divBdr>
        <w:top w:val="none" w:sz="0" w:space="0" w:color="auto"/>
        <w:left w:val="none" w:sz="0" w:space="0" w:color="auto"/>
        <w:bottom w:val="none" w:sz="0" w:space="0" w:color="auto"/>
        <w:right w:val="none" w:sz="0" w:space="0" w:color="auto"/>
      </w:divBdr>
    </w:div>
    <w:div w:id="746654207">
      <w:bodyDiv w:val="1"/>
      <w:marLeft w:val="0"/>
      <w:marRight w:val="0"/>
      <w:marTop w:val="0"/>
      <w:marBottom w:val="0"/>
      <w:divBdr>
        <w:top w:val="none" w:sz="0" w:space="0" w:color="auto"/>
        <w:left w:val="none" w:sz="0" w:space="0" w:color="auto"/>
        <w:bottom w:val="none" w:sz="0" w:space="0" w:color="auto"/>
        <w:right w:val="none" w:sz="0" w:space="0" w:color="auto"/>
      </w:divBdr>
    </w:div>
    <w:div w:id="782071616">
      <w:bodyDiv w:val="1"/>
      <w:marLeft w:val="0"/>
      <w:marRight w:val="0"/>
      <w:marTop w:val="0"/>
      <w:marBottom w:val="0"/>
      <w:divBdr>
        <w:top w:val="none" w:sz="0" w:space="0" w:color="auto"/>
        <w:left w:val="none" w:sz="0" w:space="0" w:color="auto"/>
        <w:bottom w:val="none" w:sz="0" w:space="0" w:color="auto"/>
        <w:right w:val="none" w:sz="0" w:space="0" w:color="auto"/>
      </w:divBdr>
    </w:div>
    <w:div w:id="799491019">
      <w:bodyDiv w:val="1"/>
      <w:marLeft w:val="0"/>
      <w:marRight w:val="0"/>
      <w:marTop w:val="0"/>
      <w:marBottom w:val="0"/>
      <w:divBdr>
        <w:top w:val="none" w:sz="0" w:space="0" w:color="auto"/>
        <w:left w:val="none" w:sz="0" w:space="0" w:color="auto"/>
        <w:bottom w:val="none" w:sz="0" w:space="0" w:color="auto"/>
        <w:right w:val="none" w:sz="0" w:space="0" w:color="auto"/>
      </w:divBdr>
    </w:div>
    <w:div w:id="864370173">
      <w:bodyDiv w:val="1"/>
      <w:marLeft w:val="0"/>
      <w:marRight w:val="0"/>
      <w:marTop w:val="0"/>
      <w:marBottom w:val="0"/>
      <w:divBdr>
        <w:top w:val="none" w:sz="0" w:space="0" w:color="auto"/>
        <w:left w:val="none" w:sz="0" w:space="0" w:color="auto"/>
        <w:bottom w:val="none" w:sz="0" w:space="0" w:color="auto"/>
        <w:right w:val="none" w:sz="0" w:space="0" w:color="auto"/>
      </w:divBdr>
    </w:div>
    <w:div w:id="906260690">
      <w:bodyDiv w:val="1"/>
      <w:marLeft w:val="0"/>
      <w:marRight w:val="0"/>
      <w:marTop w:val="0"/>
      <w:marBottom w:val="0"/>
      <w:divBdr>
        <w:top w:val="none" w:sz="0" w:space="0" w:color="auto"/>
        <w:left w:val="none" w:sz="0" w:space="0" w:color="auto"/>
        <w:bottom w:val="none" w:sz="0" w:space="0" w:color="auto"/>
        <w:right w:val="none" w:sz="0" w:space="0" w:color="auto"/>
      </w:divBdr>
    </w:div>
    <w:div w:id="910189900">
      <w:bodyDiv w:val="1"/>
      <w:marLeft w:val="0"/>
      <w:marRight w:val="0"/>
      <w:marTop w:val="0"/>
      <w:marBottom w:val="0"/>
      <w:divBdr>
        <w:top w:val="none" w:sz="0" w:space="0" w:color="auto"/>
        <w:left w:val="none" w:sz="0" w:space="0" w:color="auto"/>
        <w:bottom w:val="none" w:sz="0" w:space="0" w:color="auto"/>
        <w:right w:val="none" w:sz="0" w:space="0" w:color="auto"/>
      </w:divBdr>
    </w:div>
    <w:div w:id="934631367">
      <w:bodyDiv w:val="1"/>
      <w:marLeft w:val="0"/>
      <w:marRight w:val="0"/>
      <w:marTop w:val="0"/>
      <w:marBottom w:val="0"/>
      <w:divBdr>
        <w:top w:val="none" w:sz="0" w:space="0" w:color="auto"/>
        <w:left w:val="none" w:sz="0" w:space="0" w:color="auto"/>
        <w:bottom w:val="none" w:sz="0" w:space="0" w:color="auto"/>
        <w:right w:val="none" w:sz="0" w:space="0" w:color="auto"/>
      </w:divBdr>
      <w:divsChild>
        <w:div w:id="660081609">
          <w:marLeft w:val="0"/>
          <w:marRight w:val="0"/>
          <w:marTop w:val="0"/>
          <w:marBottom w:val="0"/>
          <w:divBdr>
            <w:top w:val="none" w:sz="0" w:space="0" w:color="auto"/>
            <w:left w:val="none" w:sz="0" w:space="0" w:color="auto"/>
            <w:bottom w:val="none" w:sz="0" w:space="0" w:color="auto"/>
            <w:right w:val="none" w:sz="0" w:space="0" w:color="auto"/>
          </w:divBdr>
          <w:divsChild>
            <w:div w:id="795683710">
              <w:marLeft w:val="0"/>
              <w:marRight w:val="0"/>
              <w:marTop w:val="0"/>
              <w:marBottom w:val="0"/>
              <w:divBdr>
                <w:top w:val="none" w:sz="0" w:space="0" w:color="auto"/>
                <w:left w:val="none" w:sz="0" w:space="0" w:color="auto"/>
                <w:bottom w:val="none" w:sz="0" w:space="0" w:color="auto"/>
                <w:right w:val="none" w:sz="0" w:space="0" w:color="auto"/>
              </w:divBdr>
              <w:divsChild>
                <w:div w:id="70466258">
                  <w:marLeft w:val="0"/>
                  <w:marRight w:val="0"/>
                  <w:marTop w:val="0"/>
                  <w:marBottom w:val="0"/>
                  <w:divBdr>
                    <w:top w:val="none" w:sz="0" w:space="0" w:color="auto"/>
                    <w:left w:val="none" w:sz="0" w:space="0" w:color="auto"/>
                    <w:bottom w:val="none" w:sz="0" w:space="0" w:color="auto"/>
                    <w:right w:val="none" w:sz="0" w:space="0" w:color="auto"/>
                  </w:divBdr>
                  <w:divsChild>
                    <w:div w:id="221065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8983813">
          <w:marLeft w:val="0"/>
          <w:marRight w:val="0"/>
          <w:marTop w:val="0"/>
          <w:marBottom w:val="0"/>
          <w:divBdr>
            <w:top w:val="none" w:sz="0" w:space="0" w:color="auto"/>
            <w:left w:val="none" w:sz="0" w:space="0" w:color="auto"/>
            <w:bottom w:val="none" w:sz="0" w:space="0" w:color="auto"/>
            <w:right w:val="none" w:sz="0" w:space="0" w:color="auto"/>
          </w:divBdr>
          <w:divsChild>
            <w:div w:id="942227373">
              <w:marLeft w:val="0"/>
              <w:marRight w:val="0"/>
              <w:marTop w:val="0"/>
              <w:marBottom w:val="0"/>
              <w:divBdr>
                <w:top w:val="none" w:sz="0" w:space="0" w:color="auto"/>
                <w:left w:val="none" w:sz="0" w:space="0" w:color="auto"/>
                <w:bottom w:val="none" w:sz="0" w:space="0" w:color="auto"/>
                <w:right w:val="none" w:sz="0" w:space="0" w:color="auto"/>
              </w:divBdr>
              <w:divsChild>
                <w:div w:id="96877910">
                  <w:marLeft w:val="0"/>
                  <w:marRight w:val="0"/>
                  <w:marTop w:val="0"/>
                  <w:marBottom w:val="0"/>
                  <w:divBdr>
                    <w:top w:val="none" w:sz="0" w:space="0" w:color="auto"/>
                    <w:left w:val="none" w:sz="0" w:space="0" w:color="auto"/>
                    <w:bottom w:val="none" w:sz="0" w:space="0" w:color="auto"/>
                    <w:right w:val="none" w:sz="0" w:space="0" w:color="auto"/>
                  </w:divBdr>
                  <w:divsChild>
                    <w:div w:id="586424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722093">
      <w:bodyDiv w:val="1"/>
      <w:marLeft w:val="0"/>
      <w:marRight w:val="0"/>
      <w:marTop w:val="0"/>
      <w:marBottom w:val="0"/>
      <w:divBdr>
        <w:top w:val="none" w:sz="0" w:space="0" w:color="auto"/>
        <w:left w:val="none" w:sz="0" w:space="0" w:color="auto"/>
        <w:bottom w:val="none" w:sz="0" w:space="0" w:color="auto"/>
        <w:right w:val="none" w:sz="0" w:space="0" w:color="auto"/>
      </w:divBdr>
    </w:div>
    <w:div w:id="963316988">
      <w:bodyDiv w:val="1"/>
      <w:marLeft w:val="0"/>
      <w:marRight w:val="0"/>
      <w:marTop w:val="0"/>
      <w:marBottom w:val="0"/>
      <w:divBdr>
        <w:top w:val="none" w:sz="0" w:space="0" w:color="auto"/>
        <w:left w:val="none" w:sz="0" w:space="0" w:color="auto"/>
        <w:bottom w:val="none" w:sz="0" w:space="0" w:color="auto"/>
        <w:right w:val="none" w:sz="0" w:space="0" w:color="auto"/>
      </w:divBdr>
    </w:div>
    <w:div w:id="1030836218">
      <w:bodyDiv w:val="1"/>
      <w:marLeft w:val="0"/>
      <w:marRight w:val="0"/>
      <w:marTop w:val="0"/>
      <w:marBottom w:val="0"/>
      <w:divBdr>
        <w:top w:val="none" w:sz="0" w:space="0" w:color="auto"/>
        <w:left w:val="none" w:sz="0" w:space="0" w:color="auto"/>
        <w:bottom w:val="none" w:sz="0" w:space="0" w:color="auto"/>
        <w:right w:val="none" w:sz="0" w:space="0" w:color="auto"/>
      </w:divBdr>
    </w:div>
    <w:div w:id="1168132510">
      <w:bodyDiv w:val="1"/>
      <w:marLeft w:val="0"/>
      <w:marRight w:val="0"/>
      <w:marTop w:val="0"/>
      <w:marBottom w:val="0"/>
      <w:divBdr>
        <w:top w:val="none" w:sz="0" w:space="0" w:color="auto"/>
        <w:left w:val="none" w:sz="0" w:space="0" w:color="auto"/>
        <w:bottom w:val="none" w:sz="0" w:space="0" w:color="auto"/>
        <w:right w:val="none" w:sz="0" w:space="0" w:color="auto"/>
      </w:divBdr>
    </w:div>
    <w:div w:id="1192256522">
      <w:bodyDiv w:val="1"/>
      <w:marLeft w:val="0"/>
      <w:marRight w:val="0"/>
      <w:marTop w:val="0"/>
      <w:marBottom w:val="0"/>
      <w:divBdr>
        <w:top w:val="none" w:sz="0" w:space="0" w:color="auto"/>
        <w:left w:val="none" w:sz="0" w:space="0" w:color="auto"/>
        <w:bottom w:val="none" w:sz="0" w:space="0" w:color="auto"/>
        <w:right w:val="none" w:sz="0" w:space="0" w:color="auto"/>
      </w:divBdr>
    </w:div>
    <w:div w:id="1266616090">
      <w:bodyDiv w:val="1"/>
      <w:marLeft w:val="0"/>
      <w:marRight w:val="0"/>
      <w:marTop w:val="0"/>
      <w:marBottom w:val="0"/>
      <w:divBdr>
        <w:top w:val="none" w:sz="0" w:space="0" w:color="auto"/>
        <w:left w:val="none" w:sz="0" w:space="0" w:color="auto"/>
        <w:bottom w:val="none" w:sz="0" w:space="0" w:color="auto"/>
        <w:right w:val="none" w:sz="0" w:space="0" w:color="auto"/>
      </w:divBdr>
    </w:div>
    <w:div w:id="1268541206">
      <w:bodyDiv w:val="1"/>
      <w:marLeft w:val="0"/>
      <w:marRight w:val="0"/>
      <w:marTop w:val="0"/>
      <w:marBottom w:val="0"/>
      <w:divBdr>
        <w:top w:val="none" w:sz="0" w:space="0" w:color="auto"/>
        <w:left w:val="none" w:sz="0" w:space="0" w:color="auto"/>
        <w:bottom w:val="none" w:sz="0" w:space="0" w:color="auto"/>
        <w:right w:val="none" w:sz="0" w:space="0" w:color="auto"/>
      </w:divBdr>
    </w:div>
    <w:div w:id="1277642418">
      <w:bodyDiv w:val="1"/>
      <w:marLeft w:val="0"/>
      <w:marRight w:val="0"/>
      <w:marTop w:val="0"/>
      <w:marBottom w:val="0"/>
      <w:divBdr>
        <w:top w:val="none" w:sz="0" w:space="0" w:color="auto"/>
        <w:left w:val="none" w:sz="0" w:space="0" w:color="auto"/>
        <w:bottom w:val="none" w:sz="0" w:space="0" w:color="auto"/>
        <w:right w:val="none" w:sz="0" w:space="0" w:color="auto"/>
      </w:divBdr>
    </w:div>
    <w:div w:id="1289161755">
      <w:bodyDiv w:val="1"/>
      <w:marLeft w:val="0"/>
      <w:marRight w:val="0"/>
      <w:marTop w:val="0"/>
      <w:marBottom w:val="0"/>
      <w:divBdr>
        <w:top w:val="none" w:sz="0" w:space="0" w:color="auto"/>
        <w:left w:val="none" w:sz="0" w:space="0" w:color="auto"/>
        <w:bottom w:val="none" w:sz="0" w:space="0" w:color="auto"/>
        <w:right w:val="none" w:sz="0" w:space="0" w:color="auto"/>
      </w:divBdr>
    </w:div>
    <w:div w:id="1368482316">
      <w:bodyDiv w:val="1"/>
      <w:marLeft w:val="0"/>
      <w:marRight w:val="0"/>
      <w:marTop w:val="0"/>
      <w:marBottom w:val="0"/>
      <w:divBdr>
        <w:top w:val="none" w:sz="0" w:space="0" w:color="auto"/>
        <w:left w:val="none" w:sz="0" w:space="0" w:color="auto"/>
        <w:bottom w:val="none" w:sz="0" w:space="0" w:color="auto"/>
        <w:right w:val="none" w:sz="0" w:space="0" w:color="auto"/>
      </w:divBdr>
    </w:div>
    <w:div w:id="1389106871">
      <w:bodyDiv w:val="1"/>
      <w:marLeft w:val="0"/>
      <w:marRight w:val="0"/>
      <w:marTop w:val="0"/>
      <w:marBottom w:val="0"/>
      <w:divBdr>
        <w:top w:val="none" w:sz="0" w:space="0" w:color="auto"/>
        <w:left w:val="none" w:sz="0" w:space="0" w:color="auto"/>
        <w:bottom w:val="none" w:sz="0" w:space="0" w:color="auto"/>
        <w:right w:val="none" w:sz="0" w:space="0" w:color="auto"/>
      </w:divBdr>
    </w:div>
    <w:div w:id="1406999328">
      <w:bodyDiv w:val="1"/>
      <w:marLeft w:val="0"/>
      <w:marRight w:val="0"/>
      <w:marTop w:val="0"/>
      <w:marBottom w:val="0"/>
      <w:divBdr>
        <w:top w:val="none" w:sz="0" w:space="0" w:color="auto"/>
        <w:left w:val="none" w:sz="0" w:space="0" w:color="auto"/>
        <w:bottom w:val="none" w:sz="0" w:space="0" w:color="auto"/>
        <w:right w:val="none" w:sz="0" w:space="0" w:color="auto"/>
      </w:divBdr>
    </w:div>
    <w:div w:id="1454397107">
      <w:bodyDiv w:val="1"/>
      <w:marLeft w:val="0"/>
      <w:marRight w:val="0"/>
      <w:marTop w:val="0"/>
      <w:marBottom w:val="0"/>
      <w:divBdr>
        <w:top w:val="none" w:sz="0" w:space="0" w:color="auto"/>
        <w:left w:val="none" w:sz="0" w:space="0" w:color="auto"/>
        <w:bottom w:val="none" w:sz="0" w:space="0" w:color="auto"/>
        <w:right w:val="none" w:sz="0" w:space="0" w:color="auto"/>
      </w:divBdr>
    </w:div>
    <w:div w:id="1524056656">
      <w:bodyDiv w:val="1"/>
      <w:marLeft w:val="0"/>
      <w:marRight w:val="0"/>
      <w:marTop w:val="0"/>
      <w:marBottom w:val="0"/>
      <w:divBdr>
        <w:top w:val="none" w:sz="0" w:space="0" w:color="auto"/>
        <w:left w:val="none" w:sz="0" w:space="0" w:color="auto"/>
        <w:bottom w:val="none" w:sz="0" w:space="0" w:color="auto"/>
        <w:right w:val="none" w:sz="0" w:space="0" w:color="auto"/>
      </w:divBdr>
    </w:div>
    <w:div w:id="1686126774">
      <w:bodyDiv w:val="1"/>
      <w:marLeft w:val="0"/>
      <w:marRight w:val="0"/>
      <w:marTop w:val="0"/>
      <w:marBottom w:val="0"/>
      <w:divBdr>
        <w:top w:val="none" w:sz="0" w:space="0" w:color="auto"/>
        <w:left w:val="none" w:sz="0" w:space="0" w:color="auto"/>
        <w:bottom w:val="none" w:sz="0" w:space="0" w:color="auto"/>
        <w:right w:val="none" w:sz="0" w:space="0" w:color="auto"/>
      </w:divBdr>
    </w:div>
    <w:div w:id="1722166949">
      <w:bodyDiv w:val="1"/>
      <w:marLeft w:val="0"/>
      <w:marRight w:val="0"/>
      <w:marTop w:val="0"/>
      <w:marBottom w:val="0"/>
      <w:divBdr>
        <w:top w:val="none" w:sz="0" w:space="0" w:color="auto"/>
        <w:left w:val="none" w:sz="0" w:space="0" w:color="auto"/>
        <w:bottom w:val="none" w:sz="0" w:space="0" w:color="auto"/>
        <w:right w:val="none" w:sz="0" w:space="0" w:color="auto"/>
      </w:divBdr>
    </w:div>
    <w:div w:id="1722903881">
      <w:bodyDiv w:val="1"/>
      <w:marLeft w:val="0"/>
      <w:marRight w:val="0"/>
      <w:marTop w:val="0"/>
      <w:marBottom w:val="0"/>
      <w:divBdr>
        <w:top w:val="none" w:sz="0" w:space="0" w:color="auto"/>
        <w:left w:val="none" w:sz="0" w:space="0" w:color="auto"/>
        <w:bottom w:val="none" w:sz="0" w:space="0" w:color="auto"/>
        <w:right w:val="none" w:sz="0" w:space="0" w:color="auto"/>
      </w:divBdr>
    </w:div>
    <w:div w:id="1746535809">
      <w:bodyDiv w:val="1"/>
      <w:marLeft w:val="0"/>
      <w:marRight w:val="0"/>
      <w:marTop w:val="0"/>
      <w:marBottom w:val="0"/>
      <w:divBdr>
        <w:top w:val="none" w:sz="0" w:space="0" w:color="auto"/>
        <w:left w:val="none" w:sz="0" w:space="0" w:color="auto"/>
        <w:bottom w:val="none" w:sz="0" w:space="0" w:color="auto"/>
        <w:right w:val="none" w:sz="0" w:space="0" w:color="auto"/>
      </w:divBdr>
      <w:divsChild>
        <w:div w:id="512652299">
          <w:marLeft w:val="-720"/>
          <w:marRight w:val="0"/>
          <w:marTop w:val="0"/>
          <w:marBottom w:val="0"/>
          <w:divBdr>
            <w:top w:val="none" w:sz="0" w:space="0" w:color="auto"/>
            <w:left w:val="none" w:sz="0" w:space="0" w:color="auto"/>
            <w:bottom w:val="none" w:sz="0" w:space="0" w:color="auto"/>
            <w:right w:val="none" w:sz="0" w:space="0" w:color="auto"/>
          </w:divBdr>
        </w:div>
      </w:divsChild>
    </w:div>
    <w:div w:id="1754735592">
      <w:bodyDiv w:val="1"/>
      <w:marLeft w:val="0"/>
      <w:marRight w:val="0"/>
      <w:marTop w:val="0"/>
      <w:marBottom w:val="0"/>
      <w:divBdr>
        <w:top w:val="none" w:sz="0" w:space="0" w:color="auto"/>
        <w:left w:val="none" w:sz="0" w:space="0" w:color="auto"/>
        <w:bottom w:val="none" w:sz="0" w:space="0" w:color="auto"/>
        <w:right w:val="none" w:sz="0" w:space="0" w:color="auto"/>
      </w:divBdr>
    </w:div>
    <w:div w:id="1784035907">
      <w:bodyDiv w:val="1"/>
      <w:marLeft w:val="0"/>
      <w:marRight w:val="0"/>
      <w:marTop w:val="0"/>
      <w:marBottom w:val="0"/>
      <w:divBdr>
        <w:top w:val="none" w:sz="0" w:space="0" w:color="auto"/>
        <w:left w:val="none" w:sz="0" w:space="0" w:color="auto"/>
        <w:bottom w:val="none" w:sz="0" w:space="0" w:color="auto"/>
        <w:right w:val="none" w:sz="0" w:space="0" w:color="auto"/>
      </w:divBdr>
    </w:div>
    <w:div w:id="1814054949">
      <w:bodyDiv w:val="1"/>
      <w:marLeft w:val="0"/>
      <w:marRight w:val="0"/>
      <w:marTop w:val="0"/>
      <w:marBottom w:val="0"/>
      <w:divBdr>
        <w:top w:val="none" w:sz="0" w:space="0" w:color="auto"/>
        <w:left w:val="none" w:sz="0" w:space="0" w:color="auto"/>
        <w:bottom w:val="none" w:sz="0" w:space="0" w:color="auto"/>
        <w:right w:val="none" w:sz="0" w:space="0" w:color="auto"/>
      </w:divBdr>
    </w:div>
    <w:div w:id="1845045426">
      <w:bodyDiv w:val="1"/>
      <w:marLeft w:val="0"/>
      <w:marRight w:val="0"/>
      <w:marTop w:val="0"/>
      <w:marBottom w:val="0"/>
      <w:divBdr>
        <w:top w:val="none" w:sz="0" w:space="0" w:color="auto"/>
        <w:left w:val="none" w:sz="0" w:space="0" w:color="auto"/>
        <w:bottom w:val="none" w:sz="0" w:space="0" w:color="auto"/>
        <w:right w:val="none" w:sz="0" w:space="0" w:color="auto"/>
      </w:divBdr>
      <w:divsChild>
        <w:div w:id="967397928">
          <w:marLeft w:val="-720"/>
          <w:marRight w:val="0"/>
          <w:marTop w:val="0"/>
          <w:marBottom w:val="0"/>
          <w:divBdr>
            <w:top w:val="none" w:sz="0" w:space="0" w:color="auto"/>
            <w:left w:val="none" w:sz="0" w:space="0" w:color="auto"/>
            <w:bottom w:val="none" w:sz="0" w:space="0" w:color="auto"/>
            <w:right w:val="none" w:sz="0" w:space="0" w:color="auto"/>
          </w:divBdr>
        </w:div>
      </w:divsChild>
    </w:div>
    <w:div w:id="1864515971">
      <w:bodyDiv w:val="1"/>
      <w:marLeft w:val="0"/>
      <w:marRight w:val="0"/>
      <w:marTop w:val="0"/>
      <w:marBottom w:val="0"/>
      <w:divBdr>
        <w:top w:val="none" w:sz="0" w:space="0" w:color="auto"/>
        <w:left w:val="none" w:sz="0" w:space="0" w:color="auto"/>
        <w:bottom w:val="none" w:sz="0" w:space="0" w:color="auto"/>
        <w:right w:val="none" w:sz="0" w:space="0" w:color="auto"/>
      </w:divBdr>
    </w:div>
    <w:div w:id="1957563371">
      <w:bodyDiv w:val="1"/>
      <w:marLeft w:val="0"/>
      <w:marRight w:val="0"/>
      <w:marTop w:val="0"/>
      <w:marBottom w:val="0"/>
      <w:divBdr>
        <w:top w:val="none" w:sz="0" w:space="0" w:color="auto"/>
        <w:left w:val="none" w:sz="0" w:space="0" w:color="auto"/>
        <w:bottom w:val="none" w:sz="0" w:space="0" w:color="auto"/>
        <w:right w:val="none" w:sz="0" w:space="0" w:color="auto"/>
      </w:divBdr>
    </w:div>
    <w:div w:id="1959678237">
      <w:bodyDiv w:val="1"/>
      <w:marLeft w:val="0"/>
      <w:marRight w:val="0"/>
      <w:marTop w:val="0"/>
      <w:marBottom w:val="0"/>
      <w:divBdr>
        <w:top w:val="none" w:sz="0" w:space="0" w:color="auto"/>
        <w:left w:val="none" w:sz="0" w:space="0" w:color="auto"/>
        <w:bottom w:val="none" w:sz="0" w:space="0" w:color="auto"/>
        <w:right w:val="none" w:sz="0" w:space="0" w:color="auto"/>
      </w:divBdr>
    </w:div>
    <w:div w:id="1994526642">
      <w:bodyDiv w:val="1"/>
      <w:marLeft w:val="0"/>
      <w:marRight w:val="0"/>
      <w:marTop w:val="0"/>
      <w:marBottom w:val="0"/>
      <w:divBdr>
        <w:top w:val="none" w:sz="0" w:space="0" w:color="auto"/>
        <w:left w:val="none" w:sz="0" w:space="0" w:color="auto"/>
        <w:bottom w:val="none" w:sz="0" w:space="0" w:color="auto"/>
        <w:right w:val="none" w:sz="0" w:space="0" w:color="auto"/>
      </w:divBdr>
    </w:div>
    <w:div w:id="2009676055">
      <w:bodyDiv w:val="1"/>
      <w:marLeft w:val="0"/>
      <w:marRight w:val="0"/>
      <w:marTop w:val="0"/>
      <w:marBottom w:val="0"/>
      <w:divBdr>
        <w:top w:val="none" w:sz="0" w:space="0" w:color="auto"/>
        <w:left w:val="none" w:sz="0" w:space="0" w:color="auto"/>
        <w:bottom w:val="none" w:sz="0" w:space="0" w:color="auto"/>
        <w:right w:val="none" w:sz="0" w:space="0" w:color="auto"/>
      </w:divBdr>
    </w:div>
    <w:div w:id="2026979044">
      <w:bodyDiv w:val="1"/>
      <w:marLeft w:val="0"/>
      <w:marRight w:val="0"/>
      <w:marTop w:val="0"/>
      <w:marBottom w:val="0"/>
      <w:divBdr>
        <w:top w:val="none" w:sz="0" w:space="0" w:color="auto"/>
        <w:left w:val="none" w:sz="0" w:space="0" w:color="auto"/>
        <w:bottom w:val="none" w:sz="0" w:space="0" w:color="auto"/>
        <w:right w:val="none" w:sz="0" w:space="0" w:color="auto"/>
      </w:divBdr>
    </w:div>
    <w:div w:id="20649379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tiff"/><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10.tiff"/><Relationship Id="rId23" Type="http://schemas.openxmlformats.org/officeDocument/2006/relationships/image" Target="media/image18.jpeg"/><Relationship Id="rId28" Type="http://schemas.openxmlformats.org/officeDocument/2006/relationships/theme" Target="theme/theme1.xml"/><Relationship Id="rId10" Type="http://schemas.openxmlformats.org/officeDocument/2006/relationships/image" Target="media/image5.emf"/><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D0C24A-C618-43BF-9D7B-7B8E080087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339</TotalTime>
  <Pages>29</Pages>
  <Words>6450</Words>
  <Characters>36765</Characters>
  <Application>Microsoft Office Word</Application>
  <DocSecurity>0</DocSecurity>
  <Lines>306</Lines>
  <Paragraphs>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43129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varsha singh</dc:creator>
  <cp:keywords/>
  <dc:description/>
  <cp:lastModifiedBy>Anand Kumar Patel</cp:lastModifiedBy>
  <cp:revision>50</cp:revision>
  <dcterms:created xsi:type="dcterms:W3CDTF">2025-09-02T18:23:00Z</dcterms:created>
  <dcterms:modified xsi:type="dcterms:W3CDTF">2026-06-23T16:22:00Z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27351d52-8090-4a02-993e-10899911c08f</vt:lpwstr>
  </property>
</Properties>
</file>