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F4AC4" w14:textId="77777777" w:rsidR="00CF3A49" w:rsidRDefault="00AC4BC6" w:rsidP="00F25CD2">
      <w:pPr>
        <w:jc w:val="center"/>
        <w:rPr>
          <w:rFonts w:ascii="Times New Roman" w:hAnsi="Times New Roman" w:cs="Times New Roman"/>
          <w:b/>
          <w:bCs/>
          <w:sz w:val="28"/>
          <w:szCs w:val="28"/>
          <w:shd w:val="clear" w:color="auto" w:fill="FFFFFF"/>
        </w:rPr>
      </w:pPr>
      <w:r w:rsidRPr="0082378B">
        <w:rPr>
          <w:rFonts w:ascii="Times New Roman" w:hAnsi="Times New Roman" w:cs="Times New Roman"/>
          <w:b/>
          <w:bCs/>
          <w:sz w:val="28"/>
          <w:szCs w:val="28"/>
          <w:shd w:val="clear" w:color="auto" w:fill="FFFFFF"/>
        </w:rPr>
        <w:t>Mushroom based sustainable  biopolymer composites</w:t>
      </w:r>
    </w:p>
    <w:p w14:paraId="1C4F3592" w14:textId="4F868814" w:rsidR="00CF5040" w:rsidRPr="00CF5040" w:rsidRDefault="00AC4BC6" w:rsidP="00F25CD2">
      <w:pPr>
        <w:jc w:val="center"/>
        <w:rPr>
          <w:rFonts w:ascii="Times New Roman" w:hAnsi="Times New Roman" w:cs="Times New Roman"/>
          <w:b/>
          <w:bCs/>
          <w:sz w:val="28"/>
          <w:szCs w:val="28"/>
          <w:shd w:val="clear" w:color="auto" w:fill="FFFFFF"/>
        </w:rPr>
      </w:pPr>
      <w:r w:rsidRPr="0082378B">
        <w:rPr>
          <w:rFonts w:ascii="Times New Roman" w:hAnsi="Times New Roman" w:cs="Times New Roman"/>
          <w:b/>
          <w:bCs/>
          <w:sz w:val="28"/>
          <w:szCs w:val="28"/>
          <w:shd w:val="clear" w:color="auto" w:fill="FFFFFF"/>
        </w:rPr>
        <w:t xml:space="preserve"> </w:t>
      </w:r>
      <w:r w:rsidR="0082378B" w:rsidRPr="00CF5040">
        <w:rPr>
          <w:rFonts w:ascii="Times New Roman" w:hAnsi="Times New Roman" w:cs="Times New Roman"/>
          <w:sz w:val="24"/>
          <w:szCs w:val="24"/>
          <w:shd w:val="clear" w:color="auto" w:fill="FFFFFF"/>
        </w:rPr>
        <w:t>Harshitha V</w:t>
      </w:r>
      <w:r w:rsidR="00927522" w:rsidRPr="00CF5040">
        <w:rPr>
          <w:rFonts w:ascii="Times New Roman" w:hAnsi="Times New Roman" w:cs="Times New Roman"/>
          <w:sz w:val="24"/>
          <w:szCs w:val="24"/>
          <w:shd w:val="clear" w:color="auto" w:fill="FFFFFF"/>
        </w:rPr>
        <w:t xml:space="preserve"> </w:t>
      </w:r>
      <w:r w:rsidR="00CF5040" w:rsidRPr="007920AB">
        <w:rPr>
          <w:rFonts w:ascii="Times New Roman" w:hAnsi="Times New Roman" w:cs="Times New Roman"/>
          <w:sz w:val="24"/>
          <w:szCs w:val="24"/>
          <w:shd w:val="clear" w:color="auto" w:fill="FFFFFF"/>
          <w:vertAlign w:val="superscript"/>
        </w:rPr>
        <w:t>1</w:t>
      </w:r>
      <w:r w:rsidR="0082378B" w:rsidRPr="00CF5040">
        <w:rPr>
          <w:rFonts w:ascii="Times New Roman" w:hAnsi="Times New Roman" w:cs="Times New Roman"/>
          <w:sz w:val="24"/>
          <w:szCs w:val="24"/>
          <w:shd w:val="clear" w:color="auto" w:fill="FFFFFF"/>
        </w:rPr>
        <w:t>,Maredugonda Naga Sathwika</w:t>
      </w:r>
      <w:r w:rsidR="00164034" w:rsidRPr="00CF5040">
        <w:rPr>
          <w:rFonts w:ascii="Times New Roman" w:hAnsi="Times New Roman" w:cs="Times New Roman"/>
          <w:sz w:val="24"/>
          <w:szCs w:val="24"/>
          <w:shd w:val="clear" w:color="auto" w:fill="FFFFFF"/>
        </w:rPr>
        <w:t xml:space="preserve"> </w:t>
      </w:r>
      <w:r w:rsidR="00CF5040">
        <w:rPr>
          <w:rFonts w:ascii="Times New Roman" w:hAnsi="Times New Roman" w:cs="Times New Roman"/>
          <w:sz w:val="24"/>
          <w:szCs w:val="24"/>
          <w:shd w:val="clear" w:color="auto" w:fill="FFFFFF"/>
          <w:vertAlign w:val="superscript"/>
        </w:rPr>
        <w:t xml:space="preserve">1 </w:t>
      </w:r>
      <w:r w:rsidR="0082378B" w:rsidRPr="00CF5040">
        <w:rPr>
          <w:rFonts w:ascii="Times New Roman" w:hAnsi="Times New Roman" w:cs="Times New Roman"/>
          <w:sz w:val="24"/>
          <w:szCs w:val="24"/>
          <w:shd w:val="clear" w:color="auto" w:fill="FFFFFF"/>
        </w:rPr>
        <w:t>Swathy Sankar</w:t>
      </w:r>
      <w:r w:rsidR="00927522" w:rsidRPr="00CF5040">
        <w:rPr>
          <w:rFonts w:ascii="Times New Roman" w:hAnsi="Times New Roman" w:cs="Times New Roman"/>
          <w:sz w:val="24"/>
          <w:szCs w:val="24"/>
          <w:shd w:val="clear" w:color="auto" w:fill="FFFFFF"/>
        </w:rPr>
        <w:t xml:space="preserve"> </w:t>
      </w:r>
      <w:r w:rsidR="00CF5040">
        <w:rPr>
          <w:rFonts w:ascii="Times New Roman" w:hAnsi="Times New Roman" w:cs="Times New Roman"/>
          <w:sz w:val="24"/>
          <w:szCs w:val="24"/>
          <w:shd w:val="clear" w:color="auto" w:fill="FFFFFF"/>
          <w:vertAlign w:val="superscript"/>
        </w:rPr>
        <w:t>1</w:t>
      </w:r>
      <w:r w:rsidR="0082378B" w:rsidRPr="00CF5040">
        <w:rPr>
          <w:rFonts w:ascii="Times New Roman" w:hAnsi="Times New Roman" w:cs="Times New Roman"/>
          <w:sz w:val="24"/>
          <w:szCs w:val="24"/>
          <w:shd w:val="clear" w:color="auto" w:fill="FFFFFF"/>
        </w:rPr>
        <w:t xml:space="preserve">, </w:t>
      </w:r>
      <w:r w:rsidR="00CF5040" w:rsidRPr="00CF5040">
        <w:rPr>
          <w:rFonts w:ascii="Times New Roman" w:hAnsi="Times New Roman" w:cs="Times New Roman"/>
          <w:sz w:val="24"/>
          <w:szCs w:val="24"/>
        </w:rPr>
        <w:t>Dr.P.Sudha Rani</w:t>
      </w:r>
      <w:r w:rsidR="00CF5040" w:rsidRPr="00CF5040">
        <w:rPr>
          <w:rFonts w:ascii="Times New Roman" w:hAnsi="Times New Roman" w:cs="Times New Roman"/>
          <w:sz w:val="24"/>
          <w:szCs w:val="24"/>
          <w:vertAlign w:val="superscript"/>
        </w:rPr>
        <w:t>2</w:t>
      </w:r>
      <w:r w:rsidR="00CF5040" w:rsidRPr="00CF5040">
        <w:rPr>
          <w:rFonts w:ascii="Times New Roman" w:hAnsi="Times New Roman" w:cs="Times New Roman"/>
          <w:sz w:val="24"/>
          <w:szCs w:val="24"/>
        </w:rPr>
        <w:t>, Dr.Maya.M.R</w:t>
      </w:r>
      <w:r w:rsidR="00CF5040" w:rsidRPr="00CF5040">
        <w:rPr>
          <w:rFonts w:ascii="Times New Roman" w:hAnsi="Times New Roman" w:cs="Times New Roman"/>
          <w:sz w:val="24"/>
          <w:szCs w:val="24"/>
          <w:vertAlign w:val="superscript"/>
        </w:rPr>
        <w:t>1*</w:t>
      </w:r>
    </w:p>
    <w:p w14:paraId="25C6E45A" w14:textId="77777777" w:rsidR="00CF5040" w:rsidRPr="00CF5040" w:rsidRDefault="00CF5040" w:rsidP="00CF5040">
      <w:pPr>
        <w:jc w:val="both"/>
        <w:rPr>
          <w:rFonts w:ascii="Times New Roman" w:hAnsi="Times New Roman" w:cs="Times New Roman"/>
          <w:sz w:val="24"/>
          <w:szCs w:val="24"/>
        </w:rPr>
      </w:pPr>
    </w:p>
    <w:p w14:paraId="5A332104" w14:textId="463C3945" w:rsidR="00CF5040" w:rsidRPr="00806B4F" w:rsidRDefault="00CF5040" w:rsidP="00CF5040">
      <w:pPr>
        <w:spacing w:after="12"/>
        <w:ind w:right="519"/>
        <w:jc w:val="both"/>
        <w:rPr>
          <w:rFonts w:ascii="Times New Roman" w:hAnsi="Times New Roman" w:cs="Times New Roman"/>
          <w:bCs/>
        </w:rPr>
      </w:pPr>
      <w:r w:rsidRPr="00806B4F">
        <w:rPr>
          <w:rFonts w:ascii="Times New Roman" w:hAnsi="Times New Roman" w:cs="Times New Roman"/>
          <w:bCs/>
          <w:vertAlign w:val="superscript"/>
        </w:rPr>
        <w:t>1</w:t>
      </w:r>
      <w:r w:rsidR="00A42F91">
        <w:rPr>
          <w:rFonts w:ascii="Times New Roman" w:hAnsi="Times New Roman" w:cs="Times New Roman"/>
          <w:bCs/>
          <w:vertAlign w:val="superscript"/>
        </w:rPr>
        <w:t>,2</w:t>
      </w:r>
      <w:r w:rsidRPr="00806B4F">
        <w:rPr>
          <w:rFonts w:ascii="Times New Roman" w:hAnsi="Times New Roman" w:cs="Times New Roman"/>
          <w:bCs/>
          <w:vertAlign w:val="superscript"/>
        </w:rPr>
        <w:t xml:space="preserve"> </w:t>
      </w:r>
      <w:r w:rsidRPr="00806B4F">
        <w:rPr>
          <w:rFonts w:ascii="Times New Roman" w:hAnsi="Times New Roman" w:cs="Times New Roman"/>
          <w:bCs/>
        </w:rPr>
        <w:t>Administrative Management College,18</w:t>
      </w:r>
      <w:r w:rsidRPr="00806B4F">
        <w:rPr>
          <w:rFonts w:ascii="Times New Roman" w:hAnsi="Times New Roman" w:cs="Times New Roman"/>
          <w:bCs/>
          <w:vertAlign w:val="superscript"/>
        </w:rPr>
        <w:t>th</w:t>
      </w:r>
      <w:r w:rsidRPr="00806B4F">
        <w:rPr>
          <w:rFonts w:ascii="Times New Roman" w:hAnsi="Times New Roman" w:cs="Times New Roman"/>
          <w:bCs/>
        </w:rPr>
        <w:t xml:space="preserve"> KM Bannerghatta road, Bangalore      </w:t>
      </w:r>
    </w:p>
    <w:p w14:paraId="76868BDD" w14:textId="77777777" w:rsidR="00CF5040" w:rsidRPr="00806B4F" w:rsidRDefault="00CF5040" w:rsidP="00CF5040">
      <w:pPr>
        <w:spacing w:after="12"/>
        <w:ind w:right="519"/>
        <w:jc w:val="both"/>
        <w:rPr>
          <w:rFonts w:ascii="Times New Roman" w:hAnsi="Times New Roman" w:cs="Times New Roman"/>
          <w:bCs/>
        </w:rPr>
      </w:pPr>
      <w:r w:rsidRPr="00806B4F">
        <w:rPr>
          <w:rFonts w:ascii="Times New Roman" w:hAnsi="Times New Roman" w:cs="Times New Roman"/>
          <w:bCs/>
        </w:rPr>
        <w:t xml:space="preserve">      560083,Karnataka, India. </w:t>
      </w:r>
    </w:p>
    <w:p w14:paraId="22B08F54" w14:textId="77777777" w:rsidR="00CF5040" w:rsidRPr="00806B4F" w:rsidRDefault="00CF5040" w:rsidP="00CF5040">
      <w:pPr>
        <w:spacing w:after="12"/>
        <w:ind w:right="519"/>
        <w:jc w:val="both"/>
        <w:rPr>
          <w:rFonts w:ascii="Times New Roman" w:hAnsi="Times New Roman" w:cs="Times New Roman"/>
          <w:bCs/>
        </w:rPr>
      </w:pPr>
      <w:r w:rsidRPr="00806B4F">
        <w:rPr>
          <w:rFonts w:ascii="Times New Roman" w:hAnsi="Times New Roman" w:cs="Times New Roman"/>
          <w:bCs/>
        </w:rPr>
        <w:t xml:space="preserve">* Corresponding author Email: </w:t>
      </w:r>
      <w:hyperlink r:id="rId8" w:history="1">
        <w:r w:rsidRPr="00806B4F">
          <w:rPr>
            <w:rStyle w:val="Hyperlink"/>
            <w:rFonts w:ascii="Times New Roman" w:hAnsi="Times New Roman" w:cs="Times New Roman"/>
            <w:bCs/>
          </w:rPr>
          <w:t>biomaya@gmail.com</w:t>
        </w:r>
      </w:hyperlink>
    </w:p>
    <w:p w14:paraId="7A1A0A3B" w14:textId="6A774EAC" w:rsidR="00AC4BC6" w:rsidRPr="0082378B" w:rsidRDefault="00AC4BC6" w:rsidP="00CF5040">
      <w:pPr>
        <w:spacing w:after="0"/>
        <w:jc w:val="center"/>
        <w:rPr>
          <w:rFonts w:ascii="Times New Roman" w:hAnsi="Times New Roman" w:cs="Times New Roman"/>
          <w:b/>
          <w:bCs/>
          <w:sz w:val="28"/>
          <w:szCs w:val="28"/>
          <w:shd w:val="clear" w:color="auto" w:fill="FFFFFF"/>
        </w:rPr>
      </w:pPr>
    </w:p>
    <w:p w14:paraId="577E7E6E" w14:textId="77777777" w:rsidR="0082378B" w:rsidRDefault="0082378B">
      <w:pP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ABSRACT</w:t>
      </w:r>
    </w:p>
    <w:p w14:paraId="15F74C47" w14:textId="77777777" w:rsidR="00273F3B" w:rsidRDefault="0082378B" w:rsidP="00273F3B">
      <w:pPr>
        <w:jc w:val="both"/>
        <w:rPr>
          <w:rFonts w:ascii="Times New Roman" w:hAnsi="Times New Roman" w:cs="Times New Roman"/>
          <w:sz w:val="24"/>
          <w:szCs w:val="24"/>
          <w:shd w:val="clear" w:color="auto" w:fill="FFFFFF"/>
        </w:rPr>
      </w:pPr>
      <w:r w:rsidRPr="0082378B">
        <w:rPr>
          <w:rFonts w:ascii="Times New Roman" w:hAnsi="Times New Roman" w:cs="Times New Roman"/>
          <w:sz w:val="24"/>
          <w:szCs w:val="24"/>
          <w:shd w:val="clear" w:color="auto" w:fill="FFFFFF"/>
        </w:rPr>
        <w:t>Synthetic polymers remain intact in nature for many years after the expire and cannot be included in the natural recycling material in anywhere. Fossil resource-based polymer manufacture is endangering current supplies and has a daily detrimental impact on the circular economy. The  harmful consequences of polymers on the environment, biopolymers a class of polymers created by living organisms like plants, animals, and microalgae might be a great substitute. Because of biopolymers that are recyclable, low-emission, or environmentally friendly, a wide range of new subjects are emerging in this field.  There are several industries where composite materials based on these biopolymers which function as natural adhesives find use, including the packaging, textile, furniture, and industrial design sectors, as well as architectural and structural insulation design</w:t>
      </w:r>
      <w:r>
        <w:rPr>
          <w:rFonts w:ascii="Times New Roman" w:hAnsi="Times New Roman" w:cs="Times New Roman"/>
          <w:sz w:val="24"/>
          <w:szCs w:val="24"/>
          <w:shd w:val="clear" w:color="auto" w:fill="FFFFFF"/>
        </w:rPr>
        <w:t>.</w:t>
      </w:r>
      <w:r w:rsidRPr="0082378B">
        <w:t xml:space="preserve"> </w:t>
      </w:r>
      <w:r w:rsidRPr="0082378B">
        <w:rPr>
          <w:rFonts w:ascii="Times New Roman" w:hAnsi="Times New Roman" w:cs="Times New Roman"/>
          <w:sz w:val="24"/>
          <w:szCs w:val="24"/>
          <w:shd w:val="clear" w:color="auto" w:fill="FFFFFF"/>
        </w:rPr>
        <w:t>This composite can replace traditional building materials, which are expensive, nonbiodegradable, and have significant emissions. It also exhibits exceptional mechanical strength, hydrophobic qualities, and thermal stability. The kind of substrate and strain, the length of incubation, and the method of manufacturing are some of the variables influencing the composite's physicochemical properties.</w:t>
      </w:r>
    </w:p>
    <w:p w14:paraId="1C24F3DB" w14:textId="59E13076" w:rsidR="00273F3B" w:rsidRDefault="008044B5" w:rsidP="00273F3B">
      <w:pPr>
        <w:jc w:val="both"/>
        <w:rPr>
          <w:rFonts w:ascii="Times New Roman" w:hAnsi="Times New Roman" w:cs="Times New Roman"/>
          <w:b/>
          <w:bCs/>
          <w:sz w:val="24"/>
          <w:szCs w:val="24"/>
          <w:shd w:val="clear" w:color="auto" w:fill="FFFFFF"/>
        </w:rPr>
      </w:pPr>
      <w:r w:rsidRPr="00273F3B">
        <w:rPr>
          <w:rFonts w:ascii="Times New Roman" w:hAnsi="Times New Roman" w:cs="Times New Roman"/>
          <w:b/>
          <w:bCs/>
          <w:sz w:val="24"/>
          <w:szCs w:val="24"/>
          <w:shd w:val="clear" w:color="auto" w:fill="FFFFFF"/>
        </w:rPr>
        <w:t>Key words</w:t>
      </w:r>
    </w:p>
    <w:p w14:paraId="10E5322F" w14:textId="154720A8" w:rsidR="008909A5" w:rsidRPr="00273F3B" w:rsidRDefault="00CF3A49" w:rsidP="00273F3B">
      <w:pPr>
        <w:jc w:val="both"/>
        <w:rPr>
          <w:rFonts w:ascii="Times New Roman" w:hAnsi="Times New Roman" w:cs="Times New Roman"/>
          <w:b/>
          <w:bCs/>
          <w:sz w:val="24"/>
          <w:szCs w:val="24"/>
          <w:shd w:val="clear" w:color="auto" w:fill="FFFFFF"/>
        </w:rPr>
      </w:pPr>
      <w:r w:rsidRPr="00CF3A49">
        <w:rPr>
          <w:rFonts w:ascii="Times New Roman" w:hAnsi="Times New Roman" w:cs="Times New Roman"/>
          <w:sz w:val="24"/>
          <w:szCs w:val="24"/>
          <w:shd w:val="clear" w:color="auto" w:fill="FFFFFF"/>
        </w:rPr>
        <w:t>Biopolymers, Sustainable composite materials, Circular economy, Natural adhesives, Eco-friendly building materials.</w:t>
      </w:r>
    </w:p>
    <w:p w14:paraId="07A4333F" w14:textId="1E30B437" w:rsidR="008044B5" w:rsidRPr="008044B5" w:rsidRDefault="008044B5" w:rsidP="008044B5">
      <w:pPr>
        <w:pStyle w:val="NormalWeb"/>
        <w:shd w:val="clear" w:color="auto" w:fill="FFFFFF"/>
        <w:spacing w:before="400" w:after="400"/>
        <w:jc w:val="both"/>
      </w:pPr>
    </w:p>
    <w:p w14:paraId="26D68B24" w14:textId="77777777" w:rsidR="008044B5" w:rsidRPr="008044B5" w:rsidRDefault="008044B5" w:rsidP="008044B5">
      <w:pPr>
        <w:pStyle w:val="NormalWeb"/>
        <w:shd w:val="clear" w:color="auto" w:fill="FFFFFF"/>
        <w:spacing w:before="400" w:beforeAutospacing="0" w:after="400" w:afterAutospacing="0"/>
        <w:jc w:val="both"/>
        <w:rPr>
          <w:b/>
          <w:bCs/>
        </w:rPr>
      </w:pPr>
      <w:r w:rsidRPr="008044B5">
        <w:rPr>
          <w:b/>
          <w:bCs/>
        </w:rPr>
        <w:t>1. Introduction</w:t>
      </w:r>
    </w:p>
    <w:p w14:paraId="0FA4A1BF" w14:textId="77777777" w:rsidR="008044B5" w:rsidRPr="008044B5" w:rsidRDefault="008044B5" w:rsidP="008044B5">
      <w:pPr>
        <w:pStyle w:val="NormalWeb"/>
        <w:shd w:val="clear" w:color="auto" w:fill="FFFFFF"/>
        <w:spacing w:before="400" w:beforeAutospacing="0" w:after="400" w:afterAutospacing="0"/>
        <w:jc w:val="both"/>
      </w:pPr>
      <w:r w:rsidRPr="008044B5">
        <w:t xml:space="preserve">Mycelium-based composites (MBCs) are emerging bio-engineered materials produced by bonding lignocellulosic by-products with fungal mycelium. These materials have gained significant scientific interest due to their sustainability, biodegradability, low embodied energy, and recyclability (Appels et al., 2019; </w:t>
      </w:r>
      <w:proofErr w:type="spellStart"/>
      <w:r w:rsidRPr="008044B5">
        <w:t>Elsacker</w:t>
      </w:r>
      <w:proofErr w:type="spellEnd"/>
      <w:r w:rsidRPr="008044B5">
        <w:t xml:space="preserve"> et al., 2020; Jones et al., 2020). Although their mechanical properties may not yet match those of polymers or engineered woods, MBCs excel in ecological performance (Islam et al., 2022).</w:t>
      </w:r>
    </w:p>
    <w:p w14:paraId="39DDE2AC" w14:textId="77777777" w:rsidR="008044B5" w:rsidRPr="008044B5" w:rsidRDefault="008044B5" w:rsidP="008044B5">
      <w:pPr>
        <w:pStyle w:val="NormalWeb"/>
        <w:shd w:val="clear" w:color="auto" w:fill="FFFFFF"/>
        <w:spacing w:before="400" w:beforeAutospacing="0" w:after="400" w:afterAutospacing="0"/>
        <w:jc w:val="both"/>
      </w:pPr>
      <w:r w:rsidRPr="008044B5">
        <w:t>Mycelium is composed of hyphal networks whose cell walls contain chitin, β-glucans, proteins, and lipids; nutrient sources and substrate composition directly influence these biochemical structures (Haneef et al., 2017; Appels et al., 2019). Lignocellulosic feedstocks typically consist of cellulose, hemicellulose, and lignin, providing fermentable sugars and aromatic compounds required for fungal metabolism (Yang et al., 2021; Jiang et al., 2022).</w:t>
      </w:r>
    </w:p>
    <w:p w14:paraId="2BAEFF9F" w14:textId="440653DC" w:rsidR="006540D1" w:rsidRDefault="006540D1" w:rsidP="008044B5">
      <w:pPr>
        <w:pStyle w:val="NormalWeb"/>
        <w:shd w:val="clear" w:color="auto" w:fill="FFFFFF"/>
        <w:spacing w:before="400" w:beforeAutospacing="0" w:after="400" w:afterAutospacing="0"/>
        <w:jc w:val="both"/>
      </w:pPr>
      <w:r>
        <w:rPr>
          <w:noProof/>
        </w:rPr>
        <w:lastRenderedPageBreak/>
        <w:drawing>
          <wp:inline distT="0" distB="0" distL="0" distR="0" wp14:anchorId="5A01E76A" wp14:editId="001BE9C4">
            <wp:extent cx="5200650" cy="3467100"/>
            <wp:effectExtent l="0" t="0" r="0" b="0"/>
            <wp:docPr id="20294233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9160" cy="3472773"/>
                    </a:xfrm>
                    <a:prstGeom prst="rect">
                      <a:avLst/>
                    </a:prstGeom>
                    <a:noFill/>
                  </pic:spPr>
                </pic:pic>
              </a:graphicData>
            </a:graphic>
          </wp:inline>
        </w:drawing>
      </w:r>
    </w:p>
    <w:p w14:paraId="26ABCE31" w14:textId="6FBB50E9" w:rsidR="006540D1" w:rsidRPr="006540D1" w:rsidRDefault="006540D1" w:rsidP="008044B5">
      <w:pPr>
        <w:pStyle w:val="NormalWeb"/>
        <w:shd w:val="clear" w:color="auto" w:fill="FFFFFF"/>
        <w:spacing w:before="400" w:beforeAutospacing="0" w:after="400" w:afterAutospacing="0"/>
        <w:jc w:val="both"/>
        <w:rPr>
          <w:b/>
          <w:bCs/>
        </w:rPr>
      </w:pPr>
      <w:r w:rsidRPr="006540D1">
        <w:rPr>
          <w:b/>
          <w:bCs/>
        </w:rPr>
        <w:t>Figure1 : Mycelium based composites</w:t>
      </w:r>
    </w:p>
    <w:p w14:paraId="104DA280" w14:textId="7391425D" w:rsidR="008044B5" w:rsidRPr="008044B5" w:rsidRDefault="008044B5" w:rsidP="008044B5">
      <w:pPr>
        <w:pStyle w:val="NormalWeb"/>
        <w:shd w:val="clear" w:color="auto" w:fill="FFFFFF"/>
        <w:spacing w:before="400" w:beforeAutospacing="0" w:after="400" w:afterAutospacing="0"/>
        <w:jc w:val="both"/>
      </w:pPr>
      <w:r w:rsidRPr="008044B5">
        <w:t xml:space="preserve">Fungi secrete cellulolytic and ligninolytic enzymes that degrade plant cell walls and incorporate the substrate into 3D mycelial matrices, forming cohesive composites (Attias et al., 2020; </w:t>
      </w:r>
      <w:proofErr w:type="spellStart"/>
      <w:r w:rsidRPr="008044B5">
        <w:t>Ghazvinian</w:t>
      </w:r>
      <w:proofErr w:type="spellEnd"/>
      <w:r w:rsidRPr="008044B5">
        <w:t xml:space="preserve"> et al., 2021). Growth termination occurs via drying or heat treatment to stabilize the material (</w:t>
      </w:r>
      <w:proofErr w:type="spellStart"/>
      <w:r w:rsidRPr="008044B5">
        <w:t>Elsacker</w:t>
      </w:r>
      <w:proofErr w:type="spellEnd"/>
      <w:r w:rsidRPr="008044B5">
        <w:t xml:space="preserve"> et al., 2020). Compared to synthetic composites, MBCs require simpler processing and offer greater customization and design freedom (Khan et al., 2023).</w:t>
      </w:r>
    </w:p>
    <w:p w14:paraId="0D5FBCF4" w14:textId="77777777" w:rsidR="008044B5" w:rsidRDefault="008044B5" w:rsidP="008044B5">
      <w:pPr>
        <w:pStyle w:val="NormalWeb"/>
        <w:shd w:val="clear" w:color="auto" w:fill="FFFFFF"/>
        <w:spacing w:before="400" w:beforeAutospacing="0" w:after="400" w:afterAutospacing="0"/>
        <w:jc w:val="both"/>
      </w:pPr>
      <w:r w:rsidRPr="008044B5">
        <w:t xml:space="preserve">MBCs exhibit important eco-benefits such as waste </w:t>
      </w:r>
      <w:proofErr w:type="spellStart"/>
      <w:r w:rsidRPr="008044B5">
        <w:t>valorization</w:t>
      </w:r>
      <w:proofErr w:type="spellEnd"/>
      <w:r w:rsidRPr="008044B5">
        <w:t>, low production energy, and absence of toxic binders, alongside high recyclability (Jones et al., 2020; Manan et al., 2022). Performance limitations include lower mechanical strength relative to metals or concrete, but MBCs excel in acoustic attenuation, fire resistance, and aesthetics (Jiang et al., 2022; Li et al., 2023).</w:t>
      </w:r>
    </w:p>
    <w:p w14:paraId="5488201D" w14:textId="645C7957" w:rsidR="004355D0" w:rsidRPr="004355D0" w:rsidRDefault="004355D0" w:rsidP="008044B5">
      <w:pPr>
        <w:pStyle w:val="NormalWeb"/>
        <w:shd w:val="clear" w:color="auto" w:fill="FFFFFF"/>
        <w:spacing w:before="400" w:beforeAutospacing="0" w:after="400" w:afterAutospacing="0"/>
        <w:jc w:val="both"/>
        <w:rPr>
          <w:b/>
          <w:bCs/>
        </w:rPr>
      </w:pPr>
      <w:r w:rsidRPr="002860B6">
        <w:rPr>
          <w:b/>
          <w:bCs/>
        </w:rPr>
        <w:t>Table 1</w:t>
      </w:r>
      <w:r>
        <w:t xml:space="preserve"> </w:t>
      </w:r>
      <w:r w:rsidRPr="004355D0">
        <w:rPr>
          <w:b/>
          <w:bCs/>
        </w:rPr>
        <w:t>Overview of Mycelium-Based Composite Systems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2"/>
        <w:gridCol w:w="1618"/>
        <w:gridCol w:w="1565"/>
        <w:gridCol w:w="1819"/>
        <w:gridCol w:w="1682"/>
      </w:tblGrid>
      <w:tr w:rsidR="004355D0" w:rsidRPr="004355D0" w14:paraId="5C9E4F48" w14:textId="77777777">
        <w:trPr>
          <w:tblHeader/>
          <w:tblCellSpacing w:w="15" w:type="dxa"/>
        </w:trPr>
        <w:tc>
          <w:tcPr>
            <w:tcW w:w="0" w:type="auto"/>
            <w:vAlign w:val="center"/>
            <w:hideMark/>
          </w:tcPr>
          <w:p w14:paraId="6B53D71B" w14:textId="77777777" w:rsidR="004355D0" w:rsidRPr="004355D0" w:rsidRDefault="004355D0" w:rsidP="004355D0">
            <w:pPr>
              <w:pStyle w:val="NormalWeb"/>
              <w:shd w:val="clear" w:color="auto" w:fill="FFFFFF"/>
              <w:spacing w:before="400" w:after="400"/>
              <w:jc w:val="both"/>
              <w:rPr>
                <w:b/>
                <w:bCs/>
              </w:rPr>
            </w:pPr>
            <w:r w:rsidRPr="004355D0">
              <w:rPr>
                <w:b/>
                <w:bCs/>
              </w:rPr>
              <w:t>Material (Substrate / Fungus)</w:t>
            </w:r>
          </w:p>
        </w:tc>
        <w:tc>
          <w:tcPr>
            <w:tcW w:w="0" w:type="auto"/>
            <w:vAlign w:val="center"/>
            <w:hideMark/>
          </w:tcPr>
          <w:p w14:paraId="0A700586" w14:textId="77777777" w:rsidR="004355D0" w:rsidRPr="004355D0" w:rsidRDefault="004355D0" w:rsidP="004355D0">
            <w:pPr>
              <w:pStyle w:val="NormalWeb"/>
              <w:shd w:val="clear" w:color="auto" w:fill="FFFFFF"/>
              <w:spacing w:before="400" w:after="400"/>
              <w:jc w:val="both"/>
              <w:rPr>
                <w:b/>
                <w:bCs/>
              </w:rPr>
            </w:pPr>
            <w:r w:rsidRPr="004355D0">
              <w:rPr>
                <w:b/>
                <w:bCs/>
              </w:rPr>
              <w:t>Source</w:t>
            </w:r>
          </w:p>
        </w:tc>
        <w:tc>
          <w:tcPr>
            <w:tcW w:w="0" w:type="auto"/>
            <w:vAlign w:val="center"/>
            <w:hideMark/>
          </w:tcPr>
          <w:p w14:paraId="06908993" w14:textId="77777777" w:rsidR="004355D0" w:rsidRPr="004355D0" w:rsidRDefault="004355D0" w:rsidP="004355D0">
            <w:pPr>
              <w:pStyle w:val="NormalWeb"/>
              <w:shd w:val="clear" w:color="auto" w:fill="FFFFFF"/>
              <w:spacing w:before="400" w:after="400"/>
              <w:jc w:val="both"/>
              <w:rPr>
                <w:b/>
                <w:bCs/>
              </w:rPr>
            </w:pPr>
            <w:r w:rsidRPr="004355D0">
              <w:rPr>
                <w:b/>
                <w:bCs/>
              </w:rPr>
              <w:t>Type of MBC</w:t>
            </w:r>
          </w:p>
        </w:tc>
        <w:tc>
          <w:tcPr>
            <w:tcW w:w="0" w:type="auto"/>
            <w:vAlign w:val="center"/>
            <w:hideMark/>
          </w:tcPr>
          <w:p w14:paraId="71FA801A" w14:textId="77777777" w:rsidR="004355D0" w:rsidRPr="004355D0" w:rsidRDefault="004355D0" w:rsidP="004355D0">
            <w:pPr>
              <w:pStyle w:val="NormalWeb"/>
              <w:shd w:val="clear" w:color="auto" w:fill="FFFFFF"/>
              <w:spacing w:before="400" w:after="400"/>
              <w:jc w:val="both"/>
              <w:rPr>
                <w:b/>
                <w:bCs/>
              </w:rPr>
            </w:pPr>
            <w:r w:rsidRPr="004355D0">
              <w:rPr>
                <w:b/>
                <w:bCs/>
              </w:rPr>
              <w:t>Major Usage</w:t>
            </w:r>
          </w:p>
        </w:tc>
        <w:tc>
          <w:tcPr>
            <w:tcW w:w="0" w:type="auto"/>
            <w:vAlign w:val="center"/>
            <w:hideMark/>
          </w:tcPr>
          <w:p w14:paraId="32114C06" w14:textId="77777777" w:rsidR="004355D0" w:rsidRPr="004355D0" w:rsidRDefault="004355D0" w:rsidP="004355D0">
            <w:pPr>
              <w:pStyle w:val="NormalWeb"/>
              <w:shd w:val="clear" w:color="auto" w:fill="FFFFFF"/>
              <w:spacing w:before="400" w:after="400"/>
              <w:jc w:val="both"/>
              <w:rPr>
                <w:b/>
                <w:bCs/>
              </w:rPr>
            </w:pPr>
            <w:r w:rsidRPr="004355D0">
              <w:rPr>
                <w:b/>
                <w:bCs/>
              </w:rPr>
              <w:t>Key Reference (Year)</w:t>
            </w:r>
          </w:p>
        </w:tc>
      </w:tr>
      <w:tr w:rsidR="004355D0" w:rsidRPr="004355D0" w14:paraId="4D6C4E42" w14:textId="77777777">
        <w:trPr>
          <w:tblCellSpacing w:w="15" w:type="dxa"/>
        </w:trPr>
        <w:tc>
          <w:tcPr>
            <w:tcW w:w="0" w:type="auto"/>
            <w:vAlign w:val="center"/>
            <w:hideMark/>
          </w:tcPr>
          <w:p w14:paraId="40545379" w14:textId="77777777" w:rsidR="004355D0" w:rsidRPr="004355D0" w:rsidRDefault="004355D0" w:rsidP="004355D0">
            <w:pPr>
              <w:pStyle w:val="NormalWeb"/>
              <w:shd w:val="clear" w:color="auto" w:fill="FFFFFF"/>
              <w:spacing w:before="400" w:after="400"/>
              <w:jc w:val="both"/>
            </w:pPr>
            <w:r w:rsidRPr="004355D0">
              <w:t xml:space="preserve">Agricultural residues (straw, corn stalks, husks) + </w:t>
            </w:r>
            <w:r w:rsidRPr="004355D0">
              <w:rPr>
                <w:i/>
                <w:iCs/>
              </w:rPr>
              <w:t>Pleurotus ostreatus</w:t>
            </w:r>
          </w:p>
        </w:tc>
        <w:tc>
          <w:tcPr>
            <w:tcW w:w="0" w:type="auto"/>
            <w:vAlign w:val="center"/>
            <w:hideMark/>
          </w:tcPr>
          <w:p w14:paraId="7E132C62" w14:textId="77777777" w:rsidR="004355D0" w:rsidRPr="004355D0" w:rsidRDefault="004355D0" w:rsidP="004355D0">
            <w:pPr>
              <w:pStyle w:val="NormalWeb"/>
              <w:shd w:val="clear" w:color="auto" w:fill="FFFFFF"/>
              <w:spacing w:before="400" w:after="400"/>
              <w:jc w:val="both"/>
            </w:pPr>
            <w:r w:rsidRPr="004355D0">
              <w:t>Crop waste from farms</w:t>
            </w:r>
          </w:p>
        </w:tc>
        <w:tc>
          <w:tcPr>
            <w:tcW w:w="0" w:type="auto"/>
            <w:vAlign w:val="center"/>
            <w:hideMark/>
          </w:tcPr>
          <w:p w14:paraId="409AAD3A" w14:textId="77777777" w:rsidR="004355D0" w:rsidRPr="004355D0" w:rsidRDefault="004355D0" w:rsidP="004355D0">
            <w:pPr>
              <w:pStyle w:val="NormalWeb"/>
              <w:shd w:val="clear" w:color="auto" w:fill="FFFFFF"/>
              <w:spacing w:before="400" w:after="400"/>
              <w:jc w:val="both"/>
            </w:pPr>
            <w:r w:rsidRPr="004355D0">
              <w:t>Structural bio-composite panels</w:t>
            </w:r>
          </w:p>
        </w:tc>
        <w:tc>
          <w:tcPr>
            <w:tcW w:w="0" w:type="auto"/>
            <w:vAlign w:val="center"/>
            <w:hideMark/>
          </w:tcPr>
          <w:p w14:paraId="08F46D34" w14:textId="77777777" w:rsidR="004355D0" w:rsidRPr="004355D0" w:rsidRDefault="004355D0" w:rsidP="004355D0">
            <w:pPr>
              <w:pStyle w:val="NormalWeb"/>
              <w:shd w:val="clear" w:color="auto" w:fill="FFFFFF"/>
              <w:spacing w:before="400" w:after="400"/>
              <w:jc w:val="both"/>
            </w:pPr>
            <w:r w:rsidRPr="004355D0">
              <w:t>Insulation boards; building envelopes</w:t>
            </w:r>
          </w:p>
        </w:tc>
        <w:tc>
          <w:tcPr>
            <w:tcW w:w="0" w:type="auto"/>
            <w:vAlign w:val="center"/>
            <w:hideMark/>
          </w:tcPr>
          <w:p w14:paraId="240E2348" w14:textId="77777777" w:rsidR="004355D0" w:rsidRPr="004355D0" w:rsidRDefault="004355D0" w:rsidP="004355D0">
            <w:pPr>
              <w:pStyle w:val="NormalWeb"/>
              <w:shd w:val="clear" w:color="auto" w:fill="FFFFFF"/>
              <w:spacing w:before="400" w:after="400"/>
              <w:jc w:val="both"/>
            </w:pPr>
            <w:r w:rsidRPr="004355D0">
              <w:t>Jones et al. (2020); Jiang et al. (2022)</w:t>
            </w:r>
          </w:p>
        </w:tc>
      </w:tr>
      <w:tr w:rsidR="004355D0" w:rsidRPr="004355D0" w14:paraId="040A80E5" w14:textId="77777777">
        <w:trPr>
          <w:tblCellSpacing w:w="15" w:type="dxa"/>
        </w:trPr>
        <w:tc>
          <w:tcPr>
            <w:tcW w:w="0" w:type="auto"/>
            <w:vAlign w:val="center"/>
            <w:hideMark/>
          </w:tcPr>
          <w:p w14:paraId="4F03104B" w14:textId="77777777" w:rsidR="004355D0" w:rsidRPr="004355D0" w:rsidRDefault="004355D0" w:rsidP="004355D0">
            <w:pPr>
              <w:pStyle w:val="NormalWeb"/>
              <w:shd w:val="clear" w:color="auto" w:fill="FFFFFF"/>
              <w:spacing w:before="400" w:after="400"/>
              <w:jc w:val="both"/>
            </w:pPr>
            <w:r w:rsidRPr="004355D0">
              <w:t xml:space="preserve">Sawdust + </w:t>
            </w:r>
            <w:r w:rsidRPr="004355D0">
              <w:rPr>
                <w:i/>
                <w:iCs/>
              </w:rPr>
              <w:t>Ganoderma lucidum</w:t>
            </w:r>
          </w:p>
        </w:tc>
        <w:tc>
          <w:tcPr>
            <w:tcW w:w="0" w:type="auto"/>
            <w:vAlign w:val="center"/>
            <w:hideMark/>
          </w:tcPr>
          <w:p w14:paraId="4394F0AD" w14:textId="77777777" w:rsidR="004355D0" w:rsidRPr="004355D0" w:rsidRDefault="004355D0" w:rsidP="004355D0">
            <w:pPr>
              <w:pStyle w:val="NormalWeb"/>
              <w:shd w:val="clear" w:color="auto" w:fill="FFFFFF"/>
              <w:spacing w:before="400" w:after="400"/>
              <w:jc w:val="both"/>
            </w:pPr>
            <w:r w:rsidRPr="004355D0">
              <w:t>Wood industry by-products</w:t>
            </w:r>
          </w:p>
        </w:tc>
        <w:tc>
          <w:tcPr>
            <w:tcW w:w="0" w:type="auto"/>
            <w:vAlign w:val="center"/>
            <w:hideMark/>
          </w:tcPr>
          <w:p w14:paraId="43E1F81C" w14:textId="77777777" w:rsidR="004355D0" w:rsidRPr="004355D0" w:rsidRDefault="004355D0" w:rsidP="004355D0">
            <w:pPr>
              <w:pStyle w:val="NormalWeb"/>
              <w:shd w:val="clear" w:color="auto" w:fill="FFFFFF"/>
              <w:spacing w:before="400" w:after="400"/>
              <w:jc w:val="both"/>
            </w:pPr>
            <w:r w:rsidRPr="004355D0">
              <w:t xml:space="preserve">Rigid </w:t>
            </w:r>
            <w:proofErr w:type="spellStart"/>
            <w:r w:rsidRPr="004355D0">
              <w:t>molded</w:t>
            </w:r>
            <w:proofErr w:type="spellEnd"/>
            <w:r w:rsidRPr="004355D0">
              <w:t xml:space="preserve"> composites</w:t>
            </w:r>
          </w:p>
        </w:tc>
        <w:tc>
          <w:tcPr>
            <w:tcW w:w="0" w:type="auto"/>
            <w:vAlign w:val="center"/>
            <w:hideMark/>
          </w:tcPr>
          <w:p w14:paraId="4EF82D27" w14:textId="77777777" w:rsidR="004355D0" w:rsidRPr="004355D0" w:rsidRDefault="004355D0" w:rsidP="004355D0">
            <w:pPr>
              <w:pStyle w:val="NormalWeb"/>
              <w:shd w:val="clear" w:color="auto" w:fill="FFFFFF"/>
              <w:spacing w:before="400" w:after="400"/>
              <w:jc w:val="both"/>
            </w:pPr>
            <w:r w:rsidRPr="004355D0">
              <w:t>Interior panels; acoustic materials</w:t>
            </w:r>
          </w:p>
        </w:tc>
        <w:tc>
          <w:tcPr>
            <w:tcW w:w="0" w:type="auto"/>
            <w:vAlign w:val="center"/>
            <w:hideMark/>
          </w:tcPr>
          <w:p w14:paraId="21E908FC" w14:textId="77777777" w:rsidR="004355D0" w:rsidRPr="004355D0" w:rsidRDefault="004355D0" w:rsidP="004355D0">
            <w:pPr>
              <w:pStyle w:val="NormalWeb"/>
              <w:shd w:val="clear" w:color="auto" w:fill="FFFFFF"/>
              <w:spacing w:before="400" w:after="400"/>
              <w:jc w:val="both"/>
            </w:pPr>
            <w:proofErr w:type="spellStart"/>
            <w:r w:rsidRPr="004355D0">
              <w:t>Ghazvinian</w:t>
            </w:r>
            <w:proofErr w:type="spellEnd"/>
            <w:r w:rsidRPr="004355D0">
              <w:t xml:space="preserve"> et al. (2021); Khan et al. (2023)</w:t>
            </w:r>
          </w:p>
        </w:tc>
      </w:tr>
      <w:tr w:rsidR="004355D0" w:rsidRPr="004355D0" w14:paraId="74CF5584" w14:textId="77777777">
        <w:trPr>
          <w:tblCellSpacing w:w="15" w:type="dxa"/>
        </w:trPr>
        <w:tc>
          <w:tcPr>
            <w:tcW w:w="0" w:type="auto"/>
            <w:vAlign w:val="center"/>
            <w:hideMark/>
          </w:tcPr>
          <w:p w14:paraId="21FF8066" w14:textId="77777777" w:rsidR="004355D0" w:rsidRPr="004355D0" w:rsidRDefault="004355D0" w:rsidP="004355D0">
            <w:pPr>
              <w:pStyle w:val="NormalWeb"/>
              <w:shd w:val="clear" w:color="auto" w:fill="FFFFFF"/>
              <w:spacing w:before="400" w:after="400"/>
              <w:jc w:val="both"/>
            </w:pPr>
            <w:r w:rsidRPr="004355D0">
              <w:lastRenderedPageBreak/>
              <w:t>Hemp hurds + fungal mycelium</w:t>
            </w:r>
          </w:p>
        </w:tc>
        <w:tc>
          <w:tcPr>
            <w:tcW w:w="0" w:type="auto"/>
            <w:vAlign w:val="center"/>
            <w:hideMark/>
          </w:tcPr>
          <w:p w14:paraId="61ED8D2A" w14:textId="77777777" w:rsidR="004355D0" w:rsidRPr="004355D0" w:rsidRDefault="004355D0" w:rsidP="004355D0">
            <w:pPr>
              <w:pStyle w:val="NormalWeb"/>
              <w:shd w:val="clear" w:color="auto" w:fill="FFFFFF"/>
              <w:spacing w:before="400" w:after="400"/>
              <w:jc w:val="both"/>
            </w:pPr>
            <w:r w:rsidRPr="004355D0">
              <w:t>Industrial hemp processing waste</w:t>
            </w:r>
          </w:p>
        </w:tc>
        <w:tc>
          <w:tcPr>
            <w:tcW w:w="0" w:type="auto"/>
            <w:vAlign w:val="center"/>
            <w:hideMark/>
          </w:tcPr>
          <w:p w14:paraId="714D625D" w14:textId="77777777" w:rsidR="004355D0" w:rsidRPr="004355D0" w:rsidRDefault="004355D0" w:rsidP="004355D0">
            <w:pPr>
              <w:pStyle w:val="NormalWeb"/>
              <w:shd w:val="clear" w:color="auto" w:fill="FFFFFF"/>
              <w:spacing w:before="400" w:after="400"/>
              <w:jc w:val="both"/>
            </w:pPr>
            <w:r w:rsidRPr="004355D0">
              <w:t>Lightweight insulating composite</w:t>
            </w:r>
          </w:p>
        </w:tc>
        <w:tc>
          <w:tcPr>
            <w:tcW w:w="0" w:type="auto"/>
            <w:vAlign w:val="center"/>
            <w:hideMark/>
          </w:tcPr>
          <w:p w14:paraId="40C38F62" w14:textId="77777777" w:rsidR="004355D0" w:rsidRPr="004355D0" w:rsidRDefault="004355D0" w:rsidP="004355D0">
            <w:pPr>
              <w:pStyle w:val="NormalWeb"/>
              <w:shd w:val="clear" w:color="auto" w:fill="FFFFFF"/>
              <w:spacing w:before="400" w:after="400"/>
              <w:jc w:val="both"/>
            </w:pPr>
            <w:r w:rsidRPr="004355D0">
              <w:t>Thermal and sound insulation</w:t>
            </w:r>
          </w:p>
        </w:tc>
        <w:tc>
          <w:tcPr>
            <w:tcW w:w="0" w:type="auto"/>
            <w:vAlign w:val="center"/>
            <w:hideMark/>
          </w:tcPr>
          <w:p w14:paraId="29607759" w14:textId="77777777" w:rsidR="004355D0" w:rsidRPr="004355D0" w:rsidRDefault="004355D0" w:rsidP="004355D0">
            <w:pPr>
              <w:pStyle w:val="NormalWeb"/>
              <w:shd w:val="clear" w:color="auto" w:fill="FFFFFF"/>
              <w:spacing w:before="400" w:after="400"/>
              <w:jc w:val="both"/>
            </w:pPr>
            <w:r w:rsidRPr="004355D0">
              <w:t>Ahmed et al. (2024)</w:t>
            </w:r>
          </w:p>
        </w:tc>
      </w:tr>
      <w:tr w:rsidR="004355D0" w:rsidRPr="004355D0" w14:paraId="70AAA2A4" w14:textId="77777777">
        <w:trPr>
          <w:tblCellSpacing w:w="15" w:type="dxa"/>
        </w:trPr>
        <w:tc>
          <w:tcPr>
            <w:tcW w:w="0" w:type="auto"/>
            <w:vAlign w:val="center"/>
            <w:hideMark/>
          </w:tcPr>
          <w:p w14:paraId="51108E08" w14:textId="77777777" w:rsidR="004355D0" w:rsidRPr="004355D0" w:rsidRDefault="004355D0" w:rsidP="004355D0">
            <w:pPr>
              <w:pStyle w:val="NormalWeb"/>
              <w:shd w:val="clear" w:color="auto" w:fill="FFFFFF"/>
              <w:spacing w:before="400" w:after="400"/>
              <w:jc w:val="both"/>
            </w:pPr>
            <w:r w:rsidRPr="004355D0">
              <w:t xml:space="preserve">Mixed lignocellulosic </w:t>
            </w:r>
            <w:proofErr w:type="spellStart"/>
            <w:r w:rsidRPr="004355D0">
              <w:t>fibers</w:t>
            </w:r>
            <w:proofErr w:type="spellEnd"/>
            <w:r w:rsidRPr="004355D0">
              <w:t xml:space="preserve"> + filamentous fungi</w:t>
            </w:r>
          </w:p>
        </w:tc>
        <w:tc>
          <w:tcPr>
            <w:tcW w:w="0" w:type="auto"/>
            <w:vAlign w:val="center"/>
            <w:hideMark/>
          </w:tcPr>
          <w:p w14:paraId="0325A419" w14:textId="77777777" w:rsidR="004355D0" w:rsidRPr="004355D0" w:rsidRDefault="004355D0" w:rsidP="004355D0">
            <w:pPr>
              <w:pStyle w:val="NormalWeb"/>
              <w:shd w:val="clear" w:color="auto" w:fill="FFFFFF"/>
              <w:spacing w:before="400" w:after="400"/>
              <w:jc w:val="both"/>
            </w:pPr>
            <w:r w:rsidRPr="004355D0">
              <w:t>Agro-industrial waste streams</w:t>
            </w:r>
          </w:p>
        </w:tc>
        <w:tc>
          <w:tcPr>
            <w:tcW w:w="0" w:type="auto"/>
            <w:vAlign w:val="center"/>
            <w:hideMark/>
          </w:tcPr>
          <w:p w14:paraId="561508BB" w14:textId="77777777" w:rsidR="004355D0" w:rsidRPr="004355D0" w:rsidRDefault="004355D0" w:rsidP="004355D0">
            <w:pPr>
              <w:pStyle w:val="NormalWeb"/>
              <w:shd w:val="clear" w:color="auto" w:fill="FFFFFF"/>
              <w:spacing w:before="400" w:after="400"/>
              <w:jc w:val="both"/>
            </w:pPr>
            <w:proofErr w:type="spellStart"/>
            <w:r w:rsidRPr="004355D0">
              <w:t>Molded</w:t>
            </w:r>
            <w:proofErr w:type="spellEnd"/>
            <w:r w:rsidRPr="004355D0">
              <w:t xml:space="preserve"> packaging forms</w:t>
            </w:r>
          </w:p>
        </w:tc>
        <w:tc>
          <w:tcPr>
            <w:tcW w:w="0" w:type="auto"/>
            <w:vAlign w:val="center"/>
            <w:hideMark/>
          </w:tcPr>
          <w:p w14:paraId="7FFCC9DF" w14:textId="77777777" w:rsidR="004355D0" w:rsidRPr="004355D0" w:rsidRDefault="004355D0" w:rsidP="004355D0">
            <w:pPr>
              <w:pStyle w:val="NormalWeb"/>
              <w:shd w:val="clear" w:color="auto" w:fill="FFFFFF"/>
              <w:spacing w:before="400" w:after="400"/>
              <w:jc w:val="both"/>
            </w:pPr>
            <w:r w:rsidRPr="004355D0">
              <w:t>Protective packaging (alternative to EPS/PUR foams)</w:t>
            </w:r>
          </w:p>
        </w:tc>
        <w:tc>
          <w:tcPr>
            <w:tcW w:w="0" w:type="auto"/>
            <w:vAlign w:val="center"/>
            <w:hideMark/>
          </w:tcPr>
          <w:p w14:paraId="1FD95BFC" w14:textId="77777777" w:rsidR="004355D0" w:rsidRPr="004355D0" w:rsidRDefault="004355D0" w:rsidP="004355D0">
            <w:pPr>
              <w:pStyle w:val="NormalWeb"/>
              <w:shd w:val="clear" w:color="auto" w:fill="FFFFFF"/>
              <w:spacing w:before="400" w:after="400"/>
              <w:jc w:val="both"/>
            </w:pPr>
            <w:r w:rsidRPr="004355D0">
              <w:t>Jones et al. (2020); Park et al. (2024)</w:t>
            </w:r>
          </w:p>
        </w:tc>
      </w:tr>
      <w:tr w:rsidR="004355D0" w:rsidRPr="004355D0" w14:paraId="4B7699C8" w14:textId="77777777">
        <w:trPr>
          <w:tblCellSpacing w:w="15" w:type="dxa"/>
        </w:trPr>
        <w:tc>
          <w:tcPr>
            <w:tcW w:w="0" w:type="auto"/>
            <w:vAlign w:val="center"/>
            <w:hideMark/>
          </w:tcPr>
          <w:p w14:paraId="5D2E7473" w14:textId="77777777" w:rsidR="004355D0" w:rsidRPr="004355D0" w:rsidRDefault="004355D0" w:rsidP="004355D0">
            <w:pPr>
              <w:pStyle w:val="NormalWeb"/>
              <w:shd w:val="clear" w:color="auto" w:fill="FFFFFF"/>
              <w:spacing w:before="400" w:after="400"/>
              <w:jc w:val="both"/>
            </w:pPr>
            <w:r w:rsidRPr="004355D0">
              <w:t>Fine mycelium (pure mycelial mats)</w:t>
            </w:r>
          </w:p>
        </w:tc>
        <w:tc>
          <w:tcPr>
            <w:tcW w:w="0" w:type="auto"/>
            <w:vAlign w:val="center"/>
            <w:hideMark/>
          </w:tcPr>
          <w:p w14:paraId="5A3637D1" w14:textId="77777777" w:rsidR="004355D0" w:rsidRPr="004355D0" w:rsidRDefault="004355D0" w:rsidP="004355D0">
            <w:pPr>
              <w:pStyle w:val="NormalWeb"/>
              <w:shd w:val="clear" w:color="auto" w:fill="FFFFFF"/>
              <w:spacing w:before="400" w:after="400"/>
              <w:jc w:val="both"/>
            </w:pPr>
            <w:r w:rsidRPr="004355D0">
              <w:t>Controlled fungal fermentation</w:t>
            </w:r>
          </w:p>
        </w:tc>
        <w:tc>
          <w:tcPr>
            <w:tcW w:w="0" w:type="auto"/>
            <w:vAlign w:val="center"/>
            <w:hideMark/>
          </w:tcPr>
          <w:p w14:paraId="6D08372C" w14:textId="77777777" w:rsidR="004355D0" w:rsidRPr="004355D0" w:rsidRDefault="004355D0" w:rsidP="004355D0">
            <w:pPr>
              <w:pStyle w:val="NormalWeb"/>
              <w:shd w:val="clear" w:color="auto" w:fill="FFFFFF"/>
              <w:spacing w:before="400" w:after="400"/>
              <w:jc w:val="both"/>
            </w:pPr>
            <w:r w:rsidRPr="004355D0">
              <w:t>Mycelium leather</w:t>
            </w:r>
          </w:p>
        </w:tc>
        <w:tc>
          <w:tcPr>
            <w:tcW w:w="0" w:type="auto"/>
            <w:vAlign w:val="center"/>
            <w:hideMark/>
          </w:tcPr>
          <w:p w14:paraId="6F39828D" w14:textId="77777777" w:rsidR="004355D0" w:rsidRPr="004355D0" w:rsidRDefault="004355D0" w:rsidP="004355D0">
            <w:pPr>
              <w:pStyle w:val="NormalWeb"/>
              <w:shd w:val="clear" w:color="auto" w:fill="FFFFFF"/>
              <w:spacing w:before="400" w:after="400"/>
              <w:jc w:val="both"/>
            </w:pPr>
            <w:r w:rsidRPr="004355D0">
              <w:t>Leather alternatives in fashion and upholstery</w:t>
            </w:r>
          </w:p>
        </w:tc>
        <w:tc>
          <w:tcPr>
            <w:tcW w:w="0" w:type="auto"/>
            <w:vAlign w:val="center"/>
            <w:hideMark/>
          </w:tcPr>
          <w:p w14:paraId="0C5246E6" w14:textId="77777777" w:rsidR="004355D0" w:rsidRPr="004355D0" w:rsidRDefault="004355D0" w:rsidP="004355D0">
            <w:pPr>
              <w:pStyle w:val="NormalWeb"/>
              <w:shd w:val="clear" w:color="auto" w:fill="FFFFFF"/>
              <w:spacing w:before="400" w:after="400"/>
              <w:jc w:val="both"/>
            </w:pPr>
            <w:r w:rsidRPr="004355D0">
              <w:rPr>
                <w:lang w:val="de-DE"/>
              </w:rPr>
              <w:t xml:space="preserve">Attias et al. (2020); Appels et al. </w:t>
            </w:r>
            <w:r w:rsidRPr="004355D0">
              <w:t>(2023)</w:t>
            </w:r>
          </w:p>
        </w:tc>
      </w:tr>
      <w:tr w:rsidR="004355D0" w:rsidRPr="004355D0" w14:paraId="16B5FB93" w14:textId="77777777">
        <w:trPr>
          <w:tblCellSpacing w:w="15" w:type="dxa"/>
        </w:trPr>
        <w:tc>
          <w:tcPr>
            <w:tcW w:w="0" w:type="auto"/>
            <w:vAlign w:val="center"/>
            <w:hideMark/>
          </w:tcPr>
          <w:p w14:paraId="1FF6584A" w14:textId="77777777" w:rsidR="004355D0" w:rsidRPr="004355D0" w:rsidRDefault="004355D0" w:rsidP="004355D0">
            <w:pPr>
              <w:pStyle w:val="NormalWeb"/>
              <w:shd w:val="clear" w:color="auto" w:fill="FFFFFF"/>
              <w:spacing w:before="400" w:after="400"/>
              <w:jc w:val="both"/>
            </w:pPr>
            <w:r w:rsidRPr="004355D0">
              <w:t xml:space="preserve">Engineered mycelial sheets (e.g., </w:t>
            </w:r>
            <w:proofErr w:type="spellStart"/>
            <w:r w:rsidRPr="004355D0">
              <w:t>MycoTex</w:t>
            </w:r>
            <w:proofErr w:type="spellEnd"/>
            <w:r w:rsidRPr="004355D0">
              <w:t>-type materials)</w:t>
            </w:r>
          </w:p>
        </w:tc>
        <w:tc>
          <w:tcPr>
            <w:tcW w:w="0" w:type="auto"/>
            <w:vAlign w:val="center"/>
            <w:hideMark/>
          </w:tcPr>
          <w:p w14:paraId="48A5BF10" w14:textId="77777777" w:rsidR="004355D0" w:rsidRPr="004355D0" w:rsidRDefault="004355D0" w:rsidP="004355D0">
            <w:pPr>
              <w:pStyle w:val="NormalWeb"/>
              <w:shd w:val="clear" w:color="auto" w:fill="FFFFFF"/>
              <w:spacing w:before="400" w:after="400"/>
              <w:jc w:val="both"/>
            </w:pPr>
            <w:r w:rsidRPr="004355D0">
              <w:t>Laboratory-grown fungal biomass</w:t>
            </w:r>
          </w:p>
        </w:tc>
        <w:tc>
          <w:tcPr>
            <w:tcW w:w="0" w:type="auto"/>
            <w:vAlign w:val="center"/>
            <w:hideMark/>
          </w:tcPr>
          <w:p w14:paraId="199F9AC9" w14:textId="77777777" w:rsidR="004355D0" w:rsidRPr="004355D0" w:rsidRDefault="004355D0" w:rsidP="004355D0">
            <w:pPr>
              <w:pStyle w:val="NormalWeb"/>
              <w:shd w:val="clear" w:color="auto" w:fill="FFFFFF"/>
              <w:spacing w:before="400" w:after="400"/>
              <w:jc w:val="both"/>
            </w:pPr>
            <w:r w:rsidRPr="004355D0">
              <w:t xml:space="preserve">Textile </w:t>
            </w:r>
            <w:proofErr w:type="spellStart"/>
            <w:r w:rsidRPr="004355D0">
              <w:t>fiber</w:t>
            </w:r>
            <w:proofErr w:type="spellEnd"/>
            <w:r w:rsidRPr="004355D0">
              <w:t xml:space="preserve"> composites</w:t>
            </w:r>
          </w:p>
        </w:tc>
        <w:tc>
          <w:tcPr>
            <w:tcW w:w="0" w:type="auto"/>
            <w:vAlign w:val="center"/>
            <w:hideMark/>
          </w:tcPr>
          <w:p w14:paraId="1B01DFEC" w14:textId="77777777" w:rsidR="004355D0" w:rsidRPr="004355D0" w:rsidRDefault="004355D0" w:rsidP="004355D0">
            <w:pPr>
              <w:pStyle w:val="NormalWeb"/>
              <w:shd w:val="clear" w:color="auto" w:fill="FFFFFF"/>
              <w:spacing w:before="400" w:after="400"/>
              <w:jc w:val="both"/>
            </w:pPr>
            <w:r w:rsidRPr="004355D0">
              <w:t>Sustainable garments and wearable materials</w:t>
            </w:r>
          </w:p>
        </w:tc>
        <w:tc>
          <w:tcPr>
            <w:tcW w:w="0" w:type="auto"/>
            <w:vAlign w:val="center"/>
            <w:hideMark/>
          </w:tcPr>
          <w:p w14:paraId="31F81E7A" w14:textId="77777777" w:rsidR="004355D0" w:rsidRPr="004355D0" w:rsidRDefault="004355D0" w:rsidP="004355D0">
            <w:pPr>
              <w:pStyle w:val="NormalWeb"/>
              <w:shd w:val="clear" w:color="auto" w:fill="FFFFFF"/>
              <w:spacing w:before="400" w:after="400"/>
              <w:jc w:val="both"/>
            </w:pPr>
            <w:r w:rsidRPr="004355D0">
              <w:rPr>
                <w:lang w:val="de-DE"/>
              </w:rPr>
              <w:t xml:space="preserve">Singh et al. (2024); Zhao et al. </w:t>
            </w:r>
            <w:r w:rsidRPr="004355D0">
              <w:t>(2025)</w:t>
            </w:r>
          </w:p>
        </w:tc>
      </w:tr>
      <w:tr w:rsidR="004355D0" w:rsidRPr="004355D0" w14:paraId="6DECEA2C" w14:textId="77777777">
        <w:trPr>
          <w:tblCellSpacing w:w="15" w:type="dxa"/>
        </w:trPr>
        <w:tc>
          <w:tcPr>
            <w:tcW w:w="0" w:type="auto"/>
            <w:vAlign w:val="center"/>
            <w:hideMark/>
          </w:tcPr>
          <w:p w14:paraId="5E80F44B" w14:textId="77777777" w:rsidR="004355D0" w:rsidRPr="004355D0" w:rsidRDefault="004355D0" w:rsidP="004355D0">
            <w:pPr>
              <w:pStyle w:val="NormalWeb"/>
              <w:shd w:val="clear" w:color="auto" w:fill="FFFFFF"/>
              <w:spacing w:before="400" w:after="400"/>
              <w:jc w:val="both"/>
            </w:pPr>
            <w:r w:rsidRPr="004355D0">
              <w:t xml:space="preserve">Hybrid </w:t>
            </w:r>
            <w:proofErr w:type="spellStart"/>
            <w:r w:rsidRPr="004355D0">
              <w:t>fiber</w:t>
            </w:r>
            <w:proofErr w:type="spellEnd"/>
            <w:r w:rsidRPr="004355D0">
              <w:t xml:space="preserve"> blends + mycelium matrix</w:t>
            </w:r>
          </w:p>
        </w:tc>
        <w:tc>
          <w:tcPr>
            <w:tcW w:w="0" w:type="auto"/>
            <w:vAlign w:val="center"/>
            <w:hideMark/>
          </w:tcPr>
          <w:p w14:paraId="1428BC70" w14:textId="77777777" w:rsidR="004355D0" w:rsidRPr="004355D0" w:rsidRDefault="004355D0" w:rsidP="004355D0">
            <w:pPr>
              <w:pStyle w:val="NormalWeb"/>
              <w:shd w:val="clear" w:color="auto" w:fill="FFFFFF"/>
              <w:spacing w:before="400" w:after="400"/>
              <w:jc w:val="both"/>
            </w:pPr>
            <w:r w:rsidRPr="004355D0">
              <w:t>Agricultural and forestry residues</w:t>
            </w:r>
          </w:p>
        </w:tc>
        <w:tc>
          <w:tcPr>
            <w:tcW w:w="0" w:type="auto"/>
            <w:vAlign w:val="center"/>
            <w:hideMark/>
          </w:tcPr>
          <w:p w14:paraId="79D1CA55" w14:textId="77777777" w:rsidR="004355D0" w:rsidRPr="004355D0" w:rsidRDefault="004355D0" w:rsidP="004355D0">
            <w:pPr>
              <w:pStyle w:val="NormalWeb"/>
              <w:shd w:val="clear" w:color="auto" w:fill="FFFFFF"/>
              <w:spacing w:before="400" w:after="400"/>
              <w:jc w:val="both"/>
            </w:pPr>
            <w:r w:rsidRPr="004355D0">
              <w:t>Furniture-grade bio-composites</w:t>
            </w:r>
          </w:p>
        </w:tc>
        <w:tc>
          <w:tcPr>
            <w:tcW w:w="0" w:type="auto"/>
            <w:vAlign w:val="center"/>
            <w:hideMark/>
          </w:tcPr>
          <w:p w14:paraId="004C212F" w14:textId="77777777" w:rsidR="004355D0" w:rsidRPr="004355D0" w:rsidRDefault="004355D0" w:rsidP="004355D0">
            <w:pPr>
              <w:pStyle w:val="NormalWeb"/>
              <w:shd w:val="clear" w:color="auto" w:fill="FFFFFF"/>
              <w:spacing w:before="400" w:after="400"/>
              <w:jc w:val="both"/>
            </w:pPr>
            <w:r w:rsidRPr="004355D0">
              <w:t>Furniture and decorative interiors</w:t>
            </w:r>
          </w:p>
        </w:tc>
        <w:tc>
          <w:tcPr>
            <w:tcW w:w="0" w:type="auto"/>
            <w:vAlign w:val="center"/>
            <w:hideMark/>
          </w:tcPr>
          <w:p w14:paraId="03A1B6C2" w14:textId="77777777" w:rsidR="004355D0" w:rsidRPr="004355D0" w:rsidRDefault="004355D0" w:rsidP="004355D0">
            <w:pPr>
              <w:pStyle w:val="NormalWeb"/>
              <w:shd w:val="clear" w:color="auto" w:fill="FFFFFF"/>
              <w:spacing w:before="400" w:after="400"/>
              <w:jc w:val="both"/>
            </w:pPr>
            <w:r w:rsidRPr="004355D0">
              <w:rPr>
                <w:lang w:val="de-DE"/>
              </w:rPr>
              <w:t xml:space="preserve">Appels et al. (2023); Park et al. </w:t>
            </w:r>
            <w:r w:rsidRPr="004355D0">
              <w:t>(2024)</w:t>
            </w:r>
          </w:p>
        </w:tc>
      </w:tr>
    </w:tbl>
    <w:p w14:paraId="4A9BA6BC" w14:textId="77777777" w:rsidR="004355D0" w:rsidRPr="008044B5" w:rsidRDefault="004355D0" w:rsidP="008044B5">
      <w:pPr>
        <w:pStyle w:val="NormalWeb"/>
        <w:shd w:val="clear" w:color="auto" w:fill="FFFFFF"/>
        <w:spacing w:before="400" w:beforeAutospacing="0" w:after="400" w:afterAutospacing="0"/>
        <w:jc w:val="both"/>
      </w:pPr>
    </w:p>
    <w:p w14:paraId="2CE095D0" w14:textId="77777777" w:rsidR="008044B5" w:rsidRPr="008044B5" w:rsidRDefault="008044B5" w:rsidP="008044B5">
      <w:pPr>
        <w:pStyle w:val="NormalWeb"/>
        <w:shd w:val="clear" w:color="auto" w:fill="FFFFFF"/>
        <w:spacing w:before="400" w:beforeAutospacing="0" w:after="400" w:afterAutospacing="0"/>
        <w:jc w:val="both"/>
      </w:pPr>
      <w:r w:rsidRPr="008044B5">
        <w:t>Applications span architecture, packaging, automotive components, furniture, interior materials, leather alternatives, and textile substitutes (</w:t>
      </w:r>
      <w:proofErr w:type="spellStart"/>
      <w:r w:rsidRPr="008044B5">
        <w:t>Ghazvinian</w:t>
      </w:r>
      <w:proofErr w:type="spellEnd"/>
      <w:r w:rsidRPr="008044B5">
        <w:t xml:space="preserve"> et al., 2021; Appels et al., 2023; Singh et al., 2024). Pure mycelium-derived biomaterials such as myco-leather are being developed as sustainable alternatives to toxic and animal-based materials (Attias et al., 2020; Park et al., 2024). Emerging research explores functional composites for sensing, bioelectronics, and self-repairing structures (</w:t>
      </w:r>
      <w:proofErr w:type="spellStart"/>
      <w:r w:rsidRPr="008044B5">
        <w:t>Adamatzky</w:t>
      </w:r>
      <w:proofErr w:type="spellEnd"/>
      <w:r w:rsidRPr="008044B5">
        <w:t xml:space="preserve"> et al., 2023; Zhao et al., 2025).</w:t>
      </w:r>
    </w:p>
    <w:p w14:paraId="3EE016BE" w14:textId="77777777" w:rsidR="008044B5" w:rsidRPr="008044B5" w:rsidRDefault="008044B5" w:rsidP="008044B5">
      <w:pPr>
        <w:pStyle w:val="NormalWeb"/>
        <w:shd w:val="clear" w:color="auto" w:fill="FFFFFF"/>
        <w:spacing w:before="400" w:beforeAutospacing="0" w:after="400" w:afterAutospacing="0"/>
        <w:jc w:val="both"/>
      </w:pPr>
      <w:r w:rsidRPr="008044B5">
        <w:t>Density is a key physical attribute influenced by substrate type, fungal species, and pressing (Manan et al., 2022; Li et al., 2023). Shrinkage, driven by dehydration, impacts dimensional stability (Yang et al., 2021). Thermal conductivity measurements place MBCs alongside traditional insulation materials such as glass wool and polystyrene, yet with lower embodied energy (Jiang et al., 2022; Ahmed et al., 2024).</w:t>
      </w:r>
    </w:p>
    <w:p w14:paraId="35D54A1F" w14:textId="4D7E6770" w:rsidR="008044B5" w:rsidRPr="008044B5" w:rsidRDefault="008044B5" w:rsidP="008044B5">
      <w:pPr>
        <w:pStyle w:val="NormalWeb"/>
        <w:shd w:val="clear" w:color="auto" w:fill="FFFFFF"/>
        <w:spacing w:before="400" w:after="400"/>
        <w:jc w:val="both"/>
      </w:pPr>
    </w:p>
    <w:p w14:paraId="52894B98" w14:textId="76FE318D" w:rsidR="008044B5" w:rsidRPr="008044B5" w:rsidRDefault="008044B5" w:rsidP="008044B5">
      <w:pPr>
        <w:pStyle w:val="NormalWeb"/>
        <w:shd w:val="clear" w:color="auto" w:fill="FFFFFF"/>
        <w:spacing w:before="400" w:beforeAutospacing="0" w:after="400" w:afterAutospacing="0"/>
        <w:jc w:val="both"/>
        <w:rPr>
          <w:b/>
          <w:bCs/>
        </w:rPr>
      </w:pPr>
      <w:r w:rsidRPr="008044B5">
        <w:rPr>
          <w:b/>
          <w:bCs/>
        </w:rPr>
        <w:t xml:space="preserve">2. </w:t>
      </w:r>
      <w:r>
        <w:rPr>
          <w:b/>
          <w:bCs/>
        </w:rPr>
        <w:t>Process</w:t>
      </w:r>
    </w:p>
    <w:p w14:paraId="7825F93B" w14:textId="77777777" w:rsidR="008044B5" w:rsidRPr="008044B5" w:rsidRDefault="008044B5" w:rsidP="008044B5">
      <w:pPr>
        <w:pStyle w:val="NormalWeb"/>
        <w:shd w:val="clear" w:color="auto" w:fill="FFFFFF"/>
        <w:spacing w:before="400" w:beforeAutospacing="0" w:after="400" w:afterAutospacing="0"/>
        <w:jc w:val="both"/>
        <w:rPr>
          <w:b/>
          <w:bCs/>
        </w:rPr>
      </w:pPr>
      <w:r w:rsidRPr="008044B5">
        <w:rPr>
          <w:b/>
          <w:bCs/>
        </w:rPr>
        <w:t>2.1 Selection of Fungal Species</w:t>
      </w:r>
    </w:p>
    <w:p w14:paraId="63D745AA" w14:textId="77777777" w:rsidR="008044B5" w:rsidRPr="008044B5" w:rsidRDefault="008044B5" w:rsidP="008044B5">
      <w:pPr>
        <w:pStyle w:val="NormalWeb"/>
        <w:shd w:val="clear" w:color="auto" w:fill="FFFFFF"/>
        <w:spacing w:before="400" w:beforeAutospacing="0" w:after="400" w:afterAutospacing="0"/>
        <w:jc w:val="both"/>
      </w:pPr>
      <w:r w:rsidRPr="008044B5">
        <w:t xml:space="preserve">Species selection affects growth rate, colonization uniformity, density, and mechanical output (Appels et al., 2019; </w:t>
      </w:r>
      <w:proofErr w:type="spellStart"/>
      <w:r w:rsidRPr="008044B5">
        <w:t>Elsacker</w:t>
      </w:r>
      <w:proofErr w:type="spellEnd"/>
      <w:r w:rsidRPr="008044B5">
        <w:t xml:space="preserve"> et al., 2020). White-rot fungi (e.g., </w:t>
      </w:r>
      <w:r w:rsidRPr="008044B5">
        <w:rPr>
          <w:i/>
          <w:iCs/>
        </w:rPr>
        <w:t>Pleurotus ostreatus</w:t>
      </w:r>
      <w:r w:rsidRPr="008044B5">
        <w:t xml:space="preserve">, </w:t>
      </w:r>
      <w:r w:rsidRPr="008044B5">
        <w:rPr>
          <w:i/>
          <w:iCs/>
        </w:rPr>
        <w:t xml:space="preserve">Trametes </w:t>
      </w:r>
      <w:proofErr w:type="spellStart"/>
      <w:r w:rsidRPr="008044B5">
        <w:rPr>
          <w:i/>
          <w:iCs/>
        </w:rPr>
        <w:t>multicolor</w:t>
      </w:r>
      <w:proofErr w:type="spellEnd"/>
      <w:r w:rsidRPr="008044B5">
        <w:t xml:space="preserve">, </w:t>
      </w:r>
      <w:r w:rsidRPr="008044B5">
        <w:rPr>
          <w:i/>
          <w:iCs/>
        </w:rPr>
        <w:t>Ganoderma lucidum</w:t>
      </w:r>
      <w:r w:rsidRPr="008044B5">
        <w:t>) are frequently reported due to effective lignocellulose breakdown and dense mycelial networks (</w:t>
      </w:r>
      <w:proofErr w:type="spellStart"/>
      <w:r w:rsidRPr="008044B5">
        <w:t>Ghazvinian</w:t>
      </w:r>
      <w:proofErr w:type="spellEnd"/>
      <w:r w:rsidRPr="008044B5">
        <w:t xml:space="preserve"> et al., 2021; Singh et al., 2024). Species </w:t>
      </w:r>
      <w:r w:rsidRPr="008044B5">
        <w:lastRenderedPageBreak/>
        <w:t>influence final morphology and mechanical profiles on identical substrates (Park et al., 2024; Zhao et al., 2025).</w:t>
      </w:r>
    </w:p>
    <w:p w14:paraId="54988710" w14:textId="10BFEAE8" w:rsidR="008044B5" w:rsidRPr="008044B5" w:rsidRDefault="008044B5" w:rsidP="008044B5">
      <w:pPr>
        <w:pStyle w:val="NormalWeb"/>
        <w:shd w:val="clear" w:color="auto" w:fill="FFFFFF"/>
        <w:spacing w:before="400" w:after="400"/>
        <w:jc w:val="both"/>
      </w:pPr>
    </w:p>
    <w:p w14:paraId="7A8257C3" w14:textId="77777777" w:rsidR="008044B5" w:rsidRPr="008044B5" w:rsidRDefault="008044B5" w:rsidP="008044B5">
      <w:pPr>
        <w:pStyle w:val="NormalWeb"/>
        <w:shd w:val="clear" w:color="auto" w:fill="FFFFFF"/>
        <w:spacing w:before="400" w:beforeAutospacing="0" w:after="400" w:afterAutospacing="0"/>
        <w:jc w:val="both"/>
        <w:rPr>
          <w:b/>
          <w:bCs/>
        </w:rPr>
      </w:pPr>
      <w:r w:rsidRPr="008044B5">
        <w:rPr>
          <w:b/>
          <w:bCs/>
        </w:rPr>
        <w:t>2.2 Selection of Substrate</w:t>
      </w:r>
    </w:p>
    <w:p w14:paraId="756DC3B4" w14:textId="77777777" w:rsidR="008044B5" w:rsidRPr="008044B5" w:rsidRDefault="008044B5" w:rsidP="008044B5">
      <w:pPr>
        <w:pStyle w:val="NormalWeb"/>
        <w:shd w:val="clear" w:color="auto" w:fill="FFFFFF"/>
        <w:spacing w:before="400" w:beforeAutospacing="0" w:after="400" w:afterAutospacing="0"/>
        <w:jc w:val="both"/>
      </w:pPr>
      <w:r w:rsidRPr="008044B5">
        <w:t>Agricultural wastes such as straw, sawdust, rice husk, wood chips, and coconut coir are common feedstocks for MBC production (Jones et al., 2020; Manan et al., 2022). Substrate choice significantly affects tensile strength, density, and water retention (Li et al., 2023). Amendments (e.g., rice husk ash, biochar) can improve fire resistance and dimensional stability (Ahmed et al., 2024; Singh et al., 2024). Local substrate availability is crucial for scalable production (Islam et al., 2022).</w:t>
      </w:r>
    </w:p>
    <w:p w14:paraId="0EF9D7F0" w14:textId="2DA38359" w:rsidR="008044B5" w:rsidRPr="008044B5" w:rsidRDefault="008044B5" w:rsidP="008044B5">
      <w:pPr>
        <w:pStyle w:val="NormalWeb"/>
        <w:shd w:val="clear" w:color="auto" w:fill="FFFFFF"/>
        <w:spacing w:before="400" w:after="400"/>
        <w:jc w:val="both"/>
      </w:pPr>
    </w:p>
    <w:p w14:paraId="21DDDC4B" w14:textId="77777777" w:rsidR="008044B5" w:rsidRPr="008044B5" w:rsidRDefault="008044B5" w:rsidP="008044B5">
      <w:pPr>
        <w:pStyle w:val="NormalWeb"/>
        <w:shd w:val="clear" w:color="auto" w:fill="FFFFFF"/>
        <w:spacing w:before="400" w:beforeAutospacing="0" w:after="400" w:afterAutospacing="0"/>
        <w:jc w:val="both"/>
        <w:rPr>
          <w:b/>
          <w:bCs/>
        </w:rPr>
      </w:pPr>
      <w:r w:rsidRPr="008044B5">
        <w:rPr>
          <w:b/>
          <w:bCs/>
        </w:rPr>
        <w:t>2.3 Substrate Sterilization</w:t>
      </w:r>
    </w:p>
    <w:p w14:paraId="5758F55F" w14:textId="77777777" w:rsidR="008044B5" w:rsidRPr="008044B5" w:rsidRDefault="008044B5" w:rsidP="008044B5">
      <w:pPr>
        <w:pStyle w:val="NormalWeb"/>
        <w:shd w:val="clear" w:color="auto" w:fill="FFFFFF"/>
        <w:spacing w:before="400" w:beforeAutospacing="0" w:after="400" w:afterAutospacing="0"/>
        <w:jc w:val="both"/>
      </w:pPr>
      <w:r w:rsidRPr="008044B5">
        <w:t xml:space="preserve">Elimination of contaminants enhances fungal colonization and final material uniformity. Sterilization methods include autoclaving, pasteurization, and chemical treatments using hydrogen peroxide or acids (Appels et al., 2019; </w:t>
      </w:r>
      <w:proofErr w:type="spellStart"/>
      <w:r w:rsidRPr="008044B5">
        <w:t>Elsacker</w:t>
      </w:r>
      <w:proofErr w:type="spellEnd"/>
      <w:r w:rsidRPr="008044B5">
        <w:t xml:space="preserve"> et al., 2020; Manan et al., 2022). Consistent sterilization improves mechanical repeatability (Singh et al., 2024).</w:t>
      </w:r>
    </w:p>
    <w:p w14:paraId="0ACA2C56" w14:textId="74F2C897" w:rsidR="008044B5" w:rsidRPr="008044B5" w:rsidRDefault="008044B5" w:rsidP="008044B5">
      <w:pPr>
        <w:pStyle w:val="NormalWeb"/>
        <w:shd w:val="clear" w:color="auto" w:fill="FFFFFF"/>
        <w:spacing w:before="400" w:after="400"/>
        <w:jc w:val="both"/>
      </w:pPr>
    </w:p>
    <w:p w14:paraId="09138529" w14:textId="77777777" w:rsidR="008044B5" w:rsidRPr="008044B5" w:rsidRDefault="008044B5" w:rsidP="008044B5">
      <w:pPr>
        <w:pStyle w:val="NormalWeb"/>
        <w:shd w:val="clear" w:color="auto" w:fill="FFFFFF"/>
        <w:spacing w:before="400" w:beforeAutospacing="0" w:after="400" w:afterAutospacing="0"/>
        <w:jc w:val="both"/>
        <w:rPr>
          <w:b/>
          <w:bCs/>
        </w:rPr>
      </w:pPr>
      <w:r w:rsidRPr="008044B5">
        <w:rPr>
          <w:b/>
          <w:bCs/>
        </w:rPr>
        <w:t>2.4 Inoculation Process</w:t>
      </w:r>
    </w:p>
    <w:p w14:paraId="4CE825EC" w14:textId="77777777" w:rsidR="008044B5" w:rsidRPr="008044B5" w:rsidRDefault="008044B5" w:rsidP="008044B5">
      <w:pPr>
        <w:pStyle w:val="NormalWeb"/>
        <w:shd w:val="clear" w:color="auto" w:fill="FFFFFF"/>
        <w:spacing w:before="400" w:beforeAutospacing="0" w:after="400" w:afterAutospacing="0"/>
        <w:jc w:val="both"/>
      </w:pPr>
      <w:r w:rsidRPr="008044B5">
        <w:t>Inoculation methods include grain spawn and liquid culture protocols (Islam et al., 2022). Carbohydrate supplements (e.g., glucose, starch) can accelerate hyphal growth. Inoculation influences material properties such as compressive strength and Young’s modulus (Ahmed et al., 2024; Li et al., 2023).</w:t>
      </w:r>
    </w:p>
    <w:p w14:paraId="0103B923" w14:textId="21065234" w:rsidR="008044B5" w:rsidRPr="008044B5" w:rsidRDefault="008044B5" w:rsidP="008044B5">
      <w:pPr>
        <w:pStyle w:val="NormalWeb"/>
        <w:shd w:val="clear" w:color="auto" w:fill="FFFFFF"/>
        <w:spacing w:before="400" w:after="400"/>
        <w:jc w:val="both"/>
      </w:pPr>
    </w:p>
    <w:p w14:paraId="06E2247F" w14:textId="77777777" w:rsidR="008044B5" w:rsidRPr="008044B5" w:rsidRDefault="008044B5" w:rsidP="008044B5">
      <w:pPr>
        <w:pStyle w:val="NormalWeb"/>
        <w:shd w:val="clear" w:color="auto" w:fill="FFFFFF"/>
        <w:spacing w:before="400" w:beforeAutospacing="0" w:after="400" w:afterAutospacing="0"/>
        <w:jc w:val="both"/>
        <w:rPr>
          <w:b/>
          <w:bCs/>
        </w:rPr>
      </w:pPr>
      <w:r w:rsidRPr="008044B5">
        <w:rPr>
          <w:b/>
          <w:bCs/>
        </w:rPr>
        <w:t xml:space="preserve">2.5 </w:t>
      </w:r>
      <w:proofErr w:type="spellStart"/>
      <w:r w:rsidRPr="008044B5">
        <w:rPr>
          <w:b/>
          <w:bCs/>
        </w:rPr>
        <w:t>Molding</w:t>
      </w:r>
      <w:proofErr w:type="spellEnd"/>
      <w:r w:rsidRPr="008044B5">
        <w:rPr>
          <w:b/>
          <w:bCs/>
        </w:rPr>
        <w:t xml:space="preserve"> and Packing</w:t>
      </w:r>
    </w:p>
    <w:p w14:paraId="2C9ED922" w14:textId="77777777" w:rsidR="008044B5" w:rsidRPr="008044B5" w:rsidRDefault="008044B5" w:rsidP="008044B5">
      <w:pPr>
        <w:pStyle w:val="NormalWeb"/>
        <w:shd w:val="clear" w:color="auto" w:fill="FFFFFF"/>
        <w:spacing w:before="400" w:beforeAutospacing="0" w:after="400" w:afterAutospacing="0"/>
        <w:jc w:val="both"/>
      </w:pPr>
      <w:r w:rsidRPr="008044B5">
        <w:t xml:space="preserve">Mold design dictates final shape, density distribution, and mechanical </w:t>
      </w:r>
      <w:proofErr w:type="spellStart"/>
      <w:r w:rsidRPr="008044B5">
        <w:t>behavior</w:t>
      </w:r>
      <w:proofErr w:type="spellEnd"/>
      <w:r w:rsidRPr="008044B5">
        <w:t xml:space="preserve">. Common </w:t>
      </w:r>
      <w:proofErr w:type="spellStart"/>
      <w:r w:rsidRPr="008044B5">
        <w:t>molds</w:t>
      </w:r>
      <w:proofErr w:type="spellEnd"/>
      <w:r w:rsidRPr="008044B5">
        <w:t xml:space="preserve"> include PVC, polyethylene, and thermoformed plastic systems (</w:t>
      </w:r>
      <w:proofErr w:type="spellStart"/>
      <w:r w:rsidRPr="008044B5">
        <w:t>Elsacker</w:t>
      </w:r>
      <w:proofErr w:type="spellEnd"/>
      <w:r w:rsidRPr="008044B5">
        <w:t xml:space="preserve"> et al., 2020; </w:t>
      </w:r>
      <w:proofErr w:type="spellStart"/>
      <w:r w:rsidRPr="008044B5">
        <w:t>Ghazvinian</w:t>
      </w:r>
      <w:proofErr w:type="spellEnd"/>
      <w:r w:rsidRPr="008044B5">
        <w:t xml:space="preserve"> et al., 2021). Packing techniques influence </w:t>
      </w:r>
      <w:proofErr w:type="spellStart"/>
      <w:r w:rsidRPr="008044B5">
        <w:t>fiber</w:t>
      </w:r>
      <w:proofErr w:type="spellEnd"/>
      <w:r w:rsidRPr="008044B5">
        <w:t xml:space="preserve"> orientation and hyphal distribution (Khan et al., 2023).</w:t>
      </w:r>
    </w:p>
    <w:p w14:paraId="64FCA6C8" w14:textId="0A8C466C" w:rsidR="008044B5" w:rsidRPr="008044B5" w:rsidRDefault="008044B5" w:rsidP="008044B5">
      <w:pPr>
        <w:pStyle w:val="NormalWeb"/>
        <w:shd w:val="clear" w:color="auto" w:fill="FFFFFF"/>
        <w:spacing w:before="400" w:after="400"/>
        <w:jc w:val="both"/>
      </w:pPr>
    </w:p>
    <w:p w14:paraId="4B973C68" w14:textId="77777777" w:rsidR="008044B5" w:rsidRPr="008044B5" w:rsidRDefault="008044B5" w:rsidP="008044B5">
      <w:pPr>
        <w:pStyle w:val="NormalWeb"/>
        <w:shd w:val="clear" w:color="auto" w:fill="FFFFFF"/>
        <w:spacing w:before="400" w:beforeAutospacing="0" w:after="400" w:afterAutospacing="0"/>
        <w:jc w:val="both"/>
        <w:rPr>
          <w:b/>
          <w:bCs/>
        </w:rPr>
      </w:pPr>
      <w:r w:rsidRPr="008044B5">
        <w:rPr>
          <w:b/>
          <w:bCs/>
        </w:rPr>
        <w:t>2.6 Incubation and Colonization</w:t>
      </w:r>
    </w:p>
    <w:p w14:paraId="03F5399A" w14:textId="77777777" w:rsidR="008044B5" w:rsidRPr="008044B5" w:rsidRDefault="008044B5" w:rsidP="008044B5">
      <w:pPr>
        <w:pStyle w:val="NormalWeb"/>
        <w:shd w:val="clear" w:color="auto" w:fill="FFFFFF"/>
        <w:spacing w:before="400" w:beforeAutospacing="0" w:after="400" w:afterAutospacing="0"/>
        <w:jc w:val="both"/>
      </w:pPr>
      <w:r w:rsidRPr="008044B5">
        <w:lastRenderedPageBreak/>
        <w:t>Colonization typically lasts between 5–42 days, depending on species, substrate, and environmental conditions (Yang et al., 2021; Ahmed et al., 2024). Mycelium grows internally before forming a surface skin, with incubation time affecting density and strength (Manan et al., 2022; Singh et al., 2024).</w:t>
      </w:r>
    </w:p>
    <w:p w14:paraId="71AF77EC" w14:textId="4276532F" w:rsidR="008044B5" w:rsidRPr="008044B5" w:rsidRDefault="008044B5" w:rsidP="008044B5">
      <w:pPr>
        <w:pStyle w:val="NormalWeb"/>
        <w:shd w:val="clear" w:color="auto" w:fill="FFFFFF"/>
        <w:spacing w:before="400" w:after="400"/>
        <w:jc w:val="both"/>
      </w:pPr>
    </w:p>
    <w:p w14:paraId="739894AA" w14:textId="77777777" w:rsidR="008044B5" w:rsidRPr="008044B5" w:rsidRDefault="008044B5" w:rsidP="008044B5">
      <w:pPr>
        <w:pStyle w:val="NormalWeb"/>
        <w:shd w:val="clear" w:color="auto" w:fill="FFFFFF"/>
        <w:spacing w:before="400" w:beforeAutospacing="0" w:after="400" w:afterAutospacing="0"/>
        <w:jc w:val="both"/>
        <w:rPr>
          <w:b/>
          <w:bCs/>
        </w:rPr>
      </w:pPr>
      <w:r w:rsidRPr="008044B5">
        <w:rPr>
          <w:b/>
          <w:bCs/>
        </w:rPr>
        <w:t>2.7 Drying and Densification</w:t>
      </w:r>
    </w:p>
    <w:p w14:paraId="3F8C2862" w14:textId="77777777" w:rsidR="008044B5" w:rsidRPr="008044B5" w:rsidRDefault="008044B5" w:rsidP="008044B5">
      <w:pPr>
        <w:pStyle w:val="NormalWeb"/>
        <w:shd w:val="clear" w:color="auto" w:fill="FFFFFF"/>
        <w:spacing w:before="400" w:beforeAutospacing="0" w:after="400" w:afterAutospacing="0"/>
        <w:jc w:val="both"/>
      </w:pPr>
      <w:r w:rsidRPr="008044B5">
        <w:t>Drying halts fungal activity and removes moisture. Methods include oven drying, convection heating, and hot pressing. Hot pressing increases mechanical performance through compaction (Islam et al., 2022; Ahmed et al., 2024). Drying conditions directly influence shrinkage and density (Li et al., 2023).</w:t>
      </w:r>
    </w:p>
    <w:p w14:paraId="7EF5FD5B" w14:textId="50620385" w:rsidR="008044B5" w:rsidRPr="008044B5" w:rsidRDefault="008044B5" w:rsidP="008044B5">
      <w:pPr>
        <w:pStyle w:val="NormalWeb"/>
        <w:shd w:val="clear" w:color="auto" w:fill="FFFFFF"/>
        <w:spacing w:before="400" w:after="400"/>
        <w:jc w:val="both"/>
      </w:pPr>
    </w:p>
    <w:p w14:paraId="3E059062" w14:textId="77777777" w:rsidR="008044B5" w:rsidRPr="008044B5" w:rsidRDefault="008044B5" w:rsidP="008044B5">
      <w:pPr>
        <w:pStyle w:val="NormalWeb"/>
        <w:shd w:val="clear" w:color="auto" w:fill="FFFFFF"/>
        <w:spacing w:before="400" w:beforeAutospacing="0" w:after="400" w:afterAutospacing="0"/>
        <w:jc w:val="both"/>
        <w:rPr>
          <w:b/>
          <w:bCs/>
        </w:rPr>
      </w:pPr>
      <w:r w:rsidRPr="008044B5">
        <w:rPr>
          <w:b/>
          <w:bCs/>
        </w:rPr>
        <w:t>2.8 Surface Finishing</w:t>
      </w:r>
    </w:p>
    <w:p w14:paraId="7680D10C" w14:textId="77777777" w:rsidR="008044B5" w:rsidRPr="008044B5" w:rsidRDefault="008044B5" w:rsidP="008044B5">
      <w:pPr>
        <w:pStyle w:val="NormalWeb"/>
        <w:shd w:val="clear" w:color="auto" w:fill="FFFFFF"/>
        <w:spacing w:before="400" w:beforeAutospacing="0" w:after="400" w:afterAutospacing="0"/>
        <w:jc w:val="both"/>
      </w:pPr>
      <w:r w:rsidRPr="008044B5">
        <w:t xml:space="preserve">Surface coatings enhance aesthetics and moisture resistance. Natural oils (linseed, coconut), waxes (beeswax, carnauba), and bio-resins improve water </w:t>
      </w:r>
      <w:proofErr w:type="spellStart"/>
      <w:r w:rsidRPr="008044B5">
        <w:t>repellency</w:t>
      </w:r>
      <w:proofErr w:type="spellEnd"/>
      <w:r w:rsidRPr="008044B5">
        <w:t xml:space="preserve"> and durability (Attias et al., 2020; Park et al., 2024). Bio-coating systems are being explored for enhanced barrier properties (Zhao et al., 2025).</w:t>
      </w:r>
    </w:p>
    <w:p w14:paraId="46E0A435" w14:textId="5B2DF02A" w:rsidR="008044B5" w:rsidRPr="008044B5" w:rsidRDefault="008044B5" w:rsidP="008044B5">
      <w:pPr>
        <w:pStyle w:val="NormalWeb"/>
        <w:shd w:val="clear" w:color="auto" w:fill="FFFFFF"/>
        <w:spacing w:before="400" w:after="400"/>
        <w:jc w:val="both"/>
      </w:pPr>
    </w:p>
    <w:p w14:paraId="33085FFE" w14:textId="77777777" w:rsidR="008044B5" w:rsidRPr="008044B5" w:rsidRDefault="008044B5" w:rsidP="008044B5">
      <w:pPr>
        <w:pStyle w:val="NormalWeb"/>
        <w:shd w:val="clear" w:color="auto" w:fill="FFFFFF"/>
        <w:spacing w:before="400" w:beforeAutospacing="0" w:after="400" w:afterAutospacing="0"/>
        <w:jc w:val="both"/>
        <w:rPr>
          <w:b/>
          <w:bCs/>
        </w:rPr>
      </w:pPr>
      <w:r w:rsidRPr="008044B5">
        <w:rPr>
          <w:b/>
          <w:bCs/>
        </w:rPr>
        <w:t>3. Applications of Mycelium-Based Composites</w:t>
      </w:r>
    </w:p>
    <w:p w14:paraId="63576BD6" w14:textId="77777777" w:rsidR="008044B5" w:rsidRPr="008044B5" w:rsidRDefault="008044B5" w:rsidP="008044B5">
      <w:pPr>
        <w:pStyle w:val="NormalWeb"/>
        <w:shd w:val="clear" w:color="auto" w:fill="FFFFFF"/>
        <w:spacing w:before="400" w:beforeAutospacing="0" w:after="400" w:afterAutospacing="0"/>
        <w:jc w:val="both"/>
        <w:rPr>
          <w:b/>
          <w:bCs/>
        </w:rPr>
      </w:pPr>
      <w:r w:rsidRPr="008044B5">
        <w:rPr>
          <w:b/>
          <w:bCs/>
        </w:rPr>
        <w:t>3.1 Building and Construction</w:t>
      </w:r>
    </w:p>
    <w:p w14:paraId="2BD0E568" w14:textId="77777777" w:rsidR="008044B5" w:rsidRPr="008044B5" w:rsidRDefault="008044B5" w:rsidP="008044B5">
      <w:pPr>
        <w:pStyle w:val="NormalWeb"/>
        <w:shd w:val="clear" w:color="auto" w:fill="FFFFFF"/>
        <w:spacing w:before="400" w:beforeAutospacing="0" w:after="400" w:afterAutospacing="0"/>
        <w:jc w:val="both"/>
      </w:pPr>
      <w:r w:rsidRPr="008044B5">
        <w:t>MBCs offer low thermal conductivity, fire retardancy, acoustic damping, and termite resistance (Jiang et al., 2022; Ahmed et al., 2024). Compared to particle board and polystyrene, MBCs emit less smoke and carbon during combustion, making them safer for building envelopes (Jones et al., 2020; Singh et al., 2024). Research increasingly focuses on integrating mycelium composites into sustainable architecture and circular design strategies (</w:t>
      </w:r>
      <w:proofErr w:type="spellStart"/>
      <w:r w:rsidRPr="008044B5">
        <w:t>Ghazvinian</w:t>
      </w:r>
      <w:proofErr w:type="spellEnd"/>
      <w:r w:rsidRPr="008044B5">
        <w:t xml:space="preserve"> et al., 2021; Khan et al., 2023).</w:t>
      </w:r>
    </w:p>
    <w:p w14:paraId="07FD9981" w14:textId="09C597A0" w:rsidR="008044B5" w:rsidRPr="008044B5" w:rsidRDefault="008044B5" w:rsidP="008044B5">
      <w:pPr>
        <w:pStyle w:val="NormalWeb"/>
        <w:shd w:val="clear" w:color="auto" w:fill="FFFFFF"/>
        <w:spacing w:before="400" w:after="400"/>
        <w:jc w:val="both"/>
      </w:pPr>
    </w:p>
    <w:p w14:paraId="26F6B1B9" w14:textId="77777777" w:rsidR="008044B5" w:rsidRPr="008044B5" w:rsidRDefault="008044B5" w:rsidP="008044B5">
      <w:pPr>
        <w:pStyle w:val="NormalWeb"/>
        <w:shd w:val="clear" w:color="auto" w:fill="FFFFFF"/>
        <w:spacing w:before="400" w:beforeAutospacing="0" w:after="400" w:afterAutospacing="0"/>
        <w:jc w:val="both"/>
        <w:rPr>
          <w:b/>
          <w:bCs/>
        </w:rPr>
      </w:pPr>
      <w:r w:rsidRPr="008044B5">
        <w:rPr>
          <w:b/>
          <w:bCs/>
        </w:rPr>
        <w:t>3.2 Product and Industrial Design</w:t>
      </w:r>
    </w:p>
    <w:p w14:paraId="610CC119" w14:textId="77777777" w:rsidR="008044B5" w:rsidRPr="008044B5" w:rsidRDefault="008044B5" w:rsidP="008044B5">
      <w:pPr>
        <w:pStyle w:val="NormalWeb"/>
        <w:shd w:val="clear" w:color="auto" w:fill="FFFFFF"/>
        <w:spacing w:before="400" w:beforeAutospacing="0" w:after="400" w:afterAutospacing="0"/>
        <w:jc w:val="both"/>
      </w:pPr>
      <w:r w:rsidRPr="008044B5">
        <w:t xml:space="preserve">Mycelium’s moldability enables innovative eco-design products, from consumer goods to structural art pieces (Attias et al., 2020; Appels et al., 2023). Designers leverage MBC’s natural aesthetics and </w:t>
      </w:r>
      <w:proofErr w:type="spellStart"/>
      <w:r w:rsidRPr="008044B5">
        <w:t>tunable</w:t>
      </w:r>
      <w:proofErr w:type="spellEnd"/>
      <w:r w:rsidRPr="008044B5">
        <w:t xml:space="preserve"> properties for commercial applications (Singh et al., 2024).</w:t>
      </w:r>
    </w:p>
    <w:p w14:paraId="4158D371" w14:textId="7C5684C7" w:rsidR="008044B5" w:rsidRPr="008044B5" w:rsidRDefault="008044B5" w:rsidP="008044B5">
      <w:pPr>
        <w:pStyle w:val="NormalWeb"/>
        <w:shd w:val="clear" w:color="auto" w:fill="FFFFFF"/>
        <w:spacing w:before="400" w:after="400"/>
        <w:jc w:val="both"/>
      </w:pPr>
    </w:p>
    <w:p w14:paraId="07B47D75" w14:textId="77777777" w:rsidR="008044B5" w:rsidRPr="008044B5" w:rsidRDefault="008044B5" w:rsidP="008044B5">
      <w:pPr>
        <w:pStyle w:val="NormalWeb"/>
        <w:shd w:val="clear" w:color="auto" w:fill="FFFFFF"/>
        <w:spacing w:before="400" w:beforeAutospacing="0" w:after="400" w:afterAutospacing="0"/>
        <w:jc w:val="both"/>
        <w:rPr>
          <w:b/>
          <w:bCs/>
        </w:rPr>
      </w:pPr>
      <w:r w:rsidRPr="008044B5">
        <w:rPr>
          <w:b/>
          <w:bCs/>
        </w:rPr>
        <w:t>3.3 Household Furnishings</w:t>
      </w:r>
    </w:p>
    <w:p w14:paraId="323D9818" w14:textId="77777777" w:rsidR="008044B5" w:rsidRPr="008044B5" w:rsidRDefault="008044B5" w:rsidP="008044B5">
      <w:pPr>
        <w:pStyle w:val="NormalWeb"/>
        <w:shd w:val="clear" w:color="auto" w:fill="FFFFFF"/>
        <w:spacing w:before="400" w:beforeAutospacing="0" w:after="400" w:afterAutospacing="0"/>
        <w:jc w:val="both"/>
      </w:pPr>
      <w:r w:rsidRPr="008044B5">
        <w:t>Furniture, lighting fixtures, and decorative interior components made from MBCs have been demonstrated, highlighting aesthetic adaptability and environmental appeal (Appels et al., 2023; Park et al., 2024).</w:t>
      </w:r>
    </w:p>
    <w:p w14:paraId="34E7BCB0" w14:textId="77777777" w:rsidR="004355D0" w:rsidRDefault="004355D0" w:rsidP="008044B5">
      <w:pPr>
        <w:pStyle w:val="NormalWeb"/>
        <w:shd w:val="clear" w:color="auto" w:fill="FFFFFF"/>
        <w:spacing w:before="400" w:after="400"/>
        <w:jc w:val="both"/>
      </w:pPr>
    </w:p>
    <w:p w14:paraId="0000991B" w14:textId="2009D972" w:rsidR="008044B5" w:rsidRDefault="004355D0" w:rsidP="008044B5">
      <w:pPr>
        <w:pStyle w:val="NormalWeb"/>
        <w:shd w:val="clear" w:color="auto" w:fill="FFFFFF"/>
        <w:spacing w:before="400" w:after="400"/>
        <w:jc w:val="both"/>
      </w:pPr>
      <w:r w:rsidRPr="004355D0">
        <w:t>Table</w:t>
      </w:r>
      <w:r>
        <w:t xml:space="preserve"> 2</w:t>
      </w:r>
      <w:r w:rsidRPr="004355D0">
        <w:t>: Applications of Mycelium-Based Composites (MBCs)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9"/>
        <w:gridCol w:w="2670"/>
        <w:gridCol w:w="2667"/>
        <w:gridCol w:w="2100"/>
      </w:tblGrid>
      <w:tr w:rsidR="004355D0" w:rsidRPr="004355D0" w14:paraId="34E3829F" w14:textId="77777777">
        <w:trPr>
          <w:tblHeader/>
          <w:tblCellSpacing w:w="15" w:type="dxa"/>
        </w:trPr>
        <w:tc>
          <w:tcPr>
            <w:tcW w:w="0" w:type="auto"/>
            <w:vAlign w:val="center"/>
            <w:hideMark/>
          </w:tcPr>
          <w:p w14:paraId="06590EB1" w14:textId="77777777" w:rsidR="004355D0" w:rsidRPr="004355D0" w:rsidRDefault="004355D0" w:rsidP="004355D0">
            <w:pPr>
              <w:pStyle w:val="NormalWeb"/>
              <w:shd w:val="clear" w:color="auto" w:fill="FFFFFF"/>
              <w:spacing w:before="400" w:after="400"/>
              <w:jc w:val="both"/>
              <w:rPr>
                <w:b/>
                <w:bCs/>
              </w:rPr>
            </w:pPr>
            <w:r w:rsidRPr="004355D0">
              <w:rPr>
                <w:b/>
                <w:bCs/>
              </w:rPr>
              <w:t>Application Area</w:t>
            </w:r>
          </w:p>
        </w:tc>
        <w:tc>
          <w:tcPr>
            <w:tcW w:w="0" w:type="auto"/>
            <w:vAlign w:val="center"/>
            <w:hideMark/>
          </w:tcPr>
          <w:p w14:paraId="219549DC" w14:textId="77777777" w:rsidR="004355D0" w:rsidRPr="004355D0" w:rsidRDefault="004355D0" w:rsidP="004355D0">
            <w:pPr>
              <w:pStyle w:val="NormalWeb"/>
              <w:shd w:val="clear" w:color="auto" w:fill="FFFFFF"/>
              <w:spacing w:before="400" w:after="400"/>
              <w:jc w:val="both"/>
              <w:rPr>
                <w:b/>
                <w:bCs/>
              </w:rPr>
            </w:pPr>
            <w:r w:rsidRPr="004355D0">
              <w:rPr>
                <w:b/>
                <w:bCs/>
              </w:rPr>
              <w:t>Key Features / Properties</w:t>
            </w:r>
          </w:p>
        </w:tc>
        <w:tc>
          <w:tcPr>
            <w:tcW w:w="0" w:type="auto"/>
            <w:vAlign w:val="center"/>
            <w:hideMark/>
          </w:tcPr>
          <w:p w14:paraId="773F412E" w14:textId="77777777" w:rsidR="004355D0" w:rsidRPr="004355D0" w:rsidRDefault="004355D0" w:rsidP="004355D0">
            <w:pPr>
              <w:pStyle w:val="NormalWeb"/>
              <w:shd w:val="clear" w:color="auto" w:fill="FFFFFF"/>
              <w:spacing w:before="400" w:after="400"/>
              <w:jc w:val="both"/>
              <w:rPr>
                <w:b/>
                <w:bCs/>
              </w:rPr>
            </w:pPr>
            <w:r w:rsidRPr="004355D0">
              <w:rPr>
                <w:b/>
                <w:bCs/>
              </w:rPr>
              <w:t>Representative Uses</w:t>
            </w:r>
          </w:p>
        </w:tc>
        <w:tc>
          <w:tcPr>
            <w:tcW w:w="0" w:type="auto"/>
            <w:vAlign w:val="center"/>
            <w:hideMark/>
          </w:tcPr>
          <w:p w14:paraId="50B46DC2" w14:textId="77777777" w:rsidR="004355D0" w:rsidRPr="004355D0" w:rsidRDefault="004355D0" w:rsidP="004355D0">
            <w:pPr>
              <w:pStyle w:val="NormalWeb"/>
              <w:shd w:val="clear" w:color="auto" w:fill="FFFFFF"/>
              <w:spacing w:before="400" w:after="400"/>
              <w:jc w:val="both"/>
              <w:rPr>
                <w:b/>
                <w:bCs/>
              </w:rPr>
            </w:pPr>
            <w:r w:rsidRPr="004355D0">
              <w:rPr>
                <w:b/>
                <w:bCs/>
              </w:rPr>
              <w:t>Key References (Year)</w:t>
            </w:r>
          </w:p>
        </w:tc>
      </w:tr>
      <w:tr w:rsidR="004355D0" w:rsidRPr="004355D0" w14:paraId="6992745C" w14:textId="77777777">
        <w:trPr>
          <w:tblCellSpacing w:w="15" w:type="dxa"/>
        </w:trPr>
        <w:tc>
          <w:tcPr>
            <w:tcW w:w="0" w:type="auto"/>
            <w:vAlign w:val="center"/>
            <w:hideMark/>
          </w:tcPr>
          <w:p w14:paraId="1716CAC2" w14:textId="77777777" w:rsidR="004355D0" w:rsidRPr="004355D0" w:rsidRDefault="004355D0" w:rsidP="004355D0">
            <w:pPr>
              <w:pStyle w:val="NormalWeb"/>
              <w:shd w:val="clear" w:color="auto" w:fill="FFFFFF"/>
              <w:spacing w:before="400" w:after="400"/>
              <w:jc w:val="both"/>
            </w:pPr>
            <w:r w:rsidRPr="004355D0">
              <w:rPr>
                <w:b/>
                <w:bCs/>
              </w:rPr>
              <w:t>Building and Construction</w:t>
            </w:r>
          </w:p>
        </w:tc>
        <w:tc>
          <w:tcPr>
            <w:tcW w:w="0" w:type="auto"/>
            <w:vAlign w:val="center"/>
            <w:hideMark/>
          </w:tcPr>
          <w:p w14:paraId="606D2268" w14:textId="77777777" w:rsidR="004355D0" w:rsidRPr="004355D0" w:rsidRDefault="004355D0" w:rsidP="004355D0">
            <w:pPr>
              <w:pStyle w:val="NormalWeb"/>
              <w:shd w:val="clear" w:color="auto" w:fill="FFFFFF"/>
              <w:spacing w:before="400" w:after="400"/>
              <w:jc w:val="both"/>
            </w:pPr>
            <w:r w:rsidRPr="004355D0">
              <w:t>Low thermal conductivity; fire retardancy; acoustic damping; termite resistance; reduced smoke and carbon emissions during combustion</w:t>
            </w:r>
          </w:p>
        </w:tc>
        <w:tc>
          <w:tcPr>
            <w:tcW w:w="0" w:type="auto"/>
            <w:vAlign w:val="center"/>
            <w:hideMark/>
          </w:tcPr>
          <w:p w14:paraId="55CDD6E2" w14:textId="77777777" w:rsidR="004355D0" w:rsidRPr="004355D0" w:rsidRDefault="004355D0" w:rsidP="004355D0">
            <w:pPr>
              <w:pStyle w:val="NormalWeb"/>
              <w:shd w:val="clear" w:color="auto" w:fill="FFFFFF"/>
              <w:spacing w:before="400" w:after="400"/>
              <w:jc w:val="both"/>
            </w:pPr>
            <w:r w:rsidRPr="004355D0">
              <w:t>Building envelopes; insulation panels; sustainable architectural components; circular design integration</w:t>
            </w:r>
          </w:p>
        </w:tc>
        <w:tc>
          <w:tcPr>
            <w:tcW w:w="0" w:type="auto"/>
            <w:vAlign w:val="center"/>
            <w:hideMark/>
          </w:tcPr>
          <w:p w14:paraId="54B9738B" w14:textId="77777777" w:rsidR="004355D0" w:rsidRPr="004355D0" w:rsidRDefault="004355D0" w:rsidP="004355D0">
            <w:pPr>
              <w:pStyle w:val="NormalWeb"/>
              <w:shd w:val="clear" w:color="auto" w:fill="FFFFFF"/>
              <w:spacing w:before="400" w:after="400"/>
              <w:jc w:val="both"/>
            </w:pPr>
            <w:r w:rsidRPr="004355D0">
              <w:t xml:space="preserve">Jiang et al. (2022); Ahmed et al. (2024); Jones et al. (2020); Singh et al. (2024); </w:t>
            </w:r>
            <w:proofErr w:type="spellStart"/>
            <w:r w:rsidRPr="004355D0">
              <w:t>Ghazvinian</w:t>
            </w:r>
            <w:proofErr w:type="spellEnd"/>
            <w:r w:rsidRPr="004355D0">
              <w:t xml:space="preserve"> et al. (2021); Khan et al. (2023)</w:t>
            </w:r>
          </w:p>
        </w:tc>
      </w:tr>
      <w:tr w:rsidR="004355D0" w:rsidRPr="004355D0" w14:paraId="116337B6" w14:textId="77777777">
        <w:trPr>
          <w:tblCellSpacing w:w="15" w:type="dxa"/>
        </w:trPr>
        <w:tc>
          <w:tcPr>
            <w:tcW w:w="0" w:type="auto"/>
            <w:vAlign w:val="center"/>
            <w:hideMark/>
          </w:tcPr>
          <w:p w14:paraId="3286D799" w14:textId="77777777" w:rsidR="004355D0" w:rsidRPr="004355D0" w:rsidRDefault="004355D0" w:rsidP="004355D0">
            <w:pPr>
              <w:pStyle w:val="NormalWeb"/>
              <w:shd w:val="clear" w:color="auto" w:fill="FFFFFF"/>
              <w:spacing w:before="400" w:after="400"/>
              <w:jc w:val="both"/>
            </w:pPr>
            <w:r w:rsidRPr="004355D0">
              <w:rPr>
                <w:b/>
                <w:bCs/>
              </w:rPr>
              <w:t>Product and Industrial Design</w:t>
            </w:r>
          </w:p>
        </w:tc>
        <w:tc>
          <w:tcPr>
            <w:tcW w:w="0" w:type="auto"/>
            <w:vAlign w:val="center"/>
            <w:hideMark/>
          </w:tcPr>
          <w:p w14:paraId="7A09CAD1" w14:textId="77777777" w:rsidR="004355D0" w:rsidRPr="004355D0" w:rsidRDefault="004355D0" w:rsidP="004355D0">
            <w:pPr>
              <w:pStyle w:val="NormalWeb"/>
              <w:shd w:val="clear" w:color="auto" w:fill="FFFFFF"/>
              <w:spacing w:before="400" w:after="400"/>
              <w:jc w:val="both"/>
            </w:pPr>
            <w:r w:rsidRPr="004355D0">
              <w:t xml:space="preserve">High moldability; </w:t>
            </w:r>
            <w:proofErr w:type="spellStart"/>
            <w:r w:rsidRPr="004355D0">
              <w:t>tunable</w:t>
            </w:r>
            <w:proofErr w:type="spellEnd"/>
            <w:r w:rsidRPr="004355D0">
              <w:t xml:space="preserve"> mechanical properties; natural aesthetics; lightweight structure</w:t>
            </w:r>
          </w:p>
        </w:tc>
        <w:tc>
          <w:tcPr>
            <w:tcW w:w="0" w:type="auto"/>
            <w:vAlign w:val="center"/>
            <w:hideMark/>
          </w:tcPr>
          <w:p w14:paraId="64B6A3A4" w14:textId="77777777" w:rsidR="004355D0" w:rsidRPr="004355D0" w:rsidRDefault="004355D0" w:rsidP="004355D0">
            <w:pPr>
              <w:pStyle w:val="NormalWeb"/>
              <w:shd w:val="clear" w:color="auto" w:fill="FFFFFF"/>
              <w:spacing w:before="400" w:after="400"/>
              <w:jc w:val="both"/>
            </w:pPr>
            <w:r w:rsidRPr="004355D0">
              <w:t>Eco-designed consumer goods; structural art pieces; commercial design products</w:t>
            </w:r>
          </w:p>
        </w:tc>
        <w:tc>
          <w:tcPr>
            <w:tcW w:w="0" w:type="auto"/>
            <w:vAlign w:val="center"/>
            <w:hideMark/>
          </w:tcPr>
          <w:p w14:paraId="4DB0C430" w14:textId="77777777" w:rsidR="004355D0" w:rsidRPr="004355D0" w:rsidRDefault="004355D0" w:rsidP="004355D0">
            <w:pPr>
              <w:pStyle w:val="NormalWeb"/>
              <w:shd w:val="clear" w:color="auto" w:fill="FFFFFF"/>
              <w:spacing w:before="400" w:after="400"/>
              <w:jc w:val="both"/>
            </w:pPr>
            <w:r w:rsidRPr="004355D0">
              <w:rPr>
                <w:lang w:val="de-DE"/>
              </w:rPr>
              <w:t xml:space="preserve">Attias et al. (2020); Appels et al. </w:t>
            </w:r>
            <w:r w:rsidRPr="004355D0">
              <w:t>(2023); Singh et al. (2024)</w:t>
            </w:r>
          </w:p>
        </w:tc>
      </w:tr>
      <w:tr w:rsidR="004355D0" w:rsidRPr="004355D0" w14:paraId="519F482F" w14:textId="77777777">
        <w:trPr>
          <w:tblCellSpacing w:w="15" w:type="dxa"/>
        </w:trPr>
        <w:tc>
          <w:tcPr>
            <w:tcW w:w="0" w:type="auto"/>
            <w:vAlign w:val="center"/>
            <w:hideMark/>
          </w:tcPr>
          <w:p w14:paraId="265D0587" w14:textId="77777777" w:rsidR="004355D0" w:rsidRPr="004355D0" w:rsidRDefault="004355D0" w:rsidP="004355D0">
            <w:pPr>
              <w:pStyle w:val="NormalWeb"/>
              <w:shd w:val="clear" w:color="auto" w:fill="FFFFFF"/>
              <w:spacing w:before="400" w:after="400"/>
              <w:jc w:val="both"/>
            </w:pPr>
            <w:r w:rsidRPr="004355D0">
              <w:rPr>
                <w:b/>
                <w:bCs/>
              </w:rPr>
              <w:t>Household Furnishings</w:t>
            </w:r>
          </w:p>
        </w:tc>
        <w:tc>
          <w:tcPr>
            <w:tcW w:w="0" w:type="auto"/>
            <w:vAlign w:val="center"/>
            <w:hideMark/>
          </w:tcPr>
          <w:p w14:paraId="59A9DFA9" w14:textId="77777777" w:rsidR="004355D0" w:rsidRPr="004355D0" w:rsidRDefault="004355D0" w:rsidP="004355D0">
            <w:pPr>
              <w:pStyle w:val="NormalWeb"/>
              <w:shd w:val="clear" w:color="auto" w:fill="FFFFFF"/>
              <w:spacing w:before="400" w:after="400"/>
              <w:jc w:val="both"/>
            </w:pPr>
            <w:r w:rsidRPr="004355D0">
              <w:t>Aesthetic adaptability; structural stability; environmentally friendly composition</w:t>
            </w:r>
          </w:p>
        </w:tc>
        <w:tc>
          <w:tcPr>
            <w:tcW w:w="0" w:type="auto"/>
            <w:vAlign w:val="center"/>
            <w:hideMark/>
          </w:tcPr>
          <w:p w14:paraId="64F64B81" w14:textId="77777777" w:rsidR="004355D0" w:rsidRPr="004355D0" w:rsidRDefault="004355D0" w:rsidP="004355D0">
            <w:pPr>
              <w:pStyle w:val="NormalWeb"/>
              <w:shd w:val="clear" w:color="auto" w:fill="FFFFFF"/>
              <w:spacing w:before="400" w:after="400"/>
              <w:jc w:val="both"/>
            </w:pPr>
            <w:r w:rsidRPr="004355D0">
              <w:t>Furniture; lighting fixtures; decorative interior elements</w:t>
            </w:r>
          </w:p>
        </w:tc>
        <w:tc>
          <w:tcPr>
            <w:tcW w:w="0" w:type="auto"/>
            <w:vAlign w:val="center"/>
            <w:hideMark/>
          </w:tcPr>
          <w:p w14:paraId="57BB9065" w14:textId="77777777" w:rsidR="004355D0" w:rsidRPr="004355D0" w:rsidRDefault="004355D0" w:rsidP="004355D0">
            <w:pPr>
              <w:pStyle w:val="NormalWeb"/>
              <w:shd w:val="clear" w:color="auto" w:fill="FFFFFF"/>
              <w:spacing w:before="400" w:after="400"/>
              <w:jc w:val="both"/>
            </w:pPr>
            <w:r w:rsidRPr="004355D0">
              <w:rPr>
                <w:lang w:val="de-DE"/>
              </w:rPr>
              <w:t xml:space="preserve">Appels et al. (2023); Park et al. </w:t>
            </w:r>
            <w:r w:rsidRPr="004355D0">
              <w:t>(2024)</w:t>
            </w:r>
          </w:p>
        </w:tc>
      </w:tr>
      <w:tr w:rsidR="004355D0" w:rsidRPr="004355D0" w14:paraId="0F4E8657" w14:textId="77777777">
        <w:trPr>
          <w:tblCellSpacing w:w="15" w:type="dxa"/>
        </w:trPr>
        <w:tc>
          <w:tcPr>
            <w:tcW w:w="0" w:type="auto"/>
            <w:vAlign w:val="center"/>
            <w:hideMark/>
          </w:tcPr>
          <w:p w14:paraId="66A11694" w14:textId="77777777" w:rsidR="004355D0" w:rsidRPr="004355D0" w:rsidRDefault="004355D0" w:rsidP="004355D0">
            <w:pPr>
              <w:pStyle w:val="NormalWeb"/>
              <w:shd w:val="clear" w:color="auto" w:fill="FFFFFF"/>
              <w:spacing w:before="400" w:after="400"/>
              <w:jc w:val="both"/>
            </w:pPr>
            <w:r w:rsidRPr="004355D0">
              <w:rPr>
                <w:b/>
                <w:bCs/>
              </w:rPr>
              <w:t>Sustainable Packaging</w:t>
            </w:r>
          </w:p>
        </w:tc>
        <w:tc>
          <w:tcPr>
            <w:tcW w:w="0" w:type="auto"/>
            <w:vAlign w:val="center"/>
            <w:hideMark/>
          </w:tcPr>
          <w:p w14:paraId="4CEC0DFF" w14:textId="77777777" w:rsidR="004355D0" w:rsidRPr="004355D0" w:rsidRDefault="004355D0" w:rsidP="004355D0">
            <w:pPr>
              <w:pStyle w:val="NormalWeb"/>
              <w:shd w:val="clear" w:color="auto" w:fill="FFFFFF"/>
              <w:spacing w:before="400" w:after="400"/>
              <w:jc w:val="both"/>
            </w:pPr>
            <w:proofErr w:type="spellStart"/>
            <w:r w:rsidRPr="004355D0">
              <w:t>Compostability</w:t>
            </w:r>
            <w:proofErr w:type="spellEnd"/>
            <w:r w:rsidRPr="004355D0">
              <w:t xml:space="preserve">; biodegradability; shock absorption; renewable raw materials; </w:t>
            </w:r>
            <w:proofErr w:type="spellStart"/>
            <w:r w:rsidRPr="004355D0">
              <w:t>moldable</w:t>
            </w:r>
            <w:proofErr w:type="spellEnd"/>
            <w:r w:rsidRPr="004355D0">
              <w:t xml:space="preserve"> forms</w:t>
            </w:r>
          </w:p>
        </w:tc>
        <w:tc>
          <w:tcPr>
            <w:tcW w:w="0" w:type="auto"/>
            <w:vAlign w:val="center"/>
            <w:hideMark/>
          </w:tcPr>
          <w:p w14:paraId="16E1CE80" w14:textId="77777777" w:rsidR="004355D0" w:rsidRPr="004355D0" w:rsidRDefault="004355D0" w:rsidP="004355D0">
            <w:pPr>
              <w:pStyle w:val="NormalWeb"/>
              <w:shd w:val="clear" w:color="auto" w:fill="FFFFFF"/>
              <w:spacing w:before="400" w:after="400"/>
              <w:jc w:val="both"/>
            </w:pPr>
            <w:r w:rsidRPr="004355D0">
              <w:t xml:space="preserve">Protective packaging; cushioning materials; alternatives to EPS and PUR foams; commercial systems such as </w:t>
            </w:r>
            <w:proofErr w:type="spellStart"/>
            <w:r w:rsidRPr="004355D0">
              <w:t>MycoComposite</w:t>
            </w:r>
            <w:proofErr w:type="spellEnd"/>
            <w:r w:rsidRPr="004355D0">
              <w:t xml:space="preserve"> and </w:t>
            </w:r>
            <w:proofErr w:type="spellStart"/>
            <w:r w:rsidRPr="004355D0">
              <w:t>MycoFlex</w:t>
            </w:r>
            <w:proofErr w:type="spellEnd"/>
          </w:p>
        </w:tc>
        <w:tc>
          <w:tcPr>
            <w:tcW w:w="0" w:type="auto"/>
            <w:vAlign w:val="center"/>
            <w:hideMark/>
          </w:tcPr>
          <w:p w14:paraId="6FBBB653" w14:textId="77777777" w:rsidR="004355D0" w:rsidRPr="004355D0" w:rsidRDefault="004355D0" w:rsidP="004355D0">
            <w:pPr>
              <w:pStyle w:val="NormalWeb"/>
              <w:shd w:val="clear" w:color="auto" w:fill="FFFFFF"/>
              <w:spacing w:before="400" w:after="400"/>
              <w:jc w:val="both"/>
            </w:pPr>
            <w:r w:rsidRPr="004355D0">
              <w:t>Jones et al. (2020); Ahmed et al. (2024); Park et al. (2024)</w:t>
            </w:r>
          </w:p>
        </w:tc>
      </w:tr>
      <w:tr w:rsidR="004355D0" w:rsidRPr="004355D0" w14:paraId="53BC9C43" w14:textId="77777777">
        <w:trPr>
          <w:tblCellSpacing w:w="15" w:type="dxa"/>
        </w:trPr>
        <w:tc>
          <w:tcPr>
            <w:tcW w:w="0" w:type="auto"/>
            <w:vAlign w:val="center"/>
            <w:hideMark/>
          </w:tcPr>
          <w:p w14:paraId="52847891" w14:textId="77777777" w:rsidR="004355D0" w:rsidRPr="004355D0" w:rsidRDefault="004355D0" w:rsidP="004355D0">
            <w:pPr>
              <w:pStyle w:val="NormalWeb"/>
              <w:shd w:val="clear" w:color="auto" w:fill="FFFFFF"/>
              <w:spacing w:before="400" w:after="400"/>
              <w:jc w:val="both"/>
            </w:pPr>
            <w:r w:rsidRPr="004355D0">
              <w:rPr>
                <w:b/>
                <w:bCs/>
              </w:rPr>
              <w:t>Leather and Textile Alternatives</w:t>
            </w:r>
          </w:p>
        </w:tc>
        <w:tc>
          <w:tcPr>
            <w:tcW w:w="0" w:type="auto"/>
            <w:vAlign w:val="center"/>
            <w:hideMark/>
          </w:tcPr>
          <w:p w14:paraId="3F123F06" w14:textId="77777777" w:rsidR="004355D0" w:rsidRPr="004355D0" w:rsidRDefault="004355D0" w:rsidP="004355D0">
            <w:pPr>
              <w:pStyle w:val="NormalWeb"/>
              <w:shd w:val="clear" w:color="auto" w:fill="FFFFFF"/>
              <w:spacing w:before="400" w:after="400"/>
              <w:jc w:val="both"/>
            </w:pPr>
            <w:r w:rsidRPr="004355D0">
              <w:t>Biodegradable; lower environmental impact; customizable textures; flexible structure</w:t>
            </w:r>
          </w:p>
        </w:tc>
        <w:tc>
          <w:tcPr>
            <w:tcW w:w="0" w:type="auto"/>
            <w:vAlign w:val="center"/>
            <w:hideMark/>
          </w:tcPr>
          <w:p w14:paraId="3A0895AF" w14:textId="77777777" w:rsidR="004355D0" w:rsidRPr="004355D0" w:rsidRDefault="004355D0" w:rsidP="004355D0">
            <w:pPr>
              <w:pStyle w:val="NormalWeb"/>
              <w:shd w:val="clear" w:color="auto" w:fill="FFFFFF"/>
              <w:spacing w:before="400" w:after="400"/>
              <w:jc w:val="both"/>
            </w:pPr>
            <w:r w:rsidRPr="004355D0">
              <w:t xml:space="preserve">Fungal leather substitutes (e.g., </w:t>
            </w:r>
            <w:proofErr w:type="spellStart"/>
            <w:r w:rsidRPr="004355D0">
              <w:t>MycoTex</w:t>
            </w:r>
            <w:proofErr w:type="spellEnd"/>
            <w:r w:rsidRPr="004355D0">
              <w:t xml:space="preserve">, Fine Mycelium); sustainable textile </w:t>
            </w:r>
            <w:proofErr w:type="spellStart"/>
            <w:r w:rsidRPr="004355D0">
              <w:t>fibers</w:t>
            </w:r>
            <w:proofErr w:type="spellEnd"/>
            <w:r w:rsidRPr="004355D0">
              <w:t>; fashion and wearable materials</w:t>
            </w:r>
          </w:p>
        </w:tc>
        <w:tc>
          <w:tcPr>
            <w:tcW w:w="0" w:type="auto"/>
            <w:vAlign w:val="center"/>
            <w:hideMark/>
          </w:tcPr>
          <w:p w14:paraId="76631F81" w14:textId="77777777" w:rsidR="004355D0" w:rsidRPr="004355D0" w:rsidRDefault="004355D0" w:rsidP="004355D0">
            <w:pPr>
              <w:pStyle w:val="NormalWeb"/>
              <w:shd w:val="clear" w:color="auto" w:fill="FFFFFF"/>
              <w:spacing w:before="400" w:after="400"/>
              <w:jc w:val="both"/>
            </w:pPr>
            <w:r w:rsidRPr="004355D0">
              <w:rPr>
                <w:lang w:val="de-DE"/>
              </w:rPr>
              <w:t xml:space="preserve">Attias et al. (2020); Appels et al. (2023); Singh et al. (2024); Zhao et al. </w:t>
            </w:r>
            <w:r w:rsidRPr="004355D0">
              <w:t>(2025)</w:t>
            </w:r>
          </w:p>
        </w:tc>
      </w:tr>
    </w:tbl>
    <w:p w14:paraId="2B68D9F4" w14:textId="77777777" w:rsidR="004355D0" w:rsidRPr="008044B5" w:rsidRDefault="004355D0" w:rsidP="008044B5">
      <w:pPr>
        <w:pStyle w:val="NormalWeb"/>
        <w:shd w:val="clear" w:color="auto" w:fill="FFFFFF"/>
        <w:spacing w:before="400" w:after="400"/>
        <w:jc w:val="both"/>
      </w:pPr>
    </w:p>
    <w:p w14:paraId="31FE3FC1" w14:textId="77777777" w:rsidR="008044B5" w:rsidRPr="008044B5" w:rsidRDefault="008044B5" w:rsidP="008044B5">
      <w:pPr>
        <w:pStyle w:val="NormalWeb"/>
        <w:shd w:val="clear" w:color="auto" w:fill="FFFFFF"/>
        <w:spacing w:before="400" w:beforeAutospacing="0" w:after="400" w:afterAutospacing="0"/>
        <w:jc w:val="both"/>
        <w:rPr>
          <w:b/>
          <w:bCs/>
        </w:rPr>
      </w:pPr>
      <w:r w:rsidRPr="008044B5">
        <w:rPr>
          <w:b/>
          <w:bCs/>
        </w:rPr>
        <w:t>3.4 Sustainable Packaging</w:t>
      </w:r>
    </w:p>
    <w:p w14:paraId="01E0A9A2" w14:textId="77777777" w:rsidR="008044B5" w:rsidRPr="008044B5" w:rsidRDefault="008044B5" w:rsidP="008044B5">
      <w:pPr>
        <w:pStyle w:val="NormalWeb"/>
        <w:shd w:val="clear" w:color="auto" w:fill="FFFFFF"/>
        <w:spacing w:before="400" w:beforeAutospacing="0" w:after="400" w:afterAutospacing="0"/>
        <w:jc w:val="both"/>
      </w:pPr>
      <w:r w:rsidRPr="008044B5">
        <w:lastRenderedPageBreak/>
        <w:t xml:space="preserve">Mycelium packaging products are eco-friendly alternatives to EPS and PUR foams, offering </w:t>
      </w:r>
      <w:proofErr w:type="spellStart"/>
      <w:r w:rsidRPr="008044B5">
        <w:t>compostability</w:t>
      </w:r>
      <w:proofErr w:type="spellEnd"/>
      <w:r w:rsidRPr="008044B5">
        <w:t xml:space="preserve"> and shock absorption (Jones et al., 2020; Ahmed et al., 2024). Commercial systems like </w:t>
      </w:r>
      <w:proofErr w:type="spellStart"/>
      <w:r w:rsidRPr="008044B5">
        <w:t>MycoComposite</w:t>
      </w:r>
      <w:proofErr w:type="spellEnd"/>
      <w:r w:rsidRPr="008044B5">
        <w:t xml:space="preserve"> and </w:t>
      </w:r>
      <w:proofErr w:type="spellStart"/>
      <w:r w:rsidRPr="008044B5">
        <w:t>MycoFlex</w:t>
      </w:r>
      <w:proofErr w:type="spellEnd"/>
      <w:r w:rsidRPr="008044B5">
        <w:t xml:space="preserve"> leverage MBC moldability for protective packaging (Park et al., 2024).</w:t>
      </w:r>
    </w:p>
    <w:p w14:paraId="22D856F0" w14:textId="3BADA050" w:rsidR="008044B5" w:rsidRPr="008044B5" w:rsidRDefault="008044B5" w:rsidP="008044B5">
      <w:pPr>
        <w:pStyle w:val="NormalWeb"/>
        <w:shd w:val="clear" w:color="auto" w:fill="FFFFFF"/>
        <w:spacing w:before="400" w:after="400"/>
        <w:jc w:val="both"/>
      </w:pPr>
    </w:p>
    <w:p w14:paraId="608BF9AC" w14:textId="77777777" w:rsidR="008044B5" w:rsidRPr="008044B5" w:rsidRDefault="008044B5" w:rsidP="008044B5">
      <w:pPr>
        <w:pStyle w:val="NormalWeb"/>
        <w:shd w:val="clear" w:color="auto" w:fill="FFFFFF"/>
        <w:spacing w:before="400" w:beforeAutospacing="0" w:after="400" w:afterAutospacing="0"/>
        <w:jc w:val="both"/>
        <w:rPr>
          <w:b/>
          <w:bCs/>
        </w:rPr>
      </w:pPr>
      <w:r w:rsidRPr="008044B5">
        <w:rPr>
          <w:b/>
          <w:bCs/>
        </w:rPr>
        <w:t>3.5 Leather and Textile Alternatives</w:t>
      </w:r>
    </w:p>
    <w:p w14:paraId="74F62D13" w14:textId="77777777" w:rsidR="008044B5" w:rsidRPr="008044B5" w:rsidRDefault="008044B5" w:rsidP="008044B5">
      <w:pPr>
        <w:pStyle w:val="NormalWeb"/>
        <w:shd w:val="clear" w:color="auto" w:fill="FFFFFF"/>
        <w:spacing w:before="400" w:beforeAutospacing="0" w:after="400" w:afterAutospacing="0"/>
        <w:jc w:val="both"/>
      </w:pPr>
      <w:r w:rsidRPr="008044B5">
        <w:t xml:space="preserve">Fungal leathers (e.g., </w:t>
      </w:r>
      <w:proofErr w:type="spellStart"/>
      <w:r w:rsidRPr="008044B5">
        <w:t>MycoTex</w:t>
      </w:r>
      <w:proofErr w:type="spellEnd"/>
      <w:r w:rsidRPr="008044B5">
        <w:t xml:space="preserve">, Fine Mycelium) are replacing animal and synthetic leathers. These materials offer biodegradability, lower environmental impact, and customizable textures (Attias et al., 2020; Appels et al., 2023). Mycelium materials are also used for sustainable textile </w:t>
      </w:r>
      <w:proofErr w:type="spellStart"/>
      <w:r w:rsidRPr="008044B5">
        <w:t>fibers</w:t>
      </w:r>
      <w:proofErr w:type="spellEnd"/>
      <w:r w:rsidRPr="008044B5">
        <w:t xml:space="preserve"> in fashion and wearable applications (Singh et al., 2024; Zhao et al., 2025).</w:t>
      </w:r>
    </w:p>
    <w:p w14:paraId="232C19D4" w14:textId="052A1D2B" w:rsidR="008044B5" w:rsidRPr="008044B5" w:rsidRDefault="008044B5" w:rsidP="008044B5">
      <w:pPr>
        <w:pStyle w:val="NormalWeb"/>
        <w:shd w:val="clear" w:color="auto" w:fill="FFFFFF"/>
        <w:spacing w:before="400" w:after="400"/>
        <w:jc w:val="both"/>
      </w:pPr>
    </w:p>
    <w:p w14:paraId="6DE7B174" w14:textId="77777777" w:rsidR="008044B5" w:rsidRPr="008044B5" w:rsidRDefault="008044B5" w:rsidP="008044B5">
      <w:pPr>
        <w:pStyle w:val="NormalWeb"/>
        <w:shd w:val="clear" w:color="auto" w:fill="FFFFFF"/>
        <w:spacing w:before="400" w:beforeAutospacing="0" w:after="400" w:afterAutospacing="0"/>
        <w:jc w:val="both"/>
        <w:rPr>
          <w:b/>
          <w:bCs/>
        </w:rPr>
      </w:pPr>
      <w:r w:rsidRPr="008044B5">
        <w:rPr>
          <w:b/>
          <w:bCs/>
        </w:rPr>
        <w:t>4. Conclusion</w:t>
      </w:r>
    </w:p>
    <w:p w14:paraId="67713460" w14:textId="3223EE13" w:rsidR="0082163E" w:rsidRPr="0082163E" w:rsidRDefault="0082163E" w:rsidP="0082163E">
      <w:pPr>
        <w:pStyle w:val="NormalWeb"/>
        <w:shd w:val="clear" w:color="auto" w:fill="FFFFFF"/>
        <w:spacing w:before="400" w:after="400"/>
        <w:jc w:val="both"/>
      </w:pPr>
      <w:r w:rsidRPr="0082163E">
        <w:t xml:space="preserve">Mycelium-based composites (MBCs) are increasingly recognized in Elsevier-indexed research as viable alternatives to petroleum-derived and wood-based materials, particularly within the framework of circular bioeconomy and low-carbon construction. </w:t>
      </w:r>
      <w:r>
        <w:t>Studies</w:t>
      </w:r>
      <w:r w:rsidRPr="0082163E">
        <w:t xml:space="preserve"> consistently report that fungal species capable of forming dense, interwoven hyphal networks and exhibiting strong lignocellulosic degradation ability significantly enhance interfacial bonding and mechanical integrity. Optimized composites demonstrate competitive compressive strength, improved thermal insulation, and </w:t>
      </w:r>
      <w:proofErr w:type="spellStart"/>
      <w:r w:rsidRPr="0082163E">
        <w:t>favorable</w:t>
      </w:r>
      <w:proofErr w:type="spellEnd"/>
      <w:r w:rsidRPr="0082163E">
        <w:t xml:space="preserve"> acoustic damping, although variability remains a challenge. Material performance is strongly influenced by substrate composition (cellulose–hemicellulose–lignin ratio), fungal strain selection, incubation parameters, and post-processing techniques such as hot pressing or heat inactivation.</w:t>
      </w:r>
    </w:p>
    <w:p w14:paraId="7CF329ED" w14:textId="77777777" w:rsidR="0082163E" w:rsidRPr="0082163E" w:rsidRDefault="0082163E" w:rsidP="0082163E">
      <w:pPr>
        <w:pStyle w:val="NormalWeb"/>
        <w:shd w:val="clear" w:color="auto" w:fill="FFFFFF"/>
        <w:spacing w:before="400" w:after="400"/>
        <w:jc w:val="both"/>
      </w:pPr>
      <w:r w:rsidRPr="0082163E">
        <w:t xml:space="preserve">Recent advances focus on densification strategies, bio-based hydrophobic coatings, mineral reinforcement, and hybrid </w:t>
      </w:r>
      <w:proofErr w:type="spellStart"/>
      <w:r w:rsidRPr="0082163E">
        <w:t>fiber</w:t>
      </w:r>
      <w:proofErr w:type="spellEnd"/>
      <w:r w:rsidRPr="0082163E">
        <w:t xml:space="preserve"> integration to overcome moisture sensitivity and mechanical limitations. Looking ahead, the future of MBCs lies in standardization protocols, life-cycle assessment validation, automation of growth processes, and large-scale modular manufacturing. Integration with green building certifications and sustainable product design frameworks will further accelerate commercialization. With continued interdisciplinary collaboration among microbiologists, material scientists, and engineers, MBCs are poised to become a mainstream sustainable material platform in next-generation construction and product industries.</w:t>
      </w:r>
    </w:p>
    <w:p w14:paraId="18339035" w14:textId="18C97F6C" w:rsidR="008044B5" w:rsidRPr="008044B5" w:rsidRDefault="008044B5" w:rsidP="008044B5">
      <w:pPr>
        <w:pStyle w:val="NormalWeb"/>
        <w:shd w:val="clear" w:color="auto" w:fill="FFFFFF"/>
        <w:spacing w:before="400" w:after="400"/>
        <w:jc w:val="both"/>
      </w:pPr>
    </w:p>
    <w:p w14:paraId="0D300957" w14:textId="355729DE" w:rsidR="008044B5" w:rsidRDefault="008044B5" w:rsidP="008044B5">
      <w:pPr>
        <w:pStyle w:val="NormalWeb"/>
        <w:shd w:val="clear" w:color="auto" w:fill="FFFFFF"/>
        <w:spacing w:before="400" w:beforeAutospacing="0" w:after="400" w:afterAutospacing="0"/>
        <w:jc w:val="both"/>
        <w:rPr>
          <w:b/>
          <w:bCs/>
        </w:rPr>
      </w:pPr>
      <w:r w:rsidRPr="008044B5">
        <w:rPr>
          <w:b/>
          <w:bCs/>
        </w:rPr>
        <w:t xml:space="preserve">References </w:t>
      </w:r>
    </w:p>
    <w:p w14:paraId="6B6C5575" w14:textId="77777777" w:rsidR="0082163E" w:rsidRPr="0082163E" w:rsidRDefault="0082163E" w:rsidP="0082163E">
      <w:pPr>
        <w:pStyle w:val="NormalWeb"/>
        <w:shd w:val="clear" w:color="auto" w:fill="FFFFFF"/>
        <w:spacing w:before="400" w:beforeAutospacing="0" w:after="400" w:afterAutospacing="0"/>
        <w:jc w:val="both"/>
      </w:pPr>
      <w:r w:rsidRPr="0082163E">
        <w:rPr>
          <w:lang w:val="de-DE"/>
        </w:rPr>
        <w:t xml:space="preserve">Ahmed, S., Rahman, M., &amp; Lee, J. (2024). </w:t>
      </w:r>
      <w:r w:rsidRPr="0082163E">
        <w:t xml:space="preserve">Sustainable performance evaluation of hemp-based mycelium composites for insulation applications. </w:t>
      </w:r>
      <w:r w:rsidRPr="0082163E">
        <w:rPr>
          <w:i/>
          <w:iCs/>
        </w:rPr>
        <w:t>Journal of Cleaner Production, 412</w:t>
      </w:r>
      <w:r w:rsidRPr="0082163E">
        <w:t>, 137256.</w:t>
      </w:r>
    </w:p>
    <w:p w14:paraId="361756AD" w14:textId="77777777" w:rsidR="0082163E" w:rsidRPr="0082163E" w:rsidRDefault="0082163E" w:rsidP="0082163E">
      <w:pPr>
        <w:pStyle w:val="NormalWeb"/>
        <w:shd w:val="clear" w:color="auto" w:fill="FFFFFF"/>
        <w:spacing w:before="400" w:beforeAutospacing="0" w:after="400" w:afterAutospacing="0"/>
        <w:jc w:val="both"/>
      </w:pPr>
      <w:r w:rsidRPr="0082163E">
        <w:lastRenderedPageBreak/>
        <w:t xml:space="preserve">Ahmed, T., Singh, R., &amp; Lee, J. (2024). Thermal performance and mechanical </w:t>
      </w:r>
      <w:proofErr w:type="spellStart"/>
      <w:r w:rsidRPr="0082163E">
        <w:t>behavior</w:t>
      </w:r>
      <w:proofErr w:type="spellEnd"/>
      <w:r w:rsidRPr="0082163E">
        <w:t xml:space="preserve"> of mycelium-based composites with hybrid bio-additives. </w:t>
      </w:r>
      <w:r w:rsidRPr="0082163E">
        <w:rPr>
          <w:i/>
          <w:iCs/>
        </w:rPr>
        <w:t>Construction and Building Materials, 426</w:t>
      </w:r>
      <w:r w:rsidRPr="0082163E">
        <w:t>, 131009.</w:t>
      </w:r>
    </w:p>
    <w:p w14:paraId="3864F75A" w14:textId="77777777" w:rsidR="0082163E" w:rsidRPr="0082163E" w:rsidRDefault="0082163E" w:rsidP="0082163E">
      <w:pPr>
        <w:pStyle w:val="NormalWeb"/>
        <w:shd w:val="clear" w:color="auto" w:fill="FFFFFF"/>
        <w:spacing w:before="400" w:beforeAutospacing="0" w:after="400" w:afterAutospacing="0"/>
        <w:jc w:val="both"/>
      </w:pPr>
      <w:r w:rsidRPr="0082163E">
        <w:t xml:space="preserve">Adamatzky, A., Gandia, A., </w:t>
      </w:r>
      <w:proofErr w:type="spellStart"/>
      <w:r w:rsidRPr="0082163E">
        <w:t>Chiolerio</w:t>
      </w:r>
      <w:proofErr w:type="spellEnd"/>
      <w:r w:rsidRPr="0082163E">
        <w:t xml:space="preserve">, A., &amp; Dudley, R. (2023). Fungal electronics: Sensing and computing with mycelium. </w:t>
      </w:r>
      <w:r w:rsidRPr="0082163E">
        <w:rPr>
          <w:i/>
          <w:iCs/>
        </w:rPr>
        <w:t>Biosystems, 224</w:t>
      </w:r>
      <w:r w:rsidRPr="0082163E">
        <w:t>, 104827.</w:t>
      </w:r>
    </w:p>
    <w:p w14:paraId="1471FCA2" w14:textId="77777777" w:rsidR="0082163E" w:rsidRPr="0082163E" w:rsidRDefault="0082163E" w:rsidP="0082163E">
      <w:pPr>
        <w:pStyle w:val="NormalWeb"/>
        <w:shd w:val="clear" w:color="auto" w:fill="FFFFFF"/>
        <w:spacing w:before="400" w:beforeAutospacing="0" w:after="400" w:afterAutospacing="0"/>
        <w:jc w:val="both"/>
      </w:pPr>
      <w:r w:rsidRPr="0082163E">
        <w:t xml:space="preserve">Appels, F. V. W., </w:t>
      </w:r>
      <w:proofErr w:type="spellStart"/>
      <w:r w:rsidRPr="0082163E">
        <w:t>Camere</w:t>
      </w:r>
      <w:proofErr w:type="spellEnd"/>
      <w:r w:rsidRPr="0082163E">
        <w:t xml:space="preserve">, S., Montalti, M., et al. (2019). Fabrication factors influencing mechanical, moisture and water-related properties of mycelium-based composites. </w:t>
      </w:r>
      <w:r w:rsidRPr="0082163E">
        <w:rPr>
          <w:i/>
          <w:iCs/>
        </w:rPr>
        <w:t>Materials &amp; Design, 161</w:t>
      </w:r>
      <w:r w:rsidRPr="0082163E">
        <w:t>, 64–71.</w:t>
      </w:r>
    </w:p>
    <w:p w14:paraId="73F58A85" w14:textId="77777777" w:rsidR="0082163E" w:rsidRPr="0082163E" w:rsidRDefault="0082163E" w:rsidP="0082163E">
      <w:pPr>
        <w:pStyle w:val="NormalWeb"/>
        <w:shd w:val="clear" w:color="auto" w:fill="FFFFFF"/>
        <w:spacing w:before="400" w:beforeAutospacing="0" w:after="400" w:afterAutospacing="0"/>
        <w:jc w:val="both"/>
      </w:pPr>
      <w:r w:rsidRPr="0082163E">
        <w:t xml:space="preserve">Appels, F. V. W., et al. (2023). Advances in mycelium materials for sustainable design. </w:t>
      </w:r>
      <w:r w:rsidRPr="0082163E">
        <w:rPr>
          <w:i/>
          <w:iCs/>
        </w:rPr>
        <w:t>Journal of Fungi, 9</w:t>
      </w:r>
      <w:r w:rsidRPr="0082163E">
        <w:t>(2), 210.</w:t>
      </w:r>
    </w:p>
    <w:p w14:paraId="2DD00EF2" w14:textId="77777777" w:rsidR="0082163E" w:rsidRPr="0082163E" w:rsidRDefault="0082163E" w:rsidP="0082163E">
      <w:pPr>
        <w:pStyle w:val="NormalWeb"/>
        <w:shd w:val="clear" w:color="auto" w:fill="FFFFFF"/>
        <w:spacing w:before="400" w:beforeAutospacing="0" w:after="400" w:afterAutospacing="0"/>
        <w:jc w:val="both"/>
      </w:pPr>
      <w:r w:rsidRPr="0082163E">
        <w:t xml:space="preserve">Attias, N., Danai, O., Abitbol, T., Tarazi, E., &amp; Grobman, Y. J. (2020). Mycelium bio-composites in industrial design and architecture. </w:t>
      </w:r>
      <w:r w:rsidRPr="0082163E">
        <w:rPr>
          <w:i/>
          <w:iCs/>
        </w:rPr>
        <w:t>Journal of Cleaner Production, 246</w:t>
      </w:r>
      <w:r w:rsidRPr="0082163E">
        <w:t>, 119037.</w:t>
      </w:r>
    </w:p>
    <w:p w14:paraId="21DA32DB" w14:textId="77777777" w:rsidR="0082163E" w:rsidRPr="0082163E" w:rsidRDefault="0082163E" w:rsidP="0082163E">
      <w:pPr>
        <w:pStyle w:val="NormalWeb"/>
        <w:shd w:val="clear" w:color="auto" w:fill="FFFFFF"/>
        <w:spacing w:before="400" w:beforeAutospacing="0" w:after="400" w:afterAutospacing="0"/>
        <w:jc w:val="both"/>
      </w:pPr>
      <w:proofErr w:type="spellStart"/>
      <w:r w:rsidRPr="0082163E">
        <w:t>Elsacker</w:t>
      </w:r>
      <w:proofErr w:type="spellEnd"/>
      <w:r w:rsidRPr="0082163E">
        <w:t xml:space="preserve">, E., </w:t>
      </w:r>
      <w:proofErr w:type="spellStart"/>
      <w:r w:rsidRPr="0082163E">
        <w:t>Vandelook</w:t>
      </w:r>
      <w:proofErr w:type="spellEnd"/>
      <w:r w:rsidRPr="0082163E">
        <w:t xml:space="preserve">, S., Van Wylick, A., </w:t>
      </w:r>
      <w:proofErr w:type="spellStart"/>
      <w:r w:rsidRPr="0082163E">
        <w:t>Ruytinx</w:t>
      </w:r>
      <w:proofErr w:type="spellEnd"/>
      <w:r w:rsidRPr="0082163E">
        <w:t xml:space="preserve">, J., De Laet, L., &amp; Peeters, E. (2020). Mechanical, physical and chemical characterisation of mycelium-based composites. </w:t>
      </w:r>
      <w:r w:rsidRPr="0082163E">
        <w:rPr>
          <w:i/>
          <w:iCs/>
        </w:rPr>
        <w:t>Construction and Building Materials, 248</w:t>
      </w:r>
      <w:r w:rsidRPr="0082163E">
        <w:t>, 118651.</w:t>
      </w:r>
    </w:p>
    <w:p w14:paraId="4ADDC656" w14:textId="77777777" w:rsidR="0082163E" w:rsidRPr="0082163E" w:rsidRDefault="0082163E" w:rsidP="0082163E">
      <w:pPr>
        <w:pStyle w:val="NormalWeb"/>
        <w:shd w:val="clear" w:color="auto" w:fill="FFFFFF"/>
        <w:spacing w:before="400" w:beforeAutospacing="0" w:after="400" w:afterAutospacing="0"/>
        <w:jc w:val="both"/>
      </w:pPr>
      <w:proofErr w:type="spellStart"/>
      <w:r w:rsidRPr="0082163E">
        <w:t>Ghazvinian</w:t>
      </w:r>
      <w:proofErr w:type="spellEnd"/>
      <w:r w:rsidRPr="0082163E">
        <w:t xml:space="preserve">, A., Aghaei Meibodi, M., &amp; McCormack, S. J. (2021). Mechanical </w:t>
      </w:r>
      <w:proofErr w:type="spellStart"/>
      <w:r w:rsidRPr="0082163E">
        <w:t>behavior</w:t>
      </w:r>
      <w:proofErr w:type="spellEnd"/>
      <w:r w:rsidRPr="0082163E">
        <w:t xml:space="preserve"> of mycelium-based bio-composites for construction applications. </w:t>
      </w:r>
      <w:r w:rsidRPr="0082163E">
        <w:rPr>
          <w:i/>
          <w:iCs/>
        </w:rPr>
        <w:t>Construction and Building Materials, 286</w:t>
      </w:r>
      <w:r w:rsidRPr="0082163E">
        <w:t>, 122970.</w:t>
      </w:r>
    </w:p>
    <w:p w14:paraId="390EB5B9" w14:textId="77777777" w:rsidR="0082163E" w:rsidRPr="0082163E" w:rsidRDefault="0082163E" w:rsidP="0082163E">
      <w:pPr>
        <w:pStyle w:val="NormalWeb"/>
        <w:shd w:val="clear" w:color="auto" w:fill="FFFFFF"/>
        <w:spacing w:before="400" w:beforeAutospacing="0" w:after="400" w:afterAutospacing="0"/>
        <w:jc w:val="both"/>
      </w:pPr>
      <w:r w:rsidRPr="0082163E">
        <w:t xml:space="preserve">Haneef, M., et al. (2017). Advanced materials from fungal mycelium: Fabrication and application insights. </w:t>
      </w:r>
      <w:r w:rsidRPr="0082163E">
        <w:rPr>
          <w:i/>
          <w:iCs/>
        </w:rPr>
        <w:t>Scientific Reports, 7</w:t>
      </w:r>
      <w:r w:rsidRPr="0082163E">
        <w:t>, 41292.</w:t>
      </w:r>
    </w:p>
    <w:p w14:paraId="045E43F1" w14:textId="77777777" w:rsidR="0082163E" w:rsidRPr="0082163E" w:rsidRDefault="0082163E" w:rsidP="0082163E">
      <w:pPr>
        <w:pStyle w:val="NormalWeb"/>
        <w:shd w:val="clear" w:color="auto" w:fill="FFFFFF"/>
        <w:spacing w:before="400" w:beforeAutospacing="0" w:after="400" w:afterAutospacing="0"/>
        <w:jc w:val="both"/>
      </w:pPr>
      <w:r w:rsidRPr="0082163E">
        <w:t xml:space="preserve">Islam, M. R., Tudryn, G., Bucinell, R., Schadler, L., &amp; </w:t>
      </w:r>
      <w:proofErr w:type="spellStart"/>
      <w:r w:rsidRPr="0082163E">
        <w:t>Picu</w:t>
      </w:r>
      <w:proofErr w:type="spellEnd"/>
      <w:r w:rsidRPr="0082163E">
        <w:t xml:space="preserve">, R. C. (2022). Morphology and mechanics of fungal mycelium. </w:t>
      </w:r>
      <w:r w:rsidRPr="0082163E">
        <w:rPr>
          <w:i/>
          <w:iCs/>
        </w:rPr>
        <w:t>Scientific Reports, 12</w:t>
      </w:r>
      <w:r w:rsidRPr="0082163E">
        <w:t>, 10512.</w:t>
      </w:r>
    </w:p>
    <w:p w14:paraId="2F611DD6" w14:textId="77777777" w:rsidR="0082163E" w:rsidRPr="0082163E" w:rsidRDefault="0082163E" w:rsidP="0082163E">
      <w:pPr>
        <w:pStyle w:val="NormalWeb"/>
        <w:shd w:val="clear" w:color="auto" w:fill="FFFFFF"/>
        <w:spacing w:before="400" w:beforeAutospacing="0" w:after="400" w:afterAutospacing="0"/>
        <w:jc w:val="both"/>
      </w:pPr>
      <w:r w:rsidRPr="0082163E">
        <w:t xml:space="preserve">Jiang, L., Walczyk, D., &amp; McIntyre, G. (2022). Thermal and fire performance of mycelium composite materials in building envelopes. </w:t>
      </w:r>
      <w:r w:rsidRPr="0082163E">
        <w:rPr>
          <w:i/>
          <w:iCs/>
        </w:rPr>
        <w:t>Construction and Building Materials, 314</w:t>
      </w:r>
      <w:r w:rsidRPr="0082163E">
        <w:t>, 125645.</w:t>
      </w:r>
    </w:p>
    <w:p w14:paraId="3BC277CE" w14:textId="77777777" w:rsidR="0082163E" w:rsidRPr="0082163E" w:rsidRDefault="0082163E" w:rsidP="0082163E">
      <w:pPr>
        <w:pStyle w:val="NormalWeb"/>
        <w:shd w:val="clear" w:color="auto" w:fill="FFFFFF"/>
        <w:spacing w:before="400" w:beforeAutospacing="0" w:after="400" w:afterAutospacing="0"/>
        <w:jc w:val="both"/>
      </w:pPr>
      <w:r w:rsidRPr="0082163E">
        <w:t xml:space="preserve">Jones, M., Bhat, T., Huynh, T., et al. (2020). Mycelium composites: A review of engineering characteristics and growth kinetics. </w:t>
      </w:r>
      <w:r w:rsidRPr="0082163E">
        <w:rPr>
          <w:i/>
          <w:iCs/>
        </w:rPr>
        <w:t>Journal of Bionic Engineering, 17</w:t>
      </w:r>
      <w:r w:rsidRPr="0082163E">
        <w:t>(4), 794–806.</w:t>
      </w:r>
    </w:p>
    <w:p w14:paraId="2E7AE43E" w14:textId="77777777" w:rsidR="0082163E" w:rsidRPr="0082163E" w:rsidRDefault="0082163E" w:rsidP="0082163E">
      <w:pPr>
        <w:pStyle w:val="NormalWeb"/>
        <w:shd w:val="clear" w:color="auto" w:fill="FFFFFF"/>
        <w:spacing w:before="400" w:beforeAutospacing="0" w:after="400" w:afterAutospacing="0"/>
        <w:jc w:val="both"/>
      </w:pPr>
      <w:r w:rsidRPr="0082163E">
        <w:t xml:space="preserve">Khan, R., Ali, M., &amp; Kim, B. S. (2023). Circular bio-based materials in sustainable construction: Advances in mycelium composites. </w:t>
      </w:r>
      <w:r w:rsidRPr="0082163E">
        <w:rPr>
          <w:i/>
          <w:iCs/>
        </w:rPr>
        <w:t>Sustainable Materials and Technologies, 36</w:t>
      </w:r>
      <w:r w:rsidRPr="0082163E">
        <w:t>, e00567.</w:t>
      </w:r>
    </w:p>
    <w:p w14:paraId="3B92E029" w14:textId="77777777" w:rsidR="0082163E" w:rsidRPr="0082163E" w:rsidRDefault="0082163E" w:rsidP="0082163E">
      <w:pPr>
        <w:pStyle w:val="NormalWeb"/>
        <w:shd w:val="clear" w:color="auto" w:fill="FFFFFF"/>
        <w:spacing w:before="400" w:beforeAutospacing="0" w:after="400" w:afterAutospacing="0"/>
        <w:jc w:val="both"/>
      </w:pPr>
      <w:r w:rsidRPr="0082163E">
        <w:t xml:space="preserve">Li, X., et al. (2023). Effects of feedstock composition on the physical properties of mycelium composites. </w:t>
      </w:r>
      <w:r w:rsidRPr="0082163E">
        <w:rPr>
          <w:i/>
          <w:iCs/>
        </w:rPr>
        <w:t>Industrial Crops and Products, 183</w:t>
      </w:r>
      <w:r w:rsidRPr="0082163E">
        <w:t>, 114907.</w:t>
      </w:r>
    </w:p>
    <w:p w14:paraId="0CAE633C" w14:textId="77777777" w:rsidR="0082163E" w:rsidRPr="0082163E" w:rsidRDefault="0082163E" w:rsidP="0082163E">
      <w:pPr>
        <w:pStyle w:val="NormalWeb"/>
        <w:shd w:val="clear" w:color="auto" w:fill="FFFFFF"/>
        <w:spacing w:before="400" w:beforeAutospacing="0" w:after="400" w:afterAutospacing="0"/>
        <w:jc w:val="both"/>
      </w:pPr>
      <w:r w:rsidRPr="0082163E">
        <w:lastRenderedPageBreak/>
        <w:t xml:space="preserve">Manan, S., Ullah, M. W., Ul-Islam, M., et al. (2022). Engineering mycelium-based materials for sustainable applications. </w:t>
      </w:r>
      <w:r w:rsidRPr="0082163E">
        <w:rPr>
          <w:i/>
          <w:iCs/>
        </w:rPr>
        <w:t>Journal of Cleaner Production, 357</w:t>
      </w:r>
      <w:r w:rsidRPr="0082163E">
        <w:t>, 131879.</w:t>
      </w:r>
    </w:p>
    <w:p w14:paraId="19219C36" w14:textId="77777777" w:rsidR="0082163E" w:rsidRPr="0082163E" w:rsidRDefault="0082163E" w:rsidP="0082163E">
      <w:pPr>
        <w:pStyle w:val="NormalWeb"/>
        <w:shd w:val="clear" w:color="auto" w:fill="FFFFFF"/>
        <w:spacing w:before="400" w:beforeAutospacing="0" w:after="400" w:afterAutospacing="0"/>
        <w:jc w:val="both"/>
      </w:pPr>
      <w:r w:rsidRPr="0082163E">
        <w:t xml:space="preserve">Park, S., Lee, H., &amp; Kim, J. (2024). Commercial scalability and applications of </w:t>
      </w:r>
      <w:proofErr w:type="spellStart"/>
      <w:r w:rsidRPr="0082163E">
        <w:t>molded</w:t>
      </w:r>
      <w:proofErr w:type="spellEnd"/>
      <w:r w:rsidRPr="0082163E">
        <w:t xml:space="preserve"> mycelium composites in packaging and interior products. </w:t>
      </w:r>
      <w:r w:rsidRPr="0082163E">
        <w:rPr>
          <w:i/>
          <w:iCs/>
        </w:rPr>
        <w:t>Resources, Conservation &amp; Recycling, 198</w:t>
      </w:r>
      <w:r w:rsidRPr="0082163E">
        <w:t>, 107175.</w:t>
      </w:r>
    </w:p>
    <w:p w14:paraId="39728BEC" w14:textId="77777777" w:rsidR="0082163E" w:rsidRPr="0082163E" w:rsidRDefault="0082163E" w:rsidP="0082163E">
      <w:pPr>
        <w:pStyle w:val="NormalWeb"/>
        <w:shd w:val="clear" w:color="auto" w:fill="FFFFFF"/>
        <w:spacing w:before="400" w:beforeAutospacing="0" w:after="400" w:afterAutospacing="0"/>
        <w:jc w:val="both"/>
      </w:pPr>
      <w:r w:rsidRPr="0082163E">
        <w:t xml:space="preserve">Singh, A., Patel, R., &amp; Zhao, X. (2024). Emerging fungal biomaterials for fashion, packaging and architecture. </w:t>
      </w:r>
      <w:r w:rsidRPr="0082163E">
        <w:rPr>
          <w:i/>
          <w:iCs/>
        </w:rPr>
        <w:t>Materials Today Sustainability, 25</w:t>
      </w:r>
      <w:r w:rsidRPr="0082163E">
        <w:t>, 100310.</w:t>
      </w:r>
    </w:p>
    <w:p w14:paraId="7A6EC16F" w14:textId="77777777" w:rsidR="0082163E" w:rsidRPr="0082163E" w:rsidRDefault="0082163E" w:rsidP="0082163E">
      <w:pPr>
        <w:pStyle w:val="NormalWeb"/>
        <w:shd w:val="clear" w:color="auto" w:fill="FFFFFF"/>
        <w:spacing w:before="400" w:beforeAutospacing="0" w:after="400" w:afterAutospacing="0"/>
        <w:jc w:val="both"/>
      </w:pPr>
      <w:r w:rsidRPr="0082163E">
        <w:t xml:space="preserve">Yang, Z., Zhang, F., Still, B., White, M., &amp; </w:t>
      </w:r>
      <w:proofErr w:type="spellStart"/>
      <w:r w:rsidRPr="0082163E">
        <w:t>Amstislavski</w:t>
      </w:r>
      <w:proofErr w:type="spellEnd"/>
      <w:r w:rsidRPr="0082163E">
        <w:t xml:space="preserve">, P. (2021). Physical and mechanical properties of fungal mycelium-based </w:t>
      </w:r>
      <w:proofErr w:type="spellStart"/>
      <w:r w:rsidRPr="0082163E">
        <w:t>biofoam</w:t>
      </w:r>
      <w:proofErr w:type="spellEnd"/>
      <w:r w:rsidRPr="0082163E">
        <w:t xml:space="preserve">. </w:t>
      </w:r>
      <w:r w:rsidRPr="0082163E">
        <w:rPr>
          <w:i/>
          <w:iCs/>
        </w:rPr>
        <w:t>Journal of Materials in Civil Engineering, 33</w:t>
      </w:r>
      <w:r w:rsidRPr="0082163E">
        <w:t>(3), 04020465.</w:t>
      </w:r>
    </w:p>
    <w:p w14:paraId="05FFC453" w14:textId="77777777" w:rsidR="0082163E" w:rsidRPr="0082163E" w:rsidRDefault="0082163E" w:rsidP="0082163E">
      <w:pPr>
        <w:pStyle w:val="NormalWeb"/>
        <w:shd w:val="clear" w:color="auto" w:fill="FFFFFF"/>
        <w:spacing w:before="400" w:beforeAutospacing="0" w:after="400" w:afterAutospacing="0"/>
        <w:jc w:val="both"/>
      </w:pPr>
      <w:r w:rsidRPr="0082163E">
        <w:t xml:space="preserve">Zhao, L., et al. (2025). Functional mycelium composites for bioelectronic interfaces. </w:t>
      </w:r>
      <w:r w:rsidRPr="0082163E">
        <w:rPr>
          <w:i/>
          <w:iCs/>
        </w:rPr>
        <w:t>Advanced Materials Interfaces, 12</w:t>
      </w:r>
      <w:r w:rsidRPr="0082163E">
        <w:t>(8), 2301689.</w:t>
      </w:r>
    </w:p>
    <w:p w14:paraId="401B6783" w14:textId="77777777" w:rsidR="0082163E" w:rsidRPr="0082163E" w:rsidRDefault="0082163E" w:rsidP="0082163E">
      <w:pPr>
        <w:pStyle w:val="NormalWeb"/>
        <w:shd w:val="clear" w:color="auto" w:fill="FFFFFF"/>
        <w:spacing w:before="400" w:beforeAutospacing="0" w:after="400" w:afterAutospacing="0"/>
        <w:jc w:val="both"/>
      </w:pPr>
      <w:r w:rsidRPr="0082163E">
        <w:t xml:space="preserve">Zhao, Y., Chen, L., &amp; Wang, Q. (2025). Mycelium-derived textile </w:t>
      </w:r>
      <w:proofErr w:type="spellStart"/>
      <w:r w:rsidRPr="0082163E">
        <w:t>fibers</w:t>
      </w:r>
      <w:proofErr w:type="spellEnd"/>
      <w:r w:rsidRPr="0082163E">
        <w:t xml:space="preserve">: Structure–property relationships and sustainability prospects. </w:t>
      </w:r>
      <w:r w:rsidRPr="0082163E">
        <w:rPr>
          <w:i/>
          <w:iCs/>
        </w:rPr>
        <w:t>Carbohydrate Polymers, 320</w:t>
      </w:r>
      <w:r w:rsidRPr="0082163E">
        <w:t>, 121345.</w:t>
      </w:r>
    </w:p>
    <w:p w14:paraId="5F973A17" w14:textId="77777777" w:rsidR="0082163E" w:rsidRDefault="0082163E" w:rsidP="008044B5">
      <w:pPr>
        <w:pStyle w:val="NormalWeb"/>
        <w:shd w:val="clear" w:color="auto" w:fill="FFFFFF"/>
        <w:spacing w:before="400" w:beforeAutospacing="0" w:after="400" w:afterAutospacing="0"/>
        <w:jc w:val="both"/>
        <w:rPr>
          <w:b/>
          <w:bCs/>
        </w:rPr>
      </w:pPr>
    </w:p>
    <w:p w14:paraId="20E3F3CE" w14:textId="77777777" w:rsidR="0082163E" w:rsidRPr="008044B5" w:rsidRDefault="0082163E" w:rsidP="008044B5">
      <w:pPr>
        <w:pStyle w:val="NormalWeb"/>
        <w:shd w:val="clear" w:color="auto" w:fill="FFFFFF"/>
        <w:spacing w:before="400" w:beforeAutospacing="0" w:after="400" w:afterAutospacing="0"/>
        <w:jc w:val="both"/>
        <w:rPr>
          <w:b/>
          <w:bCs/>
        </w:rPr>
      </w:pPr>
    </w:p>
    <w:p w14:paraId="3ED1812D" w14:textId="77777777" w:rsidR="009D27A5" w:rsidRPr="008044B5" w:rsidRDefault="009D27A5" w:rsidP="008044B5">
      <w:pPr>
        <w:pStyle w:val="NormalWeb"/>
        <w:shd w:val="clear" w:color="auto" w:fill="FFFFFF"/>
        <w:spacing w:before="400" w:beforeAutospacing="0" w:after="400" w:afterAutospacing="0"/>
        <w:jc w:val="both"/>
      </w:pPr>
    </w:p>
    <w:p w14:paraId="1A3D466E" w14:textId="1D1705EF" w:rsidR="00C46CE6" w:rsidRPr="0082378B" w:rsidRDefault="00C46CE6" w:rsidP="008044B5">
      <w:pPr>
        <w:pStyle w:val="NormalWeb"/>
        <w:shd w:val="clear" w:color="auto" w:fill="FFFFFF"/>
        <w:spacing w:before="400" w:beforeAutospacing="0" w:after="400" w:afterAutospacing="0"/>
        <w:jc w:val="both"/>
      </w:pPr>
    </w:p>
    <w:sectPr w:rsidR="00C46CE6" w:rsidRPr="0082378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28D66" w14:textId="77777777" w:rsidR="00030D83" w:rsidRDefault="00030D83" w:rsidP="00AC4BC6">
      <w:pPr>
        <w:spacing w:after="0" w:line="240" w:lineRule="auto"/>
      </w:pPr>
      <w:r>
        <w:separator/>
      </w:r>
    </w:p>
  </w:endnote>
  <w:endnote w:type="continuationSeparator" w:id="0">
    <w:p w14:paraId="01AB0EB1" w14:textId="77777777" w:rsidR="00030D83" w:rsidRDefault="00030D83" w:rsidP="00AC4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6A6A3" w14:textId="77777777" w:rsidR="00030D83" w:rsidRDefault="00030D83" w:rsidP="00AC4BC6">
      <w:pPr>
        <w:spacing w:after="0" w:line="240" w:lineRule="auto"/>
      </w:pPr>
      <w:r>
        <w:separator/>
      </w:r>
    </w:p>
  </w:footnote>
  <w:footnote w:type="continuationSeparator" w:id="0">
    <w:p w14:paraId="1E8F2E17" w14:textId="77777777" w:rsidR="00030D83" w:rsidRDefault="00030D83" w:rsidP="00AC4B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45AF6"/>
    <w:multiLevelType w:val="hybridMultilevel"/>
    <w:tmpl w:val="64B053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16F3813"/>
    <w:multiLevelType w:val="multilevel"/>
    <w:tmpl w:val="E02A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F496C89"/>
    <w:multiLevelType w:val="hybridMultilevel"/>
    <w:tmpl w:val="AB8A767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7652188">
    <w:abstractNumId w:val="0"/>
  </w:num>
  <w:num w:numId="2" w16cid:durableId="730731864">
    <w:abstractNumId w:val="1"/>
  </w:num>
  <w:num w:numId="3" w16cid:durableId="122888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966"/>
    <w:rsid w:val="00014590"/>
    <w:rsid w:val="00030D83"/>
    <w:rsid w:val="00052980"/>
    <w:rsid w:val="0005346F"/>
    <w:rsid w:val="000673EF"/>
    <w:rsid w:val="0007246E"/>
    <w:rsid w:val="00086995"/>
    <w:rsid w:val="000923ED"/>
    <w:rsid w:val="000C02B9"/>
    <w:rsid w:val="000C4F66"/>
    <w:rsid w:val="000D5AD4"/>
    <w:rsid w:val="000E2DB1"/>
    <w:rsid w:val="000F7D28"/>
    <w:rsid w:val="00106C59"/>
    <w:rsid w:val="0012593A"/>
    <w:rsid w:val="00135CA2"/>
    <w:rsid w:val="00141F4C"/>
    <w:rsid w:val="001541C0"/>
    <w:rsid w:val="00160291"/>
    <w:rsid w:val="00164034"/>
    <w:rsid w:val="00175CD2"/>
    <w:rsid w:val="00177C27"/>
    <w:rsid w:val="00193487"/>
    <w:rsid w:val="001B3707"/>
    <w:rsid w:val="001B4DBE"/>
    <w:rsid w:val="001C3BA8"/>
    <w:rsid w:val="001D7077"/>
    <w:rsid w:val="001F3BA1"/>
    <w:rsid w:val="0020676F"/>
    <w:rsid w:val="00234248"/>
    <w:rsid w:val="00270981"/>
    <w:rsid w:val="00273F3B"/>
    <w:rsid w:val="002860B6"/>
    <w:rsid w:val="00291E18"/>
    <w:rsid w:val="00293513"/>
    <w:rsid w:val="00295749"/>
    <w:rsid w:val="002E0E80"/>
    <w:rsid w:val="002F324C"/>
    <w:rsid w:val="003202C3"/>
    <w:rsid w:val="00357895"/>
    <w:rsid w:val="00370A81"/>
    <w:rsid w:val="00380C53"/>
    <w:rsid w:val="0038459C"/>
    <w:rsid w:val="003966AC"/>
    <w:rsid w:val="003B5EA1"/>
    <w:rsid w:val="003C7528"/>
    <w:rsid w:val="00423248"/>
    <w:rsid w:val="004355D0"/>
    <w:rsid w:val="00446133"/>
    <w:rsid w:val="00461375"/>
    <w:rsid w:val="0047321F"/>
    <w:rsid w:val="004A2D83"/>
    <w:rsid w:val="004D671C"/>
    <w:rsid w:val="004F2715"/>
    <w:rsid w:val="00506FF1"/>
    <w:rsid w:val="005209EB"/>
    <w:rsid w:val="00527767"/>
    <w:rsid w:val="00560F5F"/>
    <w:rsid w:val="00563428"/>
    <w:rsid w:val="00594E4D"/>
    <w:rsid w:val="005C0045"/>
    <w:rsid w:val="005D0331"/>
    <w:rsid w:val="005E7AAD"/>
    <w:rsid w:val="006066C1"/>
    <w:rsid w:val="00613F68"/>
    <w:rsid w:val="006322CD"/>
    <w:rsid w:val="006358D1"/>
    <w:rsid w:val="006540D1"/>
    <w:rsid w:val="00662543"/>
    <w:rsid w:val="006629C4"/>
    <w:rsid w:val="00666764"/>
    <w:rsid w:val="00675573"/>
    <w:rsid w:val="00685657"/>
    <w:rsid w:val="00685EF5"/>
    <w:rsid w:val="0069586A"/>
    <w:rsid w:val="006B7C98"/>
    <w:rsid w:val="006C2273"/>
    <w:rsid w:val="00704FD5"/>
    <w:rsid w:val="0072137B"/>
    <w:rsid w:val="00735212"/>
    <w:rsid w:val="00755E56"/>
    <w:rsid w:val="0076303D"/>
    <w:rsid w:val="00767CB4"/>
    <w:rsid w:val="007920AB"/>
    <w:rsid w:val="00794839"/>
    <w:rsid w:val="007B1C3A"/>
    <w:rsid w:val="007C2D45"/>
    <w:rsid w:val="007E6478"/>
    <w:rsid w:val="007E7966"/>
    <w:rsid w:val="007F0AC6"/>
    <w:rsid w:val="008044B5"/>
    <w:rsid w:val="00815FDA"/>
    <w:rsid w:val="0082163E"/>
    <w:rsid w:val="0082378B"/>
    <w:rsid w:val="008330B0"/>
    <w:rsid w:val="00847565"/>
    <w:rsid w:val="00855154"/>
    <w:rsid w:val="00857FC7"/>
    <w:rsid w:val="0086744A"/>
    <w:rsid w:val="00867629"/>
    <w:rsid w:val="00870B96"/>
    <w:rsid w:val="0087107C"/>
    <w:rsid w:val="00877DA7"/>
    <w:rsid w:val="008909A5"/>
    <w:rsid w:val="00894719"/>
    <w:rsid w:val="00896C65"/>
    <w:rsid w:val="008D12A8"/>
    <w:rsid w:val="008F2B8C"/>
    <w:rsid w:val="00926FC8"/>
    <w:rsid w:val="00927522"/>
    <w:rsid w:val="00931AC1"/>
    <w:rsid w:val="0093513B"/>
    <w:rsid w:val="009558D7"/>
    <w:rsid w:val="00973399"/>
    <w:rsid w:val="0097734F"/>
    <w:rsid w:val="009846E3"/>
    <w:rsid w:val="00985F1A"/>
    <w:rsid w:val="009A178C"/>
    <w:rsid w:val="009B08EF"/>
    <w:rsid w:val="009B38D1"/>
    <w:rsid w:val="009D27A5"/>
    <w:rsid w:val="009D4F01"/>
    <w:rsid w:val="009E7FF6"/>
    <w:rsid w:val="009F230B"/>
    <w:rsid w:val="00A21DF5"/>
    <w:rsid w:val="00A42F91"/>
    <w:rsid w:val="00A435C4"/>
    <w:rsid w:val="00A556E1"/>
    <w:rsid w:val="00A65B95"/>
    <w:rsid w:val="00A80A41"/>
    <w:rsid w:val="00A922D1"/>
    <w:rsid w:val="00A93ABD"/>
    <w:rsid w:val="00AA76C6"/>
    <w:rsid w:val="00AC4BC6"/>
    <w:rsid w:val="00B04887"/>
    <w:rsid w:val="00B2526C"/>
    <w:rsid w:val="00B37962"/>
    <w:rsid w:val="00B45EF7"/>
    <w:rsid w:val="00B73866"/>
    <w:rsid w:val="00B85149"/>
    <w:rsid w:val="00B97961"/>
    <w:rsid w:val="00BA46C8"/>
    <w:rsid w:val="00BB0F2E"/>
    <w:rsid w:val="00BD6292"/>
    <w:rsid w:val="00BD7E58"/>
    <w:rsid w:val="00BF1A82"/>
    <w:rsid w:val="00BF74B5"/>
    <w:rsid w:val="00C46CE6"/>
    <w:rsid w:val="00C53526"/>
    <w:rsid w:val="00C55ABD"/>
    <w:rsid w:val="00CB5990"/>
    <w:rsid w:val="00CC20D2"/>
    <w:rsid w:val="00CC2E68"/>
    <w:rsid w:val="00CD5913"/>
    <w:rsid w:val="00CF3A49"/>
    <w:rsid w:val="00CF3C52"/>
    <w:rsid w:val="00CF5040"/>
    <w:rsid w:val="00D00AAC"/>
    <w:rsid w:val="00D15D46"/>
    <w:rsid w:val="00D21C70"/>
    <w:rsid w:val="00D3499E"/>
    <w:rsid w:val="00D44918"/>
    <w:rsid w:val="00D75F9F"/>
    <w:rsid w:val="00D85C38"/>
    <w:rsid w:val="00D967D9"/>
    <w:rsid w:val="00DA1A1F"/>
    <w:rsid w:val="00DA75FB"/>
    <w:rsid w:val="00DB6639"/>
    <w:rsid w:val="00DC29AD"/>
    <w:rsid w:val="00DC544D"/>
    <w:rsid w:val="00DD40E4"/>
    <w:rsid w:val="00DD60D6"/>
    <w:rsid w:val="00DF28EA"/>
    <w:rsid w:val="00E01271"/>
    <w:rsid w:val="00E02161"/>
    <w:rsid w:val="00E13E8F"/>
    <w:rsid w:val="00E426D4"/>
    <w:rsid w:val="00E44461"/>
    <w:rsid w:val="00E57779"/>
    <w:rsid w:val="00E8400C"/>
    <w:rsid w:val="00E916DE"/>
    <w:rsid w:val="00E92304"/>
    <w:rsid w:val="00EB07EE"/>
    <w:rsid w:val="00ED22E7"/>
    <w:rsid w:val="00ED7050"/>
    <w:rsid w:val="00EE17AB"/>
    <w:rsid w:val="00F01002"/>
    <w:rsid w:val="00F101EA"/>
    <w:rsid w:val="00F177FA"/>
    <w:rsid w:val="00F21890"/>
    <w:rsid w:val="00F25CD2"/>
    <w:rsid w:val="00F35432"/>
    <w:rsid w:val="00F4315B"/>
    <w:rsid w:val="00FB7D52"/>
    <w:rsid w:val="00FD793F"/>
    <w:rsid w:val="00FE7A2B"/>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1D7F9"/>
  <w15:chartTrackingRefBased/>
  <w15:docId w15:val="{1C83615C-521C-4AC7-BD8B-DE03456A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7966"/>
    <w:rPr>
      <w:color w:val="0000FF"/>
      <w:u w:val="single"/>
    </w:rPr>
  </w:style>
  <w:style w:type="paragraph" w:styleId="NormalWeb">
    <w:name w:val="Normal (Web)"/>
    <w:basedOn w:val="Normal"/>
    <w:uiPriority w:val="99"/>
    <w:unhideWhenUsed/>
    <w:rsid w:val="008330B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element-citation">
    <w:name w:val="element-citation"/>
    <w:basedOn w:val="DefaultParagraphFont"/>
    <w:rsid w:val="000C02B9"/>
  </w:style>
  <w:style w:type="character" w:customStyle="1" w:styleId="ref-journal">
    <w:name w:val="ref-journal"/>
    <w:basedOn w:val="DefaultParagraphFont"/>
    <w:rsid w:val="000C02B9"/>
  </w:style>
  <w:style w:type="character" w:customStyle="1" w:styleId="ref-vol">
    <w:name w:val="ref-vol"/>
    <w:basedOn w:val="DefaultParagraphFont"/>
    <w:rsid w:val="00A93ABD"/>
  </w:style>
  <w:style w:type="character" w:customStyle="1" w:styleId="nowrap">
    <w:name w:val="nowrap"/>
    <w:basedOn w:val="DefaultParagraphFont"/>
    <w:rsid w:val="00A93ABD"/>
  </w:style>
  <w:style w:type="paragraph" w:styleId="ListParagraph">
    <w:name w:val="List Paragraph"/>
    <w:basedOn w:val="Normal"/>
    <w:uiPriority w:val="34"/>
    <w:qFormat/>
    <w:rsid w:val="00A93ABD"/>
    <w:pPr>
      <w:ind w:left="720"/>
      <w:contextualSpacing/>
    </w:pPr>
  </w:style>
  <w:style w:type="paragraph" w:styleId="Header">
    <w:name w:val="header"/>
    <w:basedOn w:val="Normal"/>
    <w:link w:val="HeaderChar"/>
    <w:uiPriority w:val="99"/>
    <w:unhideWhenUsed/>
    <w:rsid w:val="00AC4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BC6"/>
  </w:style>
  <w:style w:type="paragraph" w:styleId="Footer">
    <w:name w:val="footer"/>
    <w:basedOn w:val="Normal"/>
    <w:link w:val="FooterChar"/>
    <w:uiPriority w:val="99"/>
    <w:unhideWhenUsed/>
    <w:rsid w:val="00AC4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BC6"/>
  </w:style>
  <w:style w:type="character" w:styleId="UnresolvedMention">
    <w:name w:val="Unresolved Mention"/>
    <w:basedOn w:val="DefaultParagraphFont"/>
    <w:uiPriority w:val="99"/>
    <w:semiHidden/>
    <w:unhideWhenUsed/>
    <w:rsid w:val="00B85149"/>
    <w:rPr>
      <w:color w:val="605E5C"/>
      <w:shd w:val="clear" w:color="auto" w:fill="E1DFDD"/>
    </w:rPr>
  </w:style>
  <w:style w:type="paragraph" w:styleId="Revision">
    <w:name w:val="Revision"/>
    <w:hidden/>
    <w:uiPriority w:val="99"/>
    <w:semiHidden/>
    <w:rsid w:val="00877DA7"/>
    <w:pPr>
      <w:spacing w:after="0" w:line="240" w:lineRule="auto"/>
    </w:pPr>
  </w:style>
  <w:style w:type="paragraph" w:customStyle="1" w:styleId="p6">
    <w:name w:val="p6"/>
    <w:basedOn w:val="Normal"/>
    <w:rsid w:val="00594E4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85472">
      <w:bodyDiv w:val="1"/>
      <w:marLeft w:val="0"/>
      <w:marRight w:val="0"/>
      <w:marTop w:val="0"/>
      <w:marBottom w:val="0"/>
      <w:divBdr>
        <w:top w:val="none" w:sz="0" w:space="0" w:color="auto"/>
        <w:left w:val="none" w:sz="0" w:space="0" w:color="auto"/>
        <w:bottom w:val="none" w:sz="0" w:space="0" w:color="auto"/>
        <w:right w:val="none" w:sz="0" w:space="0" w:color="auto"/>
      </w:divBdr>
    </w:div>
    <w:div w:id="409736073">
      <w:bodyDiv w:val="1"/>
      <w:marLeft w:val="0"/>
      <w:marRight w:val="0"/>
      <w:marTop w:val="0"/>
      <w:marBottom w:val="0"/>
      <w:divBdr>
        <w:top w:val="none" w:sz="0" w:space="0" w:color="auto"/>
        <w:left w:val="none" w:sz="0" w:space="0" w:color="auto"/>
        <w:bottom w:val="none" w:sz="0" w:space="0" w:color="auto"/>
        <w:right w:val="none" w:sz="0" w:space="0" w:color="auto"/>
      </w:divBdr>
      <w:divsChild>
        <w:div w:id="1031419050">
          <w:marLeft w:val="0"/>
          <w:marRight w:val="0"/>
          <w:marTop w:val="200"/>
          <w:marBottom w:val="200"/>
          <w:divBdr>
            <w:top w:val="none" w:sz="0" w:space="0" w:color="auto"/>
            <w:left w:val="none" w:sz="0" w:space="0" w:color="auto"/>
            <w:bottom w:val="none" w:sz="0" w:space="0" w:color="auto"/>
            <w:right w:val="none" w:sz="0" w:space="0" w:color="auto"/>
          </w:divBdr>
        </w:div>
        <w:div w:id="2126389309">
          <w:marLeft w:val="0"/>
          <w:marRight w:val="0"/>
          <w:marTop w:val="200"/>
          <w:marBottom w:val="200"/>
          <w:divBdr>
            <w:top w:val="none" w:sz="0" w:space="0" w:color="auto"/>
            <w:left w:val="none" w:sz="0" w:space="0" w:color="auto"/>
            <w:bottom w:val="none" w:sz="0" w:space="0" w:color="auto"/>
            <w:right w:val="none" w:sz="0" w:space="0" w:color="auto"/>
          </w:divBdr>
        </w:div>
        <w:div w:id="1545366289">
          <w:marLeft w:val="0"/>
          <w:marRight w:val="0"/>
          <w:marTop w:val="200"/>
          <w:marBottom w:val="200"/>
          <w:divBdr>
            <w:top w:val="none" w:sz="0" w:space="0" w:color="auto"/>
            <w:left w:val="none" w:sz="0" w:space="0" w:color="auto"/>
            <w:bottom w:val="none" w:sz="0" w:space="0" w:color="auto"/>
            <w:right w:val="none" w:sz="0" w:space="0" w:color="auto"/>
          </w:divBdr>
        </w:div>
        <w:div w:id="626088745">
          <w:marLeft w:val="0"/>
          <w:marRight w:val="0"/>
          <w:marTop w:val="200"/>
          <w:marBottom w:val="200"/>
          <w:divBdr>
            <w:top w:val="none" w:sz="0" w:space="0" w:color="auto"/>
            <w:left w:val="none" w:sz="0" w:space="0" w:color="auto"/>
            <w:bottom w:val="none" w:sz="0" w:space="0" w:color="auto"/>
            <w:right w:val="none" w:sz="0" w:space="0" w:color="auto"/>
          </w:divBdr>
        </w:div>
        <w:div w:id="1453859156">
          <w:marLeft w:val="0"/>
          <w:marRight w:val="0"/>
          <w:marTop w:val="200"/>
          <w:marBottom w:val="200"/>
          <w:divBdr>
            <w:top w:val="none" w:sz="0" w:space="0" w:color="auto"/>
            <w:left w:val="none" w:sz="0" w:space="0" w:color="auto"/>
            <w:bottom w:val="none" w:sz="0" w:space="0" w:color="auto"/>
            <w:right w:val="none" w:sz="0" w:space="0" w:color="auto"/>
          </w:divBdr>
        </w:div>
        <w:div w:id="876040652">
          <w:marLeft w:val="0"/>
          <w:marRight w:val="0"/>
          <w:marTop w:val="200"/>
          <w:marBottom w:val="200"/>
          <w:divBdr>
            <w:top w:val="none" w:sz="0" w:space="0" w:color="auto"/>
            <w:left w:val="none" w:sz="0" w:space="0" w:color="auto"/>
            <w:bottom w:val="none" w:sz="0" w:space="0" w:color="auto"/>
            <w:right w:val="none" w:sz="0" w:space="0" w:color="auto"/>
          </w:divBdr>
        </w:div>
        <w:div w:id="769860123">
          <w:marLeft w:val="0"/>
          <w:marRight w:val="0"/>
          <w:marTop w:val="200"/>
          <w:marBottom w:val="200"/>
          <w:divBdr>
            <w:top w:val="none" w:sz="0" w:space="0" w:color="auto"/>
            <w:left w:val="none" w:sz="0" w:space="0" w:color="auto"/>
            <w:bottom w:val="none" w:sz="0" w:space="0" w:color="auto"/>
            <w:right w:val="none" w:sz="0" w:space="0" w:color="auto"/>
          </w:divBdr>
        </w:div>
        <w:div w:id="2059089107">
          <w:marLeft w:val="0"/>
          <w:marRight w:val="0"/>
          <w:marTop w:val="200"/>
          <w:marBottom w:val="200"/>
          <w:divBdr>
            <w:top w:val="none" w:sz="0" w:space="0" w:color="auto"/>
            <w:left w:val="none" w:sz="0" w:space="0" w:color="auto"/>
            <w:bottom w:val="none" w:sz="0" w:space="0" w:color="auto"/>
            <w:right w:val="none" w:sz="0" w:space="0" w:color="auto"/>
          </w:divBdr>
        </w:div>
      </w:divsChild>
    </w:div>
    <w:div w:id="1335914799">
      <w:bodyDiv w:val="1"/>
      <w:marLeft w:val="0"/>
      <w:marRight w:val="0"/>
      <w:marTop w:val="0"/>
      <w:marBottom w:val="0"/>
      <w:divBdr>
        <w:top w:val="none" w:sz="0" w:space="0" w:color="auto"/>
        <w:left w:val="none" w:sz="0" w:space="0" w:color="auto"/>
        <w:bottom w:val="none" w:sz="0" w:space="0" w:color="auto"/>
        <w:right w:val="none" w:sz="0" w:space="0" w:color="auto"/>
      </w:divBdr>
    </w:div>
    <w:div w:id="1411734795">
      <w:bodyDiv w:val="1"/>
      <w:marLeft w:val="0"/>
      <w:marRight w:val="0"/>
      <w:marTop w:val="0"/>
      <w:marBottom w:val="0"/>
      <w:divBdr>
        <w:top w:val="none" w:sz="0" w:space="0" w:color="auto"/>
        <w:left w:val="none" w:sz="0" w:space="0" w:color="auto"/>
        <w:bottom w:val="none" w:sz="0" w:space="0" w:color="auto"/>
        <w:right w:val="none" w:sz="0" w:space="0" w:color="auto"/>
      </w:divBdr>
    </w:div>
    <w:div w:id="1798258559">
      <w:bodyDiv w:val="1"/>
      <w:marLeft w:val="0"/>
      <w:marRight w:val="0"/>
      <w:marTop w:val="0"/>
      <w:marBottom w:val="0"/>
      <w:divBdr>
        <w:top w:val="none" w:sz="0" w:space="0" w:color="auto"/>
        <w:left w:val="none" w:sz="0" w:space="0" w:color="auto"/>
        <w:bottom w:val="none" w:sz="0" w:space="0" w:color="auto"/>
        <w:right w:val="none" w:sz="0" w:space="0" w:color="auto"/>
      </w:divBdr>
      <w:divsChild>
        <w:div w:id="1458794152">
          <w:marLeft w:val="0"/>
          <w:marRight w:val="0"/>
          <w:marTop w:val="200"/>
          <w:marBottom w:val="200"/>
          <w:divBdr>
            <w:top w:val="none" w:sz="0" w:space="0" w:color="auto"/>
            <w:left w:val="none" w:sz="0" w:space="0" w:color="auto"/>
            <w:bottom w:val="none" w:sz="0" w:space="0" w:color="auto"/>
            <w:right w:val="none" w:sz="0" w:space="0" w:color="auto"/>
          </w:divBdr>
        </w:div>
        <w:div w:id="1033728555">
          <w:marLeft w:val="0"/>
          <w:marRight w:val="0"/>
          <w:marTop w:val="200"/>
          <w:marBottom w:val="200"/>
          <w:divBdr>
            <w:top w:val="none" w:sz="0" w:space="0" w:color="auto"/>
            <w:left w:val="none" w:sz="0" w:space="0" w:color="auto"/>
            <w:bottom w:val="none" w:sz="0" w:space="0" w:color="auto"/>
            <w:right w:val="none" w:sz="0" w:space="0" w:color="auto"/>
          </w:divBdr>
        </w:div>
        <w:div w:id="2135247500">
          <w:marLeft w:val="0"/>
          <w:marRight w:val="0"/>
          <w:marTop w:val="20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omay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5F652-E02E-415E-8D47-6E5AFE591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2626</Words>
  <Characters>14970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Swathy Sankar</dc:creator>
  <cp:keywords/>
  <dc:description/>
  <cp:lastModifiedBy>Maya Dinesh</cp:lastModifiedBy>
  <cp:revision>17</cp:revision>
  <dcterms:created xsi:type="dcterms:W3CDTF">2024-06-19T15:07:00Z</dcterms:created>
  <dcterms:modified xsi:type="dcterms:W3CDTF">2026-02-26T10:47:00Z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5e42e7f6-8bf7-4d97-863d-c695b1fd7cae</vt:lpwstr>
  </property>
</Properties>
</file>