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B0" w:rsidRDefault="00222FEA" w:rsidP="009B35B8">
      <w:pPr>
        <w:tabs>
          <w:tab w:val="left" w:pos="1980"/>
        </w:tabs>
        <w:spacing w:after="0" w:line="480" w:lineRule="auto"/>
        <w:rPr>
          <w:rFonts w:ascii="Times New Roman" w:eastAsia="Calibri" w:hAnsi="Times New Roman" w:cs="Times New Roman"/>
          <w:b/>
          <w:sz w:val="24"/>
          <w:szCs w:val="24"/>
        </w:rPr>
      </w:pPr>
      <w:r w:rsidRPr="00222FEA">
        <w:rPr>
          <w:rFonts w:ascii="Times New Roman" w:eastAsia="Calibri" w:hAnsi="Times New Roman" w:cs="Times New Roman"/>
          <w:b/>
          <w:sz w:val="24"/>
          <w:szCs w:val="24"/>
        </w:rPr>
        <w:t>Financial development Domestic Investment and Economic Growth in Nigeria from</w:t>
      </w:r>
    </w:p>
    <w:p w:rsidR="009B35B8" w:rsidRDefault="00B35EB0" w:rsidP="009B35B8">
      <w:pPr>
        <w:tabs>
          <w:tab w:val="left" w:pos="1980"/>
        </w:tabs>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r>
      <w:r w:rsidR="00222FEA" w:rsidRPr="00222FEA">
        <w:rPr>
          <w:rFonts w:ascii="Times New Roman" w:eastAsia="Calibri" w:hAnsi="Times New Roman" w:cs="Times New Roman"/>
          <w:b/>
          <w:sz w:val="24"/>
          <w:szCs w:val="24"/>
        </w:rPr>
        <w:t/>
      </w:r>
      <w:bookmarkStart w:id="0" w:name="_GoBack"/>
      <w:bookmarkEnd w:id="0"/>
      <w:r w:rsidR="00222FEA" w:rsidRPr="00222FEA">
        <w:rPr>
          <w:rFonts w:ascii="Times New Roman" w:eastAsia="Calibri" w:hAnsi="Times New Roman" w:cs="Times New Roman"/>
          <w:b/>
          <w:sz w:val="24"/>
          <w:szCs w:val="24"/>
        </w:rPr>
        <w:t xml:space="preserve"/>
      </w:r>
    </w:p>
    <w:p w:rsidR="00B35EB0" w:rsidRDefault="00B35EB0" w:rsidP="009B35B8">
      <w:pPr>
        <w:tabs>
          <w:tab w:val="left" w:pos="1980"/>
        </w:tabs>
        <w:spacing w:after="0" w:line="48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
      </w:r>
      <w:proofErr w:type="spellEnd"/>
      <w:r>
        <w:rPr>
          <w:rFonts w:ascii="Times New Roman" w:eastAsia="Calibri" w:hAnsi="Times New Roman" w:cs="Times New Roman"/>
          <w:b/>
          <w:sz w:val="24"/>
          <w:szCs w:val="24"/>
        </w:rPr>
        <w:t/>
      </w:r>
      <w:r w:rsidR="009B35B8">
        <w:rPr>
          <w:rFonts w:ascii="Times New Roman" w:eastAsia="Calibri" w:hAnsi="Times New Roman" w:cs="Times New Roman"/>
          <w:b/>
          <w:sz w:val="24"/>
          <w:szCs w:val="24"/>
          <w:vertAlign w:val="superscript"/>
        </w:rPr>
        <w:t/>
      </w:r>
      <w:r>
        <w:rPr>
          <w:rFonts w:ascii="Times New Roman" w:eastAsia="Calibri" w:hAnsi="Times New Roman" w:cs="Times New Roman"/>
          <w:b/>
          <w:sz w:val="24"/>
          <w:szCs w:val="24"/>
        </w:rPr>
        <w:t xml:space="preserve"/>
      </w:r>
      <w:proofErr w:type="spellStart"/>
      <w:r>
        <w:rPr>
          <w:rFonts w:ascii="Times New Roman" w:eastAsia="Calibri" w:hAnsi="Times New Roman" w:cs="Times New Roman"/>
          <w:b/>
          <w:sz w:val="24"/>
          <w:szCs w:val="24"/>
        </w:rPr>
        <w:t/>
      </w:r>
      <w:proofErr w:type="spellEnd"/>
      <w:r>
        <w:rPr>
          <w:rFonts w:ascii="Times New Roman" w:eastAsia="Calibri" w:hAnsi="Times New Roman" w:cs="Times New Roman"/>
          <w:b/>
          <w:sz w:val="24"/>
          <w:szCs w:val="24"/>
        </w:rPr>
        <w:t/>
      </w:r>
      <w:r w:rsidR="0030550C">
        <w:rPr>
          <w:rFonts w:ascii="Times New Roman" w:eastAsia="Calibri" w:hAnsi="Times New Roman" w:cs="Times New Roman"/>
          <w:b/>
          <w:sz w:val="24"/>
          <w:szCs w:val="24"/>
        </w:rPr>
        <w:t/>
      </w:r>
      <w:r w:rsidR="009B35B8">
        <w:rPr>
          <w:rFonts w:ascii="Times New Roman" w:eastAsia="Calibri" w:hAnsi="Times New Roman" w:cs="Times New Roman"/>
          <w:b/>
          <w:sz w:val="24"/>
          <w:szCs w:val="24"/>
          <w:vertAlign w:val="superscript"/>
        </w:rPr>
        <w:t/>
      </w:r>
    </w:p>
    <w:p w:rsidR="00B35EB0" w:rsidRDefault="00B35EB0" w:rsidP="00B35EB0">
      <w:pPr>
        <w:tabs>
          <w:tab w:val="left" w:pos="1980"/>
        </w:tabs>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r>
      <w:r w:rsidR="0030550C">
        <w:rPr>
          <w:rFonts w:ascii="Times New Roman" w:eastAsia="Calibri" w:hAnsi="Times New Roman" w:cs="Times New Roman"/>
          <w:b/>
          <w:sz w:val="24"/>
          <w:szCs w:val="24"/>
        </w:rPr>
        <w:t/>
      </w:r>
      <w:r>
        <w:rPr>
          <w:rFonts w:ascii="Times New Roman" w:eastAsia="Calibri" w:hAnsi="Times New Roman" w:cs="Times New Roman"/>
          <w:b/>
          <w:sz w:val="24"/>
          <w:szCs w:val="24"/>
        </w:rPr>
        <w:t xml:space="preserve"/>
      </w:r>
    </w:p>
    <w:p w:rsidR="00D110B4" w:rsidRDefault="0021541D" w:rsidP="00B35EB0">
      <w:pPr>
        <w:tabs>
          <w:tab w:val="left" w:pos="198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ABSTRACT</w:t>
      </w:r>
    </w:p>
    <w:p w:rsidR="0021541D" w:rsidRPr="00D110B4" w:rsidRDefault="0021541D" w:rsidP="00D110B4">
      <w:pPr>
        <w:tabs>
          <w:tab w:val="left" w:pos="1980"/>
        </w:tabs>
        <w:spacing w:line="480" w:lineRule="auto"/>
        <w:rPr>
          <w:rFonts w:ascii="Times New Roman" w:eastAsia="Calibri" w:hAnsi="Times New Roman" w:cs="Times New Roman"/>
          <w:b/>
          <w:sz w:val="24"/>
          <w:szCs w:val="24"/>
        </w:rPr>
      </w:pPr>
      <w:r w:rsidRPr="0021541D">
        <w:rPr>
          <w:rFonts w:ascii="Times New Roman" w:eastAsia="Calibri" w:hAnsi="Times New Roman" w:cs="Times New Roman"/>
          <w:i/>
          <w:sz w:val="24"/>
          <w:szCs w:val="24"/>
          <w:lang w:val="en-CA"/>
        </w:rPr>
        <w:t>The study examined the trend of financial development, domestic investment and economic growth i</w:t>
      </w:r>
      <w:r>
        <w:rPr>
          <w:rFonts w:ascii="Times New Roman" w:eastAsia="Calibri" w:hAnsi="Times New Roman" w:cs="Times New Roman"/>
          <w:i/>
          <w:sz w:val="24"/>
          <w:szCs w:val="24"/>
          <w:lang w:val="en-CA"/>
        </w:rPr>
        <w:t>n Nigeria for the period of 1994 to 2024</w:t>
      </w:r>
      <w:r w:rsidRPr="0021541D">
        <w:rPr>
          <w:rFonts w:ascii="Times New Roman" w:eastAsia="Calibri" w:hAnsi="Times New Roman" w:cs="Times New Roman"/>
          <w:i/>
          <w:sz w:val="24"/>
          <w:szCs w:val="24"/>
          <w:lang w:val="en-CA"/>
        </w:rPr>
        <w:t>. It also examined the effect of financial development and domestic investment on economic growth in Nigeria. It further investigated the</w:t>
      </w:r>
      <w:r w:rsidRPr="0021541D">
        <w:rPr>
          <w:rFonts w:ascii="Times New Roman" w:eastAsia="Calibri" w:hAnsi="Times New Roman" w:cs="Times New Roman"/>
          <w:i/>
          <w:sz w:val="24"/>
          <w:szCs w:val="24"/>
        </w:rPr>
        <w:t xml:space="preserve"> validity of finance-led-growth hypothesis in Nigeria</w:t>
      </w:r>
      <w:r w:rsidRPr="0021541D">
        <w:rPr>
          <w:rFonts w:ascii="Times New Roman" w:eastAsia="Calibri" w:hAnsi="Times New Roman" w:cs="Times New Roman"/>
          <w:i/>
          <w:sz w:val="24"/>
          <w:szCs w:val="24"/>
          <w:lang w:val="en-CA"/>
        </w:rPr>
        <w:t>. These were with the view to determining the relationship among financial development, domestic investment and economic growth in Nigeria. Secondary data covering the period of</w:t>
      </w:r>
      <w:r w:rsidR="00F409AE">
        <w:rPr>
          <w:rFonts w:ascii="Times New Roman" w:eastAsia="Calibri" w:hAnsi="Times New Roman" w:cs="Times New Roman"/>
          <w:i/>
          <w:sz w:val="24"/>
          <w:szCs w:val="24"/>
          <w:lang w:val="en-CA"/>
        </w:rPr>
        <w:t xml:space="preserve"> 1994 to 2024</w:t>
      </w:r>
      <w:r w:rsidRPr="0021541D">
        <w:rPr>
          <w:rFonts w:ascii="Times New Roman" w:eastAsia="Calibri" w:hAnsi="Times New Roman" w:cs="Times New Roman"/>
          <w:i/>
          <w:sz w:val="24"/>
          <w:szCs w:val="24"/>
          <w:lang w:val="en-CA"/>
        </w:rPr>
        <w:t xml:space="preserve"> were employed for this study. Annual data on economic growth (</w:t>
      </w:r>
      <w:proofErr w:type="spellStart"/>
      <w:r w:rsidRPr="0021541D">
        <w:rPr>
          <w:rFonts w:ascii="Times New Roman" w:eastAsia="Calibri" w:hAnsi="Times New Roman" w:cs="Times New Roman"/>
          <w:i/>
          <w:sz w:val="24"/>
          <w:szCs w:val="24"/>
          <w:lang w:val="en-CA"/>
        </w:rPr>
        <w:t>proxied</w:t>
      </w:r>
      <w:proofErr w:type="spellEnd"/>
      <w:r w:rsidRPr="0021541D">
        <w:rPr>
          <w:rFonts w:ascii="Times New Roman" w:eastAsia="Calibri" w:hAnsi="Times New Roman" w:cs="Times New Roman"/>
          <w:i/>
          <w:sz w:val="24"/>
          <w:szCs w:val="24"/>
          <w:lang w:val="en-CA"/>
        </w:rPr>
        <w:t xml:space="preserve"> by gross domestic product), domestic investment, financial development (</w:t>
      </w:r>
      <w:proofErr w:type="spellStart"/>
      <w:r w:rsidRPr="0021541D">
        <w:rPr>
          <w:rFonts w:ascii="Times New Roman" w:eastAsia="Calibri" w:hAnsi="Times New Roman" w:cs="Times New Roman"/>
          <w:i/>
          <w:sz w:val="24"/>
          <w:szCs w:val="24"/>
          <w:lang w:val="en-CA"/>
        </w:rPr>
        <w:t>proxied</w:t>
      </w:r>
      <w:proofErr w:type="spellEnd"/>
      <w:r w:rsidRPr="0021541D">
        <w:rPr>
          <w:rFonts w:ascii="Times New Roman" w:eastAsia="Calibri" w:hAnsi="Times New Roman" w:cs="Times New Roman"/>
          <w:i/>
          <w:sz w:val="24"/>
          <w:szCs w:val="24"/>
          <w:lang w:val="en-CA"/>
        </w:rPr>
        <w:t xml:space="preserve"> by domestic credit to private sector as a share of GDP), government expenditure and real interest rate were sourced from Central Bank of Nigeria </w:t>
      </w:r>
      <w:r w:rsidR="006D1DBE">
        <w:rPr>
          <w:rFonts w:ascii="Times New Roman" w:eastAsia="Calibri" w:hAnsi="Times New Roman" w:cs="Times New Roman"/>
          <w:i/>
          <w:sz w:val="24"/>
          <w:szCs w:val="24"/>
          <w:lang w:val="en-CA"/>
        </w:rPr>
        <w:t>(CBN) Statistical Bulletin, 2024</w:t>
      </w:r>
      <w:r w:rsidRPr="0021541D">
        <w:rPr>
          <w:rFonts w:ascii="Times New Roman" w:eastAsia="Calibri" w:hAnsi="Times New Roman" w:cs="Times New Roman"/>
          <w:i/>
          <w:sz w:val="24"/>
          <w:szCs w:val="24"/>
          <w:lang w:val="en-CA"/>
        </w:rPr>
        <w:t xml:space="preserve"> edition. Data collected were analysed using graphs analysis percentage, Autoregressive Distributed Lag (ARDL) and Vector Error Correction (VEC).</w:t>
      </w:r>
      <w:r>
        <w:rPr>
          <w:rFonts w:ascii="Times New Roman" w:eastAsia="Calibri" w:hAnsi="Times New Roman" w:cs="Times New Roman"/>
          <w:i/>
          <w:sz w:val="24"/>
          <w:szCs w:val="24"/>
          <w:lang w:val="en-CA"/>
        </w:rPr>
        <w:t xml:space="preserve"> </w:t>
      </w:r>
      <w:r w:rsidRPr="0021541D">
        <w:rPr>
          <w:rFonts w:ascii="Times New Roman" w:eastAsia="Calibri" w:hAnsi="Times New Roman" w:cs="Times New Roman"/>
          <w:i/>
          <w:sz w:val="24"/>
          <w:szCs w:val="24"/>
          <w:lang w:val="en-CA"/>
        </w:rPr>
        <w:t>The results showed that financial development, domestic investment and economic growth in Nigeria increased at 13.3%; 6.7% and</w:t>
      </w:r>
      <w:r w:rsidR="00F409AE">
        <w:rPr>
          <w:rFonts w:ascii="Times New Roman" w:eastAsia="Calibri" w:hAnsi="Times New Roman" w:cs="Times New Roman"/>
          <w:i/>
          <w:sz w:val="24"/>
          <w:szCs w:val="24"/>
          <w:lang w:val="en-CA"/>
        </w:rPr>
        <w:t xml:space="preserve"> 4.71% respectively between 1994 and 2024</w:t>
      </w:r>
      <w:r w:rsidRPr="0021541D">
        <w:rPr>
          <w:rFonts w:ascii="Times New Roman" w:eastAsia="Calibri" w:hAnsi="Times New Roman" w:cs="Times New Roman"/>
          <w:i/>
          <w:sz w:val="24"/>
          <w:szCs w:val="24"/>
          <w:lang w:val="en-CA"/>
        </w:rPr>
        <w:t xml:space="preserve">. The results also showed that financial development had a significant positive impact on economic growth (t= 6.02, p&lt;0.05) and domestic investment had a significant positive impact on economic growth (t=4.64, p&lt;0.05). Furthermore, the </w:t>
      </w:r>
      <w:r w:rsidRPr="0021541D">
        <w:rPr>
          <w:rFonts w:ascii="Times New Roman" w:eastAsia="Calibri" w:hAnsi="Times New Roman" w:cs="Times New Roman"/>
          <w:i/>
          <w:sz w:val="24"/>
          <w:szCs w:val="24"/>
        </w:rPr>
        <w:t>validity of finance-led-growth hypothesis in Nigeria</w:t>
      </w:r>
      <w:r w:rsidRPr="0021541D">
        <w:rPr>
          <w:rFonts w:ascii="Times New Roman" w:eastAsia="Calibri" w:hAnsi="Times New Roman" w:cs="Times New Roman"/>
          <w:i/>
          <w:sz w:val="24"/>
          <w:szCs w:val="24"/>
          <w:lang w:val="en-CA"/>
        </w:rPr>
        <w:t xml:space="preserve"> showed that there was a unidirectional causality between financial development and economic growth (t= 5.82, p&lt;0.05). </w:t>
      </w:r>
      <w:r>
        <w:rPr>
          <w:rFonts w:ascii="Times New Roman" w:eastAsia="Calibri" w:hAnsi="Times New Roman" w:cs="Times New Roman"/>
          <w:i/>
          <w:sz w:val="24"/>
          <w:szCs w:val="24"/>
          <w:lang w:val="en-CA"/>
        </w:rPr>
        <w:t xml:space="preserve"> </w:t>
      </w:r>
      <w:r w:rsidRPr="0021541D">
        <w:rPr>
          <w:rFonts w:ascii="Times New Roman" w:eastAsia="Calibri" w:hAnsi="Times New Roman" w:cs="Times New Roman"/>
          <w:i/>
          <w:sz w:val="24"/>
          <w:szCs w:val="24"/>
          <w:lang w:val="en-CA"/>
        </w:rPr>
        <w:lastRenderedPageBreak/>
        <w:t xml:space="preserve">The </w:t>
      </w:r>
      <w:r w:rsidRPr="0021541D">
        <w:rPr>
          <w:rFonts w:ascii="Times New Roman" w:eastAsia="Calibri" w:hAnsi="Times New Roman" w:cs="Times New Roman"/>
          <w:i/>
          <w:sz w:val="24"/>
          <w:szCs w:val="24"/>
        </w:rPr>
        <w:t xml:space="preserve">study concluded that </w:t>
      </w:r>
      <w:r w:rsidRPr="0021541D">
        <w:rPr>
          <w:rFonts w:ascii="Times New Roman" w:eastAsia="Calibri" w:hAnsi="Times New Roman" w:cs="Times New Roman"/>
          <w:i/>
          <w:sz w:val="24"/>
          <w:szCs w:val="24"/>
          <w:lang w:val="en-CA"/>
        </w:rPr>
        <w:t>financial development</w:t>
      </w:r>
      <w:r w:rsidRPr="0021541D">
        <w:rPr>
          <w:rFonts w:ascii="Times New Roman" w:eastAsia="Calibri" w:hAnsi="Times New Roman" w:cs="Times New Roman"/>
          <w:i/>
          <w:sz w:val="24"/>
          <w:szCs w:val="24"/>
        </w:rPr>
        <w:t xml:space="preserve"> and </w:t>
      </w:r>
      <w:r w:rsidRPr="0021541D">
        <w:rPr>
          <w:rFonts w:ascii="Times New Roman" w:eastAsia="Calibri" w:hAnsi="Times New Roman" w:cs="Times New Roman"/>
          <w:i/>
          <w:sz w:val="24"/>
          <w:szCs w:val="24"/>
          <w:lang w:val="en-CA"/>
        </w:rPr>
        <w:t>domestic investment</w:t>
      </w:r>
      <w:r w:rsidRPr="0021541D">
        <w:rPr>
          <w:rFonts w:ascii="Times New Roman" w:eastAsia="Calibri" w:hAnsi="Times New Roman" w:cs="Times New Roman"/>
          <w:i/>
          <w:sz w:val="24"/>
          <w:szCs w:val="24"/>
        </w:rPr>
        <w:t xml:space="preserve"> had a positive relationship with economic growth in Nigeria during the period of study.</w:t>
      </w:r>
    </w:p>
    <w:p w:rsidR="00361969" w:rsidRPr="00B35EB0" w:rsidRDefault="00436FAE" w:rsidP="00B35E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w:t>
      </w:r>
    </w:p>
    <w:p w:rsidR="00361969" w:rsidRPr="009E7B2D" w:rsidRDefault="00361969" w:rsidP="009E7B2D">
      <w:pPr>
        <w:spacing w:after="0" w:line="360" w:lineRule="auto"/>
        <w:jc w:val="both"/>
        <w:rPr>
          <w:rFonts w:ascii="Times New Roman" w:hAnsi="Times New Roman" w:cs="Times New Roman"/>
          <w:sz w:val="24"/>
          <w:szCs w:val="24"/>
          <w:lang w:val="en-US"/>
        </w:rPr>
      </w:pPr>
      <w:r w:rsidRPr="009E7B2D">
        <w:rPr>
          <w:rFonts w:ascii="Times New Roman" w:hAnsi="Times New Roman" w:cs="Times New Roman"/>
          <w:sz w:val="24"/>
          <w:szCs w:val="24"/>
        </w:rPr>
        <w:t xml:space="preserve">Over the years, Nigerian government had introduced various reforms and policies to stimulate and sustain the level of economic growth in the country. Among these reforms were </w:t>
      </w:r>
      <w:r w:rsidRPr="009E7B2D">
        <w:rPr>
          <w:rFonts w:ascii="Times New Roman" w:hAnsi="Times New Roman" w:cs="Times New Roman"/>
          <w:sz w:val="24"/>
          <w:szCs w:val="24"/>
          <w:lang w:val="en-US"/>
        </w:rPr>
        <w:t>the promotions of financial sector development including policies aimed at stimulating an increased capital inflow into the Nigerian economy. At the beginning of this policy reform, especially in the mid-1980s and early 1990s, emphasis was placed on financial intermediaries, relaxation of bank regulation, interest rate deregulation and the lifting of restrictions on bank licenses (</w:t>
      </w:r>
      <w:proofErr w:type="spellStart"/>
      <w:r w:rsidRPr="009E7B2D">
        <w:rPr>
          <w:rFonts w:ascii="Times New Roman" w:hAnsi="Times New Roman" w:cs="Times New Roman"/>
          <w:sz w:val="24"/>
          <w:szCs w:val="24"/>
          <w:lang w:val="en-US"/>
        </w:rPr>
        <w:t>Nwosa</w:t>
      </w:r>
      <w:proofErr w:type="spellEnd"/>
      <w:r w:rsidRPr="009E7B2D">
        <w:rPr>
          <w:rFonts w:ascii="Times New Roman" w:hAnsi="Times New Roman" w:cs="Times New Roman"/>
          <w:sz w:val="24"/>
          <w:szCs w:val="24"/>
          <w:lang w:val="en-US"/>
        </w:rPr>
        <w:t xml:space="preserve">, </w:t>
      </w:r>
      <w:proofErr w:type="spellStart"/>
      <w:r w:rsidRPr="009E7B2D">
        <w:rPr>
          <w:rFonts w:ascii="Times New Roman" w:hAnsi="Times New Roman" w:cs="Times New Roman"/>
          <w:sz w:val="24"/>
          <w:szCs w:val="24"/>
          <w:lang w:val="en-US"/>
        </w:rPr>
        <w:t>Agbeluyi</w:t>
      </w:r>
      <w:proofErr w:type="spellEnd"/>
      <w:r w:rsidRPr="009E7B2D">
        <w:rPr>
          <w:rFonts w:ascii="Times New Roman" w:hAnsi="Times New Roman" w:cs="Times New Roman"/>
          <w:sz w:val="24"/>
          <w:szCs w:val="24"/>
          <w:lang w:val="en-US"/>
        </w:rPr>
        <w:t xml:space="preserve"> and Saibu, 2011). </w:t>
      </w:r>
      <w:r w:rsidRPr="009E7B2D">
        <w:rPr>
          <w:rFonts w:ascii="Times New Roman" w:hAnsi="Times New Roman" w:cs="Times New Roman"/>
          <w:sz w:val="24"/>
          <w:szCs w:val="24"/>
        </w:rPr>
        <w:t>The financial system in Nigeria became liberalized in the 1980s when the Structural Adjustment Programme (SAP) was introduced. Since then the system has undergone significant changes in terms of the policy environment, number of institutions, ownership structure, depth and breadth of markets, as well as in the regulatory framework. Similarly, the financial sector became more vibrant and constituted a stronghold of growth in Nigeria with the implementation of bank consolidation policy in 2005 (</w:t>
      </w:r>
      <w:proofErr w:type="spellStart"/>
      <w:r w:rsidRPr="009E7B2D">
        <w:rPr>
          <w:rFonts w:ascii="Times New Roman" w:hAnsi="Times New Roman" w:cs="Times New Roman"/>
          <w:sz w:val="24"/>
          <w:szCs w:val="24"/>
        </w:rPr>
        <w:t>Dauda</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Makinde</w:t>
      </w:r>
      <w:proofErr w:type="spellEnd"/>
      <w:r w:rsidRPr="009E7B2D">
        <w:rPr>
          <w:rFonts w:ascii="Times New Roman" w:hAnsi="Times New Roman" w:cs="Times New Roman"/>
          <w:sz w:val="24"/>
          <w:szCs w:val="24"/>
        </w:rPr>
        <w:t>, 2014).</w:t>
      </w:r>
    </w:p>
    <w:p w:rsidR="008909CA" w:rsidRPr="009E7B2D" w:rsidRDefault="00361969" w:rsidP="009E7B2D">
      <w:pPr>
        <w:spacing w:after="0" w:line="360" w:lineRule="auto"/>
        <w:jc w:val="both"/>
        <w:rPr>
          <w:rFonts w:ascii="Times New Roman" w:hAnsi="Times New Roman" w:cs="Times New Roman"/>
          <w:iCs/>
          <w:sz w:val="24"/>
          <w:szCs w:val="24"/>
        </w:rPr>
      </w:pPr>
      <w:r w:rsidRPr="009E7B2D">
        <w:rPr>
          <w:rFonts w:ascii="Times New Roman" w:hAnsi="Times New Roman" w:cs="Times New Roman"/>
          <w:sz w:val="24"/>
          <w:szCs w:val="24"/>
          <w:lang w:val="en-US"/>
        </w:rPr>
        <w:t xml:space="preserve">Generally, financial sector has been </w:t>
      </w:r>
      <w:proofErr w:type="spellStart"/>
      <w:r w:rsidRPr="009E7B2D">
        <w:rPr>
          <w:rFonts w:ascii="Times New Roman" w:hAnsi="Times New Roman" w:cs="Times New Roman"/>
          <w:sz w:val="24"/>
          <w:szCs w:val="24"/>
          <w:lang w:val="en-US"/>
        </w:rPr>
        <w:t>recognised</w:t>
      </w:r>
      <w:proofErr w:type="spellEnd"/>
      <w:r w:rsidRPr="009E7B2D">
        <w:rPr>
          <w:rFonts w:ascii="Times New Roman" w:hAnsi="Times New Roman" w:cs="Times New Roman"/>
          <w:sz w:val="24"/>
          <w:szCs w:val="24"/>
          <w:lang w:val="en-US"/>
        </w:rPr>
        <w:t xml:space="preserve"> in the literature to play important role in determining the level of economic growth of a country. A strong financial sector leads to higher saving and efficiency and thus to higher investment level which ensures economic growth. McKinnon (1973) and Shaw (1973) demonstrated this view by showing that financial sector could be a catalyst of economic growth. </w:t>
      </w:r>
      <w:r w:rsidRPr="009E7B2D">
        <w:rPr>
          <w:rFonts w:ascii="Times New Roman" w:hAnsi="Times New Roman" w:cs="Times New Roman"/>
          <w:sz w:val="24"/>
          <w:szCs w:val="24"/>
        </w:rPr>
        <w:t xml:space="preserve"> Moreover, it is increasingly identified that financial system plays a crucial role in the process of economic deve</w:t>
      </w:r>
      <w:r w:rsidR="007E1816" w:rsidRPr="009E7B2D">
        <w:rPr>
          <w:rFonts w:ascii="Times New Roman" w:hAnsi="Times New Roman" w:cs="Times New Roman"/>
          <w:sz w:val="24"/>
          <w:szCs w:val="24"/>
        </w:rPr>
        <w:t xml:space="preserve">lopment. In view of this, </w:t>
      </w:r>
      <w:proofErr w:type="spellStart"/>
      <w:r w:rsidR="007E1816" w:rsidRPr="009E7B2D">
        <w:rPr>
          <w:rFonts w:ascii="Times New Roman" w:hAnsi="Times New Roman" w:cs="Times New Roman"/>
          <w:sz w:val="24"/>
          <w:szCs w:val="24"/>
        </w:rPr>
        <w:t>Okete</w:t>
      </w:r>
      <w:proofErr w:type="spellEnd"/>
      <w:r w:rsidR="007E1816" w:rsidRPr="009E7B2D">
        <w:rPr>
          <w:rFonts w:ascii="Times New Roman" w:hAnsi="Times New Roman" w:cs="Times New Roman"/>
          <w:sz w:val="24"/>
          <w:szCs w:val="24"/>
        </w:rPr>
        <w:t xml:space="preserve"> (202</w:t>
      </w:r>
      <w:r w:rsidRPr="009E7B2D">
        <w:rPr>
          <w:rFonts w:ascii="Times New Roman" w:hAnsi="Times New Roman" w:cs="Times New Roman"/>
          <w:sz w:val="24"/>
          <w:szCs w:val="24"/>
        </w:rPr>
        <w:t xml:space="preserve">4) summarized five key functions that a financial system provides in facilitating economic growth of the developing countries such as Nigeria. These functions include: </w:t>
      </w:r>
      <w:r w:rsidRPr="009E7B2D">
        <w:rPr>
          <w:rFonts w:ascii="Times New Roman" w:hAnsi="Times New Roman" w:cs="Times New Roman"/>
          <w:iCs/>
          <w:sz w:val="24"/>
          <w:szCs w:val="24"/>
        </w:rPr>
        <w:t xml:space="preserve">mobilizing and pooling savings; producing information ex-ante about possible investments; allocating capital, monitoring investments and exerting corporate governance; facilitating the trading, diversification, and </w:t>
      </w:r>
      <w:r w:rsidR="008909CA" w:rsidRPr="009E7B2D">
        <w:rPr>
          <w:rFonts w:ascii="Times New Roman" w:hAnsi="Times New Roman" w:cs="Times New Roman"/>
          <w:iCs/>
          <w:sz w:val="24"/>
          <w:szCs w:val="24"/>
        </w:rPr>
        <w:t>management of risks.</w:t>
      </w:r>
      <w:r w:rsidRPr="009E7B2D">
        <w:rPr>
          <w:rFonts w:ascii="Times New Roman" w:hAnsi="Times New Roman" w:cs="Times New Roman"/>
          <w:iCs/>
          <w:sz w:val="24"/>
          <w:szCs w:val="24"/>
        </w:rPr>
        <w:t xml:space="preserve"> </w:t>
      </w:r>
    </w:p>
    <w:p w:rsidR="008909CA" w:rsidRPr="009E7B2D" w:rsidRDefault="00361969"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In recent years, various theoretical and empirical literatures have linked finance, investment and economic growth together. Proper and timely reforms and policies in the financial sector would enhance both foreign and domestic investment in any sector since finance is emphasised as important determinant of investment which result in growth. It is therefore argued that the </w:t>
      </w:r>
      <w:r w:rsidRPr="009E7B2D">
        <w:rPr>
          <w:rFonts w:ascii="Times New Roman" w:hAnsi="Times New Roman" w:cs="Times New Roman"/>
          <w:sz w:val="24"/>
          <w:szCs w:val="24"/>
        </w:rPr>
        <w:lastRenderedPageBreak/>
        <w:t xml:space="preserve">liberalization of financial markets leads to greater investment efficiency and mobilization of greater financial resources for domestic investment </w:t>
      </w:r>
      <w:r w:rsidR="008073B8" w:rsidRPr="009E7B2D">
        <w:rPr>
          <w:rFonts w:ascii="Times New Roman" w:hAnsi="Times New Roman" w:cs="Times New Roman"/>
          <w:sz w:val="24"/>
          <w:szCs w:val="24"/>
        </w:rPr>
        <w:t>(</w:t>
      </w:r>
      <w:proofErr w:type="spellStart"/>
      <w:r w:rsidR="007E1816" w:rsidRPr="009E7B2D">
        <w:rPr>
          <w:rFonts w:ascii="Times New Roman" w:hAnsi="Times New Roman" w:cs="Times New Roman"/>
          <w:sz w:val="24"/>
          <w:szCs w:val="24"/>
        </w:rPr>
        <w:t>Ugwuegbe</w:t>
      </w:r>
      <w:proofErr w:type="spellEnd"/>
      <w:r w:rsidR="008073B8" w:rsidRPr="009E7B2D">
        <w:rPr>
          <w:rFonts w:ascii="Times New Roman" w:hAnsi="Times New Roman" w:cs="Times New Roman"/>
          <w:sz w:val="24"/>
          <w:szCs w:val="24"/>
        </w:rPr>
        <w:t xml:space="preserve">, </w:t>
      </w:r>
      <w:r w:rsidR="007E1816" w:rsidRPr="009E7B2D">
        <w:rPr>
          <w:rFonts w:ascii="Times New Roman" w:hAnsi="Times New Roman" w:cs="Times New Roman"/>
          <w:sz w:val="24"/>
          <w:szCs w:val="24"/>
        </w:rPr>
        <w:t xml:space="preserve">and </w:t>
      </w:r>
      <w:proofErr w:type="spellStart"/>
      <w:r w:rsidR="007E1816" w:rsidRPr="009E7B2D">
        <w:rPr>
          <w:rFonts w:ascii="Times New Roman" w:hAnsi="Times New Roman" w:cs="Times New Roman"/>
          <w:sz w:val="24"/>
          <w:szCs w:val="24"/>
        </w:rPr>
        <w:t>Uruakpa</w:t>
      </w:r>
      <w:proofErr w:type="spellEnd"/>
      <w:r w:rsidR="007E1816" w:rsidRPr="009E7B2D">
        <w:rPr>
          <w:rFonts w:ascii="Times New Roman" w:hAnsi="Times New Roman" w:cs="Times New Roman"/>
          <w:sz w:val="24"/>
          <w:szCs w:val="24"/>
        </w:rPr>
        <w:t xml:space="preserve"> </w:t>
      </w:r>
      <w:r w:rsidR="008073B8" w:rsidRPr="009E7B2D">
        <w:rPr>
          <w:rFonts w:ascii="Times New Roman" w:hAnsi="Times New Roman" w:cs="Times New Roman"/>
          <w:sz w:val="24"/>
          <w:szCs w:val="24"/>
        </w:rPr>
        <w:t>201</w:t>
      </w:r>
      <w:r w:rsidR="007E1816" w:rsidRPr="009E7B2D">
        <w:rPr>
          <w:rFonts w:ascii="Times New Roman" w:hAnsi="Times New Roman" w:cs="Times New Roman"/>
          <w:sz w:val="24"/>
          <w:szCs w:val="24"/>
        </w:rPr>
        <w:t>6</w:t>
      </w:r>
      <w:r w:rsidRPr="009E7B2D">
        <w:rPr>
          <w:rFonts w:ascii="Times New Roman" w:hAnsi="Times New Roman" w:cs="Times New Roman"/>
          <w:sz w:val="24"/>
          <w:szCs w:val="24"/>
        </w:rPr>
        <w:t xml:space="preserve">). </w:t>
      </w:r>
    </w:p>
    <w:p w:rsidR="00361969" w:rsidRPr="009E7B2D" w:rsidRDefault="00361969" w:rsidP="009E7B2D">
      <w:pPr>
        <w:spacing w:after="0" w:line="360" w:lineRule="auto"/>
        <w:ind w:firstLine="720"/>
        <w:jc w:val="both"/>
        <w:rPr>
          <w:rFonts w:ascii="Times New Roman" w:hAnsi="Times New Roman" w:cs="Times New Roman"/>
          <w:sz w:val="24"/>
          <w:szCs w:val="24"/>
          <w:lang w:val="en-US"/>
        </w:rPr>
      </w:pPr>
    </w:p>
    <w:p w:rsidR="008909CA" w:rsidRPr="009E7B2D" w:rsidRDefault="008909CA"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With a view to bridging the investment gap which occurs as a result of over dependence on foreign capital investment through foreign direct investment, Nigeria and other developing countries need to develop the financial system and improve the quality of both public spending in infrastructure as well as to attract more private capital through domestic i</w:t>
      </w:r>
      <w:r w:rsidR="007E1816" w:rsidRPr="009E7B2D">
        <w:rPr>
          <w:rFonts w:ascii="Times New Roman" w:hAnsi="Times New Roman" w:cs="Times New Roman"/>
          <w:sz w:val="24"/>
          <w:szCs w:val="24"/>
        </w:rPr>
        <w:t>nvestment (</w:t>
      </w:r>
      <w:proofErr w:type="spellStart"/>
      <w:r w:rsidR="007E1816" w:rsidRPr="009E7B2D">
        <w:rPr>
          <w:rFonts w:ascii="Times New Roman" w:hAnsi="Times New Roman" w:cs="Times New Roman"/>
          <w:sz w:val="24"/>
          <w:szCs w:val="24"/>
        </w:rPr>
        <w:t>Adegbite</w:t>
      </w:r>
      <w:proofErr w:type="spellEnd"/>
      <w:r w:rsidR="007E1816" w:rsidRPr="009E7B2D">
        <w:rPr>
          <w:rFonts w:ascii="Times New Roman" w:hAnsi="Times New Roman" w:cs="Times New Roman"/>
          <w:sz w:val="24"/>
          <w:szCs w:val="24"/>
        </w:rPr>
        <w:t xml:space="preserve"> and </w:t>
      </w:r>
      <w:proofErr w:type="spellStart"/>
      <w:r w:rsidR="007E1816" w:rsidRPr="009E7B2D">
        <w:rPr>
          <w:rFonts w:ascii="Times New Roman" w:hAnsi="Times New Roman" w:cs="Times New Roman"/>
          <w:sz w:val="24"/>
          <w:szCs w:val="24"/>
        </w:rPr>
        <w:t>Adetiloye</w:t>
      </w:r>
      <w:proofErr w:type="spellEnd"/>
      <w:r w:rsidR="007E1816" w:rsidRPr="009E7B2D">
        <w:rPr>
          <w:rFonts w:ascii="Times New Roman" w:hAnsi="Times New Roman" w:cs="Times New Roman"/>
          <w:sz w:val="24"/>
          <w:szCs w:val="24"/>
        </w:rPr>
        <w:t>, 2018</w:t>
      </w:r>
      <w:r w:rsidRPr="009E7B2D">
        <w:rPr>
          <w:rFonts w:ascii="Times New Roman" w:hAnsi="Times New Roman" w:cs="Times New Roman"/>
          <w:sz w:val="24"/>
          <w:szCs w:val="24"/>
        </w:rPr>
        <w:t xml:space="preserve">). Moreover, many challenges faced by developing countries such as Nigeria to maintain certain level of economic growth that can lead to development, ranges from underdeveloped financial system, over-reliance on foreign capital investment, rapid urbanization, demographic trends and climate change. These have called for an acceleration of public and private investments to rehabilitate, upgrade, and expand their infrastructures. Moreover, sustaining a good level of domestic investment requires a better composition of the financial system, stable macroeconomic policies, good governance, and an appropriate sequencing of institutional reforms across sectors </w:t>
      </w:r>
      <w:r w:rsidR="007E1816" w:rsidRPr="009E7B2D">
        <w:rPr>
          <w:rFonts w:ascii="Times New Roman" w:hAnsi="Times New Roman" w:cs="Times New Roman"/>
          <w:sz w:val="24"/>
          <w:szCs w:val="24"/>
        </w:rPr>
        <w:t>including the financial sector (</w:t>
      </w:r>
      <w:proofErr w:type="spellStart"/>
      <w:r w:rsidR="007E1816" w:rsidRPr="009E7B2D">
        <w:rPr>
          <w:rFonts w:ascii="Times New Roman" w:hAnsi="Times New Roman" w:cs="Times New Roman"/>
          <w:sz w:val="24"/>
          <w:szCs w:val="24"/>
        </w:rPr>
        <w:t>Adegbite</w:t>
      </w:r>
      <w:proofErr w:type="spellEnd"/>
      <w:r w:rsidR="007E1816" w:rsidRPr="009E7B2D">
        <w:rPr>
          <w:rFonts w:ascii="Times New Roman" w:hAnsi="Times New Roman" w:cs="Times New Roman"/>
          <w:sz w:val="24"/>
          <w:szCs w:val="24"/>
        </w:rPr>
        <w:t xml:space="preserve"> and </w:t>
      </w:r>
      <w:proofErr w:type="spellStart"/>
      <w:r w:rsidR="007E1816" w:rsidRPr="009E7B2D">
        <w:rPr>
          <w:rFonts w:ascii="Times New Roman" w:hAnsi="Times New Roman" w:cs="Times New Roman"/>
          <w:sz w:val="24"/>
          <w:szCs w:val="24"/>
        </w:rPr>
        <w:t>Adetiloye</w:t>
      </w:r>
      <w:proofErr w:type="spellEnd"/>
      <w:r w:rsidR="007E1816" w:rsidRPr="009E7B2D">
        <w:rPr>
          <w:rFonts w:ascii="Times New Roman" w:hAnsi="Times New Roman" w:cs="Times New Roman"/>
          <w:sz w:val="24"/>
          <w:szCs w:val="24"/>
        </w:rPr>
        <w:t>, 2018).</w:t>
      </w:r>
    </w:p>
    <w:p w:rsidR="008909CA" w:rsidRPr="009E7B2D" w:rsidRDefault="008909CA"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In addition to the challenges identified above, it has been discovered that foreign direct investments financed with hard currency are exposed to currency devaluation and to the volatility of interest rates. Therefore, strengthening the capacity of local financial markets so that they can extend debt and equity financing instruments denominated in local currency in competitive terms is crucial to accelerating private/domestic investment in infrastructure and businesses in Nigeria (Abu and </w:t>
      </w:r>
      <w:proofErr w:type="spellStart"/>
      <w:r w:rsidRPr="009E7B2D">
        <w:rPr>
          <w:rFonts w:ascii="Times New Roman" w:hAnsi="Times New Roman" w:cs="Times New Roman"/>
          <w:sz w:val="24"/>
          <w:szCs w:val="24"/>
        </w:rPr>
        <w:t>Abd</w:t>
      </w:r>
      <w:proofErr w:type="spellEnd"/>
      <w:r w:rsidRPr="009E7B2D">
        <w:rPr>
          <w:rFonts w:ascii="Times New Roman" w:hAnsi="Times New Roman" w:cs="Times New Roman"/>
          <w:sz w:val="24"/>
          <w:szCs w:val="24"/>
        </w:rPr>
        <w:t>-Karim, 2016).</w:t>
      </w:r>
    </w:p>
    <w:p w:rsidR="008073B8" w:rsidRPr="009E7B2D" w:rsidRDefault="008073B8"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The formulation of a bivariate model may lead to incorrectly detecting directions of causality or even uncovering causality when it does not really exist, thus yielding spurious results. </w:t>
      </w:r>
      <w:r w:rsidRPr="009E7B2D">
        <w:rPr>
          <w:rStyle w:val="a2"/>
          <w:rFonts w:ascii="Times New Roman" w:eastAsia="Times New Roman" w:hAnsi="Times New Roman" w:cs="Times New Roman"/>
          <w:sz w:val="24"/>
          <w:szCs w:val="24"/>
        </w:rPr>
        <w:t xml:space="preserve">It therefore implies that in the presence of at least a </w:t>
      </w:r>
      <w:proofErr w:type="spellStart"/>
      <w:r w:rsidRPr="009E7B2D">
        <w:rPr>
          <w:rFonts w:ascii="Times New Roman" w:hAnsi="Times New Roman" w:cs="Times New Roman"/>
          <w:bCs/>
          <w:sz w:val="24"/>
          <w:szCs w:val="24"/>
        </w:rPr>
        <w:t>trivariate</w:t>
      </w:r>
      <w:proofErr w:type="spellEnd"/>
      <w:r w:rsidRPr="009E7B2D">
        <w:rPr>
          <w:rFonts w:ascii="Times New Roman" w:hAnsi="Times New Roman" w:cs="Times New Roman"/>
          <w:bCs/>
          <w:sz w:val="24"/>
          <w:szCs w:val="24"/>
        </w:rPr>
        <w:t xml:space="preserve"> model</w:t>
      </w:r>
      <w:r w:rsidRPr="009E7B2D">
        <w:rPr>
          <w:rStyle w:val="a2"/>
          <w:rFonts w:ascii="Times New Roman" w:eastAsia="Times New Roman" w:hAnsi="Times New Roman" w:cs="Times New Roman"/>
          <w:sz w:val="24"/>
          <w:szCs w:val="24"/>
        </w:rPr>
        <w:t xml:space="preserve">, most of the findings on the connection between </w:t>
      </w:r>
      <w:r w:rsidRPr="009E7B2D">
        <w:rPr>
          <w:rFonts w:ascii="Times New Roman" w:hAnsi="Times New Roman" w:cs="Times New Roman"/>
          <w:sz w:val="24"/>
          <w:szCs w:val="24"/>
        </w:rPr>
        <w:t>financial development and economic growth; domestic investment and economic growth; financial development and domestic investment</w:t>
      </w:r>
      <w:r w:rsidRPr="009E7B2D">
        <w:rPr>
          <w:rStyle w:val="a2"/>
          <w:rFonts w:ascii="Times New Roman" w:eastAsia="Times New Roman" w:hAnsi="Times New Roman" w:cs="Times New Roman"/>
          <w:sz w:val="24"/>
          <w:szCs w:val="24"/>
        </w:rPr>
        <w:t xml:space="preserve"> may be dramatically reversed because </w:t>
      </w:r>
      <w:proofErr w:type="spellStart"/>
      <w:r w:rsidRPr="009E7B2D">
        <w:rPr>
          <w:rStyle w:val="a2"/>
          <w:rFonts w:ascii="Times New Roman" w:eastAsia="Times New Roman" w:hAnsi="Times New Roman" w:cs="Times New Roman"/>
          <w:sz w:val="24"/>
          <w:szCs w:val="24"/>
        </w:rPr>
        <w:t>trivariate</w:t>
      </w:r>
      <w:proofErr w:type="spellEnd"/>
      <w:r w:rsidRPr="009E7B2D">
        <w:rPr>
          <w:rStyle w:val="a2"/>
          <w:rFonts w:ascii="Times New Roman" w:eastAsia="Times New Roman" w:hAnsi="Times New Roman" w:cs="Times New Roman"/>
          <w:sz w:val="24"/>
          <w:szCs w:val="24"/>
        </w:rPr>
        <w:t xml:space="preserve"> framework on Granger causality results are more reliable and informative than bivariate framework. Thus, it is vital to explore the causal link among these variables </w:t>
      </w:r>
      <w:r w:rsidRPr="009E7B2D">
        <w:rPr>
          <w:rFonts w:ascii="Times New Roman" w:eastAsia="Times New Roman" w:hAnsi="Times New Roman" w:cs="Times New Roman"/>
          <w:sz w:val="24"/>
          <w:szCs w:val="24"/>
          <w:bdr w:val="none" w:sz="0" w:space="0" w:color="auto" w:frame="1"/>
        </w:rPr>
        <w:t xml:space="preserve">within a </w:t>
      </w:r>
      <w:proofErr w:type="spellStart"/>
      <w:r w:rsidRPr="009E7B2D">
        <w:rPr>
          <w:rFonts w:ascii="Times New Roman" w:eastAsia="Times New Roman" w:hAnsi="Times New Roman" w:cs="Times New Roman"/>
          <w:sz w:val="24"/>
          <w:szCs w:val="24"/>
          <w:bdr w:val="none" w:sz="0" w:space="0" w:color="auto" w:frame="1"/>
        </w:rPr>
        <w:t>trivariate</w:t>
      </w:r>
      <w:proofErr w:type="spellEnd"/>
      <w:r w:rsidRPr="009E7B2D">
        <w:rPr>
          <w:rFonts w:ascii="Times New Roman" w:eastAsia="Times New Roman" w:hAnsi="Times New Roman" w:cs="Times New Roman"/>
          <w:sz w:val="24"/>
          <w:szCs w:val="24"/>
          <w:bdr w:val="none" w:sz="0" w:space="0" w:color="auto" w:frame="1"/>
        </w:rPr>
        <w:t xml:space="preserve"> framework </w:t>
      </w:r>
      <w:r w:rsidRPr="009E7B2D">
        <w:rPr>
          <w:rStyle w:val="a2"/>
          <w:rFonts w:ascii="Times New Roman" w:eastAsia="Times New Roman" w:hAnsi="Times New Roman" w:cs="Times New Roman"/>
          <w:sz w:val="24"/>
          <w:szCs w:val="24"/>
        </w:rPr>
        <w:t xml:space="preserve">in Nigeria, </w:t>
      </w:r>
      <w:r w:rsidRPr="009E7B2D">
        <w:rPr>
          <w:rFonts w:ascii="Times New Roman" w:hAnsi="Times New Roman" w:cs="Times New Roman"/>
          <w:sz w:val="24"/>
          <w:szCs w:val="24"/>
        </w:rPr>
        <w:t>this is because causality frameworks are known to offer better policy guides than co-integration (</w:t>
      </w:r>
      <w:proofErr w:type="spellStart"/>
      <w:r w:rsidR="007E1816" w:rsidRPr="009E7B2D">
        <w:rPr>
          <w:rFonts w:ascii="Times New Roman" w:hAnsi="Times New Roman" w:cs="Times New Roman"/>
          <w:sz w:val="24"/>
          <w:szCs w:val="24"/>
        </w:rPr>
        <w:t>Okoye</w:t>
      </w:r>
      <w:proofErr w:type="spellEnd"/>
      <w:r w:rsidR="007E1816" w:rsidRPr="009E7B2D">
        <w:rPr>
          <w:rFonts w:ascii="Times New Roman" w:hAnsi="Times New Roman" w:cs="Times New Roman"/>
          <w:sz w:val="24"/>
          <w:szCs w:val="24"/>
        </w:rPr>
        <w:t xml:space="preserve">, </w:t>
      </w:r>
      <w:proofErr w:type="spellStart"/>
      <w:r w:rsidR="007E1816" w:rsidRPr="009E7B2D">
        <w:rPr>
          <w:rFonts w:ascii="Times New Roman" w:hAnsi="Times New Roman" w:cs="Times New Roman"/>
          <w:sz w:val="24"/>
          <w:szCs w:val="24"/>
        </w:rPr>
        <w:t>Modebe</w:t>
      </w:r>
      <w:proofErr w:type="spellEnd"/>
      <w:r w:rsidR="007E1816" w:rsidRPr="009E7B2D">
        <w:rPr>
          <w:rFonts w:ascii="Times New Roman" w:hAnsi="Times New Roman" w:cs="Times New Roman"/>
          <w:sz w:val="24"/>
          <w:szCs w:val="24"/>
        </w:rPr>
        <w:t xml:space="preserve"> and </w:t>
      </w:r>
      <w:proofErr w:type="spellStart"/>
      <w:r w:rsidR="007E1816" w:rsidRPr="009E7B2D">
        <w:rPr>
          <w:rFonts w:ascii="Times New Roman" w:hAnsi="Times New Roman" w:cs="Times New Roman"/>
          <w:sz w:val="24"/>
          <w:szCs w:val="24"/>
        </w:rPr>
        <w:t>Taiwo</w:t>
      </w:r>
      <w:proofErr w:type="spellEnd"/>
      <w:r w:rsidR="007E1816" w:rsidRPr="009E7B2D">
        <w:rPr>
          <w:rFonts w:ascii="Times New Roman" w:hAnsi="Times New Roman" w:cs="Times New Roman"/>
          <w:sz w:val="24"/>
          <w:szCs w:val="24"/>
        </w:rPr>
        <w:t xml:space="preserve"> 2019</w:t>
      </w:r>
      <w:r w:rsidRPr="009E7B2D">
        <w:rPr>
          <w:rFonts w:ascii="Times New Roman" w:hAnsi="Times New Roman" w:cs="Times New Roman"/>
          <w:sz w:val="24"/>
          <w:szCs w:val="24"/>
        </w:rPr>
        <w:t>).</w:t>
      </w:r>
    </w:p>
    <w:p w:rsidR="008909CA" w:rsidRPr="009E7B2D" w:rsidRDefault="008909CA" w:rsidP="009E7B2D">
      <w:pPr>
        <w:spacing w:after="0" w:line="360" w:lineRule="auto"/>
        <w:jc w:val="both"/>
        <w:rPr>
          <w:rFonts w:ascii="Times New Roman" w:hAnsi="Times New Roman" w:cs="Times New Roman"/>
          <w:sz w:val="24"/>
          <w:szCs w:val="24"/>
          <w:lang w:val="en-US"/>
        </w:rPr>
      </w:pPr>
      <w:r w:rsidRPr="009E7B2D">
        <w:rPr>
          <w:rFonts w:ascii="Times New Roman" w:hAnsi="Times New Roman" w:cs="Times New Roman"/>
          <w:sz w:val="24"/>
          <w:szCs w:val="24"/>
        </w:rPr>
        <w:lastRenderedPageBreak/>
        <w:t>In addition to the above problem, the causality among financial development, domestic investment and economic growth has not been addressed in Nigeria. The existing scanty studies only consider a bivariate model for testing the direction of causality between financial development, domestic investment and economic growth by partitioning the variables into financial development and economic growth (</w:t>
      </w:r>
      <w:proofErr w:type="spellStart"/>
      <w:r w:rsidR="007E1816" w:rsidRPr="009E7B2D">
        <w:rPr>
          <w:rFonts w:ascii="Times New Roman" w:hAnsi="Times New Roman" w:cs="Times New Roman"/>
          <w:sz w:val="24"/>
          <w:szCs w:val="24"/>
        </w:rPr>
        <w:t>Akinlo</w:t>
      </w:r>
      <w:proofErr w:type="spellEnd"/>
      <w:r w:rsidR="007E1816" w:rsidRPr="009E7B2D">
        <w:rPr>
          <w:rFonts w:ascii="Times New Roman" w:hAnsi="Times New Roman" w:cs="Times New Roman"/>
          <w:sz w:val="24"/>
          <w:szCs w:val="24"/>
        </w:rPr>
        <w:t xml:space="preserve"> and </w:t>
      </w:r>
      <w:proofErr w:type="spellStart"/>
      <w:r w:rsidR="007E1816" w:rsidRPr="009E7B2D">
        <w:rPr>
          <w:rFonts w:ascii="Times New Roman" w:hAnsi="Times New Roman" w:cs="Times New Roman"/>
          <w:sz w:val="24"/>
          <w:szCs w:val="24"/>
        </w:rPr>
        <w:t>Egbetunde</w:t>
      </w:r>
      <w:proofErr w:type="spellEnd"/>
      <w:r w:rsidR="007E1816" w:rsidRPr="009E7B2D">
        <w:rPr>
          <w:rFonts w:ascii="Times New Roman" w:hAnsi="Times New Roman" w:cs="Times New Roman"/>
          <w:sz w:val="24"/>
          <w:szCs w:val="24"/>
        </w:rPr>
        <w:t>, 2020</w:t>
      </w:r>
      <w:r w:rsidRPr="009E7B2D">
        <w:rPr>
          <w:rFonts w:ascii="Times New Roman" w:hAnsi="Times New Roman" w:cs="Times New Roman"/>
          <w:sz w:val="24"/>
          <w:szCs w:val="24"/>
        </w:rPr>
        <w:t>)</w:t>
      </w:r>
    </w:p>
    <w:p w:rsidR="0043578E" w:rsidRPr="00B35EB0" w:rsidRDefault="0043578E" w:rsidP="00B35EB0">
      <w:pPr>
        <w:spacing w:after="0" w:line="360" w:lineRule="auto"/>
        <w:jc w:val="both"/>
        <w:rPr>
          <w:rFonts w:ascii="Times New Roman" w:hAnsi="Times New Roman" w:cs="Times New Roman"/>
          <w:b/>
          <w:sz w:val="24"/>
          <w:szCs w:val="24"/>
        </w:rPr>
      </w:pPr>
      <w:r w:rsidRPr="00B35EB0">
        <w:rPr>
          <w:rFonts w:ascii="Times New Roman" w:hAnsi="Times New Roman" w:cs="Times New Roman"/>
          <w:b/>
          <w:sz w:val="24"/>
          <w:szCs w:val="24"/>
        </w:rPr>
        <w:t xml:space="preserve"> Objectives</w:t>
      </w:r>
    </w:p>
    <w:p w:rsidR="0043578E" w:rsidRPr="009E7B2D" w:rsidRDefault="0043578E"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The broad objective of this study is to examine the role of financial development and domestic investment in achieving economic growth in Nigeri</w:t>
      </w:r>
      <w:r w:rsidR="008073B8" w:rsidRPr="009E7B2D">
        <w:rPr>
          <w:rFonts w:ascii="Times New Roman" w:hAnsi="Times New Roman" w:cs="Times New Roman"/>
          <w:sz w:val="24"/>
          <w:szCs w:val="24"/>
        </w:rPr>
        <w:t>a for the period of 1994</w:t>
      </w:r>
      <w:r w:rsidRPr="009E7B2D">
        <w:rPr>
          <w:rFonts w:ascii="Times New Roman" w:hAnsi="Times New Roman" w:cs="Times New Roman"/>
          <w:sz w:val="24"/>
          <w:szCs w:val="24"/>
        </w:rPr>
        <w:t xml:space="preserve"> to 2024. The specific objectives are therefore to:</w:t>
      </w:r>
    </w:p>
    <w:p w:rsidR="0043578E" w:rsidRPr="009E7B2D" w:rsidRDefault="00B35EB0" w:rsidP="009E7B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E</w:t>
      </w:r>
      <w:r w:rsidR="0043578E" w:rsidRPr="009E7B2D">
        <w:rPr>
          <w:rFonts w:ascii="Times New Roman" w:hAnsi="Times New Roman" w:cs="Times New Roman"/>
          <w:sz w:val="24"/>
          <w:szCs w:val="24"/>
          <w:lang w:val="en-US"/>
        </w:rPr>
        <w:t>xamine the effect of financial development and domestic investment on economic growth in Nigeria</w:t>
      </w:r>
      <w:r w:rsidR="0043578E" w:rsidRPr="009E7B2D">
        <w:rPr>
          <w:rFonts w:ascii="Times New Roman" w:hAnsi="Times New Roman" w:cs="Times New Roman"/>
          <w:sz w:val="24"/>
          <w:szCs w:val="24"/>
        </w:rPr>
        <w:t>; and</w:t>
      </w:r>
    </w:p>
    <w:p w:rsidR="0043578E" w:rsidRPr="009E7B2D" w:rsidRDefault="00B35EB0" w:rsidP="009E7B2D">
      <w:pPr>
        <w:pStyle w:val="ListParagraph"/>
        <w:numPr>
          <w:ilvl w:val="0"/>
          <w:numId w:val="2"/>
        </w:numPr>
        <w:spacing w:after="0" w:line="360" w:lineRule="auto"/>
        <w:jc w:val="both"/>
        <w:rPr>
          <w:rFonts w:ascii="Times New Roman" w:hAnsi="Times New Roman" w:cs="Times New Roman"/>
          <w:b/>
          <w:sz w:val="24"/>
          <w:szCs w:val="24"/>
        </w:rPr>
      </w:pPr>
      <w:r w:rsidRPr="009E7B2D">
        <w:rPr>
          <w:rFonts w:ascii="Times New Roman" w:hAnsi="Times New Roman" w:cs="Times New Roman"/>
          <w:sz w:val="24"/>
          <w:szCs w:val="24"/>
          <w:lang w:val="en-US"/>
        </w:rPr>
        <w:t>Investigate</w:t>
      </w:r>
      <w:r w:rsidR="0043578E" w:rsidRPr="009E7B2D">
        <w:rPr>
          <w:rFonts w:ascii="Times New Roman" w:hAnsi="Times New Roman" w:cs="Times New Roman"/>
          <w:sz w:val="24"/>
          <w:szCs w:val="24"/>
          <w:lang w:val="en-US"/>
        </w:rPr>
        <w:t xml:space="preserve"> the validity of finance-led-growth hypothesis in Nigeria.</w:t>
      </w:r>
    </w:p>
    <w:p w:rsidR="00361969" w:rsidRPr="00B35EB0" w:rsidRDefault="00147A31" w:rsidP="00812FE8">
      <w:pPr>
        <w:spacing w:after="0" w:line="360" w:lineRule="auto"/>
        <w:jc w:val="both"/>
        <w:rPr>
          <w:rFonts w:ascii="Times New Roman" w:hAnsi="Times New Roman" w:cs="Times New Roman"/>
          <w:sz w:val="24"/>
          <w:szCs w:val="24"/>
        </w:rPr>
      </w:pPr>
      <w:r w:rsidRPr="00B35EB0">
        <w:rPr>
          <w:rFonts w:ascii="Times New Roman" w:hAnsi="Times New Roman" w:cs="Times New Roman"/>
          <w:sz w:val="24"/>
          <w:szCs w:val="24"/>
        </w:rPr>
        <w:t xml:space="preserve"> LITERATURE REVIEW</w:t>
      </w:r>
    </w:p>
    <w:p w:rsidR="00DD5042" w:rsidRDefault="00706A6D"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Review of Theoretica</w:t>
      </w:r>
      <w:r w:rsidR="00DD5042">
        <w:rPr>
          <w:rFonts w:ascii="Times New Roman" w:hAnsi="Times New Roman" w:cs="Times New Roman"/>
          <w:b/>
          <w:sz w:val="24"/>
          <w:szCs w:val="24"/>
        </w:rPr>
        <w:t>l Literature</w:t>
      </w:r>
    </w:p>
    <w:p w:rsidR="00706A6D" w:rsidRPr="009E7B2D" w:rsidRDefault="00706A6D"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Demand Following Hypothesis</w:t>
      </w:r>
    </w:p>
    <w:p w:rsidR="00706A6D" w:rsidRPr="009E7B2D" w:rsidRDefault="00706A6D"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The ‘demand-following’ hypothesis posits a unidirectional causation from economic growth to financial development. This implies financial systems passive response to economic growth meaning that the increasing demand for financial services might lead to the aggressive expansion of the financial system as the industrial sector of the economy grows. The demand-following theory of finance–economic growth nexus is of the view that finance plays a dependent role lagging behind growth. The theory states that the creation of modern financial institutions and products is principally a response to the demand for these institutions and products by savers and investors in the real sector, thus the financial sector follows the real sectors by adapting to the demands of the real sector rather than     dictating the pace for the real sector to follow. Previous studies that support this hypothesis include Gurley and Shaw (1955, 1967), Goldsmith (1969) and Jung (1986). In the demand leading hypothesis, growth is at times seen as unrelated to banks. They postulate that economic growth is a causal factor for financial development. According to them, as the industrial sector grows, the increasing demand for financial services stimulates the financial sector (Gurley and Shaw, 1967). Robinson (1952) was of the opinion that economic activity propels banks to finance enterprises. Thus where enterprises lead, finance follows.</w:t>
      </w:r>
    </w:p>
    <w:p w:rsidR="00436FAE" w:rsidRDefault="00436FAE" w:rsidP="009E7B2D">
      <w:pPr>
        <w:spacing w:after="0" w:line="360" w:lineRule="auto"/>
        <w:jc w:val="both"/>
        <w:rPr>
          <w:rFonts w:ascii="Times New Roman" w:hAnsi="Times New Roman" w:cs="Times New Roman"/>
          <w:b/>
          <w:sz w:val="24"/>
          <w:szCs w:val="24"/>
        </w:rPr>
      </w:pPr>
    </w:p>
    <w:p w:rsidR="00706A6D" w:rsidRPr="009E7B2D" w:rsidRDefault="00706A6D"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lastRenderedPageBreak/>
        <w:t>Supply Leading Hypothesis</w:t>
      </w:r>
    </w:p>
    <w:p w:rsidR="00706A6D" w:rsidRPr="009E7B2D" w:rsidRDefault="00706A6D"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The supply-leading theory explained that finance is a major determinant of growth, as finance provides avenue through which resources are mobilized and channelled from surplus spending unit (traditionally low-growth sector like agriculture; land rents, among others) to deficit spending units (DSU) (modern high-growth sector where entrepreneurial activities are pursued). This school of thought believes that better financial system increases the chances of successful innovation which provokes increase in economic growth. The supply-leading hypothesis posits a unidirectional causation that runs from financial deepening to economic growth implying that new functional financial markets and institutions will increase the supply of financial services. This will definitely lead to high but sustainable real economic growth. This hypothesis performs two roles namely to transfer resources from low growth sectors to high growth sectors and to promote entrepreneurial response in the later sector. Earlier scholars such as Schumpeter (1912), Goldsmith (1969), Shaw (1973) and McKinnon (1973), emphasized the importance of the financial system in economic growth. Hicks (1969) argued that the industrialization process in England was promoted by the development of the financial sector which increased the access of the government and people to funds that were used to finance capital projects which led to the development of the economy</w:t>
      </w:r>
      <w:r w:rsidR="00E763BE" w:rsidRPr="009E7B2D">
        <w:rPr>
          <w:rFonts w:ascii="Times New Roman" w:hAnsi="Times New Roman" w:cs="Times New Roman"/>
          <w:sz w:val="24"/>
          <w:szCs w:val="24"/>
        </w:rPr>
        <w:t>.</w:t>
      </w:r>
    </w:p>
    <w:p w:rsidR="005B109A" w:rsidRPr="009E7B2D" w:rsidRDefault="005B109A"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McKinnon – Shaw Hypothesis (1973)</w:t>
      </w:r>
    </w:p>
    <w:p w:rsidR="005B109A" w:rsidRPr="009E7B2D" w:rsidRDefault="005B109A"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Mackinnon and Shaw (1973) postulated that in a developing country especially, when interest rate is liberalized, it will lead to increase in the real interest rate which will lead to increase in savings, spur investment, and eventually lead to economic growth. </w:t>
      </w:r>
      <w:proofErr w:type="gramStart"/>
      <w:r w:rsidRPr="009E7B2D">
        <w:rPr>
          <w:rFonts w:ascii="Times New Roman" w:hAnsi="Times New Roman" w:cs="Times New Roman"/>
          <w:sz w:val="24"/>
          <w:szCs w:val="24"/>
        </w:rPr>
        <w:t>the</w:t>
      </w:r>
      <w:proofErr w:type="gramEnd"/>
      <w:r w:rsidRPr="009E7B2D">
        <w:rPr>
          <w:rFonts w:ascii="Times New Roman" w:hAnsi="Times New Roman" w:cs="Times New Roman"/>
          <w:sz w:val="24"/>
          <w:szCs w:val="24"/>
        </w:rPr>
        <w:t xml:space="preserve"> initial framework of McKinnon and Shaw (1973) focused on financial repression the need to alleviate financial repression through allowing the market to determine real interest rates, reviewed of credit control among others. The outcome of repression according to Mackinnon (1973) and Shaw (1973) will be low saving, high consumption, low investments and repressed economic growth. The McKinnon and Shaw framework argues that in order for any economy to experience economic growth via greater efficiency in capital accumulation and allocation, interest rate ceilings, credit control and other restrictive financial legislation should be remove. </w:t>
      </w:r>
    </w:p>
    <w:p w:rsidR="005B109A" w:rsidRPr="009E7B2D" w:rsidRDefault="005B109A"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The important point of McKinnon’s hypothesis is that an increase in the desired rate of capital accumulation (private savings) at any given level of income leads to increase in the need of real cash balance holding for accumul</w:t>
      </w:r>
      <w:r w:rsidR="00E763BE" w:rsidRPr="009E7B2D">
        <w:rPr>
          <w:rFonts w:ascii="Times New Roman" w:hAnsi="Times New Roman" w:cs="Times New Roman"/>
          <w:sz w:val="24"/>
          <w:szCs w:val="24"/>
        </w:rPr>
        <w:t>ation purpose. (</w:t>
      </w:r>
      <w:proofErr w:type="spellStart"/>
      <w:proofErr w:type="gramStart"/>
      <w:r w:rsidR="00E763BE" w:rsidRPr="009E7B2D">
        <w:rPr>
          <w:rFonts w:ascii="Times New Roman" w:hAnsi="Times New Roman" w:cs="Times New Roman"/>
          <w:sz w:val="24"/>
          <w:szCs w:val="24"/>
        </w:rPr>
        <w:t>Ahmodu</w:t>
      </w:r>
      <w:proofErr w:type="spellEnd"/>
      <w:r w:rsidR="00E763BE" w:rsidRPr="009E7B2D">
        <w:rPr>
          <w:rFonts w:ascii="Times New Roman" w:hAnsi="Times New Roman" w:cs="Times New Roman"/>
          <w:sz w:val="24"/>
          <w:szCs w:val="24"/>
        </w:rPr>
        <w:t xml:space="preserve">  202</w:t>
      </w:r>
      <w:r w:rsidRPr="009E7B2D">
        <w:rPr>
          <w:rFonts w:ascii="Times New Roman" w:hAnsi="Times New Roman" w:cs="Times New Roman"/>
          <w:sz w:val="24"/>
          <w:szCs w:val="24"/>
        </w:rPr>
        <w:t>3</w:t>
      </w:r>
      <w:proofErr w:type="gramEnd"/>
      <w:r w:rsidRPr="009E7B2D">
        <w:rPr>
          <w:rFonts w:ascii="Times New Roman" w:hAnsi="Times New Roman" w:cs="Times New Roman"/>
          <w:sz w:val="24"/>
          <w:szCs w:val="24"/>
        </w:rPr>
        <w:t xml:space="preserve">). </w:t>
      </w:r>
    </w:p>
    <w:p w:rsidR="005B109A" w:rsidRPr="009E7B2D" w:rsidRDefault="005B109A" w:rsidP="009E7B2D">
      <w:pPr>
        <w:spacing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Harrod-Domar Growth Model</w:t>
      </w:r>
    </w:p>
    <w:p w:rsidR="005B109A" w:rsidRPr="009E7B2D" w:rsidRDefault="005B109A"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lastRenderedPageBreak/>
        <w:t xml:space="preserve">Two Economists Roy </w:t>
      </w:r>
      <w:proofErr w:type="spellStart"/>
      <w:r w:rsidRPr="009E7B2D">
        <w:rPr>
          <w:rFonts w:ascii="Times New Roman" w:hAnsi="Times New Roman" w:cs="Times New Roman"/>
          <w:sz w:val="24"/>
          <w:szCs w:val="24"/>
        </w:rPr>
        <w:t>Harrord</w:t>
      </w:r>
      <w:proofErr w:type="spellEnd"/>
      <w:r w:rsidRPr="009E7B2D">
        <w:rPr>
          <w:rFonts w:ascii="Times New Roman" w:hAnsi="Times New Roman" w:cs="Times New Roman"/>
          <w:sz w:val="24"/>
          <w:szCs w:val="24"/>
        </w:rPr>
        <w:t xml:space="preserve"> (1936) and </w:t>
      </w:r>
      <w:proofErr w:type="spellStart"/>
      <w:r w:rsidRPr="009E7B2D">
        <w:rPr>
          <w:rFonts w:ascii="Times New Roman" w:hAnsi="Times New Roman" w:cs="Times New Roman"/>
          <w:sz w:val="24"/>
          <w:szCs w:val="24"/>
        </w:rPr>
        <w:t>Evesey</w:t>
      </w:r>
      <w:proofErr w:type="spellEnd"/>
      <w:r w:rsidRPr="009E7B2D">
        <w:rPr>
          <w:rFonts w:ascii="Times New Roman" w:hAnsi="Times New Roman" w:cs="Times New Roman"/>
          <w:sz w:val="24"/>
          <w:szCs w:val="24"/>
        </w:rPr>
        <w:t xml:space="preserve"> </w:t>
      </w:r>
      <w:proofErr w:type="spellStart"/>
      <w:r w:rsidRPr="009E7B2D">
        <w:rPr>
          <w:rFonts w:ascii="Times New Roman" w:hAnsi="Times New Roman" w:cs="Times New Roman"/>
          <w:sz w:val="24"/>
          <w:szCs w:val="24"/>
        </w:rPr>
        <w:t>Domar</w:t>
      </w:r>
      <w:proofErr w:type="spellEnd"/>
      <w:r w:rsidRPr="009E7B2D">
        <w:rPr>
          <w:rFonts w:ascii="Times New Roman" w:hAnsi="Times New Roman" w:cs="Times New Roman"/>
          <w:sz w:val="24"/>
          <w:szCs w:val="24"/>
        </w:rPr>
        <w:t xml:space="preserve"> (1946) came through different routes, to the same conclusion; economic growth is dependent on national savings rate and capital-output ratio. </w:t>
      </w:r>
      <w:proofErr w:type="spellStart"/>
      <w:r w:rsidRPr="009E7B2D">
        <w:rPr>
          <w:rFonts w:ascii="Times New Roman" w:hAnsi="Times New Roman" w:cs="Times New Roman"/>
          <w:sz w:val="24"/>
          <w:szCs w:val="24"/>
        </w:rPr>
        <w:t>Harrod</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Domar</w:t>
      </w:r>
      <w:proofErr w:type="spellEnd"/>
      <w:r w:rsidRPr="009E7B2D">
        <w:rPr>
          <w:rFonts w:ascii="Times New Roman" w:hAnsi="Times New Roman" w:cs="Times New Roman"/>
          <w:sz w:val="24"/>
          <w:szCs w:val="24"/>
        </w:rPr>
        <w:t xml:space="preserve"> assign a key role to investment in the process of economic growth. They lay emphasis on the dual character of investment. First, it creates income and secondly, it augments the productive capacity of the economy by increasing its capital stocks </w:t>
      </w:r>
      <w:r w:rsidRPr="009E7B2D">
        <w:rPr>
          <w:rFonts w:ascii="Times New Roman" w:hAnsi="Times New Roman" w:cs="Times New Roman"/>
          <w:color w:val="000000"/>
          <w:sz w:val="24"/>
          <w:szCs w:val="24"/>
        </w:rPr>
        <w:t>(</w:t>
      </w:r>
      <w:proofErr w:type="spellStart"/>
      <w:r w:rsidRPr="009E7B2D">
        <w:rPr>
          <w:rFonts w:ascii="Times New Roman" w:hAnsi="Times New Roman" w:cs="Times New Roman"/>
          <w:color w:val="000000"/>
          <w:sz w:val="24"/>
          <w:szCs w:val="24"/>
        </w:rPr>
        <w:t>Jhingan</w:t>
      </w:r>
      <w:proofErr w:type="spellEnd"/>
      <w:r w:rsidRPr="009E7B2D">
        <w:rPr>
          <w:rFonts w:ascii="Times New Roman" w:hAnsi="Times New Roman" w:cs="Times New Roman"/>
          <w:color w:val="000000"/>
          <w:sz w:val="24"/>
          <w:szCs w:val="24"/>
        </w:rPr>
        <w:t>, 2007)</w:t>
      </w:r>
      <w:r w:rsidRPr="009E7B2D">
        <w:rPr>
          <w:rFonts w:ascii="Times New Roman" w:hAnsi="Times New Roman" w:cs="Times New Roman"/>
          <w:sz w:val="24"/>
          <w:szCs w:val="24"/>
        </w:rPr>
        <w:t>. In order to grow, economies have to invest in net additions to capital stock and the effectiveness of these capital investments on economic output is determined by the productivity, described by the capital-output ratio (</w:t>
      </w:r>
      <w:proofErr w:type="spellStart"/>
      <w:r w:rsidRPr="009E7B2D">
        <w:rPr>
          <w:rFonts w:ascii="Times New Roman" w:hAnsi="Times New Roman" w:cs="Times New Roman"/>
          <w:sz w:val="24"/>
          <w:szCs w:val="24"/>
        </w:rPr>
        <w:t>Todaro</w:t>
      </w:r>
      <w:proofErr w:type="spellEnd"/>
      <w:r w:rsidRPr="009E7B2D">
        <w:rPr>
          <w:rFonts w:ascii="Times New Roman" w:hAnsi="Times New Roman" w:cs="Times New Roman"/>
          <w:sz w:val="24"/>
          <w:szCs w:val="24"/>
        </w:rPr>
        <w:t>, 2003). The model provides a simple logic for explaining the missing growth of developing countries, because it assumes that the main obstacle to increasing economic growth is the low capital accumulation. This means, that developing countries need to invest more, by increasing their national savings rate, in order to grow at a higher rate. This provided a very clear instruction for donor agencies and governments working to promote growth in developing coun</w:t>
      </w:r>
      <w:r w:rsidR="00943E70">
        <w:rPr>
          <w:rFonts w:ascii="Times New Roman" w:hAnsi="Times New Roman" w:cs="Times New Roman"/>
          <w:sz w:val="24"/>
          <w:szCs w:val="24"/>
        </w:rPr>
        <w:t xml:space="preserve">tries during the 20th century.  </w:t>
      </w:r>
      <w:r w:rsidRPr="009E7B2D">
        <w:rPr>
          <w:rFonts w:ascii="Times New Roman" w:hAnsi="Times New Roman" w:cs="Times New Roman"/>
          <w:sz w:val="24"/>
          <w:szCs w:val="24"/>
        </w:rPr>
        <w:t>The "capital constraint" that developing nations, according to the Harrod-Domar model, faced, could be filled with transfers of capital from the developed world, be it private FDI flows or official aid transfers. The Harrod-Domar model has been criticized for only including investments as an explanation for economic growth. It ignores factors such as human capital, institutional framework and structural condition. In many developing countries, these factors are not in place and in that case, increased savings will not necessarily lead to increased growth (</w:t>
      </w:r>
      <w:proofErr w:type="spellStart"/>
      <w:r w:rsidRPr="009E7B2D">
        <w:rPr>
          <w:rFonts w:ascii="Times New Roman" w:hAnsi="Times New Roman" w:cs="Times New Roman"/>
          <w:sz w:val="24"/>
          <w:szCs w:val="24"/>
        </w:rPr>
        <w:t>Todaro</w:t>
      </w:r>
      <w:proofErr w:type="spellEnd"/>
      <w:r w:rsidRPr="009E7B2D">
        <w:rPr>
          <w:rFonts w:ascii="Times New Roman" w:hAnsi="Times New Roman" w:cs="Times New Roman"/>
          <w:sz w:val="24"/>
          <w:szCs w:val="24"/>
        </w:rPr>
        <w:t>, 2003).</w:t>
      </w:r>
    </w:p>
    <w:p w:rsidR="005B109A" w:rsidRPr="009E7B2D" w:rsidRDefault="005B109A" w:rsidP="009E7B2D">
      <w:pPr>
        <w:spacing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Neoclassical growth theory</w:t>
      </w:r>
    </w:p>
    <w:p w:rsidR="005B109A" w:rsidRPr="009E7B2D" w:rsidRDefault="005B109A"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Robert Solow developed the neoclassical growth model in the 1956 as an alternative to, and an improvement of the Harrod-Domar model. </w:t>
      </w:r>
      <w:r w:rsidRPr="009E7B2D">
        <w:rPr>
          <w:rFonts w:ascii="Times New Roman" w:hAnsi="Times New Roman" w:cs="Times New Roman"/>
          <w:color w:val="000000"/>
          <w:sz w:val="24"/>
          <w:szCs w:val="24"/>
        </w:rPr>
        <w:t>Solow recognized that the inputs of physical capital (K) and labour (L) did not encapsulate all of the information relevant to understanding the size, strength, and growth potential of a particular economy.</w:t>
      </w:r>
      <w:r w:rsidRPr="009E7B2D">
        <w:rPr>
          <w:rFonts w:ascii="Times New Roman" w:hAnsi="Times New Roman" w:cs="Times New Roman"/>
          <w:sz w:val="24"/>
          <w:szCs w:val="24"/>
        </w:rPr>
        <w:t xml:space="preserve"> Solow’s model includes technology (A) to the model and allows for substitution between capital and </w:t>
      </w:r>
      <w:proofErr w:type="spellStart"/>
      <w:r w:rsidRPr="009E7B2D">
        <w:rPr>
          <w:rFonts w:ascii="Times New Roman" w:hAnsi="Times New Roman" w:cs="Times New Roman"/>
          <w:sz w:val="24"/>
          <w:szCs w:val="24"/>
        </w:rPr>
        <w:t>labor</w:t>
      </w:r>
      <w:proofErr w:type="spellEnd"/>
      <w:r w:rsidRPr="009E7B2D">
        <w:rPr>
          <w:rFonts w:ascii="Times New Roman" w:hAnsi="Times New Roman" w:cs="Times New Roman"/>
          <w:sz w:val="24"/>
          <w:szCs w:val="24"/>
        </w:rPr>
        <w:t xml:space="preserve">. An important assumption in the model is that there are diminishing returns to capital and effective </w:t>
      </w:r>
      <w:proofErr w:type="spellStart"/>
      <w:r w:rsidRPr="009E7B2D">
        <w:rPr>
          <w:rFonts w:ascii="Times New Roman" w:hAnsi="Times New Roman" w:cs="Times New Roman"/>
          <w:sz w:val="24"/>
          <w:szCs w:val="24"/>
        </w:rPr>
        <w:t>labor</w:t>
      </w:r>
      <w:proofErr w:type="spellEnd"/>
      <w:r w:rsidRPr="009E7B2D">
        <w:rPr>
          <w:rFonts w:ascii="Times New Roman" w:hAnsi="Times New Roman" w:cs="Times New Roman"/>
          <w:sz w:val="24"/>
          <w:szCs w:val="24"/>
        </w:rPr>
        <w:t xml:space="preserve"> (AL). </w:t>
      </w:r>
      <w:r w:rsidRPr="009E7B2D">
        <w:rPr>
          <w:rFonts w:ascii="Times New Roman" w:hAnsi="Times New Roman" w:cs="Times New Roman"/>
          <w:color w:val="000000"/>
          <w:sz w:val="24"/>
          <w:szCs w:val="24"/>
        </w:rPr>
        <w:t>Building on pioneering work that enquired into the effects of technological progress on an economy, Solow understood that a significant portion of economic output is dependent on the rate of technological progress of the economy being studied (</w:t>
      </w:r>
      <w:proofErr w:type="spellStart"/>
      <w:r w:rsidRPr="009E7B2D">
        <w:rPr>
          <w:rFonts w:ascii="Times New Roman" w:hAnsi="Times New Roman" w:cs="Times New Roman"/>
          <w:color w:val="000000"/>
          <w:sz w:val="24"/>
          <w:szCs w:val="24"/>
        </w:rPr>
        <w:t>Todaro</w:t>
      </w:r>
      <w:proofErr w:type="spellEnd"/>
      <w:r w:rsidRPr="009E7B2D">
        <w:rPr>
          <w:rFonts w:ascii="Times New Roman" w:hAnsi="Times New Roman" w:cs="Times New Roman"/>
          <w:color w:val="000000"/>
          <w:sz w:val="24"/>
          <w:szCs w:val="24"/>
        </w:rPr>
        <w:t>, 2003).</w:t>
      </w:r>
      <w:r w:rsidRPr="009E7B2D">
        <w:rPr>
          <w:rFonts w:ascii="Times New Roman" w:hAnsi="Times New Roman" w:cs="Times New Roman"/>
          <w:sz w:val="24"/>
          <w:szCs w:val="24"/>
        </w:rPr>
        <w:t xml:space="preserve"> Technological progress is now the factor explaining growth. This technological progress is assumed to be independent of the other factors </w:t>
      </w:r>
      <w:r w:rsidRPr="009E7B2D">
        <w:rPr>
          <w:rFonts w:ascii="Times New Roman" w:hAnsi="Times New Roman" w:cs="Times New Roman"/>
          <w:sz w:val="24"/>
          <w:szCs w:val="24"/>
        </w:rPr>
        <w:lastRenderedPageBreak/>
        <w:t>in the model, i.e. exogenous, and was also called the Solow Residual. Following the notation of Blanchard (2006), the production function in the Solow model is:</w:t>
      </w:r>
    </w:p>
    <w:p w:rsidR="005B109A" w:rsidRPr="009E7B2D" w:rsidRDefault="005B109A" w:rsidP="009E7B2D">
      <w:pPr>
        <w:spacing w:line="360" w:lineRule="auto"/>
        <w:ind w:firstLine="720"/>
        <w:jc w:val="both"/>
        <w:rPr>
          <w:rFonts w:ascii="Times New Roman" w:hAnsi="Times New Roman" w:cs="Times New Roman"/>
          <w:sz w:val="24"/>
          <w:szCs w:val="24"/>
        </w:rPr>
      </w:pPr>
      <m:oMath>
        <m:r>
          <w:rPr>
            <w:rFonts w:ascii="Cambria Math" w:hAnsi="Cambria Math" w:cs="Times New Roman"/>
            <w:sz w:val="24"/>
            <w:szCs w:val="24"/>
          </w:rPr>
          <m:t>Y=f</m:t>
        </m:r>
        <m:d>
          <m:dPr>
            <m:ctrlPr>
              <w:rPr>
                <w:rFonts w:ascii="Cambria Math" w:hAnsi="Cambria Math" w:cs="Times New Roman"/>
                <w:i/>
                <w:sz w:val="24"/>
                <w:szCs w:val="24"/>
              </w:rPr>
            </m:ctrlPr>
          </m:dPr>
          <m:e>
            <m:r>
              <w:rPr>
                <w:rFonts w:ascii="Cambria Math" w:hAnsi="Cambria Math" w:cs="Times New Roman"/>
                <w:sz w:val="24"/>
                <w:szCs w:val="24"/>
              </w:rPr>
              <m:t>K, AL</m:t>
            </m:r>
          </m:e>
        </m:d>
      </m:oMath>
      <w:r w:rsidRPr="009E7B2D">
        <w:rPr>
          <w:rFonts w:ascii="Times New Roman" w:hAnsi="Times New Roman" w:cs="Times New Roman"/>
          <w:sz w:val="24"/>
          <w:szCs w:val="24"/>
        </w:rPr>
        <w:t xml:space="preserve">                                  </w:t>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t xml:space="preserve">          (2.1)</w:t>
      </w:r>
    </w:p>
    <w:p w:rsidR="005B109A" w:rsidRPr="009E7B2D" w:rsidRDefault="005B109A"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Where Y is the national output, which is a function of capital (K) and </w:t>
      </w:r>
      <w:proofErr w:type="spellStart"/>
      <w:r w:rsidRPr="009E7B2D">
        <w:rPr>
          <w:rFonts w:ascii="Times New Roman" w:hAnsi="Times New Roman" w:cs="Times New Roman"/>
          <w:sz w:val="24"/>
          <w:szCs w:val="24"/>
        </w:rPr>
        <w:t>labor</w:t>
      </w:r>
      <w:proofErr w:type="spellEnd"/>
      <w:r w:rsidRPr="009E7B2D">
        <w:rPr>
          <w:rFonts w:ascii="Times New Roman" w:hAnsi="Times New Roman" w:cs="Times New Roman"/>
          <w:sz w:val="24"/>
          <w:szCs w:val="24"/>
        </w:rPr>
        <w:t xml:space="preserve"> (L) multiplied with the state of technology (A). The notion “AL” is the amount of effective </w:t>
      </w:r>
      <w:proofErr w:type="spellStart"/>
      <w:r w:rsidRPr="009E7B2D">
        <w:rPr>
          <w:rFonts w:ascii="Times New Roman" w:hAnsi="Times New Roman" w:cs="Times New Roman"/>
          <w:sz w:val="24"/>
          <w:szCs w:val="24"/>
        </w:rPr>
        <w:t>labor</w:t>
      </w:r>
      <w:proofErr w:type="spellEnd"/>
      <w:r w:rsidRPr="009E7B2D">
        <w:rPr>
          <w:rFonts w:ascii="Times New Roman" w:hAnsi="Times New Roman" w:cs="Times New Roman"/>
          <w:sz w:val="24"/>
          <w:szCs w:val="24"/>
        </w:rPr>
        <w:t>. Because of the assumption about diminishing returns to capital, the production function is a concave shape. Investments (I) are assumed to be equal to savings, which in turn is equal to the national savings rate times output. So investment is equal to savings as a function of capital per effective worker:</w:t>
      </w:r>
    </w:p>
    <w:p w:rsidR="005B109A" w:rsidRPr="009E7B2D" w:rsidRDefault="005B109A" w:rsidP="009E7B2D">
      <w:pPr>
        <w:spacing w:line="360" w:lineRule="auto"/>
        <w:ind w:firstLine="720"/>
        <w:jc w:val="both"/>
        <w:rPr>
          <w:rFonts w:ascii="Times New Roman" w:hAnsi="Times New Roman" w:cs="Times New Roman"/>
          <w:sz w:val="24"/>
          <w:szCs w:val="24"/>
        </w:rPr>
      </w:pPr>
      <m:oMath>
        <m:r>
          <w:rPr>
            <w:rFonts w:ascii="Cambria Math" w:hAnsi="Cambria Math" w:cs="Times New Roman"/>
            <w:sz w:val="24"/>
            <w:szCs w:val="24"/>
          </w:rPr>
          <m:t>I=sf</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AL</m:t>
                </m:r>
              </m:den>
            </m:f>
          </m:e>
        </m:d>
      </m:oMath>
      <w:r w:rsidRPr="009E7B2D">
        <w:rPr>
          <w:rFonts w:ascii="Times New Roman" w:hAnsi="Times New Roman" w:cs="Times New Roman"/>
          <w:sz w:val="24"/>
          <w:szCs w:val="24"/>
        </w:rPr>
        <w:t xml:space="preserve">                        </w:t>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r>
      <w:r w:rsidRPr="009E7B2D">
        <w:rPr>
          <w:rFonts w:ascii="Times New Roman" w:hAnsi="Times New Roman" w:cs="Times New Roman"/>
          <w:sz w:val="24"/>
          <w:szCs w:val="24"/>
        </w:rPr>
        <w:tab/>
        <w:t xml:space="preserve">         (2.2)                                      </w:t>
      </w:r>
    </w:p>
    <w:p w:rsidR="00F55019" w:rsidRPr="009E7B2D" w:rsidRDefault="005B109A"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The last component of the model is the required investment, meaning the level of investment per effective worker that is needed to keep capital per effective worker constant. The investment has to cover depreciation (δ), plus the growth rate of effective worker </w:t>
      </w:r>
      <m:oMath>
        <m:d>
          <m:dPr>
            <m:ctrlPr>
              <w:rPr>
                <w:rFonts w:ascii="Cambria Math" w:hAnsi="Cambria Math" w:cs="Times New Roman"/>
                <w:i/>
                <w:sz w:val="24"/>
                <w:szCs w:val="24"/>
              </w:rPr>
            </m:ctrlPr>
          </m:dPr>
          <m:e>
            <m:r>
              <w:rPr>
                <w:rFonts w:ascii="Cambria Math" w:hAnsi="Cambria Math" w:cs="Times New Roman"/>
                <w:sz w:val="24"/>
                <w:szCs w:val="24"/>
              </w:rPr>
              <m:t>gA+gL</m:t>
            </m:r>
          </m:e>
        </m:d>
        <m:r>
          <w:rPr>
            <w:rFonts w:ascii="Cambria Math" w:hAnsi="Cambria Math" w:cs="Times New Roman"/>
            <w:sz w:val="24"/>
            <w:szCs w:val="24"/>
          </w:rPr>
          <m:t xml:space="preserve"> </m:t>
        </m:r>
      </m:oMath>
      <w:r w:rsidRPr="009E7B2D">
        <w:rPr>
          <w:rFonts w:ascii="Times New Roman" w:eastAsiaTheme="minorEastAsia" w:hAnsi="Times New Roman" w:cs="Times New Roman"/>
          <w:sz w:val="24"/>
          <w:szCs w:val="24"/>
        </w:rPr>
        <w:t xml:space="preserve"> </w:t>
      </w:r>
      <w:r w:rsidRPr="009E7B2D">
        <w:rPr>
          <w:rFonts w:ascii="Times New Roman" w:hAnsi="Times New Roman" w:cs="Times New Roman"/>
          <w:sz w:val="24"/>
          <w:szCs w:val="24"/>
        </w:rPr>
        <w:t xml:space="preserve">times the existing capital per effective worker. So the required investment is:   </w:t>
      </w:r>
      <w:r w:rsidRPr="009E7B2D">
        <w:rPr>
          <w:rFonts w:ascii="Times New Roman" w:hAnsi="Times New Roman" w:cs="Times New Roman"/>
          <w:sz w:val="24"/>
          <w:szCs w:val="24"/>
        </w:rPr>
        <w:tab/>
      </w:r>
    </w:p>
    <w:p w:rsidR="005B109A" w:rsidRPr="009E7B2D" w:rsidRDefault="00F55019"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                   </w:t>
      </w:r>
      <w:r w:rsidR="0094205E" w:rsidRPr="009E7B2D">
        <w:rPr>
          <w:rFonts w:ascii="Times New Roman" w:hAnsi="Times New Roman" w:cs="Times New Roman"/>
          <w:noProof/>
          <w:position w:val="-10"/>
          <w:sz w:val="24"/>
          <w:szCs w:val="24"/>
        </w:rPr>
        <w:object w:dxaOrig="2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5pt" o:ole="">
            <v:imagedata r:id="rId6" o:title=""/>
          </v:shape>
          <o:OLEObject Type="Embed" ProgID="Equation.3" ShapeID="_x0000_i1025" DrawAspect="Content" ObjectID="_1844834669" r:id="rId7"/>
        </w:object>
      </w:r>
      <w:r w:rsidR="005B109A" w:rsidRPr="009E7B2D">
        <w:rPr>
          <w:rFonts w:ascii="Times New Roman" w:hAnsi="Times New Roman" w:cs="Times New Roman"/>
          <w:sz w:val="24"/>
          <w:szCs w:val="24"/>
        </w:rPr>
        <w:t xml:space="preserve">                  </w:t>
      </w:r>
      <w:r w:rsidR="005B109A" w:rsidRPr="009E7B2D">
        <w:rPr>
          <w:rFonts w:ascii="Times New Roman" w:hAnsi="Times New Roman" w:cs="Times New Roman"/>
          <w:sz w:val="24"/>
          <w:szCs w:val="24"/>
        </w:rPr>
        <w:tab/>
      </w:r>
      <w:r w:rsidR="005B109A" w:rsidRPr="009E7B2D">
        <w:rPr>
          <w:rFonts w:ascii="Times New Roman" w:hAnsi="Times New Roman" w:cs="Times New Roman"/>
          <w:sz w:val="24"/>
          <w:szCs w:val="24"/>
        </w:rPr>
        <w:tab/>
      </w:r>
      <w:r w:rsidR="005B109A" w:rsidRPr="009E7B2D">
        <w:rPr>
          <w:rFonts w:ascii="Times New Roman" w:hAnsi="Times New Roman" w:cs="Times New Roman"/>
          <w:sz w:val="24"/>
          <w:szCs w:val="24"/>
        </w:rPr>
        <w:tab/>
      </w:r>
      <w:r w:rsidR="005B109A" w:rsidRPr="009E7B2D">
        <w:rPr>
          <w:rFonts w:ascii="Times New Roman" w:hAnsi="Times New Roman" w:cs="Times New Roman"/>
          <w:sz w:val="24"/>
          <w:szCs w:val="24"/>
        </w:rPr>
        <w:tab/>
      </w:r>
      <w:r w:rsidR="005B109A" w:rsidRPr="009E7B2D">
        <w:rPr>
          <w:rFonts w:ascii="Times New Roman" w:hAnsi="Times New Roman" w:cs="Times New Roman"/>
          <w:sz w:val="24"/>
          <w:szCs w:val="24"/>
        </w:rPr>
        <w:tab/>
        <w:t xml:space="preserve">     (2.3) </w:t>
      </w:r>
    </w:p>
    <w:p w:rsidR="005B109A" w:rsidRPr="009E7B2D" w:rsidRDefault="005B109A"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In the Solow model, the economy is assumed to move towards a steady state equilibrium, in which the amount of investment is exactly enough to cover required investments. If the economy is not in the steady state equilibrium, the model says that it will converge in the long run, to reach this state. As opposed to the Harrod-Domar model, the Solow model concludes, that an increase in savings rate will only have a short run effect on the growth rate. The economy will eventually converge to the new, higher steady state, but growth rate will return to the original. Because of the assumption of diminishing returns to capital, it will require a higher and higher savings rate to sustain an increase in growth rate.</w:t>
      </w:r>
    </w:p>
    <w:p w:rsidR="00DA42D6" w:rsidRPr="009E7B2D" w:rsidRDefault="00DA42D6" w:rsidP="009E7B2D">
      <w:pPr>
        <w:spacing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Empirical Review</w:t>
      </w:r>
    </w:p>
    <w:p w:rsidR="00DA42D6" w:rsidRPr="009E7B2D" w:rsidRDefault="00DA42D6" w:rsidP="009E7B2D">
      <w:pPr>
        <w:spacing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Financial Development and Economic Growth</w:t>
      </w:r>
    </w:p>
    <w:p w:rsidR="005B109A" w:rsidRPr="009E7B2D" w:rsidRDefault="005B109A"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Vietnam, Anwar and Nguyen (2011) considered the link between financial development and economic growth in Vietnam using panel data involving 61 provinces for the period of 1997–2006, they found that financial development has made a significant contribution to economic growth in </w:t>
      </w:r>
      <w:r w:rsidRPr="009E7B2D">
        <w:rPr>
          <w:rFonts w:ascii="Times New Roman" w:hAnsi="Times New Roman" w:cs="Times New Roman"/>
          <w:sz w:val="24"/>
          <w:szCs w:val="24"/>
        </w:rPr>
        <w:lastRenderedPageBreak/>
        <w:t xml:space="preserve">Vietnam. However, in a panel study, </w:t>
      </w:r>
      <w:proofErr w:type="spellStart"/>
      <w:r w:rsidRPr="009E7B2D">
        <w:rPr>
          <w:rFonts w:ascii="Times New Roman" w:hAnsi="Times New Roman" w:cs="Times New Roman"/>
          <w:sz w:val="24"/>
          <w:szCs w:val="24"/>
        </w:rPr>
        <w:t>Cecchetti</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Kharroubi</w:t>
      </w:r>
      <w:proofErr w:type="spellEnd"/>
      <w:r w:rsidRPr="009E7B2D">
        <w:rPr>
          <w:rFonts w:ascii="Times New Roman" w:hAnsi="Times New Roman" w:cs="Times New Roman"/>
          <w:sz w:val="24"/>
          <w:szCs w:val="24"/>
        </w:rPr>
        <w:t xml:space="preserve"> (2012) examined the impact of size and growth of the financial system on productivity growth and economic level using a sample of 50 countries observed over the period 1980- 2009. They found that financial sector size has an inverted U-shaped effect on productivity growth and a further increase in the size of the financial system contributes negatively to TFP growth.</w:t>
      </w:r>
    </w:p>
    <w:p w:rsidR="001D3528" w:rsidRPr="009E7B2D" w:rsidRDefault="003A3B0A"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Ugwuegbe</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Uruakpa</w:t>
      </w:r>
      <w:proofErr w:type="spellEnd"/>
      <w:r w:rsidRPr="009E7B2D">
        <w:rPr>
          <w:rFonts w:ascii="Times New Roman" w:hAnsi="Times New Roman" w:cs="Times New Roman"/>
          <w:sz w:val="24"/>
          <w:szCs w:val="24"/>
        </w:rPr>
        <w:t xml:space="preserve"> (2016</w:t>
      </w:r>
      <w:r w:rsidR="001D3528" w:rsidRPr="009E7B2D">
        <w:rPr>
          <w:rFonts w:ascii="Times New Roman" w:hAnsi="Times New Roman" w:cs="Times New Roman"/>
          <w:sz w:val="24"/>
          <w:szCs w:val="24"/>
        </w:rPr>
        <w:t xml:space="preserve">) examined the </w:t>
      </w:r>
      <w:r w:rsidRPr="009E7B2D">
        <w:rPr>
          <w:rFonts w:ascii="Times New Roman" w:hAnsi="Times New Roman" w:cs="Times New Roman"/>
          <w:sz w:val="24"/>
          <w:szCs w:val="24"/>
        </w:rPr>
        <w:t xml:space="preserve">relationship between financial development and </w:t>
      </w:r>
      <w:r w:rsidR="001D3528" w:rsidRPr="009E7B2D">
        <w:rPr>
          <w:rFonts w:ascii="Times New Roman" w:hAnsi="Times New Roman" w:cs="Times New Roman"/>
          <w:sz w:val="24"/>
          <w:szCs w:val="24"/>
        </w:rPr>
        <w:t>economic growth</w:t>
      </w:r>
      <w:r w:rsidR="00E763BE" w:rsidRPr="009E7B2D">
        <w:rPr>
          <w:rFonts w:ascii="Times New Roman" w:hAnsi="Times New Roman" w:cs="Times New Roman"/>
          <w:sz w:val="24"/>
          <w:szCs w:val="24"/>
        </w:rPr>
        <w:t xml:space="preserve"> from 1987 – 2014 using VEC causality and ARDL estimation techniques,</w:t>
      </w:r>
      <w:r w:rsidR="001D3528" w:rsidRPr="009E7B2D">
        <w:rPr>
          <w:rFonts w:ascii="Times New Roman" w:hAnsi="Times New Roman" w:cs="Times New Roman"/>
          <w:sz w:val="24"/>
          <w:szCs w:val="24"/>
        </w:rPr>
        <w:t xml:space="preserve"> </w:t>
      </w:r>
      <w:proofErr w:type="gramStart"/>
      <w:r w:rsidR="001D3528" w:rsidRPr="009E7B2D">
        <w:rPr>
          <w:rFonts w:ascii="Times New Roman" w:hAnsi="Times New Roman" w:cs="Times New Roman"/>
          <w:sz w:val="24"/>
          <w:szCs w:val="24"/>
        </w:rPr>
        <w:t>The</w:t>
      </w:r>
      <w:proofErr w:type="gramEnd"/>
      <w:r w:rsidR="001D3528" w:rsidRPr="009E7B2D">
        <w:rPr>
          <w:rFonts w:ascii="Times New Roman" w:hAnsi="Times New Roman" w:cs="Times New Roman"/>
          <w:sz w:val="24"/>
          <w:szCs w:val="24"/>
        </w:rPr>
        <w:t xml:space="preserve"> study found that</w:t>
      </w:r>
      <w:r w:rsidRPr="009E7B2D">
        <w:rPr>
          <w:rFonts w:ascii="Times New Roman" w:hAnsi="Times New Roman" w:cs="Times New Roman"/>
          <w:sz w:val="24"/>
          <w:szCs w:val="24"/>
        </w:rPr>
        <w:t xml:space="preserve"> financial development was </w:t>
      </w:r>
      <w:proofErr w:type="spellStart"/>
      <w:r w:rsidRPr="009E7B2D">
        <w:rPr>
          <w:rFonts w:ascii="Times New Roman" w:hAnsi="Times New Roman" w:cs="Times New Roman"/>
          <w:sz w:val="24"/>
          <w:szCs w:val="24"/>
        </w:rPr>
        <w:t>proxied</w:t>
      </w:r>
      <w:proofErr w:type="spellEnd"/>
      <w:r w:rsidRPr="009E7B2D">
        <w:rPr>
          <w:rFonts w:ascii="Times New Roman" w:hAnsi="Times New Roman" w:cs="Times New Roman"/>
          <w:sz w:val="24"/>
          <w:szCs w:val="24"/>
        </w:rPr>
        <w:t xml:space="preserve"> by credit to the private sector, money supply and market capitalization, while economic growth was measured by GDP. </w:t>
      </w:r>
      <w:r w:rsidR="00A85CBD" w:rsidRPr="009E7B2D">
        <w:rPr>
          <w:rFonts w:ascii="Times New Roman" w:hAnsi="Times New Roman" w:cs="Times New Roman"/>
          <w:sz w:val="24"/>
          <w:szCs w:val="24"/>
        </w:rPr>
        <w:t xml:space="preserve">The finding reveals that </w:t>
      </w:r>
      <w:proofErr w:type="spellStart"/>
      <w:r w:rsidR="00A85CBD" w:rsidRPr="009E7B2D">
        <w:rPr>
          <w:rFonts w:ascii="Times New Roman" w:hAnsi="Times New Roman" w:cs="Times New Roman"/>
          <w:sz w:val="24"/>
          <w:szCs w:val="24"/>
        </w:rPr>
        <w:t>fianancial</w:t>
      </w:r>
      <w:proofErr w:type="spellEnd"/>
      <w:r w:rsidR="00A85CBD" w:rsidRPr="009E7B2D">
        <w:rPr>
          <w:rFonts w:ascii="Times New Roman" w:hAnsi="Times New Roman" w:cs="Times New Roman"/>
          <w:sz w:val="24"/>
          <w:szCs w:val="24"/>
        </w:rPr>
        <w:t xml:space="preserve"> development has a positive and significant effect on economic growth in the long run</w:t>
      </w:r>
      <w:r w:rsidR="00E763BE" w:rsidRPr="009E7B2D">
        <w:rPr>
          <w:rFonts w:ascii="Times New Roman" w:hAnsi="Times New Roman" w:cs="Times New Roman"/>
          <w:sz w:val="24"/>
          <w:szCs w:val="24"/>
        </w:rPr>
        <w:t xml:space="preserve"> </w:t>
      </w:r>
      <w:r w:rsidR="001D3528" w:rsidRPr="009E7B2D">
        <w:rPr>
          <w:rFonts w:ascii="Times New Roman" w:hAnsi="Times New Roman" w:cs="Times New Roman"/>
          <w:sz w:val="24"/>
          <w:szCs w:val="24"/>
        </w:rPr>
        <w:t xml:space="preserve">However, </w:t>
      </w:r>
      <w:proofErr w:type="spellStart"/>
      <w:r w:rsidR="001D3528" w:rsidRPr="009E7B2D">
        <w:rPr>
          <w:rFonts w:ascii="Times New Roman" w:hAnsi="Times New Roman" w:cs="Times New Roman"/>
          <w:sz w:val="24"/>
          <w:szCs w:val="24"/>
        </w:rPr>
        <w:t>Gautam</w:t>
      </w:r>
      <w:proofErr w:type="spellEnd"/>
      <w:r w:rsidR="001D3528" w:rsidRPr="009E7B2D">
        <w:rPr>
          <w:rFonts w:ascii="Times New Roman" w:hAnsi="Times New Roman" w:cs="Times New Roman"/>
          <w:sz w:val="24"/>
          <w:szCs w:val="24"/>
        </w:rPr>
        <w:t xml:space="preserve"> (2014) examined the relationship between economic growth and financial development in Nepal between 1975 and 2012. The result of the vector error correction method confirms that the financial development causes economic growth. That is, financial development is the cause for economic growth in terms of short-term dynamics, while economic growth sustains financial development in the long-run.</w:t>
      </w:r>
    </w:p>
    <w:p w:rsidR="00A85CBD" w:rsidRPr="009E7B2D" w:rsidRDefault="00A85CBD"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Ezeanyeji</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Ifurueze</w:t>
      </w:r>
      <w:proofErr w:type="spellEnd"/>
      <w:r w:rsidRPr="009E7B2D">
        <w:rPr>
          <w:rFonts w:ascii="Times New Roman" w:hAnsi="Times New Roman" w:cs="Times New Roman"/>
          <w:sz w:val="24"/>
          <w:szCs w:val="24"/>
        </w:rPr>
        <w:t xml:space="preserve"> (2017</w:t>
      </w:r>
      <w:r w:rsidR="001D3528" w:rsidRPr="009E7B2D">
        <w:rPr>
          <w:rFonts w:ascii="Times New Roman" w:hAnsi="Times New Roman" w:cs="Times New Roman"/>
          <w:sz w:val="24"/>
          <w:szCs w:val="24"/>
        </w:rPr>
        <w:t xml:space="preserve">) </w:t>
      </w:r>
      <w:r w:rsidRPr="009E7B2D">
        <w:rPr>
          <w:rFonts w:ascii="Times New Roman" w:hAnsi="Times New Roman" w:cs="Times New Roman"/>
          <w:sz w:val="24"/>
          <w:szCs w:val="24"/>
        </w:rPr>
        <w:t xml:space="preserve">investigate the effect of financial development </w:t>
      </w:r>
      <w:proofErr w:type="spellStart"/>
      <w:r w:rsidRPr="009E7B2D">
        <w:rPr>
          <w:rFonts w:ascii="Times New Roman" w:hAnsi="Times New Roman" w:cs="Times New Roman"/>
          <w:sz w:val="24"/>
          <w:szCs w:val="24"/>
        </w:rPr>
        <w:t>deeping</w:t>
      </w:r>
      <w:proofErr w:type="spellEnd"/>
      <w:r w:rsidRPr="009E7B2D">
        <w:rPr>
          <w:rFonts w:ascii="Times New Roman" w:hAnsi="Times New Roman" w:cs="Times New Roman"/>
          <w:sz w:val="24"/>
          <w:szCs w:val="24"/>
        </w:rPr>
        <w:t xml:space="preserve"> on economic growth in Nigeria using </w:t>
      </w:r>
      <w:proofErr w:type="spellStart"/>
      <w:r w:rsidR="001D3528" w:rsidRPr="009E7B2D">
        <w:rPr>
          <w:rFonts w:ascii="Times New Roman" w:hAnsi="Times New Roman" w:cs="Times New Roman"/>
          <w:sz w:val="24"/>
          <w:szCs w:val="24"/>
        </w:rPr>
        <w:t>cointegration</w:t>
      </w:r>
      <w:proofErr w:type="spellEnd"/>
      <w:r w:rsidR="001D3528" w:rsidRPr="009E7B2D">
        <w:rPr>
          <w:rFonts w:ascii="Times New Roman" w:hAnsi="Times New Roman" w:cs="Times New Roman"/>
          <w:sz w:val="24"/>
          <w:szCs w:val="24"/>
        </w:rPr>
        <w:t>, Fully-Modified Ordinary Least Squares (FMOLS), Error Correction and the Generalized Method of Moments (GMM) techniques</w:t>
      </w:r>
      <w:r w:rsidRPr="009E7B2D">
        <w:rPr>
          <w:rFonts w:ascii="Times New Roman" w:hAnsi="Times New Roman" w:cs="Times New Roman"/>
          <w:sz w:val="24"/>
          <w:szCs w:val="24"/>
        </w:rPr>
        <w:t xml:space="preserve"> covering the period of 1986-2015</w:t>
      </w:r>
      <w:r w:rsidR="001D3528" w:rsidRPr="009E7B2D">
        <w:rPr>
          <w:rFonts w:ascii="Times New Roman" w:hAnsi="Times New Roman" w:cs="Times New Roman"/>
          <w:sz w:val="24"/>
          <w:szCs w:val="24"/>
        </w:rPr>
        <w:t>. Three measures of financial development are used: domestic credit as a share of GDP; domestic credit to private sector as a share of GDP and broad money supply as a share of GDP.</w:t>
      </w:r>
      <w:r w:rsidRPr="009E7B2D">
        <w:rPr>
          <w:rFonts w:ascii="Times New Roman" w:hAnsi="Times New Roman" w:cs="Times New Roman"/>
          <w:sz w:val="24"/>
          <w:szCs w:val="24"/>
        </w:rPr>
        <w:t xml:space="preserve"> The result showed that broad money supply and credit to the private sector significantly influence economic growth. Similarly, </w:t>
      </w:r>
      <w:proofErr w:type="spellStart"/>
      <w:r w:rsidRPr="009E7B2D">
        <w:rPr>
          <w:rFonts w:ascii="Times New Roman" w:hAnsi="Times New Roman" w:cs="Times New Roman"/>
          <w:sz w:val="24"/>
          <w:szCs w:val="24"/>
        </w:rPr>
        <w:t>Adegbite</w:t>
      </w:r>
      <w:proofErr w:type="spellEnd"/>
      <w:r w:rsidRPr="009E7B2D">
        <w:rPr>
          <w:rFonts w:ascii="Times New Roman" w:hAnsi="Times New Roman" w:cs="Times New Roman"/>
          <w:sz w:val="24"/>
          <w:szCs w:val="24"/>
        </w:rPr>
        <w:t xml:space="preserve"> and </w:t>
      </w:r>
      <w:proofErr w:type="spellStart"/>
      <w:proofErr w:type="gramStart"/>
      <w:r w:rsidRPr="009E7B2D">
        <w:rPr>
          <w:rFonts w:ascii="Times New Roman" w:hAnsi="Times New Roman" w:cs="Times New Roman"/>
          <w:sz w:val="24"/>
          <w:szCs w:val="24"/>
        </w:rPr>
        <w:t>Adetiloye</w:t>
      </w:r>
      <w:proofErr w:type="spellEnd"/>
      <w:r w:rsidRPr="009E7B2D">
        <w:rPr>
          <w:rFonts w:ascii="Times New Roman" w:hAnsi="Times New Roman" w:cs="Times New Roman"/>
          <w:sz w:val="24"/>
          <w:szCs w:val="24"/>
        </w:rPr>
        <w:t xml:space="preserve">  (</w:t>
      </w:r>
      <w:proofErr w:type="gramEnd"/>
      <w:r w:rsidRPr="009E7B2D">
        <w:rPr>
          <w:rFonts w:ascii="Times New Roman" w:hAnsi="Times New Roman" w:cs="Times New Roman"/>
          <w:sz w:val="24"/>
          <w:szCs w:val="24"/>
        </w:rPr>
        <w:t>2018</w:t>
      </w:r>
      <w:r w:rsidR="001D3528" w:rsidRPr="009E7B2D">
        <w:rPr>
          <w:rFonts w:ascii="Times New Roman" w:hAnsi="Times New Roman" w:cs="Times New Roman"/>
          <w:sz w:val="24"/>
          <w:szCs w:val="24"/>
        </w:rPr>
        <w:t xml:space="preserve">) employed </w:t>
      </w:r>
      <w:r w:rsidRPr="009E7B2D">
        <w:rPr>
          <w:rFonts w:ascii="Times New Roman" w:hAnsi="Times New Roman" w:cs="Times New Roman"/>
          <w:sz w:val="24"/>
          <w:szCs w:val="24"/>
        </w:rPr>
        <w:t xml:space="preserve"> Johansen </w:t>
      </w:r>
      <w:r w:rsidR="001D3528" w:rsidRPr="009E7B2D">
        <w:rPr>
          <w:rFonts w:ascii="Times New Roman" w:hAnsi="Times New Roman" w:cs="Times New Roman"/>
          <w:sz w:val="24"/>
          <w:szCs w:val="24"/>
        </w:rPr>
        <w:t xml:space="preserve">co-integration, Fully-Modified Ordinary Least Squares (FMOLS), Error Correction and the Generalized Method of Moments (GMM) techniques to investigate the relationship between economic growth and financial development </w:t>
      </w:r>
      <w:r w:rsidRPr="009E7B2D">
        <w:rPr>
          <w:rFonts w:ascii="Times New Roman" w:hAnsi="Times New Roman" w:cs="Times New Roman"/>
          <w:sz w:val="24"/>
          <w:szCs w:val="24"/>
        </w:rPr>
        <w:t>in Nigeria from 1980 to 2016</w:t>
      </w:r>
      <w:r w:rsidR="001D3528" w:rsidRPr="009E7B2D">
        <w:rPr>
          <w:rFonts w:ascii="Times New Roman" w:hAnsi="Times New Roman" w:cs="Times New Roman"/>
          <w:sz w:val="24"/>
          <w:szCs w:val="24"/>
        </w:rPr>
        <w:t xml:space="preserve">. Three measures of financial development were used: domestic credit as a share of GDP; domestic credit to private sector as a share of GDP and broad money supply as a share of GDP. The result of the study showed </w:t>
      </w:r>
      <w:r w:rsidRPr="009E7B2D">
        <w:rPr>
          <w:rFonts w:ascii="Times New Roman" w:hAnsi="Times New Roman" w:cs="Times New Roman"/>
          <w:sz w:val="24"/>
          <w:szCs w:val="24"/>
        </w:rPr>
        <w:t>gross domestic capital formation significant contributes to economic growth in Nigeria.</w:t>
      </w:r>
    </w:p>
    <w:p w:rsidR="001D3528" w:rsidRPr="009E7B2D" w:rsidRDefault="00211329"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Ibrahim and </w:t>
      </w:r>
      <w:proofErr w:type="spellStart"/>
      <w:r w:rsidRPr="009E7B2D">
        <w:rPr>
          <w:rFonts w:ascii="Times New Roman" w:hAnsi="Times New Roman" w:cs="Times New Roman"/>
          <w:sz w:val="24"/>
          <w:szCs w:val="24"/>
        </w:rPr>
        <w:t>Alagidede</w:t>
      </w:r>
      <w:proofErr w:type="spellEnd"/>
      <w:r w:rsidRPr="009E7B2D">
        <w:rPr>
          <w:rFonts w:ascii="Times New Roman" w:hAnsi="Times New Roman" w:cs="Times New Roman"/>
          <w:sz w:val="24"/>
          <w:szCs w:val="24"/>
        </w:rPr>
        <w:t xml:space="preserve"> (2018)</w:t>
      </w:r>
      <w:r w:rsidR="001D3528" w:rsidRPr="009E7B2D">
        <w:rPr>
          <w:rFonts w:ascii="Times New Roman" w:hAnsi="Times New Roman" w:cs="Times New Roman"/>
          <w:sz w:val="24"/>
          <w:szCs w:val="24"/>
        </w:rPr>
        <w:t xml:space="preserve"> investigated the long-run growth effects of financial developm</w:t>
      </w:r>
      <w:r w:rsidRPr="009E7B2D">
        <w:rPr>
          <w:rFonts w:ascii="Times New Roman" w:hAnsi="Times New Roman" w:cs="Times New Roman"/>
          <w:sz w:val="24"/>
          <w:szCs w:val="24"/>
        </w:rPr>
        <w:t>ent on economic growth in Nigeria over the period of 1980 to 2015</w:t>
      </w:r>
      <w:r w:rsidR="001D3528" w:rsidRPr="009E7B2D">
        <w:rPr>
          <w:rFonts w:ascii="Times New Roman" w:hAnsi="Times New Roman" w:cs="Times New Roman"/>
          <w:sz w:val="24"/>
          <w:szCs w:val="24"/>
        </w:rPr>
        <w:t xml:space="preserve">. The result of the ARDL estimation technique revealed that both the credit to the private sector as ratios to GDP and total domestic </w:t>
      </w:r>
      <w:r w:rsidR="001D3528" w:rsidRPr="009E7B2D">
        <w:rPr>
          <w:rFonts w:ascii="Times New Roman" w:hAnsi="Times New Roman" w:cs="Times New Roman"/>
          <w:sz w:val="24"/>
          <w:szCs w:val="24"/>
        </w:rPr>
        <w:lastRenderedPageBreak/>
        <w:t>credit are conducive for growth, while broad money stock to GDP ratio is not growth-inducing.</w:t>
      </w:r>
      <w:r w:rsidR="00E763BE" w:rsidRPr="009E7B2D">
        <w:rPr>
          <w:rFonts w:ascii="Times New Roman" w:hAnsi="Times New Roman" w:cs="Times New Roman"/>
          <w:sz w:val="24"/>
          <w:szCs w:val="24"/>
        </w:rPr>
        <w:t xml:space="preserve"> </w:t>
      </w:r>
      <w:r w:rsidRPr="009E7B2D">
        <w:rPr>
          <w:rFonts w:ascii="Times New Roman" w:hAnsi="Times New Roman" w:cs="Times New Roman"/>
          <w:sz w:val="24"/>
          <w:szCs w:val="24"/>
        </w:rPr>
        <w:t xml:space="preserve">The findings indicated that financial development </w:t>
      </w:r>
      <w:r w:rsidR="00E763BE" w:rsidRPr="009E7B2D">
        <w:rPr>
          <w:rFonts w:ascii="Times New Roman" w:hAnsi="Times New Roman" w:cs="Times New Roman"/>
          <w:sz w:val="24"/>
          <w:szCs w:val="24"/>
        </w:rPr>
        <w:t>indicators</w:t>
      </w:r>
      <w:r w:rsidRPr="009E7B2D">
        <w:rPr>
          <w:rFonts w:ascii="Times New Roman" w:hAnsi="Times New Roman" w:cs="Times New Roman"/>
          <w:sz w:val="24"/>
          <w:szCs w:val="24"/>
        </w:rPr>
        <w:t xml:space="preserve"> such as credit to private sector and financial depth have positive impact on economic growth. </w:t>
      </w:r>
      <w:r w:rsidR="001D3528" w:rsidRPr="009E7B2D">
        <w:rPr>
          <w:rFonts w:ascii="Times New Roman" w:hAnsi="Times New Roman" w:cs="Times New Roman"/>
          <w:sz w:val="24"/>
          <w:szCs w:val="24"/>
        </w:rPr>
        <w:t xml:space="preserve"> </w:t>
      </w:r>
    </w:p>
    <w:p w:rsidR="0016118B" w:rsidRPr="009E7B2D" w:rsidRDefault="0016118B"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Ozor</w:t>
      </w:r>
      <w:proofErr w:type="spellEnd"/>
      <w:r w:rsidRPr="009E7B2D">
        <w:rPr>
          <w:rFonts w:ascii="Times New Roman" w:hAnsi="Times New Roman" w:cs="Times New Roman"/>
          <w:sz w:val="24"/>
          <w:szCs w:val="24"/>
        </w:rPr>
        <w:t xml:space="preserve">, </w:t>
      </w:r>
      <w:proofErr w:type="spellStart"/>
      <w:r w:rsidRPr="009E7B2D">
        <w:rPr>
          <w:rFonts w:ascii="Times New Roman" w:hAnsi="Times New Roman" w:cs="Times New Roman"/>
          <w:sz w:val="24"/>
          <w:szCs w:val="24"/>
        </w:rPr>
        <w:t>Agbaeze</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Nwoko</w:t>
      </w:r>
      <w:proofErr w:type="spellEnd"/>
      <w:r w:rsidRPr="009E7B2D">
        <w:rPr>
          <w:rFonts w:ascii="Times New Roman" w:hAnsi="Times New Roman" w:cs="Times New Roman"/>
          <w:sz w:val="24"/>
          <w:szCs w:val="24"/>
        </w:rPr>
        <w:t xml:space="preserve"> (2023</w:t>
      </w:r>
      <w:r w:rsidR="005B109A" w:rsidRPr="009E7B2D">
        <w:rPr>
          <w:rFonts w:ascii="Times New Roman" w:hAnsi="Times New Roman" w:cs="Times New Roman"/>
          <w:sz w:val="24"/>
          <w:szCs w:val="24"/>
        </w:rPr>
        <w:t xml:space="preserve">) investigated the relationship between financial development and economic growth in </w:t>
      </w:r>
      <w:r w:rsidRPr="009E7B2D">
        <w:rPr>
          <w:rFonts w:ascii="Times New Roman" w:hAnsi="Times New Roman" w:cs="Times New Roman"/>
          <w:sz w:val="24"/>
          <w:szCs w:val="24"/>
        </w:rPr>
        <w:t>Nigeria from 1986 to 2021</w:t>
      </w:r>
      <w:r w:rsidR="005B109A" w:rsidRPr="009E7B2D">
        <w:rPr>
          <w:rFonts w:ascii="Times New Roman" w:hAnsi="Times New Roman" w:cs="Times New Roman"/>
          <w:sz w:val="24"/>
          <w:szCs w:val="24"/>
        </w:rPr>
        <w:t xml:space="preserve"> using </w:t>
      </w:r>
      <w:r w:rsidRPr="009E7B2D">
        <w:rPr>
          <w:rFonts w:ascii="Times New Roman" w:hAnsi="Times New Roman" w:cs="Times New Roman"/>
          <w:sz w:val="24"/>
          <w:szCs w:val="24"/>
        </w:rPr>
        <w:t xml:space="preserve">ARDL estimation technique and </w:t>
      </w:r>
      <w:r w:rsidR="005B109A" w:rsidRPr="009E7B2D">
        <w:rPr>
          <w:rFonts w:ascii="Times New Roman" w:hAnsi="Times New Roman" w:cs="Times New Roman"/>
          <w:sz w:val="24"/>
          <w:szCs w:val="24"/>
        </w:rPr>
        <w:t xml:space="preserve">observed that foreign direct investment (FDI), foreign equity portfolio investment (FEPI) and private debt flows (PDI) impact economic growth negatively while private capital flow (PCF) significantly affects </w:t>
      </w:r>
      <w:r w:rsidRPr="009E7B2D">
        <w:rPr>
          <w:rFonts w:ascii="Times New Roman" w:hAnsi="Times New Roman" w:cs="Times New Roman"/>
          <w:sz w:val="24"/>
          <w:szCs w:val="24"/>
        </w:rPr>
        <w:t>economic growth positively. The study</w:t>
      </w:r>
      <w:r w:rsidR="005B109A" w:rsidRPr="009E7B2D">
        <w:rPr>
          <w:rFonts w:ascii="Times New Roman" w:hAnsi="Times New Roman" w:cs="Times New Roman"/>
          <w:sz w:val="24"/>
          <w:szCs w:val="24"/>
        </w:rPr>
        <w:t xml:space="preserve"> submitted that in the long run, financial development significantly impacted growth. In contrast, </w:t>
      </w:r>
    </w:p>
    <w:p w:rsidR="005B109A" w:rsidRPr="009E7B2D" w:rsidRDefault="0016118B"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Okete</w:t>
      </w:r>
      <w:proofErr w:type="spellEnd"/>
      <w:r w:rsidRPr="009E7B2D">
        <w:rPr>
          <w:rFonts w:ascii="Times New Roman" w:hAnsi="Times New Roman" w:cs="Times New Roman"/>
          <w:sz w:val="24"/>
          <w:szCs w:val="24"/>
        </w:rPr>
        <w:t xml:space="preserve"> and Camillus (2024</w:t>
      </w:r>
      <w:r w:rsidR="005B109A" w:rsidRPr="009E7B2D">
        <w:rPr>
          <w:rFonts w:ascii="Times New Roman" w:hAnsi="Times New Roman" w:cs="Times New Roman"/>
          <w:sz w:val="24"/>
          <w:szCs w:val="24"/>
        </w:rPr>
        <w:t xml:space="preserve">) </w:t>
      </w:r>
      <w:r w:rsidRPr="009E7B2D">
        <w:rPr>
          <w:rFonts w:ascii="Times New Roman" w:hAnsi="Times New Roman" w:cs="Times New Roman"/>
          <w:sz w:val="24"/>
          <w:szCs w:val="24"/>
        </w:rPr>
        <w:t xml:space="preserve">examined financial development and economic growth in Nigeria using time series from 1986 n- 2022. The study adopted co-integration and error correction techniques. The study revealed that financial deepening indicators such as market capitalisation and bank credit significantly promote economic growth. While macroeconomics instability reduces the effectiveness of financial intermediation. </w:t>
      </w:r>
    </w:p>
    <w:p w:rsidR="005B109A" w:rsidRPr="009E7B2D" w:rsidRDefault="005B109A"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Cline (2015) examined the relationship between financial sector and growth in emerging Asian economies, Latin-American economies and three Industrial economies (Germany, Japan and the United States) from the period of 2000 to 2013. Financial intermediation is found to be surprisingly high and is consistent with higher rates of saving and investment and hence growth in the main economies of the region than in counterparts in Latin America. There are sharply diverging patterns nonetheless (e.g., high foreign ownership of banks in the Republic of Korea versus minimal presence in the People’s Republic of China). Differing national structures are identified (bank dominated, portfolio oriented, diversified).</w:t>
      </w:r>
    </w:p>
    <w:p w:rsidR="001D3528" w:rsidRPr="009E7B2D" w:rsidRDefault="001D3528" w:rsidP="009E7B2D">
      <w:pPr>
        <w:pStyle w:val="Default"/>
        <w:spacing w:line="360" w:lineRule="auto"/>
        <w:jc w:val="both"/>
      </w:pPr>
      <w:r w:rsidRPr="009E7B2D">
        <w:t>In investigating the impact of financial de</w:t>
      </w:r>
      <w:r w:rsidR="0016118B" w:rsidRPr="009E7B2D">
        <w:t xml:space="preserve">velopment on poverty reduction, </w:t>
      </w:r>
      <w:proofErr w:type="spellStart"/>
      <w:r w:rsidRPr="009E7B2D">
        <w:t>Boukhatem</w:t>
      </w:r>
      <w:proofErr w:type="spellEnd"/>
      <w:r w:rsidRPr="009E7B2D">
        <w:t xml:space="preserve"> (2016) employed System-Generalized Method of Moment (S-GMM) to assess the contribution of financial development to poverty reduction in 67 low- and middle-income countries over the period 1986–2012. He found that Financial development is thus beneficial for the poor by increasing its access to various sources of funding because increases in M3 to GDP or bank credits to GDP ratios directly translate into improved well-being for the poor, finance facilitates transactions, provides the opportunity to accumulate assets and to smooth consumption. The study also found that financial instability presents a problem that particularly threatens the poor and reduces the benefits of financial development. </w:t>
      </w:r>
    </w:p>
    <w:p w:rsidR="001D3528" w:rsidRPr="009E7B2D" w:rsidRDefault="00DA42D6"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lastRenderedPageBreak/>
        <w:t>Domestic Investment and Economic Growth</w:t>
      </w:r>
    </w:p>
    <w:p w:rsidR="00DA42D6" w:rsidRPr="009E7B2D" w:rsidRDefault="00ED70BF" w:rsidP="009E7B2D">
      <w:pPr>
        <w:spacing w:after="0" w:line="360" w:lineRule="auto"/>
        <w:jc w:val="both"/>
        <w:rPr>
          <w:rFonts w:ascii="Times New Roman" w:hAnsi="Times New Roman" w:cs="Times New Roman"/>
          <w:b/>
          <w:sz w:val="24"/>
          <w:szCs w:val="24"/>
        </w:rPr>
      </w:pPr>
      <w:proofErr w:type="spellStart"/>
      <w:r w:rsidRPr="009E7B2D">
        <w:rPr>
          <w:rFonts w:ascii="Times New Roman" w:hAnsi="Times New Roman" w:cs="Times New Roman"/>
          <w:sz w:val="24"/>
          <w:szCs w:val="24"/>
        </w:rPr>
        <w:t>Yaqub</w:t>
      </w:r>
      <w:proofErr w:type="spellEnd"/>
      <w:r w:rsidRPr="009E7B2D">
        <w:rPr>
          <w:rFonts w:ascii="Times New Roman" w:hAnsi="Times New Roman" w:cs="Times New Roman"/>
          <w:sz w:val="24"/>
          <w:szCs w:val="24"/>
        </w:rPr>
        <w:t xml:space="preserve">, Adam and </w:t>
      </w:r>
      <w:proofErr w:type="spellStart"/>
      <w:r w:rsidRPr="009E7B2D">
        <w:rPr>
          <w:rFonts w:ascii="Times New Roman" w:hAnsi="Times New Roman" w:cs="Times New Roman"/>
          <w:sz w:val="24"/>
          <w:szCs w:val="24"/>
        </w:rPr>
        <w:t>Jimoh</w:t>
      </w:r>
      <w:proofErr w:type="spellEnd"/>
      <w:r w:rsidRPr="009E7B2D">
        <w:rPr>
          <w:rFonts w:ascii="Times New Roman" w:hAnsi="Times New Roman" w:cs="Times New Roman"/>
          <w:sz w:val="24"/>
          <w:szCs w:val="24"/>
        </w:rPr>
        <w:t xml:space="preserve"> (2013</w:t>
      </w:r>
      <w:r w:rsidR="00DA42D6" w:rsidRPr="009E7B2D">
        <w:rPr>
          <w:rFonts w:ascii="Times New Roman" w:hAnsi="Times New Roman" w:cs="Times New Roman"/>
          <w:sz w:val="24"/>
          <w:szCs w:val="24"/>
        </w:rPr>
        <w:t xml:space="preserve">) </w:t>
      </w:r>
      <w:proofErr w:type="spellStart"/>
      <w:r w:rsidR="00DA42D6" w:rsidRPr="009E7B2D">
        <w:rPr>
          <w:rFonts w:ascii="Times New Roman" w:hAnsi="Times New Roman" w:cs="Times New Roman"/>
          <w:sz w:val="24"/>
          <w:szCs w:val="24"/>
        </w:rPr>
        <w:t>analyzed</w:t>
      </w:r>
      <w:proofErr w:type="spellEnd"/>
      <w:r w:rsidR="00DA42D6" w:rsidRPr="009E7B2D">
        <w:rPr>
          <w:rFonts w:ascii="Times New Roman" w:hAnsi="Times New Roman" w:cs="Times New Roman"/>
          <w:sz w:val="24"/>
          <w:szCs w:val="24"/>
        </w:rPr>
        <w:t xml:space="preserve"> savings and investment correlation through the application of Autoregressive Distributed Lag (ARDL) bounds testing for </w:t>
      </w:r>
      <w:proofErr w:type="spellStart"/>
      <w:r w:rsidR="00DA42D6" w:rsidRPr="009E7B2D">
        <w:rPr>
          <w:rFonts w:ascii="Times New Roman" w:hAnsi="Times New Roman" w:cs="Times New Roman"/>
          <w:sz w:val="24"/>
          <w:szCs w:val="24"/>
        </w:rPr>
        <w:t>cointegration</w:t>
      </w:r>
      <w:proofErr w:type="spellEnd"/>
      <w:r w:rsidR="00DA42D6" w:rsidRPr="009E7B2D">
        <w:rPr>
          <w:rFonts w:ascii="Times New Roman" w:hAnsi="Times New Roman" w:cs="Times New Roman"/>
          <w:sz w:val="24"/>
          <w:szCs w:val="24"/>
        </w:rPr>
        <w:t xml:space="preserve"> through Error Correction Model (ECM) for Pakistan from period</w:t>
      </w:r>
      <w:r w:rsidRPr="009E7B2D">
        <w:rPr>
          <w:rFonts w:ascii="Times New Roman" w:hAnsi="Times New Roman" w:cs="Times New Roman"/>
          <w:sz w:val="24"/>
          <w:szCs w:val="24"/>
        </w:rPr>
        <w:t xml:space="preserve"> 1976-2010</w:t>
      </w:r>
      <w:r w:rsidR="00DA42D6" w:rsidRPr="009E7B2D">
        <w:rPr>
          <w:rFonts w:ascii="Times New Roman" w:hAnsi="Times New Roman" w:cs="Times New Roman"/>
          <w:sz w:val="24"/>
          <w:szCs w:val="24"/>
        </w:rPr>
        <w:t>. The authors reported long run relationships among savings, domestic investment, inflation, real exchange rate, and financial development which invariably indicate inadequate capital mobility in the country. In a related development, Aurangzeb and Anwar (2012) employed OLS estimation technique to investigate the impact of investment on the economic growth of Pakistan from the period of 1981 to 2010. They found that private investment, private investment and foreign direct investment have significant positive impact on the economic growth. The result also revealed a bidirectional causality between gross domestic production and foreign direct investment; between gross domestic product and public investment while unidirectional causality was found between gross domestic production and private investment</w:t>
      </w:r>
    </w:p>
    <w:p w:rsidR="00DA42D6" w:rsidRPr="009E7B2D" w:rsidRDefault="00ED70BF"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Esomnofu</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Onyejegbu</w:t>
      </w:r>
      <w:proofErr w:type="spellEnd"/>
      <w:r w:rsidRPr="009E7B2D">
        <w:rPr>
          <w:rFonts w:ascii="Times New Roman" w:hAnsi="Times New Roman" w:cs="Times New Roman"/>
          <w:sz w:val="24"/>
          <w:szCs w:val="24"/>
        </w:rPr>
        <w:t xml:space="preserve"> (2019) </w:t>
      </w:r>
      <w:proofErr w:type="spellStart"/>
      <w:r w:rsidRPr="009E7B2D">
        <w:rPr>
          <w:rFonts w:ascii="Times New Roman" w:hAnsi="Times New Roman" w:cs="Times New Roman"/>
          <w:sz w:val="24"/>
          <w:szCs w:val="24"/>
        </w:rPr>
        <w:t>analzed</w:t>
      </w:r>
      <w:proofErr w:type="spellEnd"/>
      <w:r w:rsidRPr="009E7B2D">
        <w:rPr>
          <w:rFonts w:ascii="Times New Roman" w:hAnsi="Times New Roman" w:cs="Times New Roman"/>
          <w:sz w:val="24"/>
          <w:szCs w:val="24"/>
        </w:rPr>
        <w:t xml:space="preserve"> the impact of capital formation on economic growth in Nigeria from 180- 2019 using Ordinary Least Squares (OLS) and </w:t>
      </w:r>
      <w:r w:rsidR="00DA42D6" w:rsidRPr="009E7B2D">
        <w:rPr>
          <w:rFonts w:ascii="Times New Roman" w:hAnsi="Times New Roman" w:cs="Times New Roman"/>
          <w:sz w:val="24"/>
          <w:szCs w:val="24"/>
        </w:rPr>
        <w:t>Error Correction Model (ECM)</w:t>
      </w:r>
      <w:r w:rsidR="00ED0C98" w:rsidRPr="009E7B2D">
        <w:rPr>
          <w:rFonts w:ascii="Times New Roman" w:hAnsi="Times New Roman" w:cs="Times New Roman"/>
          <w:sz w:val="24"/>
          <w:szCs w:val="24"/>
        </w:rPr>
        <w:t>.</w:t>
      </w:r>
      <w:r w:rsidR="00DA42D6" w:rsidRPr="009E7B2D">
        <w:rPr>
          <w:rFonts w:ascii="Times New Roman" w:hAnsi="Times New Roman" w:cs="Times New Roman"/>
          <w:sz w:val="24"/>
          <w:szCs w:val="24"/>
        </w:rPr>
        <w:t xml:space="preserve"> </w:t>
      </w:r>
      <w:r w:rsidR="00ED0C98" w:rsidRPr="009E7B2D">
        <w:rPr>
          <w:rFonts w:ascii="Times New Roman" w:hAnsi="Times New Roman" w:cs="Times New Roman"/>
          <w:sz w:val="24"/>
          <w:szCs w:val="24"/>
        </w:rPr>
        <w:t>The</w:t>
      </w:r>
      <w:r w:rsidR="00DA42D6" w:rsidRPr="009E7B2D">
        <w:rPr>
          <w:rFonts w:ascii="Times New Roman" w:hAnsi="Times New Roman" w:cs="Times New Roman"/>
          <w:sz w:val="24"/>
          <w:szCs w:val="24"/>
        </w:rPr>
        <w:t xml:space="preserve"> results showed the presence of long run relationship between savings and investment. The</w:t>
      </w:r>
      <w:r w:rsidR="00ED0C98" w:rsidRPr="009E7B2D">
        <w:rPr>
          <w:rFonts w:ascii="Times New Roman" w:hAnsi="Times New Roman" w:cs="Times New Roman"/>
          <w:sz w:val="24"/>
          <w:szCs w:val="24"/>
        </w:rPr>
        <w:t xml:space="preserve"> study </w:t>
      </w:r>
      <w:r w:rsidR="00E763BE" w:rsidRPr="009E7B2D">
        <w:rPr>
          <w:rFonts w:ascii="Times New Roman" w:hAnsi="Times New Roman" w:cs="Times New Roman"/>
          <w:sz w:val="24"/>
          <w:szCs w:val="24"/>
        </w:rPr>
        <w:t>revealed</w:t>
      </w:r>
      <w:r w:rsidRPr="009E7B2D">
        <w:rPr>
          <w:rFonts w:ascii="Times New Roman" w:hAnsi="Times New Roman" w:cs="Times New Roman"/>
          <w:sz w:val="24"/>
          <w:szCs w:val="24"/>
        </w:rPr>
        <w:t xml:space="preserve"> that gross fixed capital formation has a positive and significant effect on economic growth, indicating that increased investment in infrastructures and productive sectors stimulates economic expansion</w:t>
      </w:r>
    </w:p>
    <w:p w:rsidR="00DA42D6" w:rsidRPr="009E7B2D" w:rsidRDefault="00EB59A4"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Omri</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kahouli</w:t>
      </w:r>
      <w:proofErr w:type="spellEnd"/>
      <w:r w:rsidRPr="009E7B2D">
        <w:rPr>
          <w:rFonts w:ascii="Times New Roman" w:hAnsi="Times New Roman" w:cs="Times New Roman"/>
          <w:sz w:val="24"/>
          <w:szCs w:val="24"/>
        </w:rPr>
        <w:t xml:space="preserve"> (2018</w:t>
      </w:r>
      <w:r w:rsidR="00DA42D6" w:rsidRPr="009E7B2D">
        <w:rPr>
          <w:rFonts w:ascii="Times New Roman" w:hAnsi="Times New Roman" w:cs="Times New Roman"/>
          <w:sz w:val="24"/>
          <w:szCs w:val="24"/>
        </w:rPr>
        <w:t>) examined the causal relationship among foreign direct investment, domestic capital and economic growth in 13 MENA countries by using a growth model framework and simultaneous-equation models estimated by the Generalized Method of Moments (GMM) du</w:t>
      </w:r>
      <w:r w:rsidRPr="009E7B2D">
        <w:rPr>
          <w:rFonts w:ascii="Times New Roman" w:hAnsi="Times New Roman" w:cs="Times New Roman"/>
          <w:sz w:val="24"/>
          <w:szCs w:val="24"/>
        </w:rPr>
        <w:t>ring the period of 1990 and 2016</w:t>
      </w:r>
      <w:r w:rsidR="00DA42D6" w:rsidRPr="009E7B2D">
        <w:rPr>
          <w:rFonts w:ascii="Times New Roman" w:hAnsi="Times New Roman" w:cs="Times New Roman"/>
          <w:sz w:val="24"/>
          <w:szCs w:val="24"/>
        </w:rPr>
        <w:t>. They found that there is bi-directional causal relationship between foreign investment and economic growth, as well as domestic capital and economic growth, and there is uni-directional causal relationship from foreign direct investment to domestic capital for the region as a whole.</w:t>
      </w:r>
    </w:p>
    <w:p w:rsidR="00DA42D6" w:rsidRPr="009E7B2D" w:rsidRDefault="00ED0C98"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Dada, </w:t>
      </w:r>
      <w:proofErr w:type="spellStart"/>
      <w:r w:rsidRPr="009E7B2D">
        <w:rPr>
          <w:rFonts w:ascii="Times New Roman" w:hAnsi="Times New Roman" w:cs="Times New Roman"/>
          <w:sz w:val="24"/>
          <w:szCs w:val="24"/>
        </w:rPr>
        <w:t>Ahmodu</w:t>
      </w:r>
      <w:proofErr w:type="spellEnd"/>
      <w:r w:rsidRPr="009E7B2D">
        <w:rPr>
          <w:rFonts w:ascii="Times New Roman" w:hAnsi="Times New Roman" w:cs="Times New Roman"/>
          <w:sz w:val="24"/>
          <w:szCs w:val="24"/>
        </w:rPr>
        <w:t xml:space="preserve">, </w:t>
      </w:r>
      <w:proofErr w:type="spellStart"/>
      <w:r w:rsidRPr="009E7B2D">
        <w:rPr>
          <w:rFonts w:ascii="Times New Roman" w:hAnsi="Times New Roman" w:cs="Times New Roman"/>
          <w:sz w:val="24"/>
          <w:szCs w:val="24"/>
        </w:rPr>
        <w:t>Daramola</w:t>
      </w:r>
      <w:proofErr w:type="spellEnd"/>
      <w:r w:rsidRPr="009E7B2D">
        <w:rPr>
          <w:rFonts w:ascii="Times New Roman" w:hAnsi="Times New Roman" w:cs="Times New Roman"/>
          <w:sz w:val="24"/>
          <w:szCs w:val="24"/>
        </w:rPr>
        <w:t xml:space="preserve"> (2023</w:t>
      </w:r>
      <w:r w:rsidR="00DA42D6" w:rsidRPr="009E7B2D">
        <w:rPr>
          <w:rFonts w:ascii="Times New Roman" w:hAnsi="Times New Roman" w:cs="Times New Roman"/>
          <w:sz w:val="24"/>
          <w:szCs w:val="24"/>
        </w:rPr>
        <w:t xml:space="preserve">) </w:t>
      </w:r>
      <w:r w:rsidRPr="009E7B2D">
        <w:rPr>
          <w:rFonts w:ascii="Times New Roman" w:hAnsi="Times New Roman" w:cs="Times New Roman"/>
          <w:sz w:val="24"/>
          <w:szCs w:val="24"/>
        </w:rPr>
        <w:t xml:space="preserve">investigated the relationship between domestic capital formation and economic growth in Nigeria using Granger causality and ARDL analysis with the data from 1986 – 2021. The study found that domestic capital formation has a direct relationship with economic growth, through the effect was statistically weak due to low saving and investment levels in Nigeria. </w:t>
      </w:r>
      <w:r w:rsidR="00DA42D6" w:rsidRPr="009E7B2D">
        <w:rPr>
          <w:rFonts w:ascii="Times New Roman" w:hAnsi="Times New Roman" w:cs="Times New Roman"/>
          <w:sz w:val="24"/>
          <w:szCs w:val="24"/>
        </w:rPr>
        <w:t xml:space="preserve">The result further revealed that development level of financial sector and human capital </w:t>
      </w:r>
      <w:r w:rsidR="00DA42D6" w:rsidRPr="009E7B2D">
        <w:rPr>
          <w:rFonts w:ascii="Times New Roman" w:hAnsi="Times New Roman" w:cs="Times New Roman"/>
          <w:sz w:val="24"/>
          <w:szCs w:val="24"/>
        </w:rPr>
        <w:lastRenderedPageBreak/>
        <w:t>is crucial for stimulating domestic investment in long term while the increase in domestic credit availability will enhance domes</w:t>
      </w:r>
      <w:r w:rsidRPr="009E7B2D">
        <w:rPr>
          <w:rFonts w:ascii="Times New Roman" w:hAnsi="Times New Roman" w:cs="Times New Roman"/>
          <w:sz w:val="24"/>
          <w:szCs w:val="24"/>
        </w:rPr>
        <w:t>tic investment in the short-run</w:t>
      </w:r>
    </w:p>
    <w:p w:rsidR="00DA42D6" w:rsidRPr="009E7B2D" w:rsidRDefault="00D86129"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Micheal</w:t>
      </w:r>
      <w:proofErr w:type="spellEnd"/>
      <w:r w:rsidRPr="009E7B2D">
        <w:rPr>
          <w:rFonts w:ascii="Times New Roman" w:hAnsi="Times New Roman" w:cs="Times New Roman"/>
          <w:sz w:val="24"/>
          <w:szCs w:val="24"/>
        </w:rPr>
        <w:t xml:space="preserve"> and Watson (2022</w:t>
      </w:r>
      <w:r w:rsidR="00DA42D6" w:rsidRPr="009E7B2D">
        <w:rPr>
          <w:rFonts w:ascii="Times New Roman" w:hAnsi="Times New Roman" w:cs="Times New Roman"/>
          <w:sz w:val="24"/>
          <w:szCs w:val="24"/>
        </w:rPr>
        <w:t>) examined the impact of domestic investment on economic growth</w:t>
      </w:r>
      <w:r w:rsidRPr="009E7B2D">
        <w:rPr>
          <w:rFonts w:ascii="Times New Roman" w:hAnsi="Times New Roman" w:cs="Times New Roman"/>
          <w:sz w:val="24"/>
          <w:szCs w:val="24"/>
        </w:rPr>
        <w:t xml:space="preserve"> in Nigeria using from 1970-2020</w:t>
      </w:r>
      <w:r w:rsidR="00DA42D6" w:rsidRPr="009E7B2D">
        <w:rPr>
          <w:rFonts w:ascii="Times New Roman" w:hAnsi="Times New Roman" w:cs="Times New Roman"/>
          <w:sz w:val="24"/>
          <w:szCs w:val="24"/>
        </w:rPr>
        <w:t xml:space="preserve">. The result of the Error Correction Model (ECM) showed that investment and government productive investment had positive but insignificant impact on economic growth; while government protective investment had insignificant negative impact on economic growth. </w:t>
      </w:r>
      <w:proofErr w:type="spellStart"/>
      <w:r w:rsidR="00ED0C98" w:rsidRPr="009E7B2D">
        <w:rPr>
          <w:rFonts w:ascii="Times New Roman" w:hAnsi="Times New Roman" w:cs="Times New Roman"/>
          <w:sz w:val="24"/>
          <w:szCs w:val="24"/>
        </w:rPr>
        <w:t>Abdulkarim</w:t>
      </w:r>
      <w:proofErr w:type="spellEnd"/>
      <w:r w:rsidR="00ED0C98" w:rsidRPr="009E7B2D">
        <w:rPr>
          <w:rFonts w:ascii="Times New Roman" w:hAnsi="Times New Roman" w:cs="Times New Roman"/>
          <w:sz w:val="24"/>
          <w:szCs w:val="24"/>
        </w:rPr>
        <w:t xml:space="preserve"> (2023</w:t>
      </w:r>
      <w:r w:rsidR="00DA42D6" w:rsidRPr="009E7B2D">
        <w:rPr>
          <w:rFonts w:ascii="Times New Roman" w:hAnsi="Times New Roman" w:cs="Times New Roman"/>
          <w:sz w:val="24"/>
          <w:szCs w:val="24"/>
        </w:rPr>
        <w:t>) employed Error Correction Model (ECM) estimation technique to investigate the link between domestic private investment and economic growth in Nigeria over</w:t>
      </w:r>
      <w:r w:rsidR="00ED0C98" w:rsidRPr="009E7B2D">
        <w:rPr>
          <w:rFonts w:ascii="Times New Roman" w:hAnsi="Times New Roman" w:cs="Times New Roman"/>
          <w:sz w:val="24"/>
          <w:szCs w:val="24"/>
        </w:rPr>
        <w:t xml:space="preserve"> the period of 1980 to 2021</w:t>
      </w:r>
      <w:r w:rsidR="00DA42D6" w:rsidRPr="009E7B2D">
        <w:rPr>
          <w:rFonts w:ascii="Times New Roman" w:hAnsi="Times New Roman" w:cs="Times New Roman"/>
          <w:sz w:val="24"/>
          <w:szCs w:val="24"/>
        </w:rPr>
        <w:t xml:space="preserve">. The study found that there exist a long run relationship between domestic private </w:t>
      </w:r>
      <w:r w:rsidR="00ED0C98" w:rsidRPr="009E7B2D">
        <w:rPr>
          <w:rFonts w:ascii="Times New Roman" w:hAnsi="Times New Roman" w:cs="Times New Roman"/>
          <w:sz w:val="24"/>
          <w:szCs w:val="24"/>
        </w:rPr>
        <w:t>investments</w:t>
      </w:r>
      <w:r w:rsidR="00DA42D6" w:rsidRPr="009E7B2D">
        <w:rPr>
          <w:rFonts w:ascii="Times New Roman" w:hAnsi="Times New Roman" w:cs="Times New Roman"/>
          <w:sz w:val="24"/>
          <w:szCs w:val="24"/>
        </w:rPr>
        <w:t xml:space="preserve"> and also domestic private investment had a significant positive impact on economic growth.</w:t>
      </w:r>
    </w:p>
    <w:p w:rsidR="00DA42D6" w:rsidRPr="009E7B2D" w:rsidRDefault="00DA42D6" w:rsidP="009E7B2D">
      <w:pPr>
        <w:spacing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Financial Development, Domestic Investment and Economic Growth</w:t>
      </w:r>
      <w:r w:rsidRPr="009E7B2D">
        <w:rPr>
          <w:rFonts w:ascii="Times New Roman" w:hAnsi="Times New Roman" w:cs="Times New Roman"/>
          <w:sz w:val="24"/>
          <w:szCs w:val="24"/>
        </w:rPr>
        <w:t xml:space="preserve">. </w:t>
      </w:r>
    </w:p>
    <w:p w:rsidR="00DA42D6" w:rsidRPr="009E7B2D" w:rsidRDefault="00DA42D6" w:rsidP="009E7B2D">
      <w:pPr>
        <w:autoSpaceDE w:val="0"/>
        <w:autoSpaceDN w:val="0"/>
        <w:adjustRightInd w:val="0"/>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Abubakar</w:t>
      </w:r>
      <w:proofErr w:type="spellEnd"/>
      <w:r w:rsidRPr="009E7B2D">
        <w:rPr>
          <w:rFonts w:ascii="Times New Roman" w:hAnsi="Times New Roman" w:cs="Times New Roman"/>
          <w:sz w:val="24"/>
          <w:szCs w:val="24"/>
        </w:rPr>
        <w:t xml:space="preserve">, </w:t>
      </w:r>
      <w:proofErr w:type="spellStart"/>
      <w:r w:rsidRPr="009E7B2D">
        <w:rPr>
          <w:rFonts w:ascii="Times New Roman" w:hAnsi="Times New Roman" w:cs="Times New Roman"/>
          <w:sz w:val="24"/>
          <w:szCs w:val="24"/>
        </w:rPr>
        <w:t>Kassim</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Yusoff</w:t>
      </w:r>
      <w:proofErr w:type="spellEnd"/>
      <w:r w:rsidRPr="009E7B2D">
        <w:rPr>
          <w:rFonts w:ascii="Times New Roman" w:hAnsi="Times New Roman" w:cs="Times New Roman"/>
          <w:sz w:val="24"/>
          <w:szCs w:val="24"/>
        </w:rPr>
        <w:t xml:space="preserve"> (2015) examined the nexus among financial development, human capital accumulation and economic growth in ECOWAS region over the period of 1980 and 2011 using panel Fully Modified Ordinary Least Square (FMOLS) and Dynamic Ordinary Least Square (DOLS). The results revealed that bank private credit and domestic private credit contributed significantly to economic growth in the ECOWAS, both directly and through their influence on human capital accumulation.  </w:t>
      </w:r>
    </w:p>
    <w:p w:rsidR="00DA42D6" w:rsidRPr="009E7B2D" w:rsidRDefault="00EB59A4" w:rsidP="009E7B2D">
      <w:pPr>
        <w:autoSpaceDE w:val="0"/>
        <w:autoSpaceDN w:val="0"/>
        <w:adjustRightInd w:val="0"/>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Iriabije</w:t>
      </w:r>
      <w:proofErr w:type="spellEnd"/>
      <w:r w:rsidRPr="009E7B2D">
        <w:rPr>
          <w:rFonts w:ascii="Times New Roman" w:hAnsi="Times New Roman" w:cs="Times New Roman"/>
          <w:sz w:val="24"/>
          <w:szCs w:val="24"/>
        </w:rPr>
        <w:t xml:space="preserve"> and </w:t>
      </w:r>
      <w:proofErr w:type="spellStart"/>
      <w:r w:rsidRPr="009E7B2D">
        <w:rPr>
          <w:rFonts w:ascii="Times New Roman" w:hAnsi="Times New Roman" w:cs="Times New Roman"/>
          <w:sz w:val="24"/>
          <w:szCs w:val="24"/>
        </w:rPr>
        <w:t>Effiong</w:t>
      </w:r>
      <w:proofErr w:type="spellEnd"/>
      <w:r w:rsidRPr="009E7B2D">
        <w:rPr>
          <w:rFonts w:ascii="Times New Roman" w:hAnsi="Times New Roman" w:cs="Times New Roman"/>
          <w:sz w:val="24"/>
          <w:szCs w:val="24"/>
        </w:rPr>
        <w:t xml:space="preserve"> (2023</w:t>
      </w:r>
      <w:r w:rsidR="00DA42D6" w:rsidRPr="009E7B2D">
        <w:rPr>
          <w:rFonts w:ascii="Times New Roman" w:hAnsi="Times New Roman" w:cs="Times New Roman"/>
          <w:sz w:val="24"/>
          <w:szCs w:val="24"/>
        </w:rPr>
        <w:t>) examined the relationship among saving, investmen</w:t>
      </w:r>
      <w:r w:rsidRPr="009E7B2D">
        <w:rPr>
          <w:rFonts w:ascii="Times New Roman" w:hAnsi="Times New Roman" w:cs="Times New Roman"/>
          <w:sz w:val="24"/>
          <w:szCs w:val="24"/>
        </w:rPr>
        <w:t>t and economic growth in Nigeria for the period 1981 to 2022</w:t>
      </w:r>
      <w:r w:rsidR="00DA42D6" w:rsidRPr="009E7B2D">
        <w:rPr>
          <w:rFonts w:ascii="Times New Roman" w:hAnsi="Times New Roman" w:cs="Times New Roman"/>
          <w:sz w:val="24"/>
          <w:szCs w:val="24"/>
        </w:rPr>
        <w:t xml:space="preserve"> using Autoregressive Distributed Lag (ARDL) bounds testing approach to </w:t>
      </w:r>
      <w:proofErr w:type="spellStart"/>
      <w:r w:rsidR="00DA42D6" w:rsidRPr="009E7B2D">
        <w:rPr>
          <w:rFonts w:ascii="Times New Roman" w:hAnsi="Times New Roman" w:cs="Times New Roman"/>
          <w:sz w:val="24"/>
          <w:szCs w:val="24"/>
        </w:rPr>
        <w:t>cointegration</w:t>
      </w:r>
      <w:proofErr w:type="spellEnd"/>
      <w:r w:rsidR="00DA42D6" w:rsidRPr="009E7B2D">
        <w:rPr>
          <w:rFonts w:ascii="Times New Roman" w:hAnsi="Times New Roman" w:cs="Times New Roman"/>
          <w:sz w:val="24"/>
          <w:szCs w:val="24"/>
        </w:rPr>
        <w:t xml:space="preserve"> and vector error correction model (VECM) based Granger causality test. The result of the study revealed that there exist a long run relationship among savings, investmen</w:t>
      </w:r>
      <w:r w:rsidRPr="009E7B2D">
        <w:rPr>
          <w:rFonts w:ascii="Times New Roman" w:hAnsi="Times New Roman" w:cs="Times New Roman"/>
          <w:sz w:val="24"/>
          <w:szCs w:val="24"/>
        </w:rPr>
        <w:t>t and economic growth in Nigeria</w:t>
      </w:r>
      <w:r w:rsidR="00DA42D6" w:rsidRPr="009E7B2D">
        <w:rPr>
          <w:rFonts w:ascii="Times New Roman" w:hAnsi="Times New Roman" w:cs="Times New Roman"/>
          <w:sz w:val="24"/>
          <w:szCs w:val="24"/>
        </w:rPr>
        <w:t>. The result further revealed that there is short-run unidirectional causality between economic growth to saving; bidirectional causality between investment and economic growth and long run bidirectional causality between investment and economic growth.</w:t>
      </w:r>
    </w:p>
    <w:p w:rsidR="006118E7" w:rsidRPr="009E7B2D" w:rsidRDefault="00C7542C"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Iheanacho</w:t>
      </w:r>
      <w:proofErr w:type="spellEnd"/>
      <w:r w:rsidRPr="009E7B2D">
        <w:rPr>
          <w:rFonts w:ascii="Times New Roman" w:hAnsi="Times New Roman" w:cs="Times New Roman"/>
          <w:sz w:val="24"/>
          <w:szCs w:val="24"/>
        </w:rPr>
        <w:t xml:space="preserve"> (2016</w:t>
      </w:r>
      <w:r w:rsidR="006118E7" w:rsidRPr="009E7B2D">
        <w:rPr>
          <w:rFonts w:ascii="Times New Roman" w:hAnsi="Times New Roman" w:cs="Times New Roman"/>
          <w:sz w:val="24"/>
          <w:szCs w:val="24"/>
        </w:rPr>
        <w:t xml:space="preserve">) examined the causal relationship among savings, investment and economic growth in </w:t>
      </w:r>
      <w:r w:rsidRPr="009E7B2D">
        <w:rPr>
          <w:rFonts w:ascii="Times New Roman" w:hAnsi="Times New Roman" w:cs="Times New Roman"/>
          <w:sz w:val="24"/>
          <w:szCs w:val="24"/>
        </w:rPr>
        <w:t xml:space="preserve">Nigeria </w:t>
      </w:r>
      <w:r w:rsidR="006118E7" w:rsidRPr="009E7B2D">
        <w:rPr>
          <w:rFonts w:ascii="Times New Roman" w:hAnsi="Times New Roman" w:cs="Times New Roman"/>
          <w:sz w:val="24"/>
          <w:szCs w:val="24"/>
        </w:rPr>
        <w:t>using annual time</w:t>
      </w:r>
      <w:r w:rsidRPr="009E7B2D">
        <w:rPr>
          <w:rFonts w:ascii="Times New Roman" w:hAnsi="Times New Roman" w:cs="Times New Roman"/>
          <w:sz w:val="24"/>
          <w:szCs w:val="24"/>
        </w:rPr>
        <w:t xml:space="preserve"> series data from 1981 </w:t>
      </w:r>
      <w:r w:rsidR="006118E7" w:rsidRPr="009E7B2D">
        <w:rPr>
          <w:rFonts w:ascii="Times New Roman" w:hAnsi="Times New Roman" w:cs="Times New Roman"/>
          <w:sz w:val="24"/>
          <w:szCs w:val="24"/>
        </w:rPr>
        <w:t xml:space="preserve">-2011 in a multivariate framework. Result from the ARDL Bounds Testing indicates that there exists co-integration among savings, investment and gross domestic product. The study also revealed that </w:t>
      </w:r>
      <w:proofErr w:type="spellStart"/>
      <w:r w:rsidR="006118E7" w:rsidRPr="009E7B2D">
        <w:rPr>
          <w:rFonts w:ascii="Times New Roman" w:hAnsi="Times New Roman" w:cs="Times New Roman"/>
          <w:sz w:val="24"/>
          <w:szCs w:val="24"/>
        </w:rPr>
        <w:t>labor</w:t>
      </w:r>
      <w:proofErr w:type="spellEnd"/>
      <w:r w:rsidR="006118E7" w:rsidRPr="009E7B2D">
        <w:rPr>
          <w:rFonts w:ascii="Times New Roman" w:hAnsi="Times New Roman" w:cs="Times New Roman"/>
          <w:sz w:val="24"/>
          <w:szCs w:val="24"/>
        </w:rPr>
        <w:t xml:space="preserve"> force and investment have significant positive effect on economic growth of </w:t>
      </w:r>
      <w:r w:rsidRPr="009E7B2D">
        <w:rPr>
          <w:rFonts w:ascii="Times New Roman" w:hAnsi="Times New Roman" w:cs="Times New Roman"/>
          <w:sz w:val="24"/>
          <w:szCs w:val="24"/>
        </w:rPr>
        <w:t xml:space="preserve">Nigeria </w:t>
      </w:r>
      <w:r w:rsidR="006118E7" w:rsidRPr="009E7B2D">
        <w:rPr>
          <w:rFonts w:ascii="Times New Roman" w:hAnsi="Times New Roman" w:cs="Times New Roman"/>
          <w:sz w:val="24"/>
          <w:szCs w:val="24"/>
        </w:rPr>
        <w:t xml:space="preserve">both in the short-run and in the </w:t>
      </w:r>
      <w:r w:rsidR="006118E7" w:rsidRPr="009E7B2D">
        <w:rPr>
          <w:rFonts w:ascii="Times New Roman" w:hAnsi="Times New Roman" w:cs="Times New Roman"/>
          <w:sz w:val="24"/>
          <w:szCs w:val="24"/>
        </w:rPr>
        <w:lastRenderedPageBreak/>
        <w:t xml:space="preserve">long-run while savings and human capital are statistically </w:t>
      </w:r>
      <w:r w:rsidR="00EB59A4" w:rsidRPr="009E7B2D">
        <w:rPr>
          <w:rFonts w:ascii="Times New Roman" w:hAnsi="Times New Roman" w:cs="Times New Roman"/>
          <w:sz w:val="24"/>
          <w:szCs w:val="24"/>
        </w:rPr>
        <w:t>insignificant</w:t>
      </w:r>
      <w:r w:rsidR="00E763BE" w:rsidRPr="009E7B2D">
        <w:rPr>
          <w:rFonts w:ascii="Times New Roman" w:hAnsi="Times New Roman" w:cs="Times New Roman"/>
          <w:sz w:val="24"/>
          <w:szCs w:val="24"/>
        </w:rPr>
        <w:t xml:space="preserve">. Similarly, </w:t>
      </w:r>
      <w:proofErr w:type="spellStart"/>
      <w:r w:rsidR="00E763BE" w:rsidRPr="009E7B2D">
        <w:rPr>
          <w:rFonts w:ascii="Times New Roman" w:hAnsi="Times New Roman" w:cs="Times New Roman"/>
          <w:sz w:val="24"/>
          <w:szCs w:val="24"/>
        </w:rPr>
        <w:t>Olamide</w:t>
      </w:r>
      <w:proofErr w:type="spellEnd"/>
      <w:r w:rsidR="00E763BE" w:rsidRPr="009E7B2D">
        <w:rPr>
          <w:rFonts w:ascii="Times New Roman" w:hAnsi="Times New Roman" w:cs="Times New Roman"/>
          <w:sz w:val="24"/>
          <w:szCs w:val="24"/>
        </w:rPr>
        <w:t xml:space="preserve"> and </w:t>
      </w:r>
      <w:proofErr w:type="spellStart"/>
      <w:r w:rsidR="006118E7" w:rsidRPr="009E7B2D">
        <w:rPr>
          <w:rFonts w:ascii="Times New Roman" w:hAnsi="Times New Roman" w:cs="Times New Roman"/>
          <w:sz w:val="24"/>
          <w:szCs w:val="24"/>
        </w:rPr>
        <w:t>Njimanted</w:t>
      </w:r>
      <w:proofErr w:type="spellEnd"/>
      <w:r w:rsidR="006118E7" w:rsidRPr="009E7B2D">
        <w:rPr>
          <w:rFonts w:ascii="Times New Roman" w:hAnsi="Times New Roman" w:cs="Times New Roman"/>
          <w:sz w:val="24"/>
          <w:szCs w:val="24"/>
        </w:rPr>
        <w:t xml:space="preserve">, </w:t>
      </w:r>
      <w:proofErr w:type="spellStart"/>
      <w:r w:rsidR="006118E7" w:rsidRPr="009E7B2D">
        <w:rPr>
          <w:rFonts w:ascii="Times New Roman" w:hAnsi="Times New Roman" w:cs="Times New Roman"/>
          <w:sz w:val="24"/>
          <w:szCs w:val="24"/>
        </w:rPr>
        <w:t>Molem</w:t>
      </w:r>
      <w:proofErr w:type="spellEnd"/>
      <w:r w:rsidR="006118E7" w:rsidRPr="009E7B2D">
        <w:rPr>
          <w:rFonts w:ascii="Times New Roman" w:hAnsi="Times New Roman" w:cs="Times New Roman"/>
          <w:sz w:val="24"/>
          <w:szCs w:val="24"/>
        </w:rPr>
        <w:t xml:space="preserve"> and </w:t>
      </w:r>
      <w:proofErr w:type="spellStart"/>
      <w:r w:rsidR="006118E7" w:rsidRPr="009E7B2D">
        <w:rPr>
          <w:rFonts w:ascii="Times New Roman" w:hAnsi="Times New Roman" w:cs="Times New Roman"/>
          <w:sz w:val="24"/>
          <w:szCs w:val="24"/>
        </w:rPr>
        <w:t>Nkwetta</w:t>
      </w:r>
      <w:proofErr w:type="spellEnd"/>
      <w:r w:rsidR="006118E7" w:rsidRPr="009E7B2D">
        <w:rPr>
          <w:rFonts w:ascii="Times New Roman" w:hAnsi="Times New Roman" w:cs="Times New Roman"/>
          <w:sz w:val="24"/>
          <w:szCs w:val="24"/>
        </w:rPr>
        <w:t xml:space="preserve"> (2016) examined the interactions between financial intermediation, domestic investment and economic growth in Cameroon from 1975 to 2014. The result of the Vector </w:t>
      </w:r>
      <w:r w:rsidR="00EB59A4" w:rsidRPr="009E7B2D">
        <w:rPr>
          <w:rFonts w:ascii="Times New Roman" w:hAnsi="Times New Roman" w:cs="Times New Roman"/>
          <w:sz w:val="24"/>
          <w:szCs w:val="24"/>
        </w:rPr>
        <w:t>Auto regression</w:t>
      </w:r>
      <w:r w:rsidR="006118E7" w:rsidRPr="009E7B2D">
        <w:rPr>
          <w:rFonts w:ascii="Times New Roman" w:hAnsi="Times New Roman" w:cs="Times New Roman"/>
          <w:sz w:val="24"/>
          <w:szCs w:val="24"/>
        </w:rPr>
        <w:t xml:space="preserve"> approach revealed that financial intermediation doesn’t have a significant effect on domestic investment and there was no causality from financial intermediation to domestic investment. Also no causality running from domestic investment to financial intermediation. In addition, </w:t>
      </w:r>
      <w:proofErr w:type="spellStart"/>
      <w:r w:rsidR="00EB59A4" w:rsidRPr="009E7B2D">
        <w:rPr>
          <w:rFonts w:ascii="Times New Roman" w:hAnsi="Times New Roman" w:cs="Times New Roman"/>
          <w:sz w:val="24"/>
          <w:szCs w:val="24"/>
        </w:rPr>
        <w:t>Chigozie</w:t>
      </w:r>
      <w:proofErr w:type="spellEnd"/>
      <w:r w:rsidR="00EB59A4" w:rsidRPr="009E7B2D">
        <w:rPr>
          <w:rFonts w:ascii="Times New Roman" w:hAnsi="Times New Roman" w:cs="Times New Roman"/>
          <w:sz w:val="24"/>
          <w:szCs w:val="24"/>
        </w:rPr>
        <w:t xml:space="preserve"> and </w:t>
      </w:r>
      <w:proofErr w:type="spellStart"/>
      <w:r w:rsidR="00EB59A4" w:rsidRPr="009E7B2D">
        <w:rPr>
          <w:rFonts w:ascii="Times New Roman" w:hAnsi="Times New Roman" w:cs="Times New Roman"/>
          <w:sz w:val="24"/>
          <w:szCs w:val="24"/>
        </w:rPr>
        <w:t>Omolade</w:t>
      </w:r>
      <w:proofErr w:type="spellEnd"/>
      <w:r w:rsidR="00EB59A4" w:rsidRPr="009E7B2D">
        <w:rPr>
          <w:rFonts w:ascii="Times New Roman" w:hAnsi="Times New Roman" w:cs="Times New Roman"/>
          <w:sz w:val="24"/>
          <w:szCs w:val="24"/>
        </w:rPr>
        <w:t xml:space="preserve"> (2021</w:t>
      </w:r>
      <w:r w:rsidR="006118E7" w:rsidRPr="009E7B2D">
        <w:rPr>
          <w:rFonts w:ascii="Times New Roman" w:hAnsi="Times New Roman" w:cs="Times New Roman"/>
          <w:sz w:val="24"/>
          <w:szCs w:val="24"/>
        </w:rPr>
        <w:t>) e</w:t>
      </w:r>
      <w:r w:rsidR="00EB59A4" w:rsidRPr="009E7B2D">
        <w:rPr>
          <w:rFonts w:ascii="Times New Roman" w:hAnsi="Times New Roman" w:cs="Times New Roman"/>
          <w:sz w:val="24"/>
          <w:szCs w:val="24"/>
        </w:rPr>
        <w:t>xamined the relationships among</w:t>
      </w:r>
      <w:r w:rsidR="006118E7" w:rsidRPr="009E7B2D">
        <w:rPr>
          <w:rFonts w:ascii="Times New Roman" w:hAnsi="Times New Roman" w:cs="Times New Roman"/>
          <w:sz w:val="24"/>
          <w:szCs w:val="24"/>
        </w:rPr>
        <w:t xml:space="preserve"> domestic savings, domestic investment, and economic growth in </w:t>
      </w:r>
      <w:r w:rsidR="00EB59A4" w:rsidRPr="009E7B2D">
        <w:rPr>
          <w:rFonts w:ascii="Times New Roman" w:hAnsi="Times New Roman" w:cs="Times New Roman"/>
          <w:sz w:val="24"/>
          <w:szCs w:val="24"/>
        </w:rPr>
        <w:t>Nigeria from 1980 to 2019</w:t>
      </w:r>
      <w:r w:rsidR="006118E7" w:rsidRPr="009E7B2D">
        <w:rPr>
          <w:rFonts w:ascii="Times New Roman" w:hAnsi="Times New Roman" w:cs="Times New Roman"/>
          <w:sz w:val="24"/>
          <w:szCs w:val="24"/>
        </w:rPr>
        <w:t xml:space="preserve">. </w:t>
      </w:r>
      <w:r w:rsidR="00EB59A4" w:rsidRPr="009E7B2D">
        <w:rPr>
          <w:rFonts w:ascii="Times New Roman" w:hAnsi="Times New Roman" w:cs="Times New Roman"/>
          <w:sz w:val="24"/>
          <w:szCs w:val="24"/>
        </w:rPr>
        <w:t>The study revealed that savings and investment had negative effect on economic growth. The study attributed this result to low savings rate and poor investment structure in Nigeria.</w:t>
      </w:r>
    </w:p>
    <w:p w:rsidR="006118E7" w:rsidRPr="009E7B2D" w:rsidRDefault="00EB59A4"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Mohammed</w:t>
      </w:r>
      <w:r w:rsidR="006118E7" w:rsidRPr="009E7B2D">
        <w:rPr>
          <w:rFonts w:ascii="Times New Roman" w:hAnsi="Times New Roman" w:cs="Times New Roman"/>
          <w:i/>
          <w:sz w:val="24"/>
          <w:szCs w:val="24"/>
        </w:rPr>
        <w:t xml:space="preserve"> </w:t>
      </w:r>
      <w:r w:rsidRPr="009E7B2D">
        <w:rPr>
          <w:rFonts w:ascii="Times New Roman" w:hAnsi="Times New Roman" w:cs="Times New Roman"/>
          <w:sz w:val="24"/>
          <w:szCs w:val="24"/>
        </w:rPr>
        <w:t>(2019</w:t>
      </w:r>
      <w:r w:rsidR="006118E7" w:rsidRPr="009E7B2D">
        <w:rPr>
          <w:rFonts w:ascii="Times New Roman" w:hAnsi="Times New Roman" w:cs="Times New Roman"/>
          <w:sz w:val="24"/>
          <w:szCs w:val="24"/>
        </w:rPr>
        <w:t>) employed ARDL model to examine the relationship between economic growth, financial development and trade openn</w:t>
      </w:r>
      <w:r w:rsidRPr="009E7B2D">
        <w:rPr>
          <w:rFonts w:ascii="Times New Roman" w:hAnsi="Times New Roman" w:cs="Times New Roman"/>
          <w:sz w:val="24"/>
          <w:szCs w:val="24"/>
        </w:rPr>
        <w:t>ess in Nigeria from 1981 to 2015</w:t>
      </w:r>
      <w:r w:rsidR="006118E7" w:rsidRPr="009E7B2D">
        <w:rPr>
          <w:rFonts w:ascii="Times New Roman" w:hAnsi="Times New Roman" w:cs="Times New Roman"/>
          <w:sz w:val="24"/>
          <w:szCs w:val="24"/>
        </w:rPr>
        <w:t xml:space="preserve">. The results indicate the existence of a long run relationship among economic growth, financial development, and trade openness. The result further revealed that net domestic credit as a percentage of RGDP, stock market turnover ratio and trade openness are significant in achieving economic growth, though no significant relationship exists between money supply (M2) and economic growth proxy by RGDP both in the long and short run. The results also showed that causality flows from economic growth to both financial development and trade openness indicators in both the long and short run except when money supply was used as the proxy for financial development. </w:t>
      </w:r>
    </w:p>
    <w:p w:rsidR="00E763BE" w:rsidRPr="009E7B2D" w:rsidRDefault="00E763BE" w:rsidP="009E7B2D">
      <w:pPr>
        <w:spacing w:after="0" w:line="360" w:lineRule="auto"/>
        <w:jc w:val="both"/>
        <w:rPr>
          <w:rFonts w:ascii="Times New Roman" w:hAnsi="Times New Roman" w:cs="Times New Roman"/>
          <w:sz w:val="24"/>
          <w:szCs w:val="24"/>
        </w:rPr>
      </w:pPr>
      <w:proofErr w:type="spellStart"/>
      <w:r w:rsidRPr="009E7B2D">
        <w:rPr>
          <w:rFonts w:ascii="Times New Roman" w:hAnsi="Times New Roman" w:cs="Times New Roman"/>
          <w:sz w:val="24"/>
          <w:szCs w:val="24"/>
        </w:rPr>
        <w:t>Ajayi</w:t>
      </w:r>
      <w:proofErr w:type="spellEnd"/>
      <w:r w:rsidRPr="009E7B2D">
        <w:rPr>
          <w:rFonts w:ascii="Times New Roman" w:hAnsi="Times New Roman" w:cs="Times New Roman"/>
          <w:sz w:val="24"/>
          <w:szCs w:val="24"/>
        </w:rPr>
        <w:t xml:space="preserve"> (2022) examined the causal relationship among savings, investment and economic growth in Nigeria from 1981 and 2020. The result of the ARDL bounds test showed that there exists a long run relationship between savings, investment and economic growth. Also, labour and investment have significant positive effects on economic growth in both short and long run while savings exerts an insignificant effect on economic growth. The result further revealed a bidirectional causality between investment and growth as well as investment and savings while there exists a unidirectional causality from economic growth to savings.</w:t>
      </w:r>
    </w:p>
    <w:p w:rsidR="006118E7" w:rsidRPr="009E7B2D" w:rsidRDefault="006118E7"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Model Specification</w:t>
      </w:r>
    </w:p>
    <w:p w:rsidR="006118E7" w:rsidRPr="009E7B2D" w:rsidRDefault="006118E7"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Based on the above theoretical consideration, in line with previous studies on finance-growth nexus and investment-growth nexus, a time series model was developed to examine the impact of financial development and domestic investment, among other factors, on economic growth. The model to be estimated in this study followed the work </w:t>
      </w:r>
      <w:proofErr w:type="gramStart"/>
      <w:r w:rsidRPr="009E7B2D">
        <w:rPr>
          <w:rFonts w:ascii="Times New Roman" w:hAnsi="Times New Roman" w:cs="Times New Roman"/>
          <w:sz w:val="24"/>
          <w:szCs w:val="24"/>
        </w:rPr>
        <w:t>of</w:t>
      </w:r>
      <w:r w:rsidR="00E763BE" w:rsidRPr="009E7B2D">
        <w:rPr>
          <w:rFonts w:ascii="Times New Roman" w:hAnsi="Times New Roman" w:cs="Times New Roman"/>
          <w:sz w:val="24"/>
          <w:szCs w:val="24"/>
        </w:rPr>
        <w:t xml:space="preserve"> </w:t>
      </w:r>
      <w:r w:rsidRPr="009E7B2D">
        <w:rPr>
          <w:rFonts w:ascii="Times New Roman" w:hAnsi="Times New Roman" w:cs="Times New Roman"/>
          <w:sz w:val="24"/>
          <w:szCs w:val="24"/>
        </w:rPr>
        <w:t>.</w:t>
      </w:r>
      <w:proofErr w:type="gramEnd"/>
      <w:r w:rsidRPr="009E7B2D">
        <w:rPr>
          <w:rFonts w:ascii="Times New Roman" w:hAnsi="Times New Roman" w:cs="Times New Roman"/>
          <w:sz w:val="24"/>
          <w:szCs w:val="24"/>
        </w:rPr>
        <w:t xml:space="preserve"> This is as show</w:t>
      </w:r>
      <w:r w:rsidR="002A6E9E">
        <w:rPr>
          <w:rFonts w:ascii="Times New Roman" w:hAnsi="Times New Roman" w:cs="Times New Roman"/>
          <w:sz w:val="24"/>
          <w:szCs w:val="24"/>
        </w:rPr>
        <w:t>n in equation 3</w:t>
      </w:r>
      <w:r w:rsidRPr="009E7B2D">
        <w:rPr>
          <w:rFonts w:ascii="Times New Roman" w:hAnsi="Times New Roman" w:cs="Times New Roman"/>
          <w:sz w:val="24"/>
          <w:szCs w:val="24"/>
        </w:rPr>
        <w:t>.1</w:t>
      </w:r>
    </w:p>
    <w:p w:rsidR="006118E7" w:rsidRPr="009E7B2D" w:rsidRDefault="0094205E" w:rsidP="009E7B2D">
      <w:pPr>
        <w:autoSpaceDE w:val="0"/>
        <w:autoSpaceDN w:val="0"/>
        <w:adjustRightInd w:val="0"/>
        <w:spacing w:after="0" w:line="360" w:lineRule="auto"/>
        <w:jc w:val="both"/>
        <w:rPr>
          <w:rFonts w:ascii="Times New Roman" w:hAnsi="Times New Roman" w:cs="Times New Roman"/>
          <w:sz w:val="24"/>
          <w:szCs w:val="24"/>
          <w:lang w:val="en-US"/>
        </w:rPr>
      </w:pPr>
      <w:r w:rsidRPr="009E7B2D">
        <w:rPr>
          <w:rFonts w:ascii="Times New Roman" w:hAnsi="Times New Roman" w:cs="Times New Roman"/>
          <w:noProof/>
          <w:position w:val="-10"/>
          <w:sz w:val="24"/>
          <w:szCs w:val="24"/>
        </w:rPr>
        <w:object w:dxaOrig="2120" w:dyaOrig="320">
          <v:shape id="_x0000_i1026" type="#_x0000_t75" style="width:123.75pt;height:15pt" o:ole="">
            <v:imagedata r:id="rId8" o:title=""/>
          </v:shape>
          <o:OLEObject Type="Embed" ProgID="Equation.DSMT4" ShapeID="_x0000_i1026" DrawAspect="Content" ObjectID="_1844834670" r:id="rId9"/>
        </w:object>
      </w:r>
      <w:r w:rsidR="006118E7" w:rsidRPr="009E7B2D">
        <w:rPr>
          <w:rFonts w:ascii="Times New Roman" w:hAnsi="Times New Roman" w:cs="Times New Roman"/>
          <w:sz w:val="24"/>
          <w:szCs w:val="24"/>
        </w:rPr>
        <w:tab/>
      </w:r>
      <w:r w:rsidR="006118E7" w:rsidRPr="009E7B2D">
        <w:rPr>
          <w:rFonts w:ascii="Times New Roman" w:hAnsi="Times New Roman" w:cs="Times New Roman"/>
          <w:sz w:val="24"/>
          <w:szCs w:val="24"/>
        </w:rPr>
        <w:tab/>
      </w:r>
      <w:r w:rsidR="006118E7" w:rsidRPr="009E7B2D">
        <w:rPr>
          <w:rFonts w:ascii="Times New Roman" w:hAnsi="Times New Roman" w:cs="Times New Roman"/>
          <w:sz w:val="24"/>
          <w:szCs w:val="24"/>
        </w:rPr>
        <w:tab/>
      </w:r>
      <w:r w:rsidR="006118E7" w:rsidRPr="009E7B2D">
        <w:rPr>
          <w:rFonts w:ascii="Times New Roman" w:hAnsi="Times New Roman" w:cs="Times New Roman"/>
          <w:sz w:val="24"/>
          <w:szCs w:val="24"/>
        </w:rPr>
        <w:tab/>
      </w:r>
      <w:r w:rsidR="006118E7" w:rsidRPr="009E7B2D">
        <w:rPr>
          <w:rFonts w:ascii="Times New Roman" w:hAnsi="Times New Roman" w:cs="Times New Roman"/>
          <w:sz w:val="24"/>
          <w:szCs w:val="24"/>
        </w:rPr>
        <w:tab/>
      </w:r>
      <w:r w:rsidR="006118E7" w:rsidRPr="009E7B2D">
        <w:rPr>
          <w:rFonts w:ascii="Times New Roman" w:hAnsi="Times New Roman" w:cs="Times New Roman"/>
          <w:sz w:val="24"/>
          <w:szCs w:val="24"/>
        </w:rPr>
        <w:tab/>
      </w:r>
      <w:r w:rsidR="006118E7" w:rsidRPr="009E7B2D">
        <w:rPr>
          <w:rFonts w:ascii="Times New Roman" w:hAnsi="Times New Roman" w:cs="Times New Roman"/>
          <w:sz w:val="24"/>
          <w:szCs w:val="24"/>
        </w:rPr>
        <w:tab/>
        <w:t xml:space="preserve">     </w:t>
      </w:r>
      <w:r w:rsidR="002A6E9E">
        <w:rPr>
          <w:rFonts w:ascii="Times New Roman" w:hAnsi="Times New Roman" w:cs="Times New Roman"/>
          <w:sz w:val="24"/>
          <w:szCs w:val="24"/>
        </w:rPr>
        <w:t xml:space="preserve">                (3</w:t>
      </w:r>
      <w:r w:rsidR="006118E7" w:rsidRPr="009E7B2D">
        <w:rPr>
          <w:rFonts w:ascii="Times New Roman" w:hAnsi="Times New Roman" w:cs="Times New Roman"/>
          <w:sz w:val="24"/>
          <w:szCs w:val="24"/>
        </w:rPr>
        <w:t>.1)</w:t>
      </w:r>
    </w:p>
    <w:p w:rsidR="006118E7" w:rsidRPr="009E7B2D" w:rsidRDefault="006118E7" w:rsidP="009E7B2D">
      <w:pPr>
        <w:autoSpaceDE w:val="0"/>
        <w:autoSpaceDN w:val="0"/>
        <w:adjustRightInd w:val="0"/>
        <w:spacing w:after="0" w:line="360" w:lineRule="auto"/>
        <w:jc w:val="both"/>
        <w:rPr>
          <w:rFonts w:ascii="Times New Roman" w:hAnsi="Times New Roman" w:cs="Times New Roman"/>
          <w:sz w:val="24"/>
          <w:szCs w:val="24"/>
          <w:lang w:val="en-US"/>
        </w:rPr>
      </w:pPr>
      <w:r w:rsidRPr="009E7B2D">
        <w:rPr>
          <w:rFonts w:ascii="Times New Roman" w:hAnsi="Times New Roman" w:cs="Times New Roman"/>
          <w:sz w:val="24"/>
          <w:szCs w:val="24"/>
        </w:rPr>
        <w:t xml:space="preserve">Other variables such as government expenditure and real interest rate as adopted by </w:t>
      </w:r>
      <w:proofErr w:type="spellStart"/>
      <w:r w:rsidR="002A6E9E" w:rsidRPr="007912A3">
        <w:rPr>
          <w:rFonts w:ascii="Times New Roman" w:hAnsi="Times New Roman" w:cs="Times New Roman"/>
          <w:sz w:val="24"/>
          <w:szCs w:val="24"/>
        </w:rPr>
        <w:t>Adegbite</w:t>
      </w:r>
      <w:proofErr w:type="spellEnd"/>
      <w:r w:rsidR="002A6E9E" w:rsidRPr="007912A3">
        <w:rPr>
          <w:rFonts w:ascii="Times New Roman" w:hAnsi="Times New Roman" w:cs="Times New Roman"/>
          <w:sz w:val="24"/>
          <w:szCs w:val="24"/>
        </w:rPr>
        <w:t>,</w:t>
      </w:r>
      <w:r w:rsidR="002A6E9E">
        <w:rPr>
          <w:rFonts w:ascii="Times New Roman" w:hAnsi="Times New Roman" w:cs="Times New Roman"/>
          <w:sz w:val="24"/>
          <w:szCs w:val="24"/>
        </w:rPr>
        <w:t xml:space="preserve"> and</w:t>
      </w:r>
      <w:r w:rsidR="002A6E9E" w:rsidRPr="007912A3">
        <w:rPr>
          <w:rFonts w:ascii="Times New Roman" w:hAnsi="Times New Roman" w:cs="Times New Roman"/>
          <w:sz w:val="24"/>
          <w:szCs w:val="24"/>
        </w:rPr>
        <w:t xml:space="preserve">. </w:t>
      </w:r>
      <w:proofErr w:type="spellStart"/>
      <w:r w:rsidR="002A6E9E" w:rsidRPr="007912A3">
        <w:rPr>
          <w:rFonts w:ascii="Times New Roman" w:hAnsi="Times New Roman" w:cs="Times New Roman"/>
          <w:sz w:val="24"/>
          <w:szCs w:val="24"/>
        </w:rPr>
        <w:t>Adetiloye</w:t>
      </w:r>
      <w:proofErr w:type="spellEnd"/>
      <w:r w:rsidR="002A6E9E" w:rsidRPr="007912A3">
        <w:rPr>
          <w:rFonts w:ascii="Times New Roman" w:hAnsi="Times New Roman" w:cs="Times New Roman"/>
          <w:sz w:val="24"/>
          <w:szCs w:val="24"/>
        </w:rPr>
        <w:t>, (2018)</w:t>
      </w:r>
      <w:r w:rsidR="002A6E9E">
        <w:rPr>
          <w:rFonts w:ascii="Times New Roman" w:hAnsi="Times New Roman" w:cs="Times New Roman"/>
          <w:sz w:val="24"/>
          <w:szCs w:val="24"/>
        </w:rPr>
        <w:t xml:space="preserve"> </w:t>
      </w:r>
      <w:r w:rsidRPr="009E7B2D">
        <w:rPr>
          <w:rFonts w:ascii="Times New Roman" w:hAnsi="Times New Roman" w:cs="Times New Roman"/>
          <w:sz w:val="24"/>
          <w:szCs w:val="24"/>
        </w:rPr>
        <w:t>also seem to affect the composition of output in an economy. Incorporating these variables in (1.1) gives:</w:t>
      </w:r>
    </w:p>
    <w:p w:rsidR="006118E7" w:rsidRPr="009E7B2D" w:rsidRDefault="0094205E" w:rsidP="009E7B2D">
      <w:pPr>
        <w:pStyle w:val="Default"/>
        <w:spacing w:line="360" w:lineRule="auto"/>
        <w:jc w:val="both"/>
      </w:pPr>
      <w:r w:rsidRPr="009E7B2D">
        <w:rPr>
          <w:noProof/>
          <w:position w:val="-14"/>
        </w:rPr>
        <w:object w:dxaOrig="3260" w:dyaOrig="400">
          <v:shape id="_x0000_i1027" type="#_x0000_t75" style="width:163.5pt;height:20.25pt" o:ole="">
            <v:imagedata r:id="rId10" o:title=""/>
          </v:shape>
          <o:OLEObject Type="Embed" ProgID="Equation.DSMT4" ShapeID="_x0000_i1027" DrawAspect="Content" ObjectID="_1844834671" r:id="rId11"/>
        </w:object>
      </w:r>
      <w:r w:rsidR="006118E7" w:rsidRPr="009E7B2D">
        <w:t xml:space="preserve">                           </w:t>
      </w:r>
      <w:r w:rsidR="006118E7" w:rsidRPr="009E7B2D">
        <w:tab/>
      </w:r>
      <w:r w:rsidR="006118E7" w:rsidRPr="009E7B2D">
        <w:tab/>
      </w:r>
      <w:r w:rsidR="006118E7" w:rsidRPr="009E7B2D">
        <w:tab/>
      </w:r>
      <w:r w:rsidR="006118E7" w:rsidRPr="009E7B2D">
        <w:tab/>
      </w:r>
      <w:r w:rsidR="006118E7" w:rsidRPr="009E7B2D">
        <w:tab/>
      </w:r>
      <w:r w:rsidR="002A6E9E">
        <w:t xml:space="preserve">       (3</w:t>
      </w:r>
      <w:r w:rsidR="006118E7" w:rsidRPr="009E7B2D">
        <w:t>.2)</w:t>
      </w:r>
    </w:p>
    <w:p w:rsidR="00DA42D6" w:rsidRPr="009E7B2D" w:rsidRDefault="006118E7" w:rsidP="009E7B2D">
      <w:pPr>
        <w:pStyle w:val="Default"/>
        <w:spacing w:line="360" w:lineRule="auto"/>
        <w:jc w:val="both"/>
      </w:pPr>
      <w:r w:rsidRPr="009E7B2D">
        <w:t xml:space="preserve">Where </w:t>
      </w:r>
      <w:r w:rsidRPr="009E7B2D">
        <w:rPr>
          <w:i/>
          <w:iCs/>
        </w:rPr>
        <w:t>GDP</w:t>
      </w:r>
      <w:r w:rsidRPr="009E7B2D">
        <w:t xml:space="preserve"> measures economic growth, </w:t>
      </w:r>
      <w:r w:rsidRPr="009E7B2D">
        <w:rPr>
          <w:i/>
          <w:iCs/>
        </w:rPr>
        <w:t xml:space="preserve">FSD </w:t>
      </w:r>
      <w:r w:rsidRPr="009E7B2D">
        <w:t xml:space="preserve">denotes financial sector development, </w:t>
      </w:r>
      <w:r w:rsidRPr="009E7B2D">
        <w:rPr>
          <w:i/>
          <w:iCs/>
        </w:rPr>
        <w:t xml:space="preserve">INV </w:t>
      </w:r>
      <w:r w:rsidRPr="009E7B2D">
        <w:rPr>
          <w:iCs/>
        </w:rPr>
        <w:t>is domestic investment</w:t>
      </w:r>
      <w:r w:rsidRPr="009E7B2D">
        <w:t xml:space="preserve">, </w:t>
      </w:r>
      <w:proofErr w:type="gramStart"/>
      <w:r w:rsidRPr="009E7B2D">
        <w:t>GE</w:t>
      </w:r>
      <w:proofErr w:type="gramEnd"/>
      <w:r w:rsidRPr="009E7B2D">
        <w:t xml:space="preserve"> is government expenditure while </w:t>
      </w:r>
      <w:r w:rsidRPr="009E7B2D">
        <w:rPr>
          <w:i/>
        </w:rPr>
        <w:t>RIR</w:t>
      </w:r>
      <w:r w:rsidRPr="009E7B2D">
        <w:t xml:space="preserve"> is real interest rate at time t. </w:t>
      </w:r>
    </w:p>
    <w:p w:rsidR="00A131B1" w:rsidRPr="009E7B2D" w:rsidRDefault="00A131B1" w:rsidP="009E7B2D">
      <w:pPr>
        <w:pStyle w:val="Default"/>
        <w:spacing w:line="360" w:lineRule="auto"/>
        <w:jc w:val="both"/>
      </w:pPr>
      <w:r w:rsidRPr="009E7B2D">
        <w:t xml:space="preserve">To examine the relationship among financial sector development, </w:t>
      </w:r>
      <w:r w:rsidRPr="009E7B2D">
        <w:rPr>
          <w:iCs/>
        </w:rPr>
        <w:t>domestic investment</w:t>
      </w:r>
      <w:r w:rsidRPr="009E7B2D">
        <w:t xml:space="preserve"> and economic growth, the variable </w:t>
      </w:r>
      <w:r w:rsidRPr="009E7B2D">
        <w:rPr>
          <w:i/>
          <w:iCs/>
        </w:rPr>
        <w:t xml:space="preserve">FSD </w:t>
      </w:r>
      <w:r w:rsidRPr="009E7B2D">
        <w:t xml:space="preserve">is broken into credit to private sector as a share of GDP </w:t>
      </w:r>
      <w:r w:rsidRPr="009E7B2D">
        <w:rPr>
          <w:i/>
        </w:rPr>
        <w:t xml:space="preserve">(CPS) </w:t>
      </w:r>
      <w:r w:rsidRPr="009E7B2D">
        <w:t xml:space="preserve">which indicates an efficient </w:t>
      </w:r>
      <w:r w:rsidRPr="009E7B2D">
        <w:rPr>
          <w:lang w:val="en-GB"/>
        </w:rPr>
        <w:t>allocation of funds by the banking sector</w:t>
      </w:r>
      <w:r w:rsidRPr="009E7B2D">
        <w:t xml:space="preserve">, and broad money supply as a share of GDP </w:t>
      </w:r>
      <w:r w:rsidRPr="009E7B2D">
        <w:rPr>
          <w:i/>
        </w:rPr>
        <w:t>(BMS).</w:t>
      </w:r>
      <w:r w:rsidRPr="009E7B2D">
        <w:t xml:space="preserve"> Thus, equation (1.2) becomes:</w:t>
      </w:r>
    </w:p>
    <w:p w:rsidR="00A131B1" w:rsidRPr="009E7B2D" w:rsidRDefault="0094205E" w:rsidP="009E7B2D">
      <w:pPr>
        <w:spacing w:line="360" w:lineRule="auto"/>
        <w:jc w:val="both"/>
        <w:rPr>
          <w:rFonts w:ascii="Times New Roman" w:hAnsi="Times New Roman" w:cs="Times New Roman"/>
          <w:sz w:val="24"/>
          <w:szCs w:val="24"/>
        </w:rPr>
      </w:pPr>
      <w:r w:rsidRPr="009E7B2D">
        <w:rPr>
          <w:rFonts w:ascii="Times New Roman" w:hAnsi="Times New Roman" w:cs="Times New Roman"/>
          <w:noProof/>
          <w:position w:val="-14"/>
          <w:sz w:val="24"/>
          <w:szCs w:val="24"/>
          <w:lang w:val="en-US"/>
        </w:rPr>
        <w:object w:dxaOrig="3879" w:dyaOrig="400">
          <v:shape id="_x0000_i1028" type="#_x0000_t75" style="width:194.25pt;height:15pt" o:ole="">
            <v:imagedata r:id="rId12" o:title=""/>
          </v:shape>
          <o:OLEObject Type="Embed" ProgID="Equation.DSMT4" ShapeID="_x0000_i1028" DrawAspect="Content" ObjectID="_1844834672" r:id="rId13"/>
        </w:object>
      </w:r>
      <w:r w:rsidR="00A131B1" w:rsidRPr="009E7B2D">
        <w:rPr>
          <w:rFonts w:ascii="Times New Roman" w:hAnsi="Times New Roman" w:cs="Times New Roman"/>
          <w:sz w:val="24"/>
          <w:szCs w:val="24"/>
        </w:rPr>
        <w:t xml:space="preserve"> </w:t>
      </w:r>
      <w:r w:rsidR="00A131B1" w:rsidRPr="009E7B2D">
        <w:rPr>
          <w:rFonts w:ascii="Times New Roman" w:hAnsi="Times New Roman" w:cs="Times New Roman"/>
          <w:sz w:val="24"/>
          <w:szCs w:val="24"/>
        </w:rPr>
        <w:tab/>
      </w:r>
      <w:r w:rsidR="00A131B1" w:rsidRPr="009E7B2D">
        <w:rPr>
          <w:rFonts w:ascii="Times New Roman" w:hAnsi="Times New Roman" w:cs="Times New Roman"/>
          <w:sz w:val="24"/>
          <w:szCs w:val="24"/>
        </w:rPr>
        <w:tab/>
      </w:r>
      <w:r w:rsidR="00A131B1" w:rsidRPr="009E7B2D">
        <w:rPr>
          <w:rFonts w:ascii="Times New Roman" w:hAnsi="Times New Roman" w:cs="Times New Roman"/>
          <w:sz w:val="24"/>
          <w:szCs w:val="24"/>
        </w:rPr>
        <w:tab/>
      </w:r>
      <w:r w:rsidR="00A131B1" w:rsidRPr="009E7B2D">
        <w:rPr>
          <w:rFonts w:ascii="Times New Roman" w:hAnsi="Times New Roman" w:cs="Times New Roman"/>
          <w:sz w:val="24"/>
          <w:szCs w:val="24"/>
        </w:rPr>
        <w:tab/>
      </w:r>
      <w:r w:rsidR="00A131B1" w:rsidRPr="009E7B2D">
        <w:rPr>
          <w:rFonts w:ascii="Times New Roman" w:hAnsi="Times New Roman" w:cs="Times New Roman"/>
          <w:sz w:val="24"/>
          <w:szCs w:val="24"/>
        </w:rPr>
        <w:tab/>
      </w:r>
      <w:r w:rsidR="00A131B1" w:rsidRPr="009E7B2D">
        <w:rPr>
          <w:rFonts w:ascii="Times New Roman" w:hAnsi="Times New Roman" w:cs="Times New Roman"/>
          <w:sz w:val="24"/>
          <w:szCs w:val="24"/>
        </w:rPr>
        <w:tab/>
        <w:t xml:space="preserve"> </w:t>
      </w:r>
      <w:r w:rsidR="002A6E9E">
        <w:rPr>
          <w:rFonts w:ascii="Times New Roman" w:hAnsi="Times New Roman" w:cs="Times New Roman"/>
          <w:sz w:val="24"/>
          <w:szCs w:val="24"/>
        </w:rPr>
        <w:t xml:space="preserve">       (3</w:t>
      </w:r>
      <w:r w:rsidR="00A131B1" w:rsidRPr="009E7B2D">
        <w:rPr>
          <w:rFonts w:ascii="Times New Roman" w:hAnsi="Times New Roman" w:cs="Times New Roman"/>
          <w:sz w:val="24"/>
          <w:szCs w:val="24"/>
        </w:rPr>
        <w:t xml:space="preserve">.3) </w:t>
      </w:r>
    </w:p>
    <w:p w:rsidR="00A131B1" w:rsidRPr="009E7B2D" w:rsidRDefault="00A131B1"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The log-linear form of equation (1.3) expressed in mathematical equation gives;</w:t>
      </w:r>
    </w:p>
    <w:p w:rsidR="00A131B1" w:rsidRPr="009E7B2D" w:rsidRDefault="0094205E" w:rsidP="009E7B2D">
      <w:pPr>
        <w:spacing w:line="360" w:lineRule="auto"/>
        <w:jc w:val="both"/>
        <w:rPr>
          <w:rFonts w:ascii="Times New Roman" w:hAnsi="Times New Roman" w:cs="Times New Roman"/>
          <w:sz w:val="24"/>
          <w:szCs w:val="24"/>
        </w:rPr>
      </w:pPr>
      <w:r w:rsidRPr="009E7B2D">
        <w:rPr>
          <w:rFonts w:ascii="Times New Roman" w:hAnsi="Times New Roman" w:cs="Times New Roman"/>
          <w:noProof/>
          <w:position w:val="-12"/>
          <w:sz w:val="24"/>
          <w:szCs w:val="24"/>
        </w:rPr>
        <w:object w:dxaOrig="6600" w:dyaOrig="360">
          <v:shape id="_x0000_i1029" type="#_x0000_t75" style="width:339pt;height:14.25pt" o:ole="">
            <v:imagedata r:id="rId14" o:title=""/>
          </v:shape>
          <o:OLEObject Type="Embed" ProgID="Equation.DSMT4" ShapeID="_x0000_i1029" DrawAspect="Content" ObjectID="_1844834673" r:id="rId15"/>
        </w:object>
      </w:r>
      <w:r w:rsidR="00A131B1" w:rsidRPr="009E7B2D">
        <w:rPr>
          <w:rFonts w:ascii="Times New Roman" w:hAnsi="Times New Roman" w:cs="Times New Roman"/>
          <w:sz w:val="24"/>
          <w:szCs w:val="24"/>
        </w:rPr>
        <w:t xml:space="preserve">             </w:t>
      </w:r>
      <w:r w:rsidR="00A131B1" w:rsidRPr="009E7B2D">
        <w:rPr>
          <w:rFonts w:ascii="Times New Roman" w:hAnsi="Times New Roman" w:cs="Times New Roman"/>
          <w:sz w:val="24"/>
          <w:szCs w:val="24"/>
        </w:rPr>
        <w:tab/>
      </w:r>
      <w:r w:rsidR="002A6E9E">
        <w:rPr>
          <w:rFonts w:ascii="Times New Roman" w:hAnsi="Times New Roman" w:cs="Times New Roman"/>
          <w:sz w:val="24"/>
          <w:szCs w:val="24"/>
        </w:rPr>
        <w:t xml:space="preserve">        (3</w:t>
      </w:r>
      <w:r w:rsidR="00A131B1" w:rsidRPr="009E7B2D">
        <w:rPr>
          <w:rFonts w:ascii="Times New Roman" w:hAnsi="Times New Roman" w:cs="Times New Roman"/>
          <w:sz w:val="24"/>
          <w:szCs w:val="24"/>
        </w:rPr>
        <w:t>.4)</w:t>
      </w:r>
    </w:p>
    <w:p w:rsidR="00A131B1" w:rsidRPr="009E7B2D" w:rsidRDefault="00A131B1"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All the variables are as already defined and </w:t>
      </w:r>
      <w:r w:rsidR="0094205E" w:rsidRPr="009E7B2D">
        <w:rPr>
          <w:rFonts w:ascii="Times New Roman" w:hAnsi="Times New Roman" w:cs="Times New Roman"/>
          <w:noProof/>
          <w:position w:val="-12"/>
          <w:sz w:val="24"/>
          <w:szCs w:val="24"/>
        </w:rPr>
        <w:object w:dxaOrig="240" w:dyaOrig="360">
          <v:shape id="_x0000_i1030" type="#_x0000_t75" style="width:12pt;height:18.75pt" o:ole="">
            <v:imagedata r:id="rId16" o:title=""/>
          </v:shape>
          <o:OLEObject Type="Embed" ProgID="Equation.DSMT4" ShapeID="_x0000_i1030" DrawAspect="Content" ObjectID="_1844834674" r:id="rId17"/>
        </w:object>
      </w:r>
      <w:r w:rsidRPr="009E7B2D">
        <w:rPr>
          <w:rFonts w:ascii="Times New Roman" w:hAnsi="Times New Roman" w:cs="Times New Roman"/>
          <w:sz w:val="24"/>
          <w:szCs w:val="24"/>
        </w:rPr>
        <w:t>is a residual term, assumed to be white noise.</w:t>
      </w:r>
    </w:p>
    <w:p w:rsidR="00A131B1" w:rsidRPr="00DD5042" w:rsidRDefault="00A131B1" w:rsidP="00DD5042">
      <w:pPr>
        <w:spacing w:line="360" w:lineRule="auto"/>
        <w:jc w:val="both"/>
        <w:rPr>
          <w:rFonts w:ascii="Times New Roman" w:hAnsi="Times New Roman" w:cs="Times New Roman"/>
          <w:b/>
          <w:sz w:val="24"/>
          <w:szCs w:val="24"/>
        </w:rPr>
      </w:pPr>
      <w:r w:rsidRPr="00DD5042">
        <w:rPr>
          <w:rFonts w:ascii="Times New Roman" w:hAnsi="Times New Roman" w:cs="Times New Roman"/>
          <w:b/>
          <w:sz w:val="24"/>
          <w:szCs w:val="24"/>
        </w:rPr>
        <w:t>Model Specification on the Effect of Financial Development and Domestic Investment on Economic growth in Nigeria</w:t>
      </w:r>
    </w:p>
    <w:p w:rsidR="00A131B1" w:rsidRPr="009E7B2D" w:rsidRDefault="00A131B1" w:rsidP="009E7B2D">
      <w:pPr>
        <w:spacing w:line="360" w:lineRule="auto"/>
        <w:jc w:val="both"/>
        <w:rPr>
          <w:rFonts w:ascii="Times New Roman" w:hAnsi="Times New Roman" w:cs="Times New Roman"/>
          <w:sz w:val="24"/>
          <w:szCs w:val="24"/>
          <w:lang w:val="en-US"/>
        </w:rPr>
      </w:pPr>
      <w:r w:rsidRPr="009E7B2D">
        <w:rPr>
          <w:rFonts w:ascii="Times New Roman" w:hAnsi="Times New Roman" w:cs="Times New Roman"/>
          <w:sz w:val="24"/>
          <w:szCs w:val="24"/>
        </w:rPr>
        <w:t xml:space="preserve">To examine the effect of financial development and domestic investment on economic growth, </w:t>
      </w:r>
      <w:r w:rsidRPr="009E7B2D">
        <w:rPr>
          <w:rFonts w:ascii="Times New Roman" w:hAnsi="Times New Roman" w:cs="Times New Roman"/>
          <w:sz w:val="24"/>
          <w:szCs w:val="24"/>
          <w:lang w:val="en-US"/>
        </w:rPr>
        <w:t xml:space="preserve">the study employ Autoregressive Distributed Lag (ARDL) bounds testing approach to </w:t>
      </w:r>
      <w:proofErr w:type="spellStart"/>
      <w:r w:rsidRPr="009E7B2D">
        <w:rPr>
          <w:rFonts w:ascii="Times New Roman" w:hAnsi="Times New Roman" w:cs="Times New Roman"/>
          <w:sz w:val="24"/>
          <w:szCs w:val="24"/>
          <w:lang w:val="en-US"/>
        </w:rPr>
        <w:t>cointegration</w:t>
      </w:r>
      <w:proofErr w:type="spellEnd"/>
      <w:r w:rsidRPr="009E7B2D">
        <w:rPr>
          <w:rFonts w:ascii="Times New Roman" w:hAnsi="Times New Roman" w:cs="Times New Roman"/>
          <w:sz w:val="24"/>
          <w:szCs w:val="24"/>
          <w:lang w:val="en-US"/>
        </w:rPr>
        <w:t xml:space="preserve"> developed by </w:t>
      </w:r>
      <w:proofErr w:type="spellStart"/>
      <w:r w:rsidRPr="009E7B2D">
        <w:rPr>
          <w:rFonts w:ascii="Times New Roman" w:hAnsi="Times New Roman" w:cs="Times New Roman"/>
          <w:sz w:val="24"/>
          <w:szCs w:val="24"/>
          <w:lang w:val="en-US"/>
        </w:rPr>
        <w:t>Pesaran</w:t>
      </w:r>
      <w:proofErr w:type="spellEnd"/>
      <w:r w:rsidRPr="009E7B2D">
        <w:rPr>
          <w:rFonts w:ascii="Times New Roman" w:hAnsi="Times New Roman" w:cs="Times New Roman"/>
          <w:sz w:val="24"/>
          <w:szCs w:val="24"/>
          <w:lang w:val="en-US"/>
        </w:rPr>
        <w:t xml:space="preserve"> </w:t>
      </w:r>
      <w:r w:rsidRPr="009E7B2D">
        <w:rPr>
          <w:rFonts w:ascii="Times New Roman" w:hAnsi="Times New Roman" w:cs="Times New Roman"/>
          <w:i/>
          <w:sz w:val="24"/>
          <w:szCs w:val="24"/>
          <w:lang w:val="en-US"/>
        </w:rPr>
        <w:t>et al.</w:t>
      </w:r>
      <w:r w:rsidRPr="009E7B2D">
        <w:rPr>
          <w:rFonts w:ascii="Times New Roman" w:hAnsi="Times New Roman" w:cs="Times New Roman"/>
          <w:sz w:val="24"/>
          <w:szCs w:val="24"/>
          <w:lang w:val="en-US"/>
        </w:rPr>
        <w:t xml:space="preserve"> (2001). This approach has a number of advantages compared to Johansen </w:t>
      </w:r>
      <w:proofErr w:type="spellStart"/>
      <w:r w:rsidRPr="009E7B2D">
        <w:rPr>
          <w:rFonts w:ascii="Times New Roman" w:hAnsi="Times New Roman" w:cs="Times New Roman"/>
          <w:sz w:val="24"/>
          <w:szCs w:val="24"/>
          <w:lang w:val="en-US"/>
        </w:rPr>
        <w:t>cointegration</w:t>
      </w:r>
      <w:proofErr w:type="spellEnd"/>
      <w:r w:rsidRPr="009E7B2D">
        <w:rPr>
          <w:rFonts w:ascii="Times New Roman" w:hAnsi="Times New Roman" w:cs="Times New Roman"/>
          <w:sz w:val="24"/>
          <w:szCs w:val="24"/>
          <w:lang w:val="en-US"/>
        </w:rPr>
        <w:t xml:space="preserve"> techniques (Johansen and </w:t>
      </w:r>
      <w:proofErr w:type="spellStart"/>
      <w:r w:rsidRPr="009E7B2D">
        <w:rPr>
          <w:rFonts w:ascii="Times New Roman" w:hAnsi="Times New Roman" w:cs="Times New Roman"/>
          <w:sz w:val="24"/>
          <w:szCs w:val="24"/>
          <w:lang w:val="en-US"/>
        </w:rPr>
        <w:t>Juselius</w:t>
      </w:r>
      <w:proofErr w:type="spellEnd"/>
      <w:r w:rsidRPr="009E7B2D">
        <w:rPr>
          <w:rFonts w:ascii="Times New Roman" w:hAnsi="Times New Roman" w:cs="Times New Roman"/>
          <w:sz w:val="24"/>
          <w:szCs w:val="24"/>
          <w:lang w:val="en-US"/>
        </w:rPr>
        <w:t xml:space="preserve">, 1990; Johansen, 1988). Firstly, it requires a smaller sample size compared to Johansen </w:t>
      </w:r>
      <w:proofErr w:type="spellStart"/>
      <w:r w:rsidRPr="009E7B2D">
        <w:rPr>
          <w:rFonts w:ascii="Times New Roman" w:hAnsi="Times New Roman" w:cs="Times New Roman"/>
          <w:sz w:val="24"/>
          <w:szCs w:val="24"/>
          <w:lang w:val="en-US"/>
        </w:rPr>
        <w:t>cointegration</w:t>
      </w:r>
      <w:proofErr w:type="spellEnd"/>
      <w:r w:rsidRPr="009E7B2D">
        <w:rPr>
          <w:rFonts w:ascii="Times New Roman" w:hAnsi="Times New Roman" w:cs="Times New Roman"/>
          <w:sz w:val="24"/>
          <w:szCs w:val="24"/>
          <w:lang w:val="en-US"/>
        </w:rPr>
        <w:t xml:space="preserve"> technique </w:t>
      </w:r>
      <w:r w:rsidR="002A6E9E">
        <w:rPr>
          <w:rFonts w:ascii="Times New Roman" w:hAnsi="Times New Roman" w:cs="Times New Roman"/>
          <w:sz w:val="24"/>
          <w:szCs w:val="24"/>
          <w:lang w:val="en-US"/>
        </w:rPr>
        <w:t>(</w:t>
      </w:r>
      <w:proofErr w:type="spellStart"/>
      <w:r w:rsidR="002A6E9E" w:rsidRPr="007912A3">
        <w:rPr>
          <w:rFonts w:ascii="Times New Roman" w:hAnsi="Times New Roman" w:cs="Times New Roman"/>
          <w:sz w:val="24"/>
          <w:szCs w:val="24"/>
        </w:rPr>
        <w:t>Uruakpa</w:t>
      </w:r>
      <w:proofErr w:type="spellEnd"/>
      <w:r w:rsidR="002A6E9E" w:rsidRPr="007912A3">
        <w:rPr>
          <w:rFonts w:ascii="Times New Roman" w:hAnsi="Times New Roman" w:cs="Times New Roman"/>
          <w:sz w:val="24"/>
          <w:szCs w:val="24"/>
        </w:rPr>
        <w:t>, 2016)</w:t>
      </w:r>
      <w:r w:rsidR="002A6E9E" w:rsidRPr="009E7B2D">
        <w:rPr>
          <w:rFonts w:ascii="Times New Roman" w:hAnsi="Times New Roman" w:cs="Times New Roman"/>
          <w:sz w:val="24"/>
          <w:szCs w:val="24"/>
          <w:lang w:val="en-US"/>
        </w:rPr>
        <w:t xml:space="preserve"> </w:t>
      </w:r>
      <w:r w:rsidRPr="009E7B2D">
        <w:rPr>
          <w:rFonts w:ascii="Times New Roman" w:hAnsi="Times New Roman" w:cs="Times New Roman"/>
          <w:sz w:val="24"/>
          <w:szCs w:val="24"/>
          <w:lang w:val="en-US"/>
        </w:rPr>
        <w:t xml:space="preserve">and it can be applied whether the variables are purely I (0) or I (1). Secondly, it provides unbiased long-run estimates with valid t-statistics if some of the model </w:t>
      </w:r>
      <w:proofErr w:type="spellStart"/>
      <w:r w:rsidRPr="009E7B2D">
        <w:rPr>
          <w:rFonts w:ascii="Times New Roman" w:hAnsi="Times New Roman" w:cs="Times New Roman"/>
          <w:sz w:val="24"/>
          <w:szCs w:val="24"/>
          <w:lang w:val="en-US"/>
        </w:rPr>
        <w:t>regressors</w:t>
      </w:r>
      <w:proofErr w:type="spellEnd"/>
      <w:r w:rsidRPr="009E7B2D">
        <w:rPr>
          <w:rFonts w:ascii="Times New Roman" w:hAnsi="Times New Roman" w:cs="Times New Roman"/>
          <w:sz w:val="24"/>
          <w:szCs w:val="24"/>
          <w:lang w:val="en-US"/>
        </w:rPr>
        <w:t xml:space="preserve"> are endogenous (</w:t>
      </w:r>
      <w:proofErr w:type="spellStart"/>
      <w:r w:rsidR="002A6E9E" w:rsidRPr="007912A3">
        <w:rPr>
          <w:rFonts w:ascii="Times New Roman" w:hAnsi="Times New Roman" w:cs="Times New Roman"/>
          <w:sz w:val="24"/>
          <w:szCs w:val="24"/>
        </w:rPr>
        <w:t>Esomnofu</w:t>
      </w:r>
      <w:proofErr w:type="spellEnd"/>
      <w:r w:rsidR="002A6E9E">
        <w:rPr>
          <w:rFonts w:ascii="Times New Roman" w:hAnsi="Times New Roman" w:cs="Times New Roman"/>
          <w:sz w:val="24"/>
          <w:szCs w:val="24"/>
        </w:rPr>
        <w:t xml:space="preserve"> 2019</w:t>
      </w:r>
      <w:r w:rsidRPr="009E7B2D">
        <w:rPr>
          <w:rFonts w:ascii="Times New Roman" w:hAnsi="Times New Roman" w:cs="Times New Roman"/>
          <w:sz w:val="24"/>
          <w:szCs w:val="24"/>
          <w:lang w:val="en-US"/>
        </w:rPr>
        <w:t>).</w:t>
      </w:r>
      <w:r w:rsidR="002D641B" w:rsidRPr="009E7B2D">
        <w:rPr>
          <w:rFonts w:ascii="Times New Roman" w:hAnsi="Times New Roman" w:cs="Times New Roman"/>
          <w:sz w:val="24"/>
          <w:szCs w:val="24"/>
          <w:lang w:val="en-US"/>
        </w:rPr>
        <w:t xml:space="preserve"> </w:t>
      </w:r>
      <w:r w:rsidRPr="009E7B2D">
        <w:rPr>
          <w:rFonts w:ascii="Times New Roman" w:hAnsi="Times New Roman" w:cs="Times New Roman"/>
          <w:sz w:val="24"/>
          <w:szCs w:val="24"/>
          <w:lang w:val="en-US"/>
        </w:rPr>
        <w:t>In order to examine the co-integration among the variables stated in Equation (1.4), we formulate the ARDL framework as follows:</w:t>
      </w:r>
    </w:p>
    <w:p w:rsidR="00A131B1" w:rsidRPr="009E7B2D" w:rsidRDefault="0094205E" w:rsidP="009E7B2D">
      <w:pPr>
        <w:autoSpaceDE w:val="0"/>
        <w:autoSpaceDN w:val="0"/>
        <w:adjustRightInd w:val="0"/>
        <w:spacing w:after="0" w:line="360" w:lineRule="auto"/>
        <w:jc w:val="both"/>
        <w:rPr>
          <w:rFonts w:ascii="Times New Roman" w:hAnsi="Times New Roman" w:cs="Times New Roman"/>
          <w:sz w:val="24"/>
          <w:szCs w:val="24"/>
          <w:lang w:val="en-US"/>
        </w:rPr>
      </w:pPr>
      <w:r w:rsidRPr="009E7B2D">
        <w:rPr>
          <w:rFonts w:ascii="Times New Roman" w:hAnsi="Times New Roman" w:cs="Times New Roman"/>
          <w:noProof/>
          <w:position w:val="-66"/>
          <w:sz w:val="24"/>
          <w:szCs w:val="24"/>
        </w:rPr>
        <w:object w:dxaOrig="10080" w:dyaOrig="1440">
          <v:shape id="_x0000_i1031" type="#_x0000_t75" style="width:393pt;height:53.25pt" o:ole="">
            <v:imagedata r:id="rId18" o:title=""/>
          </v:shape>
          <o:OLEObject Type="Embed" ProgID="Equation.DSMT4" ShapeID="_x0000_i1031" DrawAspect="Content" ObjectID="_1844834675" r:id="rId19"/>
        </w:object>
      </w:r>
      <w:r w:rsidR="00A131B1" w:rsidRPr="009E7B2D">
        <w:rPr>
          <w:rFonts w:ascii="Times New Roman" w:hAnsi="Times New Roman" w:cs="Times New Roman"/>
          <w:sz w:val="24"/>
          <w:szCs w:val="24"/>
        </w:rPr>
        <w:t xml:space="preserve">    </w:t>
      </w:r>
      <w:r w:rsidR="002A6E9E">
        <w:rPr>
          <w:rFonts w:ascii="Times New Roman" w:hAnsi="Times New Roman" w:cs="Times New Roman"/>
          <w:sz w:val="24"/>
          <w:szCs w:val="24"/>
        </w:rPr>
        <w:t xml:space="preserve"> (3</w:t>
      </w:r>
      <w:r w:rsidR="00A131B1" w:rsidRPr="009E7B2D">
        <w:rPr>
          <w:rFonts w:ascii="Times New Roman" w:hAnsi="Times New Roman" w:cs="Times New Roman"/>
          <w:sz w:val="24"/>
          <w:szCs w:val="24"/>
        </w:rPr>
        <w:t>.5)</w:t>
      </w:r>
    </w:p>
    <w:p w:rsidR="00A131B1" w:rsidRPr="009E7B2D" w:rsidRDefault="00A131B1"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where </w:t>
      </w:r>
      <w:r w:rsidR="0094205E" w:rsidRPr="009E7B2D">
        <w:rPr>
          <w:rFonts w:ascii="Times New Roman" w:hAnsi="Times New Roman" w:cs="Times New Roman"/>
          <w:noProof/>
          <w:position w:val="-4"/>
          <w:sz w:val="24"/>
          <w:szCs w:val="24"/>
        </w:rPr>
        <w:object w:dxaOrig="220" w:dyaOrig="260">
          <v:shape id="_x0000_i1032" type="#_x0000_t75" style="width:12pt;height:12.75pt" o:ole="">
            <v:imagedata r:id="rId20" o:title=""/>
          </v:shape>
          <o:OLEObject Type="Embed" ProgID="Equation.DSMT4" ShapeID="_x0000_i1032" DrawAspect="Content" ObjectID="_1844834676" r:id="rId21"/>
        </w:object>
      </w:r>
      <w:r w:rsidRPr="009E7B2D">
        <w:rPr>
          <w:rFonts w:ascii="Times New Roman" w:hAnsi="Times New Roman" w:cs="Times New Roman"/>
          <w:sz w:val="24"/>
          <w:szCs w:val="24"/>
        </w:rPr>
        <w:t xml:space="preserve"> represents first difference operator, π</w:t>
      </w:r>
      <w:r w:rsidRPr="009E7B2D">
        <w:rPr>
          <w:rFonts w:ascii="Times New Roman" w:hAnsi="Times New Roman" w:cs="Times New Roman"/>
          <w:sz w:val="24"/>
          <w:szCs w:val="24"/>
          <w:vertAlign w:val="subscript"/>
        </w:rPr>
        <w:t>1</w:t>
      </w:r>
      <w:r w:rsidRPr="009E7B2D">
        <w:rPr>
          <w:rFonts w:ascii="Times New Roman" w:hAnsi="Times New Roman" w:cs="Times New Roman"/>
          <w:sz w:val="24"/>
          <w:szCs w:val="24"/>
        </w:rPr>
        <w:t>…….π</w:t>
      </w:r>
      <w:r w:rsidRPr="009E7B2D">
        <w:rPr>
          <w:rFonts w:ascii="Times New Roman" w:hAnsi="Times New Roman" w:cs="Times New Roman"/>
          <w:sz w:val="24"/>
          <w:szCs w:val="24"/>
          <w:vertAlign w:val="subscript"/>
        </w:rPr>
        <w:t>6</w:t>
      </w:r>
      <w:r w:rsidRPr="009E7B2D">
        <w:rPr>
          <w:rFonts w:ascii="Times New Roman" w:hAnsi="Times New Roman" w:cs="Times New Roman"/>
          <w:sz w:val="24"/>
          <w:szCs w:val="24"/>
        </w:rPr>
        <w:t xml:space="preserve"> are long-run multipliers, </w:t>
      </w:r>
      <w:proofErr w:type="spellStart"/>
      <w:r w:rsidRPr="009E7B2D">
        <w:rPr>
          <w:rFonts w:ascii="Times New Roman" w:hAnsi="Times New Roman" w:cs="Times New Roman"/>
          <w:sz w:val="24"/>
          <w:szCs w:val="24"/>
        </w:rPr>
        <w:t>θ</w:t>
      </w:r>
      <w:r w:rsidRPr="009E7B2D">
        <w:rPr>
          <w:rFonts w:ascii="Times New Roman" w:hAnsi="Times New Roman" w:cs="Times New Roman"/>
          <w:sz w:val="24"/>
          <w:szCs w:val="24"/>
          <w:vertAlign w:val="subscript"/>
        </w:rPr>
        <w:t>j</w:t>
      </w:r>
      <w:proofErr w:type="spellEnd"/>
      <w:r w:rsidRPr="009E7B2D">
        <w:rPr>
          <w:rFonts w:ascii="Times New Roman" w:hAnsi="Times New Roman" w:cs="Times New Roman"/>
          <w:sz w:val="24"/>
          <w:szCs w:val="24"/>
          <w:vertAlign w:val="subscript"/>
        </w:rPr>
        <w:t xml:space="preserve">  </w:t>
      </w:r>
      <w:proofErr w:type="spellStart"/>
      <w:r w:rsidRPr="009E7B2D">
        <w:rPr>
          <w:rFonts w:ascii="Times New Roman" w:hAnsi="Times New Roman" w:cs="Times New Roman"/>
          <w:sz w:val="24"/>
          <w:szCs w:val="24"/>
        </w:rPr>
        <w:t>ß</w:t>
      </w:r>
      <w:r w:rsidRPr="009E7B2D">
        <w:rPr>
          <w:rFonts w:ascii="Times New Roman" w:hAnsi="Times New Roman" w:cs="Times New Roman"/>
          <w:sz w:val="24"/>
          <w:szCs w:val="24"/>
          <w:vertAlign w:val="subscript"/>
        </w:rPr>
        <w:t>j</w:t>
      </w:r>
      <w:proofErr w:type="spellEnd"/>
      <w:r w:rsidRPr="009E7B2D">
        <w:rPr>
          <w:rFonts w:ascii="Times New Roman" w:hAnsi="Times New Roman" w:cs="Times New Roman"/>
          <w:sz w:val="24"/>
          <w:szCs w:val="24"/>
          <w:vertAlign w:val="subscript"/>
        </w:rPr>
        <w:t xml:space="preserve">, </w:t>
      </w:r>
      <w:proofErr w:type="spellStart"/>
      <w:r w:rsidRPr="009E7B2D">
        <w:rPr>
          <w:rFonts w:ascii="Times New Roman" w:hAnsi="Times New Roman" w:cs="Times New Roman"/>
          <w:sz w:val="24"/>
          <w:szCs w:val="24"/>
        </w:rPr>
        <w:t>δ</w:t>
      </w:r>
      <w:r w:rsidRPr="009E7B2D">
        <w:rPr>
          <w:rFonts w:ascii="Times New Roman" w:hAnsi="Times New Roman" w:cs="Times New Roman"/>
          <w:sz w:val="24"/>
          <w:szCs w:val="24"/>
          <w:vertAlign w:val="subscript"/>
        </w:rPr>
        <w:t>j</w:t>
      </w:r>
      <w:proofErr w:type="spellEnd"/>
      <w:r w:rsidRPr="009E7B2D">
        <w:rPr>
          <w:rFonts w:ascii="Times New Roman" w:hAnsi="Times New Roman" w:cs="Times New Roman"/>
          <w:sz w:val="24"/>
          <w:szCs w:val="24"/>
          <w:vertAlign w:val="subscript"/>
        </w:rPr>
        <w:t xml:space="preserve">, </w:t>
      </w:r>
      <w:proofErr w:type="spellStart"/>
      <w:r w:rsidRPr="009E7B2D">
        <w:rPr>
          <w:rFonts w:ascii="Times New Roman" w:hAnsi="Times New Roman" w:cs="Times New Roman"/>
          <w:sz w:val="24"/>
          <w:szCs w:val="24"/>
        </w:rPr>
        <w:t>ω</w:t>
      </w:r>
      <w:r w:rsidRPr="009E7B2D">
        <w:rPr>
          <w:rFonts w:ascii="Times New Roman" w:hAnsi="Times New Roman" w:cs="Times New Roman"/>
          <w:sz w:val="24"/>
          <w:szCs w:val="24"/>
          <w:vertAlign w:val="subscript"/>
        </w:rPr>
        <w:t>j</w:t>
      </w:r>
      <w:proofErr w:type="spellEnd"/>
      <w:r w:rsidRPr="009E7B2D">
        <w:rPr>
          <w:rFonts w:ascii="Times New Roman" w:hAnsi="Times New Roman" w:cs="Times New Roman"/>
          <w:sz w:val="24"/>
          <w:szCs w:val="24"/>
          <w:vertAlign w:val="subscript"/>
        </w:rPr>
        <w:t xml:space="preserve">, and </w:t>
      </w:r>
      <w:proofErr w:type="spellStart"/>
      <w:r w:rsidRPr="009E7B2D">
        <w:rPr>
          <w:rFonts w:ascii="Times New Roman" w:hAnsi="Times New Roman" w:cs="Times New Roman"/>
          <w:sz w:val="24"/>
          <w:szCs w:val="24"/>
        </w:rPr>
        <w:t>γ</w:t>
      </w:r>
      <w:r w:rsidRPr="009E7B2D">
        <w:rPr>
          <w:rFonts w:ascii="Times New Roman" w:hAnsi="Times New Roman" w:cs="Times New Roman"/>
          <w:sz w:val="24"/>
          <w:szCs w:val="24"/>
          <w:vertAlign w:val="subscript"/>
        </w:rPr>
        <w:t>j</w:t>
      </w:r>
      <w:proofErr w:type="spellEnd"/>
      <w:r w:rsidRPr="009E7B2D">
        <w:rPr>
          <w:rFonts w:ascii="Times New Roman" w:hAnsi="Times New Roman" w:cs="Times New Roman"/>
          <w:sz w:val="24"/>
          <w:szCs w:val="24"/>
          <w:vertAlign w:val="subscript"/>
        </w:rPr>
        <w:t xml:space="preserve">  </w:t>
      </w:r>
      <w:r w:rsidRPr="009E7B2D">
        <w:rPr>
          <w:rFonts w:ascii="Times New Roman" w:hAnsi="Times New Roman" w:cs="Times New Roman"/>
          <w:sz w:val="24"/>
          <w:szCs w:val="24"/>
        </w:rPr>
        <w:t xml:space="preserve">are short-run dynamic coefficients, </w:t>
      </w:r>
      <w:r w:rsidR="0094205E" w:rsidRPr="009E7B2D">
        <w:rPr>
          <w:rFonts w:ascii="Times New Roman" w:hAnsi="Times New Roman" w:cs="Times New Roman"/>
          <w:noProof/>
          <w:position w:val="-12"/>
          <w:sz w:val="24"/>
          <w:szCs w:val="24"/>
        </w:rPr>
        <w:object w:dxaOrig="240" w:dyaOrig="360">
          <v:shape id="_x0000_i1033" type="#_x0000_t75" style="width:12pt;height:18.75pt" o:ole="">
            <v:imagedata r:id="rId22" o:title=""/>
          </v:shape>
          <o:OLEObject Type="Embed" ProgID="Equation.DSMT4" ShapeID="_x0000_i1033" DrawAspect="Content" ObjectID="_1844834677" r:id="rId23"/>
        </w:object>
      </w:r>
      <w:r w:rsidRPr="009E7B2D">
        <w:rPr>
          <w:rFonts w:ascii="Times New Roman" w:hAnsi="Times New Roman" w:cs="Times New Roman"/>
          <w:sz w:val="24"/>
          <w:szCs w:val="24"/>
        </w:rPr>
        <w:t xml:space="preserve">is white noise errors, </w:t>
      </w:r>
      <w:r w:rsidR="0094205E" w:rsidRPr="009E7B2D">
        <w:rPr>
          <w:rFonts w:ascii="Times New Roman" w:hAnsi="Times New Roman" w:cs="Times New Roman"/>
          <w:noProof/>
          <w:position w:val="-6"/>
          <w:sz w:val="24"/>
          <w:szCs w:val="24"/>
        </w:rPr>
        <w:object w:dxaOrig="240" w:dyaOrig="220">
          <v:shape id="_x0000_i1034" type="#_x0000_t75" style="width:12pt;height:12pt" o:ole="">
            <v:imagedata r:id="rId24" o:title=""/>
          </v:shape>
          <o:OLEObject Type="Embed" ProgID="Equation.DSMT4" ShapeID="_x0000_i1034" DrawAspect="Content" ObjectID="_1844834678" r:id="rId25"/>
        </w:object>
      </w:r>
      <w:r w:rsidRPr="009E7B2D">
        <w:rPr>
          <w:rFonts w:ascii="Times New Roman" w:hAnsi="Times New Roman" w:cs="Times New Roman"/>
          <w:sz w:val="24"/>
          <w:szCs w:val="24"/>
        </w:rPr>
        <w:t xml:space="preserve"> is example of drift terms, and p is the lag lengths and will be chosen optimally for each of the variable using Schwarz information criterion (SIC).</w:t>
      </w:r>
    </w:p>
    <w:p w:rsidR="00D8697D" w:rsidRPr="00DD5042" w:rsidRDefault="00A131B1" w:rsidP="00DD5042">
      <w:pPr>
        <w:spacing w:line="360" w:lineRule="auto"/>
        <w:jc w:val="both"/>
        <w:rPr>
          <w:rFonts w:ascii="Times New Roman" w:hAnsi="Times New Roman" w:cs="Times New Roman"/>
          <w:b/>
          <w:sz w:val="24"/>
          <w:szCs w:val="24"/>
        </w:rPr>
      </w:pPr>
      <w:r w:rsidRPr="00DD5042">
        <w:rPr>
          <w:rFonts w:ascii="Times New Roman" w:hAnsi="Times New Roman" w:cs="Times New Roman"/>
          <w:b/>
          <w:sz w:val="24"/>
          <w:szCs w:val="24"/>
        </w:rPr>
        <w:t>Model Specification on the Validity of Finance-Led-Growth Hypothesis in Nigeria</w:t>
      </w:r>
    </w:p>
    <w:p w:rsidR="00D8697D" w:rsidRPr="009E7B2D" w:rsidRDefault="00D8697D"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Following Engle and Granger (1987), a Vector Error Correction (VEC) model which is used for testing the multivariate feedback relationship amongst financial development, </w:t>
      </w:r>
      <w:r w:rsidRPr="009E7B2D">
        <w:rPr>
          <w:rFonts w:ascii="Times New Roman" w:hAnsi="Times New Roman" w:cs="Times New Roman"/>
          <w:iCs/>
          <w:sz w:val="24"/>
          <w:szCs w:val="24"/>
        </w:rPr>
        <w:t>domestic investment</w:t>
      </w:r>
      <w:r w:rsidRPr="009E7B2D">
        <w:rPr>
          <w:rFonts w:ascii="Times New Roman" w:hAnsi="Times New Roman" w:cs="Times New Roman"/>
          <w:sz w:val="24"/>
          <w:szCs w:val="24"/>
        </w:rPr>
        <w:t xml:space="preserve"> and economic growth in Nigeria can be written as follows:</w:t>
      </w:r>
    </w:p>
    <w:p w:rsidR="00D8697D" w:rsidRPr="009E7B2D" w:rsidRDefault="0094205E" w:rsidP="009E7B2D">
      <w:pPr>
        <w:spacing w:line="360" w:lineRule="auto"/>
        <w:jc w:val="both"/>
        <w:rPr>
          <w:rFonts w:ascii="Times New Roman" w:hAnsi="Times New Roman" w:cs="Times New Roman"/>
          <w:sz w:val="24"/>
          <w:szCs w:val="24"/>
        </w:rPr>
      </w:pPr>
      <w:r w:rsidRPr="009E7B2D">
        <w:rPr>
          <w:rFonts w:ascii="Times New Roman" w:hAnsi="Times New Roman" w:cs="Times New Roman"/>
          <w:noProof/>
          <w:position w:val="-72"/>
          <w:sz w:val="24"/>
          <w:szCs w:val="24"/>
        </w:rPr>
        <w:object w:dxaOrig="12280" w:dyaOrig="1560">
          <v:shape id="_x0000_i1035" type="#_x0000_t75" style="width:411.75pt;height:54pt" o:ole="">
            <v:imagedata r:id="rId26" o:title=""/>
          </v:shape>
          <o:OLEObject Type="Embed" ProgID="Equation.DSMT4" ShapeID="_x0000_i1035" DrawAspect="Content" ObjectID="_1844834679" r:id="rId27"/>
        </w:object>
      </w:r>
      <w:r w:rsidR="00D8697D" w:rsidRPr="009E7B2D">
        <w:rPr>
          <w:rFonts w:ascii="Times New Roman" w:hAnsi="Times New Roman" w:cs="Times New Roman"/>
          <w:sz w:val="24"/>
          <w:szCs w:val="24"/>
        </w:rPr>
        <w:t xml:space="preserve">         (1.6)</w:t>
      </w:r>
    </w:p>
    <w:p w:rsidR="00D8697D" w:rsidRPr="009E7B2D" w:rsidRDefault="00D8697D" w:rsidP="009E7B2D">
      <w:pPr>
        <w:pStyle w:val="Default"/>
        <w:spacing w:line="360" w:lineRule="auto"/>
        <w:jc w:val="both"/>
      </w:pPr>
      <w:r w:rsidRPr="009E7B2D">
        <w:t xml:space="preserve">Where </w:t>
      </w:r>
      <w:r w:rsidR="0094205E" w:rsidRPr="009E7B2D">
        <w:rPr>
          <w:noProof/>
          <w:position w:val="-4"/>
        </w:rPr>
        <w:object w:dxaOrig="220" w:dyaOrig="260">
          <v:shape id="_x0000_i1036" type="#_x0000_t75" style="width:12pt;height:14.25pt" o:ole="">
            <v:imagedata r:id="rId28" o:title=""/>
          </v:shape>
          <o:OLEObject Type="Embed" ProgID="Equation.DSMT4" ShapeID="_x0000_i1036" DrawAspect="Content" ObjectID="_1844834680" r:id="rId29"/>
        </w:object>
      </w:r>
      <w:r w:rsidRPr="009E7B2D">
        <w:t xml:space="preserve"> is the first difference operator; p is the lag length; t denotes the year in the time series (t=</w:t>
      </w:r>
      <w:r w:rsidRPr="009E7B2D">
        <w:rPr>
          <w:i/>
        </w:rPr>
        <w:t>1</w:t>
      </w:r>
      <w:proofErr w:type="gramStart"/>
      <w:r w:rsidRPr="009E7B2D">
        <w:rPr>
          <w:i/>
        </w:rPr>
        <w:t>,2</w:t>
      </w:r>
      <w:proofErr w:type="gramEnd"/>
      <w:r w:rsidRPr="009E7B2D">
        <w:rPr>
          <w:i/>
        </w:rPr>
        <w:t>,…..T</w:t>
      </w:r>
      <w:r w:rsidRPr="009E7B2D">
        <w:t xml:space="preserve">); </w:t>
      </w:r>
      <m:oMath>
        <m:sSub>
          <m:sSubPr>
            <m:ctrlPr>
              <w:rPr>
                <w:rFonts w:ascii="Cambria Math" w:hAnsi="Cambria Math"/>
                <w:i/>
              </w:rPr>
            </m:ctrlPr>
          </m:sSubPr>
          <m:e>
            <m:r>
              <w:rPr>
                <w:rFonts w:ascii="Cambria Math" w:hAnsi="Cambria Math"/>
              </w:rPr>
              <m:t>ε</m:t>
            </m:r>
          </m:e>
          <m:sub>
            <m:r>
              <w:rPr>
                <w:rFonts w:ascii="Cambria Math" w:hAnsi="Cambria Math"/>
              </w:rPr>
              <m:t>t</m:t>
            </m:r>
          </m:sub>
        </m:sSub>
      </m:oMath>
      <w:r w:rsidRPr="009E7B2D">
        <w:t>is a normally distributed random error term for all t with a zero mean and a finite heterogeneous variance. The ECTs are error-correction terms, derived from the co-integrating equations.</w:t>
      </w:r>
    </w:p>
    <w:p w:rsidR="0093470F" w:rsidRPr="009E7B2D" w:rsidRDefault="0093470F" w:rsidP="009E7B2D">
      <w:pPr>
        <w:pStyle w:val="Default"/>
        <w:spacing w:line="360" w:lineRule="auto"/>
        <w:jc w:val="both"/>
        <w:rPr>
          <w:b/>
        </w:rPr>
      </w:pPr>
      <w:r w:rsidRPr="009E7B2D">
        <w:rPr>
          <w:b/>
        </w:rPr>
        <w:t>Table 1 Description of data, measurement and sources of data.</w:t>
      </w:r>
    </w:p>
    <w:tbl>
      <w:tblPr>
        <w:tblStyle w:val="TableGrid"/>
        <w:tblW w:w="9874" w:type="dxa"/>
        <w:tblLook w:val="04A0" w:firstRow="1" w:lastRow="0" w:firstColumn="1" w:lastColumn="0" w:noHBand="0" w:noVBand="1"/>
      </w:tblPr>
      <w:tblGrid>
        <w:gridCol w:w="3265"/>
        <w:gridCol w:w="3706"/>
        <w:gridCol w:w="2903"/>
      </w:tblGrid>
      <w:tr w:rsidR="00D8697D" w:rsidRPr="009E7B2D" w:rsidTr="002A6E9E">
        <w:trPr>
          <w:trHeight w:val="326"/>
        </w:trPr>
        <w:tc>
          <w:tcPr>
            <w:tcW w:w="3265" w:type="dxa"/>
          </w:tcPr>
          <w:p w:rsidR="00D8697D" w:rsidRPr="009E7B2D" w:rsidRDefault="00D8697D" w:rsidP="009E7B2D">
            <w:pPr>
              <w:pStyle w:val="Default"/>
              <w:spacing w:line="360" w:lineRule="auto"/>
              <w:jc w:val="both"/>
            </w:pPr>
            <w:r w:rsidRPr="009E7B2D">
              <w:t>Variables</w:t>
            </w:r>
          </w:p>
        </w:tc>
        <w:tc>
          <w:tcPr>
            <w:tcW w:w="3706" w:type="dxa"/>
          </w:tcPr>
          <w:p w:rsidR="00D8697D" w:rsidRPr="009E7B2D" w:rsidRDefault="00D8697D" w:rsidP="009E7B2D">
            <w:pPr>
              <w:pStyle w:val="Default"/>
              <w:spacing w:line="360" w:lineRule="auto"/>
              <w:jc w:val="both"/>
            </w:pPr>
            <w:r w:rsidRPr="009E7B2D">
              <w:t>Measurement</w:t>
            </w:r>
          </w:p>
        </w:tc>
        <w:tc>
          <w:tcPr>
            <w:tcW w:w="2903" w:type="dxa"/>
          </w:tcPr>
          <w:p w:rsidR="00D8697D" w:rsidRPr="009E7B2D" w:rsidRDefault="00D8697D" w:rsidP="009E7B2D">
            <w:pPr>
              <w:pStyle w:val="Default"/>
              <w:spacing w:line="360" w:lineRule="auto"/>
              <w:jc w:val="both"/>
            </w:pPr>
            <w:r w:rsidRPr="009E7B2D">
              <w:t>Sources</w:t>
            </w:r>
          </w:p>
        </w:tc>
      </w:tr>
      <w:tr w:rsidR="00D8697D" w:rsidRPr="009E7B2D" w:rsidTr="002A6E9E">
        <w:trPr>
          <w:trHeight w:val="653"/>
        </w:trPr>
        <w:tc>
          <w:tcPr>
            <w:tcW w:w="3265" w:type="dxa"/>
          </w:tcPr>
          <w:p w:rsidR="00D8697D" w:rsidRPr="009E7B2D" w:rsidRDefault="005D71B0" w:rsidP="009E7B2D">
            <w:pPr>
              <w:pStyle w:val="Default"/>
              <w:spacing w:line="360" w:lineRule="auto"/>
              <w:jc w:val="both"/>
            </w:pPr>
            <w:r w:rsidRPr="009E7B2D">
              <w:t>Gross Domestic Product</w:t>
            </w:r>
          </w:p>
        </w:tc>
        <w:tc>
          <w:tcPr>
            <w:tcW w:w="3706" w:type="dxa"/>
          </w:tcPr>
          <w:p w:rsidR="00D8697D" w:rsidRPr="009E7B2D" w:rsidRDefault="00FD0634" w:rsidP="009E7B2D">
            <w:pPr>
              <w:pStyle w:val="Default"/>
              <w:spacing w:line="360" w:lineRule="auto"/>
              <w:jc w:val="both"/>
            </w:pPr>
            <w:r w:rsidRPr="009E7B2D">
              <w:t>GDP growth (annual %)</w:t>
            </w:r>
          </w:p>
        </w:tc>
        <w:tc>
          <w:tcPr>
            <w:tcW w:w="2903" w:type="dxa"/>
          </w:tcPr>
          <w:p w:rsidR="00D8697D" w:rsidRPr="009E7B2D" w:rsidRDefault="00FD0634" w:rsidP="009E7B2D">
            <w:pPr>
              <w:pStyle w:val="Default"/>
              <w:spacing w:line="360" w:lineRule="auto"/>
              <w:jc w:val="both"/>
            </w:pPr>
            <w:r w:rsidRPr="009E7B2D">
              <w:t>World Development Indicator (2024)</w:t>
            </w:r>
          </w:p>
        </w:tc>
      </w:tr>
      <w:tr w:rsidR="00D8697D" w:rsidRPr="009E7B2D" w:rsidTr="002A6E9E">
        <w:trPr>
          <w:trHeight w:val="653"/>
        </w:trPr>
        <w:tc>
          <w:tcPr>
            <w:tcW w:w="3265" w:type="dxa"/>
          </w:tcPr>
          <w:p w:rsidR="00D8697D" w:rsidRPr="009E7B2D" w:rsidRDefault="005D71B0" w:rsidP="009E7B2D">
            <w:pPr>
              <w:pStyle w:val="Default"/>
              <w:spacing w:line="360" w:lineRule="auto"/>
              <w:jc w:val="both"/>
            </w:pPr>
            <w:r w:rsidRPr="009E7B2D">
              <w:t>Credit to the private sector (CPS)</w:t>
            </w:r>
          </w:p>
        </w:tc>
        <w:tc>
          <w:tcPr>
            <w:tcW w:w="3706" w:type="dxa"/>
          </w:tcPr>
          <w:p w:rsidR="00D8697D" w:rsidRPr="009E7B2D" w:rsidRDefault="00FD0634" w:rsidP="009E7B2D">
            <w:pPr>
              <w:pStyle w:val="Default"/>
              <w:spacing w:line="360" w:lineRule="auto"/>
              <w:jc w:val="both"/>
            </w:pPr>
            <w:r w:rsidRPr="009E7B2D">
              <w:t>Domestic credit to the private sector (%GDP)</w:t>
            </w:r>
          </w:p>
        </w:tc>
        <w:tc>
          <w:tcPr>
            <w:tcW w:w="2903" w:type="dxa"/>
          </w:tcPr>
          <w:p w:rsidR="00D8697D" w:rsidRPr="009E7B2D" w:rsidRDefault="001605EB" w:rsidP="009E7B2D">
            <w:pPr>
              <w:pStyle w:val="Default"/>
              <w:spacing w:line="360" w:lineRule="auto"/>
              <w:jc w:val="both"/>
            </w:pPr>
            <w:r w:rsidRPr="009E7B2D">
              <w:t>World Development Indicator (2024)</w:t>
            </w:r>
          </w:p>
        </w:tc>
      </w:tr>
      <w:tr w:rsidR="00D8697D" w:rsidRPr="009E7B2D" w:rsidTr="002A6E9E">
        <w:trPr>
          <w:trHeight w:val="666"/>
        </w:trPr>
        <w:tc>
          <w:tcPr>
            <w:tcW w:w="3265" w:type="dxa"/>
          </w:tcPr>
          <w:p w:rsidR="00D8697D" w:rsidRPr="009E7B2D" w:rsidRDefault="005D71B0" w:rsidP="009E7B2D">
            <w:pPr>
              <w:pStyle w:val="Default"/>
              <w:spacing w:line="360" w:lineRule="auto"/>
              <w:jc w:val="both"/>
            </w:pPr>
            <w:r w:rsidRPr="009E7B2D">
              <w:rPr>
                <w:rFonts w:eastAsiaTheme="minorEastAsia"/>
              </w:rPr>
              <w:t>Broad money supply (BMS)</w:t>
            </w:r>
          </w:p>
        </w:tc>
        <w:tc>
          <w:tcPr>
            <w:tcW w:w="3706" w:type="dxa"/>
          </w:tcPr>
          <w:p w:rsidR="00D8697D" w:rsidRPr="009E7B2D" w:rsidRDefault="001605EB" w:rsidP="009E7B2D">
            <w:pPr>
              <w:pStyle w:val="Default"/>
              <w:spacing w:line="360" w:lineRule="auto"/>
              <w:jc w:val="both"/>
            </w:pPr>
            <w:r w:rsidRPr="009E7B2D">
              <w:rPr>
                <w:rFonts w:eastAsiaTheme="minorEastAsia"/>
              </w:rPr>
              <w:t xml:space="preserve">Sum of currency outside banks </w:t>
            </w:r>
            <w:r w:rsidRPr="009E7B2D">
              <w:t>(%GDP)</w:t>
            </w:r>
          </w:p>
        </w:tc>
        <w:tc>
          <w:tcPr>
            <w:tcW w:w="2903" w:type="dxa"/>
          </w:tcPr>
          <w:p w:rsidR="00D8697D" w:rsidRPr="009E7B2D" w:rsidRDefault="001605EB" w:rsidP="009E7B2D">
            <w:pPr>
              <w:pStyle w:val="Default"/>
              <w:spacing w:line="360" w:lineRule="auto"/>
              <w:jc w:val="both"/>
            </w:pPr>
            <w:r w:rsidRPr="009E7B2D">
              <w:t>World Development Indicator (2024)</w:t>
            </w:r>
          </w:p>
        </w:tc>
      </w:tr>
      <w:tr w:rsidR="00D8697D" w:rsidRPr="009E7B2D" w:rsidTr="002A6E9E">
        <w:trPr>
          <w:trHeight w:val="653"/>
        </w:trPr>
        <w:tc>
          <w:tcPr>
            <w:tcW w:w="3265" w:type="dxa"/>
          </w:tcPr>
          <w:p w:rsidR="00D8697D" w:rsidRPr="009E7B2D" w:rsidRDefault="005D71B0" w:rsidP="009E7B2D">
            <w:pPr>
              <w:pStyle w:val="Default"/>
              <w:spacing w:line="360" w:lineRule="auto"/>
              <w:jc w:val="both"/>
            </w:pPr>
            <w:r w:rsidRPr="009E7B2D">
              <w:t>Domestic Investment (INV)</w:t>
            </w:r>
          </w:p>
        </w:tc>
        <w:tc>
          <w:tcPr>
            <w:tcW w:w="3706" w:type="dxa"/>
          </w:tcPr>
          <w:p w:rsidR="00D8697D" w:rsidRPr="009E7B2D" w:rsidRDefault="001605EB" w:rsidP="009E7B2D">
            <w:pPr>
              <w:pStyle w:val="Default"/>
              <w:spacing w:line="360" w:lineRule="auto"/>
              <w:jc w:val="both"/>
            </w:pPr>
            <w:r w:rsidRPr="009E7B2D">
              <w:t>total change in the value of fixed assets plus change in stocks</w:t>
            </w:r>
          </w:p>
        </w:tc>
        <w:tc>
          <w:tcPr>
            <w:tcW w:w="2903" w:type="dxa"/>
          </w:tcPr>
          <w:p w:rsidR="00D8697D" w:rsidRPr="009E7B2D" w:rsidRDefault="001605EB" w:rsidP="009E7B2D">
            <w:pPr>
              <w:pStyle w:val="Default"/>
              <w:spacing w:line="360" w:lineRule="auto"/>
              <w:jc w:val="both"/>
            </w:pPr>
            <w:r w:rsidRPr="009E7B2D">
              <w:t>World Development Indicator (2024)</w:t>
            </w:r>
          </w:p>
        </w:tc>
      </w:tr>
      <w:tr w:rsidR="00D8697D" w:rsidRPr="009E7B2D" w:rsidTr="002A6E9E">
        <w:trPr>
          <w:trHeight w:val="1311"/>
        </w:trPr>
        <w:tc>
          <w:tcPr>
            <w:tcW w:w="3265" w:type="dxa"/>
          </w:tcPr>
          <w:p w:rsidR="00D8697D" w:rsidRPr="009E7B2D" w:rsidRDefault="005D71B0" w:rsidP="009E7B2D">
            <w:pPr>
              <w:pStyle w:val="Default"/>
              <w:spacing w:line="360" w:lineRule="auto"/>
              <w:jc w:val="both"/>
            </w:pPr>
            <w:r w:rsidRPr="009E7B2D">
              <w:rPr>
                <w:bCs/>
              </w:rPr>
              <w:lastRenderedPageBreak/>
              <w:t>Government Expenditure (GE)</w:t>
            </w:r>
          </w:p>
        </w:tc>
        <w:tc>
          <w:tcPr>
            <w:tcW w:w="3706" w:type="dxa"/>
          </w:tcPr>
          <w:p w:rsidR="001605EB" w:rsidRPr="009E7B2D" w:rsidRDefault="001605EB"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Total government expenditure which comprises of both current and capital expenditures. </w:t>
            </w:r>
          </w:p>
          <w:p w:rsidR="00D8697D" w:rsidRPr="009E7B2D" w:rsidRDefault="00D8697D" w:rsidP="009E7B2D">
            <w:pPr>
              <w:pStyle w:val="Default"/>
              <w:spacing w:line="360" w:lineRule="auto"/>
              <w:jc w:val="both"/>
            </w:pPr>
          </w:p>
        </w:tc>
        <w:tc>
          <w:tcPr>
            <w:tcW w:w="2903" w:type="dxa"/>
          </w:tcPr>
          <w:p w:rsidR="00D8697D" w:rsidRPr="009E7B2D" w:rsidRDefault="001605EB" w:rsidP="009E7B2D">
            <w:pPr>
              <w:pStyle w:val="Default"/>
              <w:spacing w:line="360" w:lineRule="auto"/>
              <w:jc w:val="both"/>
            </w:pPr>
            <w:r w:rsidRPr="009E7B2D">
              <w:t>World Development Indicator (2024)</w:t>
            </w:r>
          </w:p>
        </w:tc>
      </w:tr>
      <w:tr w:rsidR="00D8697D" w:rsidRPr="009E7B2D" w:rsidTr="002A6E9E">
        <w:trPr>
          <w:trHeight w:val="1179"/>
        </w:trPr>
        <w:tc>
          <w:tcPr>
            <w:tcW w:w="3265" w:type="dxa"/>
          </w:tcPr>
          <w:p w:rsidR="00D8697D" w:rsidRPr="009E7B2D" w:rsidRDefault="005D71B0" w:rsidP="009E7B2D">
            <w:pPr>
              <w:pStyle w:val="Default"/>
              <w:spacing w:line="360" w:lineRule="auto"/>
              <w:jc w:val="both"/>
            </w:pPr>
            <w:r w:rsidRPr="009E7B2D">
              <w:t>Real Interest Rates (RIR)</w:t>
            </w:r>
          </w:p>
        </w:tc>
        <w:tc>
          <w:tcPr>
            <w:tcW w:w="3706" w:type="dxa"/>
          </w:tcPr>
          <w:p w:rsidR="001605EB" w:rsidRPr="009E7B2D" w:rsidRDefault="001605EB"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Deposit interest rate by subtracting the inflation rate of corresponding year from that rate.</w:t>
            </w:r>
          </w:p>
          <w:p w:rsidR="00D8697D" w:rsidRPr="009E7B2D" w:rsidRDefault="00D8697D" w:rsidP="009E7B2D">
            <w:pPr>
              <w:pStyle w:val="Default"/>
              <w:spacing w:line="360" w:lineRule="auto"/>
              <w:jc w:val="both"/>
            </w:pPr>
          </w:p>
        </w:tc>
        <w:tc>
          <w:tcPr>
            <w:tcW w:w="2903" w:type="dxa"/>
          </w:tcPr>
          <w:p w:rsidR="00D8697D" w:rsidRPr="009E7B2D" w:rsidRDefault="001605EB" w:rsidP="009E7B2D">
            <w:pPr>
              <w:pStyle w:val="Default"/>
              <w:spacing w:line="360" w:lineRule="auto"/>
              <w:jc w:val="both"/>
            </w:pPr>
            <w:r w:rsidRPr="009E7B2D">
              <w:t>World Development Indicator (2024)</w:t>
            </w:r>
          </w:p>
        </w:tc>
      </w:tr>
    </w:tbl>
    <w:p w:rsidR="00D8697D" w:rsidRPr="009E7B2D" w:rsidRDefault="00D8697D" w:rsidP="009E7B2D">
      <w:pPr>
        <w:pStyle w:val="Default"/>
        <w:spacing w:line="360" w:lineRule="auto"/>
        <w:jc w:val="both"/>
      </w:pPr>
    </w:p>
    <w:p w:rsidR="00D8697D" w:rsidRPr="009E7B2D" w:rsidRDefault="00D8697D" w:rsidP="009E7B2D">
      <w:pPr>
        <w:spacing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Descriptive Statistics of the Data</w:t>
      </w:r>
    </w:p>
    <w:p w:rsidR="00111672" w:rsidRPr="009E7B2D" w:rsidRDefault="00111672" w:rsidP="009E7B2D">
      <w:pPr>
        <w:spacing w:after="0" w:line="360" w:lineRule="auto"/>
        <w:jc w:val="both"/>
        <w:rPr>
          <w:rFonts w:ascii="Times New Roman" w:eastAsiaTheme="minorEastAsia" w:hAnsi="Times New Roman" w:cs="Times New Roman"/>
          <w:b/>
          <w:sz w:val="24"/>
          <w:szCs w:val="24"/>
        </w:rPr>
      </w:pPr>
      <w:r w:rsidRPr="009E7B2D">
        <w:rPr>
          <w:rFonts w:ascii="Times New Roman" w:eastAsiaTheme="minorEastAsia" w:hAnsi="Times New Roman" w:cs="Times New Roman"/>
          <w:b/>
          <w:sz w:val="24"/>
          <w:szCs w:val="24"/>
        </w:rPr>
        <w:t>Table 2: Descriptive Statistics of the Variables</w:t>
      </w:r>
    </w:p>
    <w:tbl>
      <w:tblPr>
        <w:tblW w:w="0" w:type="dxa"/>
        <w:tblInd w:w="30"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492"/>
        <w:gridCol w:w="1313"/>
        <w:gridCol w:w="1312"/>
        <w:gridCol w:w="1313"/>
        <w:gridCol w:w="1312"/>
        <w:gridCol w:w="1313"/>
        <w:gridCol w:w="1312"/>
      </w:tblGrid>
      <w:tr w:rsidR="00111672" w:rsidRPr="009E7B2D" w:rsidTr="00111672">
        <w:trPr>
          <w:trHeight w:val="225"/>
        </w:trPr>
        <w:tc>
          <w:tcPr>
            <w:tcW w:w="1492" w:type="dxa"/>
            <w:tcBorders>
              <w:top w:val="single" w:sz="18" w:space="0" w:color="auto"/>
              <w:left w:val="nil"/>
              <w:bottom w:val="single" w:sz="18" w:space="0" w:color="auto"/>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p>
        </w:tc>
        <w:tc>
          <w:tcPr>
            <w:tcW w:w="1313" w:type="dxa"/>
            <w:tcBorders>
              <w:top w:val="single" w:sz="18" w:space="0" w:color="auto"/>
              <w:left w:val="nil"/>
              <w:bottom w:val="single" w:sz="18"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r w:rsidRPr="009E7B2D">
              <w:rPr>
                <w:rFonts w:ascii="Times New Roman" w:hAnsi="Times New Roman" w:cs="Times New Roman"/>
                <w:b/>
                <w:color w:val="000000"/>
                <w:sz w:val="24"/>
                <w:szCs w:val="24"/>
              </w:rPr>
              <w:t>GDP</w:t>
            </w:r>
          </w:p>
        </w:tc>
        <w:tc>
          <w:tcPr>
            <w:tcW w:w="1312" w:type="dxa"/>
            <w:tcBorders>
              <w:top w:val="single" w:sz="18" w:space="0" w:color="auto"/>
              <w:left w:val="nil"/>
              <w:bottom w:val="single" w:sz="18"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r w:rsidRPr="009E7B2D">
              <w:rPr>
                <w:rFonts w:ascii="Times New Roman" w:hAnsi="Times New Roman" w:cs="Times New Roman"/>
                <w:b/>
                <w:color w:val="000000"/>
                <w:sz w:val="24"/>
                <w:szCs w:val="24"/>
              </w:rPr>
              <w:t>CPS</w:t>
            </w:r>
          </w:p>
        </w:tc>
        <w:tc>
          <w:tcPr>
            <w:tcW w:w="1313" w:type="dxa"/>
            <w:tcBorders>
              <w:top w:val="single" w:sz="18" w:space="0" w:color="auto"/>
              <w:left w:val="nil"/>
              <w:bottom w:val="single" w:sz="18"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r w:rsidRPr="009E7B2D">
              <w:rPr>
                <w:rFonts w:ascii="Times New Roman" w:hAnsi="Times New Roman" w:cs="Times New Roman"/>
                <w:b/>
                <w:color w:val="000000"/>
                <w:sz w:val="24"/>
                <w:szCs w:val="24"/>
              </w:rPr>
              <w:t>BMS</w:t>
            </w:r>
          </w:p>
        </w:tc>
        <w:tc>
          <w:tcPr>
            <w:tcW w:w="1312" w:type="dxa"/>
            <w:tcBorders>
              <w:top w:val="single" w:sz="18" w:space="0" w:color="auto"/>
              <w:left w:val="nil"/>
              <w:bottom w:val="single" w:sz="18"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r w:rsidRPr="009E7B2D">
              <w:rPr>
                <w:rFonts w:ascii="Times New Roman" w:hAnsi="Times New Roman" w:cs="Times New Roman"/>
                <w:b/>
                <w:color w:val="000000"/>
                <w:sz w:val="24"/>
                <w:szCs w:val="24"/>
              </w:rPr>
              <w:t>INV</w:t>
            </w:r>
          </w:p>
        </w:tc>
        <w:tc>
          <w:tcPr>
            <w:tcW w:w="1313" w:type="dxa"/>
            <w:tcBorders>
              <w:top w:val="single" w:sz="18" w:space="0" w:color="auto"/>
              <w:left w:val="nil"/>
              <w:bottom w:val="single" w:sz="18"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r w:rsidRPr="009E7B2D">
              <w:rPr>
                <w:rFonts w:ascii="Times New Roman" w:hAnsi="Times New Roman" w:cs="Times New Roman"/>
                <w:b/>
                <w:color w:val="000000"/>
                <w:sz w:val="24"/>
                <w:szCs w:val="24"/>
              </w:rPr>
              <w:t>GE</w:t>
            </w:r>
          </w:p>
        </w:tc>
        <w:tc>
          <w:tcPr>
            <w:tcW w:w="1312" w:type="dxa"/>
            <w:tcBorders>
              <w:top w:val="single" w:sz="18" w:space="0" w:color="auto"/>
              <w:left w:val="nil"/>
              <w:bottom w:val="single" w:sz="18"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b/>
                <w:color w:val="000000"/>
                <w:sz w:val="24"/>
                <w:szCs w:val="24"/>
              </w:rPr>
            </w:pPr>
            <w:r w:rsidRPr="009E7B2D">
              <w:rPr>
                <w:rFonts w:ascii="Times New Roman" w:hAnsi="Times New Roman" w:cs="Times New Roman"/>
                <w:b/>
                <w:color w:val="000000"/>
                <w:sz w:val="24"/>
                <w:szCs w:val="24"/>
              </w:rPr>
              <w:t>RIR</w:t>
            </w:r>
          </w:p>
        </w:tc>
      </w:tr>
      <w:tr w:rsidR="00111672" w:rsidRPr="009E7B2D" w:rsidTr="00111672">
        <w:trPr>
          <w:trHeight w:val="225"/>
        </w:trPr>
        <w:tc>
          <w:tcPr>
            <w:tcW w:w="1492"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Mean</w:t>
            </w:r>
          </w:p>
        </w:tc>
        <w:tc>
          <w:tcPr>
            <w:tcW w:w="1313"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20779.80</w:t>
            </w:r>
          </w:p>
        </w:tc>
        <w:tc>
          <w:tcPr>
            <w:tcW w:w="1312"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13.2921</w:t>
            </w:r>
          </w:p>
        </w:tc>
        <w:tc>
          <w:tcPr>
            <w:tcW w:w="1313"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17.4402</w:t>
            </w:r>
          </w:p>
        </w:tc>
        <w:tc>
          <w:tcPr>
            <w:tcW w:w="1312"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1854.085</w:t>
            </w:r>
          </w:p>
        </w:tc>
        <w:tc>
          <w:tcPr>
            <w:tcW w:w="1313"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1656.520</w:t>
            </w:r>
          </w:p>
        </w:tc>
        <w:tc>
          <w:tcPr>
            <w:tcW w:w="1312" w:type="dxa"/>
            <w:tcBorders>
              <w:top w:val="single" w:sz="18" w:space="0" w:color="auto"/>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-0.1545</w:t>
            </w: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Median</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6804.387</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11.2109</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17.8703</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351.5962</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982.8578</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3.4792</w:t>
            </w: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Maximum</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94144.96</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36.8933</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37.9568</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10636.22</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5185.318</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25.2822</w:t>
            </w: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Minimum</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134.6033</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5.9171</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8.5770</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11.3514</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16.2237</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-43.5726</w:t>
            </w: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Std. Dev.</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29361.80</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6.9777</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6.2975</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3072.956</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1807.011</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18.0756</w:t>
            </w: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Skewness</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1.4683</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1.6381</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1.4647</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2.0453</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0.8371</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-0.8703</w:t>
            </w: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Kurtosis</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3.6621</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5.8244</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5.7999</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6.0115</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2.1506</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3.2473</w:t>
            </w:r>
          </w:p>
        </w:tc>
      </w:tr>
      <w:tr w:rsidR="00111672" w:rsidRPr="009E7B2D" w:rsidTr="00111672">
        <w:trPr>
          <w:trHeight w:val="225"/>
        </w:trPr>
        <w:tc>
          <w:tcPr>
            <w:tcW w:w="1492"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p>
        </w:tc>
      </w:tr>
      <w:tr w:rsidR="00111672" w:rsidRPr="009E7B2D" w:rsidTr="00111672">
        <w:trPr>
          <w:trHeight w:val="225"/>
        </w:trPr>
        <w:tc>
          <w:tcPr>
            <w:tcW w:w="149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w:t>
            </w:r>
            <w:proofErr w:type="spellStart"/>
            <w:r w:rsidRPr="009E7B2D">
              <w:rPr>
                <w:rFonts w:ascii="Times New Roman" w:hAnsi="Times New Roman" w:cs="Times New Roman"/>
                <w:color w:val="000000"/>
                <w:sz w:val="24"/>
                <w:szCs w:val="24"/>
              </w:rPr>
              <w:t>Jarque-Bera</w:t>
            </w:r>
            <w:proofErr w:type="spellEnd"/>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11.3287</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23.3897</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20.5268</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32.2530</w:t>
            </w:r>
          </w:p>
        </w:tc>
        <w:tc>
          <w:tcPr>
            <w:tcW w:w="1313"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4.4061</w:t>
            </w:r>
          </w:p>
        </w:tc>
        <w:tc>
          <w:tcPr>
            <w:tcW w:w="1312" w:type="dxa"/>
            <w:tcBorders>
              <w:top w:val="nil"/>
              <w:left w:val="nil"/>
              <w:bottom w:val="nil"/>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3.8639</w:t>
            </w:r>
          </w:p>
        </w:tc>
      </w:tr>
      <w:tr w:rsidR="00111672" w:rsidRPr="009E7B2D" w:rsidTr="00111672">
        <w:trPr>
          <w:trHeight w:val="225"/>
        </w:trPr>
        <w:tc>
          <w:tcPr>
            <w:tcW w:w="1492"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Probability</w:t>
            </w:r>
          </w:p>
        </w:tc>
        <w:tc>
          <w:tcPr>
            <w:tcW w:w="1313"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0.0034</w:t>
            </w:r>
          </w:p>
        </w:tc>
        <w:tc>
          <w:tcPr>
            <w:tcW w:w="1312"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0.0000</w:t>
            </w:r>
          </w:p>
        </w:tc>
        <w:tc>
          <w:tcPr>
            <w:tcW w:w="1313"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0.0000</w:t>
            </w:r>
          </w:p>
        </w:tc>
        <w:tc>
          <w:tcPr>
            <w:tcW w:w="1312"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0.0000</w:t>
            </w:r>
          </w:p>
        </w:tc>
        <w:tc>
          <w:tcPr>
            <w:tcW w:w="1313"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0.1104</w:t>
            </w:r>
          </w:p>
        </w:tc>
        <w:tc>
          <w:tcPr>
            <w:tcW w:w="1312" w:type="dxa"/>
            <w:tcBorders>
              <w:top w:val="nil"/>
              <w:left w:val="nil"/>
              <w:bottom w:val="single" w:sz="24" w:space="0" w:color="auto"/>
              <w:right w:val="nil"/>
            </w:tcBorders>
            <w:vAlign w:val="bottom"/>
            <w:hideMark/>
          </w:tcPr>
          <w:p w:rsidR="00111672" w:rsidRPr="009E7B2D" w:rsidRDefault="00111672" w:rsidP="009E7B2D">
            <w:pPr>
              <w:autoSpaceDE w:val="0"/>
              <w:autoSpaceDN w:val="0"/>
              <w:adjustRightInd w:val="0"/>
              <w:spacing w:after="0" w:line="360" w:lineRule="auto"/>
              <w:jc w:val="both"/>
              <w:rPr>
                <w:rFonts w:ascii="Times New Roman" w:hAnsi="Times New Roman" w:cs="Times New Roman"/>
                <w:color w:val="000000"/>
                <w:sz w:val="24"/>
                <w:szCs w:val="24"/>
              </w:rPr>
            </w:pPr>
            <w:r w:rsidRPr="009E7B2D">
              <w:rPr>
                <w:rFonts w:ascii="Times New Roman" w:hAnsi="Times New Roman" w:cs="Times New Roman"/>
                <w:color w:val="000000"/>
                <w:sz w:val="24"/>
                <w:szCs w:val="24"/>
              </w:rPr>
              <w:t> 0.1448</w:t>
            </w:r>
          </w:p>
        </w:tc>
      </w:tr>
    </w:tbl>
    <w:p w:rsidR="00111672" w:rsidRPr="009E7B2D" w:rsidRDefault="00111672" w:rsidP="009E7B2D">
      <w:pPr>
        <w:spacing w:after="0" w:line="360" w:lineRule="auto"/>
        <w:jc w:val="both"/>
        <w:rPr>
          <w:rFonts w:ascii="Times New Roman" w:eastAsia="Times New Roman" w:hAnsi="Times New Roman" w:cs="Times New Roman"/>
          <w:i/>
          <w:sz w:val="24"/>
          <w:szCs w:val="24"/>
          <w:lang w:eastAsia="fr-FR"/>
        </w:rPr>
      </w:pPr>
      <w:r w:rsidRPr="009E7B2D">
        <w:rPr>
          <w:rFonts w:ascii="Times New Roman" w:eastAsia="Times New Roman" w:hAnsi="Times New Roman" w:cs="Times New Roman"/>
          <w:i/>
          <w:sz w:val="24"/>
          <w:szCs w:val="24"/>
          <w:lang w:eastAsia="fr-FR"/>
        </w:rPr>
        <w:t>Note: GDP, CPS, BMS, INV, GE, and RIR represent gross domestic product, domestic credit to private sector as a share of GDP, broad money supply as a share of GDP, domestic investment, government expenditure and real interest rate respectively.</w:t>
      </w:r>
    </w:p>
    <w:p w:rsidR="00111672" w:rsidRPr="009E7B2D" w:rsidRDefault="00111672" w:rsidP="009E7B2D">
      <w:pPr>
        <w:spacing w:after="0" w:line="360" w:lineRule="auto"/>
        <w:jc w:val="both"/>
        <w:rPr>
          <w:rFonts w:ascii="Times New Roman" w:hAnsi="Times New Roman" w:cs="Times New Roman"/>
          <w:color w:val="000000"/>
          <w:sz w:val="24"/>
          <w:szCs w:val="24"/>
        </w:rPr>
      </w:pPr>
      <w:r w:rsidRPr="009E7B2D">
        <w:rPr>
          <w:rFonts w:ascii="Times New Roman" w:hAnsi="Times New Roman" w:cs="Times New Roman"/>
          <w:sz w:val="24"/>
          <w:szCs w:val="24"/>
        </w:rPr>
        <w:t xml:space="preserve">This table examine whether the variables are symmetric; how skewed the variables are; the values of kurtosis; and the standard deviation values. The represents the result of the descriptive statistics of the data employed in the study from 1994 to 2024. The descriptive statistics show that all the series display a high level of consistency as their mean and median values lie between the maximum and the minimum values of the series. </w:t>
      </w:r>
      <w:r w:rsidRPr="009E7B2D">
        <w:rPr>
          <w:rFonts w:ascii="Times New Roman" w:hAnsi="Times New Roman" w:cs="Times New Roman"/>
          <w:color w:val="000000"/>
          <w:sz w:val="24"/>
          <w:szCs w:val="24"/>
        </w:rPr>
        <w:t xml:space="preserve">The skewness statistics revealed that all the </w:t>
      </w:r>
      <w:r w:rsidRPr="009E7B2D">
        <w:rPr>
          <w:rFonts w:ascii="Times New Roman" w:hAnsi="Times New Roman" w:cs="Times New Roman"/>
          <w:color w:val="000000"/>
          <w:sz w:val="24"/>
          <w:szCs w:val="24"/>
        </w:rPr>
        <w:lastRenderedPageBreak/>
        <w:t xml:space="preserve">variables are positively skewed except real interest rate.  In addition, the kurtosis of gross domestic product </w:t>
      </w:r>
      <w:r w:rsidRPr="009E7B2D">
        <w:rPr>
          <w:rFonts w:ascii="Times New Roman" w:hAnsi="Times New Roman" w:cs="Times New Roman"/>
          <w:i/>
          <w:color w:val="000000"/>
          <w:sz w:val="24"/>
          <w:szCs w:val="24"/>
        </w:rPr>
        <w:t>(GDP)</w:t>
      </w:r>
      <w:r w:rsidRPr="009E7B2D">
        <w:rPr>
          <w:rFonts w:ascii="Times New Roman" w:hAnsi="Times New Roman" w:cs="Times New Roman"/>
          <w:color w:val="000000"/>
          <w:sz w:val="24"/>
          <w:szCs w:val="24"/>
        </w:rPr>
        <w:t xml:space="preserve">, domestic credit to private sector as a share of GDP </w:t>
      </w:r>
      <w:r w:rsidRPr="009E7B2D">
        <w:rPr>
          <w:rFonts w:ascii="Times New Roman" w:hAnsi="Times New Roman" w:cs="Times New Roman"/>
          <w:i/>
          <w:color w:val="000000"/>
          <w:sz w:val="24"/>
          <w:szCs w:val="24"/>
        </w:rPr>
        <w:t>(CPS)</w:t>
      </w:r>
      <w:r w:rsidRPr="009E7B2D">
        <w:rPr>
          <w:rFonts w:ascii="Times New Roman" w:hAnsi="Times New Roman" w:cs="Times New Roman"/>
          <w:color w:val="000000"/>
          <w:sz w:val="24"/>
          <w:szCs w:val="24"/>
        </w:rPr>
        <w:t xml:space="preserve">, broad money supply as a share of GDP </w:t>
      </w:r>
      <w:r w:rsidRPr="009E7B2D">
        <w:rPr>
          <w:rFonts w:ascii="Times New Roman" w:hAnsi="Times New Roman" w:cs="Times New Roman"/>
          <w:i/>
          <w:color w:val="000000"/>
          <w:sz w:val="24"/>
          <w:szCs w:val="24"/>
        </w:rPr>
        <w:t>(BMS)</w:t>
      </w:r>
      <w:r w:rsidRPr="009E7B2D">
        <w:rPr>
          <w:rFonts w:ascii="Times New Roman" w:hAnsi="Times New Roman" w:cs="Times New Roman"/>
          <w:color w:val="000000"/>
          <w:sz w:val="24"/>
          <w:szCs w:val="24"/>
        </w:rPr>
        <w:t xml:space="preserve">, domestic investment </w:t>
      </w:r>
      <w:r w:rsidRPr="009E7B2D">
        <w:rPr>
          <w:rFonts w:ascii="Times New Roman" w:hAnsi="Times New Roman" w:cs="Times New Roman"/>
          <w:i/>
          <w:color w:val="000000"/>
          <w:sz w:val="24"/>
          <w:szCs w:val="24"/>
        </w:rPr>
        <w:t>(INV)</w:t>
      </w:r>
      <w:r w:rsidRPr="009E7B2D">
        <w:rPr>
          <w:rFonts w:ascii="Times New Roman" w:hAnsi="Times New Roman" w:cs="Times New Roman"/>
          <w:color w:val="000000"/>
          <w:sz w:val="24"/>
          <w:szCs w:val="24"/>
        </w:rPr>
        <w:t xml:space="preserve"> and real interest rate </w:t>
      </w:r>
      <w:r w:rsidRPr="009E7B2D">
        <w:rPr>
          <w:rFonts w:ascii="Times New Roman" w:hAnsi="Times New Roman" w:cs="Times New Roman"/>
          <w:i/>
          <w:color w:val="000000"/>
          <w:sz w:val="24"/>
          <w:szCs w:val="24"/>
        </w:rPr>
        <w:t>(RIR)</w:t>
      </w:r>
      <w:r w:rsidRPr="009E7B2D">
        <w:rPr>
          <w:rFonts w:ascii="Times New Roman" w:hAnsi="Times New Roman" w:cs="Times New Roman"/>
          <w:color w:val="000000"/>
          <w:sz w:val="24"/>
          <w:szCs w:val="24"/>
        </w:rPr>
        <w:t xml:space="preserve"> exceeds three, meaning that the series follows a leptokurtic distribution. This indicates that gross domestic product </w:t>
      </w:r>
      <w:r w:rsidRPr="009E7B2D">
        <w:rPr>
          <w:rFonts w:ascii="Times New Roman" w:hAnsi="Times New Roman" w:cs="Times New Roman"/>
          <w:i/>
          <w:color w:val="000000"/>
          <w:sz w:val="24"/>
          <w:szCs w:val="24"/>
        </w:rPr>
        <w:t>(GDP)</w:t>
      </w:r>
      <w:r w:rsidRPr="009E7B2D">
        <w:rPr>
          <w:rFonts w:ascii="Times New Roman" w:hAnsi="Times New Roman" w:cs="Times New Roman"/>
          <w:color w:val="000000"/>
          <w:sz w:val="24"/>
          <w:szCs w:val="24"/>
        </w:rPr>
        <w:t xml:space="preserve">, domestic credit to private sector as a share of GDP </w:t>
      </w:r>
      <w:r w:rsidRPr="009E7B2D">
        <w:rPr>
          <w:rFonts w:ascii="Times New Roman" w:hAnsi="Times New Roman" w:cs="Times New Roman"/>
          <w:i/>
          <w:color w:val="000000"/>
          <w:sz w:val="24"/>
          <w:szCs w:val="24"/>
        </w:rPr>
        <w:t>(CPS)</w:t>
      </w:r>
      <w:r w:rsidRPr="009E7B2D">
        <w:rPr>
          <w:rFonts w:ascii="Times New Roman" w:hAnsi="Times New Roman" w:cs="Times New Roman"/>
          <w:color w:val="000000"/>
          <w:sz w:val="24"/>
          <w:szCs w:val="24"/>
        </w:rPr>
        <w:t xml:space="preserve">, broad money supply as a share of GDP </w:t>
      </w:r>
      <w:r w:rsidRPr="009E7B2D">
        <w:rPr>
          <w:rFonts w:ascii="Times New Roman" w:hAnsi="Times New Roman" w:cs="Times New Roman"/>
          <w:i/>
          <w:color w:val="000000"/>
          <w:sz w:val="24"/>
          <w:szCs w:val="24"/>
        </w:rPr>
        <w:t>(BMS)</w:t>
      </w:r>
      <w:r w:rsidRPr="009E7B2D">
        <w:rPr>
          <w:rFonts w:ascii="Times New Roman" w:hAnsi="Times New Roman" w:cs="Times New Roman"/>
          <w:color w:val="000000"/>
          <w:sz w:val="24"/>
          <w:szCs w:val="24"/>
        </w:rPr>
        <w:t xml:space="preserve">, domestic investment </w:t>
      </w:r>
      <w:r w:rsidRPr="009E7B2D">
        <w:rPr>
          <w:rFonts w:ascii="Times New Roman" w:hAnsi="Times New Roman" w:cs="Times New Roman"/>
          <w:i/>
          <w:color w:val="000000"/>
          <w:sz w:val="24"/>
          <w:szCs w:val="24"/>
        </w:rPr>
        <w:t>(INV)</w:t>
      </w:r>
      <w:r w:rsidRPr="009E7B2D">
        <w:rPr>
          <w:rFonts w:ascii="Times New Roman" w:hAnsi="Times New Roman" w:cs="Times New Roman"/>
          <w:color w:val="000000"/>
          <w:sz w:val="24"/>
          <w:szCs w:val="24"/>
        </w:rPr>
        <w:t xml:space="preserve"> and real interest rate </w:t>
      </w:r>
      <w:r w:rsidRPr="009E7B2D">
        <w:rPr>
          <w:rFonts w:ascii="Times New Roman" w:hAnsi="Times New Roman" w:cs="Times New Roman"/>
          <w:i/>
          <w:color w:val="000000"/>
          <w:sz w:val="24"/>
          <w:szCs w:val="24"/>
        </w:rPr>
        <w:t>(RIR)</w:t>
      </w:r>
      <w:r w:rsidRPr="009E7B2D">
        <w:rPr>
          <w:rFonts w:ascii="Times New Roman" w:hAnsi="Times New Roman" w:cs="Times New Roman"/>
          <w:color w:val="000000"/>
          <w:sz w:val="24"/>
          <w:szCs w:val="24"/>
        </w:rPr>
        <w:t xml:space="preserve"> are greatly peaked relative to the normal distribution. On the contrary, government expenditure </w:t>
      </w:r>
      <w:r w:rsidRPr="009E7B2D">
        <w:rPr>
          <w:rFonts w:ascii="Times New Roman" w:hAnsi="Times New Roman" w:cs="Times New Roman"/>
          <w:i/>
          <w:color w:val="000000"/>
          <w:sz w:val="24"/>
          <w:szCs w:val="24"/>
        </w:rPr>
        <w:t>(GE)</w:t>
      </w:r>
      <w:r w:rsidRPr="009E7B2D">
        <w:rPr>
          <w:rFonts w:ascii="Times New Roman" w:hAnsi="Times New Roman" w:cs="Times New Roman"/>
          <w:color w:val="000000"/>
          <w:sz w:val="24"/>
          <w:szCs w:val="24"/>
        </w:rPr>
        <w:t xml:space="preserve"> follows </w:t>
      </w:r>
      <w:proofErr w:type="spellStart"/>
      <w:r w:rsidRPr="009E7B2D">
        <w:rPr>
          <w:rFonts w:ascii="Times New Roman" w:eastAsiaTheme="minorEastAsia" w:hAnsi="Times New Roman" w:cs="Times New Roman"/>
          <w:sz w:val="24"/>
          <w:szCs w:val="24"/>
        </w:rPr>
        <w:t>platykurtic</w:t>
      </w:r>
      <w:proofErr w:type="spellEnd"/>
      <w:r w:rsidRPr="009E7B2D">
        <w:rPr>
          <w:rFonts w:ascii="Times New Roman" w:eastAsiaTheme="minorEastAsia" w:hAnsi="Times New Roman" w:cs="Times New Roman"/>
          <w:sz w:val="24"/>
          <w:szCs w:val="24"/>
        </w:rPr>
        <w:t xml:space="preserve"> distribution, given that its kurtosis value is less than three. This indicates that the distribution of the series is less peaked relative to the normal distribution. </w:t>
      </w:r>
      <w:r w:rsidRPr="009E7B2D">
        <w:rPr>
          <w:rFonts w:ascii="Times New Roman" w:hAnsi="Times New Roman" w:cs="Times New Roman"/>
          <w:sz w:val="24"/>
          <w:szCs w:val="24"/>
        </w:rPr>
        <w:t xml:space="preserve">Finally, </w:t>
      </w:r>
      <w:proofErr w:type="spellStart"/>
      <w:r w:rsidRPr="009E7B2D">
        <w:rPr>
          <w:rFonts w:ascii="Times New Roman" w:hAnsi="Times New Roman" w:cs="Times New Roman"/>
          <w:sz w:val="24"/>
          <w:szCs w:val="24"/>
        </w:rPr>
        <w:t>Jarque-Bera</w:t>
      </w:r>
      <w:proofErr w:type="spellEnd"/>
      <w:r w:rsidRPr="009E7B2D">
        <w:rPr>
          <w:rFonts w:ascii="Times New Roman" w:hAnsi="Times New Roman" w:cs="Times New Roman"/>
          <w:sz w:val="24"/>
          <w:szCs w:val="24"/>
        </w:rPr>
        <w:t xml:space="preserve"> which measures whether the series is normally distributed or not also rejects the null hypotheses of normal distribution for </w:t>
      </w:r>
      <w:r w:rsidRPr="009E7B2D">
        <w:rPr>
          <w:rFonts w:ascii="Times New Roman" w:hAnsi="Times New Roman" w:cs="Times New Roman"/>
          <w:color w:val="000000"/>
          <w:sz w:val="24"/>
          <w:szCs w:val="24"/>
        </w:rPr>
        <w:t xml:space="preserve">gross domestic product </w:t>
      </w:r>
      <w:r w:rsidRPr="009E7B2D">
        <w:rPr>
          <w:rFonts w:ascii="Times New Roman" w:hAnsi="Times New Roman" w:cs="Times New Roman"/>
          <w:i/>
          <w:color w:val="000000"/>
          <w:sz w:val="24"/>
          <w:szCs w:val="24"/>
        </w:rPr>
        <w:t>(GDP)</w:t>
      </w:r>
      <w:r w:rsidRPr="009E7B2D">
        <w:rPr>
          <w:rFonts w:ascii="Times New Roman" w:hAnsi="Times New Roman" w:cs="Times New Roman"/>
          <w:color w:val="000000"/>
          <w:sz w:val="24"/>
          <w:szCs w:val="24"/>
        </w:rPr>
        <w:t xml:space="preserve">, domestic credit to private sector as a share of GDP </w:t>
      </w:r>
      <w:r w:rsidRPr="009E7B2D">
        <w:rPr>
          <w:rFonts w:ascii="Times New Roman" w:hAnsi="Times New Roman" w:cs="Times New Roman"/>
          <w:i/>
          <w:color w:val="000000"/>
          <w:sz w:val="24"/>
          <w:szCs w:val="24"/>
        </w:rPr>
        <w:t>(CPS)</w:t>
      </w:r>
      <w:r w:rsidRPr="009E7B2D">
        <w:rPr>
          <w:rFonts w:ascii="Times New Roman" w:hAnsi="Times New Roman" w:cs="Times New Roman"/>
          <w:color w:val="000000"/>
          <w:sz w:val="24"/>
          <w:szCs w:val="24"/>
        </w:rPr>
        <w:t xml:space="preserve">, broad money supply as a share of GDP </w:t>
      </w:r>
      <w:r w:rsidRPr="009E7B2D">
        <w:rPr>
          <w:rFonts w:ascii="Times New Roman" w:hAnsi="Times New Roman" w:cs="Times New Roman"/>
          <w:i/>
          <w:color w:val="000000"/>
          <w:sz w:val="24"/>
          <w:szCs w:val="24"/>
        </w:rPr>
        <w:t>(BMS)</w:t>
      </w:r>
      <w:r w:rsidRPr="009E7B2D">
        <w:rPr>
          <w:rFonts w:ascii="Times New Roman" w:hAnsi="Times New Roman" w:cs="Times New Roman"/>
          <w:color w:val="000000"/>
          <w:sz w:val="24"/>
          <w:szCs w:val="24"/>
        </w:rPr>
        <w:t xml:space="preserve"> and domestic investment </w:t>
      </w:r>
      <w:r w:rsidRPr="009E7B2D">
        <w:rPr>
          <w:rFonts w:ascii="Times New Roman" w:hAnsi="Times New Roman" w:cs="Times New Roman"/>
          <w:i/>
          <w:color w:val="000000"/>
          <w:sz w:val="24"/>
          <w:szCs w:val="24"/>
        </w:rPr>
        <w:t xml:space="preserve">(INV) </w:t>
      </w:r>
      <w:r w:rsidRPr="009E7B2D">
        <w:rPr>
          <w:rFonts w:ascii="Times New Roman" w:hAnsi="Times New Roman" w:cs="Times New Roman"/>
          <w:sz w:val="24"/>
          <w:szCs w:val="24"/>
        </w:rPr>
        <w:t xml:space="preserve">while accepts the null hypotheses of normal distribution for government expenditure </w:t>
      </w:r>
      <w:r w:rsidRPr="009E7B2D">
        <w:rPr>
          <w:rFonts w:ascii="Times New Roman" w:hAnsi="Times New Roman" w:cs="Times New Roman"/>
          <w:i/>
          <w:sz w:val="24"/>
          <w:szCs w:val="24"/>
        </w:rPr>
        <w:t>(GE)</w:t>
      </w:r>
      <w:r w:rsidRPr="009E7B2D">
        <w:rPr>
          <w:rFonts w:ascii="Times New Roman" w:hAnsi="Times New Roman" w:cs="Times New Roman"/>
          <w:sz w:val="24"/>
          <w:szCs w:val="24"/>
        </w:rPr>
        <w:t xml:space="preserve"> and real inflation rate </w:t>
      </w:r>
      <w:r w:rsidRPr="009E7B2D">
        <w:rPr>
          <w:rFonts w:ascii="Times New Roman" w:hAnsi="Times New Roman" w:cs="Times New Roman"/>
          <w:i/>
          <w:sz w:val="24"/>
          <w:szCs w:val="24"/>
        </w:rPr>
        <w:t>(RIR)</w:t>
      </w:r>
      <w:r w:rsidRPr="009E7B2D">
        <w:rPr>
          <w:rFonts w:ascii="Times New Roman" w:hAnsi="Times New Roman" w:cs="Times New Roman"/>
          <w:sz w:val="24"/>
          <w:szCs w:val="24"/>
        </w:rPr>
        <w:t>.</w:t>
      </w:r>
    </w:p>
    <w:p w:rsidR="00111672" w:rsidRPr="009E7B2D" w:rsidRDefault="00111672"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Unit Root Test Results</w:t>
      </w:r>
    </w:p>
    <w:p w:rsidR="00111672" w:rsidRDefault="00111672" w:rsidP="009E7B2D">
      <w:pPr>
        <w:spacing w:line="360" w:lineRule="auto"/>
        <w:jc w:val="both"/>
        <w:rPr>
          <w:rFonts w:ascii="Times New Roman" w:hAnsi="Times New Roman" w:cs="Times New Roman"/>
          <w:color w:val="000000"/>
          <w:sz w:val="24"/>
          <w:szCs w:val="24"/>
        </w:rPr>
      </w:pPr>
      <w:r w:rsidRPr="009E7B2D">
        <w:rPr>
          <w:rFonts w:ascii="Times New Roman" w:hAnsi="Times New Roman" w:cs="Times New Roman"/>
          <w:sz w:val="24"/>
          <w:szCs w:val="24"/>
        </w:rPr>
        <w:t xml:space="preserve">In an attempt to test for the stationarity of the variables, this study employed both the Augmented Dickey-Fuller (ADF) unit root test and the Phillip-Peron (PP) unit root test. The decision rule adopted here is that if the absolute value of the ADF test or that of the PP test is lesser than the corresponding critical value, then it is adjudged that the tested variable is non-stationary at that significance level. If on the other hand, the absolute value of the ADF test or that of the PP test is greater than the corresponding critical value, then it is judged that the underlying variable is stationary. The ADF and PP test results in Tables 3 and 4 showed that government expenditure </w:t>
      </w:r>
      <w:r w:rsidRPr="009E7B2D">
        <w:rPr>
          <w:rFonts w:ascii="Times New Roman" w:hAnsi="Times New Roman" w:cs="Times New Roman"/>
          <w:i/>
          <w:sz w:val="24"/>
          <w:szCs w:val="24"/>
        </w:rPr>
        <w:t>(GOV)</w:t>
      </w:r>
      <w:r w:rsidRPr="009E7B2D">
        <w:rPr>
          <w:rFonts w:ascii="Times New Roman" w:hAnsi="Times New Roman" w:cs="Times New Roman"/>
          <w:sz w:val="24"/>
          <w:szCs w:val="24"/>
        </w:rPr>
        <w:t xml:space="preserve"> and real interest rate </w:t>
      </w:r>
      <w:r w:rsidRPr="009E7B2D">
        <w:rPr>
          <w:rFonts w:ascii="Times New Roman" w:hAnsi="Times New Roman" w:cs="Times New Roman"/>
          <w:i/>
          <w:sz w:val="24"/>
          <w:szCs w:val="24"/>
        </w:rPr>
        <w:t>(RIR)</w:t>
      </w:r>
      <w:r w:rsidRPr="009E7B2D">
        <w:rPr>
          <w:rFonts w:ascii="Times New Roman" w:hAnsi="Times New Roman" w:cs="Times New Roman"/>
          <w:sz w:val="24"/>
          <w:szCs w:val="24"/>
        </w:rPr>
        <w:t xml:space="preserve"> are stationary in their level forms, that is </w:t>
      </w:r>
      <w:proofErr w:type="gramStart"/>
      <w:r w:rsidRPr="009E7B2D">
        <w:rPr>
          <w:rFonts w:ascii="Times New Roman" w:hAnsi="Times New Roman" w:cs="Times New Roman"/>
          <w:sz w:val="24"/>
          <w:szCs w:val="24"/>
        </w:rPr>
        <w:t>I(</w:t>
      </w:r>
      <w:proofErr w:type="gramEnd"/>
      <w:r w:rsidRPr="009E7B2D">
        <w:rPr>
          <w:rFonts w:ascii="Times New Roman" w:hAnsi="Times New Roman" w:cs="Times New Roman"/>
          <w:sz w:val="24"/>
          <w:szCs w:val="24"/>
        </w:rPr>
        <w:t xml:space="preserve">0). Gross domestic product </w:t>
      </w:r>
      <w:r w:rsidRPr="009E7B2D">
        <w:rPr>
          <w:rFonts w:ascii="Times New Roman" w:hAnsi="Times New Roman" w:cs="Times New Roman"/>
          <w:i/>
          <w:sz w:val="24"/>
          <w:szCs w:val="24"/>
        </w:rPr>
        <w:t>(LGDP)</w:t>
      </w:r>
      <w:r w:rsidRPr="009E7B2D">
        <w:rPr>
          <w:rFonts w:ascii="Times New Roman" w:hAnsi="Times New Roman" w:cs="Times New Roman"/>
          <w:sz w:val="24"/>
          <w:szCs w:val="24"/>
        </w:rPr>
        <w:t xml:space="preserve">, domestic credit to private sector as a share of GDP </w:t>
      </w:r>
      <w:r w:rsidRPr="009E7B2D">
        <w:rPr>
          <w:rFonts w:ascii="Times New Roman" w:hAnsi="Times New Roman" w:cs="Times New Roman"/>
          <w:i/>
          <w:sz w:val="24"/>
          <w:szCs w:val="24"/>
        </w:rPr>
        <w:t>(CPS)</w:t>
      </w:r>
      <w:r w:rsidRPr="009E7B2D">
        <w:rPr>
          <w:rFonts w:ascii="Times New Roman" w:hAnsi="Times New Roman" w:cs="Times New Roman"/>
          <w:sz w:val="24"/>
          <w:szCs w:val="24"/>
        </w:rPr>
        <w:t xml:space="preserve">, Broad Money supply as a share of GDP </w:t>
      </w:r>
      <w:r w:rsidRPr="009E7B2D">
        <w:rPr>
          <w:rFonts w:ascii="Times New Roman" w:hAnsi="Times New Roman" w:cs="Times New Roman"/>
          <w:i/>
          <w:sz w:val="24"/>
          <w:szCs w:val="24"/>
        </w:rPr>
        <w:t>(BMS)</w:t>
      </w:r>
      <w:r w:rsidRPr="009E7B2D">
        <w:rPr>
          <w:rFonts w:ascii="Times New Roman" w:hAnsi="Times New Roman" w:cs="Times New Roman"/>
          <w:sz w:val="24"/>
          <w:szCs w:val="24"/>
        </w:rPr>
        <w:t xml:space="preserve">, and domestic investment </w:t>
      </w:r>
      <w:r w:rsidRPr="009E7B2D">
        <w:rPr>
          <w:rFonts w:ascii="Times New Roman" w:hAnsi="Times New Roman" w:cs="Times New Roman"/>
          <w:i/>
          <w:sz w:val="24"/>
          <w:szCs w:val="24"/>
        </w:rPr>
        <w:t>(LINV)</w:t>
      </w:r>
      <w:r w:rsidRPr="009E7B2D">
        <w:rPr>
          <w:rFonts w:ascii="Times New Roman" w:hAnsi="Times New Roman" w:cs="Times New Roman"/>
          <w:sz w:val="24"/>
          <w:szCs w:val="24"/>
        </w:rPr>
        <w:t xml:space="preserve"> are non-stationary in their level form but become stationary after they are first differenced, and thus, are I(1) variables. </w:t>
      </w:r>
      <w:r w:rsidRPr="009E7B2D">
        <w:rPr>
          <w:rFonts w:ascii="Times New Roman" w:hAnsi="Times New Roman" w:cs="Times New Roman"/>
          <w:color w:val="000000"/>
          <w:sz w:val="24"/>
          <w:szCs w:val="24"/>
        </w:rPr>
        <w:t>Because the highest order of integration is one, the autoregressive distributed lagged model (ARDL) is appropriate in testing objectives of the study.</w:t>
      </w:r>
    </w:p>
    <w:p w:rsidR="00E40E06" w:rsidRDefault="00E40E06" w:rsidP="009E7B2D">
      <w:pPr>
        <w:spacing w:line="360" w:lineRule="auto"/>
        <w:jc w:val="both"/>
        <w:rPr>
          <w:rFonts w:ascii="Times New Roman" w:hAnsi="Times New Roman" w:cs="Times New Roman"/>
          <w:color w:val="000000"/>
          <w:sz w:val="24"/>
          <w:szCs w:val="24"/>
        </w:rPr>
      </w:pPr>
    </w:p>
    <w:p w:rsidR="00E40E06" w:rsidRPr="009E7B2D" w:rsidRDefault="00E40E06" w:rsidP="009E7B2D">
      <w:pPr>
        <w:spacing w:line="360" w:lineRule="auto"/>
        <w:jc w:val="both"/>
        <w:rPr>
          <w:rFonts w:ascii="Times New Roman" w:hAnsi="Times New Roman" w:cs="Times New Roman"/>
          <w:sz w:val="24"/>
          <w:szCs w:val="24"/>
        </w:rPr>
      </w:pPr>
    </w:p>
    <w:p w:rsidR="00111672" w:rsidRPr="009E7B2D" w:rsidRDefault="00111672"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lastRenderedPageBreak/>
        <w:t>Table 4.2: Augmented Dickey Fuller Unit Root Test Results</w:t>
      </w:r>
    </w:p>
    <w:tbl>
      <w:tblPr>
        <w:tblW w:w="6360" w:type="dxa"/>
        <w:tblLook w:val="04A0" w:firstRow="1" w:lastRow="0" w:firstColumn="1" w:lastColumn="0" w:noHBand="0" w:noVBand="1"/>
      </w:tblPr>
      <w:tblGrid>
        <w:gridCol w:w="1380"/>
        <w:gridCol w:w="1660"/>
        <w:gridCol w:w="1660"/>
        <w:gridCol w:w="1660"/>
      </w:tblGrid>
      <w:tr w:rsidR="00111672" w:rsidRPr="009E7B2D" w:rsidTr="00111672">
        <w:trPr>
          <w:trHeight w:val="450"/>
        </w:trPr>
        <w:tc>
          <w:tcPr>
            <w:tcW w:w="138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Variables</w:t>
            </w:r>
          </w:p>
        </w:tc>
        <w:tc>
          <w:tcPr>
            <w:tcW w:w="166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Levels</w:t>
            </w:r>
          </w:p>
        </w:tc>
        <w:tc>
          <w:tcPr>
            <w:tcW w:w="166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First Difference</w:t>
            </w:r>
          </w:p>
        </w:tc>
        <w:tc>
          <w:tcPr>
            <w:tcW w:w="166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Status</w:t>
            </w:r>
          </w:p>
        </w:tc>
      </w:tr>
      <w:tr w:rsidR="00111672" w:rsidRPr="009E7B2D" w:rsidTr="00111672">
        <w:trPr>
          <w:trHeight w:val="450"/>
        </w:trPr>
        <w:tc>
          <w:tcPr>
            <w:tcW w:w="138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LGDP</w:t>
            </w:r>
          </w:p>
        </w:tc>
        <w:tc>
          <w:tcPr>
            <w:tcW w:w="166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-1.8746</w:t>
            </w:r>
          </w:p>
        </w:tc>
        <w:tc>
          <w:tcPr>
            <w:tcW w:w="166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-5.0417</w:t>
            </w:r>
          </w:p>
        </w:tc>
        <w:tc>
          <w:tcPr>
            <w:tcW w:w="166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[0.3389]</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[0.0003]**</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CPS</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-1.7510</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-5.3175</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[0.3962]</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[0.0002]*</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BMS</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-1.8962</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-5.0222</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[0.3293]</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[0.0004]*</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LINV</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-0.7470</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-7.2153</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[0.8179]</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[0.0000]**</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LGE</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-4.0439</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I(0)</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[0.0042]**</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05"/>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RIR</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-5.2954</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I(0)</w:t>
            </w:r>
          </w:p>
        </w:tc>
      </w:tr>
      <w:tr w:rsidR="00111672" w:rsidRPr="009E7B2D" w:rsidTr="00111672">
        <w:trPr>
          <w:trHeight w:val="450"/>
        </w:trPr>
        <w:tc>
          <w:tcPr>
            <w:tcW w:w="138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6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[0.0002]</w:t>
            </w:r>
          </w:p>
        </w:tc>
        <w:tc>
          <w:tcPr>
            <w:tcW w:w="166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66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r>
    </w:tbl>
    <w:p w:rsidR="00111672" w:rsidRPr="009E7B2D" w:rsidRDefault="00111672" w:rsidP="009E7B2D">
      <w:pPr>
        <w:spacing w:line="360" w:lineRule="auto"/>
        <w:jc w:val="both"/>
        <w:rPr>
          <w:rFonts w:ascii="Times New Roman" w:hAnsi="Times New Roman" w:cs="Times New Roman"/>
          <w:i/>
          <w:sz w:val="24"/>
          <w:szCs w:val="24"/>
        </w:rPr>
      </w:pPr>
      <w:r w:rsidRPr="009E7B2D">
        <w:rPr>
          <w:rFonts w:ascii="Times New Roman" w:eastAsia="Times New Roman" w:hAnsi="Times New Roman" w:cs="Times New Roman"/>
          <w:i/>
          <w:sz w:val="24"/>
          <w:szCs w:val="24"/>
          <w:lang w:eastAsia="fr-FR"/>
        </w:rPr>
        <w:t xml:space="preserve">Note 1: GDP, CPS, BMS, INV, GE, and RIR represent gross domestic product, credit to private sector as a share of GDP, money supply as a share of GDP, domestic investment, government expenditure and real interest rate respectively. </w:t>
      </w:r>
      <w:r w:rsidRPr="009E7B2D">
        <w:rPr>
          <w:rFonts w:ascii="Times New Roman" w:hAnsi="Times New Roman" w:cs="Times New Roman"/>
          <w:i/>
          <w:sz w:val="24"/>
          <w:szCs w:val="24"/>
        </w:rPr>
        <w:t>Note 2: The values in the square bracket</w:t>
      </w:r>
      <w:r w:rsidRPr="009E7B2D">
        <w:rPr>
          <w:rFonts w:ascii="Times New Roman" w:hAnsi="Times New Roman" w:cs="Times New Roman"/>
          <w:b/>
          <w:i/>
          <w:sz w:val="24"/>
          <w:szCs w:val="24"/>
        </w:rPr>
        <w:t xml:space="preserve"> [   ]</w:t>
      </w:r>
      <w:r w:rsidRPr="009E7B2D">
        <w:rPr>
          <w:rFonts w:ascii="Times New Roman" w:hAnsi="Times New Roman" w:cs="Times New Roman"/>
          <w:i/>
          <w:sz w:val="24"/>
          <w:szCs w:val="24"/>
        </w:rPr>
        <w:t xml:space="preserve"> are the probability values; (**) indicates significant at 5% and (*) indicates significant at 10%</w:t>
      </w:r>
    </w:p>
    <w:p w:rsidR="00111672" w:rsidRPr="009E7B2D" w:rsidRDefault="00111672"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Table 4.3: Phillip-</w:t>
      </w:r>
      <w:proofErr w:type="spellStart"/>
      <w:r w:rsidRPr="009E7B2D">
        <w:rPr>
          <w:rFonts w:ascii="Times New Roman" w:hAnsi="Times New Roman" w:cs="Times New Roman"/>
          <w:b/>
          <w:sz w:val="24"/>
          <w:szCs w:val="24"/>
        </w:rPr>
        <w:t>Perron</w:t>
      </w:r>
      <w:proofErr w:type="spellEnd"/>
      <w:r w:rsidRPr="009E7B2D">
        <w:rPr>
          <w:rFonts w:ascii="Times New Roman" w:hAnsi="Times New Roman" w:cs="Times New Roman"/>
          <w:b/>
          <w:sz w:val="24"/>
          <w:szCs w:val="24"/>
        </w:rPr>
        <w:t xml:space="preserve"> Unit Root Test Results</w:t>
      </w:r>
    </w:p>
    <w:tbl>
      <w:tblPr>
        <w:tblW w:w="6360" w:type="dxa"/>
        <w:tblLook w:val="04A0" w:firstRow="1" w:lastRow="0" w:firstColumn="1" w:lastColumn="0" w:noHBand="0" w:noVBand="1"/>
      </w:tblPr>
      <w:tblGrid>
        <w:gridCol w:w="1380"/>
        <w:gridCol w:w="1660"/>
        <w:gridCol w:w="1660"/>
        <w:gridCol w:w="1660"/>
      </w:tblGrid>
      <w:tr w:rsidR="00111672" w:rsidRPr="009E7B2D" w:rsidTr="00111672">
        <w:trPr>
          <w:trHeight w:val="450"/>
        </w:trPr>
        <w:tc>
          <w:tcPr>
            <w:tcW w:w="138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Variables</w:t>
            </w:r>
          </w:p>
        </w:tc>
        <w:tc>
          <w:tcPr>
            <w:tcW w:w="166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Levels</w:t>
            </w:r>
          </w:p>
        </w:tc>
        <w:tc>
          <w:tcPr>
            <w:tcW w:w="166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First Difference</w:t>
            </w:r>
          </w:p>
        </w:tc>
        <w:tc>
          <w:tcPr>
            <w:tcW w:w="166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Status</w:t>
            </w:r>
          </w:p>
        </w:tc>
      </w:tr>
      <w:tr w:rsidR="00111672" w:rsidRPr="009E7B2D" w:rsidTr="00111672">
        <w:trPr>
          <w:trHeight w:val="450"/>
        </w:trPr>
        <w:tc>
          <w:tcPr>
            <w:tcW w:w="138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LGDP</w:t>
            </w:r>
          </w:p>
        </w:tc>
        <w:tc>
          <w:tcPr>
            <w:tcW w:w="166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-2.7311</w:t>
            </w:r>
          </w:p>
        </w:tc>
        <w:tc>
          <w:tcPr>
            <w:tcW w:w="166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-5.0466</w:t>
            </w:r>
          </w:p>
        </w:tc>
        <w:tc>
          <w:tcPr>
            <w:tcW w:w="166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[0.0811]</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[0.0003]**</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CPS</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-1.6338</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-8.1345</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[0.4531]</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[0.0000]*</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lastRenderedPageBreak/>
              <w:t>BMS</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-1.9623</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-5.8463</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[0.3008]</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[0.0000]*</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LINV</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-0.9488</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-8.4319</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I(1)</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[0.7576]</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[0.0000]**</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50"/>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LGE</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-3.7093</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I(0)</w:t>
            </w:r>
          </w:p>
        </w:tc>
      </w:tr>
      <w:tr w:rsidR="00111672" w:rsidRPr="009E7B2D" w:rsidTr="00111672">
        <w:trPr>
          <w:trHeight w:val="450"/>
        </w:trPr>
        <w:tc>
          <w:tcPr>
            <w:tcW w:w="138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[0.0093]**</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66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r>
      <w:tr w:rsidR="00111672" w:rsidRPr="009E7B2D" w:rsidTr="00111672">
        <w:trPr>
          <w:trHeight w:val="405"/>
        </w:trPr>
        <w:tc>
          <w:tcPr>
            <w:tcW w:w="138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RIR</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-5.2946</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66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I(0)</w:t>
            </w:r>
          </w:p>
        </w:tc>
      </w:tr>
      <w:tr w:rsidR="00111672" w:rsidRPr="009E7B2D" w:rsidTr="00111672">
        <w:trPr>
          <w:trHeight w:val="450"/>
        </w:trPr>
        <w:tc>
          <w:tcPr>
            <w:tcW w:w="138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6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[0.0002]</w:t>
            </w:r>
          </w:p>
        </w:tc>
        <w:tc>
          <w:tcPr>
            <w:tcW w:w="166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66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r>
    </w:tbl>
    <w:p w:rsidR="002D641B" w:rsidRPr="009E7B2D" w:rsidRDefault="00111672" w:rsidP="00E40E06">
      <w:pPr>
        <w:spacing w:after="0" w:line="360" w:lineRule="auto"/>
        <w:jc w:val="both"/>
        <w:rPr>
          <w:rFonts w:ascii="Times New Roman" w:hAnsi="Times New Roman" w:cs="Times New Roman"/>
          <w:i/>
          <w:sz w:val="24"/>
          <w:szCs w:val="24"/>
        </w:rPr>
      </w:pPr>
      <w:r w:rsidRPr="009E7B2D">
        <w:rPr>
          <w:rFonts w:ascii="Times New Roman" w:eastAsia="Times New Roman" w:hAnsi="Times New Roman" w:cs="Times New Roman"/>
          <w:i/>
          <w:sz w:val="24"/>
          <w:szCs w:val="24"/>
          <w:lang w:eastAsia="fr-FR"/>
        </w:rPr>
        <w:t xml:space="preserve">Note 1: GDP, CPS, BMS, INV, GOV, and RIR represent gross domestic product, credit to private sector as a share of GDP, broad money supply as a share of GDP, domestic investment, government expenditure and real interest rate respectively. </w:t>
      </w:r>
      <w:r w:rsidRPr="009E7B2D">
        <w:rPr>
          <w:rFonts w:ascii="Times New Roman" w:hAnsi="Times New Roman" w:cs="Times New Roman"/>
          <w:i/>
          <w:sz w:val="24"/>
          <w:szCs w:val="24"/>
        </w:rPr>
        <w:t>Note 2: The values in the square bracket</w:t>
      </w:r>
      <w:r w:rsidRPr="009E7B2D">
        <w:rPr>
          <w:rFonts w:ascii="Times New Roman" w:hAnsi="Times New Roman" w:cs="Times New Roman"/>
          <w:b/>
          <w:i/>
          <w:sz w:val="24"/>
          <w:szCs w:val="24"/>
        </w:rPr>
        <w:t xml:space="preserve"> [   ]</w:t>
      </w:r>
      <w:r w:rsidRPr="009E7B2D">
        <w:rPr>
          <w:rFonts w:ascii="Times New Roman" w:hAnsi="Times New Roman" w:cs="Times New Roman"/>
          <w:i/>
          <w:sz w:val="24"/>
          <w:szCs w:val="24"/>
        </w:rPr>
        <w:t xml:space="preserve"> are the probability values; (**) indicates significant at 5% and (</w:t>
      </w:r>
      <w:r w:rsidR="00E40E06">
        <w:rPr>
          <w:rFonts w:ascii="Times New Roman" w:hAnsi="Times New Roman" w:cs="Times New Roman"/>
          <w:i/>
          <w:sz w:val="24"/>
          <w:szCs w:val="24"/>
        </w:rPr>
        <w:t>*) indicates significant at 10%</w:t>
      </w:r>
    </w:p>
    <w:p w:rsidR="00111672" w:rsidRPr="009E7B2D" w:rsidRDefault="00111672" w:rsidP="00E40E06">
      <w:pPr>
        <w:spacing w:after="0" w:line="360" w:lineRule="auto"/>
        <w:jc w:val="both"/>
        <w:rPr>
          <w:rFonts w:ascii="Times New Roman" w:hAnsi="Times New Roman" w:cs="Times New Roman"/>
          <w:i/>
          <w:sz w:val="24"/>
          <w:szCs w:val="24"/>
        </w:rPr>
      </w:pPr>
      <w:r w:rsidRPr="009E7B2D">
        <w:rPr>
          <w:rFonts w:ascii="Times New Roman" w:hAnsi="Times New Roman" w:cs="Times New Roman"/>
          <w:b/>
          <w:sz w:val="24"/>
          <w:szCs w:val="24"/>
        </w:rPr>
        <w:t>TABLE 5 Bounds Test Result</w:t>
      </w:r>
    </w:p>
    <w:p w:rsidR="00111672" w:rsidRPr="009E7B2D" w:rsidRDefault="00111672" w:rsidP="009E7B2D">
      <w:pPr>
        <w:spacing w:after="0" w:line="360" w:lineRule="auto"/>
        <w:jc w:val="both"/>
        <w:rPr>
          <w:rFonts w:ascii="Times New Roman" w:eastAsia="HGMLD E+ MTSY" w:hAnsi="Times New Roman" w:cs="Times New Roman"/>
          <w:sz w:val="24"/>
          <w:szCs w:val="24"/>
        </w:rPr>
      </w:pPr>
      <w:r w:rsidRPr="009E7B2D">
        <w:rPr>
          <w:rFonts w:ascii="Times New Roman" w:hAnsi="Times New Roman" w:cs="Times New Roman"/>
          <w:sz w:val="24"/>
          <w:szCs w:val="24"/>
        </w:rPr>
        <w:t xml:space="preserve">The result of the bounds test is presented in Table 4.4 provided by Patricia </w:t>
      </w:r>
      <w:r w:rsidRPr="009E7B2D">
        <w:rPr>
          <w:rFonts w:ascii="Times New Roman" w:hAnsi="Times New Roman" w:cs="Times New Roman"/>
          <w:i/>
          <w:sz w:val="24"/>
          <w:szCs w:val="24"/>
        </w:rPr>
        <w:t>et al.</w:t>
      </w:r>
      <w:r w:rsidRPr="009E7B2D">
        <w:rPr>
          <w:rFonts w:ascii="Times New Roman" w:hAnsi="Times New Roman" w:cs="Times New Roman"/>
          <w:sz w:val="24"/>
          <w:szCs w:val="24"/>
        </w:rPr>
        <w:t xml:space="preserve"> (2023). Specifically, the F-statistic is compared with the critical bounds at 5 percent level of sign</w:t>
      </w:r>
      <w:r w:rsidR="002D641B" w:rsidRPr="009E7B2D">
        <w:rPr>
          <w:rFonts w:ascii="Times New Roman" w:hAnsi="Times New Roman" w:cs="Times New Roman"/>
          <w:sz w:val="24"/>
          <w:szCs w:val="24"/>
        </w:rPr>
        <w:t xml:space="preserve">ificance. The result in Table </w:t>
      </w:r>
      <w:r w:rsidRPr="009E7B2D">
        <w:rPr>
          <w:rFonts w:ascii="Times New Roman" w:hAnsi="Times New Roman" w:cs="Times New Roman"/>
          <w:sz w:val="24"/>
          <w:szCs w:val="24"/>
        </w:rPr>
        <w:t>5 showed that the lower bound is 2.62 and the upper bound is 3.79 while the F-statistic is 11.2487. Since the F-statistics results is greater than the upper critical bound at 5 percent significance level, this implies the existence of a long-run relationship (</w:t>
      </w:r>
      <w:proofErr w:type="spellStart"/>
      <w:r w:rsidRPr="009E7B2D">
        <w:rPr>
          <w:rFonts w:ascii="Times New Roman" w:hAnsi="Times New Roman" w:cs="Times New Roman"/>
          <w:sz w:val="24"/>
          <w:szCs w:val="24"/>
        </w:rPr>
        <w:t>cointegration</w:t>
      </w:r>
      <w:proofErr w:type="spellEnd"/>
      <w:r w:rsidRPr="009E7B2D">
        <w:rPr>
          <w:rFonts w:ascii="Times New Roman" w:hAnsi="Times New Roman" w:cs="Times New Roman"/>
          <w:sz w:val="24"/>
          <w:szCs w:val="24"/>
        </w:rPr>
        <w:t xml:space="preserve">) among financial development, domestic investment and economic growth in Nigeria. This result is in line with the findings of </w:t>
      </w:r>
      <w:proofErr w:type="spellStart"/>
      <w:r w:rsidRPr="009E7B2D">
        <w:rPr>
          <w:rFonts w:ascii="Times New Roman" w:hAnsi="Times New Roman" w:cs="Times New Roman"/>
          <w:sz w:val="24"/>
          <w:szCs w:val="24"/>
        </w:rPr>
        <w:t>Abubakar</w:t>
      </w:r>
      <w:proofErr w:type="spellEnd"/>
      <w:r w:rsidRPr="009E7B2D">
        <w:rPr>
          <w:rFonts w:ascii="Times New Roman" w:hAnsi="Times New Roman" w:cs="Times New Roman"/>
          <w:sz w:val="24"/>
          <w:szCs w:val="24"/>
        </w:rPr>
        <w:t xml:space="preserve"> (2022) </w:t>
      </w:r>
      <w:r w:rsidRPr="009E7B2D">
        <w:rPr>
          <w:rFonts w:ascii="Times New Roman" w:eastAsia="HGMLD E+ MTSY" w:hAnsi="Times New Roman" w:cs="Times New Roman"/>
          <w:sz w:val="24"/>
          <w:szCs w:val="24"/>
        </w:rPr>
        <w:t>which found a long run relationship among finance, investment and economic growth in South Africa.</w:t>
      </w:r>
    </w:p>
    <w:p w:rsidR="00111672" w:rsidRPr="009E7B2D" w:rsidRDefault="00111672" w:rsidP="009E7B2D">
      <w:pPr>
        <w:spacing w:after="0" w:line="360" w:lineRule="auto"/>
        <w:jc w:val="both"/>
        <w:rPr>
          <w:rFonts w:ascii="Times New Roman" w:hAnsi="Times New Roman" w:cs="Times New Roman"/>
          <w:b/>
          <w:sz w:val="24"/>
          <w:szCs w:val="24"/>
        </w:rPr>
      </w:pPr>
    </w:p>
    <w:tbl>
      <w:tblPr>
        <w:tblW w:w="9118" w:type="dxa"/>
        <w:tblLook w:val="04A0" w:firstRow="1" w:lastRow="0" w:firstColumn="1" w:lastColumn="0" w:noHBand="0" w:noVBand="1"/>
      </w:tblPr>
      <w:tblGrid>
        <w:gridCol w:w="4967"/>
        <w:gridCol w:w="1399"/>
        <w:gridCol w:w="1083"/>
        <w:gridCol w:w="1669"/>
      </w:tblGrid>
      <w:tr w:rsidR="00111672" w:rsidRPr="009E7B2D" w:rsidTr="00111672">
        <w:trPr>
          <w:trHeight w:val="326"/>
        </w:trPr>
        <w:tc>
          <w:tcPr>
            <w:tcW w:w="4967" w:type="dxa"/>
            <w:tcBorders>
              <w:top w:val="single" w:sz="18" w:space="0" w:color="auto"/>
              <w:left w:val="nil"/>
              <w:bottom w:val="single" w:sz="4"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r w:rsidRPr="009E7B2D">
              <w:rPr>
                <w:rFonts w:ascii="Times New Roman" w:eastAsia="Times New Roman" w:hAnsi="Times New Roman" w:cs="Times New Roman"/>
                <w:b/>
                <w:color w:val="000000"/>
                <w:sz w:val="24"/>
                <w:szCs w:val="24"/>
              </w:rPr>
              <w:t>Variables</w:t>
            </w:r>
          </w:p>
        </w:tc>
        <w:tc>
          <w:tcPr>
            <w:tcW w:w="1399" w:type="dxa"/>
            <w:tcBorders>
              <w:top w:val="single" w:sz="18" w:space="0" w:color="auto"/>
              <w:left w:val="nil"/>
              <w:bottom w:val="single" w:sz="4"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r w:rsidRPr="009E7B2D">
              <w:rPr>
                <w:rFonts w:ascii="Times New Roman" w:eastAsia="Times New Roman" w:hAnsi="Times New Roman" w:cs="Times New Roman"/>
                <w:b/>
                <w:color w:val="000000"/>
                <w:sz w:val="24"/>
                <w:szCs w:val="24"/>
              </w:rPr>
              <w:t>F-Statistics</w:t>
            </w:r>
          </w:p>
        </w:tc>
        <w:tc>
          <w:tcPr>
            <w:tcW w:w="1083" w:type="dxa"/>
            <w:tcBorders>
              <w:top w:val="single" w:sz="18"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r w:rsidRPr="009E7B2D">
              <w:rPr>
                <w:rFonts w:ascii="Times New Roman" w:eastAsia="Times New Roman" w:hAnsi="Times New Roman" w:cs="Times New Roman"/>
                <w:b/>
                <w:color w:val="000000"/>
                <w:sz w:val="24"/>
                <w:szCs w:val="24"/>
              </w:rPr>
              <w:t> </w:t>
            </w:r>
          </w:p>
        </w:tc>
        <w:tc>
          <w:tcPr>
            <w:tcW w:w="1669" w:type="dxa"/>
            <w:tcBorders>
              <w:top w:val="single" w:sz="18" w:space="0" w:color="auto"/>
              <w:left w:val="nil"/>
              <w:bottom w:val="single" w:sz="4"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proofErr w:type="spellStart"/>
            <w:r w:rsidRPr="009E7B2D">
              <w:rPr>
                <w:rFonts w:ascii="Times New Roman" w:eastAsia="Times New Roman" w:hAnsi="Times New Roman" w:cs="Times New Roman"/>
                <w:b/>
                <w:color w:val="000000"/>
                <w:sz w:val="24"/>
                <w:szCs w:val="24"/>
              </w:rPr>
              <w:t>Cointegration</w:t>
            </w:r>
            <w:proofErr w:type="spellEnd"/>
          </w:p>
        </w:tc>
      </w:tr>
      <w:tr w:rsidR="00111672" w:rsidRPr="009E7B2D" w:rsidTr="00111672">
        <w:trPr>
          <w:trHeight w:val="326"/>
        </w:trPr>
        <w:tc>
          <w:tcPr>
            <w:tcW w:w="4967" w:type="dxa"/>
            <w:tcBorders>
              <w:top w:val="single" w:sz="4" w:space="0" w:color="auto"/>
              <w:left w:val="nil"/>
              <w:bottom w:val="single" w:sz="4"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i/>
                <w:color w:val="000000"/>
                <w:sz w:val="24"/>
                <w:szCs w:val="24"/>
              </w:rPr>
            </w:pPr>
            <w:r w:rsidRPr="009E7B2D">
              <w:rPr>
                <w:rFonts w:ascii="Times New Roman" w:eastAsia="Times New Roman" w:hAnsi="Times New Roman" w:cs="Times New Roman"/>
                <w:i/>
                <w:color w:val="000000"/>
                <w:sz w:val="24"/>
                <w:szCs w:val="24"/>
              </w:rPr>
              <w:t>(GDP/CPS, BMS, INV, GOV, RIR)</w:t>
            </w:r>
          </w:p>
        </w:tc>
        <w:tc>
          <w:tcPr>
            <w:tcW w:w="1399" w:type="dxa"/>
            <w:tcBorders>
              <w:top w:val="single" w:sz="4" w:space="0" w:color="auto"/>
              <w:left w:val="nil"/>
              <w:bottom w:val="single" w:sz="4"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11.2487</w:t>
            </w:r>
          </w:p>
        </w:tc>
        <w:tc>
          <w:tcPr>
            <w:tcW w:w="1083" w:type="dxa"/>
            <w:tcBorders>
              <w:top w:val="single" w:sz="4"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69" w:type="dxa"/>
            <w:tcBorders>
              <w:top w:val="single" w:sz="4" w:space="0" w:color="auto"/>
              <w:left w:val="nil"/>
              <w:bottom w:val="single" w:sz="4"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Co-integration</w:t>
            </w:r>
          </w:p>
        </w:tc>
      </w:tr>
      <w:tr w:rsidR="00111672" w:rsidRPr="009E7B2D" w:rsidTr="00111672">
        <w:trPr>
          <w:trHeight w:val="341"/>
        </w:trPr>
        <w:tc>
          <w:tcPr>
            <w:tcW w:w="4967" w:type="dxa"/>
            <w:tcBorders>
              <w:top w:val="single" w:sz="4"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Critical Value</w:t>
            </w:r>
          </w:p>
        </w:tc>
        <w:tc>
          <w:tcPr>
            <w:tcW w:w="1399" w:type="dxa"/>
            <w:tcBorders>
              <w:top w:val="single" w:sz="4"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Lower Bound</w:t>
            </w:r>
          </w:p>
        </w:tc>
        <w:tc>
          <w:tcPr>
            <w:tcW w:w="1083" w:type="dxa"/>
            <w:tcBorders>
              <w:top w:val="single" w:sz="4" w:space="0" w:color="auto"/>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69" w:type="dxa"/>
            <w:tcBorders>
              <w:top w:val="single" w:sz="4"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Upper Bound</w:t>
            </w:r>
          </w:p>
        </w:tc>
      </w:tr>
      <w:tr w:rsidR="00111672" w:rsidRPr="009E7B2D" w:rsidTr="00111672">
        <w:trPr>
          <w:trHeight w:val="326"/>
        </w:trPr>
        <w:tc>
          <w:tcPr>
            <w:tcW w:w="4967"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w:t>
            </w:r>
          </w:p>
        </w:tc>
        <w:tc>
          <w:tcPr>
            <w:tcW w:w="1399"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3.41</w:t>
            </w:r>
          </w:p>
        </w:tc>
        <w:tc>
          <w:tcPr>
            <w:tcW w:w="1083" w:type="dxa"/>
            <w:tcBorders>
              <w:top w:val="single" w:sz="18" w:space="0" w:color="auto"/>
              <w:left w:val="nil"/>
              <w:bottom w:val="nil"/>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9"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4.68</w:t>
            </w:r>
          </w:p>
        </w:tc>
      </w:tr>
      <w:tr w:rsidR="00111672" w:rsidRPr="009E7B2D" w:rsidTr="00111672">
        <w:trPr>
          <w:trHeight w:val="311"/>
        </w:trPr>
        <w:tc>
          <w:tcPr>
            <w:tcW w:w="4967"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lastRenderedPageBreak/>
              <w:t>5%</w:t>
            </w:r>
          </w:p>
        </w:tc>
        <w:tc>
          <w:tcPr>
            <w:tcW w:w="1399"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2.62</w:t>
            </w:r>
          </w:p>
        </w:tc>
        <w:tc>
          <w:tcPr>
            <w:tcW w:w="1083"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69"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3.79</w:t>
            </w:r>
          </w:p>
        </w:tc>
      </w:tr>
      <w:tr w:rsidR="00111672" w:rsidRPr="009E7B2D" w:rsidTr="00111672">
        <w:trPr>
          <w:trHeight w:val="326"/>
        </w:trPr>
        <w:tc>
          <w:tcPr>
            <w:tcW w:w="4967"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10%</w:t>
            </w:r>
          </w:p>
        </w:tc>
        <w:tc>
          <w:tcPr>
            <w:tcW w:w="1399"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2.26</w:t>
            </w:r>
          </w:p>
        </w:tc>
        <w:tc>
          <w:tcPr>
            <w:tcW w:w="1083"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69"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3.35</w:t>
            </w:r>
          </w:p>
        </w:tc>
      </w:tr>
    </w:tbl>
    <w:p w:rsidR="00111672" w:rsidRPr="009E7B2D" w:rsidRDefault="00111672" w:rsidP="009E7B2D">
      <w:pPr>
        <w:tabs>
          <w:tab w:val="left" w:pos="-270"/>
        </w:tabs>
        <w:spacing w:after="0" w:line="360" w:lineRule="auto"/>
        <w:ind w:left="-540"/>
        <w:jc w:val="both"/>
        <w:rPr>
          <w:rFonts w:ascii="Times New Roman" w:hAnsi="Times New Roman" w:cs="Times New Roman"/>
          <w:b/>
          <w:i/>
          <w:sz w:val="24"/>
          <w:szCs w:val="24"/>
        </w:rPr>
      </w:pPr>
      <w:r w:rsidRPr="009E7B2D">
        <w:rPr>
          <w:rFonts w:ascii="Times New Roman" w:hAnsi="Times New Roman" w:cs="Times New Roman"/>
          <w:b/>
          <w:sz w:val="24"/>
          <w:szCs w:val="24"/>
        </w:rPr>
        <w:t xml:space="preserve"> </w:t>
      </w:r>
      <w:r w:rsidRPr="009E7B2D">
        <w:rPr>
          <w:rFonts w:ascii="Times New Roman" w:hAnsi="Times New Roman" w:cs="Times New Roman"/>
          <w:b/>
          <w:sz w:val="24"/>
          <w:szCs w:val="24"/>
        </w:rPr>
        <w:tab/>
      </w:r>
      <w:r w:rsidRPr="009E7B2D">
        <w:rPr>
          <w:rFonts w:ascii="Times New Roman" w:hAnsi="Times New Roman" w:cs="Times New Roman"/>
          <w:b/>
          <w:sz w:val="24"/>
          <w:szCs w:val="24"/>
        </w:rPr>
        <w:tab/>
      </w:r>
    </w:p>
    <w:p w:rsidR="00E40E06" w:rsidRDefault="00E40E06" w:rsidP="009E7B2D">
      <w:pPr>
        <w:spacing w:after="0" w:line="360" w:lineRule="auto"/>
        <w:jc w:val="both"/>
        <w:rPr>
          <w:rFonts w:ascii="Times New Roman" w:eastAsiaTheme="minorEastAsia" w:hAnsi="Times New Roman" w:cs="Times New Roman"/>
          <w:b/>
          <w:sz w:val="24"/>
          <w:szCs w:val="24"/>
        </w:rPr>
      </w:pPr>
    </w:p>
    <w:p w:rsidR="00111672" w:rsidRPr="009E7B2D" w:rsidRDefault="00111672" w:rsidP="009E7B2D">
      <w:pPr>
        <w:spacing w:after="0" w:line="360" w:lineRule="auto"/>
        <w:jc w:val="both"/>
        <w:rPr>
          <w:rFonts w:ascii="Times New Roman" w:eastAsiaTheme="minorEastAsia" w:hAnsi="Times New Roman" w:cs="Times New Roman"/>
          <w:b/>
          <w:sz w:val="24"/>
          <w:szCs w:val="24"/>
        </w:rPr>
      </w:pPr>
      <w:r w:rsidRPr="009E7B2D">
        <w:rPr>
          <w:rFonts w:ascii="Times New Roman" w:eastAsiaTheme="minorEastAsia" w:hAnsi="Times New Roman" w:cs="Times New Roman"/>
          <w:b/>
          <w:sz w:val="24"/>
          <w:szCs w:val="24"/>
        </w:rPr>
        <w:t>Effect of Financial Development and domestic investment on economic growth in Nigeria</w:t>
      </w:r>
    </w:p>
    <w:p w:rsidR="00111672" w:rsidRPr="009E7B2D" w:rsidRDefault="00111672"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In the long run, the result revealed that financial development measured by credit to private sector as a share of GDP </w:t>
      </w:r>
      <w:r w:rsidRPr="009E7B2D">
        <w:rPr>
          <w:rFonts w:ascii="Times New Roman" w:hAnsi="Times New Roman" w:cs="Times New Roman"/>
          <w:i/>
          <w:sz w:val="24"/>
          <w:szCs w:val="24"/>
        </w:rPr>
        <w:t>(CPS)</w:t>
      </w:r>
      <w:r w:rsidRPr="009E7B2D">
        <w:rPr>
          <w:rFonts w:ascii="Times New Roman" w:hAnsi="Times New Roman" w:cs="Times New Roman"/>
          <w:sz w:val="24"/>
          <w:szCs w:val="24"/>
        </w:rPr>
        <w:t xml:space="preserve"> has a significant positive effect on economic growth in the long run with a coefficient value of 0.1173. This means that a percentage increase in credit to private sector as a share of GDP will lead to a 0.11 percent increase in economic growth in the long run. This result conform</w:t>
      </w:r>
      <w:r w:rsidR="009A6CA9" w:rsidRPr="009E7B2D">
        <w:rPr>
          <w:rFonts w:ascii="Times New Roman" w:hAnsi="Times New Roman" w:cs="Times New Roman"/>
          <w:sz w:val="24"/>
          <w:szCs w:val="24"/>
        </w:rPr>
        <w:t>s to the findings of Muhamme</w:t>
      </w:r>
      <w:r w:rsidR="002D641B" w:rsidRPr="009E7B2D">
        <w:rPr>
          <w:rFonts w:ascii="Times New Roman" w:hAnsi="Times New Roman" w:cs="Times New Roman"/>
          <w:sz w:val="24"/>
          <w:szCs w:val="24"/>
        </w:rPr>
        <w:t>d (2019</w:t>
      </w:r>
      <w:r w:rsidRPr="009E7B2D">
        <w:rPr>
          <w:rFonts w:ascii="Times New Roman" w:hAnsi="Times New Roman" w:cs="Times New Roman"/>
          <w:sz w:val="24"/>
          <w:szCs w:val="24"/>
        </w:rPr>
        <w:t>) which observed that financial development had a positive impact on economic growth in Nigeria. Also</w:t>
      </w:r>
      <w:r w:rsidRPr="009E7B2D">
        <w:rPr>
          <w:rFonts w:ascii="Times New Roman" w:hAnsi="Times New Roman" w:cs="Times New Roman"/>
          <w:iCs/>
          <w:sz w:val="24"/>
          <w:szCs w:val="24"/>
        </w:rPr>
        <w:t xml:space="preserve">, financial development measured by broad money supply as a share of GDP </w:t>
      </w:r>
      <w:r w:rsidRPr="009E7B2D">
        <w:rPr>
          <w:rFonts w:ascii="Times New Roman" w:hAnsi="Times New Roman" w:cs="Times New Roman"/>
          <w:i/>
          <w:iCs/>
          <w:sz w:val="24"/>
          <w:szCs w:val="24"/>
        </w:rPr>
        <w:t>(BMS)</w:t>
      </w:r>
      <w:r w:rsidRPr="009E7B2D">
        <w:rPr>
          <w:rFonts w:ascii="Times New Roman" w:hAnsi="Times New Roman" w:cs="Times New Roman"/>
          <w:iCs/>
          <w:sz w:val="24"/>
          <w:szCs w:val="24"/>
        </w:rPr>
        <w:t xml:space="preserve"> has a significant positive effect on economic growth in the long run with coefficient value of 0.0434 at 5 percent significance level. This means that a percentage increase in broad money supply as a share of GDP will lead to 0.04 percent increase in economic growth in the long run. </w:t>
      </w:r>
      <w:r w:rsidRPr="009E7B2D">
        <w:rPr>
          <w:rFonts w:ascii="Times New Roman" w:hAnsi="Times New Roman" w:cs="Times New Roman"/>
          <w:sz w:val="24"/>
          <w:szCs w:val="24"/>
        </w:rPr>
        <w:t xml:space="preserve">Furthermore, the results showed that domestic investment has a significant positive impact on economic growth. The coefficient value of 0.5095 implies that a one per cent increase in domestic investment will leads to 0.50 percent increase in economic growth. This result corroborates the findings of </w:t>
      </w:r>
      <w:proofErr w:type="spellStart"/>
      <w:r w:rsidRPr="009E7B2D">
        <w:rPr>
          <w:rFonts w:ascii="Times New Roman" w:hAnsi="Times New Roman" w:cs="Times New Roman"/>
          <w:sz w:val="24"/>
          <w:szCs w:val="24"/>
        </w:rPr>
        <w:t>Mgbemena</w:t>
      </w:r>
      <w:proofErr w:type="spellEnd"/>
      <w:r w:rsidRPr="009E7B2D">
        <w:rPr>
          <w:rFonts w:ascii="Times New Roman" w:hAnsi="Times New Roman" w:cs="Times New Roman"/>
          <w:sz w:val="24"/>
          <w:szCs w:val="24"/>
        </w:rPr>
        <w:t xml:space="preserve"> (2018) </w:t>
      </w:r>
      <w:r w:rsidRPr="009E7B2D">
        <w:rPr>
          <w:rFonts w:ascii="Times New Roman" w:eastAsia="HGMLD E+ MTSY" w:hAnsi="Times New Roman" w:cs="Times New Roman"/>
          <w:sz w:val="24"/>
          <w:szCs w:val="24"/>
        </w:rPr>
        <w:t xml:space="preserve">which found that </w:t>
      </w:r>
      <w:r w:rsidRPr="009E7B2D">
        <w:rPr>
          <w:rFonts w:ascii="Times New Roman" w:hAnsi="Times New Roman" w:cs="Times New Roman"/>
          <w:sz w:val="24"/>
          <w:szCs w:val="24"/>
        </w:rPr>
        <w:t>growth is largely driven by domestic investment</w:t>
      </w:r>
      <w:r w:rsidRPr="009E7B2D">
        <w:rPr>
          <w:rFonts w:ascii="Times New Roman" w:eastAsia="HGMLD E+ MTSY" w:hAnsi="Times New Roman" w:cs="Times New Roman"/>
          <w:sz w:val="24"/>
          <w:szCs w:val="24"/>
        </w:rPr>
        <w:t>.</w:t>
      </w:r>
      <w:r w:rsidRPr="009E7B2D">
        <w:rPr>
          <w:rFonts w:ascii="Times New Roman" w:hAnsi="Times New Roman" w:cs="Times New Roman"/>
          <w:sz w:val="24"/>
          <w:szCs w:val="24"/>
        </w:rPr>
        <w:t xml:space="preserve"> The result indicates that a one per cent increase in government spending (GOV) will enhance economic performance by 0.58 in the long run. However, real interest rate </w:t>
      </w:r>
      <w:r w:rsidRPr="009E7B2D">
        <w:rPr>
          <w:rFonts w:ascii="Times New Roman" w:hAnsi="Times New Roman" w:cs="Times New Roman"/>
          <w:i/>
          <w:sz w:val="24"/>
          <w:szCs w:val="24"/>
        </w:rPr>
        <w:t>(RIR)</w:t>
      </w:r>
      <w:r w:rsidRPr="009E7B2D">
        <w:rPr>
          <w:rFonts w:ascii="Times New Roman" w:hAnsi="Times New Roman" w:cs="Times New Roman"/>
          <w:sz w:val="24"/>
          <w:szCs w:val="24"/>
        </w:rPr>
        <w:t xml:space="preserve"> has a significant negative impact of economic growth both in the short and long run. The result indicates that a unit increase in real interest rate will retard economic growth by 0.7 and 2 percent both in the short and long run respectively. </w:t>
      </w:r>
    </w:p>
    <w:p w:rsidR="00111672" w:rsidRPr="009E7B2D" w:rsidRDefault="00111672" w:rsidP="009E7B2D">
      <w:pPr>
        <w:spacing w:line="360" w:lineRule="auto"/>
        <w:jc w:val="both"/>
        <w:rPr>
          <w:rFonts w:ascii="Times New Roman" w:eastAsia="OJMJC D+ MTSY" w:hAnsi="Times New Roman" w:cs="Times New Roman"/>
          <w:sz w:val="24"/>
          <w:szCs w:val="24"/>
        </w:rPr>
      </w:pPr>
      <w:r w:rsidRPr="009E7B2D">
        <w:rPr>
          <w:rFonts w:ascii="Times New Roman" w:hAnsi="Times New Roman" w:cs="Times New Roman"/>
          <w:sz w:val="24"/>
          <w:szCs w:val="24"/>
        </w:rPr>
        <w:t xml:space="preserve">In the short run, the result revealed that financial development measured by domestic credit to private sector as a share of GDP (CPS) has a significant positive effect on economic growth in the short run with a coefficient value of 0.0153 at 5 percent significance level. This means that a percentage increase in domestic credit to private sector as a share of GDP will lead to a 0.015 percent increase in economic growth in the short run. </w:t>
      </w:r>
      <w:r w:rsidRPr="009E7B2D">
        <w:rPr>
          <w:rFonts w:ascii="Times New Roman" w:hAnsi="Times New Roman" w:cs="Times New Roman"/>
          <w:iCs/>
          <w:sz w:val="24"/>
          <w:szCs w:val="24"/>
        </w:rPr>
        <w:t xml:space="preserve">On the other hand, financial development measured by broad money supply as a share of GDP (BMS) has an insignificant positive effect on economic growth in the short run with coefficient value of 0.0132. This means that a percentage </w:t>
      </w:r>
      <w:r w:rsidRPr="009E7B2D">
        <w:rPr>
          <w:rFonts w:ascii="Times New Roman" w:hAnsi="Times New Roman" w:cs="Times New Roman"/>
          <w:iCs/>
          <w:sz w:val="24"/>
          <w:szCs w:val="24"/>
        </w:rPr>
        <w:lastRenderedPageBreak/>
        <w:t xml:space="preserve">increase in money supply as a share of GDP will lead to 0.01 percent increase in economic growth in the short run. </w:t>
      </w:r>
      <w:r w:rsidRPr="009E7B2D">
        <w:rPr>
          <w:rFonts w:ascii="Times New Roman" w:hAnsi="Times New Roman" w:cs="Times New Roman"/>
          <w:sz w:val="24"/>
          <w:szCs w:val="24"/>
        </w:rPr>
        <w:t>This result</w:t>
      </w:r>
      <w:r w:rsidR="002D641B" w:rsidRPr="009E7B2D">
        <w:rPr>
          <w:rFonts w:ascii="Times New Roman" w:hAnsi="Times New Roman" w:cs="Times New Roman"/>
          <w:sz w:val="24"/>
          <w:szCs w:val="24"/>
        </w:rPr>
        <w:t xml:space="preserve"> negates the findings of </w:t>
      </w:r>
      <w:proofErr w:type="spellStart"/>
      <w:r w:rsidR="002D641B" w:rsidRPr="009E7B2D">
        <w:rPr>
          <w:rFonts w:ascii="Times New Roman" w:hAnsi="Times New Roman" w:cs="Times New Roman"/>
          <w:sz w:val="24"/>
          <w:szCs w:val="24"/>
        </w:rPr>
        <w:t>Ajayi</w:t>
      </w:r>
      <w:proofErr w:type="spellEnd"/>
      <w:r w:rsidRPr="009E7B2D">
        <w:rPr>
          <w:rFonts w:ascii="Times New Roman" w:hAnsi="Times New Roman" w:cs="Times New Roman"/>
          <w:sz w:val="24"/>
          <w:szCs w:val="24"/>
        </w:rPr>
        <w:t xml:space="preserve"> </w:t>
      </w:r>
      <w:r w:rsidRPr="009E7B2D">
        <w:rPr>
          <w:rFonts w:ascii="Times New Roman" w:hAnsi="Times New Roman" w:cs="Times New Roman"/>
          <w:i/>
          <w:sz w:val="24"/>
          <w:szCs w:val="24"/>
        </w:rPr>
        <w:t>et al</w:t>
      </w:r>
      <w:r w:rsidR="002D641B" w:rsidRPr="009E7B2D">
        <w:rPr>
          <w:rFonts w:ascii="Times New Roman" w:hAnsi="Times New Roman" w:cs="Times New Roman"/>
          <w:sz w:val="24"/>
          <w:szCs w:val="24"/>
        </w:rPr>
        <w:t xml:space="preserve"> (2022</w:t>
      </w:r>
      <w:r w:rsidRPr="009E7B2D">
        <w:rPr>
          <w:rFonts w:ascii="Times New Roman" w:hAnsi="Times New Roman" w:cs="Times New Roman"/>
          <w:sz w:val="24"/>
          <w:szCs w:val="24"/>
        </w:rPr>
        <w:t>)</w:t>
      </w:r>
      <w:r w:rsidRPr="009E7B2D">
        <w:rPr>
          <w:rFonts w:ascii="Times New Roman" w:eastAsia="OJMJC D+ MTSY" w:hAnsi="Times New Roman" w:cs="Times New Roman"/>
          <w:sz w:val="24"/>
          <w:szCs w:val="24"/>
        </w:rPr>
        <w:t xml:space="preserve"> who found a negative impact of financial development on economic growth.</w:t>
      </w:r>
    </w:p>
    <w:p w:rsidR="00111672" w:rsidRPr="009E7B2D" w:rsidRDefault="00111672" w:rsidP="009E7B2D">
      <w:pPr>
        <w:spacing w:line="360" w:lineRule="auto"/>
        <w:jc w:val="both"/>
        <w:rPr>
          <w:rFonts w:ascii="Times New Roman" w:eastAsia="OJMJC D+ MTSY" w:hAnsi="Times New Roman" w:cs="Times New Roman"/>
          <w:sz w:val="24"/>
          <w:szCs w:val="24"/>
        </w:rPr>
      </w:pPr>
      <w:r w:rsidRPr="009E7B2D">
        <w:rPr>
          <w:rFonts w:ascii="Times New Roman" w:hAnsi="Times New Roman" w:cs="Times New Roman"/>
          <w:sz w:val="24"/>
          <w:szCs w:val="24"/>
        </w:rPr>
        <w:t xml:space="preserve">With respect to the effect of domestic investment on economic growth, the results showed that domestic investment has a significant positive impact on economic growth. The coefficient value of 0.1555 implies that a one per cent increase in domestic investment will lead to 0.15 percent increase in economic growth in the short run. This implies that the growth of domestic investment has not been enough to generate sizeable growth in the economy. </w:t>
      </w:r>
      <w:r w:rsidRPr="009E7B2D">
        <w:rPr>
          <w:rFonts w:ascii="Times New Roman" w:eastAsia="OJMJC D+ MTSY" w:hAnsi="Times New Roman" w:cs="Times New Roman"/>
          <w:sz w:val="24"/>
          <w:szCs w:val="24"/>
        </w:rPr>
        <w:t xml:space="preserve">The result indicates that a per cent increase in government spending will enhance economic performance by 0.17 per cent in the short run. </w:t>
      </w:r>
    </w:p>
    <w:p w:rsidR="00111672" w:rsidRPr="009E7B2D" w:rsidRDefault="00111672" w:rsidP="009E7B2D">
      <w:pPr>
        <w:spacing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The coefficient of the error correction term or the speed of adjustment towards equilibrium is -0.3053, indicating that 30.53 percent of the disequilibrium in economic growth </w:t>
      </w:r>
      <w:r w:rsidRPr="009E7B2D">
        <w:rPr>
          <w:rFonts w:ascii="Times New Roman" w:hAnsi="Times New Roman" w:cs="Times New Roman"/>
          <w:i/>
          <w:sz w:val="24"/>
          <w:szCs w:val="24"/>
        </w:rPr>
        <w:t>(LGDP)</w:t>
      </w:r>
      <w:r w:rsidRPr="009E7B2D">
        <w:rPr>
          <w:rFonts w:ascii="Times New Roman" w:hAnsi="Times New Roman" w:cs="Times New Roman"/>
          <w:sz w:val="24"/>
          <w:szCs w:val="24"/>
        </w:rPr>
        <w:t xml:space="preserve"> will be corrected in the previous period. Hence, economic growth adjusts to restore about 30.53 percent of its disequilibrium yearly. Lastly, </w:t>
      </w:r>
      <w:proofErr w:type="gramStart"/>
      <w:r w:rsidRPr="009E7B2D">
        <w:rPr>
          <w:rFonts w:ascii="Times New Roman" w:hAnsi="Times New Roman" w:cs="Times New Roman"/>
          <w:sz w:val="24"/>
          <w:szCs w:val="24"/>
        </w:rPr>
        <w:t xml:space="preserve">the </w:t>
      </w:r>
      <w:r w:rsidR="0094205E" w:rsidRPr="009E7B2D">
        <w:rPr>
          <w:rFonts w:ascii="Times New Roman" w:hAnsi="Times New Roman" w:cs="Times New Roman"/>
          <w:noProof/>
          <w:position w:val="-4"/>
          <w:sz w:val="24"/>
          <w:szCs w:val="24"/>
        </w:rPr>
        <w:object w:dxaOrig="315" w:dyaOrig="300">
          <v:shape id="_x0000_i1037" type="#_x0000_t75" style="width:15pt;height:15pt" o:ole="">
            <v:imagedata r:id="rId30" o:title=""/>
          </v:shape>
          <o:OLEObject Type="Embed" ProgID="Equation.DSMT4" ShapeID="_x0000_i1037" DrawAspect="Content" ObjectID="_1844834681" r:id="rId31"/>
        </w:object>
      </w:r>
      <w:r w:rsidRPr="009E7B2D">
        <w:rPr>
          <w:rFonts w:ascii="Times New Roman" w:hAnsi="Times New Roman" w:cs="Times New Roman"/>
          <w:sz w:val="24"/>
          <w:szCs w:val="24"/>
        </w:rPr>
        <w:t xml:space="preserve"> of</w:t>
      </w:r>
      <w:proofErr w:type="gramEnd"/>
      <w:r w:rsidRPr="009E7B2D">
        <w:rPr>
          <w:rFonts w:ascii="Times New Roman" w:hAnsi="Times New Roman" w:cs="Times New Roman"/>
          <w:sz w:val="24"/>
          <w:szCs w:val="24"/>
        </w:rPr>
        <w:t xml:space="preserve"> 0.9289 indicates that about 93% of total variation in the dependent variable (</w:t>
      </w:r>
      <w:r w:rsidRPr="009E7B2D">
        <w:rPr>
          <w:rFonts w:ascii="Times New Roman" w:hAnsi="Times New Roman" w:cs="Times New Roman"/>
          <w:i/>
          <w:sz w:val="24"/>
          <w:szCs w:val="24"/>
        </w:rPr>
        <w:t>LGDP</w:t>
      </w:r>
      <w:r w:rsidRPr="009E7B2D">
        <w:rPr>
          <w:rFonts w:ascii="Times New Roman" w:hAnsi="Times New Roman" w:cs="Times New Roman"/>
          <w:sz w:val="24"/>
          <w:szCs w:val="24"/>
        </w:rPr>
        <w:t>) is accounted for by the explanatory variables (</w:t>
      </w:r>
      <w:r w:rsidRPr="009E7B2D">
        <w:rPr>
          <w:rFonts w:ascii="Times New Roman" w:hAnsi="Times New Roman" w:cs="Times New Roman"/>
          <w:i/>
          <w:sz w:val="24"/>
          <w:szCs w:val="24"/>
        </w:rPr>
        <w:t>CPS, BMS, LINV, LGE and RIR</w:t>
      </w:r>
      <w:r w:rsidRPr="009E7B2D">
        <w:rPr>
          <w:rFonts w:ascii="Times New Roman" w:hAnsi="Times New Roman" w:cs="Times New Roman"/>
          <w:sz w:val="24"/>
          <w:szCs w:val="24"/>
        </w:rPr>
        <w:t>). Thus, the regression has a good fit. Also, F-statistics (F=3585.438) which measures overall significance of the model indicates that all the estimated regression coefficients are highly significantly different from zero.</w:t>
      </w:r>
    </w:p>
    <w:tbl>
      <w:tblPr>
        <w:tblW w:w="8940" w:type="dxa"/>
        <w:tblLook w:val="04A0" w:firstRow="1" w:lastRow="0" w:firstColumn="1" w:lastColumn="0" w:noHBand="0" w:noVBand="1"/>
      </w:tblPr>
      <w:tblGrid>
        <w:gridCol w:w="2574"/>
        <w:gridCol w:w="486"/>
        <w:gridCol w:w="396"/>
        <w:gridCol w:w="1600"/>
        <w:gridCol w:w="2100"/>
        <w:gridCol w:w="1761"/>
        <w:gridCol w:w="23"/>
      </w:tblGrid>
      <w:tr w:rsidR="00111672" w:rsidRPr="009E7B2D" w:rsidTr="002D641B">
        <w:trPr>
          <w:gridAfter w:val="1"/>
          <w:wAfter w:w="23" w:type="dxa"/>
          <w:trHeight w:val="345"/>
        </w:trPr>
        <w:tc>
          <w:tcPr>
            <w:tcW w:w="8917" w:type="dxa"/>
            <w:gridSpan w:val="6"/>
            <w:noWrap/>
            <w:vAlign w:val="bottom"/>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r w:rsidRPr="009E7B2D">
              <w:rPr>
                <w:rFonts w:ascii="Times New Roman" w:eastAsia="Times New Roman" w:hAnsi="Times New Roman" w:cs="Times New Roman"/>
                <w:b/>
                <w:color w:val="000000"/>
                <w:sz w:val="24"/>
                <w:szCs w:val="24"/>
              </w:rPr>
              <w:t>Table 6: ARDL Result of the effect of Fin Dev and Investment on Economic Growth</w:t>
            </w:r>
          </w:p>
        </w:tc>
      </w:tr>
      <w:tr w:rsidR="00111672" w:rsidRPr="009E7B2D" w:rsidTr="002D641B">
        <w:trPr>
          <w:trHeight w:val="345"/>
        </w:trPr>
        <w:tc>
          <w:tcPr>
            <w:tcW w:w="3060" w:type="dxa"/>
            <w:gridSpan w:val="2"/>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Dependent Variable: LGDP</w:t>
            </w:r>
          </w:p>
        </w:tc>
        <w:tc>
          <w:tcPr>
            <w:tcW w:w="396" w:type="dxa"/>
            <w:tcBorders>
              <w:top w:val="single" w:sz="18" w:space="0" w:color="auto"/>
              <w:left w:val="nil"/>
              <w:bottom w:val="nil"/>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600" w:type="dxa"/>
            <w:tcBorders>
              <w:top w:val="single" w:sz="18"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3884" w:type="dxa"/>
            <w:gridSpan w:val="3"/>
            <w:tcBorders>
              <w:top w:val="single" w:sz="18"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AIC: ARDL(1,1,1,1,1,1)</w:t>
            </w:r>
          </w:p>
        </w:tc>
      </w:tr>
      <w:tr w:rsidR="00111672" w:rsidRPr="009E7B2D" w:rsidTr="002D641B">
        <w:trPr>
          <w:trHeight w:val="345"/>
        </w:trPr>
        <w:tc>
          <w:tcPr>
            <w:tcW w:w="2574" w:type="dxa"/>
            <w:tcBorders>
              <w:top w:val="single" w:sz="4" w:space="0" w:color="auto"/>
              <w:left w:val="nil"/>
              <w:bottom w:val="single" w:sz="18" w:space="0" w:color="auto"/>
              <w:right w:val="nil"/>
            </w:tcBorders>
            <w:noWrap/>
            <w:vAlign w:val="bottom"/>
            <w:hideMark/>
          </w:tcPr>
          <w:p w:rsidR="00111672" w:rsidRPr="009E7B2D" w:rsidRDefault="00111672" w:rsidP="009E7B2D">
            <w:pPr>
              <w:spacing w:after="0" w:line="360" w:lineRule="auto"/>
              <w:ind w:right="36"/>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Variable</w:t>
            </w:r>
          </w:p>
        </w:tc>
        <w:tc>
          <w:tcPr>
            <w:tcW w:w="486"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396"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0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Coefficient</w:t>
            </w:r>
          </w:p>
        </w:tc>
        <w:tc>
          <w:tcPr>
            <w:tcW w:w="210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t-Statistics</w:t>
            </w:r>
          </w:p>
        </w:tc>
        <w:tc>
          <w:tcPr>
            <w:tcW w:w="1784" w:type="dxa"/>
            <w:gridSpan w:val="2"/>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p-value</w:t>
            </w:r>
          </w:p>
        </w:tc>
      </w:tr>
      <w:tr w:rsidR="00111672" w:rsidRPr="009E7B2D" w:rsidTr="002D641B">
        <w:trPr>
          <w:trHeight w:val="345"/>
        </w:trPr>
        <w:tc>
          <w:tcPr>
            <w:tcW w:w="2574"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r w:rsidRPr="009E7B2D">
              <w:rPr>
                <w:rFonts w:ascii="Times New Roman" w:eastAsia="Times New Roman" w:hAnsi="Times New Roman" w:cs="Times New Roman"/>
                <w:b/>
                <w:color w:val="000000"/>
                <w:sz w:val="24"/>
                <w:szCs w:val="24"/>
              </w:rPr>
              <w:t>Long-run Estimate</w:t>
            </w:r>
          </w:p>
        </w:tc>
        <w:tc>
          <w:tcPr>
            <w:tcW w:w="486" w:type="dxa"/>
            <w:tcBorders>
              <w:top w:val="single" w:sz="18" w:space="0" w:color="auto"/>
              <w:left w:val="nil"/>
              <w:bottom w:val="nil"/>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b/>
                <w:color w:val="000000"/>
                <w:sz w:val="24"/>
                <w:szCs w:val="24"/>
              </w:rPr>
            </w:pPr>
          </w:p>
        </w:tc>
        <w:tc>
          <w:tcPr>
            <w:tcW w:w="396"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210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784" w:type="dxa"/>
            <w:gridSpan w:val="2"/>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r>
      <w:tr w:rsidR="00111672" w:rsidRPr="009E7B2D" w:rsidTr="002D641B">
        <w:trPr>
          <w:trHeight w:val="345"/>
        </w:trPr>
        <w:tc>
          <w:tcPr>
            <w:tcW w:w="2574" w:type="dxa"/>
            <w:noWrap/>
            <w:vAlign w:val="bottom"/>
            <w:hideMark/>
          </w:tcPr>
          <w:p w:rsidR="00111672" w:rsidRPr="009E7B2D" w:rsidRDefault="00111672" w:rsidP="009E7B2D">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CPS</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0.1173</w:t>
            </w:r>
          </w:p>
        </w:tc>
        <w:tc>
          <w:tcPr>
            <w:tcW w:w="2100" w:type="dxa"/>
            <w:noWrap/>
            <w:vAlign w:val="center"/>
            <w:hideMark/>
          </w:tcPr>
          <w:p w:rsidR="00111672" w:rsidRPr="009E7B2D" w:rsidRDefault="00111672" w:rsidP="009E7B2D">
            <w:pPr>
              <w:spacing w:after="0" w:line="360" w:lineRule="auto"/>
              <w:ind w:left="21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6.0236</w:t>
            </w:r>
          </w:p>
        </w:tc>
        <w:tc>
          <w:tcPr>
            <w:tcW w:w="1784" w:type="dxa"/>
            <w:gridSpan w:val="2"/>
            <w:noWrap/>
            <w:vAlign w:val="center"/>
            <w:hideMark/>
          </w:tcPr>
          <w:p w:rsidR="00111672" w:rsidRPr="009E7B2D" w:rsidRDefault="00111672" w:rsidP="009E7B2D">
            <w:pPr>
              <w:spacing w:after="0" w:line="360" w:lineRule="auto"/>
              <w:ind w:left="54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0.0003*</w:t>
            </w:r>
          </w:p>
        </w:tc>
      </w:tr>
      <w:tr w:rsidR="00111672" w:rsidRPr="009E7B2D" w:rsidTr="002D641B">
        <w:trPr>
          <w:trHeight w:val="330"/>
        </w:trPr>
        <w:tc>
          <w:tcPr>
            <w:tcW w:w="2574" w:type="dxa"/>
            <w:noWrap/>
            <w:vAlign w:val="bottom"/>
            <w:hideMark/>
          </w:tcPr>
          <w:p w:rsidR="00111672" w:rsidRPr="009E7B2D" w:rsidRDefault="00111672" w:rsidP="009E7B2D">
            <w:pPr>
              <w:autoSpaceDE w:val="0"/>
              <w:autoSpaceDN w:val="0"/>
              <w:adjustRightInd w:val="0"/>
              <w:spacing w:after="0" w:line="360" w:lineRule="auto"/>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BMS</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lang w:eastAsia="fr-FR"/>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0.0434</w:t>
            </w:r>
          </w:p>
        </w:tc>
        <w:tc>
          <w:tcPr>
            <w:tcW w:w="2100" w:type="dxa"/>
            <w:noWrap/>
            <w:vAlign w:val="center"/>
            <w:hideMark/>
          </w:tcPr>
          <w:p w:rsidR="00111672" w:rsidRPr="009E7B2D" w:rsidRDefault="00111672" w:rsidP="009E7B2D">
            <w:pPr>
              <w:spacing w:after="0" w:line="360" w:lineRule="auto"/>
              <w:ind w:left="21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 xml:space="preserve">        2.2232</w:t>
            </w:r>
          </w:p>
        </w:tc>
        <w:tc>
          <w:tcPr>
            <w:tcW w:w="1784" w:type="dxa"/>
            <w:gridSpan w:val="2"/>
            <w:noWrap/>
            <w:vAlign w:val="center"/>
            <w:hideMark/>
          </w:tcPr>
          <w:p w:rsidR="00111672" w:rsidRPr="009E7B2D" w:rsidRDefault="00111672" w:rsidP="009E7B2D">
            <w:pPr>
              <w:spacing w:after="0" w:line="360" w:lineRule="auto"/>
              <w:ind w:left="54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0.0368*</w:t>
            </w:r>
          </w:p>
        </w:tc>
      </w:tr>
      <w:tr w:rsidR="00111672" w:rsidRPr="009E7B2D" w:rsidTr="002D641B">
        <w:trPr>
          <w:trHeight w:val="315"/>
        </w:trPr>
        <w:tc>
          <w:tcPr>
            <w:tcW w:w="2574" w:type="dxa"/>
            <w:noWrap/>
            <w:vAlign w:val="bottom"/>
            <w:hideMark/>
          </w:tcPr>
          <w:p w:rsidR="00111672" w:rsidRPr="009E7B2D" w:rsidRDefault="00111672" w:rsidP="009E7B2D">
            <w:pPr>
              <w:autoSpaceDE w:val="0"/>
              <w:autoSpaceDN w:val="0"/>
              <w:adjustRightInd w:val="0"/>
              <w:spacing w:after="0" w:line="360" w:lineRule="auto"/>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LINV</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lang w:eastAsia="fr-FR"/>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0.5095</w:t>
            </w:r>
          </w:p>
        </w:tc>
        <w:tc>
          <w:tcPr>
            <w:tcW w:w="2100" w:type="dxa"/>
            <w:noWrap/>
            <w:vAlign w:val="center"/>
            <w:hideMark/>
          </w:tcPr>
          <w:p w:rsidR="00111672" w:rsidRPr="009E7B2D" w:rsidRDefault="00111672" w:rsidP="009E7B2D">
            <w:pPr>
              <w:spacing w:after="0" w:line="360" w:lineRule="auto"/>
              <w:ind w:left="21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4.6404</w:t>
            </w:r>
          </w:p>
        </w:tc>
        <w:tc>
          <w:tcPr>
            <w:tcW w:w="1784" w:type="dxa"/>
            <w:gridSpan w:val="2"/>
            <w:noWrap/>
            <w:vAlign w:val="center"/>
            <w:hideMark/>
          </w:tcPr>
          <w:p w:rsidR="00111672" w:rsidRPr="009E7B2D" w:rsidRDefault="00111672" w:rsidP="009E7B2D">
            <w:pPr>
              <w:spacing w:after="0" w:line="360" w:lineRule="auto"/>
              <w:ind w:left="54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0.0001*</w:t>
            </w:r>
          </w:p>
        </w:tc>
      </w:tr>
      <w:tr w:rsidR="00111672" w:rsidRPr="009E7B2D" w:rsidTr="002D641B">
        <w:trPr>
          <w:trHeight w:val="315"/>
        </w:trPr>
        <w:tc>
          <w:tcPr>
            <w:tcW w:w="2574" w:type="dxa"/>
            <w:noWrap/>
            <w:vAlign w:val="bottom"/>
            <w:hideMark/>
          </w:tcPr>
          <w:p w:rsidR="00111672" w:rsidRPr="009E7B2D" w:rsidRDefault="00111672" w:rsidP="009E7B2D">
            <w:pPr>
              <w:autoSpaceDE w:val="0"/>
              <w:autoSpaceDN w:val="0"/>
              <w:adjustRightInd w:val="0"/>
              <w:spacing w:after="0" w:line="360" w:lineRule="auto"/>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LGE</w:t>
            </w:r>
          </w:p>
        </w:tc>
        <w:tc>
          <w:tcPr>
            <w:tcW w:w="486" w:type="dxa"/>
            <w:noWrap/>
            <w:vAlign w:val="bottom"/>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p>
        </w:tc>
        <w:tc>
          <w:tcPr>
            <w:tcW w:w="396" w:type="dxa"/>
            <w:noWrap/>
            <w:vAlign w:val="bottom"/>
          </w:tcPr>
          <w:p w:rsidR="00111672" w:rsidRPr="009E7B2D" w:rsidRDefault="00111672" w:rsidP="009E7B2D">
            <w:pPr>
              <w:spacing w:after="0" w:line="360" w:lineRule="auto"/>
              <w:jc w:val="both"/>
              <w:rPr>
                <w:rFonts w:ascii="Times New Roman" w:eastAsia="Calibri" w:hAnsi="Times New Roman" w:cs="Times New Roman"/>
                <w:sz w:val="24"/>
                <w:szCs w:val="24"/>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0.5857</w:t>
            </w:r>
          </w:p>
        </w:tc>
        <w:tc>
          <w:tcPr>
            <w:tcW w:w="2100" w:type="dxa"/>
            <w:noWrap/>
            <w:vAlign w:val="center"/>
            <w:hideMark/>
          </w:tcPr>
          <w:p w:rsidR="00111672" w:rsidRPr="009E7B2D" w:rsidRDefault="00111672" w:rsidP="009E7B2D">
            <w:pPr>
              <w:spacing w:after="0" w:line="360" w:lineRule="auto"/>
              <w:ind w:left="21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4.9666</w:t>
            </w:r>
          </w:p>
        </w:tc>
        <w:tc>
          <w:tcPr>
            <w:tcW w:w="1784" w:type="dxa"/>
            <w:gridSpan w:val="2"/>
            <w:noWrap/>
            <w:vAlign w:val="center"/>
            <w:hideMark/>
          </w:tcPr>
          <w:p w:rsidR="00111672" w:rsidRPr="009E7B2D" w:rsidRDefault="00111672" w:rsidP="009E7B2D">
            <w:pPr>
              <w:spacing w:after="0" w:line="360" w:lineRule="auto"/>
              <w:ind w:left="54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0.0001*</w:t>
            </w:r>
          </w:p>
        </w:tc>
      </w:tr>
      <w:tr w:rsidR="00111672" w:rsidRPr="009E7B2D" w:rsidTr="002D641B">
        <w:trPr>
          <w:trHeight w:val="315"/>
        </w:trPr>
        <w:tc>
          <w:tcPr>
            <w:tcW w:w="2574" w:type="dxa"/>
            <w:noWrap/>
            <w:vAlign w:val="bottom"/>
            <w:hideMark/>
          </w:tcPr>
          <w:p w:rsidR="00111672" w:rsidRPr="009E7B2D" w:rsidRDefault="00111672" w:rsidP="009E7B2D">
            <w:pPr>
              <w:autoSpaceDE w:val="0"/>
              <w:autoSpaceDN w:val="0"/>
              <w:adjustRightInd w:val="0"/>
              <w:spacing w:after="0" w:line="360" w:lineRule="auto"/>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RIR</w:t>
            </w:r>
          </w:p>
        </w:tc>
        <w:tc>
          <w:tcPr>
            <w:tcW w:w="486" w:type="dxa"/>
            <w:noWrap/>
            <w:vAlign w:val="bottom"/>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p>
        </w:tc>
        <w:tc>
          <w:tcPr>
            <w:tcW w:w="396" w:type="dxa"/>
            <w:noWrap/>
            <w:vAlign w:val="bottom"/>
          </w:tcPr>
          <w:p w:rsidR="00111672" w:rsidRPr="009E7B2D" w:rsidRDefault="00111672" w:rsidP="009E7B2D">
            <w:pPr>
              <w:spacing w:after="0" w:line="360" w:lineRule="auto"/>
              <w:jc w:val="both"/>
              <w:rPr>
                <w:rFonts w:ascii="Times New Roman" w:eastAsia="Calibri" w:hAnsi="Times New Roman" w:cs="Times New Roman"/>
                <w:sz w:val="24"/>
                <w:szCs w:val="24"/>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-0.0254</w:t>
            </w:r>
          </w:p>
        </w:tc>
        <w:tc>
          <w:tcPr>
            <w:tcW w:w="2100" w:type="dxa"/>
            <w:noWrap/>
            <w:vAlign w:val="center"/>
            <w:hideMark/>
          </w:tcPr>
          <w:p w:rsidR="00111672" w:rsidRPr="009E7B2D" w:rsidRDefault="00111672" w:rsidP="009E7B2D">
            <w:pPr>
              <w:spacing w:after="0" w:line="360" w:lineRule="auto"/>
              <w:ind w:left="21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-2.7286</w:t>
            </w:r>
          </w:p>
        </w:tc>
        <w:tc>
          <w:tcPr>
            <w:tcW w:w="1784" w:type="dxa"/>
            <w:gridSpan w:val="2"/>
            <w:noWrap/>
            <w:vAlign w:val="center"/>
            <w:hideMark/>
          </w:tcPr>
          <w:p w:rsidR="00111672" w:rsidRPr="009E7B2D" w:rsidRDefault="00111672" w:rsidP="009E7B2D">
            <w:pPr>
              <w:spacing w:after="0" w:line="360" w:lineRule="auto"/>
              <w:ind w:left="54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0.0123**</w:t>
            </w:r>
          </w:p>
        </w:tc>
      </w:tr>
      <w:tr w:rsidR="00111672" w:rsidRPr="009E7B2D" w:rsidTr="002D641B">
        <w:trPr>
          <w:trHeight w:val="330"/>
        </w:trPr>
        <w:tc>
          <w:tcPr>
            <w:tcW w:w="2574" w:type="dxa"/>
            <w:tcBorders>
              <w:top w:val="nil"/>
              <w:left w:val="nil"/>
              <w:bottom w:val="single" w:sz="18" w:space="0" w:color="auto"/>
              <w:right w:val="nil"/>
            </w:tcBorders>
            <w:noWrap/>
            <w:vAlign w:val="bottom"/>
            <w:hideMark/>
          </w:tcPr>
          <w:p w:rsidR="00111672" w:rsidRPr="009E7B2D" w:rsidRDefault="00111672" w:rsidP="009E7B2D">
            <w:pPr>
              <w:autoSpaceDE w:val="0"/>
              <w:autoSpaceDN w:val="0"/>
              <w:adjustRightInd w:val="0"/>
              <w:spacing w:after="0" w:line="360" w:lineRule="auto"/>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lastRenderedPageBreak/>
              <w:t xml:space="preserve"> C</w:t>
            </w:r>
          </w:p>
        </w:tc>
        <w:tc>
          <w:tcPr>
            <w:tcW w:w="486" w:type="dxa"/>
            <w:tcBorders>
              <w:top w:val="nil"/>
              <w:left w:val="nil"/>
              <w:bottom w:val="single" w:sz="18" w:space="0" w:color="auto"/>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lang w:eastAsia="fr-FR"/>
              </w:rPr>
            </w:pPr>
          </w:p>
        </w:tc>
        <w:tc>
          <w:tcPr>
            <w:tcW w:w="396"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 xml:space="preserve">      -2.8557</w:t>
            </w:r>
          </w:p>
        </w:tc>
        <w:tc>
          <w:tcPr>
            <w:tcW w:w="210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ind w:left="21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10.1949</w:t>
            </w:r>
          </w:p>
        </w:tc>
        <w:tc>
          <w:tcPr>
            <w:tcW w:w="1784" w:type="dxa"/>
            <w:gridSpan w:val="2"/>
            <w:tcBorders>
              <w:top w:val="nil"/>
              <w:left w:val="nil"/>
              <w:bottom w:val="single" w:sz="18" w:space="0" w:color="auto"/>
              <w:right w:val="nil"/>
            </w:tcBorders>
            <w:noWrap/>
            <w:vAlign w:val="center"/>
            <w:hideMark/>
          </w:tcPr>
          <w:p w:rsidR="00111672" w:rsidRPr="009E7B2D" w:rsidRDefault="00111672" w:rsidP="009E7B2D">
            <w:pPr>
              <w:spacing w:after="0" w:line="360" w:lineRule="auto"/>
              <w:ind w:left="540"/>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0.0000*</w:t>
            </w:r>
          </w:p>
        </w:tc>
      </w:tr>
      <w:tr w:rsidR="00111672" w:rsidRPr="009E7B2D" w:rsidTr="002D641B">
        <w:trPr>
          <w:trHeight w:val="315"/>
        </w:trPr>
        <w:tc>
          <w:tcPr>
            <w:tcW w:w="3060" w:type="dxa"/>
            <w:gridSpan w:val="2"/>
            <w:tcBorders>
              <w:top w:val="single" w:sz="18" w:space="0" w:color="auto"/>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color w:val="000000"/>
                <w:sz w:val="24"/>
                <w:szCs w:val="24"/>
              </w:rPr>
            </w:pPr>
            <w:r w:rsidRPr="009E7B2D">
              <w:rPr>
                <w:rFonts w:ascii="Times New Roman" w:eastAsia="Times New Roman" w:hAnsi="Times New Roman" w:cs="Times New Roman"/>
                <w:b/>
                <w:color w:val="000000"/>
                <w:sz w:val="24"/>
                <w:szCs w:val="24"/>
              </w:rPr>
              <w:t>Short-run Estimate</w:t>
            </w:r>
          </w:p>
        </w:tc>
        <w:tc>
          <w:tcPr>
            <w:tcW w:w="396" w:type="dxa"/>
            <w:tcBorders>
              <w:top w:val="single" w:sz="18" w:space="0" w:color="auto"/>
              <w:left w:val="nil"/>
              <w:bottom w:val="single" w:sz="18" w:space="0" w:color="auto"/>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b/>
                <w:color w:val="000000"/>
                <w:sz w:val="24"/>
                <w:szCs w:val="24"/>
              </w:rPr>
            </w:pPr>
          </w:p>
        </w:tc>
        <w:tc>
          <w:tcPr>
            <w:tcW w:w="160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2100" w:type="dxa"/>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784" w:type="dxa"/>
            <w:gridSpan w:val="2"/>
            <w:tcBorders>
              <w:top w:val="single" w:sz="18" w:space="0" w:color="auto"/>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r>
      <w:tr w:rsidR="00111672" w:rsidRPr="009E7B2D" w:rsidTr="002D641B">
        <w:trPr>
          <w:trHeight w:val="315"/>
        </w:trPr>
        <w:tc>
          <w:tcPr>
            <w:tcW w:w="2574" w:type="dxa"/>
            <w:tcBorders>
              <w:top w:val="single" w:sz="18" w:space="0" w:color="auto"/>
              <w:left w:val="nil"/>
              <w:bottom w:val="nil"/>
              <w:right w:val="nil"/>
            </w:tcBorders>
            <w:noWrap/>
            <w:vAlign w:val="bottom"/>
            <w:hideMark/>
          </w:tcPr>
          <w:p w:rsidR="00111672" w:rsidRPr="009E7B2D" w:rsidRDefault="0094205E"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hAnsi="Times New Roman" w:cs="Times New Roman"/>
                <w:noProof/>
                <w:position w:val="-4"/>
                <w:sz w:val="24"/>
                <w:szCs w:val="24"/>
              </w:rPr>
              <w:object w:dxaOrig="225" w:dyaOrig="255">
                <v:shape id="_x0000_i1038" type="#_x0000_t75" style="width:11.25pt;height:12.75pt" o:ole="">
                  <v:imagedata r:id="rId32" o:title=""/>
                </v:shape>
                <o:OLEObject Type="Embed" ProgID="Equation.DSMT4" ShapeID="_x0000_i1038" DrawAspect="Content" ObjectID="_1844834682" r:id="rId33"/>
              </w:object>
            </w:r>
            <w:r w:rsidR="00111672" w:rsidRPr="009E7B2D">
              <w:rPr>
                <w:rFonts w:ascii="Times New Roman" w:eastAsia="Times New Roman" w:hAnsi="Times New Roman" w:cs="Times New Roman"/>
                <w:color w:val="000000"/>
                <w:sz w:val="24"/>
                <w:szCs w:val="24"/>
                <w:lang w:eastAsia="fr-FR"/>
              </w:rPr>
              <w:t>CPS</w:t>
            </w:r>
          </w:p>
        </w:tc>
        <w:tc>
          <w:tcPr>
            <w:tcW w:w="486" w:type="dxa"/>
            <w:tcBorders>
              <w:top w:val="single" w:sz="18" w:space="0" w:color="auto"/>
              <w:left w:val="nil"/>
              <w:bottom w:val="nil"/>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0.0153</w:t>
            </w:r>
          </w:p>
        </w:tc>
        <w:tc>
          <w:tcPr>
            <w:tcW w:w="2100" w:type="dxa"/>
            <w:tcBorders>
              <w:top w:val="single" w:sz="18" w:space="0" w:color="auto"/>
              <w:left w:val="nil"/>
              <w:bottom w:val="nil"/>
              <w:right w:val="nil"/>
            </w:tcBorders>
            <w:noWrap/>
            <w:vAlign w:val="center"/>
            <w:hideMark/>
          </w:tcPr>
          <w:p w:rsidR="00111672" w:rsidRPr="009E7B2D" w:rsidRDefault="00111672" w:rsidP="009E7B2D">
            <w:pPr>
              <w:spacing w:after="0" w:line="360" w:lineRule="auto"/>
              <w:ind w:left="120" w:firstLine="547"/>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2.4369</w:t>
            </w:r>
          </w:p>
        </w:tc>
        <w:tc>
          <w:tcPr>
            <w:tcW w:w="1784" w:type="dxa"/>
            <w:gridSpan w:val="2"/>
            <w:tcBorders>
              <w:top w:val="single" w:sz="18" w:space="0" w:color="auto"/>
              <w:left w:val="nil"/>
              <w:bottom w:val="nil"/>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 xml:space="preserve">         0.0475**</w:t>
            </w:r>
          </w:p>
        </w:tc>
      </w:tr>
      <w:tr w:rsidR="00111672" w:rsidRPr="009E7B2D" w:rsidTr="002D641B">
        <w:trPr>
          <w:trHeight w:val="315"/>
        </w:trPr>
        <w:tc>
          <w:tcPr>
            <w:tcW w:w="2574" w:type="dxa"/>
            <w:noWrap/>
            <w:vAlign w:val="bottom"/>
            <w:hideMark/>
          </w:tcPr>
          <w:p w:rsidR="00111672" w:rsidRPr="009E7B2D" w:rsidRDefault="0094205E"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hAnsi="Times New Roman" w:cs="Times New Roman"/>
                <w:noProof/>
                <w:position w:val="-4"/>
                <w:sz w:val="24"/>
                <w:szCs w:val="24"/>
              </w:rPr>
              <w:object w:dxaOrig="225" w:dyaOrig="255">
                <v:shape id="_x0000_i1039" type="#_x0000_t75" style="width:11.25pt;height:12.75pt" o:ole="">
                  <v:imagedata r:id="rId34" o:title=""/>
                </v:shape>
                <o:OLEObject Type="Embed" ProgID="Equation.DSMT4" ShapeID="_x0000_i1039" DrawAspect="Content" ObjectID="_1844834683" r:id="rId35"/>
              </w:object>
            </w:r>
            <w:r w:rsidR="00111672" w:rsidRPr="009E7B2D">
              <w:rPr>
                <w:rFonts w:ascii="Times New Roman" w:eastAsia="Times New Roman" w:hAnsi="Times New Roman" w:cs="Times New Roman"/>
                <w:color w:val="000000"/>
                <w:sz w:val="24"/>
                <w:szCs w:val="24"/>
                <w:lang w:eastAsia="fr-FR"/>
              </w:rPr>
              <w:t>BMS</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0.0132</w:t>
            </w:r>
          </w:p>
        </w:tc>
        <w:tc>
          <w:tcPr>
            <w:tcW w:w="2100" w:type="dxa"/>
            <w:noWrap/>
            <w:vAlign w:val="center"/>
            <w:hideMark/>
          </w:tcPr>
          <w:p w:rsidR="00111672" w:rsidRPr="009E7B2D" w:rsidRDefault="00111672" w:rsidP="009E7B2D">
            <w:pPr>
              <w:spacing w:after="0" w:line="360" w:lineRule="auto"/>
              <w:ind w:left="120"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1.8653</w:t>
            </w:r>
          </w:p>
        </w:tc>
        <w:tc>
          <w:tcPr>
            <w:tcW w:w="1784" w:type="dxa"/>
            <w:gridSpan w:val="2"/>
            <w:noWrap/>
            <w:vAlign w:val="center"/>
            <w:hideMark/>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0.1755</w:t>
            </w:r>
          </w:p>
        </w:tc>
      </w:tr>
      <w:tr w:rsidR="00111672" w:rsidRPr="009E7B2D" w:rsidTr="002D641B">
        <w:trPr>
          <w:trHeight w:val="315"/>
        </w:trPr>
        <w:tc>
          <w:tcPr>
            <w:tcW w:w="2574" w:type="dxa"/>
            <w:noWrap/>
            <w:vAlign w:val="bottom"/>
            <w:hideMark/>
          </w:tcPr>
          <w:p w:rsidR="00111672" w:rsidRPr="009E7B2D" w:rsidRDefault="0094205E"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hAnsi="Times New Roman" w:cs="Times New Roman"/>
                <w:noProof/>
                <w:position w:val="-4"/>
                <w:sz w:val="24"/>
                <w:szCs w:val="24"/>
              </w:rPr>
              <w:object w:dxaOrig="225" w:dyaOrig="255">
                <v:shape id="_x0000_i1040" type="#_x0000_t75" style="width:11.25pt;height:12.75pt" o:ole="">
                  <v:imagedata r:id="rId36" o:title=""/>
                </v:shape>
                <o:OLEObject Type="Embed" ProgID="Equation.DSMT4" ShapeID="_x0000_i1040" DrawAspect="Content" ObjectID="_1844834684" r:id="rId37"/>
              </w:object>
            </w:r>
            <w:r w:rsidR="00111672" w:rsidRPr="009E7B2D">
              <w:rPr>
                <w:rFonts w:ascii="Times New Roman" w:eastAsia="Times New Roman" w:hAnsi="Times New Roman" w:cs="Times New Roman"/>
                <w:color w:val="000000"/>
                <w:sz w:val="24"/>
                <w:szCs w:val="24"/>
                <w:lang w:eastAsia="fr-FR"/>
              </w:rPr>
              <w:t>LINV</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0.1555</w:t>
            </w:r>
          </w:p>
        </w:tc>
        <w:tc>
          <w:tcPr>
            <w:tcW w:w="2100" w:type="dxa"/>
            <w:noWrap/>
            <w:vAlign w:val="center"/>
            <w:hideMark/>
          </w:tcPr>
          <w:p w:rsidR="00111672" w:rsidRPr="009E7B2D" w:rsidRDefault="00111672" w:rsidP="009E7B2D">
            <w:pPr>
              <w:spacing w:after="0" w:line="360" w:lineRule="auto"/>
              <w:ind w:left="120"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 xml:space="preserve"> 2.8849</w:t>
            </w:r>
          </w:p>
        </w:tc>
        <w:tc>
          <w:tcPr>
            <w:tcW w:w="1784" w:type="dxa"/>
            <w:gridSpan w:val="2"/>
            <w:noWrap/>
            <w:vAlign w:val="center"/>
            <w:hideMark/>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0.0088*</w:t>
            </w:r>
          </w:p>
        </w:tc>
      </w:tr>
      <w:tr w:rsidR="00111672" w:rsidRPr="009E7B2D" w:rsidTr="002D641B">
        <w:trPr>
          <w:trHeight w:val="315"/>
        </w:trPr>
        <w:tc>
          <w:tcPr>
            <w:tcW w:w="2574" w:type="dxa"/>
            <w:noWrap/>
            <w:vAlign w:val="bottom"/>
            <w:hideMark/>
          </w:tcPr>
          <w:p w:rsidR="00111672" w:rsidRPr="009E7B2D" w:rsidRDefault="0094205E"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hAnsi="Times New Roman" w:cs="Times New Roman"/>
                <w:noProof/>
                <w:position w:val="-4"/>
                <w:sz w:val="24"/>
                <w:szCs w:val="24"/>
              </w:rPr>
              <w:object w:dxaOrig="225" w:dyaOrig="255">
                <v:shape id="_x0000_i1041" type="#_x0000_t75" style="width:11.25pt;height:12.75pt" o:ole="">
                  <v:imagedata r:id="rId38" o:title=""/>
                </v:shape>
                <o:OLEObject Type="Embed" ProgID="Equation.DSMT4" ShapeID="_x0000_i1041" DrawAspect="Content" ObjectID="_1844834685" r:id="rId39"/>
              </w:object>
            </w:r>
            <w:r w:rsidR="00111672" w:rsidRPr="009E7B2D">
              <w:rPr>
                <w:rFonts w:ascii="Times New Roman" w:eastAsia="Times New Roman" w:hAnsi="Times New Roman" w:cs="Times New Roman"/>
                <w:color w:val="000000"/>
                <w:sz w:val="24"/>
                <w:szCs w:val="24"/>
                <w:lang w:eastAsia="fr-FR"/>
              </w:rPr>
              <w:t>LGE</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0.1788</w:t>
            </w:r>
          </w:p>
        </w:tc>
        <w:tc>
          <w:tcPr>
            <w:tcW w:w="2100" w:type="dxa"/>
            <w:noWrap/>
            <w:vAlign w:val="center"/>
            <w:hideMark/>
          </w:tcPr>
          <w:p w:rsidR="00111672" w:rsidRPr="009E7B2D" w:rsidRDefault="00111672" w:rsidP="009E7B2D">
            <w:pPr>
              <w:spacing w:after="0" w:line="360" w:lineRule="auto"/>
              <w:ind w:left="120"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 xml:space="preserve"> 2.9005</w:t>
            </w:r>
          </w:p>
        </w:tc>
        <w:tc>
          <w:tcPr>
            <w:tcW w:w="1784" w:type="dxa"/>
            <w:gridSpan w:val="2"/>
            <w:noWrap/>
            <w:vAlign w:val="center"/>
            <w:hideMark/>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0.0083*</w:t>
            </w:r>
          </w:p>
        </w:tc>
      </w:tr>
      <w:tr w:rsidR="00111672" w:rsidRPr="009E7B2D" w:rsidTr="002D641B">
        <w:trPr>
          <w:trHeight w:val="330"/>
        </w:trPr>
        <w:tc>
          <w:tcPr>
            <w:tcW w:w="2574" w:type="dxa"/>
            <w:noWrap/>
            <w:vAlign w:val="bottom"/>
            <w:hideMark/>
          </w:tcPr>
          <w:p w:rsidR="00111672" w:rsidRPr="009E7B2D" w:rsidRDefault="0094205E"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hAnsi="Times New Roman" w:cs="Times New Roman"/>
                <w:noProof/>
                <w:position w:val="-4"/>
                <w:sz w:val="24"/>
                <w:szCs w:val="24"/>
              </w:rPr>
              <w:object w:dxaOrig="225" w:dyaOrig="255">
                <v:shape id="_x0000_i1042" type="#_x0000_t75" style="width:11.25pt;height:12.75pt" o:ole="">
                  <v:imagedata r:id="rId40" o:title=""/>
                </v:shape>
                <o:OLEObject Type="Embed" ProgID="Equation.DSMT4" ShapeID="_x0000_i1042" DrawAspect="Content" ObjectID="_1844834686" r:id="rId41"/>
              </w:object>
            </w:r>
            <w:r w:rsidR="00111672" w:rsidRPr="009E7B2D">
              <w:rPr>
                <w:rFonts w:ascii="Times New Roman" w:eastAsia="Times New Roman" w:hAnsi="Times New Roman" w:cs="Times New Roman"/>
                <w:color w:val="000000"/>
                <w:sz w:val="24"/>
                <w:szCs w:val="24"/>
                <w:lang w:eastAsia="fr-FR"/>
              </w:rPr>
              <w:t>RIR</w: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-0.0077</w:t>
            </w:r>
          </w:p>
        </w:tc>
        <w:tc>
          <w:tcPr>
            <w:tcW w:w="2100" w:type="dxa"/>
            <w:noWrap/>
            <w:vAlign w:val="center"/>
            <w:hideMark/>
          </w:tcPr>
          <w:p w:rsidR="00111672" w:rsidRPr="009E7B2D" w:rsidRDefault="00111672" w:rsidP="009E7B2D">
            <w:pPr>
              <w:spacing w:after="0" w:line="360" w:lineRule="auto"/>
              <w:ind w:left="120"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 xml:space="preserve"> -8.3830</w:t>
            </w:r>
          </w:p>
        </w:tc>
        <w:tc>
          <w:tcPr>
            <w:tcW w:w="1784" w:type="dxa"/>
            <w:gridSpan w:val="2"/>
            <w:noWrap/>
            <w:vAlign w:val="center"/>
            <w:hideMark/>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0.0000*</w:t>
            </w:r>
          </w:p>
        </w:tc>
      </w:tr>
      <w:tr w:rsidR="00111672" w:rsidRPr="009E7B2D" w:rsidTr="002D641B">
        <w:trPr>
          <w:trHeight w:val="330"/>
        </w:trPr>
        <w:tc>
          <w:tcPr>
            <w:tcW w:w="2574"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ECT(-1)</w:t>
            </w:r>
          </w:p>
        </w:tc>
        <w:tc>
          <w:tcPr>
            <w:tcW w:w="486" w:type="dxa"/>
            <w:noWrap/>
            <w:vAlign w:val="bottom"/>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p>
        </w:tc>
        <w:tc>
          <w:tcPr>
            <w:tcW w:w="396" w:type="dxa"/>
            <w:noWrap/>
            <w:vAlign w:val="bottom"/>
          </w:tcPr>
          <w:p w:rsidR="00111672" w:rsidRPr="009E7B2D" w:rsidRDefault="00111672" w:rsidP="009E7B2D">
            <w:pPr>
              <w:spacing w:after="0" w:line="360" w:lineRule="auto"/>
              <w:jc w:val="both"/>
              <w:rPr>
                <w:rFonts w:ascii="Times New Roman" w:eastAsia="Times New Roman" w:hAnsi="Times New Roman" w:cs="Times New Roman"/>
                <w:sz w:val="24"/>
                <w:szCs w:val="24"/>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-0.3053</w:t>
            </w:r>
          </w:p>
        </w:tc>
        <w:tc>
          <w:tcPr>
            <w:tcW w:w="2100" w:type="dxa"/>
            <w:noWrap/>
            <w:vAlign w:val="center"/>
            <w:hideMark/>
          </w:tcPr>
          <w:p w:rsidR="00111672" w:rsidRPr="009E7B2D" w:rsidRDefault="00111672" w:rsidP="009E7B2D">
            <w:pPr>
              <w:spacing w:after="0" w:line="360" w:lineRule="auto"/>
              <w:ind w:left="120"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 xml:space="preserve"> -3.5216</w:t>
            </w:r>
          </w:p>
        </w:tc>
        <w:tc>
          <w:tcPr>
            <w:tcW w:w="1784" w:type="dxa"/>
            <w:gridSpan w:val="2"/>
            <w:noWrap/>
            <w:vAlign w:val="center"/>
            <w:hideMark/>
          </w:tcPr>
          <w:p w:rsidR="00111672" w:rsidRPr="009E7B2D" w:rsidRDefault="00111672" w:rsidP="009E7B2D">
            <w:pPr>
              <w:spacing w:after="0" w:line="360" w:lineRule="auto"/>
              <w:ind w:firstLine="547"/>
              <w:jc w:val="both"/>
              <w:rPr>
                <w:rFonts w:ascii="Times New Roman" w:eastAsia="Times New Roman" w:hAnsi="Times New Roman" w:cs="Times New Roman"/>
                <w:color w:val="000000"/>
                <w:sz w:val="24"/>
                <w:szCs w:val="24"/>
                <w:lang w:eastAsia="fr-FR"/>
              </w:rPr>
            </w:pPr>
            <w:r w:rsidRPr="009E7B2D">
              <w:rPr>
                <w:rFonts w:ascii="Times New Roman" w:eastAsia="Times New Roman" w:hAnsi="Times New Roman" w:cs="Times New Roman"/>
                <w:color w:val="000000"/>
                <w:sz w:val="24"/>
                <w:szCs w:val="24"/>
                <w:lang w:eastAsia="fr-FR"/>
              </w:rPr>
              <w:t>0.0019*</w:t>
            </w:r>
          </w:p>
        </w:tc>
      </w:tr>
      <w:tr w:rsidR="00111672" w:rsidRPr="009E7B2D" w:rsidTr="002D641B">
        <w:trPr>
          <w:trHeight w:val="315"/>
        </w:trPr>
        <w:tc>
          <w:tcPr>
            <w:tcW w:w="2574" w:type="dxa"/>
            <w:noWrap/>
            <w:vAlign w:val="bottom"/>
            <w:hideMark/>
          </w:tcPr>
          <w:p w:rsidR="00111672" w:rsidRPr="009E7B2D" w:rsidRDefault="0094205E"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noProof/>
                <w:position w:val="-4"/>
                <w:sz w:val="24"/>
                <w:szCs w:val="24"/>
                <w:lang w:eastAsia="fr-FR"/>
              </w:rPr>
              <w:object w:dxaOrig="315" w:dyaOrig="315">
                <v:shape id="_x0000_i1043" type="#_x0000_t75" style="width:15pt;height:15pt" o:ole="">
                  <v:imagedata r:id="rId42" o:title=""/>
                </v:shape>
                <o:OLEObject Type="Embed" ProgID="Equation.DSMT4" ShapeID="_x0000_i1043" DrawAspect="Content" ObjectID="_1844834687" r:id="rId43"/>
              </w:objec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0.9289</w:t>
            </w:r>
          </w:p>
        </w:tc>
        <w:tc>
          <w:tcPr>
            <w:tcW w:w="210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784" w:type="dxa"/>
            <w:gridSpan w:val="2"/>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r>
      <w:tr w:rsidR="00111672" w:rsidRPr="009E7B2D" w:rsidTr="002D641B">
        <w:trPr>
          <w:trHeight w:val="315"/>
        </w:trPr>
        <w:tc>
          <w:tcPr>
            <w:tcW w:w="2574"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Adj. </w:t>
            </w:r>
            <w:r w:rsidR="0094205E" w:rsidRPr="009E7B2D">
              <w:rPr>
                <w:rFonts w:ascii="Times New Roman" w:eastAsia="Times New Roman" w:hAnsi="Times New Roman" w:cs="Times New Roman"/>
                <w:noProof/>
                <w:position w:val="-4"/>
                <w:sz w:val="24"/>
                <w:szCs w:val="24"/>
                <w:lang w:eastAsia="fr-FR"/>
              </w:rPr>
              <w:object w:dxaOrig="315" w:dyaOrig="315">
                <v:shape id="_x0000_i1044" type="#_x0000_t75" style="width:15pt;height:15pt" o:ole="">
                  <v:imagedata r:id="rId44" o:title=""/>
                </v:shape>
                <o:OLEObject Type="Embed" ProgID="Equation.DSMT4" ShapeID="_x0000_i1044" DrawAspect="Content" ObjectID="_1844834688" r:id="rId45"/>
              </w:object>
            </w:r>
          </w:p>
        </w:tc>
        <w:tc>
          <w:tcPr>
            <w:tcW w:w="48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396"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600" w:type="dxa"/>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0.9187</w:t>
            </w:r>
          </w:p>
        </w:tc>
        <w:tc>
          <w:tcPr>
            <w:tcW w:w="2100" w:type="dxa"/>
            <w:noWrap/>
            <w:vAlign w:val="center"/>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784" w:type="dxa"/>
            <w:gridSpan w:val="2"/>
            <w:noWrap/>
            <w:vAlign w:val="center"/>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r>
      <w:tr w:rsidR="00111672" w:rsidRPr="009E7B2D" w:rsidTr="002D641B">
        <w:trPr>
          <w:trHeight w:val="315"/>
        </w:trPr>
        <w:tc>
          <w:tcPr>
            <w:tcW w:w="2574"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F-Stat</w:t>
            </w:r>
          </w:p>
        </w:tc>
        <w:tc>
          <w:tcPr>
            <w:tcW w:w="486"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396"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60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lang w:eastAsia="fr-FR"/>
              </w:rPr>
              <w:t>3585.438</w:t>
            </w:r>
          </w:p>
        </w:tc>
        <w:tc>
          <w:tcPr>
            <w:tcW w:w="2100" w:type="dxa"/>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w:t>
            </w:r>
          </w:p>
        </w:tc>
        <w:tc>
          <w:tcPr>
            <w:tcW w:w="1784" w:type="dxa"/>
            <w:gridSpan w:val="2"/>
            <w:tcBorders>
              <w:top w:val="nil"/>
              <w:left w:val="nil"/>
              <w:bottom w:val="single" w:sz="18" w:space="0" w:color="auto"/>
              <w:right w:val="nil"/>
            </w:tcBorders>
            <w:noWrap/>
            <w:vAlign w:val="center"/>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0.0000*</w:t>
            </w:r>
          </w:p>
        </w:tc>
      </w:tr>
    </w:tbl>
    <w:p w:rsidR="00111672" w:rsidRPr="009E7B2D" w:rsidRDefault="00111672" w:rsidP="00E40E06">
      <w:pPr>
        <w:spacing w:after="0" w:line="360" w:lineRule="auto"/>
        <w:jc w:val="both"/>
        <w:rPr>
          <w:rFonts w:ascii="Times New Roman" w:hAnsi="Times New Roman" w:cs="Times New Roman"/>
          <w:sz w:val="24"/>
          <w:szCs w:val="24"/>
        </w:rPr>
      </w:pPr>
      <w:r w:rsidRPr="009E7B2D">
        <w:rPr>
          <w:rFonts w:ascii="Times New Roman" w:eastAsia="Times New Roman" w:hAnsi="Times New Roman" w:cs="Times New Roman"/>
          <w:i/>
          <w:sz w:val="24"/>
          <w:szCs w:val="24"/>
          <w:lang w:eastAsia="fr-FR"/>
        </w:rPr>
        <w:t xml:space="preserve"> Note: GDP, CPS, BMS, INV, GE, and RIR represent gross domestic product, domestic credit to private sector as a share of GDP, broad money supply as a share of GDP, domestic investment, government expenditure and real interest rate respectively. </w:t>
      </w:r>
      <w:r w:rsidRPr="009E7B2D">
        <w:rPr>
          <w:rFonts w:ascii="Times New Roman" w:hAnsi="Times New Roman" w:cs="Times New Roman"/>
          <w:sz w:val="24"/>
          <w:szCs w:val="24"/>
        </w:rPr>
        <w:t>Notes 2: *, **, and *** indicate causality at 1%, 5% and 10% level of significance respectively</w:t>
      </w:r>
    </w:p>
    <w:p w:rsidR="00E40E06" w:rsidRDefault="00111672" w:rsidP="00E40E06">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Investigate the validity of finance-le</w:t>
      </w:r>
      <w:r w:rsidR="00E40E06">
        <w:rPr>
          <w:rFonts w:ascii="Times New Roman" w:hAnsi="Times New Roman" w:cs="Times New Roman"/>
          <w:b/>
          <w:sz w:val="24"/>
          <w:szCs w:val="24"/>
        </w:rPr>
        <w:t>d-growth hypothesis in Nigeria.</w:t>
      </w:r>
    </w:p>
    <w:p w:rsidR="00111672" w:rsidRPr="00E40E06" w:rsidRDefault="00111672" w:rsidP="00E40E06">
      <w:pPr>
        <w:spacing w:line="360" w:lineRule="auto"/>
        <w:jc w:val="both"/>
        <w:rPr>
          <w:rFonts w:ascii="Times New Roman" w:hAnsi="Times New Roman" w:cs="Times New Roman"/>
          <w:b/>
          <w:sz w:val="24"/>
          <w:szCs w:val="24"/>
        </w:rPr>
      </w:pPr>
      <w:r w:rsidRPr="009E7B2D">
        <w:rPr>
          <w:rFonts w:ascii="Times New Roman" w:hAnsi="Times New Roman" w:cs="Times New Roman"/>
          <w:sz w:val="24"/>
          <w:szCs w:val="24"/>
        </w:rPr>
        <w:t xml:space="preserve">Once co-integration is established, there must be at least unidirectional or bidirectional causality among the variables. We investigate this relation within the Vector Error Correction Model (VECM) framework. Such knowledge is useful in designing appropriate economic policies in </w:t>
      </w:r>
      <w:r w:rsidR="00D7260C" w:rsidRPr="009E7B2D">
        <w:rPr>
          <w:rFonts w:ascii="Times New Roman" w:hAnsi="Times New Roman" w:cs="Times New Roman"/>
          <w:sz w:val="24"/>
          <w:szCs w:val="24"/>
        </w:rPr>
        <w:t>Nigeria. Table 4</w:t>
      </w:r>
      <w:r w:rsidRPr="009E7B2D">
        <w:rPr>
          <w:rFonts w:ascii="Times New Roman" w:hAnsi="Times New Roman" w:cs="Times New Roman"/>
          <w:sz w:val="24"/>
          <w:szCs w:val="24"/>
        </w:rPr>
        <w:t xml:space="preserve"> represents results on the short and long run direction of causality among financial development, domestic investment and economic growth in Nigeria. In the short run, the feedback effect shows the presence of bidirectional causality between domestic investment and economic growth; between financial development measured by domestic credit to private sector as a share of GDP and broad money supply as a share of GDP; between financial development measured by domestic credit to private sector as a share of GDP and domestic investment. The result of bidirectional causality between domestic investment and economic growth indicate that domestic </w:t>
      </w:r>
      <w:r w:rsidRPr="009E7B2D">
        <w:rPr>
          <w:rFonts w:ascii="Times New Roman" w:hAnsi="Times New Roman" w:cs="Times New Roman"/>
          <w:sz w:val="24"/>
          <w:szCs w:val="24"/>
        </w:rPr>
        <w:lastRenderedPageBreak/>
        <w:t>investment and economic growth in Nigeria bear a vicious cycle; where more domestic investment will spur economic growth, which in turn encourages more domestic investment. The bidirectional causality is in line</w:t>
      </w:r>
      <w:r w:rsidR="002D641B" w:rsidRPr="009E7B2D">
        <w:rPr>
          <w:rFonts w:ascii="Times New Roman" w:hAnsi="Times New Roman" w:cs="Times New Roman"/>
          <w:sz w:val="24"/>
          <w:szCs w:val="24"/>
        </w:rPr>
        <w:t xml:space="preserve"> with the study of </w:t>
      </w:r>
      <w:proofErr w:type="spellStart"/>
      <w:r w:rsidR="002D641B" w:rsidRPr="009E7B2D">
        <w:rPr>
          <w:rFonts w:ascii="Times New Roman" w:hAnsi="Times New Roman" w:cs="Times New Roman"/>
          <w:sz w:val="24"/>
          <w:szCs w:val="24"/>
        </w:rPr>
        <w:t>Iriabije</w:t>
      </w:r>
      <w:proofErr w:type="spellEnd"/>
      <w:r w:rsidR="002D641B" w:rsidRPr="009E7B2D">
        <w:rPr>
          <w:rFonts w:ascii="Times New Roman" w:hAnsi="Times New Roman" w:cs="Times New Roman"/>
          <w:sz w:val="24"/>
          <w:szCs w:val="24"/>
        </w:rPr>
        <w:t xml:space="preserve"> (2023</w:t>
      </w:r>
      <w:r w:rsidRPr="009E7B2D">
        <w:rPr>
          <w:rFonts w:ascii="Times New Roman" w:hAnsi="Times New Roman" w:cs="Times New Roman"/>
          <w:sz w:val="24"/>
          <w:szCs w:val="24"/>
        </w:rPr>
        <w:t xml:space="preserve">), </w:t>
      </w:r>
      <w:r w:rsidRPr="009E7B2D">
        <w:rPr>
          <w:rFonts w:ascii="Times New Roman" w:eastAsia="TimesNewRomanPSMT" w:hAnsi="Times New Roman" w:cs="Times New Roman"/>
          <w:sz w:val="24"/>
          <w:szCs w:val="24"/>
        </w:rPr>
        <w:t xml:space="preserve">which found the evidence of bi-directional causality between domestic investment and economic growth. In addition, the result of the bidirectional causality between financial development </w:t>
      </w:r>
      <w:r w:rsidRPr="009E7B2D">
        <w:rPr>
          <w:rFonts w:ascii="Times New Roman" w:hAnsi="Times New Roman" w:cs="Times New Roman"/>
          <w:sz w:val="24"/>
          <w:szCs w:val="24"/>
        </w:rPr>
        <w:t>(domestic credit to private sector as a share of GDP)</w:t>
      </w:r>
      <w:r w:rsidRPr="009E7B2D">
        <w:rPr>
          <w:rFonts w:ascii="Times New Roman" w:eastAsia="TimesNewRomanPSMT" w:hAnsi="Times New Roman" w:cs="Times New Roman"/>
          <w:sz w:val="24"/>
          <w:szCs w:val="24"/>
        </w:rPr>
        <w:t xml:space="preserve"> and domestic investment designate that </w:t>
      </w:r>
      <w:r w:rsidRPr="009E7B2D">
        <w:rPr>
          <w:rFonts w:ascii="Times New Roman" w:hAnsi="Times New Roman" w:cs="Times New Roman"/>
          <w:sz w:val="24"/>
          <w:szCs w:val="24"/>
        </w:rPr>
        <w:t>increase in credit availability to the private sector in the country</w:t>
      </w:r>
      <w:r w:rsidRPr="009E7B2D">
        <w:rPr>
          <w:rFonts w:ascii="Times New Roman" w:eastAsia="TimesNewRomanPSMT" w:hAnsi="Times New Roman" w:cs="Times New Roman"/>
          <w:sz w:val="24"/>
          <w:szCs w:val="24"/>
        </w:rPr>
        <w:t xml:space="preserve"> which in turn leads to rise in domestic investment. This result opposes the finding of </w:t>
      </w:r>
      <w:proofErr w:type="spellStart"/>
      <w:r w:rsidR="002D641B" w:rsidRPr="009E7B2D">
        <w:rPr>
          <w:rFonts w:ascii="Times New Roman" w:hAnsi="Times New Roman" w:cs="Times New Roman"/>
          <w:sz w:val="24"/>
          <w:szCs w:val="24"/>
        </w:rPr>
        <w:t>Iheanacho</w:t>
      </w:r>
      <w:proofErr w:type="spellEnd"/>
      <w:r w:rsidRPr="009E7B2D">
        <w:rPr>
          <w:rFonts w:ascii="Times New Roman" w:hAnsi="Times New Roman" w:cs="Times New Roman"/>
          <w:sz w:val="24"/>
          <w:szCs w:val="24"/>
        </w:rPr>
        <w:t xml:space="preserve"> (2016) who found a unidirectional causality from financial development to investment in Turkey.</w:t>
      </w:r>
    </w:p>
    <w:p w:rsidR="00111672" w:rsidRPr="009E7B2D" w:rsidRDefault="00111672"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 xml:space="preserve">On the other hand, there exist a unidirectional causality between financial development measured by domestic credit to private sector as a share of GDP and economic growth and between financial development measured by money supply and economic growth in the short run. Causation runs from financial development (credit to private sector and money supply as a share of GDP) to economic growth at 5%. This finding support the supply-leading hypothesis which posits a unidirectional causation that runs from financial deepening to economic growth. This validates the finance-led-growth hypothesis in Nigeria. This result refutes the findings of </w:t>
      </w:r>
      <w:proofErr w:type="spellStart"/>
      <w:r w:rsidR="002D641B" w:rsidRPr="009E7B2D">
        <w:rPr>
          <w:rFonts w:ascii="Times New Roman" w:hAnsi="Times New Roman" w:cs="Times New Roman"/>
          <w:sz w:val="24"/>
          <w:szCs w:val="24"/>
        </w:rPr>
        <w:t>Abdulkarim</w:t>
      </w:r>
      <w:proofErr w:type="spellEnd"/>
      <w:r w:rsidR="002D641B" w:rsidRPr="009E7B2D">
        <w:rPr>
          <w:rFonts w:ascii="Times New Roman" w:hAnsi="Times New Roman" w:cs="Times New Roman"/>
          <w:sz w:val="24"/>
          <w:szCs w:val="24"/>
        </w:rPr>
        <w:t xml:space="preserve"> (2023</w:t>
      </w:r>
      <w:r w:rsidRPr="009E7B2D">
        <w:rPr>
          <w:rFonts w:ascii="Times New Roman" w:hAnsi="Times New Roman" w:cs="Times New Roman"/>
          <w:sz w:val="24"/>
          <w:szCs w:val="24"/>
        </w:rPr>
        <w:t>)</w:t>
      </w:r>
      <w:r w:rsidRPr="009E7B2D">
        <w:rPr>
          <w:rFonts w:ascii="Times New Roman" w:eastAsia="TimesNewRomanPSMT" w:hAnsi="Times New Roman" w:cs="Times New Roman"/>
          <w:sz w:val="24"/>
          <w:szCs w:val="24"/>
        </w:rPr>
        <w:t xml:space="preserve"> which found the evidence of bi-directional causality between financial development and economic growth.</w:t>
      </w:r>
      <w:r w:rsidRPr="009E7B2D">
        <w:rPr>
          <w:rFonts w:ascii="Times New Roman" w:hAnsi="Times New Roman" w:cs="Times New Roman"/>
          <w:sz w:val="24"/>
          <w:szCs w:val="24"/>
        </w:rPr>
        <w:t xml:space="preserve"> Furthermore, there exists the presence of unidirectional causality between financial </w:t>
      </w:r>
      <w:r w:rsidR="002D641B" w:rsidRPr="009E7B2D">
        <w:rPr>
          <w:rFonts w:ascii="Times New Roman" w:hAnsi="Times New Roman" w:cs="Times New Roman"/>
          <w:sz w:val="24"/>
          <w:szCs w:val="24"/>
        </w:rPr>
        <w:t>developments</w:t>
      </w:r>
      <w:r w:rsidRPr="009E7B2D">
        <w:rPr>
          <w:rFonts w:ascii="Times New Roman" w:hAnsi="Times New Roman" w:cs="Times New Roman"/>
          <w:sz w:val="24"/>
          <w:szCs w:val="24"/>
        </w:rPr>
        <w:t xml:space="preserve"> measured by broad money supply as a share of GDP to domestic investment in the short run. Causation runs from money supply to domestic investment at 5%. </w:t>
      </w:r>
    </w:p>
    <w:p w:rsidR="00111672" w:rsidRPr="009E7B2D" w:rsidRDefault="00111672" w:rsidP="009E7B2D">
      <w:pPr>
        <w:autoSpaceDE w:val="0"/>
        <w:autoSpaceDN w:val="0"/>
        <w:adjustRightInd w:val="0"/>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The only causality found in the long run shows that financial development (credit to private sector as a share of GDP and broad money supply as a share of GDP), and domestic investment have a statistically significant influence on economic growth. This is revealed by the coefficient of the error correction term, which is statistically significant at 5% level. Hence, credit to private sector, money supply and domestic investment granger cause GDP in the long run. This implies that financial development (credit to private sector and money supply as a share of GDP) and domestic investment will spur economic growth in the long run.</w:t>
      </w:r>
    </w:p>
    <w:p w:rsidR="00111672" w:rsidRPr="009E7B2D" w:rsidRDefault="00111672"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 xml:space="preserve">Table 7: Multivariate VECM Causality </w:t>
      </w:r>
    </w:p>
    <w:tbl>
      <w:tblPr>
        <w:tblpPr w:leftFromText="180" w:rightFromText="180" w:bottomFromText="200" w:vertAnchor="text" w:horzAnchor="margin" w:tblpY="54"/>
        <w:tblW w:w="9242" w:type="dxa"/>
        <w:tblLook w:val="04A0" w:firstRow="1" w:lastRow="0" w:firstColumn="1" w:lastColumn="0" w:noHBand="0" w:noVBand="1"/>
      </w:tblPr>
      <w:tblGrid>
        <w:gridCol w:w="1633"/>
        <w:gridCol w:w="1579"/>
        <w:gridCol w:w="1293"/>
        <w:gridCol w:w="1436"/>
        <w:gridCol w:w="1579"/>
        <w:gridCol w:w="1722"/>
      </w:tblGrid>
      <w:tr w:rsidR="00111672" w:rsidRPr="009E7B2D" w:rsidTr="00111672">
        <w:trPr>
          <w:trHeight w:val="209"/>
        </w:trPr>
        <w:tc>
          <w:tcPr>
            <w:tcW w:w="1633"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t>Dependent</w:t>
            </w:r>
          </w:p>
        </w:tc>
        <w:tc>
          <w:tcPr>
            <w:tcW w:w="1579" w:type="dxa"/>
            <w:tcBorders>
              <w:top w:val="single" w:sz="18"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t> </w:t>
            </w:r>
          </w:p>
        </w:tc>
        <w:tc>
          <w:tcPr>
            <w:tcW w:w="1293" w:type="dxa"/>
            <w:tcBorders>
              <w:top w:val="single" w:sz="18"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t>  Short run</w:t>
            </w:r>
          </w:p>
        </w:tc>
        <w:tc>
          <w:tcPr>
            <w:tcW w:w="1436" w:type="dxa"/>
            <w:tcBorders>
              <w:top w:val="single" w:sz="18" w:space="0" w:color="auto"/>
              <w:left w:val="nil"/>
              <w:bottom w:val="single" w:sz="4" w:space="0" w:color="auto"/>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b/>
                <w:bCs/>
                <w:color w:val="000000"/>
                <w:sz w:val="24"/>
                <w:szCs w:val="24"/>
              </w:rPr>
            </w:pPr>
          </w:p>
        </w:tc>
        <w:tc>
          <w:tcPr>
            <w:tcW w:w="1579" w:type="dxa"/>
            <w:tcBorders>
              <w:top w:val="single" w:sz="18" w:space="0" w:color="auto"/>
              <w:left w:val="nil"/>
              <w:bottom w:val="single" w:sz="4"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t> </w:t>
            </w:r>
          </w:p>
        </w:tc>
        <w:tc>
          <w:tcPr>
            <w:tcW w:w="1722"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t>Long-run</w:t>
            </w:r>
          </w:p>
        </w:tc>
      </w:tr>
      <w:tr w:rsidR="00111672" w:rsidRPr="009E7B2D" w:rsidTr="00111672">
        <w:trPr>
          <w:trHeight w:val="209"/>
        </w:trPr>
        <w:tc>
          <w:tcPr>
            <w:tcW w:w="1633"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lastRenderedPageBreak/>
              <w:t>Variables</w:t>
            </w:r>
          </w:p>
        </w:tc>
        <w:tc>
          <w:tcPr>
            <w:tcW w:w="1579" w:type="dxa"/>
            <w:tcBorders>
              <w:top w:val="nil"/>
              <w:left w:val="nil"/>
              <w:bottom w:val="single" w:sz="18" w:space="0" w:color="auto"/>
              <w:right w:val="nil"/>
            </w:tcBorders>
            <w:noWrap/>
            <w:vAlign w:val="bottom"/>
            <w:hideMark/>
          </w:tcPr>
          <w:p w:rsidR="00111672" w:rsidRPr="009E7B2D" w:rsidRDefault="0094205E"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hAnsi="Times New Roman" w:cs="Times New Roman"/>
                <w:noProof/>
                <w:position w:val="-4"/>
                <w:sz w:val="24"/>
                <w:szCs w:val="24"/>
              </w:rPr>
              <w:object w:dxaOrig="240" w:dyaOrig="255">
                <v:shape id="_x0000_i1045" type="#_x0000_t75" style="width:12pt;height:12.75pt" o:ole="">
                  <v:imagedata r:id="rId46" o:title=""/>
                </v:shape>
                <o:OLEObject Type="Embed" ProgID="Equation.DSMT4" ShapeID="_x0000_i1045" DrawAspect="Content" ObjectID="_1844834689" r:id="rId47"/>
              </w:object>
            </w:r>
            <w:r w:rsidR="00111672" w:rsidRPr="009E7B2D">
              <w:rPr>
                <w:rFonts w:ascii="Times New Roman" w:eastAsia="Times New Roman" w:hAnsi="Times New Roman" w:cs="Times New Roman"/>
                <w:b/>
                <w:bCs/>
                <w:color w:val="000000"/>
                <w:sz w:val="24"/>
                <w:szCs w:val="24"/>
              </w:rPr>
              <w:t>LGDP</w:t>
            </w:r>
          </w:p>
        </w:tc>
        <w:tc>
          <w:tcPr>
            <w:tcW w:w="1293" w:type="dxa"/>
            <w:tcBorders>
              <w:top w:val="nil"/>
              <w:left w:val="nil"/>
              <w:bottom w:val="single" w:sz="18" w:space="0" w:color="auto"/>
              <w:right w:val="nil"/>
            </w:tcBorders>
            <w:noWrap/>
            <w:vAlign w:val="bottom"/>
            <w:hideMark/>
          </w:tcPr>
          <w:p w:rsidR="00111672" w:rsidRPr="009E7B2D" w:rsidRDefault="0094205E"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hAnsi="Times New Roman" w:cs="Times New Roman"/>
                <w:noProof/>
                <w:position w:val="-4"/>
                <w:sz w:val="24"/>
                <w:szCs w:val="24"/>
              </w:rPr>
              <w:object w:dxaOrig="240" w:dyaOrig="255">
                <v:shape id="_x0000_i1046" type="#_x0000_t75" style="width:12pt;height:12.75pt" o:ole="">
                  <v:imagedata r:id="rId48" o:title=""/>
                </v:shape>
                <o:OLEObject Type="Embed" ProgID="Equation.DSMT4" ShapeID="_x0000_i1046" DrawAspect="Content" ObjectID="_1844834690" r:id="rId49"/>
              </w:object>
            </w:r>
            <w:r w:rsidR="00111672" w:rsidRPr="009E7B2D">
              <w:rPr>
                <w:rFonts w:ascii="Times New Roman" w:eastAsia="Times New Roman" w:hAnsi="Times New Roman" w:cs="Times New Roman"/>
                <w:b/>
                <w:bCs/>
                <w:color w:val="000000"/>
                <w:sz w:val="24"/>
                <w:szCs w:val="24"/>
              </w:rPr>
              <w:t>CPS</w:t>
            </w:r>
          </w:p>
        </w:tc>
        <w:tc>
          <w:tcPr>
            <w:tcW w:w="1436" w:type="dxa"/>
            <w:tcBorders>
              <w:top w:val="nil"/>
              <w:left w:val="nil"/>
              <w:bottom w:val="single" w:sz="18" w:space="0" w:color="auto"/>
              <w:right w:val="nil"/>
            </w:tcBorders>
            <w:noWrap/>
            <w:vAlign w:val="bottom"/>
            <w:hideMark/>
          </w:tcPr>
          <w:p w:rsidR="00111672" w:rsidRPr="009E7B2D" w:rsidRDefault="0094205E"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hAnsi="Times New Roman" w:cs="Times New Roman"/>
                <w:noProof/>
                <w:position w:val="-4"/>
                <w:sz w:val="24"/>
                <w:szCs w:val="24"/>
              </w:rPr>
              <w:object w:dxaOrig="240" w:dyaOrig="255">
                <v:shape id="_x0000_i1047" type="#_x0000_t75" style="width:12pt;height:12.75pt" o:ole="">
                  <v:imagedata r:id="rId50" o:title=""/>
                </v:shape>
                <o:OLEObject Type="Embed" ProgID="Equation.DSMT4" ShapeID="_x0000_i1047" DrawAspect="Content" ObjectID="_1844834691" r:id="rId51"/>
              </w:object>
            </w:r>
            <w:r w:rsidR="00111672" w:rsidRPr="009E7B2D">
              <w:rPr>
                <w:rFonts w:ascii="Times New Roman" w:eastAsia="Times New Roman" w:hAnsi="Times New Roman" w:cs="Times New Roman"/>
                <w:b/>
                <w:bCs/>
                <w:color w:val="000000"/>
                <w:sz w:val="24"/>
                <w:szCs w:val="24"/>
              </w:rPr>
              <w:t>BMS</w:t>
            </w:r>
          </w:p>
        </w:tc>
        <w:tc>
          <w:tcPr>
            <w:tcW w:w="1579" w:type="dxa"/>
            <w:tcBorders>
              <w:top w:val="nil"/>
              <w:left w:val="nil"/>
              <w:bottom w:val="single" w:sz="18" w:space="0" w:color="auto"/>
              <w:right w:val="nil"/>
            </w:tcBorders>
            <w:noWrap/>
            <w:vAlign w:val="bottom"/>
            <w:hideMark/>
          </w:tcPr>
          <w:p w:rsidR="00111672" w:rsidRPr="009E7B2D" w:rsidRDefault="0094205E"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hAnsi="Times New Roman" w:cs="Times New Roman"/>
                <w:noProof/>
                <w:position w:val="-4"/>
                <w:sz w:val="24"/>
                <w:szCs w:val="24"/>
              </w:rPr>
              <w:object w:dxaOrig="240" w:dyaOrig="255">
                <v:shape id="_x0000_i1048" type="#_x0000_t75" style="width:12pt;height:12.75pt" o:ole="">
                  <v:imagedata r:id="rId52" o:title=""/>
                </v:shape>
                <o:OLEObject Type="Embed" ProgID="Equation.DSMT4" ShapeID="_x0000_i1048" DrawAspect="Content" ObjectID="_1844834692" r:id="rId53"/>
              </w:object>
            </w:r>
            <w:r w:rsidR="00111672" w:rsidRPr="009E7B2D">
              <w:rPr>
                <w:rFonts w:ascii="Times New Roman" w:eastAsia="Times New Roman" w:hAnsi="Times New Roman" w:cs="Times New Roman"/>
                <w:b/>
                <w:bCs/>
                <w:color w:val="000000"/>
                <w:sz w:val="24"/>
                <w:szCs w:val="24"/>
              </w:rPr>
              <w:t>LINV</w:t>
            </w:r>
          </w:p>
        </w:tc>
        <w:tc>
          <w:tcPr>
            <w:tcW w:w="1722"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b/>
                <w:bCs/>
                <w:color w:val="000000"/>
                <w:sz w:val="24"/>
                <w:szCs w:val="24"/>
              </w:rPr>
            </w:pPr>
            <w:r w:rsidRPr="009E7B2D">
              <w:rPr>
                <w:rFonts w:ascii="Times New Roman" w:eastAsia="Times New Roman" w:hAnsi="Times New Roman" w:cs="Times New Roman"/>
                <w:b/>
                <w:bCs/>
                <w:color w:val="000000"/>
                <w:sz w:val="24"/>
                <w:szCs w:val="24"/>
              </w:rPr>
              <w:t>ECT(-1)</w:t>
            </w:r>
          </w:p>
        </w:tc>
      </w:tr>
      <w:tr w:rsidR="00111672" w:rsidRPr="009E7B2D" w:rsidTr="00111672">
        <w:trPr>
          <w:trHeight w:val="219"/>
        </w:trPr>
        <w:tc>
          <w:tcPr>
            <w:tcW w:w="1633"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LGDP</w:t>
            </w:r>
          </w:p>
        </w:tc>
        <w:tc>
          <w:tcPr>
            <w:tcW w:w="1579"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293"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5.8294</w:t>
            </w:r>
          </w:p>
        </w:tc>
        <w:tc>
          <w:tcPr>
            <w:tcW w:w="1436"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5.5952</w:t>
            </w:r>
          </w:p>
        </w:tc>
        <w:tc>
          <w:tcPr>
            <w:tcW w:w="1579"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6.0094</w:t>
            </w:r>
          </w:p>
        </w:tc>
        <w:tc>
          <w:tcPr>
            <w:tcW w:w="1722" w:type="dxa"/>
            <w:tcBorders>
              <w:top w:val="single" w:sz="18" w:space="0" w:color="auto"/>
              <w:left w:val="nil"/>
              <w:bottom w:val="nil"/>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-0.5345</w:t>
            </w:r>
          </w:p>
        </w:tc>
      </w:tr>
      <w:tr w:rsidR="00111672" w:rsidRPr="009E7B2D" w:rsidTr="00111672">
        <w:trPr>
          <w:trHeight w:val="228"/>
        </w:trPr>
        <w:tc>
          <w:tcPr>
            <w:tcW w:w="1633"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579" w:type="dxa"/>
            <w:noWrap/>
            <w:vAlign w:val="bottom"/>
            <w:hideMark/>
          </w:tcPr>
          <w:p w:rsidR="00111672" w:rsidRPr="009E7B2D" w:rsidRDefault="00111672" w:rsidP="009E7B2D">
            <w:pPr>
              <w:spacing w:after="0" w:line="360" w:lineRule="auto"/>
              <w:jc w:val="both"/>
              <w:rPr>
                <w:rFonts w:ascii="Times New Roman" w:hAnsi="Times New Roman" w:cs="Times New Roman"/>
                <w:sz w:val="24"/>
                <w:szCs w:val="24"/>
                <w:lang w:val="en-US"/>
              </w:rPr>
            </w:pPr>
          </w:p>
        </w:tc>
        <w:tc>
          <w:tcPr>
            <w:tcW w:w="129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[0.0158]**</w:t>
            </w:r>
          </w:p>
        </w:tc>
        <w:tc>
          <w:tcPr>
            <w:tcW w:w="1436"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[0.0185]**</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[0.0063]*</w:t>
            </w:r>
          </w:p>
        </w:tc>
        <w:tc>
          <w:tcPr>
            <w:tcW w:w="1722"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[0.0005]*</w:t>
            </w:r>
          </w:p>
        </w:tc>
      </w:tr>
      <w:tr w:rsidR="00111672" w:rsidRPr="009E7B2D" w:rsidTr="00111672">
        <w:trPr>
          <w:trHeight w:val="228"/>
        </w:trPr>
        <w:tc>
          <w:tcPr>
            <w:tcW w:w="163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CPS</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0.0716</w:t>
            </w:r>
          </w:p>
        </w:tc>
        <w:tc>
          <w:tcPr>
            <w:tcW w:w="129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436"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4.6197</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13.2401</w:t>
            </w:r>
          </w:p>
        </w:tc>
        <w:tc>
          <w:tcPr>
            <w:tcW w:w="1722"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0.0590</w:t>
            </w:r>
          </w:p>
        </w:tc>
      </w:tr>
      <w:tr w:rsidR="00111672" w:rsidRPr="009E7B2D" w:rsidTr="00111672">
        <w:trPr>
          <w:trHeight w:val="228"/>
        </w:trPr>
        <w:tc>
          <w:tcPr>
            <w:tcW w:w="1633"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[0.7889]</w:t>
            </w:r>
          </w:p>
        </w:tc>
        <w:tc>
          <w:tcPr>
            <w:tcW w:w="1293"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436"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[0.0316]*</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[0.0003]*</w:t>
            </w:r>
          </w:p>
        </w:tc>
        <w:tc>
          <w:tcPr>
            <w:tcW w:w="1722"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[0.6657]</w:t>
            </w:r>
          </w:p>
        </w:tc>
      </w:tr>
      <w:tr w:rsidR="00111672" w:rsidRPr="009E7B2D" w:rsidTr="00111672">
        <w:trPr>
          <w:trHeight w:val="219"/>
        </w:trPr>
        <w:tc>
          <w:tcPr>
            <w:tcW w:w="163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BMS</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0.0198</w:t>
            </w:r>
          </w:p>
        </w:tc>
        <w:tc>
          <w:tcPr>
            <w:tcW w:w="129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6.2049</w:t>
            </w:r>
          </w:p>
        </w:tc>
        <w:tc>
          <w:tcPr>
            <w:tcW w:w="1436"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0.0002</w:t>
            </w:r>
          </w:p>
        </w:tc>
        <w:tc>
          <w:tcPr>
            <w:tcW w:w="1722"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-0.1181</w:t>
            </w:r>
          </w:p>
        </w:tc>
      </w:tr>
      <w:tr w:rsidR="00111672" w:rsidRPr="009E7B2D" w:rsidTr="00111672">
        <w:trPr>
          <w:trHeight w:val="209"/>
        </w:trPr>
        <w:tc>
          <w:tcPr>
            <w:tcW w:w="1633"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[0.8879]</w:t>
            </w:r>
          </w:p>
        </w:tc>
        <w:tc>
          <w:tcPr>
            <w:tcW w:w="129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[0.0376]**</w:t>
            </w:r>
          </w:p>
        </w:tc>
        <w:tc>
          <w:tcPr>
            <w:tcW w:w="1436" w:type="dxa"/>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[0.9869]</w:t>
            </w:r>
          </w:p>
        </w:tc>
        <w:tc>
          <w:tcPr>
            <w:tcW w:w="1722"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[0.4614]</w:t>
            </w:r>
          </w:p>
        </w:tc>
      </w:tr>
      <w:tr w:rsidR="00111672" w:rsidRPr="009E7B2D" w:rsidTr="00111672">
        <w:trPr>
          <w:trHeight w:val="209"/>
        </w:trPr>
        <w:tc>
          <w:tcPr>
            <w:tcW w:w="163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LINV</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7.1163</w:t>
            </w:r>
          </w:p>
        </w:tc>
        <w:tc>
          <w:tcPr>
            <w:tcW w:w="1293"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6.8782</w:t>
            </w:r>
          </w:p>
        </w:tc>
        <w:tc>
          <w:tcPr>
            <w:tcW w:w="1436"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5.1882</w:t>
            </w:r>
          </w:p>
        </w:tc>
        <w:tc>
          <w:tcPr>
            <w:tcW w:w="1579"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w:t>
            </w:r>
          </w:p>
        </w:tc>
        <w:tc>
          <w:tcPr>
            <w:tcW w:w="1722" w:type="dxa"/>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0.0514</w:t>
            </w:r>
          </w:p>
        </w:tc>
      </w:tr>
      <w:tr w:rsidR="00111672" w:rsidRPr="009E7B2D" w:rsidTr="00111672">
        <w:trPr>
          <w:trHeight w:val="209"/>
        </w:trPr>
        <w:tc>
          <w:tcPr>
            <w:tcW w:w="1633" w:type="dxa"/>
            <w:tcBorders>
              <w:top w:val="nil"/>
              <w:left w:val="nil"/>
              <w:bottom w:val="single" w:sz="18" w:space="0" w:color="auto"/>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579"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 xml:space="preserve">       [0.0030]**</w:t>
            </w:r>
          </w:p>
        </w:tc>
        <w:tc>
          <w:tcPr>
            <w:tcW w:w="1293"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[0.0234]**</w:t>
            </w:r>
          </w:p>
        </w:tc>
        <w:tc>
          <w:tcPr>
            <w:tcW w:w="1436"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[0.0390]**</w:t>
            </w:r>
          </w:p>
        </w:tc>
        <w:tc>
          <w:tcPr>
            <w:tcW w:w="1579" w:type="dxa"/>
            <w:tcBorders>
              <w:top w:val="nil"/>
              <w:left w:val="nil"/>
              <w:bottom w:val="single" w:sz="18" w:space="0" w:color="auto"/>
              <w:right w:val="nil"/>
            </w:tcBorders>
            <w:noWrap/>
            <w:vAlign w:val="bottom"/>
            <w:hideMark/>
          </w:tcPr>
          <w:p w:rsidR="00111672" w:rsidRPr="009E7B2D" w:rsidRDefault="00111672" w:rsidP="009E7B2D">
            <w:pPr>
              <w:spacing w:line="360" w:lineRule="auto"/>
              <w:jc w:val="both"/>
              <w:rPr>
                <w:rFonts w:ascii="Times New Roman" w:eastAsia="Times New Roman" w:hAnsi="Times New Roman" w:cs="Times New Roman"/>
                <w:color w:val="000000"/>
                <w:sz w:val="24"/>
                <w:szCs w:val="24"/>
              </w:rPr>
            </w:pPr>
          </w:p>
        </w:tc>
        <w:tc>
          <w:tcPr>
            <w:tcW w:w="1722" w:type="dxa"/>
            <w:tcBorders>
              <w:top w:val="nil"/>
              <w:left w:val="nil"/>
              <w:bottom w:val="single" w:sz="18" w:space="0" w:color="auto"/>
              <w:right w:val="nil"/>
            </w:tcBorders>
            <w:noWrap/>
            <w:vAlign w:val="bottom"/>
            <w:hideMark/>
          </w:tcPr>
          <w:p w:rsidR="00111672" w:rsidRPr="009E7B2D" w:rsidRDefault="00111672" w:rsidP="009E7B2D">
            <w:pPr>
              <w:spacing w:after="0" w:line="360" w:lineRule="auto"/>
              <w:jc w:val="both"/>
              <w:rPr>
                <w:rFonts w:ascii="Times New Roman" w:eastAsia="Times New Roman" w:hAnsi="Times New Roman" w:cs="Times New Roman"/>
                <w:color w:val="000000"/>
                <w:sz w:val="24"/>
                <w:szCs w:val="24"/>
              </w:rPr>
            </w:pPr>
            <w:r w:rsidRPr="009E7B2D">
              <w:rPr>
                <w:rFonts w:ascii="Times New Roman" w:eastAsia="Times New Roman" w:hAnsi="Times New Roman" w:cs="Times New Roman"/>
                <w:color w:val="000000"/>
                <w:sz w:val="24"/>
                <w:szCs w:val="24"/>
              </w:rPr>
              <w:t>[0.8185]</w:t>
            </w:r>
          </w:p>
        </w:tc>
      </w:tr>
    </w:tbl>
    <w:p w:rsidR="00111672" w:rsidRPr="009E7B2D" w:rsidRDefault="00111672" w:rsidP="009E7B2D">
      <w:pPr>
        <w:spacing w:line="360" w:lineRule="auto"/>
        <w:jc w:val="both"/>
        <w:rPr>
          <w:rFonts w:ascii="Times New Roman" w:eastAsia="Times New Roman" w:hAnsi="Times New Roman" w:cs="Times New Roman"/>
          <w:i/>
          <w:sz w:val="24"/>
          <w:szCs w:val="24"/>
          <w:lang w:eastAsia="fr-FR"/>
        </w:rPr>
      </w:pPr>
      <w:r w:rsidRPr="009E7B2D">
        <w:rPr>
          <w:rFonts w:ascii="Times New Roman" w:eastAsia="Times New Roman" w:hAnsi="Times New Roman" w:cs="Times New Roman"/>
          <w:i/>
          <w:sz w:val="24"/>
          <w:szCs w:val="24"/>
          <w:lang w:eastAsia="fr-FR"/>
        </w:rPr>
        <w:lastRenderedPageBreak/>
        <w:t xml:space="preserve">Note 1: GDP, CPS, BMS, INV represent gross domestic product, credit to private sector as a share of GDP, broad money supply as a share of GDP, domestic investment respectively.  </w:t>
      </w:r>
      <w:r w:rsidRPr="009E7B2D">
        <w:rPr>
          <w:rFonts w:ascii="Times New Roman" w:hAnsi="Times New Roman" w:cs="Times New Roman"/>
          <w:sz w:val="24"/>
          <w:szCs w:val="24"/>
        </w:rPr>
        <w:t xml:space="preserve">Notes 2: </w:t>
      </w:r>
      <w:r w:rsidRPr="009E7B2D">
        <w:rPr>
          <w:rFonts w:ascii="Times New Roman" w:hAnsi="Times New Roman" w:cs="Times New Roman"/>
          <w:i/>
          <w:iCs/>
          <w:sz w:val="24"/>
          <w:szCs w:val="24"/>
        </w:rPr>
        <w:t xml:space="preserve">Figures in the squared parentheses “[ ]” represent probabilities values of the Chi-square. Note 3: </w:t>
      </w:r>
      <w:r w:rsidRPr="009E7B2D">
        <w:rPr>
          <w:rFonts w:ascii="Times New Roman" w:hAnsi="Times New Roman" w:cs="Times New Roman"/>
          <w:sz w:val="24"/>
          <w:szCs w:val="24"/>
        </w:rPr>
        <w:t>*, **, and *** indicate causality at 1%, 5% and 10% level of significance respectively</w:t>
      </w:r>
    </w:p>
    <w:p w:rsidR="00111672" w:rsidRPr="009E7B2D" w:rsidRDefault="009A6CA9"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t xml:space="preserve">CONCLUSSION </w:t>
      </w:r>
    </w:p>
    <w:p w:rsidR="009A6CA9" w:rsidRPr="009E7B2D" w:rsidRDefault="009A6CA9"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color w:val="000000"/>
          <w:sz w:val="24"/>
          <w:szCs w:val="24"/>
        </w:rPr>
        <w:t>The study investigates the relationship between financial development, domestic investment and economic growth in Nigeria over the period 1994</w:t>
      </w:r>
      <w:r w:rsidRPr="009E7B2D">
        <w:rPr>
          <w:rFonts w:ascii="Times New Roman" w:hAnsi="Times New Roman" w:cs="Times New Roman"/>
          <w:color w:val="000000" w:themeColor="text1"/>
          <w:sz w:val="24"/>
          <w:szCs w:val="24"/>
        </w:rPr>
        <w:t>-2024.</w:t>
      </w:r>
      <w:r w:rsidRPr="009E7B2D">
        <w:rPr>
          <w:rFonts w:ascii="Times New Roman" w:hAnsi="Times New Roman" w:cs="Times New Roman"/>
          <w:color w:val="CD9A00"/>
          <w:sz w:val="24"/>
          <w:szCs w:val="24"/>
        </w:rPr>
        <w:t xml:space="preserve"> </w:t>
      </w:r>
      <w:r w:rsidRPr="009E7B2D">
        <w:rPr>
          <w:rFonts w:ascii="Times New Roman" w:hAnsi="Times New Roman" w:cs="Times New Roman"/>
          <w:color w:val="000000"/>
          <w:sz w:val="24"/>
          <w:szCs w:val="24"/>
        </w:rPr>
        <w:t xml:space="preserve">Findings of the study have given an in-depth insight and clearer understanding of the relationships among the variables. </w:t>
      </w:r>
      <w:r w:rsidRPr="009E7B2D">
        <w:rPr>
          <w:rFonts w:ascii="Times New Roman" w:hAnsi="Times New Roman" w:cs="Times New Roman"/>
          <w:sz w:val="24"/>
          <w:szCs w:val="24"/>
        </w:rPr>
        <w:t xml:space="preserve">The results based on Autoregressive Distributed Lag </w:t>
      </w:r>
      <w:proofErr w:type="spellStart"/>
      <w:r w:rsidRPr="009E7B2D">
        <w:rPr>
          <w:rFonts w:ascii="Times New Roman" w:hAnsi="Times New Roman" w:cs="Times New Roman"/>
          <w:sz w:val="24"/>
          <w:szCs w:val="24"/>
        </w:rPr>
        <w:t>modeling</w:t>
      </w:r>
      <w:proofErr w:type="spellEnd"/>
      <w:r w:rsidRPr="009E7B2D">
        <w:rPr>
          <w:rFonts w:ascii="Times New Roman" w:hAnsi="Times New Roman" w:cs="Times New Roman"/>
          <w:sz w:val="24"/>
          <w:szCs w:val="24"/>
        </w:rPr>
        <w:t xml:space="preserve"> approach (ARDL) model imply that the variables move together in the long run (</w:t>
      </w:r>
      <w:proofErr w:type="spellStart"/>
      <w:r w:rsidRPr="009E7B2D">
        <w:rPr>
          <w:rFonts w:ascii="Times New Roman" w:hAnsi="Times New Roman" w:cs="Times New Roman"/>
          <w:sz w:val="24"/>
          <w:szCs w:val="24"/>
        </w:rPr>
        <w:t>cointegration</w:t>
      </w:r>
      <w:proofErr w:type="spellEnd"/>
      <w:r w:rsidRPr="009E7B2D">
        <w:rPr>
          <w:rFonts w:ascii="Times New Roman" w:hAnsi="Times New Roman" w:cs="Times New Roman"/>
          <w:sz w:val="24"/>
          <w:szCs w:val="24"/>
        </w:rPr>
        <w:t>). The study equally f</w:t>
      </w:r>
      <w:r w:rsidRPr="009E7B2D">
        <w:rPr>
          <w:rFonts w:ascii="Times New Roman" w:hAnsi="Times New Roman" w:cs="Times New Roman"/>
          <w:color w:val="000000"/>
          <w:sz w:val="24"/>
          <w:szCs w:val="24"/>
        </w:rPr>
        <w:t xml:space="preserve">ound </w:t>
      </w:r>
      <w:r w:rsidRPr="009E7B2D">
        <w:rPr>
          <w:rFonts w:ascii="Times New Roman" w:hAnsi="Times New Roman" w:cs="Times New Roman"/>
          <w:sz w:val="24"/>
          <w:szCs w:val="24"/>
        </w:rPr>
        <w:t>that financial development (CPS) and domestic investment have a significant positive impact on economic growth in the long run. The Granger causality analysis found a bidirectional causality between domestic investment and economic growth; between financial development (CPS) and domestic investment in the short run. In addition, there is bidirectional causality between financial development and domestic investment in the short run. There is unidirectional causality between financial development (CPS and MS) and economic growth in the short run. Finally, in the long run financial development and domestic investment jointly Granger causes economic growth.</w:t>
      </w:r>
    </w:p>
    <w:p w:rsidR="009B35B8" w:rsidRDefault="009B35B8" w:rsidP="009E7B2D">
      <w:pPr>
        <w:spacing w:after="0" w:line="360" w:lineRule="auto"/>
        <w:jc w:val="both"/>
        <w:rPr>
          <w:rFonts w:ascii="Times New Roman" w:hAnsi="Times New Roman" w:cs="Times New Roman"/>
          <w:b/>
          <w:sz w:val="24"/>
          <w:szCs w:val="24"/>
        </w:rPr>
      </w:pPr>
    </w:p>
    <w:p w:rsidR="009B35B8" w:rsidRDefault="009B35B8" w:rsidP="009E7B2D">
      <w:pPr>
        <w:spacing w:after="0" w:line="360" w:lineRule="auto"/>
        <w:jc w:val="both"/>
        <w:rPr>
          <w:rFonts w:ascii="Times New Roman" w:hAnsi="Times New Roman" w:cs="Times New Roman"/>
          <w:b/>
          <w:sz w:val="24"/>
          <w:szCs w:val="24"/>
        </w:rPr>
      </w:pPr>
    </w:p>
    <w:p w:rsidR="009A6CA9" w:rsidRPr="009E7B2D" w:rsidRDefault="009A6CA9" w:rsidP="009E7B2D">
      <w:pPr>
        <w:spacing w:after="0" w:line="360" w:lineRule="auto"/>
        <w:jc w:val="both"/>
        <w:rPr>
          <w:rFonts w:ascii="Times New Roman" w:hAnsi="Times New Roman" w:cs="Times New Roman"/>
          <w:b/>
          <w:sz w:val="24"/>
          <w:szCs w:val="24"/>
        </w:rPr>
      </w:pPr>
      <w:r w:rsidRPr="009E7B2D">
        <w:rPr>
          <w:rFonts w:ascii="Times New Roman" w:hAnsi="Times New Roman" w:cs="Times New Roman"/>
          <w:b/>
          <w:sz w:val="24"/>
          <w:szCs w:val="24"/>
        </w:rPr>
        <w:lastRenderedPageBreak/>
        <w:t>POLICY IMPLICATIONS AND RECOMMENDATIONS</w:t>
      </w:r>
    </w:p>
    <w:p w:rsidR="009A6CA9" w:rsidRDefault="009A6CA9" w:rsidP="009E7B2D">
      <w:pPr>
        <w:spacing w:after="0" w:line="360" w:lineRule="auto"/>
        <w:jc w:val="both"/>
        <w:rPr>
          <w:rFonts w:ascii="Times New Roman" w:hAnsi="Times New Roman" w:cs="Times New Roman"/>
          <w:sz w:val="24"/>
          <w:szCs w:val="24"/>
        </w:rPr>
      </w:pPr>
      <w:r w:rsidRPr="009E7B2D">
        <w:rPr>
          <w:rFonts w:ascii="Times New Roman" w:hAnsi="Times New Roman" w:cs="Times New Roman"/>
          <w:sz w:val="24"/>
          <w:szCs w:val="24"/>
        </w:rPr>
        <w:t>The study recommends that Nigerian policymakers should influence the level of economic growth by creating an enabling environment through a number of monetary and fiscal policies to promote financial development and encourage domestic investment such that sound financial sectors will ensure availability of institutional credits to the people, while an increase in domestic investment will promote productivity and create new employment opportunities for people which in turn will increase their living standard through an increase in income level and thus leading to economic growth. It is recommended that the government and monetary authorities especially the Central Bank of Nigeria (CBN) should give high priority to private sectors and Small and Medium Enterprises (SMEs) by directing the financial institutions to make more funds available to private sectors in form of loans at a reduced rate of interest such that the private sectors could better benefit from financial sector. Also, the study recommended that there must be a deliberate attempt by Government and monetary authorities to minimize the use of money supply policy to influence the economy to avert the resultant effect of increased money supply (that is, increased general price level) on the economy.</w:t>
      </w: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9B35B8" w:rsidRDefault="009B35B8" w:rsidP="009E7B2D">
      <w:pPr>
        <w:spacing w:after="0" w:line="360" w:lineRule="auto"/>
        <w:jc w:val="both"/>
        <w:rPr>
          <w:rFonts w:ascii="Times New Roman" w:hAnsi="Times New Roman" w:cs="Times New Roman"/>
          <w:sz w:val="24"/>
          <w:szCs w:val="24"/>
        </w:rPr>
      </w:pPr>
    </w:p>
    <w:p w:rsidR="00E40E06" w:rsidRPr="007912A3" w:rsidRDefault="00E40E06" w:rsidP="00E40E06">
      <w:pPr>
        <w:pStyle w:val="NormalWeb"/>
        <w:spacing w:before="0" w:beforeAutospacing="0" w:after="0" w:afterAutospacing="0" w:line="276" w:lineRule="auto"/>
        <w:jc w:val="both"/>
      </w:pPr>
    </w:p>
    <w:p w:rsidR="00E40E06" w:rsidRPr="00E40E06" w:rsidRDefault="00E40E06" w:rsidP="00E40E06">
      <w:pPr>
        <w:pStyle w:val="NormalWeb"/>
        <w:spacing w:before="0" w:beforeAutospacing="0" w:after="0" w:afterAutospacing="0" w:line="276" w:lineRule="auto"/>
        <w:jc w:val="center"/>
        <w:rPr>
          <w:b/>
        </w:rPr>
      </w:pPr>
      <w:r w:rsidRPr="00E40E06">
        <w:rPr>
          <w:b/>
        </w:rPr>
        <w:lastRenderedPageBreak/>
        <w:t>References</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Abdulkarim</w:t>
      </w:r>
      <w:proofErr w:type="spellEnd"/>
      <w:r w:rsidRPr="007912A3">
        <w:t xml:space="preserve">, S. (2023). </w:t>
      </w:r>
      <w:r w:rsidRPr="007912A3">
        <w:rPr>
          <w:rStyle w:val="Strong"/>
          <w:b w:val="0"/>
        </w:rPr>
        <w:t xml:space="preserve">Domestic Private Investment and Economic Growth in Nigeria: An Error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Correction Model Approach.</w:t>
      </w:r>
      <w:r w:rsidRPr="007912A3">
        <w:t xml:space="preserve"> </w:t>
      </w:r>
      <w:r w:rsidRPr="007912A3">
        <w:rPr>
          <w:rStyle w:val="Emphasis"/>
        </w:rPr>
        <w:t>African Journal of Economic Review</w:t>
      </w:r>
      <w:r w:rsidRPr="007912A3">
        <w:t>, 11(1), 55–70.</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Abubakar</w:t>
      </w:r>
      <w:proofErr w:type="spellEnd"/>
      <w:r w:rsidRPr="007912A3">
        <w:t xml:space="preserve">, A. (2022). </w:t>
      </w:r>
      <w:r w:rsidRPr="007912A3">
        <w:rPr>
          <w:rStyle w:val="Strong"/>
          <w:b w:val="0"/>
        </w:rPr>
        <w:t xml:space="preserve">Finance, Investment and Economic Growth in South Africa: A </w:t>
      </w:r>
      <w:proofErr w:type="spellStart"/>
      <w:r w:rsidRPr="007912A3">
        <w:rPr>
          <w:rStyle w:val="Strong"/>
          <w:b w:val="0"/>
        </w:rPr>
        <w:t>Cointegration</w:t>
      </w:r>
      <w:proofErr w:type="spellEnd"/>
      <w:r w:rsidRPr="007912A3">
        <w:rPr>
          <w:rStyle w:val="Strong"/>
          <w:b w:val="0"/>
        </w:rPr>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Approach.</w:t>
      </w:r>
      <w:r w:rsidRPr="007912A3">
        <w:t xml:space="preserve"> </w:t>
      </w:r>
      <w:r w:rsidRPr="007912A3">
        <w:rPr>
          <w:rStyle w:val="Emphasis"/>
        </w:rPr>
        <w:t>South African Journal of Economics</w:t>
      </w:r>
      <w:r w:rsidRPr="007912A3">
        <w:t>, 90(4), 389–402.</w:t>
      </w:r>
    </w:p>
    <w:p w:rsidR="00E40E06" w:rsidRDefault="00E40E06" w:rsidP="00E40E06">
      <w:pPr>
        <w:pStyle w:val="NormalWeb"/>
        <w:spacing w:before="0" w:beforeAutospacing="0" w:after="0" w:afterAutospacing="0" w:line="276" w:lineRule="auto"/>
        <w:jc w:val="both"/>
        <w:rPr>
          <w:rStyle w:val="Strong"/>
          <w:b w:val="0"/>
        </w:rPr>
      </w:pPr>
      <w:r w:rsidRPr="007912A3">
        <w:t xml:space="preserve">Abu, N., &amp; </w:t>
      </w:r>
      <w:proofErr w:type="spellStart"/>
      <w:r w:rsidRPr="007912A3">
        <w:t>Abd</w:t>
      </w:r>
      <w:proofErr w:type="spellEnd"/>
      <w:r w:rsidRPr="007912A3">
        <w:t xml:space="preserve">-Karim, M. Z. (2016). </w:t>
      </w:r>
      <w:r w:rsidRPr="007912A3">
        <w:rPr>
          <w:rStyle w:val="Strong"/>
          <w:b w:val="0"/>
        </w:rPr>
        <w:t xml:space="preserve">The Relationship between Financial Development and </w:t>
      </w:r>
    </w:p>
    <w:p w:rsidR="00E40E06" w:rsidRDefault="00E40E06" w:rsidP="00E40E06">
      <w:pPr>
        <w:pStyle w:val="NormalWeb"/>
        <w:spacing w:before="0" w:beforeAutospacing="0" w:after="0" w:afterAutospacing="0" w:line="276" w:lineRule="auto"/>
        <w:ind w:firstLine="720"/>
        <w:jc w:val="both"/>
      </w:pPr>
      <w:r w:rsidRPr="007912A3">
        <w:rPr>
          <w:rStyle w:val="Strong"/>
          <w:b w:val="0"/>
        </w:rPr>
        <w:t>Economic Growth in Nigeria.</w:t>
      </w:r>
      <w:r w:rsidRPr="007912A3">
        <w:t xml:space="preserve"> </w:t>
      </w:r>
      <w:r w:rsidRPr="007912A3">
        <w:rPr>
          <w:rStyle w:val="Emphasis"/>
        </w:rPr>
        <w:t>International Journal of Economics and Financial Issues</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t>6(4), 1524–1532.</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Adegbite</w:t>
      </w:r>
      <w:proofErr w:type="spellEnd"/>
      <w:r w:rsidRPr="007912A3">
        <w:t xml:space="preserve">, E. O., &amp; </w:t>
      </w:r>
      <w:proofErr w:type="spellStart"/>
      <w:r w:rsidRPr="007912A3">
        <w:t>Adetiloye</w:t>
      </w:r>
      <w:proofErr w:type="spellEnd"/>
      <w:r w:rsidRPr="007912A3">
        <w:t xml:space="preserve">, K. A. (2018). </w:t>
      </w:r>
      <w:r w:rsidRPr="007912A3">
        <w:rPr>
          <w:rStyle w:val="Strong"/>
          <w:b w:val="0"/>
        </w:rPr>
        <w:t xml:space="preserve">Financial Development and Economic Growth in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Nigeria.</w:t>
      </w:r>
      <w:r w:rsidRPr="007912A3">
        <w:t xml:space="preserve"> </w:t>
      </w:r>
      <w:r w:rsidRPr="007912A3">
        <w:rPr>
          <w:rStyle w:val="Emphasis"/>
        </w:rPr>
        <w:t>Journal of Economics and Sustainable Development</w:t>
      </w:r>
      <w:r w:rsidRPr="007912A3">
        <w:t>, 9(7), 110–121.</w:t>
      </w:r>
    </w:p>
    <w:p w:rsidR="00E40E06" w:rsidRDefault="00E40E06" w:rsidP="00E40E06">
      <w:pPr>
        <w:pStyle w:val="NormalWeb"/>
        <w:spacing w:before="0" w:beforeAutospacing="0" w:after="0" w:afterAutospacing="0" w:line="276" w:lineRule="auto"/>
        <w:jc w:val="both"/>
      </w:pPr>
      <w:proofErr w:type="spellStart"/>
      <w:r w:rsidRPr="007912A3">
        <w:t>Ahmodu</w:t>
      </w:r>
      <w:proofErr w:type="spellEnd"/>
      <w:r w:rsidRPr="007912A3">
        <w:t xml:space="preserve">, A. (2023). </w:t>
      </w:r>
      <w:r w:rsidRPr="007912A3">
        <w:rPr>
          <w:rStyle w:val="Strong"/>
          <w:b w:val="0"/>
        </w:rPr>
        <w:t>Financial Liberalization and Economic Growth in Developing Economies.</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Journal of Economics and Sustainable Development</w:t>
      </w:r>
      <w:r w:rsidRPr="007912A3">
        <w:t>, 14(2), 45–58.</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Ajayi</w:t>
      </w:r>
      <w:proofErr w:type="spellEnd"/>
      <w:r w:rsidRPr="007912A3">
        <w:t xml:space="preserve">, K., </w:t>
      </w:r>
      <w:proofErr w:type="spellStart"/>
      <w:r w:rsidRPr="007912A3">
        <w:t>Akinwale</w:t>
      </w:r>
      <w:proofErr w:type="spellEnd"/>
      <w:r w:rsidRPr="007912A3">
        <w:t xml:space="preserve">, O., &amp; Bello, T. (2022). </w:t>
      </w:r>
      <w:r w:rsidRPr="007912A3">
        <w:rPr>
          <w:rStyle w:val="Strong"/>
          <w:b w:val="0"/>
        </w:rPr>
        <w:t xml:space="preserve">Savings, Investment and Economic Growth Nexus in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Nigeria.</w:t>
      </w:r>
      <w:r w:rsidRPr="007912A3">
        <w:t xml:space="preserve"> </w:t>
      </w:r>
      <w:r w:rsidRPr="007912A3">
        <w:rPr>
          <w:rStyle w:val="Emphasis"/>
        </w:rPr>
        <w:t>Journal of African Business and Economic Research</w:t>
      </w:r>
      <w:r w:rsidRPr="007912A3">
        <w:t>, 7(1), 77–93.</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Akinlo</w:t>
      </w:r>
      <w:proofErr w:type="spellEnd"/>
      <w:r w:rsidRPr="007912A3">
        <w:t xml:space="preserve">, A. E., &amp; </w:t>
      </w:r>
      <w:proofErr w:type="spellStart"/>
      <w:r w:rsidRPr="007912A3">
        <w:t>Egbetunde</w:t>
      </w:r>
      <w:proofErr w:type="spellEnd"/>
      <w:r w:rsidRPr="007912A3">
        <w:t xml:space="preserve">, T. (2020). </w:t>
      </w:r>
      <w:r w:rsidRPr="007912A3">
        <w:rPr>
          <w:rStyle w:val="Strong"/>
          <w:b w:val="0"/>
        </w:rPr>
        <w:t xml:space="preserve">Financial Development and Economic Growth: The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Experience of Nigeria.</w:t>
      </w:r>
      <w:r w:rsidRPr="007912A3">
        <w:t xml:space="preserve"> </w:t>
      </w:r>
      <w:r w:rsidRPr="007912A3">
        <w:rPr>
          <w:rStyle w:val="Emphasis"/>
        </w:rPr>
        <w:t>Journal of Economics and International Finance</w:t>
      </w:r>
      <w:r w:rsidRPr="007912A3">
        <w:t>, 12(2), 67–75.</w:t>
      </w:r>
    </w:p>
    <w:p w:rsidR="00E40E06" w:rsidRDefault="00E40E06" w:rsidP="00E40E06">
      <w:pPr>
        <w:pStyle w:val="NormalWeb"/>
        <w:spacing w:before="0" w:beforeAutospacing="0" w:after="0" w:afterAutospacing="0" w:line="276" w:lineRule="auto"/>
        <w:jc w:val="both"/>
      </w:pPr>
      <w:r w:rsidRPr="007912A3">
        <w:t xml:space="preserve">Anwar, S., &amp; Nguyen, L. P. (2011). </w:t>
      </w:r>
      <w:r w:rsidRPr="007912A3">
        <w:rPr>
          <w:rStyle w:val="Strong"/>
          <w:b w:val="0"/>
        </w:rPr>
        <w:t>Financial development and economic growth in Vietnam.</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Journal of Economics and Finance</w:t>
      </w:r>
      <w:r w:rsidRPr="007912A3">
        <w:t>, 35(3), 348–360.</w:t>
      </w:r>
    </w:p>
    <w:p w:rsidR="00E40E06" w:rsidRDefault="00E40E06" w:rsidP="00E40E06">
      <w:pPr>
        <w:pStyle w:val="NormalWeb"/>
        <w:spacing w:before="0" w:beforeAutospacing="0" w:after="0" w:afterAutospacing="0" w:line="276" w:lineRule="auto"/>
        <w:jc w:val="both"/>
        <w:rPr>
          <w:rStyle w:val="Strong"/>
          <w:b w:val="0"/>
        </w:rPr>
      </w:pPr>
      <w:r w:rsidRPr="007912A3">
        <w:t xml:space="preserve">Aurangzeb, K., &amp; Anwar, Z. (2012). </w:t>
      </w:r>
      <w:r w:rsidRPr="007912A3">
        <w:rPr>
          <w:rStyle w:val="Strong"/>
          <w:b w:val="0"/>
        </w:rPr>
        <w:t xml:space="preserve">Impact of Investment Activities on Economic Growth of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Pakistan.</w:t>
      </w:r>
      <w:r w:rsidRPr="007912A3">
        <w:t xml:space="preserve"> </w:t>
      </w:r>
      <w:r w:rsidRPr="007912A3">
        <w:rPr>
          <w:rStyle w:val="Emphasis"/>
        </w:rPr>
        <w:t>Business and Economic Research</w:t>
      </w:r>
      <w:r w:rsidRPr="007912A3">
        <w:t>, 2(1), 92–100.</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Boukhatem</w:t>
      </w:r>
      <w:proofErr w:type="spellEnd"/>
      <w:r w:rsidRPr="007912A3">
        <w:t xml:space="preserve">, J. (2016). </w:t>
      </w:r>
      <w:r w:rsidRPr="007912A3">
        <w:rPr>
          <w:rStyle w:val="Strong"/>
          <w:b w:val="0"/>
        </w:rPr>
        <w:t xml:space="preserve">Assessing the Direct Effect of Financial Development on Poverty Reduction </w:t>
      </w:r>
    </w:p>
    <w:p w:rsidR="00E40E06" w:rsidRDefault="00E40E06" w:rsidP="00E40E06">
      <w:pPr>
        <w:pStyle w:val="NormalWeb"/>
        <w:spacing w:before="0" w:beforeAutospacing="0" w:after="0" w:afterAutospacing="0" w:line="276" w:lineRule="auto"/>
        <w:ind w:firstLine="720"/>
        <w:jc w:val="both"/>
        <w:rPr>
          <w:rStyle w:val="Emphasis"/>
        </w:rPr>
      </w:pPr>
      <w:proofErr w:type="gramStart"/>
      <w:r w:rsidRPr="007912A3">
        <w:rPr>
          <w:rStyle w:val="Strong"/>
          <w:b w:val="0"/>
        </w:rPr>
        <w:t>in</w:t>
      </w:r>
      <w:proofErr w:type="gramEnd"/>
      <w:r w:rsidRPr="007912A3">
        <w:rPr>
          <w:rStyle w:val="Strong"/>
          <w:b w:val="0"/>
        </w:rPr>
        <w:t xml:space="preserve"> a Panel of Low- and Middle-Income Countries.</w:t>
      </w:r>
      <w:r w:rsidRPr="007912A3">
        <w:t xml:space="preserve"> </w:t>
      </w:r>
      <w:r w:rsidRPr="007912A3">
        <w:rPr>
          <w:rStyle w:val="Emphasis"/>
        </w:rPr>
        <w:t xml:space="preserve">Research in International Business and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Finance</w:t>
      </w:r>
      <w:r w:rsidRPr="007912A3">
        <w:t>, 37, 214–230.</w:t>
      </w:r>
    </w:p>
    <w:p w:rsidR="00E40E06" w:rsidRDefault="00E40E06" w:rsidP="00E40E06">
      <w:pPr>
        <w:pStyle w:val="NormalWeb"/>
        <w:spacing w:before="0" w:beforeAutospacing="0" w:after="0" w:afterAutospacing="0" w:line="276" w:lineRule="auto"/>
        <w:jc w:val="both"/>
        <w:rPr>
          <w:rStyle w:val="Emphasis"/>
        </w:rPr>
      </w:pPr>
      <w:proofErr w:type="spellStart"/>
      <w:r w:rsidRPr="007912A3">
        <w:t>Cecchetti</w:t>
      </w:r>
      <w:proofErr w:type="spellEnd"/>
      <w:r w:rsidRPr="007912A3">
        <w:t xml:space="preserve">, S. G., &amp; </w:t>
      </w:r>
      <w:proofErr w:type="spellStart"/>
      <w:r w:rsidRPr="007912A3">
        <w:t>Kharroubi</w:t>
      </w:r>
      <w:proofErr w:type="spellEnd"/>
      <w:r w:rsidRPr="007912A3">
        <w:t xml:space="preserve">, E. (2012). </w:t>
      </w:r>
      <w:r w:rsidRPr="007912A3">
        <w:rPr>
          <w:rStyle w:val="Strong"/>
          <w:b w:val="0"/>
        </w:rPr>
        <w:t>Reassessing the Impact of Finance on Growth.</w:t>
      </w:r>
      <w:r w:rsidRPr="007912A3">
        <w:t xml:space="preserve"> </w:t>
      </w:r>
      <w:r w:rsidRPr="007912A3">
        <w:rPr>
          <w:rStyle w:val="Emphasis"/>
        </w:rPr>
        <w:t xml:space="preserve">BIS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Working Paper No. 381</w:t>
      </w:r>
      <w:r w:rsidRPr="007912A3">
        <w:t>, Bank for International Settlements, pp. 1–28.</w:t>
      </w:r>
    </w:p>
    <w:p w:rsidR="00E40E06" w:rsidRDefault="00E40E06" w:rsidP="00E40E06">
      <w:pPr>
        <w:pStyle w:val="NormalWeb"/>
        <w:spacing w:before="0" w:beforeAutospacing="0" w:after="0" w:afterAutospacing="0" w:line="276" w:lineRule="auto"/>
        <w:jc w:val="both"/>
      </w:pPr>
      <w:r w:rsidRPr="007912A3">
        <w:t xml:space="preserve">Cline, W. R. (2015). </w:t>
      </w:r>
      <w:r w:rsidRPr="007912A3">
        <w:rPr>
          <w:rStyle w:val="Strong"/>
          <w:b w:val="0"/>
        </w:rPr>
        <w:t>Financial Development and Economic Growth in Emerging Economies.</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Asian Development Review</w:t>
      </w:r>
      <w:r w:rsidRPr="007912A3">
        <w:t>, 32(2), 1–23.</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Chigozie</w:t>
      </w:r>
      <w:proofErr w:type="spellEnd"/>
      <w:r w:rsidRPr="007912A3">
        <w:t xml:space="preserve">, N., &amp; </w:t>
      </w:r>
      <w:proofErr w:type="spellStart"/>
      <w:r w:rsidRPr="007912A3">
        <w:t>Omolade</w:t>
      </w:r>
      <w:proofErr w:type="spellEnd"/>
      <w:r w:rsidRPr="007912A3">
        <w:t xml:space="preserve">, A. (2021). </w:t>
      </w:r>
      <w:r w:rsidRPr="007912A3">
        <w:rPr>
          <w:rStyle w:val="Strong"/>
          <w:b w:val="0"/>
        </w:rPr>
        <w:t xml:space="preserve">Domestic Savings, Domestic Investment and Economic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Growth in Nigeria.</w:t>
      </w:r>
      <w:r w:rsidRPr="007912A3">
        <w:t xml:space="preserve"> </w:t>
      </w:r>
      <w:r w:rsidRPr="007912A3">
        <w:rPr>
          <w:rStyle w:val="Emphasis"/>
        </w:rPr>
        <w:t>Journal of Economics and Development Studies</w:t>
      </w:r>
      <w:r w:rsidRPr="007912A3">
        <w:t>, 9(2), 56–69.</w:t>
      </w:r>
    </w:p>
    <w:p w:rsidR="00E40E06" w:rsidRDefault="00E40E06" w:rsidP="00E40E06">
      <w:pPr>
        <w:pStyle w:val="NormalWeb"/>
        <w:spacing w:before="0" w:beforeAutospacing="0" w:after="0" w:afterAutospacing="0" w:line="276" w:lineRule="auto"/>
        <w:jc w:val="both"/>
        <w:rPr>
          <w:rStyle w:val="Strong"/>
          <w:b w:val="0"/>
        </w:rPr>
      </w:pPr>
      <w:r w:rsidRPr="007912A3">
        <w:t xml:space="preserve">Dada, A., </w:t>
      </w:r>
      <w:proofErr w:type="spellStart"/>
      <w:r w:rsidRPr="007912A3">
        <w:t>Ahmodu</w:t>
      </w:r>
      <w:proofErr w:type="spellEnd"/>
      <w:r w:rsidRPr="007912A3">
        <w:t xml:space="preserve">, A., &amp; </w:t>
      </w:r>
      <w:proofErr w:type="spellStart"/>
      <w:r w:rsidRPr="007912A3">
        <w:t>Daramola</w:t>
      </w:r>
      <w:proofErr w:type="spellEnd"/>
      <w:r w:rsidRPr="007912A3">
        <w:t xml:space="preserve">, O. (2023). </w:t>
      </w:r>
      <w:r w:rsidRPr="007912A3">
        <w:rPr>
          <w:rStyle w:val="Strong"/>
          <w:b w:val="0"/>
        </w:rPr>
        <w:t xml:space="preserve">Domestic Capital Formation and Economic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Growth in Nigeria.</w:t>
      </w:r>
      <w:r w:rsidRPr="007912A3">
        <w:t xml:space="preserve"> </w:t>
      </w:r>
      <w:r w:rsidRPr="007912A3">
        <w:rPr>
          <w:rStyle w:val="Emphasis"/>
        </w:rPr>
        <w:t>Journal of African Economic Studies</w:t>
      </w:r>
      <w:r w:rsidRPr="007912A3">
        <w:t>, 15(1), 66–82.</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Dauda</w:t>
      </w:r>
      <w:proofErr w:type="spellEnd"/>
      <w:r w:rsidRPr="007912A3">
        <w:t xml:space="preserve">, R. O. S., &amp; </w:t>
      </w:r>
      <w:proofErr w:type="spellStart"/>
      <w:r w:rsidRPr="007912A3">
        <w:t>Makinde</w:t>
      </w:r>
      <w:proofErr w:type="spellEnd"/>
      <w:r w:rsidRPr="007912A3">
        <w:t xml:space="preserve">, K. O. (2014). </w:t>
      </w:r>
      <w:r w:rsidRPr="007912A3">
        <w:rPr>
          <w:rStyle w:val="Strong"/>
          <w:b w:val="0"/>
        </w:rPr>
        <w:t xml:space="preserve">Financial Sector Development and Poverty Reduction </w:t>
      </w:r>
    </w:p>
    <w:p w:rsidR="00E40E06" w:rsidRDefault="00E40E06" w:rsidP="00E40E06">
      <w:pPr>
        <w:pStyle w:val="NormalWeb"/>
        <w:spacing w:before="0" w:beforeAutospacing="0" w:after="0" w:afterAutospacing="0" w:line="276" w:lineRule="auto"/>
        <w:ind w:firstLine="720"/>
        <w:jc w:val="both"/>
        <w:rPr>
          <w:rStyle w:val="Emphasis"/>
        </w:rPr>
      </w:pPr>
      <w:proofErr w:type="gramStart"/>
      <w:r w:rsidRPr="007912A3">
        <w:rPr>
          <w:rStyle w:val="Strong"/>
          <w:b w:val="0"/>
        </w:rPr>
        <w:t>in</w:t>
      </w:r>
      <w:proofErr w:type="gramEnd"/>
      <w:r w:rsidRPr="007912A3">
        <w:rPr>
          <w:rStyle w:val="Strong"/>
          <w:b w:val="0"/>
        </w:rPr>
        <w:t xml:space="preserve"> Nigeria: A Vector </w:t>
      </w:r>
      <w:proofErr w:type="spellStart"/>
      <w:r w:rsidRPr="007912A3">
        <w:rPr>
          <w:rStyle w:val="Strong"/>
          <w:b w:val="0"/>
        </w:rPr>
        <w:t>Autoregression</w:t>
      </w:r>
      <w:proofErr w:type="spellEnd"/>
      <w:r w:rsidRPr="007912A3">
        <w:rPr>
          <w:rStyle w:val="Strong"/>
          <w:b w:val="0"/>
        </w:rPr>
        <w:t xml:space="preserve"> Analysis (1980–2010).</w:t>
      </w:r>
      <w:r w:rsidRPr="007912A3">
        <w:t xml:space="preserve"> </w:t>
      </w:r>
      <w:r w:rsidRPr="007912A3">
        <w:rPr>
          <w:rStyle w:val="Emphasis"/>
        </w:rPr>
        <w:t xml:space="preserve">Asian Economic and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Financial Review</w:t>
      </w:r>
      <w:r w:rsidRPr="007912A3">
        <w:t xml:space="preserve">, 4(8), 1040–1061. </w:t>
      </w:r>
    </w:p>
    <w:p w:rsidR="00E40E06" w:rsidRDefault="00E40E06" w:rsidP="00E40E06">
      <w:pPr>
        <w:pStyle w:val="NormalWeb"/>
        <w:spacing w:before="0" w:beforeAutospacing="0" w:after="0" w:afterAutospacing="0" w:line="276" w:lineRule="auto"/>
        <w:jc w:val="both"/>
      </w:pPr>
      <w:proofErr w:type="spellStart"/>
      <w:r w:rsidRPr="007912A3">
        <w:t>Domar</w:t>
      </w:r>
      <w:proofErr w:type="spellEnd"/>
      <w:r w:rsidRPr="007912A3">
        <w:t xml:space="preserve">, E. D. (1946). </w:t>
      </w:r>
      <w:r w:rsidRPr="007912A3">
        <w:rPr>
          <w:rStyle w:val="Strong"/>
          <w:b w:val="0"/>
        </w:rPr>
        <w:t>Capital Expansion, Rate of Growth, and Employment.</w:t>
      </w:r>
      <w:r w:rsidRPr="007912A3">
        <w:t xml:space="preserve"> </w:t>
      </w:r>
      <w:proofErr w:type="spellStart"/>
      <w:r w:rsidRPr="007912A3">
        <w:rPr>
          <w:rStyle w:val="Emphasis"/>
        </w:rPr>
        <w:t>Econometrica</w:t>
      </w:r>
      <w:proofErr w:type="spellEnd"/>
      <w:r w:rsidRPr="007912A3">
        <w:t xml:space="preserve">, 14(2), </w:t>
      </w:r>
    </w:p>
    <w:p w:rsidR="00E40E06" w:rsidRPr="007912A3" w:rsidRDefault="00E40E06" w:rsidP="00E40E06">
      <w:pPr>
        <w:pStyle w:val="NormalWeb"/>
        <w:spacing w:before="0" w:beforeAutospacing="0" w:after="0" w:afterAutospacing="0" w:line="276" w:lineRule="auto"/>
        <w:ind w:firstLine="720"/>
        <w:jc w:val="both"/>
      </w:pPr>
      <w:r w:rsidRPr="007912A3">
        <w:t>137–147.</w:t>
      </w:r>
    </w:p>
    <w:p w:rsidR="00E40E06" w:rsidRDefault="00E40E06" w:rsidP="00E40E06">
      <w:pPr>
        <w:pStyle w:val="NormalWeb"/>
        <w:spacing w:before="0" w:beforeAutospacing="0" w:after="0" w:afterAutospacing="0" w:line="276" w:lineRule="auto"/>
        <w:jc w:val="both"/>
      </w:pPr>
      <w:proofErr w:type="spellStart"/>
      <w:r w:rsidRPr="007912A3">
        <w:t>Esomnofu</w:t>
      </w:r>
      <w:proofErr w:type="spellEnd"/>
      <w:r w:rsidRPr="007912A3">
        <w:t xml:space="preserve">, S., &amp; </w:t>
      </w:r>
      <w:proofErr w:type="spellStart"/>
      <w:r w:rsidRPr="007912A3">
        <w:t>Onyejegbu</w:t>
      </w:r>
      <w:proofErr w:type="spellEnd"/>
      <w:r w:rsidRPr="007912A3">
        <w:t xml:space="preserve">, C. (2019). </w:t>
      </w:r>
      <w:r w:rsidRPr="007912A3">
        <w:rPr>
          <w:rStyle w:val="Strong"/>
          <w:b w:val="0"/>
        </w:rPr>
        <w:t>Capital Formation and Economic Growth in Nigeria.</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International Journal of Economics and Financial Management</w:t>
      </w:r>
      <w:r w:rsidRPr="007912A3">
        <w:t>, 4(3), 45–57.</w:t>
      </w:r>
    </w:p>
    <w:p w:rsidR="00E40E06" w:rsidRDefault="00E40E06" w:rsidP="00E40E06">
      <w:pPr>
        <w:spacing w:after="0"/>
        <w:jc w:val="both"/>
        <w:rPr>
          <w:rStyle w:val="Strong"/>
          <w:rFonts w:ascii="Times New Roman" w:hAnsi="Times New Roman" w:cs="Times New Roman"/>
          <w:b w:val="0"/>
          <w:sz w:val="24"/>
          <w:szCs w:val="24"/>
        </w:rPr>
      </w:pPr>
      <w:proofErr w:type="spellStart"/>
      <w:r w:rsidRPr="007912A3">
        <w:rPr>
          <w:rFonts w:ascii="Times New Roman" w:hAnsi="Times New Roman" w:cs="Times New Roman"/>
          <w:sz w:val="24"/>
          <w:szCs w:val="24"/>
        </w:rPr>
        <w:t>Ezeanyeji</w:t>
      </w:r>
      <w:proofErr w:type="spellEnd"/>
      <w:r w:rsidRPr="007912A3">
        <w:rPr>
          <w:rFonts w:ascii="Times New Roman" w:hAnsi="Times New Roman" w:cs="Times New Roman"/>
          <w:sz w:val="24"/>
          <w:szCs w:val="24"/>
        </w:rPr>
        <w:t xml:space="preserve">, C. I., &amp; </w:t>
      </w:r>
      <w:proofErr w:type="spellStart"/>
      <w:r w:rsidRPr="007912A3">
        <w:rPr>
          <w:rFonts w:ascii="Times New Roman" w:hAnsi="Times New Roman" w:cs="Times New Roman"/>
          <w:sz w:val="24"/>
          <w:szCs w:val="24"/>
        </w:rPr>
        <w:t>Ifurueze</w:t>
      </w:r>
      <w:proofErr w:type="spellEnd"/>
      <w:r w:rsidRPr="007912A3">
        <w:rPr>
          <w:rFonts w:ascii="Times New Roman" w:hAnsi="Times New Roman" w:cs="Times New Roman"/>
          <w:sz w:val="24"/>
          <w:szCs w:val="24"/>
        </w:rPr>
        <w:t xml:space="preserve">, M. S. (2017). </w:t>
      </w:r>
      <w:r w:rsidRPr="007912A3">
        <w:rPr>
          <w:rStyle w:val="Strong"/>
          <w:rFonts w:ascii="Times New Roman" w:hAnsi="Times New Roman" w:cs="Times New Roman"/>
          <w:b w:val="0"/>
          <w:sz w:val="24"/>
          <w:szCs w:val="24"/>
        </w:rPr>
        <w:t xml:space="preserve">Effect of Financial Development Deepening on </w:t>
      </w:r>
    </w:p>
    <w:p w:rsidR="00E40E06" w:rsidRDefault="00E40E06" w:rsidP="00E40E06">
      <w:pPr>
        <w:spacing w:after="0"/>
        <w:ind w:firstLine="720"/>
        <w:jc w:val="both"/>
        <w:rPr>
          <w:rFonts w:ascii="Times New Roman" w:hAnsi="Times New Roman" w:cs="Times New Roman"/>
          <w:sz w:val="24"/>
          <w:szCs w:val="24"/>
        </w:rPr>
      </w:pPr>
      <w:r w:rsidRPr="007912A3">
        <w:rPr>
          <w:rStyle w:val="Strong"/>
          <w:rFonts w:ascii="Times New Roman" w:hAnsi="Times New Roman" w:cs="Times New Roman"/>
          <w:b w:val="0"/>
          <w:sz w:val="24"/>
          <w:szCs w:val="24"/>
        </w:rPr>
        <w:t>Economic Growth in Nigeria.</w:t>
      </w:r>
      <w:r w:rsidRPr="007912A3">
        <w:rPr>
          <w:rFonts w:ascii="Times New Roman" w:hAnsi="Times New Roman" w:cs="Times New Roman"/>
          <w:sz w:val="24"/>
          <w:szCs w:val="24"/>
        </w:rPr>
        <w:t xml:space="preserve"> </w:t>
      </w:r>
      <w:r w:rsidRPr="007912A3">
        <w:rPr>
          <w:rStyle w:val="Emphasis"/>
          <w:rFonts w:ascii="Times New Roman" w:hAnsi="Times New Roman" w:cs="Times New Roman"/>
          <w:sz w:val="24"/>
          <w:szCs w:val="24"/>
        </w:rPr>
        <w:t>Journal of Economics and Sustainable Development</w:t>
      </w:r>
      <w:r w:rsidRPr="007912A3">
        <w:rPr>
          <w:rFonts w:ascii="Times New Roman" w:hAnsi="Times New Roman" w:cs="Times New Roman"/>
          <w:sz w:val="24"/>
          <w:szCs w:val="24"/>
        </w:rPr>
        <w:t xml:space="preserve">, 8(19), </w:t>
      </w:r>
    </w:p>
    <w:p w:rsidR="00E40E06" w:rsidRPr="007912A3" w:rsidRDefault="00E40E06" w:rsidP="00E40E06">
      <w:pPr>
        <w:spacing w:after="0"/>
        <w:ind w:firstLine="720"/>
        <w:jc w:val="both"/>
        <w:rPr>
          <w:rFonts w:ascii="Times New Roman" w:hAnsi="Times New Roman" w:cs="Times New Roman"/>
          <w:sz w:val="24"/>
          <w:szCs w:val="24"/>
        </w:rPr>
      </w:pPr>
      <w:r w:rsidRPr="007912A3">
        <w:rPr>
          <w:rFonts w:ascii="Times New Roman" w:hAnsi="Times New Roman" w:cs="Times New Roman"/>
          <w:sz w:val="24"/>
          <w:szCs w:val="24"/>
        </w:rPr>
        <w:lastRenderedPageBreak/>
        <w:t>34–43.</w:t>
      </w:r>
    </w:p>
    <w:p w:rsidR="00E40E06" w:rsidRDefault="00E40E06" w:rsidP="00E40E06">
      <w:pPr>
        <w:pStyle w:val="NormalWeb"/>
        <w:spacing w:before="0" w:beforeAutospacing="0" w:after="0" w:afterAutospacing="0" w:line="276" w:lineRule="auto"/>
        <w:jc w:val="both"/>
        <w:rPr>
          <w:rStyle w:val="Emphasis"/>
        </w:rPr>
      </w:pPr>
      <w:proofErr w:type="spellStart"/>
      <w:r w:rsidRPr="007912A3">
        <w:t>Gautam</w:t>
      </w:r>
      <w:proofErr w:type="spellEnd"/>
      <w:r w:rsidRPr="007912A3">
        <w:t xml:space="preserve">, R. (2014). </w:t>
      </w:r>
      <w:r w:rsidRPr="007912A3">
        <w:rPr>
          <w:rStyle w:val="Strong"/>
          <w:b w:val="0"/>
        </w:rPr>
        <w:t>Financial Development and Economic Growth in Nepal.</w:t>
      </w:r>
      <w:r w:rsidRPr="007912A3">
        <w:t xml:space="preserve"> </w:t>
      </w:r>
      <w:r w:rsidRPr="007912A3">
        <w:rPr>
          <w:rStyle w:val="Emphasis"/>
        </w:rPr>
        <w:t xml:space="preserve">NRB Economic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Review</w:t>
      </w:r>
      <w:r w:rsidRPr="007912A3">
        <w:t>, 26(2), 1–16.</w:t>
      </w:r>
    </w:p>
    <w:p w:rsidR="00E40E06" w:rsidRDefault="00E40E06" w:rsidP="00E40E06">
      <w:pPr>
        <w:pStyle w:val="NormalWeb"/>
        <w:spacing w:before="0" w:beforeAutospacing="0" w:after="0" w:afterAutospacing="0" w:line="276" w:lineRule="auto"/>
        <w:jc w:val="both"/>
      </w:pPr>
      <w:r w:rsidRPr="007912A3">
        <w:t xml:space="preserve">Goldsmith, R. W. (1969). </w:t>
      </w:r>
      <w:r w:rsidRPr="007912A3">
        <w:rPr>
          <w:rStyle w:val="Emphasis"/>
        </w:rPr>
        <w:t>Financial Structure and Development.</w:t>
      </w:r>
      <w:r w:rsidRPr="007912A3">
        <w:t xml:space="preserve"> New Haven: Yale University </w:t>
      </w:r>
    </w:p>
    <w:p w:rsidR="00E40E06" w:rsidRPr="007912A3" w:rsidRDefault="00E40E06" w:rsidP="00E40E06">
      <w:pPr>
        <w:pStyle w:val="NormalWeb"/>
        <w:spacing w:before="0" w:beforeAutospacing="0" w:after="0" w:afterAutospacing="0" w:line="276" w:lineRule="auto"/>
        <w:ind w:firstLine="720"/>
        <w:jc w:val="both"/>
      </w:pPr>
      <w:r w:rsidRPr="007912A3">
        <w:t>Press.</w:t>
      </w:r>
    </w:p>
    <w:p w:rsidR="00E40E06" w:rsidRDefault="00E40E06" w:rsidP="00E40E06">
      <w:pPr>
        <w:pStyle w:val="NormalWeb"/>
        <w:spacing w:before="0" w:beforeAutospacing="0" w:after="0" w:afterAutospacing="0" w:line="276" w:lineRule="auto"/>
        <w:jc w:val="both"/>
        <w:rPr>
          <w:rStyle w:val="Emphasis"/>
        </w:rPr>
      </w:pPr>
      <w:r w:rsidRPr="007912A3">
        <w:t xml:space="preserve">Gurley, J. G., &amp; Shaw, E. S. (1955). </w:t>
      </w:r>
      <w:r w:rsidRPr="007912A3">
        <w:rPr>
          <w:rStyle w:val="Strong"/>
          <w:b w:val="0"/>
        </w:rPr>
        <w:t>Financial Aspects of Economic Development.</w:t>
      </w:r>
      <w:r w:rsidRPr="007912A3">
        <w:t xml:space="preserve"> </w:t>
      </w:r>
      <w:r w:rsidRPr="007912A3">
        <w:rPr>
          <w:rStyle w:val="Emphasis"/>
        </w:rPr>
        <w:t xml:space="preserve">American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Economic Review</w:t>
      </w:r>
      <w:r w:rsidRPr="007912A3">
        <w:t>, 45(4), 515–538.</w:t>
      </w:r>
    </w:p>
    <w:p w:rsidR="00E40E06" w:rsidRDefault="00E40E06" w:rsidP="00E40E06">
      <w:pPr>
        <w:pStyle w:val="NormalWeb"/>
        <w:spacing w:before="0" w:beforeAutospacing="0" w:after="0" w:afterAutospacing="0" w:line="276" w:lineRule="auto"/>
        <w:jc w:val="both"/>
      </w:pPr>
      <w:r w:rsidRPr="007912A3">
        <w:t xml:space="preserve">Jung, W. S. (1986). </w:t>
      </w:r>
      <w:r w:rsidRPr="007912A3">
        <w:rPr>
          <w:rStyle w:val="Strong"/>
          <w:b w:val="0"/>
        </w:rPr>
        <w:t>Financial Development and Economic Growth: International Evidence.</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Economic Development and Cultural Change</w:t>
      </w:r>
      <w:r w:rsidRPr="007912A3">
        <w:t>, 34(2), 333–346.</w:t>
      </w:r>
    </w:p>
    <w:p w:rsidR="00E40E06" w:rsidRDefault="00E40E06" w:rsidP="00E40E06">
      <w:pPr>
        <w:pStyle w:val="NormalWeb"/>
        <w:spacing w:before="0" w:beforeAutospacing="0" w:after="0" w:afterAutospacing="0" w:line="276" w:lineRule="auto"/>
        <w:jc w:val="both"/>
        <w:rPr>
          <w:rStyle w:val="Strong"/>
          <w:b w:val="0"/>
        </w:rPr>
      </w:pPr>
      <w:r w:rsidRPr="007912A3">
        <w:t xml:space="preserve">Ibrahim, M., &amp; </w:t>
      </w:r>
      <w:proofErr w:type="spellStart"/>
      <w:r w:rsidRPr="007912A3">
        <w:t>Alagidede</w:t>
      </w:r>
      <w:proofErr w:type="spellEnd"/>
      <w:r w:rsidRPr="007912A3">
        <w:t xml:space="preserve">, P. (2018). </w:t>
      </w:r>
      <w:r w:rsidRPr="007912A3">
        <w:rPr>
          <w:rStyle w:val="Strong"/>
          <w:b w:val="0"/>
        </w:rPr>
        <w:t xml:space="preserve">Effect of Financial Development on Economic Growth in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Sub-Saharan Africa.</w:t>
      </w:r>
      <w:r w:rsidRPr="007912A3">
        <w:t xml:space="preserve"> </w:t>
      </w:r>
      <w:r w:rsidRPr="007912A3">
        <w:rPr>
          <w:rStyle w:val="Emphasis"/>
        </w:rPr>
        <w:t>Journal of Policy Modeling</w:t>
      </w:r>
      <w:r w:rsidRPr="007912A3">
        <w:t>, 40(6), 1104–1125.</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Iheanacho</w:t>
      </w:r>
      <w:proofErr w:type="spellEnd"/>
      <w:r w:rsidRPr="007912A3">
        <w:t xml:space="preserve">, E. (2016). </w:t>
      </w:r>
      <w:r w:rsidRPr="007912A3">
        <w:rPr>
          <w:rStyle w:val="Strong"/>
          <w:b w:val="0"/>
        </w:rPr>
        <w:t xml:space="preserve">The Relationship among Savings, Investment and Economic Growth in </w:t>
      </w:r>
    </w:p>
    <w:p w:rsidR="00E40E06" w:rsidRDefault="00E40E06" w:rsidP="00E40E06">
      <w:pPr>
        <w:pStyle w:val="NormalWeb"/>
        <w:spacing w:before="0" w:beforeAutospacing="0" w:after="0" w:afterAutospacing="0" w:line="276" w:lineRule="auto"/>
        <w:ind w:firstLine="720"/>
        <w:jc w:val="both"/>
      </w:pPr>
      <w:r w:rsidRPr="007912A3">
        <w:rPr>
          <w:rStyle w:val="Strong"/>
          <w:b w:val="0"/>
        </w:rPr>
        <w:t>Nigeria: An ARDL Approach.</w:t>
      </w:r>
      <w:r w:rsidRPr="007912A3">
        <w:t xml:space="preserve"> </w:t>
      </w:r>
      <w:r w:rsidRPr="007912A3">
        <w:rPr>
          <w:rStyle w:val="Emphasis"/>
        </w:rPr>
        <w:t>International Journal of Economics and Financial Issues</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t>6(4), 190–198.</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Iriabije</w:t>
      </w:r>
      <w:proofErr w:type="spellEnd"/>
      <w:r w:rsidRPr="007912A3">
        <w:t xml:space="preserve">, O. &amp; </w:t>
      </w:r>
      <w:proofErr w:type="spellStart"/>
      <w:r w:rsidRPr="007912A3">
        <w:t>Effiong</w:t>
      </w:r>
      <w:proofErr w:type="spellEnd"/>
      <w:r w:rsidRPr="007912A3">
        <w:t xml:space="preserve">, S. (2023). </w:t>
      </w:r>
      <w:r w:rsidRPr="007912A3">
        <w:rPr>
          <w:rStyle w:val="Strong"/>
          <w:b w:val="0"/>
        </w:rPr>
        <w:t xml:space="preserve">Savings, Investment and Economic Growth Nexus in Nigeria: </w:t>
      </w:r>
    </w:p>
    <w:p w:rsidR="00E40E06" w:rsidRDefault="00E40E06" w:rsidP="00E40E06">
      <w:pPr>
        <w:pStyle w:val="NormalWeb"/>
        <w:spacing w:before="0" w:beforeAutospacing="0" w:after="0" w:afterAutospacing="0" w:line="276" w:lineRule="auto"/>
        <w:ind w:firstLine="720"/>
        <w:jc w:val="both"/>
        <w:rPr>
          <w:rStyle w:val="Emphasis"/>
        </w:rPr>
      </w:pPr>
      <w:r w:rsidRPr="007912A3">
        <w:rPr>
          <w:rStyle w:val="Strong"/>
          <w:b w:val="0"/>
        </w:rPr>
        <w:t>Evidence from ARDL and VECM Approaches.</w:t>
      </w:r>
      <w:r w:rsidRPr="007912A3">
        <w:t xml:space="preserve"> </w:t>
      </w:r>
      <w:r w:rsidRPr="007912A3">
        <w:rPr>
          <w:rStyle w:val="Emphasis"/>
        </w:rPr>
        <w:t xml:space="preserve">Journal of Economics and Sustainable </w:t>
      </w:r>
    </w:p>
    <w:p w:rsidR="00E40E06" w:rsidRPr="007912A3" w:rsidRDefault="00E40E06" w:rsidP="00E40E06">
      <w:pPr>
        <w:pStyle w:val="NormalWeb"/>
        <w:spacing w:before="0" w:beforeAutospacing="0" w:after="0" w:afterAutospacing="0" w:line="276" w:lineRule="auto"/>
        <w:ind w:left="720"/>
        <w:jc w:val="both"/>
      </w:pPr>
      <w:r w:rsidRPr="007912A3">
        <w:rPr>
          <w:rStyle w:val="Emphasis"/>
        </w:rPr>
        <w:t>Development</w:t>
      </w:r>
      <w:r w:rsidRPr="007912A3">
        <w:t>, 14(3), 22–36.</w:t>
      </w:r>
    </w:p>
    <w:p w:rsidR="00E40E06" w:rsidRDefault="00E40E06" w:rsidP="00E40E06">
      <w:pPr>
        <w:pStyle w:val="NormalWeb"/>
        <w:spacing w:before="0" w:beforeAutospacing="0" w:after="0" w:afterAutospacing="0" w:line="276" w:lineRule="auto"/>
        <w:jc w:val="both"/>
      </w:pPr>
      <w:r w:rsidRPr="007912A3">
        <w:t xml:space="preserve">McKinnon, R. I. (1973). </w:t>
      </w:r>
      <w:r w:rsidRPr="007912A3">
        <w:rPr>
          <w:rStyle w:val="Emphasis"/>
        </w:rPr>
        <w:t>Money and Capital in Economic Development.</w:t>
      </w:r>
      <w:r w:rsidRPr="007912A3">
        <w:t xml:space="preserve"> Washington, DC: The </w:t>
      </w:r>
    </w:p>
    <w:p w:rsidR="00E40E06" w:rsidRPr="007912A3" w:rsidRDefault="00E40E06" w:rsidP="00E40E06">
      <w:pPr>
        <w:pStyle w:val="NormalWeb"/>
        <w:spacing w:before="0" w:beforeAutospacing="0" w:after="0" w:afterAutospacing="0" w:line="276" w:lineRule="auto"/>
        <w:ind w:firstLine="720"/>
        <w:jc w:val="both"/>
      </w:pPr>
      <w:r w:rsidRPr="007912A3">
        <w:t>Brookings Institution.</w:t>
      </w:r>
    </w:p>
    <w:p w:rsidR="00E40E06" w:rsidRDefault="00E40E06" w:rsidP="00E40E06">
      <w:pPr>
        <w:pStyle w:val="NormalWeb"/>
        <w:spacing w:before="0" w:beforeAutospacing="0" w:after="0" w:afterAutospacing="0" w:line="276" w:lineRule="auto"/>
        <w:jc w:val="both"/>
        <w:rPr>
          <w:rStyle w:val="Emphasis"/>
        </w:rPr>
      </w:pPr>
      <w:proofErr w:type="spellStart"/>
      <w:r w:rsidRPr="007912A3">
        <w:t>Mgbemena</w:t>
      </w:r>
      <w:proofErr w:type="spellEnd"/>
      <w:r w:rsidRPr="007912A3">
        <w:t xml:space="preserve">, U. (2018). </w:t>
      </w:r>
      <w:r w:rsidRPr="007912A3">
        <w:rPr>
          <w:rStyle w:val="Strong"/>
          <w:b w:val="0"/>
        </w:rPr>
        <w:t>Domestic Investment and Economic Growth in Nigeria.</w:t>
      </w:r>
      <w:r w:rsidRPr="007912A3">
        <w:t xml:space="preserve"> </w:t>
      </w:r>
      <w:r w:rsidRPr="007912A3">
        <w:rPr>
          <w:rStyle w:val="Emphasis"/>
        </w:rPr>
        <w:t xml:space="preserve">Journal of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Economics and Sustainable Development</w:t>
      </w:r>
      <w:r w:rsidRPr="007912A3">
        <w:t>, 9(12), 45–55.</w:t>
      </w:r>
    </w:p>
    <w:p w:rsidR="00E40E06" w:rsidRDefault="00E40E06" w:rsidP="00E40E06">
      <w:pPr>
        <w:pStyle w:val="NormalWeb"/>
        <w:spacing w:before="0" w:beforeAutospacing="0" w:after="0" w:afterAutospacing="0" w:line="276" w:lineRule="auto"/>
        <w:jc w:val="both"/>
      </w:pPr>
      <w:r w:rsidRPr="007912A3">
        <w:t xml:space="preserve">Michael, O., &amp; Watson, D. (2022). </w:t>
      </w:r>
      <w:r w:rsidRPr="007912A3">
        <w:rPr>
          <w:rStyle w:val="Strong"/>
          <w:b w:val="0"/>
        </w:rPr>
        <w:t>Domestic Investment and Economic Growth in Nigeria.</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Journal of Economic Policy and Research</w:t>
      </w:r>
      <w:r w:rsidRPr="007912A3">
        <w:t>, 17(2), 102–118.</w:t>
      </w:r>
    </w:p>
    <w:p w:rsidR="00E40E06" w:rsidRDefault="00E40E06" w:rsidP="00E40E06">
      <w:pPr>
        <w:pStyle w:val="NormalWeb"/>
        <w:spacing w:before="0" w:beforeAutospacing="0" w:after="0" w:afterAutospacing="0" w:line="276" w:lineRule="auto"/>
        <w:jc w:val="both"/>
        <w:rPr>
          <w:rStyle w:val="Strong"/>
          <w:b w:val="0"/>
        </w:rPr>
      </w:pPr>
      <w:r w:rsidRPr="007912A3">
        <w:t xml:space="preserve">Mohammed, A. (2019). </w:t>
      </w:r>
      <w:r w:rsidRPr="007912A3">
        <w:rPr>
          <w:rStyle w:val="Strong"/>
          <w:b w:val="0"/>
        </w:rPr>
        <w:t xml:space="preserve">Financial Development, Trade Openness and Economic Growth in </w:t>
      </w:r>
    </w:p>
    <w:p w:rsidR="00E40E06" w:rsidRDefault="00E40E06" w:rsidP="00E40E06">
      <w:pPr>
        <w:pStyle w:val="NormalWeb"/>
        <w:spacing w:before="0" w:beforeAutospacing="0" w:after="0" w:afterAutospacing="0" w:line="276" w:lineRule="auto"/>
        <w:ind w:firstLine="720"/>
        <w:jc w:val="both"/>
      </w:pPr>
      <w:r w:rsidRPr="007912A3">
        <w:rPr>
          <w:rStyle w:val="Strong"/>
          <w:b w:val="0"/>
        </w:rPr>
        <w:t>Nigeria: An ARDL Approach.</w:t>
      </w:r>
      <w:r w:rsidRPr="007912A3">
        <w:t xml:space="preserve"> </w:t>
      </w:r>
      <w:r w:rsidRPr="007912A3">
        <w:rPr>
          <w:rStyle w:val="Emphasis"/>
        </w:rPr>
        <w:t>International Journal of Economics and Financial Issues</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t>9(3), 23–31.</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Nwosa</w:t>
      </w:r>
      <w:proofErr w:type="spellEnd"/>
      <w:r w:rsidRPr="007912A3">
        <w:t xml:space="preserve">, P. I., </w:t>
      </w:r>
      <w:proofErr w:type="spellStart"/>
      <w:r w:rsidRPr="007912A3">
        <w:t>Agbeluyi</w:t>
      </w:r>
      <w:proofErr w:type="spellEnd"/>
      <w:r w:rsidRPr="007912A3">
        <w:t xml:space="preserve">, A. M., &amp; Saibu, O. M. (2011). </w:t>
      </w:r>
      <w:r w:rsidRPr="007912A3">
        <w:rPr>
          <w:rStyle w:val="Strong"/>
          <w:b w:val="0"/>
        </w:rPr>
        <w:t xml:space="preserve">Causal Relationships between Financial </w:t>
      </w:r>
    </w:p>
    <w:p w:rsidR="00E40E06" w:rsidRDefault="00E40E06" w:rsidP="00E40E06">
      <w:pPr>
        <w:pStyle w:val="NormalWeb"/>
        <w:spacing w:before="0" w:beforeAutospacing="0" w:after="0" w:afterAutospacing="0" w:line="276" w:lineRule="auto"/>
        <w:ind w:firstLine="720"/>
        <w:jc w:val="both"/>
      </w:pPr>
      <w:r w:rsidRPr="007912A3">
        <w:rPr>
          <w:rStyle w:val="Strong"/>
          <w:b w:val="0"/>
        </w:rPr>
        <w:t>Development, Foreign Direct Investment and Economic Growth: The Case of Nigeria.</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International Journal of Business Administration</w:t>
      </w:r>
      <w:r w:rsidRPr="007912A3">
        <w:t xml:space="preserve">, 2(4), 93–102. </w:t>
      </w:r>
    </w:p>
    <w:p w:rsidR="00E40E06" w:rsidRDefault="00E40E06" w:rsidP="00E40E06">
      <w:pPr>
        <w:pStyle w:val="NormalWeb"/>
        <w:spacing w:before="0" w:beforeAutospacing="0" w:after="0" w:afterAutospacing="0" w:line="276" w:lineRule="auto"/>
        <w:jc w:val="both"/>
      </w:pPr>
      <w:proofErr w:type="spellStart"/>
      <w:r w:rsidRPr="007912A3">
        <w:t>Iriabije</w:t>
      </w:r>
      <w:proofErr w:type="spellEnd"/>
      <w:r w:rsidRPr="007912A3">
        <w:t xml:space="preserve">, O., &amp; </w:t>
      </w:r>
      <w:proofErr w:type="spellStart"/>
      <w:r w:rsidRPr="007912A3">
        <w:t>Effiong</w:t>
      </w:r>
      <w:proofErr w:type="spellEnd"/>
      <w:r w:rsidRPr="007912A3">
        <w:t xml:space="preserve">, S. (2023). </w:t>
      </w:r>
      <w:r w:rsidRPr="007912A3">
        <w:rPr>
          <w:rStyle w:val="Strong"/>
          <w:b w:val="0"/>
        </w:rPr>
        <w:t>Savings, Investment and Economic Growth Nexus in Nigeria.</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Journal of Economics and Sustainable Development</w:t>
      </w:r>
      <w:r w:rsidRPr="007912A3">
        <w:t>, 14(3), 22–36.</w:t>
      </w:r>
    </w:p>
    <w:p w:rsidR="00E40E06" w:rsidRDefault="00E40E06" w:rsidP="00E40E06">
      <w:pPr>
        <w:pStyle w:val="NormalWeb"/>
        <w:spacing w:before="0" w:beforeAutospacing="0" w:after="0" w:afterAutospacing="0" w:line="276" w:lineRule="auto"/>
        <w:jc w:val="both"/>
      </w:pPr>
      <w:proofErr w:type="spellStart"/>
      <w:r w:rsidRPr="007912A3">
        <w:t>Okete</w:t>
      </w:r>
      <w:proofErr w:type="spellEnd"/>
      <w:r w:rsidRPr="007912A3">
        <w:t xml:space="preserve">, B. C., &amp; Camillus, O. (2024). </w:t>
      </w:r>
      <w:r w:rsidRPr="007912A3">
        <w:rPr>
          <w:rStyle w:val="Strong"/>
          <w:b w:val="0"/>
        </w:rPr>
        <w:t>Financial Development and Economic Growth in Nigeria.</w:t>
      </w:r>
      <w:r w:rsidRPr="007912A3">
        <w:t xml:space="preserve">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African Journal of Economic Review</w:t>
      </w:r>
      <w:r w:rsidRPr="007912A3">
        <w:t>, 12(1), 55–70.</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Olamide</w:t>
      </w:r>
      <w:proofErr w:type="spellEnd"/>
      <w:r w:rsidRPr="007912A3">
        <w:t xml:space="preserve">, A., </w:t>
      </w:r>
      <w:proofErr w:type="spellStart"/>
      <w:r w:rsidRPr="007912A3">
        <w:t>Njimanted</w:t>
      </w:r>
      <w:proofErr w:type="spellEnd"/>
      <w:r w:rsidRPr="007912A3">
        <w:t xml:space="preserve">, M., </w:t>
      </w:r>
      <w:proofErr w:type="spellStart"/>
      <w:r w:rsidRPr="007912A3">
        <w:t>Molem</w:t>
      </w:r>
      <w:proofErr w:type="spellEnd"/>
      <w:r w:rsidRPr="007912A3">
        <w:t xml:space="preserve">, M., &amp; </w:t>
      </w:r>
      <w:proofErr w:type="spellStart"/>
      <w:r w:rsidRPr="007912A3">
        <w:t>Nkwetta</w:t>
      </w:r>
      <w:proofErr w:type="spellEnd"/>
      <w:r w:rsidRPr="007912A3">
        <w:t xml:space="preserve">, N. (2016). </w:t>
      </w:r>
      <w:r w:rsidRPr="007912A3">
        <w:rPr>
          <w:rStyle w:val="Strong"/>
          <w:b w:val="0"/>
        </w:rPr>
        <w:t xml:space="preserve">Financial Intermediation, </w:t>
      </w:r>
    </w:p>
    <w:p w:rsidR="00E40E06" w:rsidRDefault="00E40E06" w:rsidP="00E40E06">
      <w:pPr>
        <w:pStyle w:val="NormalWeb"/>
        <w:spacing w:before="0" w:beforeAutospacing="0" w:after="0" w:afterAutospacing="0" w:line="276" w:lineRule="auto"/>
        <w:ind w:firstLine="720"/>
        <w:jc w:val="both"/>
      </w:pPr>
      <w:r w:rsidRPr="007912A3">
        <w:rPr>
          <w:rStyle w:val="Strong"/>
          <w:b w:val="0"/>
        </w:rPr>
        <w:t>Domestic Investment and Economic Growth in Cameroon.</w:t>
      </w:r>
      <w:r w:rsidRPr="007912A3">
        <w:t xml:space="preserve"> </w:t>
      </w:r>
      <w:r w:rsidRPr="007912A3">
        <w:rPr>
          <w:rStyle w:val="Emphasis"/>
        </w:rPr>
        <w:t>African Development Review</w:t>
      </w:r>
      <w:r w:rsidRPr="007912A3">
        <w:t xml:space="preserve">, </w:t>
      </w:r>
    </w:p>
    <w:p w:rsidR="00E40E06" w:rsidRPr="007912A3" w:rsidRDefault="00E40E06" w:rsidP="00E40E06">
      <w:pPr>
        <w:pStyle w:val="NormalWeb"/>
        <w:spacing w:before="0" w:beforeAutospacing="0" w:after="0" w:afterAutospacing="0" w:line="276" w:lineRule="auto"/>
        <w:ind w:left="720"/>
        <w:jc w:val="both"/>
      </w:pPr>
      <w:r w:rsidRPr="007912A3">
        <w:t>28(4), 412–424.</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Omri</w:t>
      </w:r>
      <w:proofErr w:type="spellEnd"/>
      <w:r w:rsidRPr="007912A3">
        <w:t xml:space="preserve">, A., &amp; </w:t>
      </w:r>
      <w:proofErr w:type="spellStart"/>
      <w:r w:rsidRPr="007912A3">
        <w:t>Kahouli</w:t>
      </w:r>
      <w:proofErr w:type="spellEnd"/>
      <w:r w:rsidRPr="007912A3">
        <w:t xml:space="preserve">, B. (2018). </w:t>
      </w:r>
      <w:r w:rsidRPr="007912A3">
        <w:rPr>
          <w:rStyle w:val="Strong"/>
          <w:b w:val="0"/>
        </w:rPr>
        <w:t xml:space="preserve">Foreign Direct Investment, Domestic Capital and Economic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Growth Nexus: Evidence from MENA Countries.</w:t>
      </w:r>
      <w:r w:rsidRPr="007912A3">
        <w:t xml:space="preserve"> </w:t>
      </w:r>
      <w:r w:rsidRPr="007912A3">
        <w:rPr>
          <w:rStyle w:val="Emphasis"/>
        </w:rPr>
        <w:t>Economic Modelling</w:t>
      </w:r>
      <w:r w:rsidRPr="007912A3">
        <w:t>, 70, 488–498.</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Ozor</w:t>
      </w:r>
      <w:proofErr w:type="spellEnd"/>
      <w:r w:rsidRPr="007912A3">
        <w:t xml:space="preserve">, C., </w:t>
      </w:r>
      <w:proofErr w:type="spellStart"/>
      <w:r w:rsidRPr="007912A3">
        <w:t>Agbaeze</w:t>
      </w:r>
      <w:proofErr w:type="spellEnd"/>
      <w:r w:rsidRPr="007912A3">
        <w:t xml:space="preserve">, E., &amp; </w:t>
      </w:r>
      <w:proofErr w:type="spellStart"/>
      <w:r w:rsidRPr="007912A3">
        <w:t>Nwoko</w:t>
      </w:r>
      <w:proofErr w:type="spellEnd"/>
      <w:r w:rsidRPr="007912A3">
        <w:t xml:space="preserve">, C. (2023). </w:t>
      </w:r>
      <w:r w:rsidRPr="007912A3">
        <w:rPr>
          <w:rStyle w:val="Strong"/>
          <w:b w:val="0"/>
        </w:rPr>
        <w:t xml:space="preserve">Financial Development and Economic Growth in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Nigeria.</w:t>
      </w:r>
      <w:r w:rsidRPr="007912A3">
        <w:t xml:space="preserve"> </w:t>
      </w:r>
      <w:r w:rsidRPr="007912A3">
        <w:rPr>
          <w:rStyle w:val="Emphasis"/>
        </w:rPr>
        <w:t>International Journal of Economics and Financial Issues</w:t>
      </w:r>
      <w:r w:rsidRPr="007912A3">
        <w:t>, 13(2), 72–83.</w:t>
      </w:r>
    </w:p>
    <w:p w:rsidR="00E40E06" w:rsidRDefault="00E40E06" w:rsidP="00E40E06">
      <w:pPr>
        <w:spacing w:after="0"/>
        <w:jc w:val="both"/>
        <w:rPr>
          <w:rStyle w:val="Strong"/>
          <w:rFonts w:ascii="Times New Roman" w:hAnsi="Times New Roman" w:cs="Times New Roman"/>
          <w:b w:val="0"/>
          <w:sz w:val="24"/>
          <w:szCs w:val="24"/>
        </w:rPr>
      </w:pPr>
      <w:r w:rsidRPr="007912A3">
        <w:rPr>
          <w:rFonts w:ascii="Times New Roman" w:hAnsi="Times New Roman" w:cs="Times New Roman"/>
          <w:sz w:val="24"/>
          <w:szCs w:val="24"/>
        </w:rPr>
        <w:lastRenderedPageBreak/>
        <w:t xml:space="preserve">Patricia, C., Okoye, L., &amp; </w:t>
      </w:r>
      <w:proofErr w:type="spellStart"/>
      <w:r w:rsidRPr="007912A3">
        <w:rPr>
          <w:rFonts w:ascii="Times New Roman" w:hAnsi="Times New Roman" w:cs="Times New Roman"/>
          <w:sz w:val="24"/>
          <w:szCs w:val="24"/>
        </w:rPr>
        <w:t>Adeyemi</w:t>
      </w:r>
      <w:proofErr w:type="spellEnd"/>
      <w:r w:rsidRPr="007912A3">
        <w:rPr>
          <w:rFonts w:ascii="Times New Roman" w:hAnsi="Times New Roman" w:cs="Times New Roman"/>
          <w:sz w:val="24"/>
          <w:szCs w:val="24"/>
        </w:rPr>
        <w:t xml:space="preserve">, S. (2023). </w:t>
      </w:r>
      <w:r w:rsidRPr="007912A3">
        <w:rPr>
          <w:rStyle w:val="Strong"/>
          <w:rFonts w:ascii="Times New Roman" w:hAnsi="Times New Roman" w:cs="Times New Roman"/>
          <w:b w:val="0"/>
          <w:sz w:val="24"/>
          <w:szCs w:val="24"/>
        </w:rPr>
        <w:t xml:space="preserve">Financial Development, Domestic Investment and </w:t>
      </w:r>
    </w:p>
    <w:p w:rsidR="00E40E06" w:rsidRDefault="00E40E06" w:rsidP="00E40E06">
      <w:pPr>
        <w:spacing w:after="0"/>
        <w:ind w:firstLine="720"/>
        <w:jc w:val="both"/>
        <w:rPr>
          <w:rStyle w:val="Emphasis"/>
          <w:rFonts w:ascii="Times New Roman" w:hAnsi="Times New Roman" w:cs="Times New Roman"/>
          <w:sz w:val="24"/>
          <w:szCs w:val="24"/>
        </w:rPr>
      </w:pPr>
      <w:r w:rsidRPr="007912A3">
        <w:rPr>
          <w:rStyle w:val="Strong"/>
          <w:rFonts w:ascii="Times New Roman" w:hAnsi="Times New Roman" w:cs="Times New Roman"/>
          <w:b w:val="0"/>
          <w:sz w:val="24"/>
          <w:szCs w:val="24"/>
        </w:rPr>
        <w:t>Economic Growth in Nigeria: Evidence from ARDL Bounds Testing.</w:t>
      </w:r>
      <w:r w:rsidRPr="007912A3">
        <w:rPr>
          <w:rFonts w:ascii="Times New Roman" w:hAnsi="Times New Roman" w:cs="Times New Roman"/>
          <w:sz w:val="24"/>
          <w:szCs w:val="24"/>
        </w:rPr>
        <w:t xml:space="preserve"> </w:t>
      </w:r>
      <w:r w:rsidRPr="007912A3">
        <w:rPr>
          <w:rStyle w:val="Emphasis"/>
          <w:rFonts w:ascii="Times New Roman" w:hAnsi="Times New Roman" w:cs="Times New Roman"/>
          <w:sz w:val="24"/>
          <w:szCs w:val="24"/>
        </w:rPr>
        <w:t xml:space="preserve">Journal of African </w:t>
      </w:r>
    </w:p>
    <w:p w:rsidR="00E40E06" w:rsidRPr="007912A3" w:rsidRDefault="00E40E06" w:rsidP="00E40E06">
      <w:pPr>
        <w:spacing w:after="0"/>
        <w:ind w:firstLine="720"/>
        <w:jc w:val="both"/>
        <w:rPr>
          <w:rFonts w:ascii="Times New Roman" w:hAnsi="Times New Roman" w:cs="Times New Roman"/>
          <w:sz w:val="24"/>
          <w:szCs w:val="24"/>
        </w:rPr>
      </w:pPr>
      <w:r w:rsidRPr="007912A3">
        <w:rPr>
          <w:rStyle w:val="Emphasis"/>
          <w:rFonts w:ascii="Times New Roman" w:hAnsi="Times New Roman" w:cs="Times New Roman"/>
          <w:sz w:val="24"/>
          <w:szCs w:val="24"/>
        </w:rPr>
        <w:t>Economic Studies</w:t>
      </w:r>
      <w:r w:rsidRPr="007912A3">
        <w:rPr>
          <w:rFonts w:ascii="Times New Roman" w:hAnsi="Times New Roman" w:cs="Times New Roman"/>
          <w:sz w:val="24"/>
          <w:szCs w:val="24"/>
        </w:rPr>
        <w:t>, 15(2), 112–123.</w:t>
      </w:r>
    </w:p>
    <w:p w:rsidR="00E40E06" w:rsidRDefault="00E40E06" w:rsidP="00E40E06">
      <w:pPr>
        <w:spacing w:after="0"/>
        <w:jc w:val="both"/>
        <w:rPr>
          <w:rFonts w:ascii="Times New Roman" w:hAnsi="Times New Roman" w:cs="Times New Roman"/>
          <w:sz w:val="24"/>
          <w:szCs w:val="24"/>
        </w:rPr>
      </w:pPr>
      <w:r w:rsidRPr="007912A3">
        <w:rPr>
          <w:rFonts w:ascii="Times New Roman" w:hAnsi="Times New Roman" w:cs="Times New Roman"/>
          <w:sz w:val="24"/>
          <w:szCs w:val="24"/>
        </w:rPr>
        <w:t xml:space="preserve">Shaw, E. S. (1973). </w:t>
      </w:r>
      <w:r w:rsidRPr="007912A3">
        <w:rPr>
          <w:rStyle w:val="Emphasis"/>
          <w:rFonts w:ascii="Times New Roman" w:hAnsi="Times New Roman" w:cs="Times New Roman"/>
          <w:sz w:val="24"/>
          <w:szCs w:val="24"/>
        </w:rPr>
        <w:t>Financial Deepening in Economic Development.</w:t>
      </w:r>
      <w:r w:rsidRPr="007912A3">
        <w:rPr>
          <w:rFonts w:ascii="Times New Roman" w:hAnsi="Times New Roman" w:cs="Times New Roman"/>
          <w:sz w:val="24"/>
          <w:szCs w:val="24"/>
        </w:rPr>
        <w:t xml:space="preserve"> New York: Oxford </w:t>
      </w:r>
    </w:p>
    <w:p w:rsidR="00E40E06" w:rsidRPr="007912A3" w:rsidRDefault="00E40E06" w:rsidP="00E40E06">
      <w:pPr>
        <w:spacing w:after="0"/>
        <w:ind w:firstLine="720"/>
        <w:jc w:val="both"/>
        <w:rPr>
          <w:rFonts w:ascii="Times New Roman" w:hAnsi="Times New Roman" w:cs="Times New Roman"/>
          <w:sz w:val="24"/>
          <w:szCs w:val="24"/>
        </w:rPr>
      </w:pPr>
      <w:r w:rsidRPr="007912A3">
        <w:rPr>
          <w:rFonts w:ascii="Times New Roman" w:hAnsi="Times New Roman" w:cs="Times New Roman"/>
          <w:sz w:val="24"/>
          <w:szCs w:val="24"/>
        </w:rPr>
        <w:t>University Press</w:t>
      </w:r>
    </w:p>
    <w:p w:rsidR="00E40E06" w:rsidRDefault="00E40E06" w:rsidP="00E40E06">
      <w:pPr>
        <w:pStyle w:val="NormalWeb"/>
        <w:spacing w:before="0" w:beforeAutospacing="0" w:after="0" w:afterAutospacing="0" w:line="276" w:lineRule="auto"/>
        <w:jc w:val="both"/>
        <w:rPr>
          <w:rStyle w:val="Emphasis"/>
        </w:rPr>
      </w:pPr>
      <w:r w:rsidRPr="007912A3">
        <w:t xml:space="preserve">Solow, R. M. (1956). </w:t>
      </w:r>
      <w:r w:rsidRPr="007912A3">
        <w:rPr>
          <w:rStyle w:val="Strong"/>
          <w:b w:val="0"/>
        </w:rPr>
        <w:t>A Contribution to the Theory of Economic Growth.</w:t>
      </w:r>
      <w:r w:rsidRPr="007912A3">
        <w:t xml:space="preserve"> </w:t>
      </w:r>
      <w:r w:rsidRPr="007912A3">
        <w:rPr>
          <w:rStyle w:val="Emphasis"/>
        </w:rPr>
        <w:t xml:space="preserve">Quarterly Journal of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Economics</w:t>
      </w:r>
      <w:r w:rsidRPr="007912A3">
        <w:t>, 70(1), 65–94.</w:t>
      </w:r>
    </w:p>
    <w:p w:rsidR="00E40E06" w:rsidRDefault="00E40E06" w:rsidP="00E40E06">
      <w:pPr>
        <w:pStyle w:val="NormalWeb"/>
        <w:spacing w:before="0" w:beforeAutospacing="0" w:after="0" w:afterAutospacing="0" w:line="276" w:lineRule="auto"/>
        <w:jc w:val="both"/>
        <w:rPr>
          <w:rStyle w:val="Strong"/>
          <w:b w:val="0"/>
        </w:rPr>
      </w:pPr>
      <w:r w:rsidRPr="007912A3">
        <w:t xml:space="preserve">Robinson, J. (1952). </w:t>
      </w:r>
      <w:r w:rsidRPr="007912A3">
        <w:rPr>
          <w:rStyle w:val="Emphasis"/>
        </w:rPr>
        <w:t>The Generalization of the General Theory.</w:t>
      </w:r>
      <w:r w:rsidRPr="007912A3">
        <w:t xml:space="preserve"> In </w:t>
      </w:r>
      <w:r w:rsidRPr="007912A3">
        <w:rPr>
          <w:rStyle w:val="Strong"/>
          <w:b w:val="0"/>
        </w:rPr>
        <w:t xml:space="preserve">The Rate of Interest and Other </w:t>
      </w:r>
    </w:p>
    <w:p w:rsidR="00E40E06" w:rsidRPr="007912A3" w:rsidRDefault="00E40E06" w:rsidP="00E40E06">
      <w:pPr>
        <w:pStyle w:val="NormalWeb"/>
        <w:spacing w:before="0" w:beforeAutospacing="0" w:after="0" w:afterAutospacing="0" w:line="276" w:lineRule="auto"/>
        <w:ind w:firstLine="720"/>
        <w:jc w:val="both"/>
      </w:pPr>
      <w:r w:rsidRPr="007912A3">
        <w:rPr>
          <w:rStyle w:val="Strong"/>
          <w:b w:val="0"/>
        </w:rPr>
        <w:t>Essays</w:t>
      </w:r>
      <w:r w:rsidRPr="007912A3">
        <w:t>. London: Macmillan.</w:t>
      </w:r>
    </w:p>
    <w:p w:rsidR="00E40E06" w:rsidRDefault="00E40E06" w:rsidP="00E40E06">
      <w:pPr>
        <w:pStyle w:val="NormalWeb"/>
        <w:spacing w:before="0" w:beforeAutospacing="0" w:after="0" w:afterAutospacing="0" w:line="276" w:lineRule="auto"/>
        <w:jc w:val="both"/>
        <w:rPr>
          <w:rStyle w:val="Strong"/>
          <w:b w:val="0"/>
        </w:rPr>
      </w:pPr>
      <w:proofErr w:type="spellStart"/>
      <w:r w:rsidRPr="007912A3">
        <w:t>Ugwuegbe</w:t>
      </w:r>
      <w:proofErr w:type="spellEnd"/>
      <w:r w:rsidRPr="007912A3">
        <w:t xml:space="preserve">, S. U., &amp; </w:t>
      </w:r>
      <w:proofErr w:type="spellStart"/>
      <w:r w:rsidRPr="007912A3">
        <w:t>Uruakpa</w:t>
      </w:r>
      <w:proofErr w:type="spellEnd"/>
      <w:r w:rsidRPr="007912A3">
        <w:t xml:space="preserve">, P. C. (2016). </w:t>
      </w:r>
      <w:r w:rsidRPr="007912A3">
        <w:rPr>
          <w:rStyle w:val="Strong"/>
          <w:b w:val="0"/>
        </w:rPr>
        <w:t xml:space="preserve">The Impact of Financial Sector Development on </w:t>
      </w:r>
    </w:p>
    <w:p w:rsidR="00E40E06" w:rsidRDefault="00E40E06" w:rsidP="00E40E06">
      <w:pPr>
        <w:pStyle w:val="NormalWeb"/>
        <w:spacing w:before="0" w:beforeAutospacing="0" w:after="0" w:afterAutospacing="0" w:line="276" w:lineRule="auto"/>
        <w:ind w:firstLine="720"/>
        <w:jc w:val="both"/>
        <w:rPr>
          <w:rStyle w:val="Emphasis"/>
        </w:rPr>
      </w:pPr>
      <w:r w:rsidRPr="007912A3">
        <w:rPr>
          <w:rStyle w:val="Strong"/>
          <w:b w:val="0"/>
        </w:rPr>
        <w:t>Economic Growth in Nigeria.</w:t>
      </w:r>
      <w:r w:rsidRPr="007912A3">
        <w:t xml:space="preserve"> </w:t>
      </w:r>
      <w:r w:rsidRPr="007912A3">
        <w:rPr>
          <w:rStyle w:val="Emphasis"/>
        </w:rPr>
        <w:t xml:space="preserve">International Journal of Economics, Commerce and </w:t>
      </w:r>
    </w:p>
    <w:p w:rsidR="00E40E06" w:rsidRPr="007912A3" w:rsidRDefault="00E40E06" w:rsidP="00E40E06">
      <w:pPr>
        <w:pStyle w:val="NormalWeb"/>
        <w:spacing w:before="0" w:beforeAutospacing="0" w:after="0" w:afterAutospacing="0" w:line="276" w:lineRule="auto"/>
        <w:ind w:firstLine="720"/>
        <w:jc w:val="both"/>
      </w:pPr>
      <w:r w:rsidRPr="007912A3">
        <w:rPr>
          <w:rStyle w:val="Emphasis"/>
        </w:rPr>
        <w:t>Management</w:t>
      </w:r>
      <w:r w:rsidRPr="007912A3">
        <w:t>, 4(4), 25–38.</w:t>
      </w:r>
    </w:p>
    <w:p w:rsidR="00E40E06" w:rsidRPr="007912A3" w:rsidRDefault="00E40E06" w:rsidP="00E40E06">
      <w:pPr>
        <w:spacing w:after="0"/>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Default="00E40E06" w:rsidP="009E7B2D">
      <w:pPr>
        <w:spacing w:after="0" w:line="360" w:lineRule="auto"/>
        <w:jc w:val="both"/>
        <w:rPr>
          <w:rFonts w:ascii="Times New Roman" w:hAnsi="Times New Roman" w:cs="Times New Roman"/>
          <w:sz w:val="24"/>
          <w:szCs w:val="24"/>
        </w:rPr>
      </w:pPr>
    </w:p>
    <w:p w:rsidR="00E40E06" w:rsidRPr="009E7B2D" w:rsidRDefault="00E40E06" w:rsidP="009E7B2D">
      <w:pPr>
        <w:spacing w:after="0" w:line="360" w:lineRule="auto"/>
        <w:jc w:val="both"/>
        <w:rPr>
          <w:rFonts w:ascii="Times New Roman" w:hAnsi="Times New Roman" w:cs="Times New Roman"/>
          <w:sz w:val="24"/>
          <w:szCs w:val="24"/>
        </w:rPr>
      </w:pPr>
    </w:p>
    <w:p w:rsidR="009A6CA9" w:rsidRPr="009E7B2D" w:rsidRDefault="009A6CA9" w:rsidP="009E7B2D">
      <w:pPr>
        <w:spacing w:line="360" w:lineRule="auto"/>
        <w:jc w:val="both"/>
        <w:rPr>
          <w:rFonts w:ascii="Times New Roman" w:hAnsi="Times New Roman" w:cs="Times New Roman"/>
          <w:sz w:val="24"/>
          <w:szCs w:val="24"/>
        </w:rPr>
      </w:pPr>
    </w:p>
    <w:p w:rsidR="00111672" w:rsidRPr="009E7B2D" w:rsidRDefault="00111672" w:rsidP="009E7B2D">
      <w:pPr>
        <w:spacing w:line="360" w:lineRule="auto"/>
        <w:jc w:val="both"/>
        <w:rPr>
          <w:rFonts w:ascii="Times New Roman" w:hAnsi="Times New Roman" w:cs="Times New Roman"/>
          <w:sz w:val="24"/>
          <w:szCs w:val="24"/>
        </w:rPr>
      </w:pPr>
    </w:p>
    <w:p w:rsidR="00D8697D" w:rsidRPr="009E7B2D" w:rsidRDefault="00D8697D" w:rsidP="009E7B2D">
      <w:pPr>
        <w:pStyle w:val="Default"/>
        <w:spacing w:line="360" w:lineRule="auto"/>
        <w:jc w:val="both"/>
      </w:pPr>
    </w:p>
    <w:sectPr w:rsidR="00D8697D" w:rsidRPr="009E7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f2">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GMLD E+ MTSY">
    <w:altName w:val="Arial Unicode MS"/>
    <w:panose1 w:val="00000000000000000000"/>
    <w:charset w:val="81"/>
    <w:family w:val="swiss"/>
    <w:notTrueType/>
    <w:pitch w:val="default"/>
    <w:sig w:usb0="00000000" w:usb1="09060000" w:usb2="00000010" w:usb3="00000000" w:csb0="00080000" w:csb1="00000000"/>
  </w:font>
  <w:font w:name="OJMJC D+ MTSY">
    <w:altName w:val="Malgun Gothic"/>
    <w:panose1 w:val="00000000000000000000"/>
    <w:charset w:val="81"/>
    <w:family w:val="swiss"/>
    <w:notTrueType/>
    <w:pitch w:val="default"/>
    <w:sig w:usb0="00000000" w:usb1="09060000" w:usb2="00000010" w:usb3="00000000" w:csb0="00080000" w:csb1="00000000"/>
  </w:font>
  <w:font w:name="TimesNewRomanPSMT">
    <w:altName w:val="MS Gothic"/>
    <w:charset w:val="00"/>
    <w:family w:val="roman"/>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30FA5"/>
    <w:multiLevelType w:val="multilevel"/>
    <w:tmpl w:val="15AA73C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0841220"/>
    <w:multiLevelType w:val="multilevel"/>
    <w:tmpl w:val="63A4E6E6"/>
    <w:lvl w:ilvl="0">
      <w:start w:val="1"/>
      <w:numFmt w:val="lowerRoman"/>
      <w:lvlText w:val="%1."/>
      <w:lvlJc w:val="righ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9992299"/>
    <w:multiLevelType w:val="multilevel"/>
    <w:tmpl w:val="9FA4D73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69"/>
    <w:rsid w:val="000970C3"/>
    <w:rsid w:val="00111672"/>
    <w:rsid w:val="00147A31"/>
    <w:rsid w:val="001605EB"/>
    <w:rsid w:val="0016118B"/>
    <w:rsid w:val="001D3528"/>
    <w:rsid w:val="001E6F22"/>
    <w:rsid w:val="00211329"/>
    <w:rsid w:val="0021541D"/>
    <w:rsid w:val="00222FEA"/>
    <w:rsid w:val="002A6E9E"/>
    <w:rsid w:val="002B5421"/>
    <w:rsid w:val="002D641B"/>
    <w:rsid w:val="0030550C"/>
    <w:rsid w:val="00361969"/>
    <w:rsid w:val="003A3B0A"/>
    <w:rsid w:val="0043578E"/>
    <w:rsid w:val="00436FAE"/>
    <w:rsid w:val="005B109A"/>
    <w:rsid w:val="005C48A3"/>
    <w:rsid w:val="005D71B0"/>
    <w:rsid w:val="006118E7"/>
    <w:rsid w:val="006566A8"/>
    <w:rsid w:val="006D1DBE"/>
    <w:rsid w:val="00706A6D"/>
    <w:rsid w:val="007E1816"/>
    <w:rsid w:val="008073B8"/>
    <w:rsid w:val="00812FE8"/>
    <w:rsid w:val="008909CA"/>
    <w:rsid w:val="0093470F"/>
    <w:rsid w:val="0094205E"/>
    <w:rsid w:val="00943E70"/>
    <w:rsid w:val="009A6CA9"/>
    <w:rsid w:val="009B35B8"/>
    <w:rsid w:val="009E7B2D"/>
    <w:rsid w:val="00A131B1"/>
    <w:rsid w:val="00A85CBD"/>
    <w:rsid w:val="00B35EB0"/>
    <w:rsid w:val="00C7542C"/>
    <w:rsid w:val="00D110B4"/>
    <w:rsid w:val="00D7260C"/>
    <w:rsid w:val="00D86129"/>
    <w:rsid w:val="00D8697D"/>
    <w:rsid w:val="00DA42D6"/>
    <w:rsid w:val="00DD5042"/>
    <w:rsid w:val="00E40E06"/>
    <w:rsid w:val="00E763BE"/>
    <w:rsid w:val="00EB59A4"/>
    <w:rsid w:val="00ED0C98"/>
    <w:rsid w:val="00ED70BF"/>
    <w:rsid w:val="00F148A0"/>
    <w:rsid w:val="00F409AE"/>
    <w:rsid w:val="00F55019"/>
    <w:rsid w:val="00FD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70323-17CF-45B9-A251-67220B77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96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969"/>
    <w:pPr>
      <w:ind w:left="720"/>
      <w:contextualSpacing/>
    </w:pPr>
  </w:style>
  <w:style w:type="character" w:customStyle="1" w:styleId="a2">
    <w:name w:val="a2"/>
    <w:basedOn w:val="DefaultParagraphFont"/>
    <w:rsid w:val="008909CA"/>
    <w:rPr>
      <w:rFonts w:ascii="ff2" w:hAnsi="ff2" w:hint="default"/>
      <w:b w:val="0"/>
      <w:bCs w:val="0"/>
      <w:i w:val="0"/>
      <w:iCs w:val="0"/>
      <w:bdr w:val="none" w:sz="0" w:space="0" w:color="auto" w:frame="1"/>
    </w:rPr>
  </w:style>
  <w:style w:type="paragraph" w:customStyle="1" w:styleId="Default">
    <w:name w:val="Default"/>
    <w:rsid w:val="005B109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86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40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40E06"/>
    <w:rPr>
      <w:b/>
      <w:bCs/>
    </w:rPr>
  </w:style>
  <w:style w:type="character" w:styleId="Emphasis">
    <w:name w:val="Emphasis"/>
    <w:basedOn w:val="DefaultParagraphFont"/>
    <w:uiPriority w:val="20"/>
    <w:qFormat/>
    <w:rsid w:val="00E40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55">
      <w:bodyDiv w:val="1"/>
      <w:marLeft w:val="0"/>
      <w:marRight w:val="0"/>
      <w:marTop w:val="0"/>
      <w:marBottom w:val="0"/>
      <w:divBdr>
        <w:top w:val="none" w:sz="0" w:space="0" w:color="auto"/>
        <w:left w:val="none" w:sz="0" w:space="0" w:color="auto"/>
        <w:bottom w:val="none" w:sz="0" w:space="0" w:color="auto"/>
        <w:right w:val="none" w:sz="0" w:space="0" w:color="auto"/>
      </w:divBdr>
    </w:div>
    <w:div w:id="311447450">
      <w:bodyDiv w:val="1"/>
      <w:marLeft w:val="0"/>
      <w:marRight w:val="0"/>
      <w:marTop w:val="0"/>
      <w:marBottom w:val="0"/>
      <w:divBdr>
        <w:top w:val="none" w:sz="0" w:space="0" w:color="auto"/>
        <w:left w:val="none" w:sz="0" w:space="0" w:color="auto"/>
        <w:bottom w:val="none" w:sz="0" w:space="0" w:color="auto"/>
        <w:right w:val="none" w:sz="0" w:space="0" w:color="auto"/>
      </w:divBdr>
    </w:div>
    <w:div w:id="685788641">
      <w:bodyDiv w:val="1"/>
      <w:marLeft w:val="0"/>
      <w:marRight w:val="0"/>
      <w:marTop w:val="0"/>
      <w:marBottom w:val="0"/>
      <w:divBdr>
        <w:top w:val="none" w:sz="0" w:space="0" w:color="auto"/>
        <w:left w:val="none" w:sz="0" w:space="0" w:color="auto"/>
        <w:bottom w:val="none" w:sz="0" w:space="0" w:color="auto"/>
        <w:right w:val="none" w:sz="0" w:space="0" w:color="auto"/>
      </w:divBdr>
    </w:div>
    <w:div w:id="704449527">
      <w:bodyDiv w:val="1"/>
      <w:marLeft w:val="0"/>
      <w:marRight w:val="0"/>
      <w:marTop w:val="0"/>
      <w:marBottom w:val="0"/>
      <w:divBdr>
        <w:top w:val="none" w:sz="0" w:space="0" w:color="auto"/>
        <w:left w:val="none" w:sz="0" w:space="0" w:color="auto"/>
        <w:bottom w:val="none" w:sz="0" w:space="0" w:color="auto"/>
        <w:right w:val="none" w:sz="0" w:space="0" w:color="auto"/>
      </w:divBdr>
    </w:div>
    <w:div w:id="1105463480">
      <w:bodyDiv w:val="1"/>
      <w:marLeft w:val="0"/>
      <w:marRight w:val="0"/>
      <w:marTop w:val="0"/>
      <w:marBottom w:val="0"/>
      <w:divBdr>
        <w:top w:val="none" w:sz="0" w:space="0" w:color="auto"/>
        <w:left w:val="none" w:sz="0" w:space="0" w:color="auto"/>
        <w:bottom w:val="none" w:sz="0" w:space="0" w:color="auto"/>
        <w:right w:val="none" w:sz="0" w:space="0" w:color="auto"/>
      </w:divBdr>
    </w:div>
    <w:div w:id="1352300371">
      <w:bodyDiv w:val="1"/>
      <w:marLeft w:val="0"/>
      <w:marRight w:val="0"/>
      <w:marTop w:val="0"/>
      <w:marBottom w:val="0"/>
      <w:divBdr>
        <w:top w:val="none" w:sz="0" w:space="0" w:color="auto"/>
        <w:left w:val="none" w:sz="0" w:space="0" w:color="auto"/>
        <w:bottom w:val="none" w:sz="0" w:space="0" w:color="auto"/>
        <w:right w:val="none" w:sz="0" w:space="0" w:color="auto"/>
      </w:divBdr>
    </w:div>
    <w:div w:id="1556161536">
      <w:bodyDiv w:val="1"/>
      <w:marLeft w:val="0"/>
      <w:marRight w:val="0"/>
      <w:marTop w:val="0"/>
      <w:marBottom w:val="0"/>
      <w:divBdr>
        <w:top w:val="none" w:sz="0" w:space="0" w:color="auto"/>
        <w:left w:val="none" w:sz="0" w:space="0" w:color="auto"/>
        <w:bottom w:val="none" w:sz="0" w:space="0" w:color="auto"/>
        <w:right w:val="none" w:sz="0" w:space="0" w:color="auto"/>
      </w:divBdr>
    </w:div>
    <w:div w:id="1854030896">
      <w:bodyDiv w:val="1"/>
      <w:marLeft w:val="0"/>
      <w:marRight w:val="0"/>
      <w:marTop w:val="0"/>
      <w:marBottom w:val="0"/>
      <w:divBdr>
        <w:top w:val="none" w:sz="0" w:space="0" w:color="auto"/>
        <w:left w:val="none" w:sz="0" w:space="0" w:color="auto"/>
        <w:bottom w:val="none" w:sz="0" w:space="0" w:color="auto"/>
        <w:right w:val="none" w:sz="0" w:space="0" w:color="auto"/>
      </w:divBdr>
    </w:div>
    <w:div w:id="1929731577">
      <w:bodyDiv w:val="1"/>
      <w:marLeft w:val="0"/>
      <w:marRight w:val="0"/>
      <w:marTop w:val="0"/>
      <w:marBottom w:val="0"/>
      <w:divBdr>
        <w:top w:val="none" w:sz="0" w:space="0" w:color="auto"/>
        <w:left w:val="none" w:sz="0" w:space="0" w:color="auto"/>
        <w:bottom w:val="none" w:sz="0" w:space="0" w:color="auto"/>
        <w:right w:val="none" w:sz="0" w:space="0" w:color="auto"/>
      </w:divBdr>
    </w:div>
    <w:div w:id="20329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8" Type="http://schemas.openxmlformats.org/officeDocument/2006/relationships/image" Target="media/image2.wmf"/><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1A11-00DD-4376-AA06-44AE980A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27</Pages>
  <Words>8901</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wale8</cp:lastModifiedBy>
  <cp:revision>9</cp:revision>
  <dcterms:created xsi:type="dcterms:W3CDTF">2026-04-05T22:02:00Z</dcterms:created>
  <dcterms:modified xsi:type="dcterms:W3CDTF">2026-07-06T08:18:00Z</dcterms:modified>
</cp:coreProperties>
</file>