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7B2F2C" w14:textId="62235B08" w:rsidR="00B347AC" w:rsidRDefault="00B347AC" w:rsidP="000B190B">
      <w:pPr>
        <w:shd w:val="clear" w:color="auto" w:fill="FFFFFF"/>
        <w:spacing w:before="240" w:line="240" w:lineRule="auto"/>
        <w:jc w:val="center"/>
        <w:outlineLvl w:val="0"/>
        <w:rPr>
          <w:rFonts w:ascii="Times New Roman" w:eastAsia="Times New Roman" w:hAnsi="Times New Roman" w:cs="Times New Roman"/>
          <w:b/>
          <w:bCs/>
          <w:color w:val="0F1115"/>
          <w:kern w:val="36"/>
          <w:sz w:val="36"/>
          <w:szCs w:val="36"/>
        </w:rPr>
      </w:pPr>
      <w:r w:rsidRPr="00B347AC">
        <w:rPr>
          <w:rFonts w:ascii="Times New Roman" w:eastAsia="Times New Roman" w:hAnsi="Times New Roman" w:cs="Times New Roman"/>
          <w:b/>
          <w:bCs/>
          <w:color w:val="0F1115"/>
          <w:kern w:val="36"/>
          <w:sz w:val="36"/>
          <w:szCs w:val="36"/>
        </w:rPr>
        <w:t>ISO/IEC 17025-Compliant Calibration of Biomedical Equipment: Frameworks, Methods, and Measurement Uncertainty Assessment</w:t>
      </w:r>
    </w:p>
    <w:p w14:paraId="1316F363" w14:textId="43597611" w:rsidR="003049EB" w:rsidRPr="00D657FC" w:rsidRDefault="003049EB" w:rsidP="000B190B">
      <w:pPr>
        <w:spacing w:before="240" w:line="240" w:lineRule="auto"/>
        <w:jc w:val="center"/>
        <w:rPr>
          <w:rFonts w:ascii="Times New Roman" w:hAnsi="Times New Roman" w:cs="Times New Roman"/>
          <w:b/>
          <w:bCs/>
          <w:sz w:val="24"/>
          <w:szCs w:val="24"/>
        </w:rPr>
      </w:pPr>
      <w:r w:rsidRPr="00D657FC">
        <w:rPr>
          <w:rFonts w:ascii="Times New Roman" w:hAnsi="Times New Roman" w:cs="Times New Roman"/>
          <w:b/>
          <w:bCs/>
          <w:sz w:val="24"/>
          <w:szCs w:val="24"/>
        </w:rPr>
        <w:t xml:space="preserve">Moktar Hossain </w:t>
      </w:r>
      <w:r w:rsidRPr="00D657FC">
        <w:rPr>
          <w:rFonts w:ascii="Times New Roman" w:hAnsi="Times New Roman" w:cs="Times New Roman"/>
          <w:b/>
          <w:bCs/>
          <w:sz w:val="24"/>
          <w:szCs w:val="24"/>
          <w:vertAlign w:val="superscript"/>
        </w:rPr>
        <w:t>a</w:t>
      </w:r>
      <w:r>
        <w:rPr>
          <w:rFonts w:ascii="Times New Roman" w:hAnsi="Times New Roman" w:cs="Times New Roman"/>
          <w:b/>
          <w:bCs/>
          <w:sz w:val="24"/>
          <w:szCs w:val="24"/>
          <w:vertAlign w:val="superscript"/>
        </w:rPr>
        <w:t>*</w:t>
      </w:r>
      <w:r w:rsidRPr="00D657FC">
        <w:rPr>
          <w:rFonts w:ascii="Times New Roman" w:hAnsi="Times New Roman" w:cs="Times New Roman"/>
          <w:b/>
          <w:bCs/>
          <w:sz w:val="24"/>
          <w:szCs w:val="24"/>
        </w:rPr>
        <w:t xml:space="preserve">, </w:t>
      </w:r>
      <w:r w:rsidR="00DA6E6D" w:rsidRPr="00D657FC">
        <w:rPr>
          <w:rFonts w:ascii="Times New Roman" w:hAnsi="Times New Roman" w:cs="Times New Roman"/>
          <w:b/>
          <w:bCs/>
          <w:sz w:val="24"/>
          <w:szCs w:val="24"/>
        </w:rPr>
        <w:t xml:space="preserve">Mirola Afroze </w:t>
      </w:r>
      <w:r w:rsidR="00DA6E6D" w:rsidRPr="00D657FC">
        <w:rPr>
          <w:rFonts w:ascii="Times New Roman" w:hAnsi="Times New Roman" w:cs="Times New Roman"/>
          <w:b/>
          <w:bCs/>
          <w:sz w:val="24"/>
          <w:szCs w:val="24"/>
          <w:vertAlign w:val="superscript"/>
        </w:rPr>
        <w:t>a</w:t>
      </w:r>
      <w:r w:rsidR="00DA6E6D">
        <w:rPr>
          <w:rFonts w:ascii="Times New Roman" w:hAnsi="Times New Roman" w:cs="Times New Roman"/>
          <w:b/>
          <w:bCs/>
          <w:sz w:val="24"/>
          <w:szCs w:val="24"/>
        </w:rPr>
        <w:t xml:space="preserve">, </w:t>
      </w:r>
      <w:r w:rsidRPr="00D657FC">
        <w:rPr>
          <w:rFonts w:ascii="Times New Roman" w:hAnsi="Times New Roman" w:cs="Times New Roman"/>
          <w:b/>
          <w:bCs/>
          <w:sz w:val="24"/>
          <w:szCs w:val="24"/>
        </w:rPr>
        <w:t xml:space="preserve">Anila Pasha </w:t>
      </w:r>
      <w:r w:rsidRPr="00D657FC">
        <w:rPr>
          <w:rFonts w:ascii="Times New Roman" w:hAnsi="Times New Roman" w:cs="Times New Roman"/>
          <w:b/>
          <w:bCs/>
          <w:sz w:val="24"/>
          <w:szCs w:val="24"/>
          <w:vertAlign w:val="superscript"/>
        </w:rPr>
        <w:t>a</w:t>
      </w:r>
      <w:r>
        <w:rPr>
          <w:rFonts w:ascii="Times New Roman" w:hAnsi="Times New Roman" w:cs="Times New Roman"/>
          <w:b/>
          <w:bCs/>
          <w:sz w:val="24"/>
          <w:szCs w:val="24"/>
        </w:rPr>
        <w:t xml:space="preserve">, </w:t>
      </w:r>
      <w:r w:rsidRPr="00D657FC">
        <w:rPr>
          <w:rFonts w:ascii="Times New Roman" w:hAnsi="Times New Roman" w:cs="Times New Roman"/>
          <w:b/>
          <w:bCs/>
          <w:sz w:val="24"/>
          <w:szCs w:val="24"/>
        </w:rPr>
        <w:t>Md Abu Hasan</w:t>
      </w:r>
      <w:r w:rsidRPr="00D657FC">
        <w:rPr>
          <w:rFonts w:ascii="Times New Roman" w:hAnsi="Times New Roman" w:cs="Times New Roman"/>
          <w:b/>
          <w:bCs/>
          <w:sz w:val="24"/>
          <w:szCs w:val="24"/>
          <w:vertAlign w:val="superscript"/>
        </w:rPr>
        <w:t xml:space="preserve"> b</w:t>
      </w:r>
    </w:p>
    <w:p w14:paraId="7283E21F" w14:textId="77777777" w:rsidR="003049EB" w:rsidRPr="00D657FC" w:rsidRDefault="003049EB" w:rsidP="000B190B">
      <w:pPr>
        <w:spacing w:before="240" w:line="240" w:lineRule="auto"/>
        <w:jc w:val="center"/>
        <w:rPr>
          <w:rFonts w:ascii="Times New Roman" w:hAnsi="Times New Roman" w:cs="Times New Roman"/>
          <w:b/>
          <w:bCs/>
          <w:sz w:val="24"/>
          <w:szCs w:val="24"/>
        </w:rPr>
      </w:pPr>
      <w:proofErr w:type="spellStart"/>
      <w:r w:rsidRPr="00D657FC">
        <w:rPr>
          <w:rFonts w:ascii="Times New Roman" w:hAnsi="Times New Roman" w:cs="Times New Roman"/>
          <w:b/>
          <w:bCs/>
          <w:sz w:val="24"/>
          <w:szCs w:val="24"/>
          <w:vertAlign w:val="superscript"/>
        </w:rPr>
        <w:t>a</w:t>
      </w:r>
      <w:proofErr w:type="spellEnd"/>
      <w:r w:rsidRPr="00D657FC">
        <w:rPr>
          <w:rFonts w:ascii="Times New Roman" w:hAnsi="Times New Roman" w:cs="Times New Roman"/>
          <w:b/>
          <w:bCs/>
          <w:sz w:val="24"/>
          <w:szCs w:val="24"/>
        </w:rPr>
        <w:t xml:space="preserve"> Instrumentation and Calibration Division, Bangladesh Reference Institute for Chemical Measurements (BRiCM), Dhaka-1205, Bangladesh</w:t>
      </w:r>
    </w:p>
    <w:p w14:paraId="4886BDB4" w14:textId="77777777" w:rsidR="003049EB" w:rsidRPr="00D657FC" w:rsidRDefault="003049EB" w:rsidP="000B190B">
      <w:pPr>
        <w:spacing w:before="240" w:line="240" w:lineRule="auto"/>
        <w:jc w:val="center"/>
        <w:rPr>
          <w:rFonts w:ascii="Times New Roman" w:hAnsi="Times New Roman" w:cs="Times New Roman"/>
          <w:b/>
          <w:bCs/>
          <w:sz w:val="24"/>
          <w:szCs w:val="24"/>
        </w:rPr>
      </w:pPr>
      <w:r w:rsidRPr="00D657FC">
        <w:rPr>
          <w:rFonts w:ascii="Times New Roman" w:hAnsi="Times New Roman" w:cs="Times New Roman"/>
          <w:b/>
          <w:bCs/>
          <w:sz w:val="24"/>
          <w:szCs w:val="24"/>
          <w:vertAlign w:val="superscript"/>
        </w:rPr>
        <w:t>b</w:t>
      </w:r>
      <w:r w:rsidRPr="00D657FC">
        <w:rPr>
          <w:rFonts w:ascii="Times New Roman" w:hAnsi="Times New Roman" w:cs="Times New Roman"/>
          <w:b/>
          <w:bCs/>
          <w:sz w:val="24"/>
          <w:szCs w:val="24"/>
        </w:rPr>
        <w:t xml:space="preserve"> Proficiency Testing Division, Bangladesh Reference Institute for Chemical Measurements (BRiCM), Dhaka-1205, Bangladesh</w:t>
      </w:r>
    </w:p>
    <w:p w14:paraId="01682318" w14:textId="0EE36A20" w:rsidR="003049EB" w:rsidRPr="00B347AC" w:rsidRDefault="003049EB" w:rsidP="000B190B">
      <w:pPr>
        <w:spacing w:before="240" w:line="240" w:lineRule="auto"/>
        <w:jc w:val="center"/>
        <w:rPr>
          <w:rFonts w:ascii="Times New Roman" w:hAnsi="Times New Roman" w:cs="Times New Roman"/>
          <w:b/>
          <w:bCs/>
          <w:sz w:val="24"/>
          <w:szCs w:val="24"/>
        </w:rPr>
      </w:pPr>
      <w:r>
        <w:rPr>
          <w:rFonts w:ascii="Times New Roman" w:hAnsi="Times New Roman" w:cs="Times New Roman"/>
          <w:b/>
          <w:bCs/>
          <w:sz w:val="24"/>
          <w:szCs w:val="24"/>
        </w:rPr>
        <w:t>*</w:t>
      </w:r>
      <w:r w:rsidRPr="00D657FC">
        <w:rPr>
          <w:rFonts w:ascii="Times New Roman" w:hAnsi="Times New Roman" w:cs="Times New Roman"/>
          <w:b/>
          <w:bCs/>
          <w:sz w:val="24"/>
          <w:szCs w:val="24"/>
        </w:rPr>
        <w:t xml:space="preserve">Corresponding Author: Moktar Hossain, </w:t>
      </w:r>
      <w:hyperlink r:id="rId7" w:history="1">
        <w:r w:rsidRPr="00D657FC">
          <w:rPr>
            <w:rStyle w:val="Hyperlink"/>
            <w:rFonts w:ascii="Times New Roman" w:hAnsi="Times New Roman" w:cs="Times New Roman"/>
            <w:sz w:val="24"/>
            <w:szCs w:val="24"/>
          </w:rPr>
          <w:t>moktar@bricm.gov.bd</w:t>
        </w:r>
      </w:hyperlink>
    </w:p>
    <w:p w14:paraId="68CD7277" w14:textId="55792DBA" w:rsidR="00B347AC" w:rsidRPr="00B347AC" w:rsidRDefault="00384D83" w:rsidP="000B190B">
      <w:pPr>
        <w:shd w:val="clear" w:color="auto" w:fill="FFFFFF"/>
        <w:spacing w:before="240" w:line="240" w:lineRule="auto"/>
        <w:jc w:val="both"/>
        <w:outlineLvl w:val="1"/>
        <w:rPr>
          <w:rFonts w:ascii="Times New Roman" w:eastAsia="Times New Roman" w:hAnsi="Times New Roman" w:cs="Times New Roman"/>
          <w:b/>
          <w:bCs/>
          <w:color w:val="0F1115"/>
          <w:sz w:val="28"/>
          <w:szCs w:val="28"/>
        </w:rPr>
      </w:pPr>
      <w:r w:rsidRPr="00384D83">
        <w:rPr>
          <w:rFonts w:ascii="Times New Roman" w:eastAsia="Times New Roman" w:hAnsi="Times New Roman" w:cs="Times New Roman"/>
          <w:b/>
          <w:bCs/>
          <w:color w:val="0F1115"/>
          <w:sz w:val="28"/>
          <w:szCs w:val="28"/>
        </w:rPr>
        <w:t>ABSTRACT</w:t>
      </w:r>
    </w:p>
    <w:p w14:paraId="1841CCEC" w14:textId="77777777" w:rsidR="00847644" w:rsidRPr="00847644" w:rsidRDefault="00847644" w:rsidP="000B190B">
      <w:pPr>
        <w:shd w:val="clear" w:color="auto" w:fill="FFFFFF"/>
        <w:spacing w:before="240" w:line="240" w:lineRule="auto"/>
        <w:jc w:val="both"/>
        <w:rPr>
          <w:rStyle w:val="cursor-pointer"/>
          <w:rFonts w:ascii="Times New Roman" w:hAnsi="Times New Roman" w:cs="Times New Roman"/>
          <w:sz w:val="24"/>
          <w:szCs w:val="24"/>
        </w:rPr>
      </w:pPr>
      <w:r w:rsidRPr="00847644">
        <w:rPr>
          <w:rStyle w:val="cursor-pointer"/>
          <w:rFonts w:ascii="Times New Roman" w:hAnsi="Times New Roman" w:cs="Times New Roman"/>
          <w:sz w:val="24"/>
          <w:szCs w:val="24"/>
        </w:rPr>
        <w:t>Modern healthcare would not be possible without the use of biomedical equipment, which is crucial in supporting diagnosis, therapy, monitoring of patients, and life-sustaining processes.</w:t>
      </w:r>
      <w:r w:rsidRPr="00847644">
        <w:rPr>
          <w:rFonts w:ascii="Times New Roman" w:hAnsi="Times New Roman" w:cs="Times New Roman"/>
          <w:sz w:val="24"/>
          <w:szCs w:val="24"/>
        </w:rPr>
        <w:t xml:space="preserve"> </w:t>
      </w:r>
      <w:r w:rsidRPr="00847644">
        <w:rPr>
          <w:rStyle w:val="cursor-pointer"/>
          <w:rFonts w:ascii="Times New Roman" w:hAnsi="Times New Roman" w:cs="Times New Roman"/>
          <w:sz w:val="24"/>
          <w:szCs w:val="24"/>
        </w:rPr>
        <w:t>Clinical devices like ventilators, infusion pumps, defibrillators, patient monitors, ECG systems, thermometers, and laboratory instruments directly relate to the clinical decision-making and delivery of treatment.</w:t>
      </w:r>
      <w:r w:rsidRPr="00847644">
        <w:rPr>
          <w:rFonts w:ascii="Times New Roman" w:hAnsi="Times New Roman" w:cs="Times New Roman"/>
          <w:sz w:val="24"/>
          <w:szCs w:val="24"/>
        </w:rPr>
        <w:t xml:space="preserve"> </w:t>
      </w:r>
      <w:r w:rsidRPr="00847644">
        <w:rPr>
          <w:rStyle w:val="cursor-pointer"/>
          <w:rFonts w:ascii="Times New Roman" w:hAnsi="Times New Roman" w:cs="Times New Roman"/>
          <w:sz w:val="24"/>
          <w:szCs w:val="24"/>
        </w:rPr>
        <w:t>Thus, they necessitate regular calibration and frequent validation of these instruments to maintain reliability, safety, accuracy and consistent performance over the entire life of the instrument.</w:t>
      </w:r>
      <w:r w:rsidRPr="00847644">
        <w:rPr>
          <w:rFonts w:ascii="Times New Roman" w:hAnsi="Times New Roman" w:cs="Times New Roman"/>
          <w:sz w:val="24"/>
          <w:szCs w:val="24"/>
        </w:rPr>
        <w:t xml:space="preserve"> </w:t>
      </w:r>
      <w:r w:rsidRPr="00847644">
        <w:rPr>
          <w:rStyle w:val="cursor-pointer"/>
          <w:rFonts w:ascii="Times New Roman" w:hAnsi="Times New Roman" w:cs="Times New Roman"/>
          <w:sz w:val="24"/>
          <w:szCs w:val="24"/>
        </w:rPr>
        <w:t>Any inaccuracy in measuring or in performance of functions can result into wrong diagnosis, ineffective treatment or a greater risk to patient safety.</w:t>
      </w:r>
      <w:r w:rsidRPr="00847644">
        <w:rPr>
          <w:rFonts w:ascii="Times New Roman" w:hAnsi="Times New Roman" w:cs="Times New Roman"/>
          <w:sz w:val="24"/>
          <w:szCs w:val="24"/>
        </w:rPr>
        <w:t xml:space="preserve"> </w:t>
      </w:r>
      <w:r w:rsidRPr="00847644">
        <w:rPr>
          <w:rStyle w:val="cursor-pointer"/>
          <w:rFonts w:ascii="Times New Roman" w:hAnsi="Times New Roman" w:cs="Times New Roman"/>
          <w:sz w:val="24"/>
          <w:szCs w:val="24"/>
        </w:rPr>
        <w:t>The ISO/IEC 17025 standard of competence of testing and calibration laboratories offers a robust and internationally recognized framework of ensuring technically valid, traceable and reliable results of calibration [1].</w:t>
      </w:r>
      <w:r w:rsidRPr="00847644">
        <w:rPr>
          <w:rFonts w:ascii="Times New Roman" w:hAnsi="Times New Roman" w:cs="Times New Roman"/>
          <w:sz w:val="24"/>
          <w:szCs w:val="24"/>
        </w:rPr>
        <w:t xml:space="preserve"> </w:t>
      </w:r>
      <w:r w:rsidRPr="00847644">
        <w:rPr>
          <w:rStyle w:val="cursor-pointer"/>
          <w:rFonts w:ascii="Times New Roman" w:hAnsi="Times New Roman" w:cs="Times New Roman"/>
          <w:sz w:val="24"/>
          <w:szCs w:val="24"/>
        </w:rPr>
        <w:t>It provides rules of lab competence, unbiasedness, traceability of measurements, validation of methods, qualification of personnel, control of the environment and quality management systems.</w:t>
      </w:r>
      <w:r w:rsidRPr="00847644">
        <w:rPr>
          <w:rFonts w:ascii="Times New Roman" w:hAnsi="Times New Roman" w:cs="Times New Roman"/>
          <w:sz w:val="24"/>
          <w:szCs w:val="24"/>
        </w:rPr>
        <w:t xml:space="preserve"> </w:t>
      </w:r>
      <w:r w:rsidRPr="00847644">
        <w:rPr>
          <w:rStyle w:val="cursor-pointer"/>
          <w:rFonts w:ascii="Times New Roman" w:hAnsi="Times New Roman" w:cs="Times New Roman"/>
          <w:sz w:val="24"/>
          <w:szCs w:val="24"/>
        </w:rPr>
        <w:t>By adhering to this standard, biomedical calibration labs are able to maintain high standards of technical accuracy, and to express a degree of confidence in their results.</w:t>
      </w:r>
      <w:r w:rsidRPr="00847644">
        <w:rPr>
          <w:rFonts w:ascii="Times New Roman" w:hAnsi="Times New Roman" w:cs="Times New Roman"/>
          <w:sz w:val="24"/>
          <w:szCs w:val="24"/>
        </w:rPr>
        <w:t xml:space="preserve"> </w:t>
      </w:r>
      <w:r w:rsidRPr="00847644">
        <w:rPr>
          <w:rStyle w:val="cursor-pointer"/>
          <w:rFonts w:ascii="Times New Roman" w:hAnsi="Times New Roman" w:cs="Times New Roman"/>
          <w:sz w:val="24"/>
          <w:szCs w:val="24"/>
        </w:rPr>
        <w:t>The paper provides a critical review of ISO/IEC 17025-conforming calibration practices of biomedical equipment, including quality system, metrological traceability, estimation of uncertainty, risk-based calibration timeframes, documentation control, personnel competence, and internal quality assurance.</w:t>
      </w:r>
      <w:r w:rsidRPr="00847644">
        <w:rPr>
          <w:rFonts w:ascii="Times New Roman" w:hAnsi="Times New Roman" w:cs="Times New Roman"/>
          <w:sz w:val="24"/>
          <w:szCs w:val="24"/>
        </w:rPr>
        <w:t xml:space="preserve"> </w:t>
      </w:r>
      <w:r w:rsidRPr="00847644">
        <w:rPr>
          <w:rStyle w:val="cursor-pointer"/>
          <w:rFonts w:ascii="Times New Roman" w:hAnsi="Times New Roman" w:cs="Times New Roman"/>
          <w:sz w:val="24"/>
          <w:szCs w:val="24"/>
        </w:rPr>
        <w:t>It also talks about calibration methodology of commonly used biomedical devices such as patient monitors, infusion pumps, defibrillators, electrosurgical units, ventilators, thermometers, sphygmomanometers, pulse oximeters, ECG systems, and weighing scales.</w:t>
      </w:r>
      <w:r w:rsidRPr="00847644">
        <w:rPr>
          <w:rFonts w:ascii="Times New Roman" w:hAnsi="Times New Roman" w:cs="Times New Roman"/>
          <w:sz w:val="24"/>
          <w:szCs w:val="24"/>
        </w:rPr>
        <w:t xml:space="preserve"> </w:t>
      </w:r>
      <w:r w:rsidRPr="00847644">
        <w:rPr>
          <w:rStyle w:val="cursor-pointer"/>
          <w:rFonts w:ascii="Times New Roman" w:hAnsi="Times New Roman" w:cs="Times New Roman"/>
          <w:sz w:val="24"/>
          <w:szCs w:val="24"/>
        </w:rPr>
        <w:t>Particular attention is paid to evaluation of the uncertainty of measurements, environmental factors, and rules to evaluate conformity.</w:t>
      </w:r>
      <w:r w:rsidRPr="00847644">
        <w:rPr>
          <w:rFonts w:ascii="Times New Roman" w:hAnsi="Times New Roman" w:cs="Times New Roman"/>
          <w:sz w:val="24"/>
          <w:szCs w:val="24"/>
        </w:rPr>
        <w:t xml:space="preserve"> </w:t>
      </w:r>
      <w:r w:rsidRPr="00847644">
        <w:rPr>
          <w:rStyle w:val="cursor-pointer"/>
          <w:rFonts w:ascii="Times New Roman" w:hAnsi="Times New Roman" w:cs="Times New Roman"/>
          <w:sz w:val="24"/>
          <w:szCs w:val="24"/>
        </w:rPr>
        <w:t>Moreover, the paper examines some of the major issues that healthcare facilities and labs in developing nations face, including the lack of strong chains of traceability, trained staff, regulatory control, and reliance on non-accredited service providers [2].</w:t>
      </w:r>
      <w:r w:rsidRPr="00847644">
        <w:rPr>
          <w:rFonts w:ascii="Times New Roman" w:hAnsi="Times New Roman" w:cs="Times New Roman"/>
          <w:sz w:val="24"/>
          <w:szCs w:val="24"/>
        </w:rPr>
        <w:t xml:space="preserve"> </w:t>
      </w:r>
      <w:r w:rsidRPr="00847644">
        <w:rPr>
          <w:rStyle w:val="cursor-pointer"/>
          <w:rFonts w:ascii="Times New Roman" w:hAnsi="Times New Roman" w:cs="Times New Roman"/>
          <w:sz w:val="24"/>
          <w:szCs w:val="24"/>
        </w:rPr>
        <w:t>Lastly, practical recommendations are made to the hospitals, regulators and laboratories to have sustainable biomedical metrology systems in accordance with the ISO/IEC 17025 requirements.</w:t>
      </w:r>
      <w:r w:rsidRPr="00847644">
        <w:rPr>
          <w:rFonts w:ascii="Times New Roman" w:hAnsi="Times New Roman" w:cs="Times New Roman"/>
          <w:sz w:val="24"/>
          <w:szCs w:val="24"/>
        </w:rPr>
        <w:t xml:space="preserve"> </w:t>
      </w:r>
      <w:r w:rsidRPr="00847644">
        <w:rPr>
          <w:rStyle w:val="cursor-pointer"/>
          <w:rFonts w:ascii="Times New Roman" w:hAnsi="Times New Roman" w:cs="Times New Roman"/>
          <w:sz w:val="24"/>
          <w:szCs w:val="24"/>
        </w:rPr>
        <w:t>The paper concludes that systematic calibration within a certified structure is a significant intervention to improve patient safety, clinical confidence, regulatory compliance, operational efficiency, and overall healthcare outcomes.</w:t>
      </w:r>
    </w:p>
    <w:p w14:paraId="4B8D4926" w14:textId="6634F256" w:rsidR="008676EA" w:rsidRPr="003049EB" w:rsidRDefault="008676EA" w:rsidP="000B190B">
      <w:pPr>
        <w:shd w:val="clear" w:color="auto" w:fill="FFFFFF"/>
        <w:spacing w:before="240" w:line="240" w:lineRule="auto"/>
        <w:jc w:val="both"/>
        <w:rPr>
          <w:rFonts w:ascii="Times New Roman" w:hAnsi="Times New Roman" w:cs="Times New Roman"/>
          <w:sz w:val="24"/>
          <w:szCs w:val="24"/>
        </w:rPr>
      </w:pPr>
      <w:r w:rsidRPr="00847644">
        <w:rPr>
          <w:rFonts w:ascii="Times New Roman" w:hAnsi="Times New Roman" w:cs="Times New Roman"/>
          <w:b/>
          <w:bCs/>
          <w:sz w:val="24"/>
          <w:szCs w:val="24"/>
        </w:rPr>
        <w:t>Keywords:</w:t>
      </w:r>
      <w:r w:rsidRPr="003049EB">
        <w:rPr>
          <w:rFonts w:ascii="Times New Roman" w:hAnsi="Times New Roman" w:cs="Times New Roman"/>
          <w:sz w:val="24"/>
          <w:szCs w:val="24"/>
        </w:rPr>
        <w:t xml:space="preserve"> Biomedical equipment, ISO/IEC 17025, calibration, measurement uncertainty, healthcare metrology, patient safety, accreditation.</w:t>
      </w:r>
    </w:p>
    <w:p w14:paraId="5480868E" w14:textId="0564C180" w:rsidR="00B347AC" w:rsidRPr="00B347AC" w:rsidRDefault="00847644" w:rsidP="000B190B">
      <w:pPr>
        <w:shd w:val="clear" w:color="auto" w:fill="FFFFFF"/>
        <w:spacing w:before="240" w:line="240" w:lineRule="auto"/>
        <w:jc w:val="both"/>
        <w:rPr>
          <w:rFonts w:ascii="Times New Roman" w:hAnsi="Times New Roman" w:cs="Times New Roman"/>
          <w:sz w:val="28"/>
          <w:szCs w:val="28"/>
        </w:rPr>
      </w:pPr>
      <w:r w:rsidRPr="00B347AC">
        <w:rPr>
          <w:rFonts w:ascii="Times New Roman" w:eastAsia="Times New Roman" w:hAnsi="Times New Roman" w:cs="Times New Roman"/>
          <w:b/>
          <w:bCs/>
          <w:color w:val="0F1115"/>
          <w:sz w:val="28"/>
          <w:szCs w:val="28"/>
        </w:rPr>
        <w:t>INTRODUCTION</w:t>
      </w:r>
    </w:p>
    <w:p w14:paraId="74FF4429" w14:textId="4915AE2B" w:rsidR="008676EA" w:rsidRPr="003049EB" w:rsidRDefault="008676EA" w:rsidP="000B190B">
      <w:pPr>
        <w:shd w:val="clear" w:color="auto" w:fill="FFFFFF"/>
        <w:spacing w:before="240" w:line="240" w:lineRule="auto"/>
        <w:jc w:val="both"/>
        <w:outlineLvl w:val="1"/>
        <w:rPr>
          <w:rStyle w:val="cursor-pointer"/>
          <w:rFonts w:ascii="Times New Roman" w:hAnsi="Times New Roman" w:cs="Times New Roman"/>
          <w:sz w:val="24"/>
          <w:szCs w:val="24"/>
        </w:rPr>
      </w:pPr>
      <w:r w:rsidRPr="003049EB">
        <w:rPr>
          <w:rStyle w:val="cursor-pointer"/>
          <w:rFonts w:ascii="Times New Roman" w:hAnsi="Times New Roman" w:cs="Times New Roman"/>
          <w:sz w:val="24"/>
          <w:szCs w:val="24"/>
        </w:rPr>
        <w:t>A broad family of instruments employed in prevention, diagnosis, monitoring, treatment and rehabilitation make up biomedical equipment.</w:t>
      </w:r>
      <w:r w:rsidRPr="003049EB">
        <w:rP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Examples are electrocardiographs, ventilators, infusion pumps, patient monitors, X-ray systems, ultrasound scanners, incubators, laboratory analyzers and surgical equipment [3].</w:t>
      </w:r>
      <w:r w:rsidRPr="003049EB">
        <w:rP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These tools create or regulate the quantifiable variables like pressure, flow, temperature, voltage, current, time, mass, oxygen concentration, and radiation dose.</w:t>
      </w:r>
      <w:r w:rsidRPr="003049EB">
        <w:rP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Any bias or inaccuracy in these parameters could jeopardize patient safety and clinical decision-making.</w:t>
      </w:r>
      <w:r w:rsidRPr="003049EB">
        <w:rP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 xml:space="preserve">The World Health Organization (WHO) suggested that as many as half of medical devices in low- and middle-income nations were out-of-service or misused, frequently due to lack of calibration </w:t>
      </w:r>
      <w:r w:rsidRPr="003049EB">
        <w:rPr>
          <w:rStyle w:val="cursor-pointer"/>
          <w:rFonts w:ascii="Times New Roman" w:hAnsi="Times New Roman" w:cs="Times New Roman"/>
          <w:sz w:val="24"/>
          <w:szCs w:val="24"/>
        </w:rPr>
        <w:lastRenderedPageBreak/>
        <w:t>and maintenance [4].</w:t>
      </w:r>
      <w:r w:rsidRPr="003049EB">
        <w:rP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The set of operations that determine the relationship between the values that an instrument indicates and the reference standards of the specified conditions is the calibration [5].</w:t>
      </w:r>
      <w:r w:rsidRPr="003049EB">
        <w:rP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Calibration is used in healthcare settings to ensure that all equipment is used within the manufacturer specifications and within the clinically acceptable tolerances.</w:t>
      </w:r>
      <w:r w:rsidRPr="003049EB">
        <w:rP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As an example, a malfunctioning infusion pump can under dose medication (which can cause a therapeutic failure) or overdose (which can cause toxicity) and a faulty defibrillator may not provide the necessary energy to the patient during a resuscitation attempt, which can directly affect the survival rates [6].</w:t>
      </w:r>
      <w:r w:rsidRPr="003049EB">
        <w:rP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The ISO/IEC 17025:2017 outlines the general provisions of competence, impartiality, and consistency in the working of laboratories.</w:t>
      </w:r>
      <w:r w:rsidRPr="003049EB">
        <w:rP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It is applicable to any organizations that carry out calibration or testing irrespective of its size.</w:t>
      </w:r>
      <w:r w:rsidRPr="003049EB">
        <w:rP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Accredited laboratories that comply with ISO/IEC 17025 are competent in technical aspects, have validated methods, traceable measurements, competent personnel, and effective quality management systems [1].</w:t>
      </w:r>
      <w:r w:rsidRPr="003049EB">
        <w:rP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The use of ISO/IEC 17025 in the biomedical equipment calibration is gaining prominence due to the increasing healthcare technology, regulatory requirements and risk management requirements as stipulated in ISO 14971 [7].</w:t>
      </w:r>
      <w:r w:rsidRPr="003049EB">
        <w:rP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Hospitals are anticipated to have trustworthy equipment fleets, minimi</w:t>
      </w:r>
      <w:r w:rsidR="00847644">
        <w:rPr>
          <w:rStyle w:val="cursor-pointer"/>
          <w:rFonts w:ascii="Times New Roman" w:hAnsi="Times New Roman" w:cs="Times New Roman"/>
          <w:sz w:val="24"/>
          <w:szCs w:val="24"/>
        </w:rPr>
        <w:t>z</w:t>
      </w:r>
      <w:r w:rsidRPr="003049EB">
        <w:rPr>
          <w:rStyle w:val="cursor-pointer"/>
          <w:rFonts w:ascii="Times New Roman" w:hAnsi="Times New Roman" w:cs="Times New Roman"/>
          <w:sz w:val="24"/>
          <w:szCs w:val="24"/>
        </w:rPr>
        <w:t>e downtime, and exhibit maintenance efficacy to the accreditation organi</w:t>
      </w:r>
      <w:r w:rsidR="00847644">
        <w:rPr>
          <w:rStyle w:val="cursor-pointer"/>
          <w:rFonts w:ascii="Times New Roman" w:hAnsi="Times New Roman" w:cs="Times New Roman"/>
          <w:sz w:val="24"/>
          <w:szCs w:val="24"/>
        </w:rPr>
        <w:t>z</w:t>
      </w:r>
      <w:r w:rsidRPr="003049EB">
        <w:rPr>
          <w:rStyle w:val="cursor-pointer"/>
          <w:rFonts w:ascii="Times New Roman" w:hAnsi="Times New Roman" w:cs="Times New Roman"/>
          <w:sz w:val="24"/>
          <w:szCs w:val="24"/>
        </w:rPr>
        <w:t>ations like the Joint Commission and JCI [8].</w:t>
      </w:r>
      <w:r w:rsidRPr="003049EB">
        <w:rP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This paper is a review of the principles, implementation strategies, technical procedures and benefits of ISO/IEC 17025-compliant calibration of biomedical equipment.</w:t>
      </w:r>
    </w:p>
    <w:p w14:paraId="1C26DFE1" w14:textId="01214922" w:rsidR="00B347AC" w:rsidRPr="00B347AC" w:rsidRDefault="00B347AC" w:rsidP="000B190B">
      <w:pPr>
        <w:shd w:val="clear" w:color="auto" w:fill="FFFFFF"/>
        <w:spacing w:before="240" w:line="240" w:lineRule="auto"/>
        <w:jc w:val="both"/>
        <w:outlineLvl w:val="1"/>
        <w:rPr>
          <w:rFonts w:ascii="Times New Roman" w:eastAsia="Times New Roman" w:hAnsi="Times New Roman" w:cs="Times New Roman"/>
          <w:b/>
          <w:bCs/>
          <w:color w:val="0F1115"/>
          <w:sz w:val="24"/>
          <w:szCs w:val="24"/>
        </w:rPr>
      </w:pPr>
      <w:r w:rsidRPr="00B347AC">
        <w:rPr>
          <w:rFonts w:ascii="Times New Roman" w:eastAsia="Times New Roman" w:hAnsi="Times New Roman" w:cs="Times New Roman"/>
          <w:b/>
          <w:bCs/>
          <w:color w:val="0F1115"/>
          <w:sz w:val="24"/>
          <w:szCs w:val="24"/>
        </w:rPr>
        <w:t>2. Overview of ISO/IEC 17025:2017</w:t>
      </w:r>
    </w:p>
    <w:p w14:paraId="535A3329" w14:textId="7FA16B13" w:rsidR="008676EA" w:rsidRPr="003049EB" w:rsidRDefault="008676EA" w:rsidP="000B190B">
      <w:pPr>
        <w:shd w:val="clear" w:color="auto" w:fill="FFFFFF"/>
        <w:spacing w:before="240" w:line="240" w:lineRule="auto"/>
        <w:jc w:val="both"/>
        <w:rPr>
          <w:rFonts w:ascii="Times New Roman" w:hAnsi="Times New Roman" w:cs="Times New Roman"/>
          <w:sz w:val="24"/>
          <w:szCs w:val="24"/>
        </w:rPr>
      </w:pPr>
      <w:r w:rsidRPr="003049EB">
        <w:rPr>
          <w:rStyle w:val="cursor-pointer"/>
          <w:rFonts w:ascii="Times New Roman" w:hAnsi="Times New Roman" w:cs="Times New Roman"/>
          <w:sz w:val="24"/>
          <w:szCs w:val="24"/>
        </w:rPr>
        <w:t>The ISO/IEC 17025:2017 has five large clauses that include General requirements, Structural requirements, Resource requirements, Process requirements, and Management system requirements [1].</w:t>
      </w:r>
      <w:r w:rsidRPr="003049EB">
        <w:rP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Figure 1 shows the hierarchy of structures of ISO/IEC 17025:2017 requirements regarding biomedical calibration laboratories.</w:t>
      </w:r>
      <w:r w:rsidRPr="003049EB">
        <w:rPr>
          <w:rFonts w:ascii="Times New Roman" w:hAnsi="Times New Roman" w:cs="Times New Roman"/>
          <w:sz w:val="24"/>
          <w:szCs w:val="24"/>
        </w:rPr>
        <w:t xml:space="preserve"> </w:t>
      </w:r>
    </w:p>
    <w:p w14:paraId="31E83487" w14:textId="24584716" w:rsidR="008676EA" w:rsidRPr="003049EB" w:rsidRDefault="008676EA" w:rsidP="000B190B">
      <w:pPr>
        <w:pStyle w:val="NormalWeb"/>
        <w:spacing w:before="240" w:beforeAutospacing="0" w:after="160" w:afterAutospacing="0"/>
        <w:jc w:val="both"/>
      </w:pPr>
      <w:r w:rsidRPr="003049EB">
        <w:rPr>
          <w:noProof/>
        </w:rPr>
        <w:drawing>
          <wp:inline distT="0" distB="0" distL="0" distR="0" wp14:anchorId="15E29E86" wp14:editId="203F12B6">
            <wp:extent cx="6866626" cy="38646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75613" cy="3869668"/>
                    </a:xfrm>
                    <a:prstGeom prst="rect">
                      <a:avLst/>
                    </a:prstGeom>
                    <a:noFill/>
                    <a:ln>
                      <a:noFill/>
                    </a:ln>
                  </pic:spPr>
                </pic:pic>
              </a:graphicData>
            </a:graphic>
          </wp:inline>
        </w:drawing>
      </w:r>
    </w:p>
    <w:p w14:paraId="5B9DB38D" w14:textId="112B2B5A" w:rsidR="008676EA" w:rsidRPr="00B347AC" w:rsidRDefault="008676EA" w:rsidP="000B190B">
      <w:pPr>
        <w:shd w:val="clear" w:color="auto" w:fill="FFFFFF"/>
        <w:spacing w:before="240" w:line="240" w:lineRule="auto"/>
        <w:jc w:val="both"/>
        <w:rPr>
          <w:rFonts w:ascii="Times New Roman" w:hAnsi="Times New Roman" w:cs="Times New Roman"/>
          <w:sz w:val="24"/>
          <w:szCs w:val="24"/>
        </w:rPr>
      </w:pPr>
      <w:r w:rsidRPr="003049EB">
        <w:rPr>
          <w:rStyle w:val="cursor-pointer"/>
          <w:rFonts w:ascii="Times New Roman" w:hAnsi="Times New Roman" w:cs="Times New Roman"/>
          <w:sz w:val="24"/>
          <w:szCs w:val="24"/>
        </w:rPr>
        <w:t>Figure 1: ISO/IEC 17025:2017 Hierarchical Structure of Biomedical Calibration laboratories.</w:t>
      </w:r>
    </w:p>
    <w:p w14:paraId="157F7616" w14:textId="5ED2DBF9" w:rsidR="00F5428D" w:rsidRPr="003049EB" w:rsidRDefault="00F5428D" w:rsidP="000B190B">
      <w:pPr>
        <w:spacing w:before="240" w:line="240" w:lineRule="auto"/>
        <w:jc w:val="both"/>
        <w:rPr>
          <w:rFonts w:ascii="Times New Roman" w:hAnsi="Times New Roman" w:cs="Times New Roman"/>
          <w:sz w:val="24"/>
          <w:szCs w:val="24"/>
        </w:rPr>
      </w:pPr>
      <w:r w:rsidRPr="00847644">
        <w:rPr>
          <w:rFonts w:ascii="Times New Roman" w:hAnsi="Times New Roman" w:cs="Times New Roman"/>
          <w:b/>
          <w:bCs/>
          <w:sz w:val="24"/>
          <w:szCs w:val="24"/>
        </w:rPr>
        <w:t>General Requirement</w:t>
      </w:r>
      <w:r w:rsidR="00847644" w:rsidRPr="00847644">
        <w:rPr>
          <w:rFonts w:ascii="Times New Roman" w:hAnsi="Times New Roman" w:cs="Times New Roman"/>
          <w:b/>
          <w:bCs/>
          <w:sz w:val="24"/>
          <w:szCs w:val="24"/>
        </w:rPr>
        <w:t>:</w:t>
      </w:r>
      <w:r w:rsidR="00847644">
        <w:rP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The laboratory should be able to guarantee impartiality and confidentiality.</w:t>
      </w:r>
      <w:r w:rsidRPr="003049EB">
        <w:rP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 xml:space="preserve">The biomedical calibration data can have an impact on procurement, warranty claims, litigation and regulatory actions hence independence and confidentiality </w:t>
      </w:r>
      <w:r w:rsidR="00405B6B" w:rsidRPr="003049EB">
        <w:rPr>
          <w:rStyle w:val="cursor-pointer"/>
          <w:rFonts w:ascii="Times New Roman" w:hAnsi="Times New Roman" w:cs="Times New Roman"/>
          <w:sz w:val="24"/>
          <w:szCs w:val="24"/>
        </w:rPr>
        <w:t>are</w:t>
      </w:r>
      <w:r w:rsidRPr="003049EB">
        <w:rPr>
          <w:rStyle w:val="cursor-pointer"/>
          <w:rFonts w:ascii="Times New Roman" w:hAnsi="Times New Roman" w:cs="Times New Roman"/>
          <w:sz w:val="24"/>
          <w:szCs w:val="24"/>
        </w:rPr>
        <w:t xml:space="preserve"> necessary.</w:t>
      </w:r>
      <w:r w:rsidRPr="003049EB">
        <w:rP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The standard mandates the identification of risks and mitigation of the risks to impartiality [1].</w:t>
      </w:r>
      <w:r w:rsidRPr="003049EB">
        <w:rPr>
          <w:rFonts w:ascii="Times New Roman" w:hAnsi="Times New Roman" w:cs="Times New Roman"/>
          <w:sz w:val="24"/>
          <w:szCs w:val="24"/>
        </w:rPr>
        <w:t xml:space="preserve"> </w:t>
      </w:r>
    </w:p>
    <w:p w14:paraId="6C8B31E7" w14:textId="52AFBB6F" w:rsidR="00F5428D" w:rsidRPr="003049EB" w:rsidRDefault="00F5428D" w:rsidP="000B190B">
      <w:pPr>
        <w:spacing w:before="240" w:line="240" w:lineRule="auto"/>
        <w:jc w:val="both"/>
        <w:rPr>
          <w:rFonts w:ascii="Times New Roman" w:hAnsi="Times New Roman" w:cs="Times New Roman"/>
          <w:sz w:val="24"/>
          <w:szCs w:val="24"/>
        </w:rPr>
      </w:pPr>
      <w:r w:rsidRPr="00847644">
        <w:rPr>
          <w:rFonts w:ascii="Times New Roman" w:hAnsi="Times New Roman" w:cs="Times New Roman"/>
          <w:b/>
          <w:bCs/>
          <w:sz w:val="24"/>
          <w:szCs w:val="24"/>
        </w:rPr>
        <w:lastRenderedPageBreak/>
        <w:t>Structural Requirements</w:t>
      </w:r>
      <w:r w:rsidR="00847644" w:rsidRPr="00847644">
        <w:rPr>
          <w:rStyle w:val="cursor-pointer"/>
          <w:b/>
          <w:bCs/>
        </w:rPr>
        <w:t>:</w:t>
      </w:r>
      <w:r w:rsidRPr="00847644">
        <w:rPr>
          <w:rStyle w:val="cursor-pointer"/>
        </w:rPr>
        <w:t xml:space="preserve"> </w:t>
      </w:r>
      <w:r w:rsidRPr="003049EB">
        <w:rPr>
          <w:rStyle w:val="cursor-pointer"/>
          <w:rFonts w:ascii="Times New Roman" w:hAnsi="Times New Roman" w:cs="Times New Roman"/>
          <w:sz w:val="24"/>
          <w:szCs w:val="24"/>
        </w:rPr>
        <w:t>Laboratory should establish legal identity, management, authority and responsibilities.</w:t>
      </w:r>
      <w:r w:rsidRPr="003049EB">
        <w:rP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Hospitals with in-house calibration units ought to have clear governance, frequently in line with structures of the clinical engineering department [9].</w:t>
      </w:r>
      <w:r w:rsidRPr="003049EB">
        <w:rPr>
          <w:rFonts w:ascii="Times New Roman" w:hAnsi="Times New Roman" w:cs="Times New Roman"/>
          <w:sz w:val="24"/>
          <w:szCs w:val="24"/>
        </w:rPr>
        <w:t xml:space="preserve"> </w:t>
      </w:r>
    </w:p>
    <w:p w14:paraId="6299EB46" w14:textId="04FB15A4" w:rsidR="00F5428D" w:rsidRPr="003049EB" w:rsidRDefault="00F5428D" w:rsidP="000B190B">
      <w:pPr>
        <w:spacing w:before="240" w:line="240" w:lineRule="auto"/>
        <w:jc w:val="both"/>
        <w:rPr>
          <w:rFonts w:ascii="Times New Roman" w:hAnsi="Times New Roman" w:cs="Times New Roman"/>
          <w:sz w:val="24"/>
          <w:szCs w:val="24"/>
        </w:rPr>
      </w:pPr>
      <w:r w:rsidRPr="00847644">
        <w:rPr>
          <w:rFonts w:ascii="Times New Roman" w:hAnsi="Times New Roman" w:cs="Times New Roman"/>
          <w:b/>
          <w:bCs/>
          <w:sz w:val="24"/>
          <w:szCs w:val="24"/>
        </w:rPr>
        <w:t>Resource Requirements</w:t>
      </w:r>
      <w:r w:rsidR="00847644">
        <w:rPr>
          <w:rFonts w:ascii="Times New Roman" w:hAnsi="Times New Roman" w:cs="Times New Roman"/>
          <w:b/>
          <w:bCs/>
          <w:sz w:val="24"/>
          <w:szCs w:val="24"/>
        </w:rPr>
        <w:t>:</w:t>
      </w:r>
      <w:r w:rsidRPr="003049EB">
        <w:rP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Resources are in the form of competent personnel, appropriate facilities, calibrated standards, software, environmental control and external services.</w:t>
      </w:r>
      <w:r w:rsidRPr="003049EB">
        <w:rP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The clause 6.3 deals in particular with the facilities and environmental conditions, which are very critical in the biomedical calibrations [1].</w:t>
      </w:r>
      <w:r w:rsidRPr="003049EB">
        <w:rPr>
          <w:rFonts w:ascii="Times New Roman" w:hAnsi="Times New Roman" w:cs="Times New Roman"/>
          <w:sz w:val="24"/>
          <w:szCs w:val="24"/>
        </w:rPr>
        <w:t xml:space="preserve"> </w:t>
      </w:r>
    </w:p>
    <w:p w14:paraId="53E342CF" w14:textId="76482C00" w:rsidR="00F5428D" w:rsidRPr="003049EB" w:rsidRDefault="00F5428D" w:rsidP="000B190B">
      <w:pPr>
        <w:spacing w:before="240" w:line="240" w:lineRule="auto"/>
        <w:jc w:val="both"/>
        <w:rPr>
          <w:rFonts w:ascii="Times New Roman" w:hAnsi="Times New Roman" w:cs="Times New Roman"/>
          <w:sz w:val="24"/>
          <w:szCs w:val="24"/>
        </w:rPr>
      </w:pPr>
      <w:r w:rsidRPr="00847644">
        <w:rPr>
          <w:rFonts w:ascii="Times New Roman" w:hAnsi="Times New Roman" w:cs="Times New Roman"/>
          <w:b/>
          <w:bCs/>
          <w:sz w:val="24"/>
          <w:szCs w:val="24"/>
        </w:rPr>
        <w:t>Process Requirements</w:t>
      </w:r>
      <w:r w:rsidRPr="003049EB">
        <w:rP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These include contract review, method selection, sampling (where applicable), handling items, technical records, uncertainty, validity of results, reporting, complaints and non-conforming work.</w:t>
      </w:r>
      <w:r w:rsidRPr="003049EB">
        <w:rP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The necessity of measuring the uncertainty of the measurements is explained in clause 7.6 [1].</w:t>
      </w:r>
      <w:r w:rsidRPr="003049EB">
        <w:rPr>
          <w:rFonts w:ascii="Times New Roman" w:hAnsi="Times New Roman" w:cs="Times New Roman"/>
          <w:sz w:val="24"/>
          <w:szCs w:val="24"/>
        </w:rPr>
        <w:t xml:space="preserve"> </w:t>
      </w:r>
    </w:p>
    <w:p w14:paraId="4EEAC32C" w14:textId="58F13DD3" w:rsidR="00F5428D" w:rsidRPr="003049EB" w:rsidRDefault="00F5428D" w:rsidP="000B190B">
      <w:pPr>
        <w:spacing w:before="240" w:line="240" w:lineRule="auto"/>
        <w:jc w:val="both"/>
        <w:rPr>
          <w:rFonts w:ascii="Times New Roman" w:hAnsi="Times New Roman" w:cs="Times New Roman"/>
          <w:sz w:val="24"/>
          <w:szCs w:val="24"/>
        </w:rPr>
      </w:pPr>
      <w:r w:rsidRPr="00847644">
        <w:rPr>
          <w:rFonts w:ascii="Times New Roman" w:hAnsi="Times New Roman" w:cs="Times New Roman"/>
          <w:b/>
          <w:bCs/>
          <w:sz w:val="24"/>
          <w:szCs w:val="24"/>
        </w:rPr>
        <w:t>Management System</w:t>
      </w:r>
      <w:r w:rsidRPr="003049EB">
        <w:rPr>
          <w:rFonts w:ascii="Times New Roman" w:hAnsi="Times New Roman" w:cs="Times New Roman"/>
          <w:sz w:val="24"/>
          <w:szCs w:val="24"/>
        </w:rPr>
        <w:t xml:space="preserve"> Requirements </w:t>
      </w:r>
      <w:r w:rsidRPr="003049EB">
        <w:rPr>
          <w:rStyle w:val="cursor-pointer"/>
          <w:rFonts w:ascii="Times New Roman" w:hAnsi="Times New Roman" w:cs="Times New Roman"/>
          <w:sz w:val="24"/>
          <w:szCs w:val="24"/>
        </w:rPr>
        <w:t>They need internal audits, corrective actions, risk management (in line with ISO 14971 [7]) and document control, management review and Continuous Improvement.</w:t>
      </w:r>
      <w:r w:rsidRPr="003049EB">
        <w:rP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There are two options (Option A and B) available to the laboratories: (A) based on ISO 9001 principles; and (B) integrated with the existing ISO 9001 system [1].</w:t>
      </w:r>
      <w:r w:rsidRPr="003049EB">
        <w:rPr>
          <w:rFonts w:ascii="Times New Roman" w:hAnsi="Times New Roman" w:cs="Times New Roman"/>
          <w:sz w:val="24"/>
          <w:szCs w:val="24"/>
        </w:rPr>
        <w:t xml:space="preserve"> </w:t>
      </w:r>
    </w:p>
    <w:p w14:paraId="22E79C7A" w14:textId="02925166" w:rsidR="00847644" w:rsidRPr="00847644" w:rsidRDefault="00847644" w:rsidP="000B190B">
      <w:pPr>
        <w:spacing w:before="240" w:line="240" w:lineRule="auto"/>
        <w:jc w:val="both"/>
        <w:rPr>
          <w:rFonts w:ascii="Times New Roman" w:hAnsi="Times New Roman" w:cs="Times New Roman"/>
          <w:b/>
          <w:bCs/>
          <w:sz w:val="28"/>
          <w:szCs w:val="28"/>
        </w:rPr>
      </w:pPr>
      <w:r w:rsidRPr="00847644">
        <w:rPr>
          <w:rStyle w:val="cursor-pointer"/>
          <w:rFonts w:ascii="Times New Roman" w:hAnsi="Times New Roman" w:cs="Times New Roman"/>
          <w:b/>
          <w:bCs/>
          <w:sz w:val="28"/>
          <w:szCs w:val="28"/>
        </w:rPr>
        <w:t>SIGNIFICANCE OF CALIBRATION IN HEALTHCARE</w:t>
      </w:r>
    </w:p>
    <w:p w14:paraId="14CE992F" w14:textId="6FA35495" w:rsidR="00F5428D" w:rsidRPr="003049EB" w:rsidRDefault="00F5428D" w:rsidP="000B190B">
      <w:pPr>
        <w:shd w:val="clear" w:color="auto" w:fill="FFFFFF"/>
        <w:spacing w:before="240" w:line="240" w:lineRule="auto"/>
        <w:jc w:val="both"/>
        <w:rPr>
          <w:rFonts w:ascii="Times New Roman" w:hAnsi="Times New Roman" w:cs="Times New Roman"/>
          <w:sz w:val="24"/>
          <w:szCs w:val="24"/>
        </w:rPr>
      </w:pPr>
      <w:r w:rsidRPr="003049EB">
        <w:rPr>
          <w:rStyle w:val="cursor-pointer"/>
          <w:rFonts w:ascii="Times New Roman" w:hAnsi="Times New Roman" w:cs="Times New Roman"/>
          <w:sz w:val="24"/>
          <w:szCs w:val="24"/>
        </w:rPr>
        <w:t>Calibration has a direct effect on diagnostic accuracy, treatment effectiveness, patient safety, equipment lifespan, regulatory compliance, cost control and reputation of healthcare institutions [10].</w:t>
      </w:r>
      <w:r w:rsidRPr="003049EB">
        <w:rP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Table 1 summarizes the clinical consequences of error in calibration of typical biomedical equipment.</w:t>
      </w:r>
      <w:r w:rsidRPr="003049EB">
        <w:rPr>
          <w:rFonts w:ascii="Times New Roman" w:hAnsi="Times New Roman" w:cs="Times New Roman"/>
          <w:sz w:val="24"/>
          <w:szCs w:val="24"/>
        </w:rPr>
        <w:t xml:space="preserve"> </w:t>
      </w:r>
    </w:p>
    <w:p w14:paraId="30C4AD1B" w14:textId="421AAF94" w:rsidR="00B347AC" w:rsidRPr="00B347AC" w:rsidRDefault="00F5428D" w:rsidP="000B190B">
      <w:pPr>
        <w:shd w:val="clear" w:color="auto" w:fill="FFFFFF"/>
        <w:spacing w:before="240" w:line="240" w:lineRule="auto"/>
        <w:jc w:val="both"/>
        <w:rPr>
          <w:rFonts w:ascii="Times New Roman" w:eastAsia="Times New Roman" w:hAnsi="Times New Roman" w:cs="Times New Roman"/>
          <w:color w:val="0F1115"/>
          <w:sz w:val="24"/>
          <w:szCs w:val="24"/>
        </w:rPr>
      </w:pPr>
      <w:r w:rsidRPr="003049EB">
        <w:rPr>
          <w:rStyle w:val="cursor-pointer"/>
          <w:rFonts w:ascii="Times New Roman" w:hAnsi="Times New Roman" w:cs="Times New Roman"/>
          <w:sz w:val="24"/>
          <w:szCs w:val="24"/>
        </w:rPr>
        <w:t>Table 1: Clinical Effect of Biomedical equipment calibration error.</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1710"/>
        <w:gridCol w:w="1710"/>
        <w:gridCol w:w="1800"/>
        <w:gridCol w:w="3330"/>
        <w:gridCol w:w="2149"/>
      </w:tblGrid>
      <w:tr w:rsidR="00847644" w:rsidRPr="00B347AC" w14:paraId="7CEDA0C7" w14:textId="77777777" w:rsidTr="004D7425">
        <w:trPr>
          <w:cantSplit/>
          <w:trHeight w:val="20"/>
        </w:trPr>
        <w:tc>
          <w:tcPr>
            <w:tcW w:w="1710" w:type="dxa"/>
            <w:tcBorders>
              <w:top w:val="nil"/>
            </w:tcBorders>
            <w:tcMar>
              <w:top w:w="150" w:type="dxa"/>
              <w:left w:w="0" w:type="dxa"/>
              <w:bottom w:w="150" w:type="dxa"/>
              <w:right w:w="240" w:type="dxa"/>
            </w:tcMar>
            <w:vAlign w:val="center"/>
            <w:hideMark/>
          </w:tcPr>
          <w:p w14:paraId="24D15948" w14:textId="77777777" w:rsidR="00B347AC" w:rsidRDefault="00B347AC" w:rsidP="00855564">
            <w:pPr>
              <w:spacing w:after="0" w:line="240" w:lineRule="auto"/>
              <w:ind w:left="90"/>
              <w:jc w:val="center"/>
              <w:rPr>
                <w:rFonts w:ascii="Times New Roman" w:eastAsia="Times New Roman" w:hAnsi="Times New Roman" w:cs="Times New Roman"/>
                <w:b/>
                <w:bCs/>
                <w:sz w:val="24"/>
                <w:szCs w:val="24"/>
              </w:rPr>
            </w:pPr>
            <w:r w:rsidRPr="00B347AC">
              <w:rPr>
                <w:rFonts w:ascii="Times New Roman" w:eastAsia="Times New Roman" w:hAnsi="Times New Roman" w:cs="Times New Roman"/>
                <w:b/>
                <w:bCs/>
                <w:sz w:val="24"/>
                <w:szCs w:val="24"/>
              </w:rPr>
              <w:t>Device Type</w:t>
            </w:r>
          </w:p>
          <w:p w14:paraId="0431BA02" w14:textId="737684CB" w:rsidR="00855564" w:rsidRPr="00B347AC" w:rsidRDefault="00855564" w:rsidP="00855564">
            <w:pPr>
              <w:spacing w:after="0" w:line="240" w:lineRule="auto"/>
              <w:ind w:left="90"/>
              <w:jc w:val="center"/>
              <w:rPr>
                <w:rFonts w:ascii="Times New Roman" w:eastAsia="Times New Roman" w:hAnsi="Times New Roman" w:cs="Times New Roman"/>
                <w:b/>
                <w:bCs/>
                <w:sz w:val="24"/>
                <w:szCs w:val="24"/>
              </w:rPr>
            </w:pPr>
          </w:p>
        </w:tc>
        <w:tc>
          <w:tcPr>
            <w:tcW w:w="1710" w:type="dxa"/>
            <w:tcBorders>
              <w:top w:val="nil"/>
            </w:tcBorders>
            <w:tcMar>
              <w:top w:w="150" w:type="dxa"/>
              <w:left w:w="240" w:type="dxa"/>
              <w:bottom w:w="150" w:type="dxa"/>
              <w:right w:w="240" w:type="dxa"/>
            </w:tcMar>
            <w:vAlign w:val="center"/>
            <w:hideMark/>
          </w:tcPr>
          <w:p w14:paraId="02B98000" w14:textId="77777777" w:rsidR="00B347AC" w:rsidRPr="00B347AC" w:rsidRDefault="00B347AC" w:rsidP="00855564">
            <w:pPr>
              <w:spacing w:after="0" w:line="240" w:lineRule="auto"/>
              <w:jc w:val="center"/>
              <w:rPr>
                <w:rFonts w:ascii="Times New Roman" w:eastAsia="Times New Roman" w:hAnsi="Times New Roman" w:cs="Times New Roman"/>
                <w:b/>
                <w:bCs/>
                <w:sz w:val="24"/>
                <w:szCs w:val="24"/>
              </w:rPr>
            </w:pPr>
            <w:r w:rsidRPr="00B347AC">
              <w:rPr>
                <w:rFonts w:ascii="Times New Roman" w:eastAsia="Times New Roman" w:hAnsi="Times New Roman" w:cs="Times New Roman"/>
                <w:b/>
                <w:bCs/>
                <w:sz w:val="24"/>
                <w:szCs w:val="24"/>
              </w:rPr>
              <w:t>Parameter</w:t>
            </w:r>
          </w:p>
        </w:tc>
        <w:tc>
          <w:tcPr>
            <w:tcW w:w="1800" w:type="dxa"/>
            <w:tcBorders>
              <w:top w:val="nil"/>
            </w:tcBorders>
            <w:tcMar>
              <w:top w:w="150" w:type="dxa"/>
              <w:left w:w="240" w:type="dxa"/>
              <w:bottom w:w="150" w:type="dxa"/>
              <w:right w:w="240" w:type="dxa"/>
            </w:tcMar>
            <w:vAlign w:val="center"/>
            <w:hideMark/>
          </w:tcPr>
          <w:p w14:paraId="217025FE" w14:textId="77777777" w:rsidR="00B347AC" w:rsidRPr="00B347AC" w:rsidRDefault="00B347AC" w:rsidP="00855564">
            <w:pPr>
              <w:spacing w:after="0" w:line="240" w:lineRule="auto"/>
              <w:jc w:val="center"/>
              <w:rPr>
                <w:rFonts w:ascii="Times New Roman" w:eastAsia="Times New Roman" w:hAnsi="Times New Roman" w:cs="Times New Roman"/>
                <w:b/>
                <w:bCs/>
                <w:sz w:val="24"/>
                <w:szCs w:val="24"/>
              </w:rPr>
            </w:pPr>
            <w:r w:rsidRPr="00B347AC">
              <w:rPr>
                <w:rFonts w:ascii="Times New Roman" w:eastAsia="Times New Roman" w:hAnsi="Times New Roman" w:cs="Times New Roman"/>
                <w:b/>
                <w:bCs/>
                <w:sz w:val="24"/>
                <w:szCs w:val="24"/>
              </w:rPr>
              <w:t>Typical Tolerance</w:t>
            </w:r>
          </w:p>
        </w:tc>
        <w:tc>
          <w:tcPr>
            <w:tcW w:w="3330" w:type="dxa"/>
            <w:tcBorders>
              <w:top w:val="nil"/>
            </w:tcBorders>
            <w:tcMar>
              <w:top w:w="150" w:type="dxa"/>
              <w:left w:w="240" w:type="dxa"/>
              <w:bottom w:w="150" w:type="dxa"/>
              <w:right w:w="240" w:type="dxa"/>
            </w:tcMar>
            <w:vAlign w:val="center"/>
            <w:hideMark/>
          </w:tcPr>
          <w:p w14:paraId="666E3845" w14:textId="70C286E6" w:rsidR="00B347AC" w:rsidRPr="00B347AC" w:rsidRDefault="00B347AC" w:rsidP="00855564">
            <w:pPr>
              <w:spacing w:after="0" w:line="240" w:lineRule="auto"/>
              <w:jc w:val="center"/>
              <w:rPr>
                <w:rFonts w:ascii="Times New Roman" w:eastAsia="Times New Roman" w:hAnsi="Times New Roman" w:cs="Times New Roman"/>
                <w:b/>
                <w:bCs/>
                <w:sz w:val="24"/>
                <w:szCs w:val="24"/>
              </w:rPr>
            </w:pPr>
            <w:r w:rsidRPr="00B347AC">
              <w:rPr>
                <w:rFonts w:ascii="Times New Roman" w:eastAsia="Times New Roman" w:hAnsi="Times New Roman" w:cs="Times New Roman"/>
                <w:b/>
                <w:bCs/>
                <w:sz w:val="24"/>
                <w:szCs w:val="24"/>
              </w:rPr>
              <w:t>Consequence of Undetected</w:t>
            </w:r>
            <w:r w:rsidR="00855564">
              <w:rPr>
                <w:rFonts w:ascii="Times New Roman" w:eastAsia="Times New Roman" w:hAnsi="Times New Roman" w:cs="Times New Roman"/>
                <w:b/>
                <w:bCs/>
                <w:sz w:val="24"/>
                <w:szCs w:val="24"/>
              </w:rPr>
              <w:t xml:space="preserve"> </w:t>
            </w:r>
            <w:r w:rsidRPr="00B347AC">
              <w:rPr>
                <w:rFonts w:ascii="Times New Roman" w:eastAsia="Times New Roman" w:hAnsi="Times New Roman" w:cs="Times New Roman"/>
                <w:b/>
                <w:bCs/>
                <w:sz w:val="24"/>
                <w:szCs w:val="24"/>
              </w:rPr>
              <w:t>Error</w:t>
            </w:r>
          </w:p>
        </w:tc>
        <w:tc>
          <w:tcPr>
            <w:tcW w:w="2149" w:type="dxa"/>
            <w:tcBorders>
              <w:top w:val="nil"/>
            </w:tcBorders>
            <w:tcMar>
              <w:top w:w="150" w:type="dxa"/>
              <w:left w:w="240" w:type="dxa"/>
              <w:bottom w:w="150" w:type="dxa"/>
              <w:right w:w="240" w:type="dxa"/>
            </w:tcMar>
            <w:vAlign w:val="center"/>
            <w:hideMark/>
          </w:tcPr>
          <w:p w14:paraId="2D71AC59" w14:textId="77777777" w:rsidR="00B347AC" w:rsidRPr="00B347AC" w:rsidRDefault="00B347AC" w:rsidP="00855564">
            <w:pPr>
              <w:spacing w:after="0" w:line="240" w:lineRule="auto"/>
              <w:jc w:val="center"/>
              <w:rPr>
                <w:rFonts w:ascii="Times New Roman" w:eastAsia="Times New Roman" w:hAnsi="Times New Roman" w:cs="Times New Roman"/>
                <w:b/>
                <w:bCs/>
                <w:sz w:val="24"/>
                <w:szCs w:val="24"/>
              </w:rPr>
            </w:pPr>
            <w:r w:rsidRPr="00B347AC">
              <w:rPr>
                <w:rFonts w:ascii="Times New Roman" w:eastAsia="Times New Roman" w:hAnsi="Times New Roman" w:cs="Times New Roman"/>
                <w:b/>
                <w:bCs/>
                <w:sz w:val="24"/>
                <w:szCs w:val="24"/>
              </w:rPr>
              <w:t>Relevant Standard</w:t>
            </w:r>
          </w:p>
        </w:tc>
      </w:tr>
      <w:tr w:rsidR="00847644" w:rsidRPr="00B347AC" w14:paraId="76BB0FAC" w14:textId="77777777" w:rsidTr="004D7425">
        <w:trPr>
          <w:cantSplit/>
          <w:trHeight w:val="20"/>
        </w:trPr>
        <w:tc>
          <w:tcPr>
            <w:tcW w:w="1710" w:type="dxa"/>
            <w:tcMar>
              <w:top w:w="150" w:type="dxa"/>
              <w:left w:w="0" w:type="dxa"/>
              <w:bottom w:w="150" w:type="dxa"/>
              <w:right w:w="240" w:type="dxa"/>
            </w:tcMar>
            <w:vAlign w:val="center"/>
            <w:hideMark/>
          </w:tcPr>
          <w:p w14:paraId="433DF950" w14:textId="77777777" w:rsidR="00B347AC" w:rsidRPr="00B347AC" w:rsidRDefault="00B347AC" w:rsidP="00855564">
            <w:pPr>
              <w:spacing w:after="0" w:line="240" w:lineRule="auto"/>
              <w:ind w:left="90"/>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Infusion pump</w:t>
            </w:r>
          </w:p>
        </w:tc>
        <w:tc>
          <w:tcPr>
            <w:tcW w:w="1710" w:type="dxa"/>
            <w:tcMar>
              <w:top w:w="150" w:type="dxa"/>
              <w:left w:w="240" w:type="dxa"/>
              <w:bottom w:w="150" w:type="dxa"/>
              <w:right w:w="240" w:type="dxa"/>
            </w:tcMar>
            <w:vAlign w:val="center"/>
            <w:hideMark/>
          </w:tcPr>
          <w:p w14:paraId="3B925831" w14:textId="77777777" w:rsidR="00B347AC" w:rsidRPr="00B347AC" w:rsidRDefault="00B347AC" w:rsidP="00855564">
            <w:pPr>
              <w:spacing w:after="0" w:line="240" w:lineRule="auto"/>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Flow rate</w:t>
            </w:r>
          </w:p>
        </w:tc>
        <w:tc>
          <w:tcPr>
            <w:tcW w:w="1800" w:type="dxa"/>
            <w:tcMar>
              <w:top w:w="150" w:type="dxa"/>
              <w:left w:w="240" w:type="dxa"/>
              <w:bottom w:w="150" w:type="dxa"/>
              <w:right w:w="240" w:type="dxa"/>
            </w:tcMar>
            <w:vAlign w:val="center"/>
            <w:hideMark/>
          </w:tcPr>
          <w:p w14:paraId="784E1961" w14:textId="77777777" w:rsidR="00B347AC" w:rsidRPr="00B347AC" w:rsidRDefault="00B347AC" w:rsidP="00855564">
            <w:pPr>
              <w:spacing w:after="0" w:line="240" w:lineRule="auto"/>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±5%</w:t>
            </w:r>
          </w:p>
        </w:tc>
        <w:tc>
          <w:tcPr>
            <w:tcW w:w="3330" w:type="dxa"/>
            <w:tcMar>
              <w:top w:w="150" w:type="dxa"/>
              <w:left w:w="240" w:type="dxa"/>
              <w:bottom w:w="150" w:type="dxa"/>
              <w:right w:w="240" w:type="dxa"/>
            </w:tcMar>
            <w:vAlign w:val="center"/>
            <w:hideMark/>
          </w:tcPr>
          <w:p w14:paraId="67308650" w14:textId="77777777" w:rsidR="00B347AC" w:rsidRPr="00B347AC" w:rsidRDefault="00B347AC" w:rsidP="00F346EC">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Underdose (therapeutic failure) or overdose (toxicity)</w:t>
            </w:r>
          </w:p>
        </w:tc>
        <w:tc>
          <w:tcPr>
            <w:tcW w:w="2149" w:type="dxa"/>
            <w:tcMar>
              <w:top w:w="150" w:type="dxa"/>
              <w:left w:w="240" w:type="dxa"/>
              <w:bottom w:w="150" w:type="dxa"/>
              <w:right w:w="0" w:type="dxa"/>
            </w:tcMar>
            <w:vAlign w:val="center"/>
            <w:hideMark/>
          </w:tcPr>
          <w:p w14:paraId="4B9D9071" w14:textId="77777777" w:rsidR="00B347AC" w:rsidRPr="00B347AC" w:rsidRDefault="00B347AC" w:rsidP="004D7425">
            <w:pPr>
              <w:spacing w:after="0" w:line="240" w:lineRule="auto"/>
              <w:ind w:left="-144"/>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IEC 60601-2-24 [19]</w:t>
            </w:r>
          </w:p>
        </w:tc>
      </w:tr>
      <w:tr w:rsidR="00847644" w:rsidRPr="00B347AC" w14:paraId="328943E5" w14:textId="77777777" w:rsidTr="004D7425">
        <w:trPr>
          <w:cantSplit/>
          <w:trHeight w:val="20"/>
        </w:trPr>
        <w:tc>
          <w:tcPr>
            <w:tcW w:w="1710" w:type="dxa"/>
            <w:tcMar>
              <w:top w:w="150" w:type="dxa"/>
              <w:left w:w="0" w:type="dxa"/>
              <w:bottom w:w="150" w:type="dxa"/>
              <w:right w:w="240" w:type="dxa"/>
            </w:tcMar>
            <w:vAlign w:val="center"/>
            <w:hideMark/>
          </w:tcPr>
          <w:p w14:paraId="01552469" w14:textId="77777777" w:rsidR="00B347AC" w:rsidRPr="00B347AC" w:rsidRDefault="00B347AC" w:rsidP="00855564">
            <w:pPr>
              <w:spacing w:after="0" w:line="240" w:lineRule="auto"/>
              <w:ind w:left="90"/>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Defibrillator</w:t>
            </w:r>
          </w:p>
        </w:tc>
        <w:tc>
          <w:tcPr>
            <w:tcW w:w="1710" w:type="dxa"/>
            <w:tcMar>
              <w:top w:w="150" w:type="dxa"/>
              <w:left w:w="240" w:type="dxa"/>
              <w:bottom w:w="150" w:type="dxa"/>
              <w:right w:w="240" w:type="dxa"/>
            </w:tcMar>
            <w:vAlign w:val="center"/>
            <w:hideMark/>
          </w:tcPr>
          <w:p w14:paraId="3A628B6A" w14:textId="77777777" w:rsidR="00B347AC" w:rsidRPr="00B347AC" w:rsidRDefault="00B347AC" w:rsidP="00855564">
            <w:pPr>
              <w:spacing w:after="0" w:line="240" w:lineRule="auto"/>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Energy</w:t>
            </w:r>
          </w:p>
        </w:tc>
        <w:tc>
          <w:tcPr>
            <w:tcW w:w="1800" w:type="dxa"/>
            <w:tcMar>
              <w:top w:w="150" w:type="dxa"/>
              <w:left w:w="240" w:type="dxa"/>
              <w:bottom w:w="150" w:type="dxa"/>
              <w:right w:w="240" w:type="dxa"/>
            </w:tcMar>
            <w:vAlign w:val="center"/>
            <w:hideMark/>
          </w:tcPr>
          <w:p w14:paraId="718B2EFB" w14:textId="77777777" w:rsidR="00B347AC" w:rsidRPr="00B347AC" w:rsidRDefault="00B347AC" w:rsidP="00855564">
            <w:pPr>
              <w:spacing w:after="0" w:line="240" w:lineRule="auto"/>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±15% or ±4 J</w:t>
            </w:r>
          </w:p>
        </w:tc>
        <w:tc>
          <w:tcPr>
            <w:tcW w:w="3330" w:type="dxa"/>
            <w:tcMar>
              <w:top w:w="150" w:type="dxa"/>
              <w:left w:w="240" w:type="dxa"/>
              <w:bottom w:w="150" w:type="dxa"/>
              <w:right w:w="240" w:type="dxa"/>
            </w:tcMar>
            <w:vAlign w:val="center"/>
            <w:hideMark/>
          </w:tcPr>
          <w:p w14:paraId="039657D0" w14:textId="77777777" w:rsidR="00B347AC" w:rsidRPr="00B347AC" w:rsidRDefault="00B347AC" w:rsidP="00F346EC">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Failed resuscitation, myocardial damage</w:t>
            </w:r>
          </w:p>
        </w:tc>
        <w:tc>
          <w:tcPr>
            <w:tcW w:w="2149" w:type="dxa"/>
            <w:tcMar>
              <w:top w:w="150" w:type="dxa"/>
              <w:left w:w="240" w:type="dxa"/>
              <w:bottom w:w="150" w:type="dxa"/>
              <w:right w:w="0" w:type="dxa"/>
            </w:tcMar>
            <w:vAlign w:val="center"/>
            <w:hideMark/>
          </w:tcPr>
          <w:p w14:paraId="39B36728" w14:textId="77777777" w:rsidR="00B347AC" w:rsidRPr="00B347AC" w:rsidRDefault="00B347AC" w:rsidP="004D7425">
            <w:pPr>
              <w:spacing w:after="0" w:line="240" w:lineRule="auto"/>
              <w:ind w:left="-144"/>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IEC 60601-2-4 [13]</w:t>
            </w:r>
          </w:p>
        </w:tc>
      </w:tr>
      <w:tr w:rsidR="00847644" w:rsidRPr="00B347AC" w14:paraId="222A777F" w14:textId="77777777" w:rsidTr="004D7425">
        <w:trPr>
          <w:cantSplit/>
          <w:trHeight w:val="20"/>
        </w:trPr>
        <w:tc>
          <w:tcPr>
            <w:tcW w:w="1710" w:type="dxa"/>
            <w:tcMar>
              <w:top w:w="150" w:type="dxa"/>
              <w:left w:w="0" w:type="dxa"/>
              <w:bottom w:w="150" w:type="dxa"/>
              <w:right w:w="240" w:type="dxa"/>
            </w:tcMar>
            <w:vAlign w:val="center"/>
            <w:hideMark/>
          </w:tcPr>
          <w:p w14:paraId="56FE8447" w14:textId="77777777" w:rsidR="00B347AC" w:rsidRPr="00B347AC" w:rsidRDefault="00B347AC" w:rsidP="00855564">
            <w:pPr>
              <w:spacing w:after="0" w:line="240" w:lineRule="auto"/>
              <w:ind w:left="90"/>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Ventilator</w:t>
            </w:r>
          </w:p>
        </w:tc>
        <w:tc>
          <w:tcPr>
            <w:tcW w:w="1710" w:type="dxa"/>
            <w:tcMar>
              <w:top w:w="150" w:type="dxa"/>
              <w:left w:w="240" w:type="dxa"/>
              <w:bottom w:w="150" w:type="dxa"/>
              <w:right w:w="240" w:type="dxa"/>
            </w:tcMar>
            <w:vAlign w:val="center"/>
            <w:hideMark/>
          </w:tcPr>
          <w:p w14:paraId="7D257AB2" w14:textId="77777777" w:rsidR="00B347AC" w:rsidRPr="00B347AC" w:rsidRDefault="00B347AC" w:rsidP="00855564">
            <w:pPr>
              <w:spacing w:after="0" w:line="240" w:lineRule="auto"/>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Tidal volume</w:t>
            </w:r>
          </w:p>
        </w:tc>
        <w:tc>
          <w:tcPr>
            <w:tcW w:w="1800" w:type="dxa"/>
            <w:tcMar>
              <w:top w:w="150" w:type="dxa"/>
              <w:left w:w="240" w:type="dxa"/>
              <w:bottom w:w="150" w:type="dxa"/>
              <w:right w:w="240" w:type="dxa"/>
            </w:tcMar>
            <w:vAlign w:val="center"/>
            <w:hideMark/>
          </w:tcPr>
          <w:p w14:paraId="21E0F5E1" w14:textId="77777777" w:rsidR="00B347AC" w:rsidRPr="00B347AC" w:rsidRDefault="00B347AC" w:rsidP="00855564">
            <w:pPr>
              <w:spacing w:after="0" w:line="240" w:lineRule="auto"/>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±10%</w:t>
            </w:r>
          </w:p>
        </w:tc>
        <w:tc>
          <w:tcPr>
            <w:tcW w:w="3330" w:type="dxa"/>
            <w:tcMar>
              <w:top w:w="150" w:type="dxa"/>
              <w:left w:w="240" w:type="dxa"/>
              <w:bottom w:w="150" w:type="dxa"/>
              <w:right w:w="240" w:type="dxa"/>
            </w:tcMar>
            <w:vAlign w:val="center"/>
            <w:hideMark/>
          </w:tcPr>
          <w:p w14:paraId="4E456BEA" w14:textId="77777777" w:rsidR="00B347AC" w:rsidRPr="00B347AC" w:rsidRDefault="00B347AC" w:rsidP="00F346EC">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Hypoventilation (brain injury) or barotrauma</w:t>
            </w:r>
          </w:p>
        </w:tc>
        <w:tc>
          <w:tcPr>
            <w:tcW w:w="2149" w:type="dxa"/>
            <w:tcMar>
              <w:top w:w="150" w:type="dxa"/>
              <w:left w:w="240" w:type="dxa"/>
              <w:bottom w:w="150" w:type="dxa"/>
              <w:right w:w="0" w:type="dxa"/>
            </w:tcMar>
            <w:vAlign w:val="center"/>
            <w:hideMark/>
          </w:tcPr>
          <w:p w14:paraId="5849CC2B" w14:textId="77777777" w:rsidR="00B347AC" w:rsidRPr="00B347AC" w:rsidRDefault="00B347AC" w:rsidP="004D7425">
            <w:pPr>
              <w:spacing w:after="0" w:line="240" w:lineRule="auto"/>
              <w:ind w:left="-144"/>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ISO 80601-2-12 [12]</w:t>
            </w:r>
          </w:p>
        </w:tc>
      </w:tr>
      <w:tr w:rsidR="00847644" w:rsidRPr="00B347AC" w14:paraId="21ADA3D3" w14:textId="77777777" w:rsidTr="004D7425">
        <w:trPr>
          <w:cantSplit/>
          <w:trHeight w:val="20"/>
        </w:trPr>
        <w:tc>
          <w:tcPr>
            <w:tcW w:w="1710" w:type="dxa"/>
            <w:tcMar>
              <w:top w:w="150" w:type="dxa"/>
              <w:left w:w="0" w:type="dxa"/>
              <w:bottom w:w="150" w:type="dxa"/>
              <w:right w:w="240" w:type="dxa"/>
            </w:tcMar>
            <w:vAlign w:val="center"/>
            <w:hideMark/>
          </w:tcPr>
          <w:p w14:paraId="52370FDD" w14:textId="77777777" w:rsidR="00B347AC" w:rsidRPr="00B347AC" w:rsidRDefault="00B347AC" w:rsidP="00855564">
            <w:pPr>
              <w:spacing w:after="0" w:line="240" w:lineRule="auto"/>
              <w:ind w:left="90"/>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Patient monitor (NIBP)</w:t>
            </w:r>
          </w:p>
        </w:tc>
        <w:tc>
          <w:tcPr>
            <w:tcW w:w="1710" w:type="dxa"/>
            <w:tcMar>
              <w:top w:w="150" w:type="dxa"/>
              <w:left w:w="240" w:type="dxa"/>
              <w:bottom w:w="150" w:type="dxa"/>
              <w:right w:w="240" w:type="dxa"/>
            </w:tcMar>
            <w:vAlign w:val="center"/>
            <w:hideMark/>
          </w:tcPr>
          <w:p w14:paraId="25686B20" w14:textId="77777777" w:rsidR="00B347AC" w:rsidRPr="00B347AC" w:rsidRDefault="00B347AC" w:rsidP="00855564">
            <w:pPr>
              <w:spacing w:after="0" w:line="240" w:lineRule="auto"/>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Pressure</w:t>
            </w:r>
          </w:p>
        </w:tc>
        <w:tc>
          <w:tcPr>
            <w:tcW w:w="1800" w:type="dxa"/>
            <w:tcMar>
              <w:top w:w="150" w:type="dxa"/>
              <w:left w:w="240" w:type="dxa"/>
              <w:bottom w:w="150" w:type="dxa"/>
              <w:right w:w="240" w:type="dxa"/>
            </w:tcMar>
            <w:vAlign w:val="center"/>
            <w:hideMark/>
          </w:tcPr>
          <w:p w14:paraId="31E27C4C" w14:textId="77777777" w:rsidR="00B347AC" w:rsidRPr="00B347AC" w:rsidRDefault="00B347AC" w:rsidP="00855564">
            <w:pPr>
              <w:spacing w:after="0" w:line="240" w:lineRule="auto"/>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±3 mmHg or ±5%</w:t>
            </w:r>
          </w:p>
        </w:tc>
        <w:tc>
          <w:tcPr>
            <w:tcW w:w="3330" w:type="dxa"/>
            <w:tcMar>
              <w:top w:w="150" w:type="dxa"/>
              <w:left w:w="240" w:type="dxa"/>
              <w:bottom w:w="150" w:type="dxa"/>
              <w:right w:w="240" w:type="dxa"/>
            </w:tcMar>
            <w:vAlign w:val="center"/>
            <w:hideMark/>
          </w:tcPr>
          <w:p w14:paraId="58C748FF" w14:textId="77777777" w:rsidR="00B347AC" w:rsidRPr="00B347AC" w:rsidRDefault="00B347AC" w:rsidP="00F346EC">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Missed hypertension/hypotension, wrong treatment</w:t>
            </w:r>
          </w:p>
        </w:tc>
        <w:tc>
          <w:tcPr>
            <w:tcW w:w="2149" w:type="dxa"/>
            <w:tcMar>
              <w:top w:w="150" w:type="dxa"/>
              <w:left w:w="240" w:type="dxa"/>
              <w:bottom w:w="150" w:type="dxa"/>
              <w:right w:w="0" w:type="dxa"/>
            </w:tcMar>
            <w:vAlign w:val="center"/>
            <w:hideMark/>
          </w:tcPr>
          <w:p w14:paraId="70485339" w14:textId="77777777" w:rsidR="00B347AC" w:rsidRPr="00B347AC" w:rsidRDefault="00B347AC" w:rsidP="004D7425">
            <w:pPr>
              <w:spacing w:after="0" w:line="240" w:lineRule="auto"/>
              <w:ind w:left="-144"/>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IEC 60601-2-49 [40]</w:t>
            </w:r>
          </w:p>
        </w:tc>
      </w:tr>
      <w:tr w:rsidR="00847644" w:rsidRPr="00B347AC" w14:paraId="158CDDDF" w14:textId="77777777" w:rsidTr="004D7425">
        <w:trPr>
          <w:cantSplit/>
          <w:trHeight w:val="20"/>
        </w:trPr>
        <w:tc>
          <w:tcPr>
            <w:tcW w:w="1710" w:type="dxa"/>
            <w:tcMar>
              <w:top w:w="150" w:type="dxa"/>
              <w:left w:w="0" w:type="dxa"/>
              <w:bottom w:w="150" w:type="dxa"/>
              <w:right w:w="240" w:type="dxa"/>
            </w:tcMar>
            <w:vAlign w:val="center"/>
            <w:hideMark/>
          </w:tcPr>
          <w:p w14:paraId="1D72A1B5" w14:textId="77777777" w:rsidR="00B347AC" w:rsidRPr="00B347AC" w:rsidRDefault="00B347AC" w:rsidP="00855564">
            <w:pPr>
              <w:spacing w:after="0" w:line="240" w:lineRule="auto"/>
              <w:ind w:left="90"/>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Thermometer</w:t>
            </w:r>
          </w:p>
        </w:tc>
        <w:tc>
          <w:tcPr>
            <w:tcW w:w="1710" w:type="dxa"/>
            <w:tcMar>
              <w:top w:w="150" w:type="dxa"/>
              <w:left w:w="240" w:type="dxa"/>
              <w:bottom w:w="150" w:type="dxa"/>
              <w:right w:w="240" w:type="dxa"/>
            </w:tcMar>
            <w:vAlign w:val="center"/>
            <w:hideMark/>
          </w:tcPr>
          <w:p w14:paraId="51B25E3E" w14:textId="77777777" w:rsidR="00B347AC" w:rsidRPr="00B347AC" w:rsidRDefault="00B347AC" w:rsidP="00855564">
            <w:pPr>
              <w:spacing w:after="0" w:line="240" w:lineRule="auto"/>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Temperature</w:t>
            </w:r>
          </w:p>
        </w:tc>
        <w:tc>
          <w:tcPr>
            <w:tcW w:w="1800" w:type="dxa"/>
            <w:tcMar>
              <w:top w:w="150" w:type="dxa"/>
              <w:left w:w="240" w:type="dxa"/>
              <w:bottom w:w="150" w:type="dxa"/>
              <w:right w:w="240" w:type="dxa"/>
            </w:tcMar>
            <w:vAlign w:val="center"/>
            <w:hideMark/>
          </w:tcPr>
          <w:p w14:paraId="42D640EC" w14:textId="77777777" w:rsidR="00B347AC" w:rsidRPr="00B347AC" w:rsidRDefault="00B347AC" w:rsidP="00855564">
            <w:pPr>
              <w:spacing w:after="0" w:line="240" w:lineRule="auto"/>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±0.1°C (clinical)</w:t>
            </w:r>
          </w:p>
        </w:tc>
        <w:tc>
          <w:tcPr>
            <w:tcW w:w="3330" w:type="dxa"/>
            <w:tcMar>
              <w:top w:w="150" w:type="dxa"/>
              <w:left w:w="240" w:type="dxa"/>
              <w:bottom w:w="150" w:type="dxa"/>
              <w:right w:w="240" w:type="dxa"/>
            </w:tcMar>
            <w:vAlign w:val="center"/>
            <w:hideMark/>
          </w:tcPr>
          <w:p w14:paraId="308573C1" w14:textId="77777777" w:rsidR="00B347AC" w:rsidRPr="00B347AC" w:rsidRDefault="00B347AC" w:rsidP="00F346EC">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Missed fever, incorrect neonatal incubator settings</w:t>
            </w:r>
          </w:p>
        </w:tc>
        <w:tc>
          <w:tcPr>
            <w:tcW w:w="2149" w:type="dxa"/>
            <w:tcMar>
              <w:top w:w="150" w:type="dxa"/>
              <w:left w:w="240" w:type="dxa"/>
              <w:bottom w:w="150" w:type="dxa"/>
              <w:right w:w="0" w:type="dxa"/>
            </w:tcMar>
            <w:vAlign w:val="center"/>
            <w:hideMark/>
          </w:tcPr>
          <w:p w14:paraId="0AB67AAC" w14:textId="77777777" w:rsidR="00B347AC" w:rsidRPr="00B347AC" w:rsidRDefault="00B347AC" w:rsidP="004D7425">
            <w:pPr>
              <w:spacing w:after="0" w:line="240" w:lineRule="auto"/>
              <w:ind w:left="-144"/>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ASTM E2877 [38]</w:t>
            </w:r>
          </w:p>
        </w:tc>
      </w:tr>
      <w:tr w:rsidR="00847644" w:rsidRPr="00B347AC" w14:paraId="137DF7EE" w14:textId="77777777" w:rsidTr="004D7425">
        <w:trPr>
          <w:cantSplit/>
          <w:trHeight w:val="20"/>
        </w:trPr>
        <w:tc>
          <w:tcPr>
            <w:tcW w:w="1710" w:type="dxa"/>
            <w:tcMar>
              <w:top w:w="150" w:type="dxa"/>
              <w:left w:w="0" w:type="dxa"/>
              <w:bottom w:w="150" w:type="dxa"/>
              <w:right w:w="240" w:type="dxa"/>
            </w:tcMar>
            <w:vAlign w:val="center"/>
            <w:hideMark/>
          </w:tcPr>
          <w:p w14:paraId="58286F21" w14:textId="77777777" w:rsidR="00B347AC" w:rsidRPr="00B347AC" w:rsidRDefault="00B347AC" w:rsidP="00855564">
            <w:pPr>
              <w:spacing w:after="0" w:line="240" w:lineRule="auto"/>
              <w:ind w:left="90"/>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Electrosurgical unit</w:t>
            </w:r>
          </w:p>
        </w:tc>
        <w:tc>
          <w:tcPr>
            <w:tcW w:w="1710" w:type="dxa"/>
            <w:tcMar>
              <w:top w:w="150" w:type="dxa"/>
              <w:left w:w="240" w:type="dxa"/>
              <w:bottom w:w="150" w:type="dxa"/>
              <w:right w:w="240" w:type="dxa"/>
            </w:tcMar>
            <w:vAlign w:val="center"/>
            <w:hideMark/>
          </w:tcPr>
          <w:p w14:paraId="223C2AE5" w14:textId="77777777" w:rsidR="00B347AC" w:rsidRPr="00B347AC" w:rsidRDefault="00B347AC" w:rsidP="00855564">
            <w:pPr>
              <w:spacing w:after="0" w:line="240" w:lineRule="auto"/>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Output power</w:t>
            </w:r>
          </w:p>
        </w:tc>
        <w:tc>
          <w:tcPr>
            <w:tcW w:w="1800" w:type="dxa"/>
            <w:tcMar>
              <w:top w:w="150" w:type="dxa"/>
              <w:left w:w="240" w:type="dxa"/>
              <w:bottom w:w="150" w:type="dxa"/>
              <w:right w:w="240" w:type="dxa"/>
            </w:tcMar>
            <w:vAlign w:val="center"/>
            <w:hideMark/>
          </w:tcPr>
          <w:p w14:paraId="794647DD" w14:textId="77777777" w:rsidR="00B347AC" w:rsidRPr="00B347AC" w:rsidRDefault="00B347AC" w:rsidP="00855564">
            <w:pPr>
              <w:spacing w:after="0" w:line="240" w:lineRule="auto"/>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±20%</w:t>
            </w:r>
          </w:p>
        </w:tc>
        <w:tc>
          <w:tcPr>
            <w:tcW w:w="3330" w:type="dxa"/>
            <w:tcMar>
              <w:top w:w="150" w:type="dxa"/>
              <w:left w:w="240" w:type="dxa"/>
              <w:bottom w:w="150" w:type="dxa"/>
              <w:right w:w="240" w:type="dxa"/>
            </w:tcMar>
            <w:vAlign w:val="center"/>
            <w:hideMark/>
          </w:tcPr>
          <w:p w14:paraId="183FDDBA" w14:textId="77777777" w:rsidR="00B347AC" w:rsidRPr="00B347AC" w:rsidRDefault="00B347AC" w:rsidP="00F346EC">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Ineffective cutting/burning, patient burns</w:t>
            </w:r>
          </w:p>
        </w:tc>
        <w:tc>
          <w:tcPr>
            <w:tcW w:w="2149" w:type="dxa"/>
            <w:tcMar>
              <w:top w:w="150" w:type="dxa"/>
              <w:left w:w="240" w:type="dxa"/>
              <w:bottom w:w="150" w:type="dxa"/>
              <w:right w:w="0" w:type="dxa"/>
            </w:tcMar>
            <w:vAlign w:val="center"/>
            <w:hideMark/>
          </w:tcPr>
          <w:p w14:paraId="6529E689" w14:textId="77777777" w:rsidR="00B347AC" w:rsidRPr="00B347AC" w:rsidRDefault="00B347AC" w:rsidP="004D7425">
            <w:pPr>
              <w:spacing w:after="0" w:line="240" w:lineRule="auto"/>
              <w:ind w:left="-144"/>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IEC 60601-2-2 [21]</w:t>
            </w:r>
          </w:p>
        </w:tc>
      </w:tr>
      <w:tr w:rsidR="00847644" w:rsidRPr="00B347AC" w14:paraId="0FD97FB4" w14:textId="77777777" w:rsidTr="004D7425">
        <w:trPr>
          <w:cantSplit/>
          <w:trHeight w:val="20"/>
        </w:trPr>
        <w:tc>
          <w:tcPr>
            <w:tcW w:w="1710" w:type="dxa"/>
            <w:tcMar>
              <w:top w:w="150" w:type="dxa"/>
              <w:left w:w="0" w:type="dxa"/>
              <w:bottom w:w="150" w:type="dxa"/>
              <w:right w:w="240" w:type="dxa"/>
            </w:tcMar>
            <w:vAlign w:val="center"/>
            <w:hideMark/>
          </w:tcPr>
          <w:p w14:paraId="629D16FD" w14:textId="77777777" w:rsidR="00B347AC" w:rsidRPr="00B347AC" w:rsidRDefault="00B347AC" w:rsidP="00855564">
            <w:pPr>
              <w:spacing w:after="0" w:line="240" w:lineRule="auto"/>
              <w:ind w:left="90"/>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Pulse oximeter</w:t>
            </w:r>
          </w:p>
        </w:tc>
        <w:tc>
          <w:tcPr>
            <w:tcW w:w="1710" w:type="dxa"/>
            <w:tcMar>
              <w:top w:w="150" w:type="dxa"/>
              <w:left w:w="240" w:type="dxa"/>
              <w:bottom w:w="150" w:type="dxa"/>
              <w:right w:w="240" w:type="dxa"/>
            </w:tcMar>
            <w:vAlign w:val="center"/>
            <w:hideMark/>
          </w:tcPr>
          <w:p w14:paraId="3F87C439" w14:textId="77777777" w:rsidR="00B347AC" w:rsidRPr="00B347AC" w:rsidRDefault="00B347AC" w:rsidP="00855564">
            <w:pPr>
              <w:spacing w:after="0" w:line="240" w:lineRule="auto"/>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SpO₂</w:t>
            </w:r>
          </w:p>
        </w:tc>
        <w:tc>
          <w:tcPr>
            <w:tcW w:w="1800" w:type="dxa"/>
            <w:tcMar>
              <w:top w:w="150" w:type="dxa"/>
              <w:left w:w="240" w:type="dxa"/>
              <w:bottom w:w="150" w:type="dxa"/>
              <w:right w:w="240" w:type="dxa"/>
            </w:tcMar>
            <w:vAlign w:val="center"/>
            <w:hideMark/>
          </w:tcPr>
          <w:p w14:paraId="567F9027" w14:textId="77777777" w:rsidR="00B347AC" w:rsidRPr="00B347AC" w:rsidRDefault="00B347AC" w:rsidP="00855564">
            <w:pPr>
              <w:spacing w:after="0" w:line="240" w:lineRule="auto"/>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±3% (70-100%)</w:t>
            </w:r>
          </w:p>
        </w:tc>
        <w:tc>
          <w:tcPr>
            <w:tcW w:w="3330" w:type="dxa"/>
            <w:tcMar>
              <w:top w:w="150" w:type="dxa"/>
              <w:left w:w="240" w:type="dxa"/>
              <w:bottom w:w="150" w:type="dxa"/>
              <w:right w:w="240" w:type="dxa"/>
            </w:tcMar>
            <w:vAlign w:val="center"/>
            <w:hideMark/>
          </w:tcPr>
          <w:p w14:paraId="76CA1303" w14:textId="77777777" w:rsidR="00B347AC" w:rsidRPr="00B347AC" w:rsidRDefault="00B347AC" w:rsidP="00F346EC">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Undetected hypoxia, unnecessary oxygen therapy</w:t>
            </w:r>
          </w:p>
        </w:tc>
        <w:tc>
          <w:tcPr>
            <w:tcW w:w="2149" w:type="dxa"/>
            <w:tcMar>
              <w:top w:w="150" w:type="dxa"/>
              <w:left w:w="240" w:type="dxa"/>
              <w:bottom w:w="150" w:type="dxa"/>
              <w:right w:w="0" w:type="dxa"/>
            </w:tcMar>
            <w:vAlign w:val="center"/>
            <w:hideMark/>
          </w:tcPr>
          <w:p w14:paraId="41485B0B" w14:textId="77777777" w:rsidR="00B347AC" w:rsidRPr="00B347AC" w:rsidRDefault="00B347AC" w:rsidP="004D7425">
            <w:pPr>
              <w:spacing w:after="0" w:line="240" w:lineRule="auto"/>
              <w:ind w:left="-144"/>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ISO 80601-2-61</w:t>
            </w:r>
          </w:p>
        </w:tc>
      </w:tr>
    </w:tbl>
    <w:p w14:paraId="77933356" w14:textId="77777777" w:rsidR="00F5428D" w:rsidRPr="003049EB" w:rsidRDefault="00F5428D" w:rsidP="000B190B">
      <w:pPr>
        <w:spacing w:before="240" w:line="240" w:lineRule="auto"/>
        <w:jc w:val="both"/>
        <w:rPr>
          <w:rFonts w:ascii="Times New Roman" w:hAnsi="Times New Roman" w:cs="Times New Roman"/>
          <w:sz w:val="24"/>
          <w:szCs w:val="24"/>
        </w:rPr>
      </w:pPr>
      <w:r w:rsidRPr="003049EB">
        <w:rPr>
          <w:rStyle w:val="cursor-pointer"/>
          <w:rFonts w:ascii="Times New Roman" w:hAnsi="Times New Roman" w:cs="Times New Roman"/>
          <w:sz w:val="24"/>
          <w:szCs w:val="24"/>
        </w:rPr>
        <w:t>Certain clinical examples are:</w:t>
      </w:r>
      <w:r w:rsidRPr="003049EB">
        <w:rPr>
          <w:rFonts w:ascii="Times New Roman" w:hAnsi="Times New Roman" w:cs="Times New Roman"/>
          <w:sz w:val="24"/>
          <w:szCs w:val="24"/>
        </w:rPr>
        <w:t xml:space="preserve"> </w:t>
      </w:r>
    </w:p>
    <w:p w14:paraId="66775456" w14:textId="77777777" w:rsidR="00F5428D" w:rsidRPr="0024555D" w:rsidRDefault="00F5428D" w:rsidP="00D7191A">
      <w:pPr>
        <w:pStyle w:val="ListParagraph"/>
        <w:numPr>
          <w:ilvl w:val="0"/>
          <w:numId w:val="1"/>
        </w:numPr>
        <w:spacing w:before="240" w:line="240" w:lineRule="auto"/>
        <w:jc w:val="both"/>
        <w:rPr>
          <w:rStyle w:val="cursor-pointer"/>
        </w:rPr>
      </w:pPr>
      <w:r w:rsidRPr="003049EB">
        <w:rPr>
          <w:rStyle w:val="cursor-pointer"/>
          <w:rFonts w:ascii="Times New Roman" w:hAnsi="Times New Roman" w:cs="Times New Roman"/>
          <w:sz w:val="24"/>
          <w:szCs w:val="24"/>
        </w:rPr>
        <w:t>Even the slightest error in a blood pressure monitor of even 5 mmHg can result in incorrect diagnosis of hypertension or even missed treatment thresholds that affect millions of patients worldwide [11].</w:t>
      </w:r>
      <w:r w:rsidRPr="0024555D">
        <w:rPr>
          <w:rStyle w:val="cursor-pointer"/>
        </w:rPr>
        <w:t xml:space="preserve"> </w:t>
      </w:r>
    </w:p>
    <w:p w14:paraId="00181E31" w14:textId="1A4671EE" w:rsidR="00F5428D" w:rsidRPr="0024555D" w:rsidRDefault="005D2E23" w:rsidP="00D7191A">
      <w:pPr>
        <w:pStyle w:val="ListParagraph"/>
        <w:numPr>
          <w:ilvl w:val="0"/>
          <w:numId w:val="1"/>
        </w:numPr>
        <w:spacing w:before="240" w:line="240" w:lineRule="auto"/>
        <w:jc w:val="both"/>
        <w:rPr>
          <w:rFonts w:ascii="Times New Roman" w:hAnsi="Times New Roman" w:cs="Times New Roman"/>
          <w:sz w:val="24"/>
          <w:szCs w:val="24"/>
        </w:rPr>
      </w:pPr>
      <w:r w:rsidRPr="005D2E23">
        <w:rPr>
          <w:rFonts w:ascii="Times New Roman" w:hAnsi="Times New Roman" w:cs="Times New Roman"/>
          <w:color w:val="0F1115"/>
          <w:sz w:val="24"/>
          <w:szCs w:val="24"/>
          <w:shd w:val="clear" w:color="auto" w:fill="FFFFFF"/>
        </w:rPr>
        <w:lastRenderedPageBreak/>
        <w:t>1°C</w:t>
      </w:r>
      <w:r w:rsidRPr="0024555D">
        <w:rPr>
          <w:rStyle w:val="cursor-pointer"/>
          <w:rFonts w:ascii="Times New Roman" w:hAnsi="Times New Roman" w:cs="Times New Roman"/>
          <w:sz w:val="24"/>
          <w:szCs w:val="24"/>
        </w:rPr>
        <w:t xml:space="preserve"> </w:t>
      </w:r>
      <w:r w:rsidR="00F5428D" w:rsidRPr="0024555D">
        <w:rPr>
          <w:rStyle w:val="cursor-pointer"/>
          <w:rFonts w:ascii="Times New Roman" w:hAnsi="Times New Roman" w:cs="Times New Roman"/>
          <w:sz w:val="24"/>
          <w:szCs w:val="24"/>
        </w:rPr>
        <w:t>drift in incubator temperature can be detrimental to neonates, especially those who are premature and who need to be given precise thermal regulation [4].</w:t>
      </w:r>
      <w:r w:rsidR="00F5428D" w:rsidRPr="0024555D">
        <w:rPr>
          <w:rFonts w:ascii="Times New Roman" w:hAnsi="Times New Roman" w:cs="Times New Roman"/>
          <w:sz w:val="24"/>
          <w:szCs w:val="24"/>
        </w:rPr>
        <w:t xml:space="preserve"> </w:t>
      </w:r>
    </w:p>
    <w:p w14:paraId="2BE67BB0" w14:textId="12BE1E5D" w:rsidR="00F5428D" w:rsidRPr="0024555D" w:rsidRDefault="00F5428D" w:rsidP="00D7191A">
      <w:pPr>
        <w:pStyle w:val="ListParagraph"/>
        <w:numPr>
          <w:ilvl w:val="0"/>
          <w:numId w:val="1"/>
        </w:numPr>
        <w:spacing w:before="240" w:line="240" w:lineRule="auto"/>
        <w:jc w:val="both"/>
        <w:rPr>
          <w:rFonts w:ascii="Times New Roman" w:hAnsi="Times New Roman" w:cs="Times New Roman"/>
          <w:sz w:val="24"/>
          <w:szCs w:val="24"/>
        </w:rPr>
      </w:pPr>
      <w:r w:rsidRPr="0024555D">
        <w:rPr>
          <w:rStyle w:val="cursor-pointer"/>
          <w:rFonts w:ascii="Times New Roman" w:hAnsi="Times New Roman" w:cs="Times New Roman"/>
          <w:sz w:val="24"/>
          <w:szCs w:val="24"/>
        </w:rPr>
        <w:t>Drift of ventilators may result in poor ventilation or barotrauma; research demonstrates that ventilators drift by up to ten percent of tidal volume with more than six months of continuous use [12].</w:t>
      </w:r>
      <w:r w:rsidRPr="0024555D">
        <w:rPr>
          <w:rFonts w:ascii="Times New Roman" w:hAnsi="Times New Roman" w:cs="Times New Roman"/>
          <w:sz w:val="24"/>
          <w:szCs w:val="24"/>
        </w:rPr>
        <w:t xml:space="preserve"> </w:t>
      </w:r>
    </w:p>
    <w:p w14:paraId="2C927AE9" w14:textId="767A0823" w:rsidR="00F5428D" w:rsidRPr="0024555D" w:rsidRDefault="00F5428D" w:rsidP="00D7191A">
      <w:pPr>
        <w:pStyle w:val="ListParagraph"/>
        <w:numPr>
          <w:ilvl w:val="0"/>
          <w:numId w:val="1"/>
        </w:numPr>
        <w:spacing w:before="240" w:line="240" w:lineRule="auto"/>
        <w:jc w:val="both"/>
        <w:rPr>
          <w:rFonts w:ascii="Times New Roman" w:hAnsi="Times New Roman" w:cs="Times New Roman"/>
          <w:sz w:val="24"/>
          <w:szCs w:val="24"/>
        </w:rPr>
      </w:pPr>
      <w:r w:rsidRPr="0024555D">
        <w:rPr>
          <w:rStyle w:val="cursor-pointer"/>
          <w:rFonts w:ascii="Times New Roman" w:hAnsi="Times New Roman" w:cs="Times New Roman"/>
          <w:sz w:val="24"/>
          <w:szCs w:val="24"/>
        </w:rPr>
        <w:t>Any error in defibrillator energy of greater than ±15 percent can decrease resuscitation success; IEC 60601-2-4 requires energy accuracy within ±15 percent or within ±4 J, whichever is the greater [13].</w:t>
      </w:r>
      <w:r w:rsidRPr="0024555D">
        <w:rPr>
          <w:rFonts w:ascii="Times New Roman" w:hAnsi="Times New Roman" w:cs="Times New Roman"/>
          <w:sz w:val="24"/>
          <w:szCs w:val="24"/>
        </w:rPr>
        <w:t xml:space="preserve"> </w:t>
      </w:r>
    </w:p>
    <w:p w14:paraId="407E7C7E" w14:textId="0A8215D0" w:rsidR="00B347AC" w:rsidRPr="00B347AC" w:rsidRDefault="00F5428D" w:rsidP="000B190B">
      <w:pPr>
        <w:spacing w:before="240" w:line="240" w:lineRule="auto"/>
        <w:jc w:val="both"/>
        <w:rPr>
          <w:rFonts w:ascii="Times New Roman" w:eastAsia="Times New Roman" w:hAnsi="Times New Roman" w:cs="Times New Roman"/>
          <w:sz w:val="24"/>
          <w:szCs w:val="24"/>
        </w:rPr>
      </w:pPr>
      <w:r w:rsidRPr="003049EB">
        <w:rPr>
          <w:rStyle w:val="cursor-pointer"/>
          <w:rFonts w:ascii="Times New Roman" w:hAnsi="Times New Roman" w:cs="Times New Roman"/>
          <w:sz w:val="24"/>
          <w:szCs w:val="24"/>
        </w:rPr>
        <w:t>According to the WHO Medical Device Technical Series, calibration is a fundamental part in any medical device management system [4].</w:t>
      </w:r>
    </w:p>
    <w:p w14:paraId="4F7AD5D9" w14:textId="7C1AB49D" w:rsidR="00B347AC" w:rsidRPr="00B347AC" w:rsidRDefault="005D2E23" w:rsidP="000B190B">
      <w:pPr>
        <w:shd w:val="clear" w:color="auto" w:fill="FFFFFF"/>
        <w:spacing w:before="240" w:line="240" w:lineRule="auto"/>
        <w:jc w:val="both"/>
        <w:outlineLvl w:val="1"/>
        <w:rPr>
          <w:rFonts w:ascii="Times New Roman" w:eastAsia="Times New Roman" w:hAnsi="Times New Roman" w:cs="Times New Roman"/>
          <w:b/>
          <w:bCs/>
          <w:color w:val="0F1115"/>
          <w:sz w:val="28"/>
          <w:szCs w:val="28"/>
        </w:rPr>
      </w:pPr>
      <w:r w:rsidRPr="005D2E23">
        <w:rPr>
          <w:rFonts w:ascii="Times New Roman" w:eastAsia="Times New Roman" w:hAnsi="Times New Roman" w:cs="Times New Roman"/>
          <w:b/>
          <w:bCs/>
          <w:color w:val="0F1115"/>
          <w:sz w:val="28"/>
          <w:szCs w:val="28"/>
        </w:rPr>
        <w:t>METROLOGICAL TRACEABILITY</w:t>
      </w:r>
    </w:p>
    <w:p w14:paraId="223F919A" w14:textId="77777777" w:rsidR="00F5428D" w:rsidRPr="003049EB" w:rsidRDefault="00F5428D" w:rsidP="000B190B">
      <w:pPr>
        <w:shd w:val="clear" w:color="auto" w:fill="FFFFFF"/>
        <w:spacing w:before="240" w:line="240" w:lineRule="auto"/>
        <w:jc w:val="both"/>
        <w:rPr>
          <w:rStyle w:val="cursor-pointer"/>
          <w:rFonts w:ascii="Times New Roman" w:hAnsi="Times New Roman" w:cs="Times New Roman"/>
          <w:sz w:val="24"/>
          <w:szCs w:val="24"/>
        </w:rPr>
      </w:pPr>
      <w:r w:rsidRPr="003049EB">
        <w:rPr>
          <w:rStyle w:val="cursor-pointer"/>
          <w:rFonts w:ascii="Times New Roman" w:hAnsi="Times New Roman" w:cs="Times New Roman"/>
          <w:sz w:val="24"/>
          <w:szCs w:val="24"/>
        </w:rPr>
        <w:t>Metrological traceability is the property whereby the measurement results can be linked to a reference by an unbroken chain of calibrations, each contributing to uncertainty.</w:t>
      </w:r>
      <w:r w:rsidRPr="003049EB">
        <w:rP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According to the International Vocabulary of Metrology (VIM), traceability can be defined as the property of a measurement result whereby it can be related to a stated reference by a documented continuous chain of calibrations, each of which contributes to the measurement uncertainty [5].</w:t>
      </w:r>
      <w:r w:rsidRPr="003049EB">
        <w:rP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The traceability chain of biomedical equipment calibration is shown in figure 2.</w:t>
      </w:r>
    </w:p>
    <w:p w14:paraId="372EEBFA" w14:textId="4E2E136B" w:rsidR="005D2E23" w:rsidRDefault="005D2E23" w:rsidP="005D2E23">
      <w:pPr>
        <w:pStyle w:val="NormalWeb"/>
      </w:pPr>
      <w:r>
        <w:rPr>
          <w:noProof/>
        </w:rPr>
        <w:drawing>
          <wp:inline distT="0" distB="0" distL="0" distR="0" wp14:anchorId="2CDD0C55" wp14:editId="7E61299E">
            <wp:extent cx="4631841" cy="4589253"/>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65335" cy="4721520"/>
                    </a:xfrm>
                    <a:prstGeom prst="rect">
                      <a:avLst/>
                    </a:prstGeom>
                    <a:noFill/>
                    <a:ln>
                      <a:noFill/>
                    </a:ln>
                  </pic:spPr>
                </pic:pic>
              </a:graphicData>
            </a:graphic>
          </wp:inline>
        </w:drawing>
      </w:r>
    </w:p>
    <w:p w14:paraId="7830E914" w14:textId="5765CDE9" w:rsidR="00E0189B" w:rsidRDefault="005D2E23" w:rsidP="000B190B">
      <w:pPr>
        <w:shd w:val="clear" w:color="auto" w:fill="FFFFFF"/>
        <w:spacing w:before="240" w:line="240" w:lineRule="auto"/>
        <w:jc w:val="both"/>
        <w:rPr>
          <w:rFonts w:ascii="Times New Roman" w:eastAsia="Times New Roman" w:hAnsi="Times New Roman" w:cs="Times New Roman"/>
          <w:color w:val="0F1115"/>
          <w:sz w:val="24"/>
          <w:szCs w:val="24"/>
        </w:rPr>
      </w:pPr>
      <w:r w:rsidRPr="00B347AC">
        <w:rPr>
          <w:rFonts w:ascii="Times New Roman" w:eastAsia="Times New Roman" w:hAnsi="Times New Roman" w:cs="Times New Roman"/>
          <w:color w:val="0F1115"/>
          <w:sz w:val="24"/>
          <w:szCs w:val="24"/>
        </w:rPr>
        <w:t>Figure 2:</w:t>
      </w:r>
      <w:r w:rsidRPr="00B347AC">
        <w:rPr>
          <w:rFonts w:ascii="Times New Roman" w:eastAsia="Times New Roman" w:hAnsi="Times New Roman" w:cs="Times New Roman"/>
          <w:b/>
          <w:bCs/>
          <w:color w:val="0F1115"/>
          <w:sz w:val="24"/>
          <w:szCs w:val="24"/>
        </w:rPr>
        <w:t xml:space="preserve"> </w:t>
      </w:r>
      <w:r w:rsidRPr="00B347AC">
        <w:rPr>
          <w:rFonts w:ascii="Times New Roman" w:eastAsia="Times New Roman" w:hAnsi="Times New Roman" w:cs="Times New Roman"/>
          <w:color w:val="0F1115"/>
          <w:sz w:val="24"/>
          <w:szCs w:val="24"/>
        </w:rPr>
        <w:t xml:space="preserve">Metrological Traceability Chain for Biomedical </w:t>
      </w:r>
      <w:r w:rsidR="00342B4C">
        <w:rPr>
          <w:rFonts w:ascii="Times New Roman" w:eastAsia="Times New Roman" w:hAnsi="Times New Roman" w:cs="Times New Roman"/>
          <w:color w:val="0F1115"/>
          <w:sz w:val="24"/>
          <w:szCs w:val="24"/>
        </w:rPr>
        <w:t>Device</w:t>
      </w:r>
      <w:r w:rsidRPr="00B347AC">
        <w:rPr>
          <w:rFonts w:ascii="Times New Roman" w:eastAsia="Times New Roman" w:hAnsi="Times New Roman" w:cs="Times New Roman"/>
          <w:color w:val="0F1115"/>
          <w:sz w:val="24"/>
          <w:szCs w:val="24"/>
        </w:rPr>
        <w:t xml:space="preserve"> Calibration</w:t>
      </w:r>
    </w:p>
    <w:p w14:paraId="71B123C7" w14:textId="6E1A0B50" w:rsidR="00F5428D" w:rsidRPr="003049EB" w:rsidRDefault="00B347AC" w:rsidP="000B190B">
      <w:pPr>
        <w:shd w:val="clear" w:color="auto" w:fill="FFFFFF"/>
        <w:spacing w:before="240" w:line="240" w:lineRule="auto"/>
        <w:jc w:val="both"/>
        <w:rPr>
          <w:rFonts w:ascii="Times New Roman" w:eastAsia="Times New Roman" w:hAnsi="Times New Roman" w:cs="Times New Roman"/>
          <w:color w:val="0F1115"/>
          <w:sz w:val="24"/>
          <w:szCs w:val="24"/>
        </w:rPr>
      </w:pPr>
      <w:r w:rsidRPr="00B347AC">
        <w:rPr>
          <w:rFonts w:ascii="Times New Roman" w:eastAsia="Times New Roman" w:hAnsi="Times New Roman" w:cs="Times New Roman"/>
          <w:color w:val="0F1115"/>
          <w:sz w:val="24"/>
          <w:szCs w:val="24"/>
        </w:rPr>
        <w:t>Examples of traceability:</w:t>
      </w:r>
    </w:p>
    <w:p w14:paraId="7C5E2389" w14:textId="0D9BF1CF" w:rsidR="00F5428D" w:rsidRPr="00E0189B" w:rsidRDefault="00F5428D" w:rsidP="00D7191A">
      <w:pPr>
        <w:pStyle w:val="ListParagraph"/>
        <w:numPr>
          <w:ilvl w:val="0"/>
          <w:numId w:val="2"/>
        </w:numPr>
        <w:shd w:val="clear" w:color="auto" w:fill="FFFFFF"/>
        <w:spacing w:before="240" w:line="240" w:lineRule="auto"/>
        <w:jc w:val="both"/>
        <w:rPr>
          <w:rFonts w:ascii="Times New Roman" w:hAnsi="Times New Roman" w:cs="Times New Roman"/>
          <w:sz w:val="24"/>
          <w:szCs w:val="24"/>
        </w:rPr>
      </w:pPr>
      <w:r w:rsidRPr="00E0189B">
        <w:rPr>
          <w:rStyle w:val="cursor-pointer"/>
          <w:rFonts w:ascii="Times New Roman" w:hAnsi="Times New Roman" w:cs="Times New Roman"/>
          <w:sz w:val="24"/>
          <w:szCs w:val="24"/>
        </w:rPr>
        <w:t>Pressure that can be related to national pressure standards by use of primary manometers or deadweight testers [14].</w:t>
      </w:r>
      <w:r w:rsidRPr="00E0189B">
        <w:rPr>
          <w:rFonts w:ascii="Times New Roman" w:hAnsi="Times New Roman" w:cs="Times New Roman"/>
          <w:sz w:val="24"/>
          <w:szCs w:val="24"/>
        </w:rPr>
        <w:t xml:space="preserve"> </w:t>
      </w:r>
    </w:p>
    <w:p w14:paraId="336145D3" w14:textId="146E09B1" w:rsidR="00F5428D" w:rsidRPr="00E0189B" w:rsidRDefault="00F5428D" w:rsidP="00D7191A">
      <w:pPr>
        <w:pStyle w:val="ListParagraph"/>
        <w:numPr>
          <w:ilvl w:val="0"/>
          <w:numId w:val="2"/>
        </w:numPr>
        <w:shd w:val="clear" w:color="auto" w:fill="FFFFFF"/>
        <w:spacing w:before="240" w:line="240" w:lineRule="auto"/>
        <w:jc w:val="both"/>
        <w:rPr>
          <w:rFonts w:ascii="Times New Roman" w:hAnsi="Times New Roman" w:cs="Times New Roman"/>
          <w:sz w:val="24"/>
          <w:szCs w:val="24"/>
        </w:rPr>
      </w:pPr>
      <w:r w:rsidRPr="00E0189B">
        <w:rPr>
          <w:rStyle w:val="cursor-pointer"/>
          <w:rFonts w:ascii="Times New Roman" w:hAnsi="Times New Roman" w:cs="Times New Roman"/>
          <w:sz w:val="24"/>
          <w:szCs w:val="24"/>
        </w:rPr>
        <w:t>Temperature measurement that can be traced to ITS-90 fixed points with SPRTs [15].</w:t>
      </w:r>
      <w:r w:rsidRPr="00E0189B">
        <w:rPr>
          <w:rFonts w:ascii="Times New Roman" w:hAnsi="Times New Roman" w:cs="Times New Roman"/>
          <w:sz w:val="24"/>
          <w:szCs w:val="24"/>
        </w:rPr>
        <w:t xml:space="preserve"> </w:t>
      </w:r>
      <w:r w:rsidRPr="00E0189B">
        <w:rPr>
          <w:rStyle w:val="cursor-pointer"/>
          <w:rFonts w:ascii="Times New Roman" w:hAnsi="Times New Roman" w:cs="Times New Roman"/>
          <w:sz w:val="24"/>
          <w:szCs w:val="24"/>
        </w:rPr>
        <w:t>Electrical signals that can be traced to national metrology institutes standards of voltage/current [16].</w:t>
      </w:r>
      <w:r w:rsidRPr="00E0189B">
        <w:rPr>
          <w:rFonts w:ascii="Times New Roman" w:hAnsi="Times New Roman" w:cs="Times New Roman"/>
          <w:sz w:val="24"/>
          <w:szCs w:val="24"/>
        </w:rPr>
        <w:t xml:space="preserve"> </w:t>
      </w:r>
    </w:p>
    <w:p w14:paraId="22DDCE34" w14:textId="248DD235" w:rsidR="00E0189B" w:rsidRPr="00E0189B" w:rsidRDefault="00F5428D" w:rsidP="00D7191A">
      <w:pPr>
        <w:pStyle w:val="ListParagraph"/>
        <w:numPr>
          <w:ilvl w:val="0"/>
          <w:numId w:val="2"/>
        </w:numPr>
        <w:shd w:val="clear" w:color="auto" w:fill="FFFFFF"/>
        <w:spacing w:before="240" w:line="240" w:lineRule="auto"/>
        <w:jc w:val="both"/>
        <w:rPr>
          <w:rFonts w:ascii="Times New Roman" w:hAnsi="Times New Roman" w:cs="Times New Roman"/>
          <w:sz w:val="24"/>
          <w:szCs w:val="24"/>
        </w:rPr>
      </w:pPr>
      <w:r w:rsidRPr="00E0189B">
        <w:rPr>
          <w:rStyle w:val="cursor-pointer"/>
          <w:rFonts w:ascii="Times New Roman" w:hAnsi="Times New Roman" w:cs="Times New Roman"/>
          <w:sz w:val="24"/>
          <w:szCs w:val="24"/>
        </w:rPr>
        <w:t>Time traceable to references of an atomic clock using GPS-disciplined oscillators [5].</w:t>
      </w:r>
    </w:p>
    <w:p w14:paraId="015E6EC1" w14:textId="076AAF90" w:rsidR="00B347AC" w:rsidRPr="00B347AC" w:rsidRDefault="00F5428D" w:rsidP="000B190B">
      <w:pPr>
        <w:shd w:val="clear" w:color="auto" w:fill="FFFFFF"/>
        <w:spacing w:before="240" w:line="240" w:lineRule="auto"/>
        <w:jc w:val="both"/>
        <w:rPr>
          <w:rFonts w:ascii="Times New Roman" w:eastAsia="Times New Roman" w:hAnsi="Times New Roman" w:cs="Times New Roman"/>
          <w:color w:val="0F1115"/>
          <w:sz w:val="24"/>
          <w:szCs w:val="24"/>
        </w:rPr>
      </w:pPr>
      <w:r w:rsidRPr="003049EB">
        <w:rPr>
          <w:rStyle w:val="cursor-pointer"/>
          <w:rFonts w:ascii="Times New Roman" w:hAnsi="Times New Roman" w:cs="Times New Roman"/>
          <w:sz w:val="24"/>
          <w:szCs w:val="24"/>
        </w:rPr>
        <w:lastRenderedPageBreak/>
        <w:t>In the absence of traceability, the calibration values cannot be relied on and compared in other institutions.</w:t>
      </w:r>
      <w:r w:rsidRPr="003049EB">
        <w:rP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The ILAC P14 states that accredited calibration certificates must include traceability statements [17].</w:t>
      </w:r>
    </w:p>
    <w:p w14:paraId="1ECBA434" w14:textId="22B01D7F" w:rsidR="00B347AC" w:rsidRPr="00B347AC" w:rsidRDefault="00E0189B" w:rsidP="000B190B">
      <w:pPr>
        <w:shd w:val="clear" w:color="auto" w:fill="FFFFFF"/>
        <w:spacing w:before="240" w:line="240" w:lineRule="auto"/>
        <w:jc w:val="both"/>
        <w:outlineLvl w:val="1"/>
        <w:rPr>
          <w:rFonts w:ascii="Times New Roman" w:eastAsia="Times New Roman" w:hAnsi="Times New Roman" w:cs="Times New Roman"/>
          <w:b/>
          <w:bCs/>
          <w:color w:val="0F1115"/>
          <w:sz w:val="28"/>
          <w:szCs w:val="28"/>
        </w:rPr>
      </w:pPr>
      <w:r w:rsidRPr="00B347AC">
        <w:rPr>
          <w:rFonts w:ascii="Times New Roman" w:eastAsia="Times New Roman" w:hAnsi="Times New Roman" w:cs="Times New Roman"/>
          <w:b/>
          <w:bCs/>
          <w:color w:val="0F1115"/>
          <w:sz w:val="28"/>
          <w:szCs w:val="28"/>
        </w:rPr>
        <w:t>BIOMEDICAL EQUIPMENT COMMONLY REQUIRING CALIBRATION</w:t>
      </w:r>
    </w:p>
    <w:p w14:paraId="05671A50" w14:textId="77777777" w:rsidR="00B347AC" w:rsidRPr="00B347AC" w:rsidRDefault="00B347AC" w:rsidP="000B190B">
      <w:pPr>
        <w:shd w:val="clear" w:color="auto" w:fill="FFFFFF"/>
        <w:spacing w:before="240" w:line="240" w:lineRule="auto"/>
        <w:jc w:val="both"/>
        <w:rPr>
          <w:rFonts w:ascii="Times New Roman" w:eastAsia="Times New Roman" w:hAnsi="Times New Roman" w:cs="Times New Roman"/>
          <w:color w:val="0F1115"/>
          <w:sz w:val="24"/>
          <w:szCs w:val="24"/>
        </w:rPr>
      </w:pPr>
      <w:r w:rsidRPr="00B347AC">
        <w:rPr>
          <w:rFonts w:ascii="Times New Roman" w:eastAsia="Times New Roman" w:hAnsi="Times New Roman" w:cs="Times New Roman"/>
          <w:b/>
          <w:bCs/>
          <w:color w:val="0F1115"/>
          <w:sz w:val="24"/>
          <w:szCs w:val="24"/>
        </w:rPr>
        <w:t>Table 2</w:t>
      </w:r>
      <w:r w:rsidRPr="00B347AC">
        <w:rPr>
          <w:rFonts w:ascii="Times New Roman" w:eastAsia="Times New Roman" w:hAnsi="Times New Roman" w:cs="Times New Roman"/>
          <w:color w:val="0F1115"/>
          <w:sz w:val="24"/>
          <w:szCs w:val="24"/>
        </w:rPr>
        <w:t> provides a comprehensive listing of biomedical equipment types, their critical parameters, typical calibration intervals, and applicable standards.</w:t>
      </w:r>
    </w:p>
    <w:p w14:paraId="5F692F9D" w14:textId="77777777" w:rsidR="00B347AC" w:rsidRPr="00B347AC" w:rsidRDefault="00B347AC" w:rsidP="000B190B">
      <w:pPr>
        <w:shd w:val="clear" w:color="auto" w:fill="FFFFFF"/>
        <w:spacing w:before="240" w:line="240" w:lineRule="auto"/>
        <w:jc w:val="both"/>
        <w:rPr>
          <w:rFonts w:ascii="Times New Roman" w:eastAsia="Times New Roman" w:hAnsi="Times New Roman" w:cs="Times New Roman"/>
          <w:color w:val="0F1115"/>
          <w:sz w:val="24"/>
          <w:szCs w:val="24"/>
        </w:rPr>
      </w:pPr>
      <w:r w:rsidRPr="00B347AC">
        <w:rPr>
          <w:rFonts w:ascii="Times New Roman" w:eastAsia="Times New Roman" w:hAnsi="Times New Roman" w:cs="Times New Roman"/>
          <w:b/>
          <w:bCs/>
          <w:color w:val="0F1115"/>
          <w:sz w:val="24"/>
          <w:szCs w:val="24"/>
        </w:rPr>
        <w:t>Table 2: Biomedical Equipment Calibration Requirements</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2790"/>
        <w:gridCol w:w="3060"/>
        <w:gridCol w:w="2250"/>
        <w:gridCol w:w="2599"/>
      </w:tblGrid>
      <w:tr w:rsidR="00E0189B" w:rsidRPr="00B347AC" w14:paraId="0637E9EA" w14:textId="77777777" w:rsidTr="00EF3BA1">
        <w:trPr>
          <w:cantSplit/>
          <w:trHeight w:val="144"/>
        </w:trPr>
        <w:tc>
          <w:tcPr>
            <w:tcW w:w="2790" w:type="dxa"/>
            <w:tcBorders>
              <w:top w:val="nil"/>
            </w:tcBorders>
            <w:tcMar>
              <w:top w:w="150" w:type="dxa"/>
              <w:left w:w="0" w:type="dxa"/>
              <w:bottom w:w="150" w:type="dxa"/>
              <w:right w:w="240" w:type="dxa"/>
            </w:tcMar>
            <w:vAlign w:val="center"/>
            <w:hideMark/>
          </w:tcPr>
          <w:p w14:paraId="6154733C" w14:textId="77777777" w:rsidR="00B347AC" w:rsidRPr="00B347AC" w:rsidRDefault="00B347AC" w:rsidP="004D7425">
            <w:pPr>
              <w:spacing w:after="0" w:line="240" w:lineRule="auto"/>
              <w:ind w:left="270"/>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Equipment Category</w:t>
            </w:r>
          </w:p>
        </w:tc>
        <w:tc>
          <w:tcPr>
            <w:tcW w:w="3060" w:type="dxa"/>
            <w:tcBorders>
              <w:top w:val="nil"/>
            </w:tcBorders>
            <w:tcMar>
              <w:top w:w="150" w:type="dxa"/>
              <w:left w:w="240" w:type="dxa"/>
              <w:bottom w:w="150" w:type="dxa"/>
              <w:right w:w="240" w:type="dxa"/>
            </w:tcMar>
            <w:vAlign w:val="center"/>
            <w:hideMark/>
          </w:tcPr>
          <w:p w14:paraId="7FD5BB2E" w14:textId="77777777" w:rsidR="00B347AC" w:rsidRPr="00B347AC" w:rsidRDefault="00B347AC" w:rsidP="004D7425">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Critical Parameters</w:t>
            </w:r>
          </w:p>
        </w:tc>
        <w:tc>
          <w:tcPr>
            <w:tcW w:w="2250" w:type="dxa"/>
            <w:tcBorders>
              <w:top w:val="nil"/>
            </w:tcBorders>
            <w:tcMar>
              <w:top w:w="150" w:type="dxa"/>
              <w:left w:w="240" w:type="dxa"/>
              <w:bottom w:w="150" w:type="dxa"/>
              <w:right w:w="240" w:type="dxa"/>
            </w:tcMar>
            <w:vAlign w:val="center"/>
            <w:hideMark/>
          </w:tcPr>
          <w:p w14:paraId="457AD39D" w14:textId="77777777" w:rsidR="00B347AC" w:rsidRPr="00B347AC" w:rsidRDefault="00B347AC" w:rsidP="004D7425">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Typical Interval</w:t>
            </w:r>
          </w:p>
        </w:tc>
        <w:tc>
          <w:tcPr>
            <w:tcW w:w="2599" w:type="dxa"/>
            <w:tcBorders>
              <w:top w:val="nil"/>
            </w:tcBorders>
            <w:tcMar>
              <w:top w:w="150" w:type="dxa"/>
              <w:left w:w="240" w:type="dxa"/>
              <w:bottom w:w="150" w:type="dxa"/>
              <w:right w:w="240" w:type="dxa"/>
            </w:tcMar>
            <w:vAlign w:val="center"/>
            <w:hideMark/>
          </w:tcPr>
          <w:p w14:paraId="14150A46" w14:textId="77777777" w:rsidR="00B347AC" w:rsidRPr="00B347AC" w:rsidRDefault="00B347AC" w:rsidP="004D7425">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Applicable Standards</w:t>
            </w:r>
          </w:p>
        </w:tc>
      </w:tr>
      <w:tr w:rsidR="00E0189B" w:rsidRPr="00B347AC" w14:paraId="323ED210" w14:textId="77777777" w:rsidTr="00EF3BA1">
        <w:trPr>
          <w:cantSplit/>
          <w:trHeight w:val="144"/>
        </w:trPr>
        <w:tc>
          <w:tcPr>
            <w:tcW w:w="2790" w:type="dxa"/>
            <w:tcMar>
              <w:top w:w="150" w:type="dxa"/>
              <w:left w:w="0" w:type="dxa"/>
              <w:bottom w:w="150" w:type="dxa"/>
              <w:right w:w="240" w:type="dxa"/>
            </w:tcMar>
            <w:vAlign w:val="center"/>
            <w:hideMark/>
          </w:tcPr>
          <w:p w14:paraId="2A155840" w14:textId="77777777" w:rsidR="00B347AC" w:rsidRPr="00B347AC" w:rsidRDefault="00B347AC" w:rsidP="004D7425">
            <w:pPr>
              <w:spacing w:after="0" w:line="240" w:lineRule="auto"/>
              <w:ind w:left="270"/>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Patient monitors</w:t>
            </w:r>
          </w:p>
        </w:tc>
        <w:tc>
          <w:tcPr>
            <w:tcW w:w="3060" w:type="dxa"/>
            <w:tcMar>
              <w:top w:w="150" w:type="dxa"/>
              <w:left w:w="240" w:type="dxa"/>
              <w:bottom w:w="150" w:type="dxa"/>
              <w:right w:w="240" w:type="dxa"/>
            </w:tcMar>
            <w:vAlign w:val="center"/>
            <w:hideMark/>
          </w:tcPr>
          <w:p w14:paraId="0FE76978" w14:textId="77777777" w:rsidR="00B347AC" w:rsidRPr="00B347AC" w:rsidRDefault="00B347AC" w:rsidP="004D7425">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ECG, NIBP, SpO₂, temperature, respiration</w:t>
            </w:r>
          </w:p>
        </w:tc>
        <w:tc>
          <w:tcPr>
            <w:tcW w:w="2250" w:type="dxa"/>
            <w:tcMar>
              <w:top w:w="150" w:type="dxa"/>
              <w:left w:w="240" w:type="dxa"/>
              <w:bottom w:w="150" w:type="dxa"/>
              <w:right w:w="240" w:type="dxa"/>
            </w:tcMar>
            <w:vAlign w:val="center"/>
            <w:hideMark/>
          </w:tcPr>
          <w:p w14:paraId="3BC5C862" w14:textId="77777777" w:rsidR="00B347AC" w:rsidRPr="00B347AC" w:rsidRDefault="00B347AC" w:rsidP="004D7425">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12 months</w:t>
            </w:r>
          </w:p>
        </w:tc>
        <w:tc>
          <w:tcPr>
            <w:tcW w:w="2599" w:type="dxa"/>
            <w:tcMar>
              <w:top w:w="150" w:type="dxa"/>
              <w:left w:w="240" w:type="dxa"/>
              <w:bottom w:w="150" w:type="dxa"/>
              <w:right w:w="0" w:type="dxa"/>
            </w:tcMar>
            <w:vAlign w:val="center"/>
            <w:hideMark/>
          </w:tcPr>
          <w:p w14:paraId="2DA51C63" w14:textId="77777777" w:rsidR="00B347AC" w:rsidRPr="00B347AC" w:rsidRDefault="00B347AC" w:rsidP="004D7425">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IEC 60601-2-25, IEC 60601-2-49 [18,40]</w:t>
            </w:r>
          </w:p>
        </w:tc>
      </w:tr>
      <w:tr w:rsidR="00E0189B" w:rsidRPr="00B347AC" w14:paraId="7B0EC0E0" w14:textId="77777777" w:rsidTr="00EF3BA1">
        <w:trPr>
          <w:cantSplit/>
          <w:trHeight w:val="144"/>
        </w:trPr>
        <w:tc>
          <w:tcPr>
            <w:tcW w:w="2790" w:type="dxa"/>
            <w:tcMar>
              <w:top w:w="150" w:type="dxa"/>
              <w:left w:w="0" w:type="dxa"/>
              <w:bottom w:w="150" w:type="dxa"/>
              <w:right w:w="240" w:type="dxa"/>
            </w:tcMar>
            <w:vAlign w:val="center"/>
            <w:hideMark/>
          </w:tcPr>
          <w:p w14:paraId="2F0D9052" w14:textId="77777777" w:rsidR="00B347AC" w:rsidRPr="00B347AC" w:rsidRDefault="00B347AC" w:rsidP="004D7425">
            <w:pPr>
              <w:spacing w:after="0" w:line="240" w:lineRule="auto"/>
              <w:ind w:left="270"/>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Infusion/syringe pumps</w:t>
            </w:r>
          </w:p>
        </w:tc>
        <w:tc>
          <w:tcPr>
            <w:tcW w:w="3060" w:type="dxa"/>
            <w:tcMar>
              <w:top w:w="150" w:type="dxa"/>
              <w:left w:w="240" w:type="dxa"/>
              <w:bottom w:w="150" w:type="dxa"/>
              <w:right w:w="240" w:type="dxa"/>
            </w:tcMar>
            <w:vAlign w:val="center"/>
            <w:hideMark/>
          </w:tcPr>
          <w:p w14:paraId="366671D5" w14:textId="77777777" w:rsidR="00B347AC" w:rsidRPr="00B347AC" w:rsidRDefault="00B347AC" w:rsidP="004D7425">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Flow rate, occlusion pressure, volume</w:t>
            </w:r>
          </w:p>
        </w:tc>
        <w:tc>
          <w:tcPr>
            <w:tcW w:w="2250" w:type="dxa"/>
            <w:tcMar>
              <w:top w:w="150" w:type="dxa"/>
              <w:left w:w="240" w:type="dxa"/>
              <w:bottom w:w="150" w:type="dxa"/>
              <w:right w:w="240" w:type="dxa"/>
            </w:tcMar>
            <w:vAlign w:val="center"/>
            <w:hideMark/>
          </w:tcPr>
          <w:p w14:paraId="1329BC44" w14:textId="77777777" w:rsidR="00B347AC" w:rsidRPr="00B347AC" w:rsidRDefault="00B347AC" w:rsidP="004D7425">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6-12 months</w:t>
            </w:r>
          </w:p>
        </w:tc>
        <w:tc>
          <w:tcPr>
            <w:tcW w:w="2599" w:type="dxa"/>
            <w:tcMar>
              <w:top w:w="150" w:type="dxa"/>
              <w:left w:w="240" w:type="dxa"/>
              <w:bottom w:w="150" w:type="dxa"/>
              <w:right w:w="0" w:type="dxa"/>
            </w:tcMar>
            <w:vAlign w:val="center"/>
            <w:hideMark/>
          </w:tcPr>
          <w:p w14:paraId="432845E8" w14:textId="77777777" w:rsidR="00B347AC" w:rsidRPr="00B347AC" w:rsidRDefault="00B347AC" w:rsidP="004D7425">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IEC 60601-2-24 [19]</w:t>
            </w:r>
          </w:p>
        </w:tc>
      </w:tr>
      <w:tr w:rsidR="00E0189B" w:rsidRPr="00B347AC" w14:paraId="04A44233" w14:textId="77777777" w:rsidTr="00EF3BA1">
        <w:trPr>
          <w:cantSplit/>
          <w:trHeight w:val="144"/>
        </w:trPr>
        <w:tc>
          <w:tcPr>
            <w:tcW w:w="2790" w:type="dxa"/>
            <w:tcMar>
              <w:top w:w="150" w:type="dxa"/>
              <w:left w:w="0" w:type="dxa"/>
              <w:bottom w:w="150" w:type="dxa"/>
              <w:right w:w="240" w:type="dxa"/>
            </w:tcMar>
            <w:vAlign w:val="center"/>
            <w:hideMark/>
          </w:tcPr>
          <w:p w14:paraId="000A4B4A" w14:textId="77777777" w:rsidR="00B347AC" w:rsidRPr="00B347AC" w:rsidRDefault="00B347AC" w:rsidP="004D7425">
            <w:pPr>
              <w:spacing w:after="0" w:line="240" w:lineRule="auto"/>
              <w:ind w:left="270"/>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Defibrillators</w:t>
            </w:r>
          </w:p>
        </w:tc>
        <w:tc>
          <w:tcPr>
            <w:tcW w:w="3060" w:type="dxa"/>
            <w:tcMar>
              <w:top w:w="150" w:type="dxa"/>
              <w:left w:w="240" w:type="dxa"/>
              <w:bottom w:w="150" w:type="dxa"/>
              <w:right w:w="240" w:type="dxa"/>
            </w:tcMar>
            <w:vAlign w:val="center"/>
            <w:hideMark/>
          </w:tcPr>
          <w:p w14:paraId="25F6F761" w14:textId="77777777" w:rsidR="00B347AC" w:rsidRPr="00B347AC" w:rsidRDefault="00B347AC" w:rsidP="004D7425">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Energy, charge time, synchronization</w:t>
            </w:r>
          </w:p>
        </w:tc>
        <w:tc>
          <w:tcPr>
            <w:tcW w:w="2250" w:type="dxa"/>
            <w:tcMar>
              <w:top w:w="150" w:type="dxa"/>
              <w:left w:w="240" w:type="dxa"/>
              <w:bottom w:w="150" w:type="dxa"/>
              <w:right w:w="240" w:type="dxa"/>
            </w:tcMar>
            <w:vAlign w:val="center"/>
            <w:hideMark/>
          </w:tcPr>
          <w:p w14:paraId="0E7CFF23" w14:textId="77777777" w:rsidR="00B347AC" w:rsidRPr="00B347AC" w:rsidRDefault="00B347AC" w:rsidP="004D7425">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6-12 months</w:t>
            </w:r>
          </w:p>
        </w:tc>
        <w:tc>
          <w:tcPr>
            <w:tcW w:w="2599" w:type="dxa"/>
            <w:tcMar>
              <w:top w:w="150" w:type="dxa"/>
              <w:left w:w="240" w:type="dxa"/>
              <w:bottom w:w="150" w:type="dxa"/>
              <w:right w:w="0" w:type="dxa"/>
            </w:tcMar>
            <w:vAlign w:val="center"/>
            <w:hideMark/>
          </w:tcPr>
          <w:p w14:paraId="6C5499FC" w14:textId="77777777" w:rsidR="00B347AC" w:rsidRPr="00B347AC" w:rsidRDefault="00B347AC" w:rsidP="004D7425">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IEC 60601-2-4 [13]</w:t>
            </w:r>
          </w:p>
        </w:tc>
      </w:tr>
      <w:tr w:rsidR="00E0189B" w:rsidRPr="00B347AC" w14:paraId="5A3422A7" w14:textId="77777777" w:rsidTr="00EF3BA1">
        <w:trPr>
          <w:cantSplit/>
          <w:trHeight w:val="144"/>
        </w:trPr>
        <w:tc>
          <w:tcPr>
            <w:tcW w:w="2790" w:type="dxa"/>
            <w:tcMar>
              <w:top w:w="150" w:type="dxa"/>
              <w:left w:w="0" w:type="dxa"/>
              <w:bottom w:w="150" w:type="dxa"/>
              <w:right w:w="240" w:type="dxa"/>
            </w:tcMar>
            <w:vAlign w:val="center"/>
            <w:hideMark/>
          </w:tcPr>
          <w:p w14:paraId="2C8C5680" w14:textId="77777777" w:rsidR="00B347AC" w:rsidRPr="00B347AC" w:rsidRDefault="00B347AC" w:rsidP="004D7425">
            <w:pPr>
              <w:spacing w:after="0" w:line="240" w:lineRule="auto"/>
              <w:ind w:left="270"/>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Ventilators</w:t>
            </w:r>
          </w:p>
        </w:tc>
        <w:tc>
          <w:tcPr>
            <w:tcW w:w="3060" w:type="dxa"/>
            <w:tcMar>
              <w:top w:w="150" w:type="dxa"/>
              <w:left w:w="240" w:type="dxa"/>
              <w:bottom w:w="150" w:type="dxa"/>
              <w:right w:w="240" w:type="dxa"/>
            </w:tcMar>
            <w:vAlign w:val="center"/>
            <w:hideMark/>
          </w:tcPr>
          <w:p w14:paraId="1EDF3A47" w14:textId="77777777" w:rsidR="00B347AC" w:rsidRPr="00B347AC" w:rsidRDefault="00B347AC" w:rsidP="004D7425">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 xml:space="preserve">Tidal volume, pressure, flow, </w:t>
            </w:r>
            <w:proofErr w:type="spellStart"/>
            <w:r w:rsidRPr="00B347AC">
              <w:rPr>
                <w:rFonts w:ascii="Times New Roman" w:eastAsia="Times New Roman" w:hAnsi="Times New Roman" w:cs="Times New Roman"/>
                <w:sz w:val="24"/>
                <w:szCs w:val="24"/>
              </w:rPr>
              <w:t>FiO</w:t>
            </w:r>
            <w:proofErr w:type="spellEnd"/>
            <w:r w:rsidRPr="00B347AC">
              <w:rPr>
                <w:rFonts w:ascii="Times New Roman" w:eastAsia="Times New Roman" w:hAnsi="Times New Roman" w:cs="Times New Roman"/>
                <w:sz w:val="24"/>
                <w:szCs w:val="24"/>
              </w:rPr>
              <w:t>₂</w:t>
            </w:r>
          </w:p>
        </w:tc>
        <w:tc>
          <w:tcPr>
            <w:tcW w:w="2250" w:type="dxa"/>
            <w:tcMar>
              <w:top w:w="150" w:type="dxa"/>
              <w:left w:w="240" w:type="dxa"/>
              <w:bottom w:w="150" w:type="dxa"/>
              <w:right w:w="240" w:type="dxa"/>
            </w:tcMar>
            <w:vAlign w:val="center"/>
            <w:hideMark/>
          </w:tcPr>
          <w:p w14:paraId="74CB7E19" w14:textId="77777777" w:rsidR="00B347AC" w:rsidRPr="00B347AC" w:rsidRDefault="00B347AC" w:rsidP="004D7425">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6-12 months</w:t>
            </w:r>
          </w:p>
        </w:tc>
        <w:tc>
          <w:tcPr>
            <w:tcW w:w="2599" w:type="dxa"/>
            <w:tcMar>
              <w:top w:w="150" w:type="dxa"/>
              <w:left w:w="240" w:type="dxa"/>
              <w:bottom w:w="150" w:type="dxa"/>
              <w:right w:w="0" w:type="dxa"/>
            </w:tcMar>
            <w:vAlign w:val="center"/>
            <w:hideMark/>
          </w:tcPr>
          <w:p w14:paraId="3DB169C9" w14:textId="77777777" w:rsidR="00B347AC" w:rsidRPr="00B347AC" w:rsidRDefault="00B347AC" w:rsidP="004D7425">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ISO 80601-2-12, ISO 80601-2-13 [12,20]</w:t>
            </w:r>
          </w:p>
        </w:tc>
      </w:tr>
      <w:tr w:rsidR="00E0189B" w:rsidRPr="00B347AC" w14:paraId="66A1E3B0" w14:textId="77777777" w:rsidTr="00EF3BA1">
        <w:trPr>
          <w:cantSplit/>
          <w:trHeight w:val="144"/>
        </w:trPr>
        <w:tc>
          <w:tcPr>
            <w:tcW w:w="2790" w:type="dxa"/>
            <w:tcMar>
              <w:top w:w="150" w:type="dxa"/>
              <w:left w:w="0" w:type="dxa"/>
              <w:bottom w:w="150" w:type="dxa"/>
              <w:right w:w="240" w:type="dxa"/>
            </w:tcMar>
            <w:vAlign w:val="center"/>
            <w:hideMark/>
          </w:tcPr>
          <w:p w14:paraId="1D224A52" w14:textId="77777777" w:rsidR="00B347AC" w:rsidRPr="00B347AC" w:rsidRDefault="00B347AC" w:rsidP="004D7425">
            <w:pPr>
              <w:spacing w:after="0" w:line="240" w:lineRule="auto"/>
              <w:ind w:left="270"/>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Electrosurgical units</w:t>
            </w:r>
          </w:p>
        </w:tc>
        <w:tc>
          <w:tcPr>
            <w:tcW w:w="3060" w:type="dxa"/>
            <w:tcMar>
              <w:top w:w="150" w:type="dxa"/>
              <w:left w:w="240" w:type="dxa"/>
              <w:bottom w:w="150" w:type="dxa"/>
              <w:right w:w="240" w:type="dxa"/>
            </w:tcMar>
            <w:vAlign w:val="center"/>
            <w:hideMark/>
          </w:tcPr>
          <w:p w14:paraId="4789E39C" w14:textId="77777777" w:rsidR="00B347AC" w:rsidRPr="00B347AC" w:rsidRDefault="00B347AC" w:rsidP="004D7425">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Output power, HF leakage, CVP</w:t>
            </w:r>
          </w:p>
        </w:tc>
        <w:tc>
          <w:tcPr>
            <w:tcW w:w="2250" w:type="dxa"/>
            <w:tcMar>
              <w:top w:w="150" w:type="dxa"/>
              <w:left w:w="240" w:type="dxa"/>
              <w:bottom w:w="150" w:type="dxa"/>
              <w:right w:w="240" w:type="dxa"/>
            </w:tcMar>
            <w:vAlign w:val="center"/>
            <w:hideMark/>
          </w:tcPr>
          <w:p w14:paraId="0FEDBDE1" w14:textId="77777777" w:rsidR="00B347AC" w:rsidRPr="00B347AC" w:rsidRDefault="00B347AC" w:rsidP="004D7425">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12 months</w:t>
            </w:r>
          </w:p>
        </w:tc>
        <w:tc>
          <w:tcPr>
            <w:tcW w:w="2599" w:type="dxa"/>
            <w:tcMar>
              <w:top w:w="150" w:type="dxa"/>
              <w:left w:w="240" w:type="dxa"/>
              <w:bottom w:w="150" w:type="dxa"/>
              <w:right w:w="0" w:type="dxa"/>
            </w:tcMar>
            <w:vAlign w:val="center"/>
            <w:hideMark/>
          </w:tcPr>
          <w:p w14:paraId="2E9A0AED" w14:textId="77777777" w:rsidR="00B347AC" w:rsidRPr="00B347AC" w:rsidRDefault="00B347AC" w:rsidP="004D7425">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IEC 60601-2-2 [21]</w:t>
            </w:r>
          </w:p>
        </w:tc>
      </w:tr>
      <w:tr w:rsidR="00E0189B" w:rsidRPr="00B347AC" w14:paraId="1FD19E77" w14:textId="77777777" w:rsidTr="00EF3BA1">
        <w:trPr>
          <w:cantSplit/>
          <w:trHeight w:val="144"/>
        </w:trPr>
        <w:tc>
          <w:tcPr>
            <w:tcW w:w="2790" w:type="dxa"/>
            <w:tcMar>
              <w:top w:w="150" w:type="dxa"/>
              <w:left w:w="0" w:type="dxa"/>
              <w:bottom w:w="150" w:type="dxa"/>
              <w:right w:w="240" w:type="dxa"/>
            </w:tcMar>
            <w:vAlign w:val="center"/>
            <w:hideMark/>
          </w:tcPr>
          <w:p w14:paraId="6BA8BC9D" w14:textId="77777777" w:rsidR="00B347AC" w:rsidRPr="00B347AC" w:rsidRDefault="00B347AC" w:rsidP="004D7425">
            <w:pPr>
              <w:spacing w:after="0" w:line="240" w:lineRule="auto"/>
              <w:ind w:left="270"/>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Thermometers/incubators</w:t>
            </w:r>
          </w:p>
        </w:tc>
        <w:tc>
          <w:tcPr>
            <w:tcW w:w="3060" w:type="dxa"/>
            <w:tcMar>
              <w:top w:w="150" w:type="dxa"/>
              <w:left w:w="240" w:type="dxa"/>
              <w:bottom w:w="150" w:type="dxa"/>
              <w:right w:w="240" w:type="dxa"/>
            </w:tcMar>
            <w:vAlign w:val="center"/>
            <w:hideMark/>
          </w:tcPr>
          <w:p w14:paraId="4358BF88" w14:textId="77777777" w:rsidR="00B347AC" w:rsidRPr="00B347AC" w:rsidRDefault="00B347AC" w:rsidP="004D7425">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Temperature accuracy, uniformity</w:t>
            </w:r>
          </w:p>
        </w:tc>
        <w:tc>
          <w:tcPr>
            <w:tcW w:w="2250" w:type="dxa"/>
            <w:tcMar>
              <w:top w:w="150" w:type="dxa"/>
              <w:left w:w="240" w:type="dxa"/>
              <w:bottom w:w="150" w:type="dxa"/>
              <w:right w:w="240" w:type="dxa"/>
            </w:tcMar>
            <w:vAlign w:val="center"/>
            <w:hideMark/>
          </w:tcPr>
          <w:p w14:paraId="3EB89ED8" w14:textId="77777777" w:rsidR="00B347AC" w:rsidRPr="00B347AC" w:rsidRDefault="00B347AC" w:rsidP="004D7425">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6-12 months</w:t>
            </w:r>
          </w:p>
        </w:tc>
        <w:tc>
          <w:tcPr>
            <w:tcW w:w="2599" w:type="dxa"/>
            <w:tcMar>
              <w:top w:w="150" w:type="dxa"/>
              <w:left w:w="240" w:type="dxa"/>
              <w:bottom w:w="150" w:type="dxa"/>
              <w:right w:w="0" w:type="dxa"/>
            </w:tcMar>
            <w:vAlign w:val="center"/>
            <w:hideMark/>
          </w:tcPr>
          <w:p w14:paraId="4BB2A786" w14:textId="77777777" w:rsidR="00B347AC" w:rsidRPr="00B347AC" w:rsidRDefault="00B347AC" w:rsidP="004D7425">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ASTM E2877, ITS-90 [15,38]</w:t>
            </w:r>
          </w:p>
        </w:tc>
      </w:tr>
      <w:tr w:rsidR="00E0189B" w:rsidRPr="00B347AC" w14:paraId="06E800F6" w14:textId="77777777" w:rsidTr="00EF3BA1">
        <w:trPr>
          <w:cantSplit/>
          <w:trHeight w:val="144"/>
        </w:trPr>
        <w:tc>
          <w:tcPr>
            <w:tcW w:w="2790" w:type="dxa"/>
            <w:tcMar>
              <w:top w:w="150" w:type="dxa"/>
              <w:left w:w="0" w:type="dxa"/>
              <w:bottom w:w="150" w:type="dxa"/>
              <w:right w:w="240" w:type="dxa"/>
            </w:tcMar>
            <w:vAlign w:val="center"/>
            <w:hideMark/>
          </w:tcPr>
          <w:p w14:paraId="47B90C74" w14:textId="77777777" w:rsidR="00B347AC" w:rsidRPr="00B347AC" w:rsidRDefault="00B347AC" w:rsidP="004D7425">
            <w:pPr>
              <w:spacing w:after="0" w:line="240" w:lineRule="auto"/>
              <w:ind w:left="270"/>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Weighing devices (infant/patient)</w:t>
            </w:r>
          </w:p>
        </w:tc>
        <w:tc>
          <w:tcPr>
            <w:tcW w:w="3060" w:type="dxa"/>
            <w:tcMar>
              <w:top w:w="150" w:type="dxa"/>
              <w:left w:w="240" w:type="dxa"/>
              <w:bottom w:w="150" w:type="dxa"/>
              <w:right w:w="240" w:type="dxa"/>
            </w:tcMar>
            <w:vAlign w:val="center"/>
            <w:hideMark/>
          </w:tcPr>
          <w:p w14:paraId="211F9416" w14:textId="77777777" w:rsidR="00B347AC" w:rsidRPr="00B347AC" w:rsidRDefault="00B347AC" w:rsidP="004D7425">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Mass indication, repeatability</w:t>
            </w:r>
          </w:p>
        </w:tc>
        <w:tc>
          <w:tcPr>
            <w:tcW w:w="2250" w:type="dxa"/>
            <w:tcMar>
              <w:top w:w="150" w:type="dxa"/>
              <w:left w:w="240" w:type="dxa"/>
              <w:bottom w:w="150" w:type="dxa"/>
              <w:right w:w="240" w:type="dxa"/>
            </w:tcMar>
            <w:vAlign w:val="center"/>
            <w:hideMark/>
          </w:tcPr>
          <w:p w14:paraId="5380D094" w14:textId="77777777" w:rsidR="00B347AC" w:rsidRPr="00B347AC" w:rsidRDefault="00B347AC" w:rsidP="004D7425">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6 months</w:t>
            </w:r>
          </w:p>
        </w:tc>
        <w:tc>
          <w:tcPr>
            <w:tcW w:w="2599" w:type="dxa"/>
            <w:tcMar>
              <w:top w:w="150" w:type="dxa"/>
              <w:left w:w="240" w:type="dxa"/>
              <w:bottom w:w="150" w:type="dxa"/>
              <w:right w:w="0" w:type="dxa"/>
            </w:tcMar>
            <w:vAlign w:val="center"/>
            <w:hideMark/>
          </w:tcPr>
          <w:p w14:paraId="0FCEADA3" w14:textId="77777777" w:rsidR="00B347AC" w:rsidRPr="00B347AC" w:rsidRDefault="00B347AC" w:rsidP="004D7425">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OIML R111 [22]</w:t>
            </w:r>
          </w:p>
        </w:tc>
      </w:tr>
      <w:tr w:rsidR="00E0189B" w:rsidRPr="00B347AC" w14:paraId="338973CB" w14:textId="77777777" w:rsidTr="00EF3BA1">
        <w:trPr>
          <w:cantSplit/>
          <w:trHeight w:val="144"/>
        </w:trPr>
        <w:tc>
          <w:tcPr>
            <w:tcW w:w="2790" w:type="dxa"/>
            <w:tcMar>
              <w:top w:w="150" w:type="dxa"/>
              <w:left w:w="0" w:type="dxa"/>
              <w:bottom w:w="150" w:type="dxa"/>
              <w:right w:w="240" w:type="dxa"/>
            </w:tcMar>
            <w:vAlign w:val="center"/>
            <w:hideMark/>
          </w:tcPr>
          <w:p w14:paraId="0D79A06E" w14:textId="77777777" w:rsidR="00B347AC" w:rsidRPr="00B347AC" w:rsidRDefault="00B347AC" w:rsidP="004D7425">
            <w:pPr>
              <w:spacing w:after="0" w:line="240" w:lineRule="auto"/>
              <w:ind w:left="270"/>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Anesthesia workstations</w:t>
            </w:r>
          </w:p>
        </w:tc>
        <w:tc>
          <w:tcPr>
            <w:tcW w:w="3060" w:type="dxa"/>
            <w:tcMar>
              <w:top w:w="150" w:type="dxa"/>
              <w:left w:w="240" w:type="dxa"/>
              <w:bottom w:w="150" w:type="dxa"/>
              <w:right w:w="240" w:type="dxa"/>
            </w:tcMar>
            <w:vAlign w:val="center"/>
            <w:hideMark/>
          </w:tcPr>
          <w:p w14:paraId="0E0C653F" w14:textId="77777777" w:rsidR="00B347AC" w:rsidRPr="00B347AC" w:rsidRDefault="00B347AC" w:rsidP="004D7425">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Gas flow, pressure, agent concentration</w:t>
            </w:r>
          </w:p>
        </w:tc>
        <w:tc>
          <w:tcPr>
            <w:tcW w:w="2250" w:type="dxa"/>
            <w:tcMar>
              <w:top w:w="150" w:type="dxa"/>
              <w:left w:w="240" w:type="dxa"/>
              <w:bottom w:w="150" w:type="dxa"/>
              <w:right w:w="240" w:type="dxa"/>
            </w:tcMar>
            <w:vAlign w:val="center"/>
            <w:hideMark/>
          </w:tcPr>
          <w:p w14:paraId="0C94C7BB" w14:textId="77777777" w:rsidR="00B347AC" w:rsidRPr="00B347AC" w:rsidRDefault="00B347AC" w:rsidP="004D7425">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12 months</w:t>
            </w:r>
          </w:p>
        </w:tc>
        <w:tc>
          <w:tcPr>
            <w:tcW w:w="2599" w:type="dxa"/>
            <w:tcMar>
              <w:top w:w="150" w:type="dxa"/>
              <w:left w:w="240" w:type="dxa"/>
              <w:bottom w:w="150" w:type="dxa"/>
              <w:right w:w="0" w:type="dxa"/>
            </w:tcMar>
            <w:vAlign w:val="center"/>
            <w:hideMark/>
          </w:tcPr>
          <w:p w14:paraId="42BEF9FF" w14:textId="77777777" w:rsidR="00B347AC" w:rsidRPr="00B347AC" w:rsidRDefault="00B347AC" w:rsidP="004D7425">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ISO 80601-2-13 [20]</w:t>
            </w:r>
          </w:p>
        </w:tc>
      </w:tr>
      <w:tr w:rsidR="00E0189B" w:rsidRPr="00B347AC" w14:paraId="0658711C" w14:textId="77777777" w:rsidTr="00EF3BA1">
        <w:trPr>
          <w:cantSplit/>
          <w:trHeight w:val="144"/>
        </w:trPr>
        <w:tc>
          <w:tcPr>
            <w:tcW w:w="2790" w:type="dxa"/>
            <w:tcMar>
              <w:top w:w="150" w:type="dxa"/>
              <w:left w:w="0" w:type="dxa"/>
              <w:bottom w:w="150" w:type="dxa"/>
              <w:right w:w="240" w:type="dxa"/>
            </w:tcMar>
            <w:vAlign w:val="center"/>
            <w:hideMark/>
          </w:tcPr>
          <w:p w14:paraId="3B2C0984" w14:textId="77777777" w:rsidR="00B347AC" w:rsidRPr="00B347AC" w:rsidRDefault="00B347AC" w:rsidP="004D7425">
            <w:pPr>
              <w:spacing w:after="0" w:line="240" w:lineRule="auto"/>
              <w:ind w:left="270"/>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Laboratory analyzers</w:t>
            </w:r>
          </w:p>
        </w:tc>
        <w:tc>
          <w:tcPr>
            <w:tcW w:w="3060" w:type="dxa"/>
            <w:tcMar>
              <w:top w:w="150" w:type="dxa"/>
              <w:left w:w="240" w:type="dxa"/>
              <w:bottom w:w="150" w:type="dxa"/>
              <w:right w:w="240" w:type="dxa"/>
            </w:tcMar>
            <w:vAlign w:val="center"/>
            <w:hideMark/>
          </w:tcPr>
          <w:p w14:paraId="2375CD78" w14:textId="77777777" w:rsidR="00B347AC" w:rsidRPr="00B347AC" w:rsidRDefault="00B347AC" w:rsidP="004D7425">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Various (pH, glucose, electrolytes)</w:t>
            </w:r>
          </w:p>
        </w:tc>
        <w:tc>
          <w:tcPr>
            <w:tcW w:w="2250" w:type="dxa"/>
            <w:tcMar>
              <w:top w:w="150" w:type="dxa"/>
              <w:left w:w="240" w:type="dxa"/>
              <w:bottom w:w="150" w:type="dxa"/>
              <w:right w:w="240" w:type="dxa"/>
            </w:tcMar>
            <w:vAlign w:val="center"/>
            <w:hideMark/>
          </w:tcPr>
          <w:p w14:paraId="79583720" w14:textId="77777777" w:rsidR="00B347AC" w:rsidRPr="00B347AC" w:rsidRDefault="00B347AC" w:rsidP="004D7425">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6-12 months</w:t>
            </w:r>
          </w:p>
        </w:tc>
        <w:tc>
          <w:tcPr>
            <w:tcW w:w="2599" w:type="dxa"/>
            <w:tcMar>
              <w:top w:w="150" w:type="dxa"/>
              <w:left w:w="240" w:type="dxa"/>
              <w:bottom w:w="150" w:type="dxa"/>
              <w:right w:w="0" w:type="dxa"/>
            </w:tcMar>
            <w:vAlign w:val="center"/>
            <w:hideMark/>
          </w:tcPr>
          <w:p w14:paraId="4847D237" w14:textId="77777777" w:rsidR="00B347AC" w:rsidRPr="00B347AC" w:rsidRDefault="00B347AC" w:rsidP="004D7425">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ISO/IEC 17025 [1]</w:t>
            </w:r>
          </w:p>
        </w:tc>
      </w:tr>
      <w:tr w:rsidR="00E0189B" w:rsidRPr="00B347AC" w14:paraId="253E0D56" w14:textId="77777777" w:rsidTr="00EF3BA1">
        <w:trPr>
          <w:cantSplit/>
          <w:trHeight w:val="144"/>
        </w:trPr>
        <w:tc>
          <w:tcPr>
            <w:tcW w:w="2790" w:type="dxa"/>
            <w:tcMar>
              <w:top w:w="150" w:type="dxa"/>
              <w:left w:w="0" w:type="dxa"/>
              <w:bottom w:w="150" w:type="dxa"/>
              <w:right w:w="240" w:type="dxa"/>
            </w:tcMar>
            <w:vAlign w:val="center"/>
            <w:hideMark/>
          </w:tcPr>
          <w:p w14:paraId="09F7EC95" w14:textId="77777777" w:rsidR="00B347AC" w:rsidRPr="00B347AC" w:rsidRDefault="00B347AC" w:rsidP="004D7425">
            <w:pPr>
              <w:spacing w:after="0" w:line="240" w:lineRule="auto"/>
              <w:ind w:left="270"/>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Dialysis machines</w:t>
            </w:r>
          </w:p>
        </w:tc>
        <w:tc>
          <w:tcPr>
            <w:tcW w:w="3060" w:type="dxa"/>
            <w:tcMar>
              <w:top w:w="150" w:type="dxa"/>
              <w:left w:w="240" w:type="dxa"/>
              <w:bottom w:w="150" w:type="dxa"/>
              <w:right w:w="240" w:type="dxa"/>
            </w:tcMar>
            <w:vAlign w:val="center"/>
            <w:hideMark/>
          </w:tcPr>
          <w:p w14:paraId="073BC675" w14:textId="77777777" w:rsidR="00B347AC" w:rsidRPr="00B347AC" w:rsidRDefault="00B347AC" w:rsidP="004D7425">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Flow rate, conductivity, temperature, pressure</w:t>
            </w:r>
          </w:p>
        </w:tc>
        <w:tc>
          <w:tcPr>
            <w:tcW w:w="2250" w:type="dxa"/>
            <w:tcMar>
              <w:top w:w="150" w:type="dxa"/>
              <w:left w:w="240" w:type="dxa"/>
              <w:bottom w:w="150" w:type="dxa"/>
              <w:right w:w="240" w:type="dxa"/>
            </w:tcMar>
            <w:vAlign w:val="center"/>
            <w:hideMark/>
          </w:tcPr>
          <w:p w14:paraId="1B391E12" w14:textId="77777777" w:rsidR="00B347AC" w:rsidRPr="00B347AC" w:rsidRDefault="00B347AC" w:rsidP="004D7425">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12 months</w:t>
            </w:r>
          </w:p>
        </w:tc>
        <w:tc>
          <w:tcPr>
            <w:tcW w:w="2599" w:type="dxa"/>
            <w:tcMar>
              <w:top w:w="150" w:type="dxa"/>
              <w:left w:w="240" w:type="dxa"/>
              <w:bottom w:w="150" w:type="dxa"/>
              <w:right w:w="0" w:type="dxa"/>
            </w:tcMar>
            <w:vAlign w:val="center"/>
            <w:hideMark/>
          </w:tcPr>
          <w:p w14:paraId="7943486A" w14:textId="77777777" w:rsidR="00B347AC" w:rsidRPr="00B347AC" w:rsidRDefault="00B347AC" w:rsidP="004D7425">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IEC 60601-2-16</w:t>
            </w:r>
          </w:p>
        </w:tc>
      </w:tr>
    </w:tbl>
    <w:p w14:paraId="1FF3890A" w14:textId="32ADEB25" w:rsidR="00342B4C" w:rsidRPr="003049EB" w:rsidRDefault="00F5428D" w:rsidP="000B190B">
      <w:pPr>
        <w:spacing w:before="240" w:line="240" w:lineRule="auto"/>
        <w:jc w:val="both"/>
        <w:rPr>
          <w:rFonts w:ascii="Times New Roman" w:hAnsi="Times New Roman" w:cs="Times New Roman"/>
          <w:sz w:val="24"/>
          <w:szCs w:val="24"/>
        </w:rPr>
      </w:pPr>
      <w:r w:rsidRPr="00955D63">
        <w:rPr>
          <w:rFonts w:ascii="Times New Roman" w:hAnsi="Times New Roman" w:cs="Times New Roman"/>
          <w:b/>
          <w:bCs/>
          <w:sz w:val="24"/>
          <w:szCs w:val="24"/>
        </w:rPr>
        <w:t>Patient Monitors</w:t>
      </w:r>
      <w:r w:rsidR="00955D63">
        <w:rPr>
          <w:rStyle w:val="cursor-pointer"/>
        </w:rPr>
        <w:t>:</w:t>
      </w:r>
      <w:r w:rsidRPr="00955D63">
        <w:rPr>
          <w:rStyle w:val="cursor-pointer"/>
        </w:rPr>
        <w:t xml:space="preserve"> </w:t>
      </w:r>
      <w:r w:rsidRPr="003049EB">
        <w:rPr>
          <w:rStyle w:val="cursor-pointer"/>
          <w:rFonts w:ascii="Times New Roman" w:hAnsi="Times New Roman" w:cs="Times New Roman"/>
          <w:sz w:val="24"/>
          <w:szCs w:val="24"/>
        </w:rPr>
        <w:t>Parameters can include ECG frequency</w:t>
      </w:r>
      <w:r w:rsidR="00342B4C">
        <w:rPr>
          <w:rStyle w:val="cursor-pointer"/>
          <w:rFonts w:ascii="Times New Roman" w:hAnsi="Times New Roman" w:cs="Times New Roman"/>
          <w:sz w:val="24"/>
          <w:szCs w:val="24"/>
        </w:rPr>
        <w:t>/</w:t>
      </w:r>
      <w:r w:rsidR="00342B4C" w:rsidRPr="003049EB">
        <w:rPr>
          <w:rStyle w:val="cursor-pointer"/>
          <w:rFonts w:ascii="Times New Roman" w:hAnsi="Times New Roman" w:cs="Times New Roman"/>
          <w:sz w:val="24"/>
          <w:szCs w:val="24"/>
        </w:rPr>
        <w:t>amplitude</w:t>
      </w:r>
      <w:r w:rsidRPr="003049EB">
        <w:rPr>
          <w:rStyle w:val="cursor-pointer"/>
          <w:rFonts w:ascii="Times New Roman" w:hAnsi="Times New Roman" w:cs="Times New Roman"/>
          <w:sz w:val="24"/>
          <w:szCs w:val="24"/>
        </w:rPr>
        <w:t xml:space="preserve"> (reference: IEC 60601-2-25), </w:t>
      </w:r>
      <w:r w:rsidR="00342B4C">
        <w:rPr>
          <w:rStyle w:val="cursor-pointer"/>
          <w:rFonts w:ascii="Times New Roman" w:hAnsi="Times New Roman" w:cs="Times New Roman"/>
          <w:sz w:val="24"/>
          <w:szCs w:val="24"/>
        </w:rPr>
        <w:t>ventilation</w:t>
      </w:r>
      <w:r w:rsidRPr="003049EB">
        <w:rPr>
          <w:rStyle w:val="cursor-pointer"/>
          <w:rFonts w:ascii="Times New Roman" w:hAnsi="Times New Roman" w:cs="Times New Roman"/>
          <w:sz w:val="24"/>
          <w:szCs w:val="24"/>
        </w:rPr>
        <w:t xml:space="preserve"> rate (impedance pneumography validation), SpO</w:t>
      </w:r>
      <w:r w:rsidR="00342B4C" w:rsidRPr="00342B4C">
        <w:rPr>
          <w:rStyle w:val="cursor-pointer"/>
          <w:rFonts w:ascii="Times New Roman" w:hAnsi="Times New Roman" w:cs="Times New Roman"/>
          <w:sz w:val="24"/>
          <w:szCs w:val="24"/>
          <w:vertAlign w:val="subscript"/>
        </w:rPr>
        <w:t>2</w:t>
      </w:r>
      <w:r w:rsidRPr="003049EB">
        <w:rPr>
          <w:rStyle w:val="cursor-pointer"/>
          <w:rFonts w:ascii="Times New Roman" w:hAnsi="Times New Roman" w:cs="Times New Roman"/>
          <w:sz w:val="24"/>
          <w:szCs w:val="24"/>
        </w:rPr>
        <w:t xml:space="preserve"> simulation response (tested with functional testers traceable to international standards), NIBP pressure channels (tested against calibrated pressure sources), and t</w:t>
      </w:r>
      <w:r w:rsidR="00342B4C">
        <w:rPr>
          <w:rStyle w:val="cursor-pointer"/>
          <w:rFonts w:ascii="Times New Roman" w:hAnsi="Times New Roman" w:cs="Times New Roman"/>
          <w:sz w:val="24"/>
          <w:szCs w:val="24"/>
        </w:rPr>
        <w:t>hermal</w:t>
      </w:r>
      <w:r w:rsidRPr="003049EB">
        <w:rPr>
          <w:rStyle w:val="cursor-pointer"/>
          <w:rFonts w:ascii="Times New Roman" w:hAnsi="Times New Roman" w:cs="Times New Roman"/>
          <w:sz w:val="24"/>
          <w:szCs w:val="24"/>
        </w:rPr>
        <w:t xml:space="preserve"> channels (tested against ITS-90 traceable simulators).</w:t>
      </w:r>
    </w:p>
    <w:p w14:paraId="663EB2E5" w14:textId="1717F4EC" w:rsidR="00F5428D" w:rsidRPr="003049EB" w:rsidRDefault="00F5428D" w:rsidP="000B190B">
      <w:pPr>
        <w:spacing w:before="240" w:line="240" w:lineRule="auto"/>
        <w:jc w:val="both"/>
        <w:rPr>
          <w:rFonts w:ascii="Times New Roman" w:hAnsi="Times New Roman" w:cs="Times New Roman"/>
          <w:sz w:val="24"/>
          <w:szCs w:val="24"/>
        </w:rPr>
      </w:pPr>
      <w:r w:rsidRPr="00955D63">
        <w:rPr>
          <w:rStyle w:val="cursor-pointer"/>
          <w:rFonts w:ascii="Times New Roman" w:hAnsi="Times New Roman" w:cs="Times New Roman"/>
          <w:b/>
          <w:bCs/>
          <w:sz w:val="24"/>
          <w:szCs w:val="24"/>
        </w:rPr>
        <w:t>Infusion Pumps and Syringe Pumps</w:t>
      </w:r>
      <w:r w:rsidRPr="003049EB">
        <w:rPr>
          <w:rStyle w:val="cursor-pointer"/>
          <w:rFonts w:ascii="Times New Roman" w:hAnsi="Times New Roman" w:cs="Times New Roman"/>
          <w:sz w:val="24"/>
          <w:szCs w:val="24"/>
        </w:rPr>
        <w:t>.</w:t>
      </w:r>
      <w:r w:rsidRPr="003049EB">
        <w:rP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Parameters of particular importance: flow rate (usually 0.1-1200 mL/h), volume delivered (tested by gravimetric or volumetric method depending on the IEC 60601-2-24), occlusion pressure alarm (measured by calibrated pressure transducers), and time accuracy [19].</w:t>
      </w:r>
      <w:r w:rsidRPr="003049EB">
        <w:rPr>
          <w:rFonts w:ascii="Times New Roman" w:hAnsi="Times New Roman" w:cs="Times New Roman"/>
          <w:sz w:val="24"/>
          <w:szCs w:val="24"/>
        </w:rPr>
        <w:t xml:space="preserve"> </w:t>
      </w:r>
    </w:p>
    <w:p w14:paraId="3C390E4C" w14:textId="04E12585" w:rsidR="00F5428D" w:rsidRPr="003049EB" w:rsidRDefault="00F5428D" w:rsidP="000B190B">
      <w:pPr>
        <w:spacing w:before="240" w:line="240" w:lineRule="auto"/>
        <w:jc w:val="both"/>
        <w:rPr>
          <w:rFonts w:ascii="Times New Roman" w:hAnsi="Times New Roman" w:cs="Times New Roman"/>
          <w:sz w:val="24"/>
          <w:szCs w:val="24"/>
        </w:rPr>
      </w:pPr>
      <w:r w:rsidRPr="00955D63">
        <w:rPr>
          <w:rFonts w:ascii="Times New Roman" w:hAnsi="Times New Roman" w:cs="Times New Roman"/>
          <w:b/>
          <w:bCs/>
          <w:sz w:val="24"/>
          <w:szCs w:val="24"/>
        </w:rPr>
        <w:t xml:space="preserve">Defibrillators </w:t>
      </w:r>
      <w:r w:rsidRPr="00955D63">
        <w:rPr>
          <w:rStyle w:val="cursor-pointer"/>
          <w:rFonts w:ascii="Times New Roman" w:hAnsi="Times New Roman" w:cs="Times New Roman"/>
          <w:b/>
          <w:bCs/>
          <w:sz w:val="24"/>
          <w:szCs w:val="24"/>
        </w:rPr>
        <w:t>Parameters:</w:t>
      </w:r>
      <w:r w:rsidRPr="003049EB">
        <w:rPr>
          <w:rStyle w:val="cursor-pointer"/>
          <w:rFonts w:ascii="Times New Roman" w:hAnsi="Times New Roman" w:cs="Times New Roman"/>
          <w:sz w:val="24"/>
          <w:szCs w:val="24"/>
        </w:rPr>
        <w:t xml:space="preserve"> </w:t>
      </w:r>
      <w:r w:rsidR="0010040B">
        <w:rPr>
          <w:rStyle w:val="cursor-pointer"/>
          <w:rFonts w:ascii="Times New Roman" w:hAnsi="Times New Roman" w:cs="Times New Roman"/>
          <w:sz w:val="24"/>
          <w:szCs w:val="24"/>
        </w:rPr>
        <w:t>D</w:t>
      </w:r>
      <w:r w:rsidRPr="003049EB">
        <w:rPr>
          <w:rStyle w:val="cursor-pointer"/>
          <w:rFonts w:ascii="Times New Roman" w:hAnsi="Times New Roman" w:cs="Times New Roman"/>
          <w:sz w:val="24"/>
          <w:szCs w:val="24"/>
        </w:rPr>
        <w:t>elivered energy (tested at 50, 100, 200, 360 J into a calibrated load), charge time, and synchronization delay (to synchronized cardioversion) [13].</w:t>
      </w:r>
      <w:r w:rsidRPr="003049EB">
        <w:rPr>
          <w:rFonts w:ascii="Times New Roman" w:hAnsi="Times New Roman" w:cs="Times New Roman"/>
          <w:sz w:val="24"/>
          <w:szCs w:val="24"/>
        </w:rPr>
        <w:t xml:space="preserve"> </w:t>
      </w:r>
    </w:p>
    <w:p w14:paraId="5E413705" w14:textId="7897E9AB" w:rsidR="00F5428D" w:rsidRPr="003049EB" w:rsidRDefault="00F5428D" w:rsidP="000B190B">
      <w:pPr>
        <w:spacing w:before="240" w:line="240" w:lineRule="auto"/>
        <w:jc w:val="both"/>
        <w:rPr>
          <w:rFonts w:ascii="Times New Roman" w:hAnsi="Times New Roman" w:cs="Times New Roman"/>
          <w:sz w:val="24"/>
          <w:szCs w:val="24"/>
        </w:rPr>
      </w:pPr>
      <w:r w:rsidRPr="00955D63">
        <w:rPr>
          <w:rFonts w:ascii="Times New Roman" w:hAnsi="Times New Roman" w:cs="Times New Roman"/>
          <w:b/>
          <w:bCs/>
          <w:sz w:val="24"/>
          <w:szCs w:val="24"/>
        </w:rPr>
        <w:lastRenderedPageBreak/>
        <w:t xml:space="preserve">Ventilators </w:t>
      </w:r>
      <w:r w:rsidRPr="00955D63">
        <w:rPr>
          <w:rStyle w:val="cursor-pointer"/>
          <w:rFonts w:ascii="Times New Roman" w:hAnsi="Times New Roman" w:cs="Times New Roman"/>
          <w:b/>
          <w:bCs/>
          <w:sz w:val="24"/>
          <w:szCs w:val="24"/>
        </w:rPr>
        <w:t>Parameters:</w:t>
      </w:r>
      <w:r w:rsidRPr="003049EB">
        <w:rPr>
          <w:rStyle w:val="cursor-pointer"/>
          <w:rFonts w:ascii="Times New Roman" w:hAnsi="Times New Roman" w:cs="Times New Roman"/>
          <w:sz w:val="24"/>
          <w:szCs w:val="24"/>
        </w:rPr>
        <w:t xml:space="preserve"> </w:t>
      </w:r>
      <w:r w:rsidR="0010040B">
        <w:rPr>
          <w:rStyle w:val="cursor-pointer"/>
          <w:rFonts w:ascii="Times New Roman" w:hAnsi="Times New Roman" w:cs="Times New Roman"/>
          <w:sz w:val="24"/>
          <w:szCs w:val="24"/>
        </w:rPr>
        <w:t>T</w:t>
      </w:r>
      <w:r w:rsidRPr="003049EB">
        <w:rPr>
          <w:rStyle w:val="cursor-pointer"/>
          <w:rFonts w:ascii="Times New Roman" w:hAnsi="Times New Roman" w:cs="Times New Roman"/>
          <w:sz w:val="24"/>
          <w:szCs w:val="24"/>
        </w:rPr>
        <w:t>idal volume (measured using calibrated test lungs and flow analyzers) and flow (peak inspiratory and expiratory) and pressure (PEEP, peak inspiratory, plateau) and oxygen concentration (measured using calibrated O 2 analyzers) [20].</w:t>
      </w:r>
      <w:r w:rsidRPr="003049EB">
        <w:rPr>
          <w:rFonts w:ascii="Times New Roman" w:hAnsi="Times New Roman" w:cs="Times New Roman"/>
          <w:sz w:val="24"/>
          <w:szCs w:val="24"/>
        </w:rPr>
        <w:t xml:space="preserve"> </w:t>
      </w:r>
    </w:p>
    <w:p w14:paraId="299E23BB" w14:textId="62CA4046" w:rsidR="00F5428D" w:rsidRPr="003049EB" w:rsidRDefault="00F5428D" w:rsidP="000B190B">
      <w:pPr>
        <w:spacing w:before="240" w:line="240" w:lineRule="auto"/>
        <w:jc w:val="both"/>
        <w:rPr>
          <w:rFonts w:ascii="Times New Roman" w:hAnsi="Times New Roman" w:cs="Times New Roman"/>
          <w:sz w:val="24"/>
          <w:szCs w:val="24"/>
        </w:rPr>
      </w:pPr>
      <w:r w:rsidRPr="00955D63">
        <w:rPr>
          <w:rFonts w:ascii="Times New Roman" w:hAnsi="Times New Roman" w:cs="Times New Roman"/>
          <w:b/>
          <w:bCs/>
          <w:sz w:val="24"/>
          <w:szCs w:val="24"/>
        </w:rPr>
        <w:t xml:space="preserve">Electrosurgical Units </w:t>
      </w:r>
      <w:r w:rsidRPr="00955D63">
        <w:rPr>
          <w:rStyle w:val="cursor-pointer"/>
          <w:rFonts w:ascii="Times New Roman" w:hAnsi="Times New Roman" w:cs="Times New Roman"/>
          <w:b/>
          <w:bCs/>
          <w:sz w:val="24"/>
          <w:szCs w:val="24"/>
        </w:rPr>
        <w:t>Parameters:</w:t>
      </w:r>
      <w:r w:rsidRPr="003049EB">
        <w:rPr>
          <w:rStyle w:val="cursor-pointer"/>
          <w:rFonts w:ascii="Times New Roman" w:hAnsi="Times New Roman" w:cs="Times New Roman"/>
          <w:sz w:val="24"/>
          <w:szCs w:val="24"/>
        </w:rPr>
        <w:t xml:space="preserve"> </w:t>
      </w:r>
      <w:r w:rsidR="0010040B">
        <w:rPr>
          <w:rStyle w:val="cursor-pointer"/>
          <w:rFonts w:ascii="Times New Roman" w:hAnsi="Times New Roman" w:cs="Times New Roman"/>
          <w:sz w:val="24"/>
          <w:szCs w:val="24"/>
        </w:rPr>
        <w:t>O</w:t>
      </w:r>
      <w:r w:rsidRPr="003049EB">
        <w:rPr>
          <w:rStyle w:val="cursor-pointer"/>
          <w:rFonts w:ascii="Times New Roman" w:hAnsi="Times New Roman" w:cs="Times New Roman"/>
          <w:sz w:val="24"/>
          <w:szCs w:val="24"/>
        </w:rPr>
        <w:t>utput power (at different load resistances and cut/</w:t>
      </w:r>
      <w:proofErr w:type="spellStart"/>
      <w:r w:rsidRPr="003049EB">
        <w:rPr>
          <w:rStyle w:val="cursor-pointer"/>
          <w:rFonts w:ascii="Times New Roman" w:hAnsi="Times New Roman" w:cs="Times New Roman"/>
          <w:sz w:val="24"/>
          <w:szCs w:val="24"/>
        </w:rPr>
        <w:t>coag</w:t>
      </w:r>
      <w:proofErr w:type="spellEnd"/>
      <w:r w:rsidRPr="003049EB">
        <w:rPr>
          <w:rStyle w:val="cursor-pointer"/>
          <w:rFonts w:ascii="Times New Roman" w:hAnsi="Times New Roman" w:cs="Times New Roman"/>
          <w:sz w:val="24"/>
          <w:szCs w:val="24"/>
        </w:rPr>
        <w:t xml:space="preserve"> modes), HF leakage (tested per IEC 60601-2-2) and frequency stability [21].</w:t>
      </w:r>
      <w:r w:rsidRPr="003049EB">
        <w:rPr>
          <w:rFonts w:ascii="Times New Roman" w:hAnsi="Times New Roman" w:cs="Times New Roman"/>
          <w:sz w:val="24"/>
          <w:szCs w:val="24"/>
        </w:rPr>
        <w:t xml:space="preserve"> </w:t>
      </w:r>
    </w:p>
    <w:p w14:paraId="256D6DC1" w14:textId="0F92D52F" w:rsidR="00F5428D" w:rsidRPr="003049EB" w:rsidRDefault="00F5428D" w:rsidP="000B190B">
      <w:pPr>
        <w:spacing w:before="240" w:line="240" w:lineRule="auto"/>
        <w:jc w:val="both"/>
        <w:rPr>
          <w:rFonts w:ascii="Times New Roman" w:hAnsi="Times New Roman" w:cs="Times New Roman"/>
          <w:sz w:val="24"/>
          <w:szCs w:val="24"/>
        </w:rPr>
      </w:pPr>
      <w:r w:rsidRPr="00955D63">
        <w:rPr>
          <w:rFonts w:ascii="Times New Roman" w:hAnsi="Times New Roman" w:cs="Times New Roman"/>
          <w:b/>
          <w:bCs/>
          <w:sz w:val="24"/>
          <w:szCs w:val="24"/>
        </w:rPr>
        <w:t xml:space="preserve">Thermometers and Incubators </w:t>
      </w:r>
      <w:r w:rsidRPr="00955D63">
        <w:rPr>
          <w:rStyle w:val="cursor-pointer"/>
          <w:rFonts w:ascii="Times New Roman" w:hAnsi="Times New Roman" w:cs="Times New Roman"/>
          <w:b/>
          <w:bCs/>
          <w:sz w:val="24"/>
          <w:szCs w:val="24"/>
        </w:rPr>
        <w:t>Parameters:</w:t>
      </w:r>
      <w:r w:rsidRPr="003049EB">
        <w:rPr>
          <w:rStyle w:val="cursor-pointer"/>
          <w:rFonts w:ascii="Times New Roman" w:hAnsi="Times New Roman" w:cs="Times New Roman"/>
          <w:sz w:val="24"/>
          <w:szCs w:val="24"/>
        </w:rPr>
        <w:t xml:space="preserve"> </w:t>
      </w:r>
      <w:r w:rsidR="0010040B">
        <w:rPr>
          <w:rStyle w:val="cursor-pointer"/>
          <w:rFonts w:ascii="Times New Roman" w:hAnsi="Times New Roman" w:cs="Times New Roman"/>
          <w:sz w:val="24"/>
          <w:szCs w:val="24"/>
        </w:rPr>
        <w:t>T</w:t>
      </w:r>
      <w:r w:rsidRPr="003049EB">
        <w:rPr>
          <w:rStyle w:val="cursor-pointer"/>
          <w:rFonts w:ascii="Times New Roman" w:hAnsi="Times New Roman" w:cs="Times New Roman"/>
          <w:sz w:val="24"/>
          <w:szCs w:val="24"/>
        </w:rPr>
        <w:t>emperature accuracy (when compared to SPRT or calibrated PRT), uniformity (temperature mapping across infant compartments), and stability with time [15].</w:t>
      </w:r>
      <w:r w:rsidRPr="003049EB">
        <w:rPr>
          <w:rFonts w:ascii="Times New Roman" w:hAnsi="Times New Roman" w:cs="Times New Roman"/>
          <w:sz w:val="24"/>
          <w:szCs w:val="24"/>
        </w:rPr>
        <w:t xml:space="preserve"> </w:t>
      </w:r>
    </w:p>
    <w:p w14:paraId="6025B7E2" w14:textId="740B6DDE" w:rsidR="00B347AC" w:rsidRPr="00B347AC" w:rsidRDefault="00F5428D" w:rsidP="000B190B">
      <w:pPr>
        <w:spacing w:before="240" w:line="240" w:lineRule="auto"/>
        <w:jc w:val="both"/>
        <w:rPr>
          <w:rFonts w:ascii="Times New Roman" w:eastAsia="Times New Roman" w:hAnsi="Times New Roman" w:cs="Times New Roman"/>
          <w:sz w:val="24"/>
          <w:szCs w:val="24"/>
        </w:rPr>
      </w:pPr>
      <w:r w:rsidRPr="00955D63">
        <w:rPr>
          <w:rFonts w:ascii="Times New Roman" w:hAnsi="Times New Roman" w:cs="Times New Roman"/>
          <w:b/>
          <w:bCs/>
          <w:sz w:val="24"/>
          <w:szCs w:val="24"/>
        </w:rPr>
        <w:t xml:space="preserve">Weighing Devices </w:t>
      </w:r>
      <w:r w:rsidRPr="00955D63">
        <w:rPr>
          <w:rStyle w:val="cursor-pointer"/>
          <w:rFonts w:ascii="Times New Roman" w:hAnsi="Times New Roman" w:cs="Times New Roman"/>
          <w:b/>
          <w:bCs/>
          <w:sz w:val="24"/>
          <w:szCs w:val="24"/>
        </w:rPr>
        <w:t>Parameters:</w:t>
      </w:r>
      <w:r w:rsidRPr="003049EB">
        <w:rPr>
          <w:rStyle w:val="cursor-pointer"/>
          <w:rFonts w:ascii="Times New Roman" w:hAnsi="Times New Roman" w:cs="Times New Roman"/>
          <w:sz w:val="24"/>
          <w:szCs w:val="24"/>
        </w:rPr>
        <w:t xml:space="preserve"> </w:t>
      </w:r>
      <w:r w:rsidR="0010040B">
        <w:rPr>
          <w:rStyle w:val="cursor-pointer"/>
          <w:rFonts w:ascii="Times New Roman" w:hAnsi="Times New Roman" w:cs="Times New Roman"/>
          <w:sz w:val="24"/>
          <w:szCs w:val="24"/>
        </w:rPr>
        <w:t>M</w:t>
      </w:r>
      <w:r w:rsidRPr="003049EB">
        <w:rPr>
          <w:rStyle w:val="cursor-pointer"/>
          <w:rFonts w:ascii="Times New Roman" w:hAnsi="Times New Roman" w:cs="Times New Roman"/>
          <w:sz w:val="24"/>
          <w:szCs w:val="24"/>
        </w:rPr>
        <w:t>ass indication (tested with OIML E2 or F1 class weights), repeatability (10 measurements at same load), and eccentric loading (localized loading effects) [22].</w:t>
      </w:r>
    </w:p>
    <w:p w14:paraId="220C4BF8" w14:textId="3D3B5E0C" w:rsidR="00B347AC" w:rsidRPr="00B347AC" w:rsidRDefault="0010040B" w:rsidP="000B190B">
      <w:pPr>
        <w:shd w:val="clear" w:color="auto" w:fill="FFFFFF"/>
        <w:spacing w:before="240" w:line="240" w:lineRule="auto"/>
        <w:jc w:val="both"/>
        <w:outlineLvl w:val="1"/>
        <w:rPr>
          <w:rFonts w:ascii="Times New Roman" w:eastAsia="Times New Roman" w:hAnsi="Times New Roman" w:cs="Times New Roman"/>
          <w:b/>
          <w:bCs/>
          <w:color w:val="0F1115"/>
          <w:sz w:val="28"/>
          <w:szCs w:val="28"/>
        </w:rPr>
      </w:pPr>
      <w:r w:rsidRPr="00B347AC">
        <w:rPr>
          <w:rFonts w:ascii="Times New Roman" w:eastAsia="Times New Roman" w:hAnsi="Times New Roman" w:cs="Times New Roman"/>
          <w:b/>
          <w:bCs/>
          <w:color w:val="0F1115"/>
          <w:sz w:val="28"/>
          <w:szCs w:val="28"/>
        </w:rPr>
        <w:t>CALIBRATION METHODOLOGY</w:t>
      </w:r>
    </w:p>
    <w:p w14:paraId="0FDEFC51" w14:textId="146EA59D" w:rsidR="0031310E" w:rsidRPr="0010040B" w:rsidRDefault="0031310E" w:rsidP="000B190B">
      <w:pPr>
        <w:shd w:val="clear" w:color="auto" w:fill="FFFFFF"/>
        <w:spacing w:before="240" w:line="240" w:lineRule="auto"/>
        <w:jc w:val="both"/>
        <w:rPr>
          <w:rFonts w:ascii="Times New Roman" w:hAnsi="Times New Roman" w:cs="Times New Roman"/>
          <w:b/>
          <w:bCs/>
          <w:sz w:val="24"/>
          <w:szCs w:val="24"/>
        </w:rPr>
      </w:pPr>
      <w:r w:rsidRPr="0010040B">
        <w:rPr>
          <w:rFonts w:ascii="Times New Roman" w:hAnsi="Times New Roman" w:cs="Times New Roman"/>
          <w:b/>
          <w:bCs/>
          <w:sz w:val="24"/>
          <w:szCs w:val="24"/>
        </w:rPr>
        <w:t>Pre-Calibration Preparation Phase</w:t>
      </w:r>
    </w:p>
    <w:p w14:paraId="2E542E89" w14:textId="3867C38C" w:rsidR="0031310E" w:rsidRPr="003049EB" w:rsidRDefault="0031310E" w:rsidP="000B190B">
      <w:pPr>
        <w:shd w:val="clear" w:color="auto" w:fill="FFFFFF"/>
        <w:spacing w:before="240" w:line="240" w:lineRule="auto"/>
        <w:jc w:val="both"/>
        <w:rPr>
          <w:rFonts w:ascii="Times New Roman" w:hAnsi="Times New Roman" w:cs="Times New Roman"/>
          <w:sz w:val="24"/>
          <w:szCs w:val="24"/>
        </w:rPr>
      </w:pPr>
      <w:r w:rsidRPr="0010040B">
        <w:rPr>
          <w:rStyle w:val="cursor-pointer"/>
          <w:rFonts w:ascii="Times New Roman" w:hAnsi="Times New Roman" w:cs="Times New Roman"/>
          <w:b/>
          <w:bCs/>
          <w:sz w:val="24"/>
          <w:szCs w:val="24"/>
        </w:rPr>
        <w:t>Identifying the device and its incoming inspection</w:t>
      </w:r>
      <w:r w:rsidR="0010040B">
        <w:rPr>
          <w:rStyle w:val="cursor-pointer"/>
          <w:rFonts w:ascii="Times New Roman" w:hAnsi="Times New Roman" w:cs="Times New Roman"/>
          <w:b/>
          <w:bCs/>
          <w:sz w:val="24"/>
          <w:szCs w:val="24"/>
        </w:rPr>
        <w:t xml:space="preserve">: </w:t>
      </w:r>
      <w:r w:rsidRPr="003049EB">
        <w:rPr>
          <w:rStyle w:val="cursor-pointer"/>
          <w:rFonts w:ascii="Times New Roman" w:hAnsi="Times New Roman" w:cs="Times New Roman"/>
          <w:sz w:val="24"/>
          <w:szCs w:val="24"/>
        </w:rPr>
        <w:t>When a biomedical device is received by the laboratory to be calibrated, the laboratory should first cross-check the device identity with the request to calibrate the device.</w:t>
      </w:r>
      <w:r w:rsidRPr="003049EB">
        <w:rP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This consists of documenting the manufacturer, model number, serial number, firmware version (where applicable) and any hospital asset identifier [1].</w:t>
      </w:r>
      <w:r w:rsidRPr="003049EB">
        <w:rP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Physical examination is conducted to determine any physical damage, parts missing, fluid intrusion, corrosion, and unauthorized alterations.</w:t>
      </w:r>
      <w:r w:rsidRPr="003049EB">
        <w:rP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Devices whose physical damage can be seen are not calibrated until the damage is recorded, and the customer accepts any restrictions.</w:t>
      </w:r>
      <w:r w:rsidRPr="003049EB">
        <w:rP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This is an important step since the calibration results can be invalidated by the physical defects [6].</w:t>
      </w:r>
      <w:r w:rsidRPr="003049EB">
        <w:rPr>
          <w:rFonts w:ascii="Times New Roman" w:hAnsi="Times New Roman" w:cs="Times New Roman"/>
          <w:sz w:val="24"/>
          <w:szCs w:val="24"/>
        </w:rPr>
        <w:t xml:space="preserve"> </w:t>
      </w:r>
    </w:p>
    <w:p w14:paraId="22B9B9BA" w14:textId="53237A1A" w:rsidR="0010040B" w:rsidRDefault="0031310E" w:rsidP="000B190B">
      <w:pPr>
        <w:shd w:val="clear" w:color="auto" w:fill="FFFFFF"/>
        <w:spacing w:before="240" w:line="240" w:lineRule="auto"/>
        <w:jc w:val="both"/>
        <w:rPr>
          <w:rFonts w:ascii="Times New Roman" w:hAnsi="Times New Roman" w:cs="Times New Roman"/>
          <w:sz w:val="24"/>
          <w:szCs w:val="24"/>
        </w:rPr>
      </w:pPr>
      <w:r w:rsidRPr="0010040B">
        <w:rPr>
          <w:rFonts w:ascii="Times New Roman" w:hAnsi="Times New Roman" w:cs="Times New Roman"/>
          <w:b/>
          <w:bCs/>
          <w:sz w:val="24"/>
          <w:szCs w:val="24"/>
        </w:rPr>
        <w:t>Functional Safety Check</w:t>
      </w:r>
      <w:r w:rsidR="0010040B" w:rsidRPr="0010040B">
        <w:rPr>
          <w:rFonts w:ascii="Times New Roman" w:hAnsi="Times New Roman" w:cs="Times New Roman"/>
          <w:b/>
          <w:bCs/>
          <w:sz w:val="24"/>
          <w:szCs w:val="24"/>
        </w:rPr>
        <w:t>:</w:t>
      </w:r>
      <w:r w:rsidR="0010040B">
        <w:rP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A functional safety check is conducted before technical calibration.</w:t>
      </w:r>
      <w:r w:rsidRPr="003049EB">
        <w:rP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This applies to all medical equipment which is electrically driven, including:</w:t>
      </w:r>
    </w:p>
    <w:p w14:paraId="6C662815" w14:textId="0832AD88" w:rsidR="0010040B" w:rsidRPr="0010040B" w:rsidRDefault="0031310E" w:rsidP="00D7191A">
      <w:pPr>
        <w:pStyle w:val="ListParagraph"/>
        <w:numPr>
          <w:ilvl w:val="0"/>
          <w:numId w:val="3"/>
        </w:numPr>
        <w:shd w:val="clear" w:color="auto" w:fill="FFFFFF"/>
        <w:spacing w:before="240" w:line="240" w:lineRule="auto"/>
        <w:jc w:val="both"/>
        <w:rPr>
          <w:rFonts w:ascii="Times New Roman" w:hAnsi="Times New Roman" w:cs="Times New Roman"/>
          <w:sz w:val="24"/>
          <w:szCs w:val="24"/>
        </w:rPr>
      </w:pPr>
      <w:r w:rsidRPr="0010040B">
        <w:rPr>
          <w:rStyle w:val="cursor-pointer"/>
          <w:rFonts w:ascii="Times New Roman" w:hAnsi="Times New Roman" w:cs="Times New Roman"/>
          <w:sz w:val="24"/>
          <w:szCs w:val="24"/>
        </w:rPr>
        <w:t>Earth continuity test (≤ 0.2 Ω protection earth resistance)</w:t>
      </w:r>
    </w:p>
    <w:p w14:paraId="329694F6" w14:textId="1B37F2D4" w:rsidR="0010040B" w:rsidRPr="0010040B" w:rsidRDefault="0031310E" w:rsidP="00D7191A">
      <w:pPr>
        <w:pStyle w:val="ListParagraph"/>
        <w:numPr>
          <w:ilvl w:val="0"/>
          <w:numId w:val="3"/>
        </w:numPr>
        <w:shd w:val="clear" w:color="auto" w:fill="FFFFFF"/>
        <w:spacing w:before="240" w:line="240" w:lineRule="auto"/>
        <w:jc w:val="both"/>
        <w:rPr>
          <w:rFonts w:ascii="Times New Roman" w:hAnsi="Times New Roman" w:cs="Times New Roman"/>
          <w:sz w:val="24"/>
          <w:szCs w:val="24"/>
        </w:rPr>
      </w:pPr>
      <w:r w:rsidRPr="0010040B">
        <w:rPr>
          <w:rStyle w:val="cursor-pointer"/>
          <w:rFonts w:ascii="Times New Roman" w:hAnsi="Times New Roman" w:cs="Times New Roman"/>
          <w:sz w:val="24"/>
          <w:szCs w:val="24"/>
        </w:rPr>
        <w:t>Resistance insulation test (resistance must be at least 2 M o to 500 V DC)</w:t>
      </w:r>
    </w:p>
    <w:p w14:paraId="2ADB284D" w14:textId="4C6B803D" w:rsidR="0010040B" w:rsidRPr="0010040B" w:rsidRDefault="0031310E" w:rsidP="00D7191A">
      <w:pPr>
        <w:pStyle w:val="ListParagraph"/>
        <w:numPr>
          <w:ilvl w:val="0"/>
          <w:numId w:val="3"/>
        </w:numPr>
        <w:shd w:val="clear" w:color="auto" w:fill="FFFFFF"/>
        <w:spacing w:before="240" w:line="240" w:lineRule="auto"/>
        <w:jc w:val="both"/>
        <w:rPr>
          <w:rFonts w:ascii="Times New Roman" w:hAnsi="Times New Roman" w:cs="Times New Roman"/>
          <w:sz w:val="24"/>
          <w:szCs w:val="24"/>
        </w:rPr>
      </w:pPr>
      <w:r w:rsidRPr="0010040B">
        <w:rPr>
          <w:rStyle w:val="cursor-pointer"/>
          <w:rFonts w:ascii="Times New Roman" w:hAnsi="Times New Roman" w:cs="Times New Roman"/>
          <w:sz w:val="24"/>
          <w:szCs w:val="24"/>
        </w:rPr>
        <w:t xml:space="preserve">Measurement of leakage current (touch current ≤ 100 </w:t>
      </w:r>
      <w:proofErr w:type="spellStart"/>
      <w:r w:rsidRPr="0010040B">
        <w:rPr>
          <w:rStyle w:val="cursor-pointer"/>
          <w:rFonts w:ascii="Times New Roman" w:hAnsi="Times New Roman" w:cs="Times New Roman"/>
          <w:sz w:val="24"/>
          <w:szCs w:val="24"/>
        </w:rPr>
        <w:t>μA</w:t>
      </w:r>
      <w:proofErr w:type="spellEnd"/>
      <w:r w:rsidRPr="0010040B">
        <w:rPr>
          <w:rStyle w:val="cursor-pointer"/>
          <w:rFonts w:ascii="Times New Roman" w:hAnsi="Times New Roman" w:cs="Times New Roman"/>
          <w:sz w:val="24"/>
          <w:szCs w:val="24"/>
        </w:rPr>
        <w:t xml:space="preserve"> in case of BF/CF type)</w:t>
      </w:r>
    </w:p>
    <w:p w14:paraId="59DED88E" w14:textId="6C6AF88F" w:rsidR="0010040B" w:rsidRPr="0010040B" w:rsidRDefault="0031310E" w:rsidP="00D7191A">
      <w:pPr>
        <w:pStyle w:val="ListParagraph"/>
        <w:numPr>
          <w:ilvl w:val="0"/>
          <w:numId w:val="3"/>
        </w:numPr>
        <w:shd w:val="clear" w:color="auto" w:fill="FFFFFF"/>
        <w:spacing w:before="240" w:line="240" w:lineRule="auto"/>
        <w:jc w:val="both"/>
        <w:rPr>
          <w:rFonts w:ascii="Times New Roman" w:hAnsi="Times New Roman" w:cs="Times New Roman"/>
          <w:sz w:val="24"/>
          <w:szCs w:val="24"/>
        </w:rPr>
      </w:pPr>
      <w:r w:rsidRPr="0010040B">
        <w:rPr>
          <w:rStyle w:val="cursor-pointer"/>
          <w:rFonts w:ascii="Times New Roman" w:hAnsi="Times New Roman" w:cs="Times New Roman"/>
          <w:sz w:val="24"/>
          <w:szCs w:val="24"/>
        </w:rPr>
        <w:t>Presence of mains voltage and check power consumption.</w:t>
      </w:r>
    </w:p>
    <w:p w14:paraId="37AA1473" w14:textId="447E8201" w:rsidR="0010040B" w:rsidRDefault="0031310E" w:rsidP="000B190B">
      <w:pPr>
        <w:shd w:val="clear" w:color="auto" w:fill="FFFFFF"/>
        <w:spacing w:before="240" w:line="240" w:lineRule="auto"/>
        <w:jc w:val="both"/>
        <w:rPr>
          <w:rFonts w:ascii="Times New Roman" w:hAnsi="Times New Roman" w:cs="Times New Roman"/>
          <w:sz w:val="24"/>
          <w:szCs w:val="24"/>
        </w:rPr>
      </w:pPr>
      <w:r w:rsidRPr="003049EB">
        <w:rPr>
          <w:rStyle w:val="cursor-pointer"/>
          <w:rFonts w:ascii="Times New Roman" w:hAnsi="Times New Roman" w:cs="Times New Roman"/>
          <w:sz w:val="24"/>
          <w:szCs w:val="24"/>
        </w:rPr>
        <w:t>These tests are conducted in line with IEC 62353:2014 [23] and are obligatory to equipment that is connected to patients.</w:t>
      </w:r>
      <w:r w:rsidRPr="003049EB">
        <w:rP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Any non-conformity stops the calibration process until corrected by an appropriate biomedical engineering service.</w:t>
      </w:r>
    </w:p>
    <w:p w14:paraId="50433113" w14:textId="7EB36D8C" w:rsidR="0031310E" w:rsidRPr="003049EB" w:rsidRDefault="0031310E" w:rsidP="000B190B">
      <w:pPr>
        <w:shd w:val="clear" w:color="auto" w:fill="FFFFFF"/>
        <w:spacing w:before="240" w:line="240" w:lineRule="auto"/>
        <w:jc w:val="both"/>
        <w:rPr>
          <w:rFonts w:ascii="Times New Roman" w:hAnsi="Times New Roman" w:cs="Times New Roman"/>
          <w:sz w:val="24"/>
          <w:szCs w:val="24"/>
        </w:rPr>
      </w:pPr>
      <w:r w:rsidRPr="0010040B">
        <w:rPr>
          <w:rStyle w:val="cursor-pointer"/>
          <w:rFonts w:ascii="Times New Roman" w:hAnsi="Times New Roman" w:cs="Times New Roman"/>
          <w:b/>
          <w:bCs/>
          <w:sz w:val="24"/>
          <w:szCs w:val="24"/>
        </w:rPr>
        <w:t>Warm-Up and Environmental Stabilization</w:t>
      </w:r>
      <w:r w:rsidR="0010040B" w:rsidRPr="0010040B">
        <w:rPr>
          <w:rStyle w:val="cursor-pointer"/>
          <w:rFonts w:ascii="Times New Roman" w:hAnsi="Times New Roman" w:cs="Times New Roman"/>
          <w:b/>
          <w:bCs/>
          <w:sz w:val="24"/>
          <w:szCs w:val="24"/>
        </w:rPr>
        <w:t>:</w:t>
      </w:r>
      <w:r w:rsidR="0010040B">
        <w:rPr>
          <w:rStyle w:val="cursor-pointe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EMDs also have a warm-up period, which can be 30 minutes to patient monitors and infusion pumps, 60 minutes to precision laboratory balances, and 15 minutes to portable thermometers.</w:t>
      </w:r>
      <w:r w:rsidRPr="003049EB">
        <w:rP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In the warm-up, the device is turned on, but it is not exposed to measurement stimuli.</w:t>
      </w:r>
      <w:r w:rsidRPr="003049EB">
        <w:rP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At the same time, the laboratory conditions should be brought to a certain standard level.</w:t>
      </w:r>
      <w:r w:rsidRPr="003049EB">
        <w:rP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In the ISO/IEC 17025 clause 6.3.3 [1], the monitoring and recording of environmental conditions shall occur.</w:t>
      </w:r>
    </w:p>
    <w:p w14:paraId="05F45197" w14:textId="77777777" w:rsidR="00A41F97" w:rsidRDefault="0031310E" w:rsidP="000B190B">
      <w:pPr>
        <w:shd w:val="clear" w:color="auto" w:fill="FFFFFF"/>
        <w:spacing w:before="240" w:line="240" w:lineRule="auto"/>
        <w:jc w:val="both"/>
        <w:rPr>
          <w:rFonts w:ascii="Times New Roman" w:hAnsi="Times New Roman" w:cs="Times New Roman"/>
          <w:sz w:val="24"/>
          <w:szCs w:val="24"/>
        </w:rPr>
      </w:pPr>
      <w:r w:rsidRPr="00A41F97">
        <w:rPr>
          <w:rFonts w:ascii="Times New Roman" w:hAnsi="Times New Roman" w:cs="Times New Roman"/>
          <w:b/>
          <w:bCs/>
          <w:sz w:val="24"/>
          <w:szCs w:val="24"/>
        </w:rPr>
        <w:t>Reference Standard Setup</w:t>
      </w:r>
      <w:r w:rsidR="00A41F97" w:rsidRPr="00A41F97">
        <w:rPr>
          <w:rFonts w:ascii="Times New Roman" w:hAnsi="Times New Roman" w:cs="Times New Roman"/>
          <w:b/>
          <w:bCs/>
          <w:sz w:val="24"/>
          <w:szCs w:val="24"/>
        </w:rPr>
        <w:t>:</w:t>
      </w:r>
      <w:r w:rsidRPr="003049EB">
        <w:rP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The reference standards applied in the calibration should have current calibration certificates that indicate unbroken traceability to national or international standards [17].</w:t>
      </w:r>
      <w:r w:rsidRPr="003049EB">
        <w:rP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The below checks are carried out before connection:</w:t>
      </w:r>
      <w:r w:rsidRPr="003049EB">
        <w:rPr>
          <w:rFonts w:ascii="Times New Roman" w:hAnsi="Times New Roman" w:cs="Times New Roman"/>
          <w:sz w:val="24"/>
          <w:szCs w:val="24"/>
        </w:rPr>
        <w:t xml:space="preserve"> </w:t>
      </w:r>
    </w:p>
    <w:p w14:paraId="1BC4755B" w14:textId="7FFA56DB" w:rsidR="00A41F97" w:rsidRPr="00A41F97" w:rsidRDefault="0031310E" w:rsidP="00D7191A">
      <w:pPr>
        <w:pStyle w:val="ListParagraph"/>
        <w:numPr>
          <w:ilvl w:val="0"/>
          <w:numId w:val="4"/>
        </w:numPr>
        <w:shd w:val="clear" w:color="auto" w:fill="FFFFFF"/>
        <w:spacing w:before="240" w:line="240" w:lineRule="auto"/>
        <w:jc w:val="both"/>
        <w:rPr>
          <w:rFonts w:ascii="Times New Roman" w:hAnsi="Times New Roman" w:cs="Times New Roman"/>
          <w:sz w:val="24"/>
          <w:szCs w:val="24"/>
        </w:rPr>
      </w:pPr>
      <w:r w:rsidRPr="00A41F97">
        <w:rPr>
          <w:rStyle w:val="cursor-pointer"/>
          <w:rFonts w:ascii="Times New Roman" w:hAnsi="Times New Roman" w:cs="Times New Roman"/>
          <w:sz w:val="24"/>
          <w:szCs w:val="24"/>
        </w:rPr>
        <w:t>Validity (not expired) of the calibration certificate</w:t>
      </w:r>
    </w:p>
    <w:p w14:paraId="6117FC1A" w14:textId="7513D27E" w:rsidR="00A41F97" w:rsidRPr="00A41F97" w:rsidRDefault="0031310E" w:rsidP="00D7191A">
      <w:pPr>
        <w:pStyle w:val="ListParagraph"/>
        <w:numPr>
          <w:ilvl w:val="0"/>
          <w:numId w:val="4"/>
        </w:numPr>
        <w:shd w:val="clear" w:color="auto" w:fill="FFFFFF"/>
        <w:spacing w:before="240" w:line="240" w:lineRule="auto"/>
        <w:jc w:val="both"/>
        <w:rPr>
          <w:rFonts w:ascii="Times New Roman" w:hAnsi="Times New Roman" w:cs="Times New Roman"/>
          <w:sz w:val="24"/>
          <w:szCs w:val="24"/>
        </w:rPr>
      </w:pPr>
      <w:r w:rsidRPr="00A41F97">
        <w:rPr>
          <w:rStyle w:val="cursor-pointer"/>
          <w:rFonts w:ascii="Times New Roman" w:hAnsi="Times New Roman" w:cs="Times New Roman"/>
          <w:sz w:val="24"/>
          <w:szCs w:val="24"/>
        </w:rPr>
        <w:t>Physical state of Standard (no damages, clean connectors)</w:t>
      </w:r>
      <w:r w:rsidRPr="00A41F97">
        <w:rPr>
          <w:rFonts w:ascii="Times New Roman" w:hAnsi="Times New Roman" w:cs="Times New Roman"/>
          <w:sz w:val="24"/>
          <w:szCs w:val="24"/>
        </w:rPr>
        <w:t xml:space="preserve"> </w:t>
      </w:r>
    </w:p>
    <w:p w14:paraId="64985C76" w14:textId="5E63A0BE" w:rsidR="00A41F97" w:rsidRPr="00A41F97" w:rsidRDefault="0031310E" w:rsidP="00D7191A">
      <w:pPr>
        <w:pStyle w:val="ListParagraph"/>
        <w:numPr>
          <w:ilvl w:val="0"/>
          <w:numId w:val="4"/>
        </w:numPr>
        <w:shd w:val="clear" w:color="auto" w:fill="FFFFFF"/>
        <w:spacing w:before="240" w:line="240" w:lineRule="auto"/>
        <w:jc w:val="both"/>
        <w:rPr>
          <w:rFonts w:ascii="Times New Roman" w:hAnsi="Times New Roman" w:cs="Times New Roman"/>
          <w:sz w:val="24"/>
          <w:szCs w:val="24"/>
        </w:rPr>
      </w:pPr>
      <w:r w:rsidRPr="00A41F97">
        <w:rPr>
          <w:rStyle w:val="cursor-pointer"/>
          <w:rFonts w:ascii="Times New Roman" w:hAnsi="Times New Roman" w:cs="Times New Roman"/>
          <w:sz w:val="24"/>
          <w:szCs w:val="24"/>
        </w:rPr>
        <w:t>Equipment compatibility (range, resolution, accuracy class)</w:t>
      </w:r>
      <w:r w:rsidRPr="00A41F97">
        <w:rPr>
          <w:rFonts w:ascii="Times New Roman" w:hAnsi="Times New Roman" w:cs="Times New Roman"/>
          <w:sz w:val="24"/>
          <w:szCs w:val="24"/>
        </w:rPr>
        <w:t xml:space="preserve"> </w:t>
      </w:r>
    </w:p>
    <w:p w14:paraId="63E82FC4" w14:textId="173CBD90" w:rsidR="00A41F97" w:rsidRPr="00A41F97" w:rsidRDefault="0031310E" w:rsidP="00D7191A">
      <w:pPr>
        <w:pStyle w:val="ListParagraph"/>
        <w:numPr>
          <w:ilvl w:val="0"/>
          <w:numId w:val="4"/>
        </w:numPr>
        <w:shd w:val="clear" w:color="auto" w:fill="FFFFFF"/>
        <w:spacing w:before="240" w:line="240" w:lineRule="auto"/>
        <w:jc w:val="both"/>
        <w:rPr>
          <w:rFonts w:ascii="Times New Roman" w:hAnsi="Times New Roman" w:cs="Times New Roman"/>
          <w:sz w:val="24"/>
          <w:szCs w:val="24"/>
        </w:rPr>
      </w:pPr>
      <w:r w:rsidRPr="00A41F97">
        <w:rPr>
          <w:rStyle w:val="cursor-pointer"/>
          <w:rFonts w:ascii="Times New Roman" w:hAnsi="Times New Roman" w:cs="Times New Roman"/>
          <w:sz w:val="24"/>
          <w:szCs w:val="24"/>
        </w:rPr>
        <w:t>Connection integrity (appropriate cables, adapters, terminators)</w:t>
      </w:r>
      <w:r w:rsidRPr="00A41F97">
        <w:rPr>
          <w:rFonts w:ascii="Times New Roman" w:hAnsi="Times New Roman" w:cs="Times New Roman"/>
          <w:sz w:val="24"/>
          <w:szCs w:val="24"/>
        </w:rPr>
        <w:t xml:space="preserve"> </w:t>
      </w:r>
    </w:p>
    <w:p w14:paraId="362C3D19" w14:textId="0F034AB8" w:rsidR="0031310E" w:rsidRPr="003049EB" w:rsidRDefault="0031310E" w:rsidP="000B190B">
      <w:pPr>
        <w:shd w:val="clear" w:color="auto" w:fill="FFFFFF"/>
        <w:spacing w:before="240" w:line="240" w:lineRule="auto"/>
        <w:jc w:val="both"/>
        <w:rPr>
          <w:rFonts w:ascii="Times New Roman" w:hAnsi="Times New Roman" w:cs="Times New Roman"/>
          <w:sz w:val="24"/>
          <w:szCs w:val="24"/>
        </w:rPr>
      </w:pPr>
      <w:r w:rsidRPr="003049EB">
        <w:rPr>
          <w:rStyle w:val="cursor-pointer"/>
          <w:rFonts w:ascii="Times New Roman" w:hAnsi="Times New Roman" w:cs="Times New Roman"/>
          <w:sz w:val="24"/>
          <w:szCs w:val="24"/>
        </w:rPr>
        <w:t xml:space="preserve">In electrical calibrations (ECG simulators, defibrillator analyzers) reference standards should be at least 4 times more precise than the DUT (4:1 test accuracy ratio) or the contribution of uncertainty should be properly </w:t>
      </w:r>
      <w:r w:rsidRPr="003049EB">
        <w:rPr>
          <w:rStyle w:val="cursor-pointer"/>
          <w:rFonts w:ascii="Times New Roman" w:hAnsi="Times New Roman" w:cs="Times New Roman"/>
          <w:sz w:val="24"/>
          <w:szCs w:val="24"/>
        </w:rPr>
        <w:lastRenderedPageBreak/>
        <w:t>accounted in the combined uncertainty budget [24].</w:t>
      </w:r>
      <w:r w:rsidRPr="003049EB">
        <w:rP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In critical parameters where 4:1 cannot be achieved (e.g., high voltage defibrillator pulses), uncertainty analysis is required in detail.</w:t>
      </w:r>
    </w:p>
    <w:p w14:paraId="735CCC03" w14:textId="2DE4F740" w:rsidR="0031310E" w:rsidRPr="00A41F97" w:rsidRDefault="0031310E" w:rsidP="000B190B">
      <w:pPr>
        <w:shd w:val="clear" w:color="auto" w:fill="FFFFFF"/>
        <w:spacing w:before="240" w:line="240" w:lineRule="auto"/>
        <w:jc w:val="both"/>
        <w:rPr>
          <w:rFonts w:ascii="Times New Roman" w:hAnsi="Times New Roman" w:cs="Times New Roman"/>
          <w:b/>
          <w:bCs/>
          <w:sz w:val="24"/>
          <w:szCs w:val="24"/>
        </w:rPr>
      </w:pPr>
      <w:r w:rsidRPr="00A41F97">
        <w:rPr>
          <w:rFonts w:ascii="Times New Roman" w:hAnsi="Times New Roman" w:cs="Times New Roman"/>
          <w:b/>
          <w:bCs/>
          <w:sz w:val="24"/>
          <w:szCs w:val="24"/>
        </w:rPr>
        <w:t>Measurement Execution Phase</w:t>
      </w:r>
    </w:p>
    <w:p w14:paraId="1A69F979" w14:textId="2479AA04" w:rsidR="0031310E" w:rsidRPr="003049EB" w:rsidRDefault="0031310E" w:rsidP="000B190B">
      <w:pPr>
        <w:shd w:val="clear" w:color="auto" w:fill="FFFFFF"/>
        <w:spacing w:before="240" w:line="240" w:lineRule="auto"/>
        <w:jc w:val="both"/>
        <w:rPr>
          <w:rFonts w:ascii="Times New Roman" w:hAnsi="Times New Roman" w:cs="Times New Roman"/>
          <w:sz w:val="24"/>
          <w:szCs w:val="24"/>
        </w:rPr>
      </w:pPr>
      <w:r w:rsidRPr="00A41F97">
        <w:rPr>
          <w:rStyle w:val="cursor-pointer"/>
          <w:rFonts w:ascii="Times New Roman" w:hAnsi="Times New Roman" w:cs="Times New Roman"/>
          <w:b/>
          <w:bCs/>
          <w:sz w:val="24"/>
          <w:szCs w:val="24"/>
        </w:rPr>
        <w:t>Choosing Calibration Points</w:t>
      </w:r>
      <w:r w:rsidR="00A41F97" w:rsidRPr="00A41F97">
        <w:rPr>
          <w:rStyle w:val="cursor-pointer"/>
          <w:rFonts w:ascii="Times New Roman" w:hAnsi="Times New Roman" w:cs="Times New Roman"/>
          <w:b/>
          <w:bCs/>
          <w:sz w:val="24"/>
          <w:szCs w:val="24"/>
        </w:rPr>
        <w:t>:</w:t>
      </w:r>
      <w:r w:rsidRPr="003049EB">
        <w:rP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The calibration points are chosen to represent the whole operating range of the device, with a special focus on clinically important values.</w:t>
      </w:r>
      <w:r w:rsidRPr="003049EB">
        <w:rP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In the case of linear instruments, 5 or more points equally spaced are suggested, although 10 or more points will be a better characteri</w:t>
      </w:r>
      <w:r w:rsidR="00A41F97">
        <w:rPr>
          <w:rStyle w:val="cursor-pointer"/>
          <w:rFonts w:ascii="Times New Roman" w:hAnsi="Times New Roman" w:cs="Times New Roman"/>
          <w:sz w:val="24"/>
          <w:szCs w:val="24"/>
        </w:rPr>
        <w:t>z</w:t>
      </w:r>
      <w:r w:rsidRPr="003049EB">
        <w:rPr>
          <w:rStyle w:val="cursor-pointer"/>
          <w:rFonts w:ascii="Times New Roman" w:hAnsi="Times New Roman" w:cs="Times New Roman"/>
          <w:sz w:val="24"/>
          <w:szCs w:val="24"/>
        </w:rPr>
        <w:t>ation of non-linearity.</w:t>
      </w:r>
    </w:p>
    <w:p w14:paraId="24FC7D49" w14:textId="6A5F4D32" w:rsidR="00A41F97" w:rsidRDefault="0031310E" w:rsidP="000B190B">
      <w:pPr>
        <w:shd w:val="clear" w:color="auto" w:fill="FFFFFF"/>
        <w:spacing w:before="240" w:line="240" w:lineRule="auto"/>
        <w:jc w:val="both"/>
        <w:rPr>
          <w:rFonts w:ascii="Times New Roman" w:hAnsi="Times New Roman" w:cs="Times New Roman"/>
          <w:sz w:val="24"/>
          <w:szCs w:val="24"/>
        </w:rPr>
      </w:pPr>
      <w:r w:rsidRPr="00A41F97">
        <w:rPr>
          <w:rFonts w:ascii="Times New Roman" w:hAnsi="Times New Roman" w:cs="Times New Roman"/>
          <w:b/>
          <w:bCs/>
          <w:sz w:val="24"/>
          <w:szCs w:val="24"/>
        </w:rPr>
        <w:t>Multi-Point Measurement Sequence</w:t>
      </w:r>
      <w:r w:rsidR="00A41F97" w:rsidRPr="00A41F97">
        <w:rPr>
          <w:rStyle w:val="cursor-pointer"/>
          <w:b/>
          <w:bCs/>
        </w:rPr>
        <w:t>:</w:t>
      </w:r>
      <w:r w:rsidRPr="00A41F97">
        <w:rPr>
          <w:rStyle w:val="cursor-pointer"/>
          <w:b/>
          <w:bCs/>
        </w:rPr>
        <w:t xml:space="preserve"> </w:t>
      </w:r>
      <w:r w:rsidRPr="003049EB">
        <w:rPr>
          <w:rStyle w:val="cursor-pointer"/>
          <w:rFonts w:ascii="Times New Roman" w:hAnsi="Times New Roman" w:cs="Times New Roman"/>
          <w:sz w:val="24"/>
          <w:szCs w:val="24"/>
        </w:rPr>
        <w:t>At every point of the calibration, the minimum of three replicate measurements is done (clause 7.11.1 of ISO/IEC 17025 recommends repeatability assessment [1]).</w:t>
      </w:r>
      <w:r w:rsidRPr="003049EB">
        <w:rPr>
          <w:rFonts w:ascii="Times New Roman" w:hAnsi="Times New Roman" w:cs="Times New Roman"/>
          <w:sz w:val="24"/>
          <w:szCs w:val="24"/>
        </w:rPr>
        <w:t xml:space="preserve"> For each replicate: </w:t>
      </w:r>
    </w:p>
    <w:p w14:paraId="3554785B" w14:textId="7F557EC4" w:rsidR="00A41F97" w:rsidRPr="00A41F97" w:rsidRDefault="0031310E" w:rsidP="00D7191A">
      <w:pPr>
        <w:pStyle w:val="ListParagraph"/>
        <w:numPr>
          <w:ilvl w:val="0"/>
          <w:numId w:val="5"/>
        </w:numPr>
        <w:shd w:val="clear" w:color="auto" w:fill="FFFFFF"/>
        <w:spacing w:before="240" w:line="240" w:lineRule="auto"/>
        <w:jc w:val="both"/>
        <w:rPr>
          <w:rFonts w:ascii="Times New Roman" w:hAnsi="Times New Roman" w:cs="Times New Roman"/>
          <w:sz w:val="24"/>
          <w:szCs w:val="24"/>
        </w:rPr>
      </w:pPr>
      <w:r w:rsidRPr="00A41F97">
        <w:rPr>
          <w:rStyle w:val="cursor-pointer"/>
          <w:rFonts w:ascii="Times New Roman" w:hAnsi="Times New Roman" w:cs="Times New Roman"/>
          <w:sz w:val="24"/>
          <w:szCs w:val="24"/>
        </w:rPr>
        <w:t>Adjust the DUT to the desired nominal value (when source mode) or apply the reference stimulus (when measure mode)</w:t>
      </w:r>
      <w:r w:rsidRPr="00A41F97">
        <w:rPr>
          <w:rFonts w:ascii="Times New Roman" w:hAnsi="Times New Roman" w:cs="Times New Roman"/>
          <w:sz w:val="24"/>
          <w:szCs w:val="24"/>
        </w:rPr>
        <w:t xml:space="preserve"> </w:t>
      </w:r>
    </w:p>
    <w:p w14:paraId="3191BAEF" w14:textId="5DF7E392" w:rsidR="00A41F97" w:rsidRPr="00A41F97" w:rsidRDefault="0031310E" w:rsidP="00D7191A">
      <w:pPr>
        <w:pStyle w:val="ListParagraph"/>
        <w:numPr>
          <w:ilvl w:val="0"/>
          <w:numId w:val="5"/>
        </w:numPr>
        <w:shd w:val="clear" w:color="auto" w:fill="FFFFFF"/>
        <w:spacing w:before="240" w:line="240" w:lineRule="auto"/>
        <w:jc w:val="both"/>
        <w:rPr>
          <w:rStyle w:val="cursor-pointer"/>
          <w:rFonts w:ascii="Times New Roman" w:hAnsi="Times New Roman" w:cs="Times New Roman"/>
          <w:sz w:val="24"/>
          <w:szCs w:val="24"/>
        </w:rPr>
      </w:pPr>
      <w:r w:rsidRPr="00A41F97">
        <w:rPr>
          <w:rStyle w:val="cursor-pointer"/>
          <w:rFonts w:ascii="Times New Roman" w:hAnsi="Times New Roman" w:cs="Times New Roman"/>
          <w:sz w:val="24"/>
          <w:szCs w:val="24"/>
        </w:rPr>
        <w:t>Give it time to settle- normally 5-30 seconds depending on the parameter</w:t>
      </w:r>
    </w:p>
    <w:p w14:paraId="59E3935A" w14:textId="32BBB59E" w:rsidR="00A41F97" w:rsidRPr="00A41F97" w:rsidRDefault="0031310E" w:rsidP="00D7191A">
      <w:pPr>
        <w:pStyle w:val="ListParagraph"/>
        <w:numPr>
          <w:ilvl w:val="0"/>
          <w:numId w:val="5"/>
        </w:numPr>
        <w:shd w:val="clear" w:color="auto" w:fill="FFFFFF"/>
        <w:spacing w:before="240" w:line="240" w:lineRule="auto"/>
        <w:jc w:val="both"/>
        <w:rPr>
          <w:rStyle w:val="cursor-pointer"/>
          <w:rFonts w:ascii="Times New Roman" w:hAnsi="Times New Roman" w:cs="Times New Roman"/>
          <w:sz w:val="24"/>
          <w:szCs w:val="24"/>
        </w:rPr>
      </w:pPr>
      <w:r w:rsidRPr="00A41F97">
        <w:rPr>
          <w:rStyle w:val="cursor-pointer"/>
          <w:rFonts w:ascii="Times New Roman" w:hAnsi="Times New Roman" w:cs="Times New Roman"/>
          <w:sz w:val="24"/>
          <w:szCs w:val="24"/>
        </w:rPr>
        <w:t>At the same time note the DUT indication and the value of the reference standard</w:t>
      </w:r>
    </w:p>
    <w:p w14:paraId="1F66C841" w14:textId="607A5E9B" w:rsidR="00A41F97" w:rsidRPr="00A41F97" w:rsidRDefault="0031310E" w:rsidP="00D7191A">
      <w:pPr>
        <w:pStyle w:val="ListParagraph"/>
        <w:numPr>
          <w:ilvl w:val="0"/>
          <w:numId w:val="5"/>
        </w:numPr>
        <w:shd w:val="clear" w:color="auto" w:fill="FFFFFF"/>
        <w:spacing w:before="240" w:line="240" w:lineRule="auto"/>
        <w:jc w:val="both"/>
        <w:rPr>
          <w:rStyle w:val="cursor-pointer"/>
          <w:rFonts w:ascii="Times New Roman" w:hAnsi="Times New Roman" w:cs="Times New Roman"/>
          <w:sz w:val="24"/>
          <w:szCs w:val="24"/>
        </w:rPr>
      </w:pPr>
      <w:r w:rsidRPr="00A41F97">
        <w:rPr>
          <w:rStyle w:val="cursor-pointer"/>
          <w:rFonts w:ascii="Times New Roman" w:hAnsi="Times New Roman" w:cs="Times New Roman"/>
          <w:sz w:val="24"/>
          <w:szCs w:val="24"/>
        </w:rPr>
        <w:t>Determine the error of that replicate: Error = DUT Reading - Reference Value</w:t>
      </w:r>
    </w:p>
    <w:p w14:paraId="4909C0BB" w14:textId="4694F866" w:rsidR="0031310E" w:rsidRPr="00A41F97" w:rsidRDefault="0031310E" w:rsidP="00D7191A">
      <w:pPr>
        <w:pStyle w:val="ListParagraph"/>
        <w:numPr>
          <w:ilvl w:val="0"/>
          <w:numId w:val="5"/>
        </w:numPr>
        <w:shd w:val="clear" w:color="auto" w:fill="FFFFFF"/>
        <w:spacing w:before="240" w:line="240" w:lineRule="auto"/>
        <w:jc w:val="both"/>
        <w:rPr>
          <w:rFonts w:ascii="Times New Roman" w:hAnsi="Times New Roman" w:cs="Times New Roman"/>
          <w:sz w:val="24"/>
          <w:szCs w:val="24"/>
        </w:rPr>
      </w:pPr>
      <w:r w:rsidRPr="00A41F97">
        <w:rPr>
          <w:rStyle w:val="cursor-pointer"/>
          <w:rFonts w:ascii="Times New Roman" w:hAnsi="Times New Roman" w:cs="Times New Roman"/>
          <w:sz w:val="24"/>
          <w:szCs w:val="24"/>
        </w:rPr>
        <w:t>Raw data should be recorded by a pre-formatted worksheet.</w:t>
      </w:r>
      <w:r w:rsidRPr="00A41F97">
        <w:rPr>
          <w:rFonts w:ascii="Times New Roman" w:hAnsi="Times New Roman" w:cs="Times New Roman"/>
          <w:sz w:val="24"/>
          <w:szCs w:val="24"/>
        </w:rPr>
        <w:t xml:space="preserve"> </w:t>
      </w:r>
    </w:p>
    <w:p w14:paraId="53F47F5E" w14:textId="77777777" w:rsidR="00A41F97" w:rsidRDefault="0031310E" w:rsidP="000B190B">
      <w:pPr>
        <w:shd w:val="clear" w:color="auto" w:fill="FFFFFF"/>
        <w:spacing w:before="240" w:line="240" w:lineRule="auto"/>
        <w:jc w:val="both"/>
        <w:rPr>
          <w:rFonts w:ascii="Times New Roman" w:hAnsi="Times New Roman" w:cs="Times New Roman"/>
          <w:sz w:val="24"/>
          <w:szCs w:val="24"/>
        </w:rPr>
      </w:pPr>
      <w:r w:rsidRPr="00A41F97">
        <w:rPr>
          <w:rStyle w:val="cursor-pointer"/>
          <w:rFonts w:ascii="Times New Roman" w:hAnsi="Times New Roman" w:cs="Times New Roman"/>
          <w:b/>
          <w:bCs/>
          <w:sz w:val="24"/>
          <w:szCs w:val="24"/>
        </w:rPr>
        <w:t>Measurement Simulated Clinical Conditions</w:t>
      </w:r>
      <w:r w:rsidR="00A41F97" w:rsidRPr="00A41F97">
        <w:rPr>
          <w:rStyle w:val="cursor-pointer"/>
          <w:rFonts w:ascii="Times New Roman" w:hAnsi="Times New Roman" w:cs="Times New Roman"/>
          <w:b/>
          <w:bCs/>
          <w:sz w:val="24"/>
          <w:szCs w:val="24"/>
        </w:rPr>
        <w:t>:</w:t>
      </w:r>
      <w:r w:rsidRPr="003049EB">
        <w:rP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In some biomedical devices, using simulation alone to calibrate the instrument should also be accompanied by simulation of conditions of clinical use.</w:t>
      </w:r>
      <w:r w:rsidRPr="003049EB">
        <w:rPr>
          <w:rFonts w:ascii="Times New Roman" w:hAnsi="Times New Roman" w:cs="Times New Roman"/>
          <w:sz w:val="24"/>
          <w:szCs w:val="24"/>
        </w:rPr>
        <w:t xml:space="preserve"> For example:</w:t>
      </w:r>
    </w:p>
    <w:p w14:paraId="245DC0FC" w14:textId="114AA682" w:rsidR="00A41F97" w:rsidRPr="00A41F97" w:rsidRDefault="0031310E" w:rsidP="00D7191A">
      <w:pPr>
        <w:pStyle w:val="ListParagraph"/>
        <w:numPr>
          <w:ilvl w:val="0"/>
          <w:numId w:val="6"/>
        </w:numPr>
        <w:shd w:val="clear" w:color="auto" w:fill="FFFFFF"/>
        <w:spacing w:before="240" w:line="240" w:lineRule="auto"/>
        <w:jc w:val="both"/>
        <w:rPr>
          <w:rFonts w:ascii="Times New Roman" w:hAnsi="Times New Roman" w:cs="Times New Roman"/>
          <w:sz w:val="24"/>
          <w:szCs w:val="24"/>
        </w:rPr>
      </w:pPr>
      <w:r w:rsidRPr="00A41F97">
        <w:rPr>
          <w:rFonts w:ascii="Times New Roman" w:hAnsi="Times New Roman" w:cs="Times New Roman"/>
          <w:sz w:val="24"/>
          <w:szCs w:val="24"/>
        </w:rPr>
        <w:t>Ventilators: Calibrated with test lungs of varying compliance (0.02, 0.05, 0.1 L/</w:t>
      </w:r>
      <w:proofErr w:type="spellStart"/>
      <w:r w:rsidRPr="00A41F97">
        <w:rPr>
          <w:rFonts w:ascii="Times New Roman" w:hAnsi="Times New Roman" w:cs="Times New Roman"/>
          <w:sz w:val="24"/>
          <w:szCs w:val="24"/>
        </w:rPr>
        <w:t>cmH₂O</w:t>
      </w:r>
      <w:proofErr w:type="spellEnd"/>
      <w:r w:rsidRPr="00A41F97">
        <w:rPr>
          <w:rFonts w:ascii="Times New Roman" w:hAnsi="Times New Roman" w:cs="Times New Roman"/>
          <w:sz w:val="24"/>
          <w:szCs w:val="24"/>
        </w:rPr>
        <w:t xml:space="preserve">) and resistance (5, 20, 50 </w:t>
      </w:r>
      <w:proofErr w:type="spellStart"/>
      <w:r w:rsidRPr="00A41F97">
        <w:rPr>
          <w:rFonts w:ascii="Times New Roman" w:hAnsi="Times New Roman" w:cs="Times New Roman"/>
          <w:sz w:val="24"/>
          <w:szCs w:val="24"/>
        </w:rPr>
        <w:t>cmH₂O</w:t>
      </w:r>
      <w:proofErr w:type="spellEnd"/>
      <w:r w:rsidRPr="00A41F97">
        <w:rPr>
          <w:rFonts w:ascii="Times New Roman" w:hAnsi="Times New Roman" w:cs="Times New Roman"/>
          <w:sz w:val="24"/>
          <w:szCs w:val="24"/>
        </w:rPr>
        <w:t xml:space="preserve">/L/s) [20]. </w:t>
      </w:r>
    </w:p>
    <w:p w14:paraId="01C9EBEE" w14:textId="4E0D1B0A" w:rsidR="00A41F97" w:rsidRPr="00A41F97" w:rsidRDefault="0031310E" w:rsidP="00D7191A">
      <w:pPr>
        <w:pStyle w:val="ListParagraph"/>
        <w:numPr>
          <w:ilvl w:val="0"/>
          <w:numId w:val="6"/>
        </w:numPr>
        <w:shd w:val="clear" w:color="auto" w:fill="FFFFFF"/>
        <w:spacing w:before="240" w:line="240" w:lineRule="auto"/>
        <w:jc w:val="both"/>
        <w:rPr>
          <w:rFonts w:ascii="Times New Roman" w:hAnsi="Times New Roman" w:cs="Times New Roman"/>
          <w:sz w:val="24"/>
          <w:szCs w:val="24"/>
        </w:rPr>
      </w:pPr>
      <w:r w:rsidRPr="00A41F97">
        <w:rPr>
          <w:rFonts w:ascii="Times New Roman" w:hAnsi="Times New Roman" w:cs="Times New Roman"/>
          <w:sz w:val="24"/>
          <w:szCs w:val="24"/>
        </w:rPr>
        <w:t>Infusion pumps: Tested with back pressures of 0, 100, 200, 300 mmHg [19].</w:t>
      </w:r>
    </w:p>
    <w:p w14:paraId="54FB46CF" w14:textId="00E06C20" w:rsidR="0031310E" w:rsidRPr="00A41F97" w:rsidRDefault="0031310E" w:rsidP="00D7191A">
      <w:pPr>
        <w:pStyle w:val="ListParagraph"/>
        <w:numPr>
          <w:ilvl w:val="0"/>
          <w:numId w:val="6"/>
        </w:numPr>
        <w:shd w:val="clear" w:color="auto" w:fill="FFFFFF"/>
        <w:spacing w:before="240" w:line="240" w:lineRule="auto"/>
        <w:jc w:val="both"/>
        <w:rPr>
          <w:rFonts w:ascii="Times New Roman" w:hAnsi="Times New Roman" w:cs="Times New Roman"/>
          <w:sz w:val="24"/>
          <w:szCs w:val="24"/>
        </w:rPr>
      </w:pPr>
      <w:r w:rsidRPr="00A41F97">
        <w:rPr>
          <w:rFonts w:ascii="Times New Roman" w:hAnsi="Times New Roman" w:cs="Times New Roman"/>
          <w:sz w:val="24"/>
          <w:szCs w:val="24"/>
        </w:rPr>
        <w:t>Defibrillators: Tested at multiple patient impedance values (25, 50, 75, 100, 125, 150 ohms) [13].</w:t>
      </w:r>
    </w:p>
    <w:p w14:paraId="74FF40C6" w14:textId="77777777" w:rsidR="00A41F97" w:rsidRDefault="0031310E" w:rsidP="000B190B">
      <w:pPr>
        <w:shd w:val="clear" w:color="auto" w:fill="FFFFFF"/>
        <w:spacing w:before="240" w:line="240" w:lineRule="auto"/>
        <w:jc w:val="both"/>
        <w:rPr>
          <w:rFonts w:ascii="Times New Roman" w:hAnsi="Times New Roman" w:cs="Times New Roman"/>
          <w:sz w:val="24"/>
          <w:szCs w:val="24"/>
        </w:rPr>
      </w:pPr>
      <w:r w:rsidRPr="00A41F97">
        <w:rPr>
          <w:rFonts w:ascii="Times New Roman" w:hAnsi="Times New Roman" w:cs="Times New Roman"/>
          <w:b/>
          <w:bCs/>
          <w:sz w:val="24"/>
          <w:szCs w:val="24"/>
        </w:rPr>
        <w:t>Adjustment (Trimming) Procedure</w:t>
      </w:r>
      <w:r w:rsidR="00A41F97" w:rsidRPr="00A41F97">
        <w:rPr>
          <w:rFonts w:ascii="Times New Roman" w:hAnsi="Times New Roman" w:cs="Times New Roman"/>
          <w:b/>
          <w:bCs/>
          <w:sz w:val="24"/>
          <w:szCs w:val="24"/>
        </w:rPr>
        <w:t>:</w:t>
      </w:r>
      <w:r w:rsidRPr="003049EB">
        <w:rP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When the actual errors are more than the tolerances of the manufacturer and the owner of the equipment has given an authorization to carry out an electronic or mechanical adjustment.</w:t>
      </w:r>
      <w:r w:rsidRPr="003049EB">
        <w:rP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Important principles of adaptation [1]:</w:t>
      </w:r>
      <w:r w:rsidRPr="003049EB">
        <w:rPr>
          <w:rFonts w:ascii="Times New Roman" w:hAnsi="Times New Roman" w:cs="Times New Roman"/>
          <w:sz w:val="24"/>
          <w:szCs w:val="24"/>
        </w:rPr>
        <w:t xml:space="preserve"> </w:t>
      </w:r>
    </w:p>
    <w:p w14:paraId="5BCF7C9A" w14:textId="4E7B4921" w:rsidR="00A41F97" w:rsidRPr="002002C4" w:rsidRDefault="0031310E" w:rsidP="00D7191A">
      <w:pPr>
        <w:pStyle w:val="ListParagraph"/>
        <w:numPr>
          <w:ilvl w:val="0"/>
          <w:numId w:val="6"/>
        </w:numPr>
        <w:shd w:val="clear" w:color="auto" w:fill="FFFFFF"/>
        <w:spacing w:before="240" w:line="240" w:lineRule="auto"/>
        <w:jc w:val="both"/>
        <w:rPr>
          <w:rFonts w:ascii="Times New Roman" w:hAnsi="Times New Roman" w:cs="Times New Roman"/>
          <w:sz w:val="24"/>
          <w:szCs w:val="24"/>
        </w:rPr>
      </w:pPr>
      <w:r w:rsidRPr="002002C4">
        <w:rPr>
          <w:rFonts w:ascii="Times New Roman" w:hAnsi="Times New Roman" w:cs="Times New Roman"/>
          <w:sz w:val="24"/>
          <w:szCs w:val="24"/>
        </w:rPr>
        <w:t>Record the errors that have occurred pre-adjustment prior to any adjustment</w:t>
      </w:r>
    </w:p>
    <w:p w14:paraId="14112EBF" w14:textId="68B6EEB0" w:rsidR="00A41F97" w:rsidRPr="002002C4" w:rsidRDefault="0031310E" w:rsidP="00D7191A">
      <w:pPr>
        <w:pStyle w:val="ListParagraph"/>
        <w:numPr>
          <w:ilvl w:val="0"/>
          <w:numId w:val="6"/>
        </w:numPr>
        <w:shd w:val="clear" w:color="auto" w:fill="FFFFFF"/>
        <w:spacing w:before="240" w:line="240" w:lineRule="auto"/>
        <w:jc w:val="both"/>
        <w:rPr>
          <w:rFonts w:ascii="Times New Roman" w:hAnsi="Times New Roman" w:cs="Times New Roman"/>
          <w:sz w:val="24"/>
          <w:szCs w:val="24"/>
        </w:rPr>
      </w:pPr>
      <w:r w:rsidRPr="002002C4">
        <w:rPr>
          <w:rFonts w:ascii="Times New Roman" w:hAnsi="Times New Roman" w:cs="Times New Roman"/>
          <w:sz w:val="24"/>
          <w:szCs w:val="24"/>
        </w:rPr>
        <w:t>Use the recommended order of adjustments</w:t>
      </w:r>
    </w:p>
    <w:p w14:paraId="0386E1BD" w14:textId="77777777" w:rsidR="00A41F97" w:rsidRPr="002002C4" w:rsidRDefault="0031310E" w:rsidP="00D7191A">
      <w:pPr>
        <w:pStyle w:val="ListParagraph"/>
        <w:numPr>
          <w:ilvl w:val="0"/>
          <w:numId w:val="6"/>
        </w:numPr>
        <w:shd w:val="clear" w:color="auto" w:fill="FFFFFF"/>
        <w:spacing w:before="240" w:line="240" w:lineRule="auto"/>
        <w:jc w:val="both"/>
        <w:rPr>
          <w:rFonts w:ascii="Times New Roman" w:hAnsi="Times New Roman" w:cs="Times New Roman"/>
          <w:sz w:val="24"/>
          <w:szCs w:val="24"/>
        </w:rPr>
      </w:pPr>
      <w:r w:rsidRPr="002002C4">
        <w:rPr>
          <w:rFonts w:ascii="Times New Roman" w:hAnsi="Times New Roman" w:cs="Times New Roman"/>
          <w:sz w:val="24"/>
          <w:szCs w:val="24"/>
        </w:rPr>
        <w:t>Once adjusted, run the whole calibration (post-adjustment check)</w:t>
      </w:r>
    </w:p>
    <w:p w14:paraId="73E500BB" w14:textId="1C69AAD6" w:rsidR="0031310E" w:rsidRPr="002002C4" w:rsidRDefault="0031310E" w:rsidP="00D7191A">
      <w:pPr>
        <w:pStyle w:val="ListParagraph"/>
        <w:numPr>
          <w:ilvl w:val="0"/>
          <w:numId w:val="6"/>
        </w:numPr>
        <w:shd w:val="clear" w:color="auto" w:fill="FFFFFF"/>
        <w:spacing w:before="240" w:line="240" w:lineRule="auto"/>
        <w:jc w:val="both"/>
        <w:rPr>
          <w:rFonts w:ascii="Times New Roman" w:hAnsi="Times New Roman" w:cs="Times New Roman"/>
          <w:sz w:val="24"/>
          <w:szCs w:val="24"/>
        </w:rPr>
      </w:pPr>
      <w:r w:rsidRPr="002002C4">
        <w:rPr>
          <w:rFonts w:ascii="Times New Roman" w:hAnsi="Times New Roman" w:cs="Times New Roman"/>
          <w:sz w:val="24"/>
          <w:szCs w:val="24"/>
        </w:rPr>
        <w:t>Do not modify devices that are beyond tolerance level but do not have authorized access</w:t>
      </w:r>
    </w:p>
    <w:p w14:paraId="0B683DFB" w14:textId="539F653E" w:rsidR="0031310E" w:rsidRPr="003049EB" w:rsidRDefault="0031310E" w:rsidP="000B190B">
      <w:pPr>
        <w:shd w:val="clear" w:color="auto" w:fill="FFFFFF"/>
        <w:spacing w:before="240" w:line="240" w:lineRule="auto"/>
        <w:jc w:val="both"/>
        <w:rPr>
          <w:rStyle w:val="cursor-pointer"/>
          <w:rFonts w:ascii="Times New Roman" w:hAnsi="Times New Roman" w:cs="Times New Roman"/>
          <w:sz w:val="24"/>
          <w:szCs w:val="24"/>
        </w:rPr>
      </w:pPr>
      <w:r w:rsidRPr="002002C4">
        <w:rPr>
          <w:rStyle w:val="cursor-pointer"/>
          <w:rFonts w:ascii="Times New Roman" w:hAnsi="Times New Roman" w:cs="Times New Roman"/>
          <w:b/>
          <w:bCs/>
          <w:sz w:val="24"/>
          <w:szCs w:val="24"/>
        </w:rPr>
        <w:t>Errors and Uncertainties Calculation</w:t>
      </w:r>
      <w:r w:rsidR="002002C4" w:rsidRPr="002002C4">
        <w:rPr>
          <w:rStyle w:val="cursor-pointer"/>
          <w:rFonts w:ascii="Times New Roman" w:hAnsi="Times New Roman" w:cs="Times New Roman"/>
          <w:b/>
          <w:bCs/>
          <w:sz w:val="24"/>
          <w:szCs w:val="24"/>
        </w:rPr>
        <w:t>:</w:t>
      </w:r>
      <w:r w:rsidRPr="003049EB">
        <w:rP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To compute the error, the error is computed as:</w:t>
      </w:r>
    </w:p>
    <w:p w14:paraId="30184183" w14:textId="2D9613EF" w:rsidR="002002C4" w:rsidRDefault="0031310E" w:rsidP="000B190B">
      <w:pPr>
        <w:shd w:val="clear" w:color="auto" w:fill="FFFFFF"/>
        <w:spacing w:before="240" w:line="240" w:lineRule="auto"/>
        <w:jc w:val="both"/>
        <w:rPr>
          <w:rFonts w:ascii="Times New Roman" w:hAnsi="Times New Roman" w:cs="Times New Roman"/>
          <w:sz w:val="24"/>
          <w:szCs w:val="24"/>
        </w:rPr>
      </w:pPr>
      <w:r w:rsidRPr="003049EB">
        <w:rPr>
          <w:rStyle w:val="cursor-pointer"/>
          <w:rFonts w:ascii="Times New Roman" w:hAnsi="Times New Roman" w:cs="Times New Roman"/>
          <w:sz w:val="24"/>
          <w:szCs w:val="24"/>
        </w:rPr>
        <w:t>Error = Indicated Value</w:t>
      </w:r>
      <w:r w:rsidR="002002C4">
        <w:rPr>
          <w:rStyle w:val="cursor-pointer"/>
          <w:rFonts w:ascii="Times New Roman" w:hAnsi="Times New Roman" w:cs="Times New Roman"/>
          <w:sz w:val="24"/>
          <w:szCs w:val="24"/>
        </w:rPr>
        <w:t xml:space="preserve"> - </w:t>
      </w:r>
      <w:r w:rsidRPr="003049EB">
        <w:rPr>
          <w:rStyle w:val="cursor-pointer"/>
          <w:rFonts w:ascii="Times New Roman" w:hAnsi="Times New Roman" w:cs="Times New Roman"/>
          <w:sz w:val="24"/>
          <w:szCs w:val="24"/>
        </w:rPr>
        <w:t>Reference Value</w:t>
      </w:r>
      <w:r w:rsidRPr="003049EB">
        <w:rPr>
          <w:rFonts w:ascii="Times New Roman" w:hAnsi="Times New Roman" w:cs="Times New Roman"/>
          <w:sz w:val="24"/>
          <w:szCs w:val="24"/>
        </w:rPr>
        <w:t xml:space="preserve"> </w:t>
      </w:r>
    </w:p>
    <w:p w14:paraId="7378A585" w14:textId="71878D64" w:rsidR="002002C4" w:rsidRDefault="0031310E" w:rsidP="000B190B">
      <w:pPr>
        <w:shd w:val="clear" w:color="auto" w:fill="FFFFFF"/>
        <w:spacing w:before="240" w:line="240" w:lineRule="auto"/>
        <w:jc w:val="both"/>
        <w:rPr>
          <w:rFonts w:ascii="Times New Roman" w:hAnsi="Times New Roman" w:cs="Times New Roman"/>
          <w:sz w:val="24"/>
          <w:szCs w:val="24"/>
        </w:rPr>
      </w:pPr>
      <w:r w:rsidRPr="003049EB">
        <w:rPr>
          <w:rStyle w:val="cursor-pointer"/>
          <w:rFonts w:ascii="Times New Roman" w:hAnsi="Times New Roman" w:cs="Times New Roman"/>
          <w:sz w:val="24"/>
          <w:szCs w:val="24"/>
        </w:rPr>
        <w:t>Correction = Reference Value</w:t>
      </w:r>
      <w:r w:rsidR="002002C4">
        <w:rPr>
          <w:rStyle w:val="cursor-pointe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 Indicated Value</w:t>
      </w:r>
    </w:p>
    <w:p w14:paraId="2FB7C6D3" w14:textId="77777777" w:rsidR="004D7425" w:rsidRDefault="0031310E" w:rsidP="000B190B">
      <w:pPr>
        <w:shd w:val="clear" w:color="auto" w:fill="FFFFFF"/>
        <w:spacing w:before="240" w:line="240" w:lineRule="auto"/>
        <w:jc w:val="both"/>
        <w:rPr>
          <w:rStyle w:val="cursor-pointer"/>
          <w:rFonts w:ascii="Times New Roman" w:hAnsi="Times New Roman" w:cs="Times New Roman"/>
          <w:sz w:val="24"/>
          <w:szCs w:val="24"/>
        </w:rPr>
      </w:pPr>
      <w:r w:rsidRPr="003049EB">
        <w:rPr>
          <w:rStyle w:val="cursor-pointer"/>
          <w:rFonts w:ascii="Times New Roman" w:hAnsi="Times New Roman" w:cs="Times New Roman"/>
          <w:sz w:val="24"/>
          <w:szCs w:val="24"/>
        </w:rPr>
        <w:t>At each point the mean error</w:t>
      </w:r>
      <w:r w:rsidR="002002C4">
        <w:rPr>
          <w:rStyle w:val="cursor-pointer"/>
          <w:rFonts w:ascii="Times New Roman" w:hAnsi="Times New Roman" w:cs="Times New Roman"/>
          <w:sz w:val="24"/>
          <w:szCs w:val="24"/>
        </w:rPr>
        <w:t xml:space="preserve">, </w:t>
      </w:r>
      <w:r w:rsidR="004D7425">
        <w:rPr>
          <w:rStyle w:val="cursor-pointer"/>
          <w:rFonts w:ascii="Times New Roman" w:hAnsi="Times New Roman" w:cs="Times New Roman"/>
          <w:sz w:val="24"/>
          <w:szCs w:val="24"/>
        </w:rPr>
        <w:t xml:space="preserve"> </w:t>
      </w:r>
    </w:p>
    <w:p w14:paraId="2BC1A588" w14:textId="072390FE" w:rsidR="002002C4" w:rsidRDefault="004D7425" w:rsidP="000B190B">
      <w:pPr>
        <w:shd w:val="clear" w:color="auto" w:fill="FFFFFF"/>
        <w:spacing w:before="240" w:line="240" w:lineRule="auto"/>
        <w:jc w:val="both"/>
        <w:rPr>
          <w:rStyle w:val="cursor-pointer"/>
          <w:rFonts w:ascii="Times New Roman" w:hAnsi="Times New Roman" w:cs="Times New Roman"/>
          <w:sz w:val="24"/>
          <w:szCs w:val="24"/>
        </w:rPr>
      </w:pPr>
      <w:r>
        <w:rPr>
          <w:rStyle w:val="cursor-pointer"/>
          <w:rFonts w:ascii="Times New Roman" w:eastAsiaTheme="minorEastAsia" w:hAnsi="Times New Roman" w:cs="Times New Roman"/>
          <w:sz w:val="24"/>
          <w:szCs w:val="24"/>
        </w:rPr>
        <w:t xml:space="preserve">                                                         </w:t>
      </w:r>
      <m:oMath>
        <m:acc>
          <m:accPr>
            <m:chr m:val="̅"/>
            <m:ctrlPr>
              <w:rPr>
                <w:rStyle w:val="cursor-pointer"/>
                <w:rFonts w:ascii="Cambria Math" w:hAnsi="Cambria Math" w:cs="Times New Roman"/>
                <w:i/>
                <w:sz w:val="24"/>
                <w:szCs w:val="24"/>
              </w:rPr>
            </m:ctrlPr>
          </m:accPr>
          <m:e>
            <m:r>
              <w:rPr>
                <w:rStyle w:val="cursor-pointer"/>
                <w:rFonts w:ascii="Cambria Math" w:hAnsi="Cambria Math" w:cs="Times New Roman"/>
                <w:sz w:val="24"/>
                <w:szCs w:val="24"/>
              </w:rPr>
              <m:t>E</m:t>
            </m:r>
          </m:e>
        </m:acc>
        <m:r>
          <w:rPr>
            <w:rStyle w:val="cursor-pointer"/>
            <w:rFonts w:ascii="Cambria Math" w:hAnsi="Cambria Math" w:cs="Times New Roman"/>
            <w:sz w:val="24"/>
            <w:szCs w:val="24"/>
          </w:rPr>
          <m:t xml:space="preserve">= </m:t>
        </m:r>
        <m:f>
          <m:fPr>
            <m:ctrlPr>
              <w:rPr>
                <w:rStyle w:val="cursor-pointer"/>
                <w:rFonts w:ascii="Cambria Math" w:hAnsi="Cambria Math" w:cs="Times New Roman"/>
                <w:i/>
                <w:sz w:val="24"/>
                <w:szCs w:val="24"/>
              </w:rPr>
            </m:ctrlPr>
          </m:fPr>
          <m:num>
            <m:r>
              <w:rPr>
                <w:rStyle w:val="cursor-pointer"/>
                <w:rFonts w:ascii="Cambria Math" w:hAnsi="Cambria Math" w:cs="Times New Roman"/>
                <w:sz w:val="24"/>
                <w:szCs w:val="24"/>
              </w:rPr>
              <m:t>1</m:t>
            </m:r>
          </m:num>
          <m:den>
            <m:r>
              <w:rPr>
                <w:rStyle w:val="cursor-pointer"/>
                <w:rFonts w:ascii="Cambria Math" w:hAnsi="Cambria Math" w:cs="Times New Roman"/>
                <w:sz w:val="24"/>
                <w:szCs w:val="24"/>
              </w:rPr>
              <m:t>n</m:t>
            </m:r>
          </m:den>
        </m:f>
        <m:r>
          <w:rPr>
            <w:rStyle w:val="cursor-pointer"/>
            <w:rFonts w:ascii="Cambria Math" w:hAnsi="Cambria Math" w:cs="Times New Roman"/>
            <w:sz w:val="24"/>
            <w:szCs w:val="24"/>
          </w:rPr>
          <m:t xml:space="preserve"> </m:t>
        </m:r>
        <m:nary>
          <m:naryPr>
            <m:chr m:val="∑"/>
            <m:limLoc m:val="undOvr"/>
            <m:ctrlPr>
              <w:rPr>
                <w:rStyle w:val="cursor-pointer"/>
                <w:rFonts w:ascii="Cambria Math" w:hAnsi="Cambria Math" w:cs="Times New Roman"/>
                <w:i/>
                <w:sz w:val="24"/>
                <w:szCs w:val="24"/>
              </w:rPr>
            </m:ctrlPr>
          </m:naryPr>
          <m:sub>
            <m:r>
              <w:rPr>
                <w:rStyle w:val="cursor-pointer"/>
                <w:rFonts w:ascii="Cambria Math" w:hAnsi="Cambria Math" w:cs="Times New Roman"/>
                <w:sz w:val="24"/>
                <w:szCs w:val="24"/>
              </w:rPr>
              <m:t>i=1</m:t>
            </m:r>
          </m:sub>
          <m:sup>
            <m:r>
              <w:rPr>
                <w:rStyle w:val="cursor-pointer"/>
                <w:rFonts w:ascii="Cambria Math" w:hAnsi="Cambria Math" w:cs="Times New Roman"/>
                <w:sz w:val="24"/>
                <w:szCs w:val="24"/>
              </w:rPr>
              <m:t>n</m:t>
            </m:r>
          </m:sup>
          <m:e>
            <m:sSub>
              <m:sSubPr>
                <m:ctrlPr>
                  <w:rPr>
                    <w:rStyle w:val="cursor-pointer"/>
                    <w:rFonts w:ascii="Cambria Math" w:hAnsi="Cambria Math" w:cs="Times New Roman"/>
                    <w:i/>
                    <w:sz w:val="24"/>
                    <w:szCs w:val="24"/>
                  </w:rPr>
                </m:ctrlPr>
              </m:sSubPr>
              <m:e>
                <m:r>
                  <w:rPr>
                    <w:rStyle w:val="cursor-pointer"/>
                    <w:rFonts w:ascii="Cambria Math" w:hAnsi="Cambria Math" w:cs="Times New Roman"/>
                    <w:sz w:val="24"/>
                    <w:szCs w:val="24"/>
                  </w:rPr>
                  <m:t>E</m:t>
                </m:r>
              </m:e>
              <m:sub>
                <m:r>
                  <w:rPr>
                    <w:rStyle w:val="cursor-pointer"/>
                    <w:rFonts w:ascii="Cambria Math" w:hAnsi="Cambria Math" w:cs="Times New Roman"/>
                    <w:sz w:val="24"/>
                    <w:szCs w:val="24"/>
                  </w:rPr>
                  <m:t>i</m:t>
                </m:r>
              </m:sub>
            </m:sSub>
          </m:e>
        </m:nary>
      </m:oMath>
    </w:p>
    <w:p w14:paraId="4A56F638" w14:textId="77777777" w:rsidR="002002C4" w:rsidRDefault="002002C4" w:rsidP="000B190B">
      <w:pPr>
        <w:shd w:val="clear" w:color="auto" w:fill="FFFFFF"/>
        <w:spacing w:before="240" w:line="240" w:lineRule="auto"/>
        <w:jc w:val="both"/>
        <w:rPr>
          <w:rStyle w:val="cursor-pointer"/>
          <w:rFonts w:ascii="Times New Roman" w:hAnsi="Times New Roman" w:cs="Times New Roman"/>
          <w:sz w:val="24"/>
          <w:szCs w:val="24"/>
        </w:rPr>
      </w:pPr>
    </w:p>
    <w:p w14:paraId="3D279E90" w14:textId="35D29D3A" w:rsidR="001376E8" w:rsidRDefault="0031310E" w:rsidP="000B190B">
      <w:pPr>
        <w:shd w:val="clear" w:color="auto" w:fill="FFFFFF"/>
        <w:spacing w:before="240" w:line="240" w:lineRule="auto"/>
        <w:jc w:val="both"/>
        <w:rPr>
          <w:rFonts w:ascii="Times New Roman" w:hAnsi="Times New Roman" w:cs="Times New Roman"/>
          <w:sz w:val="24"/>
          <w:szCs w:val="24"/>
        </w:rPr>
      </w:pPr>
      <w:r w:rsidRPr="003049EB">
        <w:rPr>
          <w:rStyle w:val="cursor-pointer"/>
          <w:rFonts w:ascii="Times New Roman" w:hAnsi="Times New Roman" w:cs="Times New Roman"/>
          <w:sz w:val="24"/>
          <w:szCs w:val="24"/>
        </w:rPr>
        <w:t>The</w:t>
      </w:r>
      <w:r w:rsidR="001376E8">
        <w:rPr>
          <w:rStyle w:val="cursor-pointe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standard deviation of the experiment (Type A uncertainty) equals</w:t>
      </w:r>
      <w:r w:rsidR="004D7425">
        <w:rPr>
          <w:rStyle w:val="cursor-pointer"/>
          <w:rFonts w:ascii="Times New Roman" w:hAnsi="Times New Roman" w:cs="Times New Roman"/>
          <w:sz w:val="24"/>
          <w:szCs w:val="24"/>
        </w:rPr>
        <w:t>,</w:t>
      </w:r>
    </w:p>
    <w:p w14:paraId="7D36CFB1" w14:textId="323F1686" w:rsidR="00D155C2" w:rsidRPr="003049EB" w:rsidRDefault="004D7425" w:rsidP="000B190B">
      <w:pPr>
        <w:shd w:val="clear" w:color="auto" w:fill="FFFFFF"/>
        <w:spacing w:before="240" w:line="240" w:lineRule="auto"/>
        <w:jc w:val="both"/>
        <w:rPr>
          <w:rFonts w:ascii="Times New Roman" w:hAnsi="Times New Roman" w:cs="Times New Roman"/>
          <w:sz w:val="24"/>
          <w:szCs w:val="24"/>
        </w:rPr>
      </w:pPr>
      <w:r>
        <w:rPr>
          <w:rStyle w:val="cursor-pointer"/>
          <w:rFonts w:ascii="Times New Roman" w:eastAsiaTheme="minorEastAsia" w:hAnsi="Times New Roman" w:cs="Times New Roman"/>
          <w:sz w:val="24"/>
          <w:szCs w:val="24"/>
        </w:rPr>
        <w:t xml:space="preserve">                                                          </w:t>
      </w:r>
      <m:oMath>
        <m:r>
          <w:rPr>
            <w:rStyle w:val="cursor-pointer"/>
            <w:rFonts w:ascii="Cambria Math" w:hAnsi="Cambria Math" w:cs="Times New Roman"/>
            <w:sz w:val="24"/>
            <w:szCs w:val="24"/>
          </w:rPr>
          <m:t xml:space="preserve">s(E)= </m:t>
        </m:r>
        <m:rad>
          <m:radPr>
            <m:degHide m:val="1"/>
            <m:ctrlPr>
              <w:rPr>
                <w:rStyle w:val="cursor-pointer"/>
                <w:rFonts w:ascii="Cambria Math" w:hAnsi="Cambria Math" w:cs="Times New Roman"/>
                <w:i/>
                <w:sz w:val="24"/>
                <w:szCs w:val="24"/>
              </w:rPr>
            </m:ctrlPr>
          </m:radPr>
          <m:deg/>
          <m:e>
            <m:f>
              <m:fPr>
                <m:ctrlPr>
                  <w:rPr>
                    <w:rStyle w:val="cursor-pointer"/>
                    <w:rFonts w:ascii="Cambria Math" w:hAnsi="Cambria Math" w:cs="Times New Roman"/>
                    <w:i/>
                    <w:sz w:val="24"/>
                    <w:szCs w:val="24"/>
                  </w:rPr>
                </m:ctrlPr>
              </m:fPr>
              <m:num>
                <m:r>
                  <w:rPr>
                    <w:rStyle w:val="cursor-pointer"/>
                    <w:rFonts w:ascii="Cambria Math" w:hAnsi="Cambria Math" w:cs="Times New Roman"/>
                    <w:sz w:val="24"/>
                    <w:szCs w:val="24"/>
                  </w:rPr>
                  <m:t>1</m:t>
                </m:r>
              </m:num>
              <m:den>
                <m:r>
                  <w:rPr>
                    <w:rStyle w:val="cursor-pointer"/>
                    <w:rFonts w:ascii="Cambria Math" w:hAnsi="Cambria Math" w:cs="Times New Roman"/>
                    <w:sz w:val="24"/>
                    <w:szCs w:val="24"/>
                  </w:rPr>
                  <m:t>n-1</m:t>
                </m:r>
              </m:den>
            </m:f>
          </m:e>
        </m:rad>
        <m:nary>
          <m:naryPr>
            <m:chr m:val="∑"/>
            <m:limLoc m:val="undOvr"/>
            <m:ctrlPr>
              <w:rPr>
                <w:rStyle w:val="cursor-pointer"/>
                <w:rFonts w:ascii="Cambria Math" w:hAnsi="Cambria Math" w:cs="Times New Roman"/>
                <w:i/>
                <w:sz w:val="24"/>
                <w:szCs w:val="24"/>
              </w:rPr>
            </m:ctrlPr>
          </m:naryPr>
          <m:sub>
            <m:r>
              <w:rPr>
                <w:rStyle w:val="cursor-pointer"/>
                <w:rFonts w:ascii="Cambria Math" w:hAnsi="Cambria Math" w:cs="Times New Roman"/>
                <w:sz w:val="24"/>
                <w:szCs w:val="24"/>
              </w:rPr>
              <m:t>i=1</m:t>
            </m:r>
          </m:sub>
          <m:sup>
            <m:r>
              <w:rPr>
                <w:rStyle w:val="cursor-pointer"/>
                <w:rFonts w:ascii="Cambria Math" w:hAnsi="Cambria Math" w:cs="Times New Roman"/>
                <w:sz w:val="24"/>
                <w:szCs w:val="24"/>
              </w:rPr>
              <m:t>n</m:t>
            </m:r>
          </m:sup>
          <m:e>
            <m:sSup>
              <m:sSupPr>
                <m:ctrlPr>
                  <w:rPr>
                    <w:rStyle w:val="cursor-pointer"/>
                    <w:rFonts w:ascii="Cambria Math" w:hAnsi="Cambria Math" w:cs="Times New Roman"/>
                    <w:i/>
                    <w:sz w:val="24"/>
                    <w:szCs w:val="24"/>
                  </w:rPr>
                </m:ctrlPr>
              </m:sSupPr>
              <m:e>
                <m:d>
                  <m:dPr>
                    <m:ctrlPr>
                      <w:rPr>
                        <w:rStyle w:val="cursor-pointer"/>
                        <w:rFonts w:ascii="Cambria Math" w:hAnsi="Cambria Math" w:cs="Times New Roman"/>
                        <w:i/>
                        <w:sz w:val="24"/>
                        <w:szCs w:val="24"/>
                      </w:rPr>
                    </m:ctrlPr>
                  </m:dPr>
                  <m:e>
                    <m:sSub>
                      <m:sSubPr>
                        <m:ctrlPr>
                          <w:rPr>
                            <w:rStyle w:val="cursor-pointer"/>
                            <w:rFonts w:ascii="Cambria Math" w:hAnsi="Cambria Math" w:cs="Times New Roman"/>
                            <w:i/>
                            <w:sz w:val="24"/>
                            <w:szCs w:val="24"/>
                          </w:rPr>
                        </m:ctrlPr>
                      </m:sSubPr>
                      <m:e>
                        <m:r>
                          <w:rPr>
                            <w:rStyle w:val="cursor-pointer"/>
                            <w:rFonts w:ascii="Cambria Math" w:hAnsi="Cambria Math" w:cs="Times New Roman"/>
                            <w:sz w:val="24"/>
                            <w:szCs w:val="24"/>
                          </w:rPr>
                          <m:t>E</m:t>
                        </m:r>
                      </m:e>
                      <m:sub>
                        <m:r>
                          <w:rPr>
                            <w:rStyle w:val="cursor-pointer"/>
                            <w:rFonts w:ascii="Cambria Math" w:hAnsi="Cambria Math" w:cs="Times New Roman"/>
                            <w:sz w:val="24"/>
                            <w:szCs w:val="24"/>
                          </w:rPr>
                          <m:t>i</m:t>
                        </m:r>
                      </m:sub>
                    </m:sSub>
                    <m:r>
                      <w:rPr>
                        <w:rStyle w:val="cursor-pointer"/>
                        <w:rFonts w:ascii="Cambria Math" w:hAnsi="Cambria Math" w:cs="Times New Roman"/>
                        <w:sz w:val="24"/>
                        <w:szCs w:val="24"/>
                      </w:rPr>
                      <m:t>-</m:t>
                    </m:r>
                    <m:acc>
                      <m:accPr>
                        <m:chr m:val="̅"/>
                        <m:ctrlPr>
                          <w:rPr>
                            <w:rStyle w:val="cursor-pointer"/>
                            <w:rFonts w:ascii="Cambria Math" w:hAnsi="Cambria Math" w:cs="Times New Roman"/>
                            <w:i/>
                            <w:sz w:val="24"/>
                            <w:szCs w:val="24"/>
                          </w:rPr>
                        </m:ctrlPr>
                      </m:accPr>
                      <m:e>
                        <m:r>
                          <w:rPr>
                            <w:rStyle w:val="cursor-pointer"/>
                            <w:rFonts w:ascii="Cambria Math" w:hAnsi="Cambria Math" w:cs="Times New Roman"/>
                            <w:sz w:val="24"/>
                            <w:szCs w:val="24"/>
                          </w:rPr>
                          <m:t>E</m:t>
                        </m:r>
                      </m:e>
                    </m:acc>
                  </m:e>
                </m:d>
              </m:e>
              <m:sup>
                <m:r>
                  <w:rPr>
                    <w:rStyle w:val="cursor-pointer"/>
                    <w:rFonts w:ascii="Cambria Math" w:hAnsi="Cambria Math" w:cs="Times New Roman"/>
                    <w:sz w:val="24"/>
                    <w:szCs w:val="24"/>
                  </w:rPr>
                  <m:t>2</m:t>
                </m:r>
              </m:sup>
            </m:sSup>
          </m:e>
        </m:nary>
      </m:oMath>
    </w:p>
    <w:p w14:paraId="1844EAD0" w14:textId="77777777" w:rsidR="00511C32" w:rsidRDefault="00511C32" w:rsidP="000B190B">
      <w:pPr>
        <w:shd w:val="clear" w:color="auto" w:fill="FFFFFF"/>
        <w:spacing w:before="240" w:line="240" w:lineRule="auto"/>
        <w:jc w:val="both"/>
        <w:rPr>
          <w:rFonts w:ascii="Times New Roman" w:hAnsi="Times New Roman" w:cs="Times New Roman"/>
          <w:b/>
          <w:bCs/>
          <w:sz w:val="24"/>
          <w:szCs w:val="24"/>
        </w:rPr>
      </w:pPr>
    </w:p>
    <w:p w14:paraId="41A048C7" w14:textId="719FBDE5" w:rsidR="0031310E" w:rsidRPr="00D155C2" w:rsidRDefault="0031310E" w:rsidP="000B190B">
      <w:pPr>
        <w:shd w:val="clear" w:color="auto" w:fill="FFFFFF"/>
        <w:spacing w:before="240" w:line="240" w:lineRule="auto"/>
        <w:jc w:val="both"/>
        <w:rPr>
          <w:rFonts w:ascii="Times New Roman" w:hAnsi="Times New Roman" w:cs="Times New Roman"/>
          <w:b/>
          <w:bCs/>
          <w:sz w:val="24"/>
          <w:szCs w:val="24"/>
        </w:rPr>
      </w:pPr>
      <w:r w:rsidRPr="00D155C2">
        <w:rPr>
          <w:rFonts w:ascii="Times New Roman" w:hAnsi="Times New Roman" w:cs="Times New Roman"/>
          <w:b/>
          <w:bCs/>
          <w:sz w:val="24"/>
          <w:szCs w:val="24"/>
        </w:rPr>
        <w:lastRenderedPageBreak/>
        <w:t xml:space="preserve">Post-Calibration Procedures </w:t>
      </w:r>
    </w:p>
    <w:p w14:paraId="06F10333" w14:textId="77777777" w:rsidR="00D155C2" w:rsidRDefault="0031310E" w:rsidP="000B190B">
      <w:pPr>
        <w:shd w:val="clear" w:color="auto" w:fill="FFFFFF"/>
        <w:spacing w:before="240" w:line="240" w:lineRule="auto"/>
        <w:jc w:val="both"/>
        <w:rPr>
          <w:rFonts w:ascii="Times New Roman" w:hAnsi="Times New Roman" w:cs="Times New Roman"/>
          <w:sz w:val="24"/>
          <w:szCs w:val="24"/>
        </w:rPr>
      </w:pPr>
      <w:r w:rsidRPr="00D155C2">
        <w:rPr>
          <w:rStyle w:val="cursor-pointer"/>
          <w:rFonts w:ascii="Times New Roman" w:hAnsi="Times New Roman" w:cs="Times New Roman"/>
          <w:b/>
          <w:bCs/>
          <w:sz w:val="24"/>
          <w:szCs w:val="24"/>
        </w:rPr>
        <w:t>Documentation and Certificate Generation</w:t>
      </w:r>
      <w:r w:rsidR="00D155C2">
        <w:rPr>
          <w:rStyle w:val="cursor-pointer"/>
          <w:rFonts w:ascii="Times New Roman" w:hAnsi="Times New Roman" w:cs="Times New Roman"/>
          <w:b/>
          <w:bCs/>
          <w:sz w:val="24"/>
          <w:szCs w:val="24"/>
        </w:rPr>
        <w:t>:</w:t>
      </w:r>
      <w:r w:rsidRPr="00D155C2">
        <w:rPr>
          <w:rStyle w:val="cursor-pointer"/>
        </w:rPr>
        <w:t xml:space="preserve"> </w:t>
      </w:r>
      <w:r w:rsidRPr="003049EB">
        <w:rPr>
          <w:rStyle w:val="cursor-pointer"/>
          <w:rFonts w:ascii="Times New Roman" w:hAnsi="Times New Roman" w:cs="Times New Roman"/>
          <w:sz w:val="24"/>
          <w:szCs w:val="24"/>
        </w:rPr>
        <w:t>The results of the calibration are immediate:</w:t>
      </w:r>
      <w:r w:rsidRPr="003049EB">
        <w:rPr>
          <w:rFonts w:ascii="Times New Roman" w:hAnsi="Times New Roman" w:cs="Times New Roman"/>
          <w:sz w:val="24"/>
          <w:szCs w:val="24"/>
        </w:rPr>
        <w:t xml:space="preserve"> </w:t>
      </w:r>
    </w:p>
    <w:p w14:paraId="16A58305" w14:textId="552C20EA" w:rsidR="00D155C2" w:rsidRPr="00D155C2" w:rsidRDefault="0031310E" w:rsidP="00D7191A">
      <w:pPr>
        <w:pStyle w:val="ListParagraph"/>
        <w:numPr>
          <w:ilvl w:val="1"/>
          <w:numId w:val="7"/>
        </w:numPr>
        <w:shd w:val="clear" w:color="auto" w:fill="FFFFFF"/>
        <w:spacing w:before="240" w:line="240" w:lineRule="auto"/>
        <w:jc w:val="both"/>
        <w:rPr>
          <w:rFonts w:ascii="Times New Roman" w:hAnsi="Times New Roman" w:cs="Times New Roman"/>
          <w:sz w:val="24"/>
          <w:szCs w:val="24"/>
        </w:rPr>
      </w:pPr>
      <w:r w:rsidRPr="00D155C2">
        <w:rPr>
          <w:rStyle w:val="cursor-pointer"/>
          <w:rFonts w:ascii="Times New Roman" w:hAnsi="Times New Roman" w:cs="Times New Roman"/>
          <w:sz w:val="24"/>
          <w:szCs w:val="24"/>
        </w:rPr>
        <w:t>Raw data worksheet (sign and date by the technician)</w:t>
      </w:r>
      <w:r w:rsidRPr="00D155C2">
        <w:rPr>
          <w:rFonts w:ascii="Times New Roman" w:hAnsi="Times New Roman" w:cs="Times New Roman"/>
          <w:sz w:val="24"/>
          <w:szCs w:val="24"/>
        </w:rPr>
        <w:t xml:space="preserve"> </w:t>
      </w:r>
    </w:p>
    <w:p w14:paraId="269A9B31" w14:textId="50F5D300" w:rsidR="00D155C2" w:rsidRPr="00D155C2" w:rsidRDefault="0031310E" w:rsidP="00D7191A">
      <w:pPr>
        <w:pStyle w:val="ListParagraph"/>
        <w:numPr>
          <w:ilvl w:val="1"/>
          <w:numId w:val="7"/>
        </w:numPr>
        <w:shd w:val="clear" w:color="auto" w:fill="FFFFFF"/>
        <w:spacing w:before="240" w:line="240" w:lineRule="auto"/>
        <w:jc w:val="both"/>
        <w:rPr>
          <w:rFonts w:ascii="Times New Roman" w:hAnsi="Times New Roman" w:cs="Times New Roman"/>
          <w:sz w:val="24"/>
          <w:szCs w:val="24"/>
        </w:rPr>
      </w:pPr>
      <w:r w:rsidRPr="00D155C2">
        <w:rPr>
          <w:rStyle w:val="cursor-pointer"/>
          <w:rFonts w:ascii="Times New Roman" w:hAnsi="Times New Roman" w:cs="Times New Roman"/>
          <w:sz w:val="24"/>
          <w:szCs w:val="24"/>
        </w:rPr>
        <w:t>Calibration certificate (in accordance with ILAC P14 requirements [17])</w:t>
      </w:r>
      <w:r w:rsidRPr="00D155C2">
        <w:rPr>
          <w:rFonts w:ascii="Times New Roman" w:hAnsi="Times New Roman" w:cs="Times New Roman"/>
          <w:sz w:val="24"/>
          <w:szCs w:val="24"/>
        </w:rPr>
        <w:t xml:space="preserve"> </w:t>
      </w:r>
    </w:p>
    <w:p w14:paraId="1FE3BBE1" w14:textId="094C1302" w:rsidR="0031310E" w:rsidRPr="00D155C2" w:rsidRDefault="0031310E" w:rsidP="00D7191A">
      <w:pPr>
        <w:pStyle w:val="ListParagraph"/>
        <w:numPr>
          <w:ilvl w:val="1"/>
          <w:numId w:val="7"/>
        </w:numPr>
        <w:shd w:val="clear" w:color="auto" w:fill="FFFFFF"/>
        <w:spacing w:before="240" w:line="240" w:lineRule="auto"/>
        <w:jc w:val="both"/>
        <w:rPr>
          <w:rFonts w:ascii="Times New Roman" w:hAnsi="Times New Roman" w:cs="Times New Roman"/>
          <w:sz w:val="24"/>
          <w:szCs w:val="24"/>
        </w:rPr>
      </w:pPr>
      <w:r w:rsidRPr="00D155C2">
        <w:rPr>
          <w:rStyle w:val="cursor-pointer"/>
          <w:rFonts w:ascii="Times New Roman" w:hAnsi="Times New Roman" w:cs="Times New Roman"/>
          <w:sz w:val="24"/>
          <w:szCs w:val="24"/>
        </w:rPr>
        <w:t>Calibration label (with date due, technician ID, certificate number)</w:t>
      </w:r>
      <w:r w:rsidRPr="00D155C2">
        <w:rPr>
          <w:rFonts w:ascii="Times New Roman" w:hAnsi="Times New Roman" w:cs="Times New Roman"/>
          <w:sz w:val="24"/>
          <w:szCs w:val="24"/>
        </w:rPr>
        <w:t xml:space="preserve"> </w:t>
      </w:r>
    </w:p>
    <w:p w14:paraId="60520E18" w14:textId="22F069A1" w:rsidR="0031310E" w:rsidRPr="003049EB" w:rsidRDefault="0031310E" w:rsidP="000B190B">
      <w:pPr>
        <w:shd w:val="clear" w:color="auto" w:fill="FFFFFF"/>
        <w:spacing w:before="240" w:line="240" w:lineRule="auto"/>
        <w:jc w:val="both"/>
        <w:rPr>
          <w:rFonts w:ascii="Times New Roman" w:hAnsi="Times New Roman" w:cs="Times New Roman"/>
          <w:sz w:val="24"/>
          <w:szCs w:val="24"/>
        </w:rPr>
      </w:pPr>
      <w:r w:rsidRPr="00D155C2">
        <w:rPr>
          <w:rFonts w:ascii="Times New Roman" w:hAnsi="Times New Roman" w:cs="Times New Roman"/>
          <w:b/>
          <w:bCs/>
          <w:sz w:val="24"/>
          <w:szCs w:val="24"/>
        </w:rPr>
        <w:t>Post-Calibration Verification</w:t>
      </w:r>
      <w:r w:rsidR="00D155C2">
        <w:rP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The adjusted devices are checked in a post-calibration check: a single measurement at a previously calibrated point is repeated after 30 minutes of operation.</w:t>
      </w:r>
      <w:r w:rsidRPr="003049EB">
        <w:rP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The outcome should concur in the published measurement uncertainty.</w:t>
      </w:r>
      <w:r w:rsidRPr="003049EB">
        <w:rPr>
          <w:rFonts w:ascii="Times New Roman" w:hAnsi="Times New Roman" w:cs="Times New Roman"/>
          <w:sz w:val="24"/>
          <w:szCs w:val="24"/>
        </w:rPr>
        <w:t xml:space="preserve"> </w:t>
      </w:r>
    </w:p>
    <w:p w14:paraId="739B0A5F" w14:textId="7EBFC05D" w:rsidR="00511C32" w:rsidRDefault="0031310E" w:rsidP="000B190B">
      <w:pPr>
        <w:shd w:val="clear" w:color="auto" w:fill="FFFFFF"/>
        <w:spacing w:before="240" w:line="240" w:lineRule="auto"/>
        <w:jc w:val="both"/>
        <w:rPr>
          <w:rStyle w:val="cursor-pointer"/>
          <w:rFonts w:ascii="Times New Roman" w:hAnsi="Times New Roman" w:cs="Times New Roman"/>
          <w:sz w:val="24"/>
          <w:szCs w:val="24"/>
        </w:rPr>
      </w:pPr>
      <w:r w:rsidRPr="002B72FB">
        <w:rPr>
          <w:rFonts w:ascii="Times New Roman" w:hAnsi="Times New Roman" w:cs="Times New Roman"/>
          <w:b/>
          <w:bCs/>
          <w:sz w:val="24"/>
          <w:szCs w:val="24"/>
        </w:rPr>
        <w:t>Labeling and Return</w:t>
      </w:r>
      <w:r w:rsidR="002B72FB">
        <w:rPr>
          <w:rStyle w:val="cursor-pointer"/>
        </w:rPr>
        <w:t>:</w:t>
      </w:r>
      <w:r w:rsidRPr="002B72FB">
        <w:rPr>
          <w:rStyle w:val="cursor-pointer"/>
        </w:rPr>
        <w:t xml:space="preserve"> </w:t>
      </w:r>
      <w:r w:rsidRPr="003049EB">
        <w:rPr>
          <w:rStyle w:val="cursor-pointer"/>
          <w:rFonts w:ascii="Times New Roman" w:hAnsi="Times New Roman" w:cs="Times New Roman"/>
          <w:sz w:val="24"/>
          <w:szCs w:val="24"/>
        </w:rPr>
        <w:t>The device is calibrated by attaching a calibration label in a non-interfering area, and then cleaned, packed and sent back to the customer with the certificate.</w:t>
      </w:r>
    </w:p>
    <w:p w14:paraId="4E29008E" w14:textId="1D439949" w:rsidR="002B72FB" w:rsidRDefault="00511C32" w:rsidP="000B190B">
      <w:pPr>
        <w:shd w:val="clear" w:color="auto" w:fill="FFFFFF"/>
        <w:spacing w:before="240" w:line="240" w:lineRule="auto"/>
        <w:jc w:val="both"/>
        <w:rPr>
          <w:rStyle w:val="cursor-pointer"/>
          <w:rFonts w:ascii="Times New Roman" w:hAnsi="Times New Roman" w:cs="Times New Roman"/>
          <w:sz w:val="24"/>
          <w:szCs w:val="24"/>
        </w:rPr>
      </w:pPr>
      <w:r w:rsidRPr="003049EB">
        <w:rPr>
          <w:rFonts w:ascii="Times New Roman" w:hAnsi="Times New Roman" w:cs="Times New Roman"/>
          <w:noProof/>
          <w:sz w:val="24"/>
          <w:szCs w:val="24"/>
        </w:rPr>
        <w:drawing>
          <wp:inline distT="0" distB="0" distL="0" distR="0" wp14:anchorId="3DE1B633" wp14:editId="6600BDAE">
            <wp:extent cx="6753223" cy="4986068"/>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87610" cy="5011457"/>
                    </a:xfrm>
                    <a:prstGeom prst="rect">
                      <a:avLst/>
                    </a:prstGeom>
                    <a:noFill/>
                    <a:ln>
                      <a:noFill/>
                    </a:ln>
                  </pic:spPr>
                </pic:pic>
              </a:graphicData>
            </a:graphic>
          </wp:inline>
        </w:drawing>
      </w:r>
    </w:p>
    <w:p w14:paraId="49E08199" w14:textId="455C55C5" w:rsidR="000E08E0" w:rsidRPr="00B347AC" w:rsidRDefault="000E08E0" w:rsidP="00511C32">
      <w:pPr>
        <w:shd w:val="clear" w:color="auto" w:fill="FFFFFF"/>
        <w:spacing w:before="240" w:line="240" w:lineRule="auto"/>
        <w:jc w:val="both"/>
        <w:rPr>
          <w:rFonts w:ascii="Times New Roman" w:hAnsi="Times New Roman" w:cs="Times New Roman"/>
          <w:sz w:val="24"/>
          <w:szCs w:val="24"/>
        </w:rPr>
      </w:pPr>
      <w:r w:rsidRPr="003049EB">
        <w:rPr>
          <w:rStyle w:val="cursor-pointer"/>
          <w:rFonts w:ascii="Times New Roman" w:hAnsi="Times New Roman" w:cs="Times New Roman"/>
          <w:sz w:val="24"/>
          <w:szCs w:val="24"/>
        </w:rPr>
        <w:t>Figure 3: Complete calibration workflow for Biomedical Equipment</w:t>
      </w:r>
    </w:p>
    <w:p w14:paraId="438F2E55" w14:textId="321E2D15" w:rsidR="00B347AC" w:rsidRPr="00B347AC" w:rsidRDefault="002B72FB" w:rsidP="000B190B">
      <w:pPr>
        <w:shd w:val="clear" w:color="auto" w:fill="FFFFFF"/>
        <w:spacing w:before="240" w:line="240" w:lineRule="auto"/>
        <w:jc w:val="both"/>
        <w:outlineLvl w:val="1"/>
        <w:rPr>
          <w:rFonts w:ascii="Times New Roman" w:eastAsia="Times New Roman" w:hAnsi="Times New Roman" w:cs="Times New Roman"/>
          <w:b/>
          <w:bCs/>
          <w:color w:val="0F1115"/>
          <w:sz w:val="28"/>
          <w:szCs w:val="28"/>
        </w:rPr>
      </w:pPr>
      <w:r w:rsidRPr="002B72FB">
        <w:rPr>
          <w:rFonts w:ascii="Times New Roman" w:eastAsia="Times New Roman" w:hAnsi="Times New Roman" w:cs="Times New Roman"/>
          <w:b/>
          <w:bCs/>
          <w:color w:val="0F1115"/>
          <w:sz w:val="28"/>
          <w:szCs w:val="28"/>
        </w:rPr>
        <w:t>MEASUREMENT UNCERTAINTY</w:t>
      </w:r>
    </w:p>
    <w:p w14:paraId="4851B154" w14:textId="77777777" w:rsidR="00EF3BA1" w:rsidRDefault="0031310E" w:rsidP="000B190B">
      <w:pPr>
        <w:shd w:val="clear" w:color="auto" w:fill="FFFFFF"/>
        <w:spacing w:before="240" w:line="240" w:lineRule="auto"/>
        <w:jc w:val="both"/>
        <w:rPr>
          <w:rFonts w:ascii="Times New Roman" w:hAnsi="Times New Roman" w:cs="Times New Roman"/>
          <w:sz w:val="24"/>
          <w:szCs w:val="24"/>
        </w:rPr>
      </w:pPr>
      <w:r w:rsidRPr="003049EB">
        <w:rPr>
          <w:rStyle w:val="cursor-pointer"/>
          <w:rFonts w:ascii="Times New Roman" w:hAnsi="Times New Roman" w:cs="Times New Roman"/>
          <w:sz w:val="24"/>
          <w:szCs w:val="24"/>
        </w:rPr>
        <w:t>Measurement uncertainty is a value that quantifies uncertainty with regard to the result.</w:t>
      </w:r>
      <w:r w:rsidRPr="003049EB">
        <w:rP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According to ISO/IEC 17025, the laboratories are required to assess the uncertainty of all the calibrations where applicable and the uncertainty in relation to the conformity to specifications [1].</w:t>
      </w:r>
      <w:r w:rsidRPr="003049EB">
        <w:rP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The internationally recognized framework [24] is provided by the Guide to the Expression of Uncertainty in Measurement (GUM).</w:t>
      </w:r>
      <w:r w:rsidRPr="003049EB">
        <w:rP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Table 3 is a detailed uncertainty budget template to use in biomedical calibration.</w:t>
      </w:r>
      <w:r w:rsidRPr="003049EB">
        <w:rPr>
          <w:rFonts w:ascii="Times New Roman" w:hAnsi="Times New Roman" w:cs="Times New Roman"/>
          <w:sz w:val="24"/>
          <w:szCs w:val="24"/>
        </w:rPr>
        <w:t xml:space="preserve"> </w:t>
      </w:r>
    </w:p>
    <w:p w14:paraId="4DF90B49" w14:textId="68E22FD3" w:rsidR="00B347AC" w:rsidRPr="00B347AC" w:rsidRDefault="0031310E" w:rsidP="000B190B">
      <w:pPr>
        <w:shd w:val="clear" w:color="auto" w:fill="FFFFFF"/>
        <w:spacing w:before="240" w:line="240" w:lineRule="auto"/>
        <w:jc w:val="both"/>
        <w:rPr>
          <w:rFonts w:ascii="Times New Roman" w:hAnsi="Times New Roman" w:cs="Times New Roman"/>
          <w:sz w:val="24"/>
          <w:szCs w:val="24"/>
        </w:rPr>
      </w:pPr>
      <w:r w:rsidRPr="003049EB">
        <w:rPr>
          <w:rStyle w:val="cursor-pointer"/>
          <w:rFonts w:ascii="Times New Roman" w:hAnsi="Times New Roman" w:cs="Times New Roman"/>
          <w:sz w:val="24"/>
          <w:szCs w:val="24"/>
        </w:rPr>
        <w:lastRenderedPageBreak/>
        <w:t>Table 3: Typical Measurement Uncertainty Budget of Biomedical Calibration (Example- Infusion Pump at 100 mL/h)</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1620"/>
        <w:gridCol w:w="900"/>
        <w:gridCol w:w="1080"/>
        <w:gridCol w:w="1710"/>
        <w:gridCol w:w="1080"/>
        <w:gridCol w:w="1530"/>
        <w:gridCol w:w="1440"/>
        <w:gridCol w:w="1170"/>
      </w:tblGrid>
      <w:tr w:rsidR="002B72FB" w:rsidRPr="00B347AC" w14:paraId="6DF211AA" w14:textId="77777777" w:rsidTr="00511C32">
        <w:trPr>
          <w:cantSplit/>
          <w:trHeight w:val="1551"/>
          <w:tblHeader/>
        </w:trPr>
        <w:tc>
          <w:tcPr>
            <w:tcW w:w="1620" w:type="dxa"/>
            <w:tcBorders>
              <w:top w:val="nil"/>
            </w:tcBorders>
            <w:tcMar>
              <w:top w:w="150" w:type="dxa"/>
              <w:left w:w="0" w:type="dxa"/>
              <w:bottom w:w="150" w:type="dxa"/>
              <w:right w:w="240" w:type="dxa"/>
            </w:tcMar>
            <w:textDirection w:val="btLr"/>
            <w:vAlign w:val="center"/>
            <w:hideMark/>
          </w:tcPr>
          <w:p w14:paraId="6632DEC9" w14:textId="77777777" w:rsidR="00B347AC" w:rsidRPr="00B347AC" w:rsidRDefault="00B347AC" w:rsidP="00511C32">
            <w:pPr>
              <w:spacing w:after="0" w:line="240" w:lineRule="auto"/>
              <w:ind w:left="180" w:right="113"/>
              <w:jc w:val="center"/>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Uncertainty Source</w:t>
            </w:r>
          </w:p>
        </w:tc>
        <w:tc>
          <w:tcPr>
            <w:tcW w:w="900" w:type="dxa"/>
            <w:tcBorders>
              <w:top w:val="nil"/>
            </w:tcBorders>
            <w:tcMar>
              <w:top w:w="150" w:type="dxa"/>
              <w:left w:w="240" w:type="dxa"/>
              <w:bottom w:w="150" w:type="dxa"/>
              <w:right w:w="240" w:type="dxa"/>
            </w:tcMar>
            <w:textDirection w:val="btLr"/>
            <w:vAlign w:val="center"/>
            <w:hideMark/>
          </w:tcPr>
          <w:p w14:paraId="4899BB1B" w14:textId="77777777" w:rsidR="00B347AC" w:rsidRPr="00B347AC" w:rsidRDefault="00B347AC" w:rsidP="00511C32">
            <w:pPr>
              <w:spacing w:after="0" w:line="240" w:lineRule="auto"/>
              <w:ind w:left="180" w:right="113"/>
              <w:jc w:val="center"/>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Type</w:t>
            </w:r>
          </w:p>
        </w:tc>
        <w:tc>
          <w:tcPr>
            <w:tcW w:w="1080" w:type="dxa"/>
            <w:tcBorders>
              <w:top w:val="nil"/>
            </w:tcBorders>
            <w:tcMar>
              <w:top w:w="150" w:type="dxa"/>
              <w:left w:w="240" w:type="dxa"/>
              <w:bottom w:w="150" w:type="dxa"/>
              <w:right w:w="240" w:type="dxa"/>
            </w:tcMar>
            <w:textDirection w:val="btLr"/>
            <w:vAlign w:val="center"/>
            <w:hideMark/>
          </w:tcPr>
          <w:p w14:paraId="4CABDED6" w14:textId="77777777" w:rsidR="00B347AC" w:rsidRPr="00B347AC" w:rsidRDefault="00B347AC" w:rsidP="00511C32">
            <w:pPr>
              <w:spacing w:after="0" w:line="240" w:lineRule="auto"/>
              <w:ind w:left="180" w:right="113"/>
              <w:jc w:val="center"/>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Value (±)</w:t>
            </w:r>
          </w:p>
        </w:tc>
        <w:tc>
          <w:tcPr>
            <w:tcW w:w="1710" w:type="dxa"/>
            <w:tcBorders>
              <w:top w:val="nil"/>
            </w:tcBorders>
            <w:tcMar>
              <w:top w:w="150" w:type="dxa"/>
              <w:left w:w="240" w:type="dxa"/>
              <w:bottom w:w="150" w:type="dxa"/>
              <w:right w:w="240" w:type="dxa"/>
            </w:tcMar>
            <w:textDirection w:val="btLr"/>
            <w:vAlign w:val="center"/>
            <w:hideMark/>
          </w:tcPr>
          <w:p w14:paraId="7890A463" w14:textId="77777777" w:rsidR="00B347AC" w:rsidRPr="00B347AC" w:rsidRDefault="00B347AC" w:rsidP="00511C32">
            <w:pPr>
              <w:spacing w:after="0" w:line="240" w:lineRule="auto"/>
              <w:ind w:left="180" w:right="113"/>
              <w:jc w:val="center"/>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Probability Distribution</w:t>
            </w:r>
          </w:p>
        </w:tc>
        <w:tc>
          <w:tcPr>
            <w:tcW w:w="1080" w:type="dxa"/>
            <w:tcBorders>
              <w:top w:val="nil"/>
            </w:tcBorders>
            <w:tcMar>
              <w:top w:w="150" w:type="dxa"/>
              <w:left w:w="240" w:type="dxa"/>
              <w:bottom w:w="150" w:type="dxa"/>
              <w:right w:w="240" w:type="dxa"/>
            </w:tcMar>
            <w:textDirection w:val="btLr"/>
            <w:vAlign w:val="center"/>
            <w:hideMark/>
          </w:tcPr>
          <w:p w14:paraId="5FFF5257" w14:textId="77777777" w:rsidR="00B347AC" w:rsidRPr="00B347AC" w:rsidRDefault="00B347AC" w:rsidP="00511C32">
            <w:pPr>
              <w:spacing w:after="0" w:line="240" w:lineRule="auto"/>
              <w:ind w:left="180" w:right="113"/>
              <w:jc w:val="center"/>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Divisor</w:t>
            </w:r>
          </w:p>
        </w:tc>
        <w:tc>
          <w:tcPr>
            <w:tcW w:w="1530" w:type="dxa"/>
            <w:tcBorders>
              <w:top w:val="nil"/>
            </w:tcBorders>
            <w:tcMar>
              <w:top w:w="150" w:type="dxa"/>
              <w:left w:w="240" w:type="dxa"/>
              <w:bottom w:w="150" w:type="dxa"/>
              <w:right w:w="240" w:type="dxa"/>
            </w:tcMar>
            <w:textDirection w:val="btLr"/>
            <w:vAlign w:val="center"/>
            <w:hideMark/>
          </w:tcPr>
          <w:p w14:paraId="6106AE7E" w14:textId="77777777" w:rsidR="00B347AC" w:rsidRPr="00B347AC" w:rsidRDefault="00B347AC" w:rsidP="00511C32">
            <w:pPr>
              <w:spacing w:after="0" w:line="240" w:lineRule="auto"/>
              <w:ind w:left="180" w:right="113"/>
              <w:jc w:val="center"/>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Standard Uncertainty (mL/h)</w:t>
            </w:r>
          </w:p>
        </w:tc>
        <w:tc>
          <w:tcPr>
            <w:tcW w:w="1440" w:type="dxa"/>
            <w:tcBorders>
              <w:top w:val="nil"/>
            </w:tcBorders>
            <w:tcMar>
              <w:top w:w="150" w:type="dxa"/>
              <w:left w:w="240" w:type="dxa"/>
              <w:bottom w:w="150" w:type="dxa"/>
              <w:right w:w="240" w:type="dxa"/>
            </w:tcMar>
            <w:textDirection w:val="btLr"/>
            <w:vAlign w:val="center"/>
            <w:hideMark/>
          </w:tcPr>
          <w:p w14:paraId="5860FE46" w14:textId="77777777" w:rsidR="00B347AC" w:rsidRPr="00B347AC" w:rsidRDefault="00B347AC" w:rsidP="00511C32">
            <w:pPr>
              <w:spacing w:after="0" w:line="240" w:lineRule="auto"/>
              <w:ind w:left="180" w:right="113"/>
              <w:jc w:val="center"/>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Sensitivity Coefficient</w:t>
            </w:r>
          </w:p>
        </w:tc>
        <w:tc>
          <w:tcPr>
            <w:tcW w:w="1170" w:type="dxa"/>
            <w:tcBorders>
              <w:top w:val="nil"/>
            </w:tcBorders>
            <w:tcMar>
              <w:top w:w="150" w:type="dxa"/>
              <w:left w:w="240" w:type="dxa"/>
              <w:bottom w:w="150" w:type="dxa"/>
              <w:right w:w="240" w:type="dxa"/>
            </w:tcMar>
            <w:textDirection w:val="btLr"/>
            <w:vAlign w:val="center"/>
            <w:hideMark/>
          </w:tcPr>
          <w:p w14:paraId="1C07AFDA" w14:textId="77777777" w:rsidR="00B347AC" w:rsidRPr="00B347AC" w:rsidRDefault="00B347AC" w:rsidP="00511C32">
            <w:pPr>
              <w:spacing w:after="0" w:line="240" w:lineRule="auto"/>
              <w:ind w:left="113" w:right="113"/>
              <w:jc w:val="center"/>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Contribution (mL/h)</w:t>
            </w:r>
          </w:p>
        </w:tc>
      </w:tr>
      <w:tr w:rsidR="002B72FB" w:rsidRPr="00B347AC" w14:paraId="6675A577" w14:textId="77777777" w:rsidTr="00511C32">
        <w:tc>
          <w:tcPr>
            <w:tcW w:w="1620" w:type="dxa"/>
            <w:tcMar>
              <w:top w:w="150" w:type="dxa"/>
              <w:left w:w="0" w:type="dxa"/>
              <w:bottom w:w="150" w:type="dxa"/>
              <w:right w:w="240" w:type="dxa"/>
            </w:tcMar>
            <w:vAlign w:val="center"/>
            <w:hideMark/>
          </w:tcPr>
          <w:p w14:paraId="7A9C8DEE" w14:textId="77777777" w:rsidR="00B347AC" w:rsidRPr="00B347AC" w:rsidRDefault="00B347AC" w:rsidP="00511C32">
            <w:pPr>
              <w:spacing w:after="0" w:line="240" w:lineRule="auto"/>
              <w:ind w:left="180"/>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Reference standard</w:t>
            </w:r>
          </w:p>
        </w:tc>
        <w:tc>
          <w:tcPr>
            <w:tcW w:w="900" w:type="dxa"/>
            <w:tcMar>
              <w:top w:w="150" w:type="dxa"/>
              <w:left w:w="240" w:type="dxa"/>
              <w:bottom w:w="150" w:type="dxa"/>
              <w:right w:w="240" w:type="dxa"/>
            </w:tcMar>
            <w:vAlign w:val="center"/>
            <w:hideMark/>
          </w:tcPr>
          <w:p w14:paraId="62FDE84F" w14:textId="77777777" w:rsidR="00B347AC" w:rsidRPr="00B347AC" w:rsidRDefault="00B347AC" w:rsidP="00511C32">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B</w:t>
            </w:r>
          </w:p>
        </w:tc>
        <w:tc>
          <w:tcPr>
            <w:tcW w:w="1080" w:type="dxa"/>
            <w:tcMar>
              <w:top w:w="150" w:type="dxa"/>
              <w:left w:w="240" w:type="dxa"/>
              <w:bottom w:w="150" w:type="dxa"/>
              <w:right w:w="240" w:type="dxa"/>
            </w:tcMar>
            <w:vAlign w:val="center"/>
            <w:hideMark/>
          </w:tcPr>
          <w:p w14:paraId="41C5FA7D" w14:textId="77777777" w:rsidR="00B347AC" w:rsidRPr="00B347AC" w:rsidRDefault="00B347AC" w:rsidP="00511C32">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0.30 mL/h</w:t>
            </w:r>
          </w:p>
        </w:tc>
        <w:tc>
          <w:tcPr>
            <w:tcW w:w="1710" w:type="dxa"/>
            <w:tcMar>
              <w:top w:w="150" w:type="dxa"/>
              <w:left w:w="240" w:type="dxa"/>
              <w:bottom w:w="150" w:type="dxa"/>
              <w:right w:w="240" w:type="dxa"/>
            </w:tcMar>
            <w:vAlign w:val="center"/>
            <w:hideMark/>
          </w:tcPr>
          <w:p w14:paraId="63275471" w14:textId="77777777" w:rsidR="00B347AC" w:rsidRPr="00B347AC" w:rsidRDefault="00B347AC" w:rsidP="00511C32">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Normal</w:t>
            </w:r>
          </w:p>
        </w:tc>
        <w:tc>
          <w:tcPr>
            <w:tcW w:w="1080" w:type="dxa"/>
            <w:tcMar>
              <w:top w:w="150" w:type="dxa"/>
              <w:left w:w="240" w:type="dxa"/>
              <w:bottom w:w="150" w:type="dxa"/>
              <w:right w:w="240" w:type="dxa"/>
            </w:tcMar>
            <w:vAlign w:val="center"/>
            <w:hideMark/>
          </w:tcPr>
          <w:p w14:paraId="76DF5461" w14:textId="77777777" w:rsidR="00B347AC" w:rsidRPr="00B347AC" w:rsidRDefault="00B347AC" w:rsidP="00511C32">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2</w:t>
            </w:r>
          </w:p>
        </w:tc>
        <w:tc>
          <w:tcPr>
            <w:tcW w:w="1530" w:type="dxa"/>
            <w:tcMar>
              <w:top w:w="150" w:type="dxa"/>
              <w:left w:w="240" w:type="dxa"/>
              <w:bottom w:w="150" w:type="dxa"/>
              <w:right w:w="240" w:type="dxa"/>
            </w:tcMar>
            <w:vAlign w:val="center"/>
            <w:hideMark/>
          </w:tcPr>
          <w:p w14:paraId="70B50B91" w14:textId="77777777" w:rsidR="00B347AC" w:rsidRPr="00B347AC" w:rsidRDefault="00B347AC" w:rsidP="00511C32">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0.150</w:t>
            </w:r>
          </w:p>
        </w:tc>
        <w:tc>
          <w:tcPr>
            <w:tcW w:w="1440" w:type="dxa"/>
            <w:tcMar>
              <w:top w:w="150" w:type="dxa"/>
              <w:left w:w="240" w:type="dxa"/>
              <w:bottom w:w="150" w:type="dxa"/>
              <w:right w:w="240" w:type="dxa"/>
            </w:tcMar>
            <w:vAlign w:val="center"/>
            <w:hideMark/>
          </w:tcPr>
          <w:p w14:paraId="6C899D1A" w14:textId="77777777" w:rsidR="00B347AC" w:rsidRPr="00B347AC" w:rsidRDefault="00B347AC" w:rsidP="00511C32">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1.0</w:t>
            </w:r>
          </w:p>
        </w:tc>
        <w:tc>
          <w:tcPr>
            <w:tcW w:w="1170" w:type="dxa"/>
            <w:tcMar>
              <w:top w:w="150" w:type="dxa"/>
              <w:left w:w="240" w:type="dxa"/>
              <w:bottom w:w="150" w:type="dxa"/>
              <w:right w:w="0" w:type="dxa"/>
            </w:tcMar>
            <w:vAlign w:val="center"/>
            <w:hideMark/>
          </w:tcPr>
          <w:p w14:paraId="765CF025" w14:textId="77777777" w:rsidR="00B347AC" w:rsidRPr="00B347AC" w:rsidRDefault="00B347AC" w:rsidP="00511C32">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0.150</w:t>
            </w:r>
          </w:p>
        </w:tc>
      </w:tr>
      <w:tr w:rsidR="002B72FB" w:rsidRPr="00B347AC" w14:paraId="7EC1121D" w14:textId="77777777" w:rsidTr="00511C32">
        <w:tc>
          <w:tcPr>
            <w:tcW w:w="1620" w:type="dxa"/>
            <w:tcMar>
              <w:top w:w="150" w:type="dxa"/>
              <w:left w:w="0" w:type="dxa"/>
              <w:bottom w:w="150" w:type="dxa"/>
              <w:right w:w="240" w:type="dxa"/>
            </w:tcMar>
            <w:vAlign w:val="center"/>
            <w:hideMark/>
          </w:tcPr>
          <w:p w14:paraId="4A59A0F8" w14:textId="77777777" w:rsidR="00B347AC" w:rsidRPr="00B347AC" w:rsidRDefault="00B347AC" w:rsidP="00511C32">
            <w:pPr>
              <w:spacing w:after="0" w:line="240" w:lineRule="auto"/>
              <w:ind w:left="180"/>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Repeatability (n=10)</w:t>
            </w:r>
          </w:p>
        </w:tc>
        <w:tc>
          <w:tcPr>
            <w:tcW w:w="900" w:type="dxa"/>
            <w:tcMar>
              <w:top w:w="150" w:type="dxa"/>
              <w:left w:w="240" w:type="dxa"/>
              <w:bottom w:w="150" w:type="dxa"/>
              <w:right w:w="240" w:type="dxa"/>
            </w:tcMar>
            <w:vAlign w:val="center"/>
            <w:hideMark/>
          </w:tcPr>
          <w:p w14:paraId="6B8122A8" w14:textId="77777777" w:rsidR="00B347AC" w:rsidRPr="00B347AC" w:rsidRDefault="00B347AC" w:rsidP="00511C32">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A</w:t>
            </w:r>
          </w:p>
        </w:tc>
        <w:tc>
          <w:tcPr>
            <w:tcW w:w="1080" w:type="dxa"/>
            <w:tcMar>
              <w:top w:w="150" w:type="dxa"/>
              <w:left w:w="240" w:type="dxa"/>
              <w:bottom w:w="150" w:type="dxa"/>
              <w:right w:w="240" w:type="dxa"/>
            </w:tcMar>
            <w:vAlign w:val="center"/>
            <w:hideMark/>
          </w:tcPr>
          <w:p w14:paraId="541B7BB2" w14:textId="77777777" w:rsidR="00B347AC" w:rsidRPr="00B347AC" w:rsidRDefault="00B347AC" w:rsidP="00511C32">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0.28 mL/h</w:t>
            </w:r>
          </w:p>
        </w:tc>
        <w:tc>
          <w:tcPr>
            <w:tcW w:w="1710" w:type="dxa"/>
            <w:tcMar>
              <w:top w:w="150" w:type="dxa"/>
              <w:left w:w="240" w:type="dxa"/>
              <w:bottom w:w="150" w:type="dxa"/>
              <w:right w:w="240" w:type="dxa"/>
            </w:tcMar>
            <w:vAlign w:val="center"/>
            <w:hideMark/>
          </w:tcPr>
          <w:p w14:paraId="3D652E76" w14:textId="77777777" w:rsidR="00B347AC" w:rsidRPr="00B347AC" w:rsidRDefault="00B347AC" w:rsidP="00511C32">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Normal</w:t>
            </w:r>
          </w:p>
        </w:tc>
        <w:tc>
          <w:tcPr>
            <w:tcW w:w="1080" w:type="dxa"/>
            <w:tcMar>
              <w:top w:w="150" w:type="dxa"/>
              <w:left w:w="240" w:type="dxa"/>
              <w:bottom w:w="150" w:type="dxa"/>
              <w:right w:w="240" w:type="dxa"/>
            </w:tcMar>
            <w:vAlign w:val="center"/>
            <w:hideMark/>
          </w:tcPr>
          <w:p w14:paraId="6DB433B0" w14:textId="77777777" w:rsidR="00B347AC" w:rsidRPr="00B347AC" w:rsidRDefault="00B347AC" w:rsidP="00511C32">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1</w:t>
            </w:r>
          </w:p>
        </w:tc>
        <w:tc>
          <w:tcPr>
            <w:tcW w:w="1530" w:type="dxa"/>
            <w:tcMar>
              <w:top w:w="150" w:type="dxa"/>
              <w:left w:w="240" w:type="dxa"/>
              <w:bottom w:w="150" w:type="dxa"/>
              <w:right w:w="240" w:type="dxa"/>
            </w:tcMar>
            <w:vAlign w:val="center"/>
            <w:hideMark/>
          </w:tcPr>
          <w:p w14:paraId="352FEA70" w14:textId="77777777" w:rsidR="00B347AC" w:rsidRPr="00B347AC" w:rsidRDefault="00B347AC" w:rsidP="00511C32">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0.280</w:t>
            </w:r>
          </w:p>
        </w:tc>
        <w:tc>
          <w:tcPr>
            <w:tcW w:w="1440" w:type="dxa"/>
            <w:tcMar>
              <w:top w:w="150" w:type="dxa"/>
              <w:left w:w="240" w:type="dxa"/>
              <w:bottom w:w="150" w:type="dxa"/>
              <w:right w:w="240" w:type="dxa"/>
            </w:tcMar>
            <w:vAlign w:val="center"/>
            <w:hideMark/>
          </w:tcPr>
          <w:p w14:paraId="0A419C23" w14:textId="77777777" w:rsidR="00B347AC" w:rsidRPr="00B347AC" w:rsidRDefault="00B347AC" w:rsidP="00511C32">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1.0</w:t>
            </w:r>
          </w:p>
        </w:tc>
        <w:tc>
          <w:tcPr>
            <w:tcW w:w="1170" w:type="dxa"/>
            <w:tcMar>
              <w:top w:w="150" w:type="dxa"/>
              <w:left w:w="240" w:type="dxa"/>
              <w:bottom w:w="150" w:type="dxa"/>
              <w:right w:w="0" w:type="dxa"/>
            </w:tcMar>
            <w:vAlign w:val="center"/>
            <w:hideMark/>
          </w:tcPr>
          <w:p w14:paraId="120FAF34" w14:textId="77777777" w:rsidR="00B347AC" w:rsidRPr="00B347AC" w:rsidRDefault="00B347AC" w:rsidP="00511C32">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0.280</w:t>
            </w:r>
          </w:p>
        </w:tc>
      </w:tr>
      <w:tr w:rsidR="002B72FB" w:rsidRPr="00B347AC" w14:paraId="42CDCD71" w14:textId="77777777" w:rsidTr="00511C32">
        <w:tc>
          <w:tcPr>
            <w:tcW w:w="1620" w:type="dxa"/>
            <w:tcMar>
              <w:top w:w="150" w:type="dxa"/>
              <w:left w:w="0" w:type="dxa"/>
              <w:bottom w:w="150" w:type="dxa"/>
              <w:right w:w="240" w:type="dxa"/>
            </w:tcMar>
            <w:vAlign w:val="center"/>
            <w:hideMark/>
          </w:tcPr>
          <w:p w14:paraId="4FE0D387" w14:textId="77777777" w:rsidR="00B347AC" w:rsidRPr="00B347AC" w:rsidRDefault="00B347AC" w:rsidP="00511C32">
            <w:pPr>
              <w:spacing w:after="0" w:line="240" w:lineRule="auto"/>
              <w:ind w:left="180"/>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DUT resolution</w:t>
            </w:r>
          </w:p>
        </w:tc>
        <w:tc>
          <w:tcPr>
            <w:tcW w:w="900" w:type="dxa"/>
            <w:tcMar>
              <w:top w:w="150" w:type="dxa"/>
              <w:left w:w="240" w:type="dxa"/>
              <w:bottom w:w="150" w:type="dxa"/>
              <w:right w:w="240" w:type="dxa"/>
            </w:tcMar>
            <w:vAlign w:val="center"/>
            <w:hideMark/>
          </w:tcPr>
          <w:p w14:paraId="7F1FB895" w14:textId="77777777" w:rsidR="00B347AC" w:rsidRPr="00B347AC" w:rsidRDefault="00B347AC" w:rsidP="00511C32">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B</w:t>
            </w:r>
          </w:p>
        </w:tc>
        <w:tc>
          <w:tcPr>
            <w:tcW w:w="1080" w:type="dxa"/>
            <w:tcMar>
              <w:top w:w="150" w:type="dxa"/>
              <w:left w:w="240" w:type="dxa"/>
              <w:bottom w:w="150" w:type="dxa"/>
              <w:right w:w="240" w:type="dxa"/>
            </w:tcMar>
            <w:vAlign w:val="center"/>
            <w:hideMark/>
          </w:tcPr>
          <w:p w14:paraId="7EF92476" w14:textId="77777777" w:rsidR="00B347AC" w:rsidRPr="00B347AC" w:rsidRDefault="00B347AC" w:rsidP="00511C32">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0.10 mL/h</w:t>
            </w:r>
          </w:p>
        </w:tc>
        <w:tc>
          <w:tcPr>
            <w:tcW w:w="1710" w:type="dxa"/>
            <w:tcMar>
              <w:top w:w="150" w:type="dxa"/>
              <w:left w:w="240" w:type="dxa"/>
              <w:bottom w:w="150" w:type="dxa"/>
              <w:right w:w="240" w:type="dxa"/>
            </w:tcMar>
            <w:vAlign w:val="center"/>
            <w:hideMark/>
          </w:tcPr>
          <w:p w14:paraId="36F8B848" w14:textId="77777777" w:rsidR="00B347AC" w:rsidRPr="00B347AC" w:rsidRDefault="00B347AC" w:rsidP="00511C32">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Rectangular</w:t>
            </w:r>
          </w:p>
        </w:tc>
        <w:tc>
          <w:tcPr>
            <w:tcW w:w="1080" w:type="dxa"/>
            <w:tcMar>
              <w:top w:w="150" w:type="dxa"/>
              <w:left w:w="240" w:type="dxa"/>
              <w:bottom w:w="150" w:type="dxa"/>
              <w:right w:w="240" w:type="dxa"/>
            </w:tcMar>
            <w:vAlign w:val="center"/>
            <w:hideMark/>
          </w:tcPr>
          <w:p w14:paraId="7EC26DE8" w14:textId="77777777" w:rsidR="00B347AC" w:rsidRPr="00B347AC" w:rsidRDefault="00B347AC" w:rsidP="00511C32">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√12</w:t>
            </w:r>
          </w:p>
        </w:tc>
        <w:tc>
          <w:tcPr>
            <w:tcW w:w="1530" w:type="dxa"/>
            <w:tcMar>
              <w:top w:w="150" w:type="dxa"/>
              <w:left w:w="240" w:type="dxa"/>
              <w:bottom w:w="150" w:type="dxa"/>
              <w:right w:w="240" w:type="dxa"/>
            </w:tcMar>
            <w:vAlign w:val="center"/>
            <w:hideMark/>
          </w:tcPr>
          <w:p w14:paraId="03FF4FA0" w14:textId="77777777" w:rsidR="00B347AC" w:rsidRPr="00B347AC" w:rsidRDefault="00B347AC" w:rsidP="00511C32">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0.029</w:t>
            </w:r>
          </w:p>
        </w:tc>
        <w:tc>
          <w:tcPr>
            <w:tcW w:w="1440" w:type="dxa"/>
            <w:tcMar>
              <w:top w:w="150" w:type="dxa"/>
              <w:left w:w="240" w:type="dxa"/>
              <w:bottom w:w="150" w:type="dxa"/>
              <w:right w:w="240" w:type="dxa"/>
            </w:tcMar>
            <w:vAlign w:val="center"/>
            <w:hideMark/>
          </w:tcPr>
          <w:p w14:paraId="749E67CA" w14:textId="77777777" w:rsidR="00B347AC" w:rsidRPr="00B347AC" w:rsidRDefault="00B347AC" w:rsidP="00511C32">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1.0</w:t>
            </w:r>
          </w:p>
        </w:tc>
        <w:tc>
          <w:tcPr>
            <w:tcW w:w="1170" w:type="dxa"/>
            <w:tcMar>
              <w:top w:w="150" w:type="dxa"/>
              <w:left w:w="240" w:type="dxa"/>
              <w:bottom w:w="150" w:type="dxa"/>
              <w:right w:w="0" w:type="dxa"/>
            </w:tcMar>
            <w:vAlign w:val="center"/>
            <w:hideMark/>
          </w:tcPr>
          <w:p w14:paraId="7C00B933" w14:textId="77777777" w:rsidR="00B347AC" w:rsidRPr="00B347AC" w:rsidRDefault="00B347AC" w:rsidP="00511C32">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0.029</w:t>
            </w:r>
          </w:p>
        </w:tc>
      </w:tr>
      <w:tr w:rsidR="002B72FB" w:rsidRPr="00B347AC" w14:paraId="5E850425" w14:textId="77777777" w:rsidTr="00511C32">
        <w:tc>
          <w:tcPr>
            <w:tcW w:w="1620" w:type="dxa"/>
            <w:tcMar>
              <w:top w:w="150" w:type="dxa"/>
              <w:left w:w="0" w:type="dxa"/>
              <w:bottom w:w="150" w:type="dxa"/>
              <w:right w:w="240" w:type="dxa"/>
            </w:tcMar>
            <w:vAlign w:val="center"/>
            <w:hideMark/>
          </w:tcPr>
          <w:p w14:paraId="6C4F41E3" w14:textId="77777777" w:rsidR="00B347AC" w:rsidRPr="00B347AC" w:rsidRDefault="00B347AC" w:rsidP="00511C32">
            <w:pPr>
              <w:spacing w:after="0" w:line="240" w:lineRule="auto"/>
              <w:ind w:left="180"/>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Temperature effect</w:t>
            </w:r>
          </w:p>
        </w:tc>
        <w:tc>
          <w:tcPr>
            <w:tcW w:w="900" w:type="dxa"/>
            <w:tcMar>
              <w:top w:w="150" w:type="dxa"/>
              <w:left w:w="240" w:type="dxa"/>
              <w:bottom w:w="150" w:type="dxa"/>
              <w:right w:w="240" w:type="dxa"/>
            </w:tcMar>
            <w:vAlign w:val="center"/>
            <w:hideMark/>
          </w:tcPr>
          <w:p w14:paraId="379F9980" w14:textId="77777777" w:rsidR="00B347AC" w:rsidRPr="00B347AC" w:rsidRDefault="00B347AC" w:rsidP="00511C32">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B</w:t>
            </w:r>
          </w:p>
        </w:tc>
        <w:tc>
          <w:tcPr>
            <w:tcW w:w="1080" w:type="dxa"/>
            <w:tcMar>
              <w:top w:w="150" w:type="dxa"/>
              <w:left w:w="240" w:type="dxa"/>
              <w:bottom w:w="150" w:type="dxa"/>
              <w:right w:w="240" w:type="dxa"/>
            </w:tcMar>
            <w:vAlign w:val="center"/>
            <w:hideMark/>
          </w:tcPr>
          <w:p w14:paraId="00D09D0B" w14:textId="77777777" w:rsidR="00B347AC" w:rsidRPr="00B347AC" w:rsidRDefault="00B347AC" w:rsidP="00511C32">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0.03 mL/h</w:t>
            </w:r>
          </w:p>
        </w:tc>
        <w:tc>
          <w:tcPr>
            <w:tcW w:w="1710" w:type="dxa"/>
            <w:tcMar>
              <w:top w:w="150" w:type="dxa"/>
              <w:left w:w="240" w:type="dxa"/>
              <w:bottom w:w="150" w:type="dxa"/>
              <w:right w:w="240" w:type="dxa"/>
            </w:tcMar>
            <w:vAlign w:val="center"/>
            <w:hideMark/>
          </w:tcPr>
          <w:p w14:paraId="5E2564CB" w14:textId="77777777" w:rsidR="00B347AC" w:rsidRPr="00B347AC" w:rsidRDefault="00B347AC" w:rsidP="00511C32">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Rectangular</w:t>
            </w:r>
          </w:p>
        </w:tc>
        <w:tc>
          <w:tcPr>
            <w:tcW w:w="1080" w:type="dxa"/>
            <w:tcMar>
              <w:top w:w="150" w:type="dxa"/>
              <w:left w:w="240" w:type="dxa"/>
              <w:bottom w:w="150" w:type="dxa"/>
              <w:right w:w="240" w:type="dxa"/>
            </w:tcMar>
            <w:vAlign w:val="center"/>
            <w:hideMark/>
          </w:tcPr>
          <w:p w14:paraId="5B98A99F" w14:textId="77777777" w:rsidR="00B347AC" w:rsidRPr="00B347AC" w:rsidRDefault="00B347AC" w:rsidP="00511C32">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√12</w:t>
            </w:r>
          </w:p>
        </w:tc>
        <w:tc>
          <w:tcPr>
            <w:tcW w:w="1530" w:type="dxa"/>
            <w:tcMar>
              <w:top w:w="150" w:type="dxa"/>
              <w:left w:w="240" w:type="dxa"/>
              <w:bottom w:w="150" w:type="dxa"/>
              <w:right w:w="240" w:type="dxa"/>
            </w:tcMar>
            <w:vAlign w:val="center"/>
            <w:hideMark/>
          </w:tcPr>
          <w:p w14:paraId="0AB010F5" w14:textId="77777777" w:rsidR="00B347AC" w:rsidRPr="00B347AC" w:rsidRDefault="00B347AC" w:rsidP="00511C32">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0.009</w:t>
            </w:r>
          </w:p>
        </w:tc>
        <w:tc>
          <w:tcPr>
            <w:tcW w:w="1440" w:type="dxa"/>
            <w:tcMar>
              <w:top w:w="150" w:type="dxa"/>
              <w:left w:w="240" w:type="dxa"/>
              <w:bottom w:w="150" w:type="dxa"/>
              <w:right w:w="240" w:type="dxa"/>
            </w:tcMar>
            <w:vAlign w:val="center"/>
            <w:hideMark/>
          </w:tcPr>
          <w:p w14:paraId="1F873277" w14:textId="77777777" w:rsidR="00B347AC" w:rsidRPr="00B347AC" w:rsidRDefault="00B347AC" w:rsidP="00511C32">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1.0</w:t>
            </w:r>
          </w:p>
        </w:tc>
        <w:tc>
          <w:tcPr>
            <w:tcW w:w="1170" w:type="dxa"/>
            <w:tcMar>
              <w:top w:w="150" w:type="dxa"/>
              <w:left w:w="240" w:type="dxa"/>
              <w:bottom w:w="150" w:type="dxa"/>
              <w:right w:w="0" w:type="dxa"/>
            </w:tcMar>
            <w:vAlign w:val="center"/>
            <w:hideMark/>
          </w:tcPr>
          <w:p w14:paraId="20A7C032" w14:textId="77777777" w:rsidR="00B347AC" w:rsidRPr="00B347AC" w:rsidRDefault="00B347AC" w:rsidP="00511C32">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0.009</w:t>
            </w:r>
          </w:p>
        </w:tc>
      </w:tr>
      <w:tr w:rsidR="002B72FB" w:rsidRPr="00B347AC" w14:paraId="7E9FFB2D" w14:textId="77777777" w:rsidTr="00511C32">
        <w:tc>
          <w:tcPr>
            <w:tcW w:w="1620" w:type="dxa"/>
            <w:tcMar>
              <w:top w:w="150" w:type="dxa"/>
              <w:left w:w="0" w:type="dxa"/>
              <w:bottom w:w="150" w:type="dxa"/>
              <w:right w:w="240" w:type="dxa"/>
            </w:tcMar>
            <w:vAlign w:val="center"/>
            <w:hideMark/>
          </w:tcPr>
          <w:p w14:paraId="2FFCF24F" w14:textId="77777777" w:rsidR="00B347AC" w:rsidRPr="00B347AC" w:rsidRDefault="00B347AC" w:rsidP="00511C32">
            <w:pPr>
              <w:spacing w:after="0" w:line="240" w:lineRule="auto"/>
              <w:ind w:left="180"/>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Back pressure variation</w:t>
            </w:r>
          </w:p>
        </w:tc>
        <w:tc>
          <w:tcPr>
            <w:tcW w:w="900" w:type="dxa"/>
            <w:tcMar>
              <w:top w:w="150" w:type="dxa"/>
              <w:left w:w="240" w:type="dxa"/>
              <w:bottom w:w="150" w:type="dxa"/>
              <w:right w:w="240" w:type="dxa"/>
            </w:tcMar>
            <w:vAlign w:val="center"/>
            <w:hideMark/>
          </w:tcPr>
          <w:p w14:paraId="15E885A3" w14:textId="77777777" w:rsidR="00B347AC" w:rsidRPr="00B347AC" w:rsidRDefault="00B347AC" w:rsidP="00511C32">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B</w:t>
            </w:r>
          </w:p>
        </w:tc>
        <w:tc>
          <w:tcPr>
            <w:tcW w:w="1080" w:type="dxa"/>
            <w:tcMar>
              <w:top w:w="150" w:type="dxa"/>
              <w:left w:w="240" w:type="dxa"/>
              <w:bottom w:w="150" w:type="dxa"/>
              <w:right w:w="240" w:type="dxa"/>
            </w:tcMar>
            <w:vAlign w:val="center"/>
            <w:hideMark/>
          </w:tcPr>
          <w:p w14:paraId="145B75E4" w14:textId="77777777" w:rsidR="00B347AC" w:rsidRPr="00B347AC" w:rsidRDefault="00B347AC" w:rsidP="00511C32">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0.15 mL/h</w:t>
            </w:r>
          </w:p>
        </w:tc>
        <w:tc>
          <w:tcPr>
            <w:tcW w:w="1710" w:type="dxa"/>
            <w:tcMar>
              <w:top w:w="150" w:type="dxa"/>
              <w:left w:w="240" w:type="dxa"/>
              <w:bottom w:w="150" w:type="dxa"/>
              <w:right w:w="240" w:type="dxa"/>
            </w:tcMar>
            <w:vAlign w:val="center"/>
            <w:hideMark/>
          </w:tcPr>
          <w:p w14:paraId="13C65DBC" w14:textId="77777777" w:rsidR="00B347AC" w:rsidRPr="00B347AC" w:rsidRDefault="00B347AC" w:rsidP="00511C32">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Triangular</w:t>
            </w:r>
          </w:p>
        </w:tc>
        <w:tc>
          <w:tcPr>
            <w:tcW w:w="1080" w:type="dxa"/>
            <w:tcMar>
              <w:top w:w="150" w:type="dxa"/>
              <w:left w:w="240" w:type="dxa"/>
              <w:bottom w:w="150" w:type="dxa"/>
              <w:right w:w="240" w:type="dxa"/>
            </w:tcMar>
            <w:vAlign w:val="center"/>
            <w:hideMark/>
          </w:tcPr>
          <w:p w14:paraId="3C06A7B9" w14:textId="77777777" w:rsidR="00B347AC" w:rsidRPr="00B347AC" w:rsidRDefault="00B347AC" w:rsidP="00511C32">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√6</w:t>
            </w:r>
          </w:p>
        </w:tc>
        <w:tc>
          <w:tcPr>
            <w:tcW w:w="1530" w:type="dxa"/>
            <w:tcMar>
              <w:top w:w="150" w:type="dxa"/>
              <w:left w:w="240" w:type="dxa"/>
              <w:bottom w:w="150" w:type="dxa"/>
              <w:right w:w="240" w:type="dxa"/>
            </w:tcMar>
            <w:vAlign w:val="center"/>
            <w:hideMark/>
          </w:tcPr>
          <w:p w14:paraId="665D4769" w14:textId="77777777" w:rsidR="00B347AC" w:rsidRPr="00B347AC" w:rsidRDefault="00B347AC" w:rsidP="00511C32">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0.061</w:t>
            </w:r>
          </w:p>
        </w:tc>
        <w:tc>
          <w:tcPr>
            <w:tcW w:w="1440" w:type="dxa"/>
            <w:tcMar>
              <w:top w:w="150" w:type="dxa"/>
              <w:left w:w="240" w:type="dxa"/>
              <w:bottom w:w="150" w:type="dxa"/>
              <w:right w:w="240" w:type="dxa"/>
            </w:tcMar>
            <w:vAlign w:val="center"/>
            <w:hideMark/>
          </w:tcPr>
          <w:p w14:paraId="238973DE" w14:textId="77777777" w:rsidR="00B347AC" w:rsidRPr="00B347AC" w:rsidRDefault="00B347AC" w:rsidP="00511C32">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1.0</w:t>
            </w:r>
          </w:p>
        </w:tc>
        <w:tc>
          <w:tcPr>
            <w:tcW w:w="1170" w:type="dxa"/>
            <w:tcMar>
              <w:top w:w="150" w:type="dxa"/>
              <w:left w:w="240" w:type="dxa"/>
              <w:bottom w:w="150" w:type="dxa"/>
              <w:right w:w="0" w:type="dxa"/>
            </w:tcMar>
            <w:vAlign w:val="center"/>
            <w:hideMark/>
          </w:tcPr>
          <w:p w14:paraId="6B2ED4A0" w14:textId="77777777" w:rsidR="00B347AC" w:rsidRPr="00B347AC" w:rsidRDefault="00B347AC" w:rsidP="00511C32">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0.061</w:t>
            </w:r>
          </w:p>
        </w:tc>
      </w:tr>
      <w:tr w:rsidR="002B72FB" w:rsidRPr="00B347AC" w14:paraId="517ED456" w14:textId="77777777" w:rsidTr="00511C32">
        <w:trPr>
          <w:trHeight w:val="732"/>
        </w:trPr>
        <w:tc>
          <w:tcPr>
            <w:tcW w:w="1620" w:type="dxa"/>
            <w:tcMar>
              <w:top w:w="150" w:type="dxa"/>
              <w:left w:w="0" w:type="dxa"/>
              <w:bottom w:w="150" w:type="dxa"/>
              <w:right w:w="240" w:type="dxa"/>
            </w:tcMar>
            <w:vAlign w:val="center"/>
            <w:hideMark/>
          </w:tcPr>
          <w:p w14:paraId="5A73F3B1" w14:textId="77777777" w:rsidR="00B347AC" w:rsidRPr="00B347AC" w:rsidRDefault="00B347AC" w:rsidP="00511C32">
            <w:pPr>
              <w:spacing w:after="0" w:line="240" w:lineRule="auto"/>
              <w:ind w:left="180"/>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Operator timing</w:t>
            </w:r>
          </w:p>
        </w:tc>
        <w:tc>
          <w:tcPr>
            <w:tcW w:w="900" w:type="dxa"/>
            <w:tcMar>
              <w:top w:w="150" w:type="dxa"/>
              <w:left w:w="240" w:type="dxa"/>
              <w:bottom w:w="150" w:type="dxa"/>
              <w:right w:w="240" w:type="dxa"/>
            </w:tcMar>
            <w:vAlign w:val="center"/>
            <w:hideMark/>
          </w:tcPr>
          <w:p w14:paraId="2D58C15E" w14:textId="77777777" w:rsidR="00B347AC" w:rsidRPr="00B347AC" w:rsidRDefault="00B347AC" w:rsidP="00511C32">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B</w:t>
            </w:r>
          </w:p>
        </w:tc>
        <w:tc>
          <w:tcPr>
            <w:tcW w:w="1080" w:type="dxa"/>
            <w:tcMar>
              <w:top w:w="150" w:type="dxa"/>
              <w:left w:w="240" w:type="dxa"/>
              <w:bottom w:w="150" w:type="dxa"/>
              <w:right w:w="240" w:type="dxa"/>
            </w:tcMar>
            <w:vAlign w:val="center"/>
            <w:hideMark/>
          </w:tcPr>
          <w:p w14:paraId="40FEF47C" w14:textId="77777777" w:rsidR="00B347AC" w:rsidRPr="00B347AC" w:rsidRDefault="00B347AC" w:rsidP="00511C32">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0.10 mL/h</w:t>
            </w:r>
          </w:p>
        </w:tc>
        <w:tc>
          <w:tcPr>
            <w:tcW w:w="1710" w:type="dxa"/>
            <w:tcMar>
              <w:top w:w="150" w:type="dxa"/>
              <w:left w:w="240" w:type="dxa"/>
              <w:bottom w:w="150" w:type="dxa"/>
              <w:right w:w="240" w:type="dxa"/>
            </w:tcMar>
            <w:vAlign w:val="center"/>
            <w:hideMark/>
          </w:tcPr>
          <w:p w14:paraId="0FF621E0" w14:textId="77777777" w:rsidR="00B347AC" w:rsidRPr="00B347AC" w:rsidRDefault="00B347AC" w:rsidP="00511C32">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Rectangular</w:t>
            </w:r>
          </w:p>
        </w:tc>
        <w:tc>
          <w:tcPr>
            <w:tcW w:w="1080" w:type="dxa"/>
            <w:tcMar>
              <w:top w:w="150" w:type="dxa"/>
              <w:left w:w="240" w:type="dxa"/>
              <w:bottom w:w="150" w:type="dxa"/>
              <w:right w:w="240" w:type="dxa"/>
            </w:tcMar>
            <w:vAlign w:val="center"/>
            <w:hideMark/>
          </w:tcPr>
          <w:p w14:paraId="707E4645" w14:textId="77777777" w:rsidR="00B347AC" w:rsidRPr="00B347AC" w:rsidRDefault="00B347AC" w:rsidP="00511C32">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√12</w:t>
            </w:r>
          </w:p>
        </w:tc>
        <w:tc>
          <w:tcPr>
            <w:tcW w:w="1530" w:type="dxa"/>
            <w:tcMar>
              <w:top w:w="150" w:type="dxa"/>
              <w:left w:w="240" w:type="dxa"/>
              <w:bottom w:w="150" w:type="dxa"/>
              <w:right w:w="240" w:type="dxa"/>
            </w:tcMar>
            <w:vAlign w:val="center"/>
            <w:hideMark/>
          </w:tcPr>
          <w:p w14:paraId="375AB23D" w14:textId="77777777" w:rsidR="00B347AC" w:rsidRPr="00B347AC" w:rsidRDefault="00B347AC" w:rsidP="00511C32">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0.029</w:t>
            </w:r>
          </w:p>
        </w:tc>
        <w:tc>
          <w:tcPr>
            <w:tcW w:w="1440" w:type="dxa"/>
            <w:tcMar>
              <w:top w:w="150" w:type="dxa"/>
              <w:left w:w="240" w:type="dxa"/>
              <w:bottom w:w="150" w:type="dxa"/>
              <w:right w:w="240" w:type="dxa"/>
            </w:tcMar>
            <w:vAlign w:val="center"/>
            <w:hideMark/>
          </w:tcPr>
          <w:p w14:paraId="2D749AAA" w14:textId="77777777" w:rsidR="00B347AC" w:rsidRPr="00B347AC" w:rsidRDefault="00B347AC" w:rsidP="00511C32">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1.0</w:t>
            </w:r>
          </w:p>
        </w:tc>
        <w:tc>
          <w:tcPr>
            <w:tcW w:w="1170" w:type="dxa"/>
            <w:tcMar>
              <w:top w:w="150" w:type="dxa"/>
              <w:left w:w="240" w:type="dxa"/>
              <w:bottom w:w="150" w:type="dxa"/>
              <w:right w:w="0" w:type="dxa"/>
            </w:tcMar>
            <w:vAlign w:val="center"/>
            <w:hideMark/>
          </w:tcPr>
          <w:p w14:paraId="6D5E30B0" w14:textId="77777777" w:rsidR="00B347AC" w:rsidRPr="00B347AC" w:rsidRDefault="00B347AC" w:rsidP="00511C32">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0.029</w:t>
            </w:r>
          </w:p>
        </w:tc>
      </w:tr>
      <w:tr w:rsidR="002B72FB" w:rsidRPr="00B347AC" w14:paraId="459CF6AD" w14:textId="77777777" w:rsidTr="00511C32">
        <w:tc>
          <w:tcPr>
            <w:tcW w:w="1620" w:type="dxa"/>
            <w:tcMar>
              <w:top w:w="150" w:type="dxa"/>
              <w:left w:w="0" w:type="dxa"/>
              <w:bottom w:w="150" w:type="dxa"/>
              <w:right w:w="240" w:type="dxa"/>
            </w:tcMar>
            <w:vAlign w:val="center"/>
            <w:hideMark/>
          </w:tcPr>
          <w:p w14:paraId="09A4BF96" w14:textId="65E35CC6" w:rsidR="00B347AC" w:rsidRPr="00B347AC" w:rsidRDefault="00B347AC" w:rsidP="00511C32">
            <w:pPr>
              <w:spacing w:after="0" w:line="240" w:lineRule="auto"/>
              <w:ind w:left="180"/>
              <w:rPr>
                <w:rFonts w:ascii="Times New Roman" w:eastAsia="Times New Roman" w:hAnsi="Times New Roman" w:cs="Times New Roman"/>
                <w:sz w:val="24"/>
                <w:szCs w:val="24"/>
              </w:rPr>
            </w:pPr>
            <w:r w:rsidRPr="00B347AC">
              <w:rPr>
                <w:rFonts w:ascii="Times New Roman" w:eastAsia="Times New Roman" w:hAnsi="Times New Roman" w:cs="Times New Roman"/>
                <w:b/>
                <w:bCs/>
                <w:sz w:val="24"/>
                <w:szCs w:val="24"/>
              </w:rPr>
              <w:t>Combined standard uncertainty (</w:t>
            </w:r>
            <w:proofErr w:type="spellStart"/>
            <w:r w:rsidR="00EB5B73">
              <w:rPr>
                <w:rFonts w:ascii="Times New Roman" w:eastAsia="Times New Roman" w:hAnsi="Times New Roman" w:cs="Times New Roman"/>
                <w:b/>
                <w:bCs/>
                <w:sz w:val="24"/>
                <w:szCs w:val="24"/>
              </w:rPr>
              <w:t>U</w:t>
            </w:r>
            <w:r w:rsidRPr="00B347AC">
              <w:rPr>
                <w:rFonts w:ascii="Times New Roman" w:eastAsia="Times New Roman" w:hAnsi="Times New Roman" w:cs="Times New Roman"/>
                <w:b/>
                <w:bCs/>
                <w:sz w:val="24"/>
                <w:szCs w:val="24"/>
              </w:rPr>
              <w:t>c</w:t>
            </w:r>
            <w:proofErr w:type="spellEnd"/>
            <w:r w:rsidRPr="00B347AC">
              <w:rPr>
                <w:rFonts w:ascii="Times New Roman" w:eastAsia="Times New Roman" w:hAnsi="Times New Roman" w:cs="Times New Roman"/>
                <w:b/>
                <w:bCs/>
                <w:sz w:val="24"/>
                <w:szCs w:val="24"/>
              </w:rPr>
              <w:t>)</w:t>
            </w:r>
          </w:p>
        </w:tc>
        <w:tc>
          <w:tcPr>
            <w:tcW w:w="900" w:type="dxa"/>
            <w:tcMar>
              <w:top w:w="150" w:type="dxa"/>
              <w:left w:w="240" w:type="dxa"/>
              <w:bottom w:w="150" w:type="dxa"/>
              <w:right w:w="240" w:type="dxa"/>
            </w:tcMar>
            <w:vAlign w:val="center"/>
            <w:hideMark/>
          </w:tcPr>
          <w:p w14:paraId="105696E4" w14:textId="77777777" w:rsidR="00B347AC" w:rsidRPr="00B347AC" w:rsidRDefault="00B347AC" w:rsidP="00511C32">
            <w:pPr>
              <w:spacing w:after="0" w:line="240" w:lineRule="auto"/>
              <w:rPr>
                <w:rFonts w:ascii="Times New Roman" w:eastAsia="Times New Roman" w:hAnsi="Times New Roman" w:cs="Times New Roman"/>
                <w:sz w:val="24"/>
                <w:szCs w:val="24"/>
              </w:rPr>
            </w:pPr>
          </w:p>
        </w:tc>
        <w:tc>
          <w:tcPr>
            <w:tcW w:w="1080" w:type="dxa"/>
            <w:tcMar>
              <w:top w:w="150" w:type="dxa"/>
              <w:left w:w="240" w:type="dxa"/>
              <w:bottom w:w="150" w:type="dxa"/>
              <w:right w:w="240" w:type="dxa"/>
            </w:tcMar>
            <w:vAlign w:val="center"/>
            <w:hideMark/>
          </w:tcPr>
          <w:p w14:paraId="64E7618C" w14:textId="77777777" w:rsidR="00B347AC" w:rsidRPr="00B347AC" w:rsidRDefault="00B347AC" w:rsidP="00511C32">
            <w:pPr>
              <w:spacing w:after="0" w:line="240" w:lineRule="auto"/>
              <w:rPr>
                <w:rFonts w:ascii="Times New Roman" w:eastAsia="Times New Roman" w:hAnsi="Times New Roman" w:cs="Times New Roman"/>
                <w:sz w:val="24"/>
                <w:szCs w:val="24"/>
              </w:rPr>
            </w:pPr>
          </w:p>
        </w:tc>
        <w:tc>
          <w:tcPr>
            <w:tcW w:w="1710" w:type="dxa"/>
            <w:tcMar>
              <w:top w:w="150" w:type="dxa"/>
              <w:left w:w="240" w:type="dxa"/>
              <w:bottom w:w="150" w:type="dxa"/>
              <w:right w:w="240" w:type="dxa"/>
            </w:tcMar>
            <w:vAlign w:val="center"/>
            <w:hideMark/>
          </w:tcPr>
          <w:p w14:paraId="1B9624F5" w14:textId="77777777" w:rsidR="00B347AC" w:rsidRPr="00B347AC" w:rsidRDefault="00B347AC" w:rsidP="00511C32">
            <w:pPr>
              <w:spacing w:after="0" w:line="240" w:lineRule="auto"/>
              <w:rPr>
                <w:rFonts w:ascii="Times New Roman" w:eastAsia="Times New Roman" w:hAnsi="Times New Roman" w:cs="Times New Roman"/>
                <w:sz w:val="24"/>
                <w:szCs w:val="24"/>
              </w:rPr>
            </w:pPr>
          </w:p>
        </w:tc>
        <w:tc>
          <w:tcPr>
            <w:tcW w:w="1080" w:type="dxa"/>
            <w:tcMar>
              <w:top w:w="150" w:type="dxa"/>
              <w:left w:w="240" w:type="dxa"/>
              <w:bottom w:w="150" w:type="dxa"/>
              <w:right w:w="240" w:type="dxa"/>
            </w:tcMar>
            <w:vAlign w:val="center"/>
            <w:hideMark/>
          </w:tcPr>
          <w:p w14:paraId="6A149076" w14:textId="77777777" w:rsidR="00B347AC" w:rsidRPr="00B347AC" w:rsidRDefault="00B347AC" w:rsidP="00511C32">
            <w:pPr>
              <w:spacing w:after="0" w:line="240" w:lineRule="auto"/>
              <w:rPr>
                <w:rFonts w:ascii="Times New Roman" w:eastAsia="Times New Roman" w:hAnsi="Times New Roman" w:cs="Times New Roman"/>
                <w:sz w:val="24"/>
                <w:szCs w:val="24"/>
              </w:rPr>
            </w:pPr>
          </w:p>
        </w:tc>
        <w:tc>
          <w:tcPr>
            <w:tcW w:w="1530" w:type="dxa"/>
            <w:tcMar>
              <w:top w:w="150" w:type="dxa"/>
              <w:left w:w="240" w:type="dxa"/>
              <w:bottom w:w="150" w:type="dxa"/>
              <w:right w:w="240" w:type="dxa"/>
            </w:tcMar>
            <w:vAlign w:val="center"/>
            <w:hideMark/>
          </w:tcPr>
          <w:p w14:paraId="31F6E752" w14:textId="77777777" w:rsidR="00B347AC" w:rsidRPr="00B347AC" w:rsidRDefault="00B347AC" w:rsidP="00511C32">
            <w:pPr>
              <w:spacing w:after="0" w:line="240" w:lineRule="auto"/>
              <w:rPr>
                <w:rFonts w:ascii="Times New Roman" w:eastAsia="Times New Roman" w:hAnsi="Times New Roman" w:cs="Times New Roman"/>
                <w:sz w:val="24"/>
                <w:szCs w:val="24"/>
              </w:rPr>
            </w:pPr>
          </w:p>
        </w:tc>
        <w:tc>
          <w:tcPr>
            <w:tcW w:w="1440" w:type="dxa"/>
            <w:tcMar>
              <w:top w:w="150" w:type="dxa"/>
              <w:left w:w="240" w:type="dxa"/>
              <w:bottom w:w="150" w:type="dxa"/>
              <w:right w:w="240" w:type="dxa"/>
            </w:tcMar>
            <w:vAlign w:val="center"/>
            <w:hideMark/>
          </w:tcPr>
          <w:p w14:paraId="6814F035" w14:textId="77777777" w:rsidR="00B347AC" w:rsidRPr="00B347AC" w:rsidRDefault="00B347AC" w:rsidP="00511C32">
            <w:pPr>
              <w:spacing w:after="0" w:line="240" w:lineRule="auto"/>
              <w:rPr>
                <w:rFonts w:ascii="Times New Roman" w:eastAsia="Times New Roman" w:hAnsi="Times New Roman" w:cs="Times New Roman"/>
                <w:sz w:val="24"/>
                <w:szCs w:val="24"/>
              </w:rPr>
            </w:pPr>
          </w:p>
        </w:tc>
        <w:tc>
          <w:tcPr>
            <w:tcW w:w="1170" w:type="dxa"/>
            <w:tcMar>
              <w:top w:w="150" w:type="dxa"/>
              <w:left w:w="240" w:type="dxa"/>
              <w:bottom w:w="150" w:type="dxa"/>
              <w:right w:w="0" w:type="dxa"/>
            </w:tcMar>
            <w:vAlign w:val="center"/>
            <w:hideMark/>
          </w:tcPr>
          <w:p w14:paraId="064FFCAC" w14:textId="77777777" w:rsidR="00B347AC" w:rsidRPr="00B347AC" w:rsidRDefault="00B347AC" w:rsidP="00511C32">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b/>
                <w:bCs/>
                <w:sz w:val="24"/>
                <w:szCs w:val="24"/>
              </w:rPr>
              <w:t>0.325</w:t>
            </w:r>
          </w:p>
        </w:tc>
      </w:tr>
      <w:tr w:rsidR="002B72FB" w:rsidRPr="00B347AC" w14:paraId="4285C6B3" w14:textId="77777777" w:rsidTr="00511C32">
        <w:trPr>
          <w:trHeight w:val="831"/>
        </w:trPr>
        <w:tc>
          <w:tcPr>
            <w:tcW w:w="1620" w:type="dxa"/>
            <w:tcMar>
              <w:top w:w="150" w:type="dxa"/>
              <w:left w:w="0" w:type="dxa"/>
              <w:bottom w:w="150" w:type="dxa"/>
              <w:right w:w="240" w:type="dxa"/>
            </w:tcMar>
            <w:vAlign w:val="center"/>
            <w:hideMark/>
          </w:tcPr>
          <w:p w14:paraId="31B01A6C" w14:textId="77777777" w:rsidR="00B347AC" w:rsidRPr="00B347AC" w:rsidRDefault="00B347AC" w:rsidP="00511C32">
            <w:pPr>
              <w:spacing w:after="0" w:line="240" w:lineRule="auto"/>
              <w:ind w:left="180"/>
              <w:rPr>
                <w:rFonts w:ascii="Times New Roman" w:eastAsia="Times New Roman" w:hAnsi="Times New Roman" w:cs="Times New Roman"/>
                <w:sz w:val="24"/>
                <w:szCs w:val="24"/>
              </w:rPr>
            </w:pPr>
            <w:r w:rsidRPr="00B347AC">
              <w:rPr>
                <w:rFonts w:ascii="Times New Roman" w:eastAsia="Times New Roman" w:hAnsi="Times New Roman" w:cs="Times New Roman"/>
                <w:b/>
                <w:bCs/>
                <w:sz w:val="24"/>
                <w:szCs w:val="24"/>
              </w:rPr>
              <w:t>Expanded uncertainty U (k=2)</w:t>
            </w:r>
          </w:p>
        </w:tc>
        <w:tc>
          <w:tcPr>
            <w:tcW w:w="900" w:type="dxa"/>
            <w:tcMar>
              <w:top w:w="150" w:type="dxa"/>
              <w:left w:w="240" w:type="dxa"/>
              <w:bottom w:w="150" w:type="dxa"/>
              <w:right w:w="240" w:type="dxa"/>
            </w:tcMar>
            <w:vAlign w:val="center"/>
            <w:hideMark/>
          </w:tcPr>
          <w:p w14:paraId="4BF27754" w14:textId="77777777" w:rsidR="00B347AC" w:rsidRPr="00B347AC" w:rsidRDefault="00B347AC" w:rsidP="00511C32">
            <w:pPr>
              <w:spacing w:after="0" w:line="240" w:lineRule="auto"/>
              <w:rPr>
                <w:rFonts w:ascii="Times New Roman" w:eastAsia="Times New Roman" w:hAnsi="Times New Roman" w:cs="Times New Roman"/>
                <w:sz w:val="24"/>
                <w:szCs w:val="24"/>
              </w:rPr>
            </w:pPr>
          </w:p>
        </w:tc>
        <w:tc>
          <w:tcPr>
            <w:tcW w:w="1080" w:type="dxa"/>
            <w:tcMar>
              <w:top w:w="150" w:type="dxa"/>
              <w:left w:w="240" w:type="dxa"/>
              <w:bottom w:w="150" w:type="dxa"/>
              <w:right w:w="240" w:type="dxa"/>
            </w:tcMar>
            <w:vAlign w:val="center"/>
            <w:hideMark/>
          </w:tcPr>
          <w:p w14:paraId="2FD8A00B" w14:textId="77777777" w:rsidR="00B347AC" w:rsidRPr="00B347AC" w:rsidRDefault="00B347AC" w:rsidP="00511C32">
            <w:pPr>
              <w:spacing w:after="0" w:line="240" w:lineRule="auto"/>
              <w:rPr>
                <w:rFonts w:ascii="Times New Roman" w:eastAsia="Times New Roman" w:hAnsi="Times New Roman" w:cs="Times New Roman"/>
                <w:sz w:val="24"/>
                <w:szCs w:val="24"/>
              </w:rPr>
            </w:pPr>
          </w:p>
        </w:tc>
        <w:tc>
          <w:tcPr>
            <w:tcW w:w="1710" w:type="dxa"/>
            <w:tcMar>
              <w:top w:w="150" w:type="dxa"/>
              <w:left w:w="240" w:type="dxa"/>
              <w:bottom w:w="150" w:type="dxa"/>
              <w:right w:w="240" w:type="dxa"/>
            </w:tcMar>
            <w:vAlign w:val="center"/>
            <w:hideMark/>
          </w:tcPr>
          <w:p w14:paraId="24808743" w14:textId="77777777" w:rsidR="00B347AC" w:rsidRPr="00B347AC" w:rsidRDefault="00B347AC" w:rsidP="00511C32">
            <w:pPr>
              <w:spacing w:after="0" w:line="240" w:lineRule="auto"/>
              <w:rPr>
                <w:rFonts w:ascii="Times New Roman" w:eastAsia="Times New Roman" w:hAnsi="Times New Roman" w:cs="Times New Roman"/>
                <w:sz w:val="24"/>
                <w:szCs w:val="24"/>
              </w:rPr>
            </w:pPr>
          </w:p>
        </w:tc>
        <w:tc>
          <w:tcPr>
            <w:tcW w:w="1080" w:type="dxa"/>
            <w:tcMar>
              <w:top w:w="150" w:type="dxa"/>
              <w:left w:w="240" w:type="dxa"/>
              <w:bottom w:w="150" w:type="dxa"/>
              <w:right w:w="240" w:type="dxa"/>
            </w:tcMar>
            <w:vAlign w:val="center"/>
            <w:hideMark/>
          </w:tcPr>
          <w:p w14:paraId="71D1D0D5" w14:textId="77777777" w:rsidR="00B347AC" w:rsidRPr="00B347AC" w:rsidRDefault="00B347AC" w:rsidP="00511C32">
            <w:pPr>
              <w:spacing w:after="0" w:line="240" w:lineRule="auto"/>
              <w:rPr>
                <w:rFonts w:ascii="Times New Roman" w:eastAsia="Times New Roman" w:hAnsi="Times New Roman" w:cs="Times New Roman"/>
                <w:sz w:val="24"/>
                <w:szCs w:val="24"/>
              </w:rPr>
            </w:pPr>
          </w:p>
        </w:tc>
        <w:tc>
          <w:tcPr>
            <w:tcW w:w="1530" w:type="dxa"/>
            <w:tcMar>
              <w:top w:w="150" w:type="dxa"/>
              <w:left w:w="240" w:type="dxa"/>
              <w:bottom w:w="150" w:type="dxa"/>
              <w:right w:w="240" w:type="dxa"/>
            </w:tcMar>
            <w:vAlign w:val="center"/>
            <w:hideMark/>
          </w:tcPr>
          <w:p w14:paraId="19455DC3" w14:textId="77777777" w:rsidR="00B347AC" w:rsidRPr="00B347AC" w:rsidRDefault="00B347AC" w:rsidP="00511C32">
            <w:pPr>
              <w:spacing w:after="0" w:line="240" w:lineRule="auto"/>
              <w:rPr>
                <w:rFonts w:ascii="Times New Roman" w:eastAsia="Times New Roman" w:hAnsi="Times New Roman" w:cs="Times New Roman"/>
                <w:sz w:val="24"/>
                <w:szCs w:val="24"/>
              </w:rPr>
            </w:pPr>
          </w:p>
        </w:tc>
        <w:tc>
          <w:tcPr>
            <w:tcW w:w="1440" w:type="dxa"/>
            <w:tcMar>
              <w:top w:w="150" w:type="dxa"/>
              <w:left w:w="240" w:type="dxa"/>
              <w:bottom w:w="150" w:type="dxa"/>
              <w:right w:w="240" w:type="dxa"/>
            </w:tcMar>
            <w:vAlign w:val="center"/>
            <w:hideMark/>
          </w:tcPr>
          <w:p w14:paraId="152AC85A" w14:textId="77777777" w:rsidR="00B347AC" w:rsidRPr="00B347AC" w:rsidRDefault="00B347AC" w:rsidP="00511C32">
            <w:pPr>
              <w:spacing w:after="0" w:line="240" w:lineRule="auto"/>
              <w:rPr>
                <w:rFonts w:ascii="Times New Roman" w:eastAsia="Times New Roman" w:hAnsi="Times New Roman" w:cs="Times New Roman"/>
                <w:sz w:val="24"/>
                <w:szCs w:val="24"/>
              </w:rPr>
            </w:pPr>
          </w:p>
        </w:tc>
        <w:tc>
          <w:tcPr>
            <w:tcW w:w="1170" w:type="dxa"/>
            <w:tcMar>
              <w:top w:w="150" w:type="dxa"/>
              <w:left w:w="240" w:type="dxa"/>
              <w:bottom w:w="150" w:type="dxa"/>
              <w:right w:w="0" w:type="dxa"/>
            </w:tcMar>
            <w:vAlign w:val="center"/>
            <w:hideMark/>
          </w:tcPr>
          <w:p w14:paraId="2554D540" w14:textId="77777777" w:rsidR="00B347AC" w:rsidRPr="00B347AC" w:rsidRDefault="00B347AC" w:rsidP="00511C32">
            <w:pPr>
              <w:spacing w:after="0" w:line="240" w:lineRule="auto"/>
              <w:rPr>
                <w:rFonts w:ascii="Times New Roman" w:eastAsia="Times New Roman" w:hAnsi="Times New Roman" w:cs="Times New Roman"/>
                <w:sz w:val="24"/>
                <w:szCs w:val="24"/>
              </w:rPr>
            </w:pPr>
            <w:r w:rsidRPr="00B347AC">
              <w:rPr>
                <w:rFonts w:ascii="Times New Roman" w:eastAsia="Times New Roman" w:hAnsi="Times New Roman" w:cs="Times New Roman"/>
                <w:b/>
                <w:bCs/>
                <w:sz w:val="24"/>
                <w:szCs w:val="24"/>
              </w:rPr>
              <w:t>0.65 mL/h</w:t>
            </w:r>
          </w:p>
        </w:tc>
      </w:tr>
    </w:tbl>
    <w:p w14:paraId="2124A1B0" w14:textId="6FC72718" w:rsidR="00B347AC" w:rsidRPr="00B347AC" w:rsidRDefault="00B347AC" w:rsidP="000B190B">
      <w:pPr>
        <w:shd w:val="clear" w:color="auto" w:fill="FFFFFF"/>
        <w:spacing w:before="240" w:line="240" w:lineRule="auto"/>
        <w:jc w:val="both"/>
        <w:outlineLvl w:val="2"/>
        <w:rPr>
          <w:rFonts w:ascii="Times New Roman" w:eastAsia="Times New Roman" w:hAnsi="Times New Roman" w:cs="Times New Roman"/>
          <w:b/>
          <w:bCs/>
          <w:color w:val="0F1115"/>
          <w:sz w:val="24"/>
          <w:szCs w:val="24"/>
        </w:rPr>
      </w:pPr>
      <w:r w:rsidRPr="00B347AC">
        <w:rPr>
          <w:rFonts w:ascii="Times New Roman" w:eastAsia="Times New Roman" w:hAnsi="Times New Roman" w:cs="Times New Roman"/>
          <w:b/>
          <w:bCs/>
          <w:color w:val="0F1115"/>
          <w:sz w:val="24"/>
          <w:szCs w:val="24"/>
        </w:rPr>
        <w:t>Sources of Uncertainty in Biomedical Calibration</w:t>
      </w:r>
    </w:p>
    <w:p w14:paraId="5252D57D" w14:textId="52098EDE" w:rsidR="000E08E0" w:rsidRPr="00BA5A1D" w:rsidRDefault="000E08E0" w:rsidP="00D7191A">
      <w:pPr>
        <w:pStyle w:val="ListParagraph"/>
        <w:numPr>
          <w:ilvl w:val="1"/>
          <w:numId w:val="7"/>
        </w:numPr>
        <w:shd w:val="clear" w:color="auto" w:fill="FFFFFF"/>
        <w:spacing w:before="240" w:line="240" w:lineRule="auto"/>
        <w:jc w:val="both"/>
        <w:rPr>
          <w:rStyle w:val="cursor-pointer"/>
        </w:rPr>
      </w:pPr>
      <w:r w:rsidRPr="00BA5A1D">
        <w:rPr>
          <w:rStyle w:val="cursor-pointer"/>
          <w:rFonts w:ascii="Times New Roman" w:hAnsi="Times New Roman" w:cs="Times New Roman"/>
          <w:sz w:val="24"/>
          <w:szCs w:val="24"/>
        </w:rPr>
        <w:t>Reference standard uncertainty (calibration certificate (usually Type B))</w:t>
      </w:r>
      <w:r w:rsidRPr="00BA5A1D">
        <w:rPr>
          <w:rStyle w:val="cursor-pointer"/>
        </w:rPr>
        <w:t xml:space="preserve"> </w:t>
      </w:r>
    </w:p>
    <w:p w14:paraId="77D76DC3" w14:textId="619A6C8C" w:rsidR="000E08E0" w:rsidRPr="00BA5A1D" w:rsidRDefault="000E08E0" w:rsidP="00D7191A">
      <w:pPr>
        <w:pStyle w:val="ListParagraph"/>
        <w:numPr>
          <w:ilvl w:val="1"/>
          <w:numId w:val="7"/>
        </w:numPr>
        <w:shd w:val="clear" w:color="auto" w:fill="FFFFFF"/>
        <w:spacing w:before="240" w:line="240" w:lineRule="auto"/>
        <w:jc w:val="both"/>
        <w:rPr>
          <w:rStyle w:val="cursor-pointer"/>
        </w:rPr>
      </w:pPr>
      <w:r w:rsidRPr="00BA5A1D">
        <w:rPr>
          <w:rStyle w:val="cursor-pointer"/>
          <w:rFonts w:ascii="Times New Roman" w:hAnsi="Times New Roman" w:cs="Times New Roman"/>
          <w:sz w:val="24"/>
          <w:szCs w:val="24"/>
        </w:rPr>
        <w:t>DUT (digital: u=resolution/12u=resolution/12; analog: estimated to 1/5 of smallest division) resolution.</w:t>
      </w:r>
      <w:r w:rsidRPr="00BA5A1D">
        <w:rPr>
          <w:rStyle w:val="cursor-pointer"/>
        </w:rPr>
        <w:t xml:space="preserve"> </w:t>
      </w:r>
      <w:r w:rsidRPr="00BA5A1D">
        <w:rPr>
          <w:rStyle w:val="cursor-pointer"/>
          <w:rFonts w:ascii="Times New Roman" w:hAnsi="Times New Roman" w:cs="Times New Roman"/>
          <w:sz w:val="24"/>
          <w:szCs w:val="24"/>
        </w:rPr>
        <w:t>A repeatability (Type A where n is at least 10 measurements where possible)</w:t>
      </w:r>
      <w:r w:rsidRPr="00BA5A1D">
        <w:rPr>
          <w:rStyle w:val="cursor-pointer"/>
        </w:rPr>
        <w:t xml:space="preserve"> </w:t>
      </w:r>
    </w:p>
    <w:p w14:paraId="19E1732C" w14:textId="42F06183" w:rsidR="000E08E0" w:rsidRPr="00BA5A1D" w:rsidRDefault="000E08E0" w:rsidP="00D7191A">
      <w:pPr>
        <w:pStyle w:val="ListParagraph"/>
        <w:numPr>
          <w:ilvl w:val="1"/>
          <w:numId w:val="7"/>
        </w:numPr>
        <w:shd w:val="clear" w:color="auto" w:fill="FFFFFF"/>
        <w:spacing w:before="240" w:line="240" w:lineRule="auto"/>
        <w:jc w:val="both"/>
        <w:rPr>
          <w:rStyle w:val="cursor-pointer"/>
        </w:rPr>
      </w:pPr>
      <w:r w:rsidRPr="00BA5A1D">
        <w:rPr>
          <w:rStyle w:val="cursor-pointer"/>
          <w:rFonts w:ascii="Times New Roman" w:hAnsi="Times New Roman" w:cs="Times New Roman"/>
          <w:sz w:val="24"/>
          <w:szCs w:val="24"/>
        </w:rPr>
        <w:t>Reproducibility (different days, operators, setups)</w:t>
      </w:r>
      <w:r w:rsidRPr="00BA5A1D">
        <w:rPr>
          <w:rStyle w:val="cursor-pointer"/>
        </w:rPr>
        <w:t xml:space="preserve"> </w:t>
      </w:r>
    </w:p>
    <w:p w14:paraId="30AD2D75" w14:textId="51380CD2" w:rsidR="000E08E0" w:rsidRPr="00BA5A1D" w:rsidRDefault="000E08E0" w:rsidP="00D7191A">
      <w:pPr>
        <w:pStyle w:val="ListParagraph"/>
        <w:numPr>
          <w:ilvl w:val="1"/>
          <w:numId w:val="7"/>
        </w:numPr>
        <w:shd w:val="clear" w:color="auto" w:fill="FFFFFF"/>
        <w:spacing w:before="240" w:line="240" w:lineRule="auto"/>
        <w:jc w:val="both"/>
        <w:rPr>
          <w:rStyle w:val="cursor-pointer"/>
          <w:rFonts w:ascii="Times New Roman" w:hAnsi="Times New Roman" w:cs="Times New Roman"/>
          <w:sz w:val="24"/>
          <w:szCs w:val="24"/>
        </w:rPr>
      </w:pPr>
      <w:r w:rsidRPr="00BA5A1D">
        <w:rPr>
          <w:rStyle w:val="cursor-pointer"/>
          <w:rFonts w:ascii="Times New Roman" w:hAnsi="Times New Roman" w:cs="Times New Roman"/>
          <w:sz w:val="24"/>
          <w:szCs w:val="24"/>
        </w:rPr>
        <w:t>Environmental effects (temperature coefficient, humidity, barometric pressure)</w:t>
      </w:r>
    </w:p>
    <w:p w14:paraId="6309DE0D" w14:textId="26A175F0" w:rsidR="000E08E0" w:rsidRPr="00BA5A1D" w:rsidRDefault="000E08E0" w:rsidP="00D7191A">
      <w:pPr>
        <w:pStyle w:val="ListParagraph"/>
        <w:numPr>
          <w:ilvl w:val="1"/>
          <w:numId w:val="7"/>
        </w:numPr>
        <w:shd w:val="clear" w:color="auto" w:fill="FFFFFF"/>
        <w:spacing w:before="240" w:line="240" w:lineRule="auto"/>
        <w:jc w:val="both"/>
        <w:rPr>
          <w:rStyle w:val="cursor-pointer"/>
          <w:rFonts w:ascii="Times New Roman" w:hAnsi="Times New Roman" w:cs="Times New Roman"/>
          <w:sz w:val="24"/>
          <w:szCs w:val="24"/>
        </w:rPr>
      </w:pPr>
      <w:r w:rsidRPr="00BA5A1D">
        <w:rPr>
          <w:rStyle w:val="cursor-pointer"/>
          <w:rFonts w:ascii="Times New Roman" w:hAnsi="Times New Roman" w:cs="Times New Roman"/>
          <w:sz w:val="24"/>
          <w:szCs w:val="24"/>
        </w:rPr>
        <w:t>operator influence (connection torque, positioning, interpretation)</w:t>
      </w:r>
    </w:p>
    <w:p w14:paraId="263A3B66" w14:textId="43F62A9C" w:rsidR="000E08E0" w:rsidRPr="00BA5A1D" w:rsidRDefault="000E08E0" w:rsidP="00D7191A">
      <w:pPr>
        <w:pStyle w:val="ListParagraph"/>
        <w:numPr>
          <w:ilvl w:val="1"/>
          <w:numId w:val="7"/>
        </w:numPr>
        <w:shd w:val="clear" w:color="auto" w:fill="FFFFFF"/>
        <w:spacing w:before="240" w:line="240" w:lineRule="auto"/>
        <w:jc w:val="both"/>
        <w:rPr>
          <w:rStyle w:val="cursor-pointer"/>
        </w:rPr>
      </w:pPr>
      <w:r w:rsidRPr="00BA5A1D">
        <w:rPr>
          <w:rStyle w:val="cursor-pointer"/>
          <w:rFonts w:ascii="Times New Roman" w:hAnsi="Times New Roman" w:cs="Times New Roman"/>
          <w:sz w:val="24"/>
          <w:szCs w:val="24"/>
        </w:rPr>
        <w:t>Calibration to Calibration drift of standards.</w:t>
      </w:r>
      <w:r w:rsidRPr="00BA5A1D">
        <w:rPr>
          <w:rStyle w:val="cursor-pointer"/>
        </w:rPr>
        <w:t xml:space="preserve"> </w:t>
      </w:r>
    </w:p>
    <w:p w14:paraId="746A3944" w14:textId="77777777" w:rsidR="00BA5A1D" w:rsidRDefault="000E08E0" w:rsidP="00D7191A">
      <w:pPr>
        <w:pStyle w:val="ListParagraph"/>
        <w:numPr>
          <w:ilvl w:val="1"/>
          <w:numId w:val="7"/>
        </w:numPr>
        <w:shd w:val="clear" w:color="auto" w:fill="FFFFFF"/>
        <w:spacing w:before="240" w:line="240" w:lineRule="auto"/>
        <w:jc w:val="both"/>
        <w:rPr>
          <w:rStyle w:val="cursor-pointer"/>
        </w:rPr>
      </w:pPr>
      <w:r w:rsidRPr="00BA5A1D">
        <w:rPr>
          <w:rStyle w:val="cursor-pointer"/>
          <w:rFonts w:ascii="Times New Roman" w:hAnsi="Times New Roman" w:cs="Times New Roman"/>
          <w:sz w:val="24"/>
          <w:szCs w:val="24"/>
        </w:rPr>
        <w:t>Loading effects</w:t>
      </w:r>
      <w:r w:rsidRPr="00BA5A1D">
        <w:rPr>
          <w:rStyle w:val="cursor-pointer"/>
        </w:rPr>
        <w:t xml:space="preserve"> </w:t>
      </w:r>
    </w:p>
    <w:p w14:paraId="5D7299A4" w14:textId="62CE8245" w:rsidR="000E08E0" w:rsidRPr="00BA5A1D" w:rsidRDefault="000E08E0" w:rsidP="00D7191A">
      <w:pPr>
        <w:pStyle w:val="ListParagraph"/>
        <w:numPr>
          <w:ilvl w:val="1"/>
          <w:numId w:val="7"/>
        </w:numPr>
        <w:shd w:val="clear" w:color="auto" w:fill="FFFFFF"/>
        <w:spacing w:before="240" w:line="240" w:lineRule="auto"/>
        <w:jc w:val="both"/>
        <w:rPr>
          <w:rStyle w:val="cursor-pointer"/>
        </w:rPr>
      </w:pPr>
      <w:r w:rsidRPr="00BA5A1D">
        <w:rPr>
          <w:rStyle w:val="cursor-pointer"/>
          <w:rFonts w:ascii="Times New Roman" w:hAnsi="Times New Roman" w:cs="Times New Roman"/>
          <w:sz w:val="24"/>
          <w:szCs w:val="24"/>
        </w:rPr>
        <w:t>Hysteresis</w:t>
      </w:r>
      <w:r w:rsidR="00BA5A1D">
        <w:rPr>
          <w:rStyle w:val="cursor-pointer"/>
          <w:rFonts w:ascii="Times New Roman" w:hAnsi="Times New Roman" w:cs="Times New Roman"/>
          <w:sz w:val="24"/>
          <w:szCs w:val="24"/>
        </w:rPr>
        <w:t xml:space="preserve"> (</w:t>
      </w:r>
      <w:r w:rsidRPr="00BA5A1D">
        <w:rPr>
          <w:rStyle w:val="cursor-pointer"/>
          <w:rFonts w:ascii="Times New Roman" w:hAnsi="Times New Roman" w:cs="Times New Roman"/>
          <w:sz w:val="24"/>
          <w:szCs w:val="24"/>
        </w:rPr>
        <w:t xml:space="preserve">Pressure Hysteresis </w:t>
      </w:r>
      <w:r w:rsidR="00BA5A1D">
        <w:rPr>
          <w:rStyle w:val="cursor-pointer"/>
          <w:rFonts w:ascii="Times New Roman" w:hAnsi="Times New Roman" w:cs="Times New Roman"/>
          <w:sz w:val="24"/>
          <w:szCs w:val="24"/>
        </w:rPr>
        <w:t>&amp;</w:t>
      </w:r>
      <w:r w:rsidRPr="00BA5A1D">
        <w:rPr>
          <w:rStyle w:val="cursor-pointer"/>
          <w:rFonts w:ascii="Times New Roman" w:hAnsi="Times New Roman" w:cs="Times New Roman"/>
          <w:sz w:val="24"/>
          <w:szCs w:val="24"/>
        </w:rPr>
        <w:t xml:space="preserve"> Force Hysteresis</w:t>
      </w:r>
      <w:r w:rsidR="00BA5A1D">
        <w:rPr>
          <w:rStyle w:val="cursor-pointer"/>
          <w:rFonts w:ascii="Times New Roman" w:hAnsi="Times New Roman" w:cs="Times New Roman"/>
          <w:sz w:val="24"/>
          <w:szCs w:val="24"/>
        </w:rPr>
        <w:t>)</w:t>
      </w:r>
    </w:p>
    <w:p w14:paraId="6EB4F9D1" w14:textId="77777777" w:rsidR="004C0157" w:rsidRDefault="000E08E0" w:rsidP="000B190B">
      <w:pPr>
        <w:shd w:val="clear" w:color="auto" w:fill="FFFFFF"/>
        <w:spacing w:before="240" w:line="240" w:lineRule="auto"/>
        <w:jc w:val="both"/>
        <w:rPr>
          <w:rFonts w:ascii="Times New Roman" w:hAnsi="Times New Roman" w:cs="Times New Roman"/>
          <w:sz w:val="24"/>
          <w:szCs w:val="24"/>
        </w:rPr>
      </w:pPr>
      <w:r w:rsidRPr="004C0157">
        <w:rPr>
          <w:rStyle w:val="cursor-pointer"/>
          <w:rFonts w:ascii="Times New Roman" w:hAnsi="Times New Roman" w:cs="Times New Roman"/>
          <w:b/>
          <w:bCs/>
          <w:sz w:val="24"/>
          <w:szCs w:val="24"/>
        </w:rPr>
        <w:t>Type A and Type B Assessment</w:t>
      </w:r>
      <w:r w:rsidR="004C0157" w:rsidRPr="004C0157">
        <w:rPr>
          <w:rStyle w:val="cursor-pointer"/>
          <w:rFonts w:ascii="Times New Roman" w:hAnsi="Times New Roman" w:cs="Times New Roman"/>
          <w:b/>
          <w:bCs/>
          <w:sz w:val="24"/>
          <w:szCs w:val="24"/>
        </w:rPr>
        <w:t>:</w:t>
      </w:r>
      <w:r w:rsidRPr="003049EB">
        <w:rPr>
          <w:rFonts w:ascii="Times New Roman" w:hAnsi="Times New Roman" w:cs="Times New Roman"/>
          <w:sz w:val="24"/>
          <w:szCs w:val="24"/>
        </w:rPr>
        <w:t xml:space="preserve"> </w:t>
      </w:r>
    </w:p>
    <w:p w14:paraId="59FF944B" w14:textId="77777777" w:rsidR="004C0157" w:rsidRPr="004C0157" w:rsidRDefault="000E08E0" w:rsidP="00D7191A">
      <w:pPr>
        <w:pStyle w:val="ListParagraph"/>
        <w:numPr>
          <w:ilvl w:val="1"/>
          <w:numId w:val="7"/>
        </w:numPr>
        <w:shd w:val="clear" w:color="auto" w:fill="FFFFFF"/>
        <w:spacing w:before="240" w:line="240" w:lineRule="auto"/>
        <w:jc w:val="both"/>
        <w:rPr>
          <w:rStyle w:val="cursor-pointer"/>
        </w:rPr>
      </w:pPr>
      <w:r w:rsidRPr="004C0157">
        <w:rPr>
          <w:rStyle w:val="cursor-pointer"/>
          <w:rFonts w:ascii="Times New Roman" w:hAnsi="Times New Roman" w:cs="Times New Roman"/>
          <w:b/>
          <w:bCs/>
          <w:sz w:val="24"/>
          <w:szCs w:val="24"/>
        </w:rPr>
        <w:t>Type A:</w:t>
      </w:r>
      <w:r w:rsidRPr="004C0157">
        <w:rPr>
          <w:rStyle w:val="cursor-pointer"/>
          <w:rFonts w:ascii="Times New Roman" w:hAnsi="Times New Roman" w:cs="Times New Roman"/>
          <w:sz w:val="24"/>
          <w:szCs w:val="24"/>
        </w:rPr>
        <w:t xml:space="preserve"> measured by statistical analysis of repeated measurements (e.g., repeatability)</w:t>
      </w:r>
      <w:r w:rsidRPr="004C0157">
        <w:rPr>
          <w:rStyle w:val="cursor-pointer"/>
        </w:rPr>
        <w:t xml:space="preserve"> </w:t>
      </w:r>
    </w:p>
    <w:p w14:paraId="25E644F2" w14:textId="1862CECD" w:rsidR="000E08E0" w:rsidRPr="004C0157" w:rsidRDefault="000E08E0" w:rsidP="00D7191A">
      <w:pPr>
        <w:pStyle w:val="ListParagraph"/>
        <w:numPr>
          <w:ilvl w:val="1"/>
          <w:numId w:val="7"/>
        </w:numPr>
        <w:shd w:val="clear" w:color="auto" w:fill="FFFFFF"/>
        <w:spacing w:before="240" w:line="240" w:lineRule="auto"/>
        <w:jc w:val="both"/>
        <w:rPr>
          <w:rStyle w:val="cursor-pointer"/>
        </w:rPr>
      </w:pPr>
      <w:r w:rsidRPr="004C0157">
        <w:rPr>
          <w:rStyle w:val="cursor-pointer"/>
          <w:rFonts w:ascii="Times New Roman" w:hAnsi="Times New Roman" w:cs="Times New Roman"/>
          <w:b/>
          <w:bCs/>
          <w:sz w:val="24"/>
          <w:szCs w:val="24"/>
        </w:rPr>
        <w:lastRenderedPageBreak/>
        <w:t>Type B:</w:t>
      </w:r>
      <w:r w:rsidRPr="004C0157">
        <w:rPr>
          <w:rStyle w:val="cursor-pointer"/>
          <w:rFonts w:ascii="Times New Roman" w:hAnsi="Times New Roman" w:cs="Times New Roman"/>
          <w:sz w:val="24"/>
          <w:szCs w:val="24"/>
        </w:rPr>
        <w:t xml:space="preserve"> evaluated by means other than statistical analysis (calibration certificates, manufacturer specifications, published constants, experience) [24]</w:t>
      </w:r>
      <w:r w:rsidRPr="004C0157">
        <w:rPr>
          <w:rStyle w:val="cursor-pointer"/>
        </w:rPr>
        <w:t xml:space="preserve"> </w:t>
      </w:r>
    </w:p>
    <w:p w14:paraId="102A7EF5" w14:textId="73613DFA" w:rsidR="00D839A6" w:rsidRPr="00D839A6" w:rsidRDefault="000E08E0" w:rsidP="000B190B">
      <w:pPr>
        <w:shd w:val="clear" w:color="auto" w:fill="FFFFFF"/>
        <w:spacing w:before="240" w:line="240" w:lineRule="auto"/>
        <w:jc w:val="both"/>
        <w:rPr>
          <w:rFonts w:ascii="Times New Roman" w:hAnsi="Times New Roman" w:cs="Times New Roman"/>
          <w:b/>
          <w:bCs/>
          <w:sz w:val="24"/>
          <w:szCs w:val="24"/>
        </w:rPr>
      </w:pPr>
      <w:r w:rsidRPr="004C0157">
        <w:rPr>
          <w:rFonts w:ascii="Times New Roman" w:hAnsi="Times New Roman" w:cs="Times New Roman"/>
          <w:b/>
          <w:bCs/>
          <w:sz w:val="24"/>
          <w:szCs w:val="24"/>
        </w:rPr>
        <w:t>Combined Standard Uncertainty</w:t>
      </w:r>
      <w:r w:rsidR="00BC2C2C">
        <w:rPr>
          <w:rFonts w:ascii="Times New Roman" w:hAnsi="Times New Roman" w:cs="Times New Roman"/>
          <w:b/>
          <w:bCs/>
          <w:sz w:val="24"/>
          <w:szCs w:val="24"/>
        </w:rPr>
        <w:t>:</w:t>
      </w:r>
      <w:r w:rsidRPr="004C0157">
        <w:rPr>
          <w:rFonts w:ascii="Times New Roman" w:hAnsi="Times New Roman" w:cs="Times New Roman"/>
          <w:b/>
          <w:bCs/>
          <w:sz w:val="24"/>
          <w:szCs w:val="24"/>
        </w:rPr>
        <w:t xml:space="preserve"> </w:t>
      </w:r>
      <w:r w:rsidR="00511C32">
        <w:rPr>
          <w:rFonts w:ascii="Times New Roman" w:hAnsi="Times New Roman" w:cs="Times New Roman"/>
          <w:b/>
          <w:bCs/>
          <w:sz w:val="24"/>
          <w:szCs w:val="24"/>
        </w:rPr>
        <w:t xml:space="preserve">  </w:t>
      </w:r>
      <m:oMath>
        <m:sSub>
          <m:sSubPr>
            <m:ctrlPr>
              <w:rPr>
                <w:rFonts w:ascii="Cambria Math" w:hAnsi="Cambria Math" w:cs="Times New Roman"/>
                <w:bCs/>
                <w:i/>
                <w:sz w:val="24"/>
                <w:szCs w:val="24"/>
              </w:rPr>
            </m:ctrlPr>
          </m:sSubPr>
          <m:e>
            <m:r>
              <w:rPr>
                <w:rFonts w:ascii="Cambria Math" w:hAnsi="Cambria Math" w:cs="Times New Roman"/>
                <w:sz w:val="24"/>
                <w:szCs w:val="24"/>
              </w:rPr>
              <m:t>u</m:t>
            </m:r>
          </m:e>
          <m:sub>
            <m:r>
              <w:rPr>
                <w:rFonts w:ascii="Cambria Math" w:hAnsi="Cambria Math" w:cs="Times New Roman"/>
                <w:sz w:val="24"/>
                <w:szCs w:val="24"/>
              </w:rPr>
              <m:t>c</m:t>
            </m:r>
          </m:sub>
        </m:sSub>
        <m:r>
          <w:rPr>
            <w:rFonts w:ascii="Cambria Math" w:hAnsi="Cambria Math" w:cs="Times New Roman"/>
            <w:sz w:val="24"/>
            <w:szCs w:val="24"/>
          </w:rPr>
          <m:t>=</m:t>
        </m:r>
        <m:rad>
          <m:radPr>
            <m:degHide m:val="1"/>
            <m:ctrlPr>
              <w:rPr>
                <w:rFonts w:ascii="Cambria Math" w:hAnsi="Cambria Math" w:cs="Times New Roman"/>
                <w:bCs/>
                <w:i/>
                <w:sz w:val="24"/>
                <w:szCs w:val="24"/>
              </w:rPr>
            </m:ctrlPr>
          </m:radPr>
          <m:deg/>
          <m:e>
            <m:sSubSup>
              <m:sSubSupPr>
                <m:ctrlPr>
                  <w:rPr>
                    <w:rFonts w:ascii="Cambria Math" w:hAnsi="Cambria Math" w:cs="Times New Roman"/>
                    <w:bCs/>
                    <w:i/>
                    <w:sz w:val="24"/>
                    <w:szCs w:val="24"/>
                  </w:rPr>
                </m:ctrlPr>
              </m:sSubSupPr>
              <m:e>
                <m:r>
                  <w:rPr>
                    <w:rFonts w:ascii="Cambria Math" w:hAnsi="Cambria Math" w:cs="Times New Roman"/>
                    <w:sz w:val="24"/>
                    <w:szCs w:val="24"/>
                  </w:rPr>
                  <m:t>(u</m:t>
                </m:r>
              </m:e>
              <m:sub>
                <m:r>
                  <w:rPr>
                    <w:rFonts w:ascii="Cambria Math" w:hAnsi="Cambria Math" w:cs="Times New Roman"/>
                    <w:sz w:val="24"/>
                    <w:szCs w:val="24"/>
                  </w:rPr>
                  <m:t>1</m:t>
                </m:r>
              </m:sub>
              <m:sup>
                <m:r>
                  <w:rPr>
                    <w:rFonts w:ascii="Cambria Math" w:hAnsi="Cambria Math" w:cs="Times New Roman"/>
                    <w:sz w:val="24"/>
                    <w:szCs w:val="24"/>
                  </w:rPr>
                  <m:t>2</m:t>
                </m:r>
              </m:sup>
            </m:sSubSup>
            <m:r>
              <w:rPr>
                <w:rFonts w:ascii="Cambria Math" w:hAnsi="Cambria Math" w:cs="Times New Roman"/>
                <w:sz w:val="24"/>
                <w:szCs w:val="24"/>
              </w:rPr>
              <m:t>+</m:t>
            </m:r>
            <m:sSubSup>
              <m:sSubSupPr>
                <m:ctrlPr>
                  <w:rPr>
                    <w:rFonts w:ascii="Cambria Math" w:hAnsi="Cambria Math" w:cs="Times New Roman"/>
                    <w:bCs/>
                    <w:i/>
                    <w:sz w:val="24"/>
                    <w:szCs w:val="24"/>
                  </w:rPr>
                </m:ctrlPr>
              </m:sSubSupPr>
              <m:e>
                <m:r>
                  <w:rPr>
                    <w:rFonts w:ascii="Cambria Math" w:hAnsi="Cambria Math" w:cs="Times New Roman"/>
                    <w:sz w:val="24"/>
                    <w:szCs w:val="24"/>
                  </w:rPr>
                  <m:t>u</m:t>
                </m:r>
              </m:e>
              <m:sub>
                <m:r>
                  <w:rPr>
                    <w:rFonts w:ascii="Cambria Math" w:hAnsi="Cambria Math" w:cs="Times New Roman"/>
                    <w:sz w:val="24"/>
                    <w:szCs w:val="24"/>
                  </w:rPr>
                  <m:t>1</m:t>
                </m:r>
              </m:sub>
              <m:sup>
                <m:r>
                  <w:rPr>
                    <w:rFonts w:ascii="Cambria Math" w:hAnsi="Cambria Math" w:cs="Times New Roman"/>
                    <w:sz w:val="24"/>
                    <w:szCs w:val="24"/>
                  </w:rPr>
                  <m:t>2</m:t>
                </m:r>
              </m:sup>
            </m:sSubSup>
          </m:e>
        </m:rad>
        <m:r>
          <w:rPr>
            <w:rFonts w:ascii="Cambria Math" w:hAnsi="Cambria Math" w:cs="Times New Roman"/>
            <w:sz w:val="24"/>
            <w:szCs w:val="24"/>
          </w:rPr>
          <m:t>+</m:t>
        </m:r>
        <m:sSubSup>
          <m:sSubSupPr>
            <m:ctrlPr>
              <w:rPr>
                <w:rFonts w:ascii="Cambria Math" w:hAnsi="Cambria Math" w:cs="Times New Roman"/>
                <w:bCs/>
                <w:i/>
                <w:sz w:val="24"/>
                <w:szCs w:val="24"/>
              </w:rPr>
            </m:ctrlPr>
          </m:sSubSupPr>
          <m:e>
            <m:r>
              <w:rPr>
                <w:rFonts w:ascii="Cambria Math" w:hAnsi="Cambria Math" w:cs="Times New Roman"/>
                <w:sz w:val="24"/>
                <w:szCs w:val="24"/>
              </w:rPr>
              <m:t>u</m:t>
            </m:r>
          </m:e>
          <m:sub>
            <m:r>
              <w:rPr>
                <w:rFonts w:ascii="Cambria Math" w:hAnsi="Cambria Math" w:cs="Times New Roman"/>
                <w:sz w:val="24"/>
                <w:szCs w:val="24"/>
              </w:rPr>
              <m:t>1</m:t>
            </m:r>
          </m:sub>
          <m:sup>
            <m:r>
              <w:rPr>
                <w:rFonts w:ascii="Cambria Math" w:hAnsi="Cambria Math" w:cs="Times New Roman"/>
                <w:sz w:val="24"/>
                <w:szCs w:val="24"/>
              </w:rPr>
              <m:t>2</m:t>
            </m:r>
          </m:sup>
        </m:sSubSup>
        <m:r>
          <w:rPr>
            <w:rFonts w:ascii="Cambria Math" w:hAnsi="Cambria Math" w:cs="Times New Roman"/>
            <w:sz w:val="24"/>
            <w:szCs w:val="24"/>
          </w:rPr>
          <m:t>+…+2</m:t>
        </m:r>
        <m:nary>
          <m:naryPr>
            <m:chr m:val="∑"/>
            <m:limLoc m:val="undOvr"/>
            <m:supHide m:val="1"/>
            <m:ctrlPr>
              <w:rPr>
                <w:rFonts w:ascii="Cambria Math" w:hAnsi="Cambria Math" w:cs="Times New Roman"/>
                <w:bCs/>
                <w:i/>
                <w:sz w:val="24"/>
                <w:szCs w:val="24"/>
              </w:rPr>
            </m:ctrlPr>
          </m:naryPr>
          <m:sub>
            <m:r>
              <w:rPr>
                <w:rFonts w:ascii="Cambria Math" w:hAnsi="Cambria Math" w:cs="Times New Roman"/>
                <w:sz w:val="24"/>
                <w:szCs w:val="24"/>
              </w:rPr>
              <m:t>i&lt;j</m:t>
            </m:r>
          </m:sub>
          <m:sup/>
          <m:e>
            <m:sSub>
              <m:sSubPr>
                <m:ctrlPr>
                  <w:rPr>
                    <w:rFonts w:ascii="Cambria Math" w:hAnsi="Cambria Math" w:cs="Times New Roman"/>
                    <w:bCs/>
                    <w:i/>
                    <w:sz w:val="24"/>
                    <w:szCs w:val="24"/>
                  </w:rPr>
                </m:ctrlPr>
              </m:sSubPr>
              <m:e>
                <m:r>
                  <w:rPr>
                    <w:rFonts w:ascii="Cambria Math" w:hAnsi="Cambria Math" w:cs="Times New Roman"/>
                    <w:sz w:val="24"/>
                    <w:szCs w:val="24"/>
                  </w:rPr>
                  <m:t>r</m:t>
                </m:r>
              </m:e>
              <m:sub>
                <m:r>
                  <w:rPr>
                    <w:rFonts w:ascii="Cambria Math" w:hAnsi="Cambria Math" w:cs="Times New Roman"/>
                    <w:sz w:val="24"/>
                    <w:szCs w:val="24"/>
                  </w:rPr>
                  <m:t>ij</m:t>
                </m:r>
              </m:sub>
            </m:sSub>
          </m:e>
        </m:nary>
        <m:sSub>
          <m:sSubPr>
            <m:ctrlPr>
              <w:rPr>
                <w:rFonts w:ascii="Cambria Math" w:hAnsi="Cambria Math" w:cs="Times New Roman"/>
                <w:bCs/>
                <w:i/>
                <w:sz w:val="24"/>
                <w:szCs w:val="24"/>
              </w:rPr>
            </m:ctrlPr>
          </m:sSubPr>
          <m:e>
            <m:r>
              <w:rPr>
                <w:rFonts w:ascii="Cambria Math" w:hAnsi="Cambria Math" w:cs="Times New Roman"/>
                <w:sz w:val="24"/>
                <w:szCs w:val="24"/>
              </w:rPr>
              <m:t>u</m:t>
            </m:r>
          </m:e>
          <m:sub>
            <m:r>
              <w:rPr>
                <w:rFonts w:ascii="Cambria Math" w:hAnsi="Cambria Math" w:cs="Times New Roman"/>
                <w:sz w:val="24"/>
                <w:szCs w:val="24"/>
              </w:rPr>
              <m:t>i</m:t>
            </m:r>
          </m:sub>
        </m:sSub>
        <m:sSub>
          <m:sSubPr>
            <m:ctrlPr>
              <w:rPr>
                <w:rFonts w:ascii="Cambria Math" w:hAnsi="Cambria Math" w:cs="Times New Roman"/>
                <w:bCs/>
                <w:i/>
                <w:sz w:val="24"/>
                <w:szCs w:val="24"/>
              </w:rPr>
            </m:ctrlPr>
          </m:sSubPr>
          <m:e>
            <m:r>
              <w:rPr>
                <w:rFonts w:ascii="Cambria Math" w:hAnsi="Cambria Math" w:cs="Times New Roman"/>
                <w:sz w:val="24"/>
                <w:szCs w:val="24"/>
              </w:rPr>
              <m:t>u</m:t>
            </m:r>
          </m:e>
          <m:sub>
            <m:r>
              <w:rPr>
                <w:rFonts w:ascii="Cambria Math" w:hAnsi="Cambria Math" w:cs="Times New Roman"/>
                <w:sz w:val="24"/>
                <w:szCs w:val="24"/>
              </w:rPr>
              <m:t>j</m:t>
            </m:r>
          </m:sub>
        </m:sSub>
        <m:r>
          <w:rPr>
            <w:rFonts w:ascii="Cambria Math" w:hAnsi="Cambria Math" w:cs="Times New Roman"/>
            <w:sz w:val="24"/>
            <w:szCs w:val="24"/>
          </w:rPr>
          <m:t>)</m:t>
        </m:r>
      </m:oMath>
    </w:p>
    <w:p w14:paraId="55C25CF7" w14:textId="5D86FBB3" w:rsidR="00D839A6" w:rsidRDefault="000E08E0" w:rsidP="000B190B">
      <w:pPr>
        <w:shd w:val="clear" w:color="auto" w:fill="FFFFFF"/>
        <w:spacing w:before="240" w:line="240" w:lineRule="auto"/>
        <w:jc w:val="both"/>
        <w:rPr>
          <w:rFonts w:ascii="Times New Roman" w:hAnsi="Times New Roman" w:cs="Times New Roman"/>
          <w:sz w:val="24"/>
          <w:szCs w:val="24"/>
        </w:rPr>
      </w:pPr>
      <w:r w:rsidRPr="00D839A6">
        <w:rPr>
          <w:rFonts w:ascii="Times New Roman" w:hAnsi="Times New Roman" w:cs="Times New Roman"/>
          <w:b/>
          <w:bCs/>
          <w:sz w:val="24"/>
          <w:szCs w:val="24"/>
        </w:rPr>
        <w:t>Expanded Uncertainty</w:t>
      </w:r>
      <w:r w:rsidR="00BC2C2C">
        <w:rPr>
          <w:rFonts w:ascii="Times New Roman" w:hAnsi="Times New Roman" w:cs="Times New Roman"/>
          <w:sz w:val="24"/>
          <w:szCs w:val="24"/>
        </w:rPr>
        <w:t xml:space="preserve">:           </w:t>
      </w:r>
      <w:r w:rsidR="00511C32">
        <w:rPr>
          <w:rFonts w:ascii="Times New Roman" w:hAnsi="Times New Roman" w:cs="Times New Roman"/>
          <w:sz w:val="24"/>
          <w:szCs w:val="24"/>
        </w:rPr>
        <w:t xml:space="preserve">       </w:t>
      </w:r>
      <w:r w:rsidR="00BC2C2C">
        <w:rPr>
          <w:rFonts w:ascii="Times New Roman" w:hAnsi="Times New Roman" w:cs="Times New Roman"/>
          <w:sz w:val="24"/>
          <w:szCs w:val="24"/>
        </w:rPr>
        <w:t xml:space="preserve">   </w:t>
      </w:r>
      <m:oMath>
        <m:r>
          <w:rPr>
            <w:rFonts w:ascii="Cambria Math" w:hAnsi="Cambria Math" w:cs="Times New Roman"/>
            <w:sz w:val="24"/>
            <w:szCs w:val="24"/>
          </w:rPr>
          <m:t>U=k</m:t>
        </m:r>
        <m:r>
          <m:rPr>
            <m:sty m:val="p"/>
          </m:rPr>
          <w:rPr>
            <w:rFonts w:ascii="Cambria Math" w:hAnsi="Cambria Math"/>
            <w:color w:val="0F1115"/>
            <w:sz w:val="29"/>
            <w:szCs w:val="29"/>
            <w:shd w:val="clear" w:color="auto" w:fill="FFFFFF"/>
          </w:rPr>
          <m:t>×</m:t>
        </m:r>
        <m:sSub>
          <m:sSubPr>
            <m:ctrlPr>
              <w:rPr>
                <w:rFonts w:ascii="Cambria Math" w:hAnsi="Cambria Math"/>
                <w:color w:val="0F1115"/>
                <w:sz w:val="29"/>
                <w:szCs w:val="29"/>
                <w:shd w:val="clear" w:color="auto" w:fill="FFFFFF"/>
              </w:rPr>
            </m:ctrlPr>
          </m:sSubPr>
          <m:e>
            <m:r>
              <w:rPr>
                <w:rFonts w:ascii="Cambria Math" w:hAnsi="Cambria Math"/>
                <w:color w:val="0F1115"/>
                <w:sz w:val="29"/>
                <w:szCs w:val="29"/>
                <w:shd w:val="clear" w:color="auto" w:fill="FFFFFF"/>
              </w:rPr>
              <m:t>u</m:t>
            </m:r>
          </m:e>
          <m:sub>
            <m:r>
              <w:rPr>
                <w:rFonts w:ascii="Cambria Math" w:hAnsi="Cambria Math"/>
                <w:color w:val="0F1115"/>
                <w:sz w:val="29"/>
                <w:szCs w:val="29"/>
                <w:shd w:val="clear" w:color="auto" w:fill="FFFFFF"/>
              </w:rPr>
              <m:t>c</m:t>
            </m:r>
          </m:sub>
        </m:sSub>
      </m:oMath>
    </w:p>
    <w:p w14:paraId="2E2511E3" w14:textId="16924B7F" w:rsidR="000E08E0" w:rsidRPr="003049EB" w:rsidRDefault="000E08E0" w:rsidP="000B190B">
      <w:pPr>
        <w:shd w:val="clear" w:color="auto" w:fill="FFFFFF"/>
        <w:spacing w:before="240" w:line="240" w:lineRule="auto"/>
        <w:jc w:val="both"/>
        <w:rPr>
          <w:rStyle w:val="cursor-pointer"/>
          <w:rFonts w:ascii="Times New Roman" w:hAnsi="Times New Roman" w:cs="Times New Roman"/>
          <w:sz w:val="24"/>
          <w:szCs w:val="24"/>
        </w:rPr>
      </w:pPr>
      <w:r w:rsidRPr="003049EB">
        <w:rPr>
          <w:rStyle w:val="cursor-pointer"/>
          <w:rFonts w:ascii="Times New Roman" w:hAnsi="Times New Roman" w:cs="Times New Roman"/>
          <w:sz w:val="24"/>
          <w:szCs w:val="24"/>
        </w:rPr>
        <w:t>With confidence levels of about 95% (k</w:t>
      </w:r>
      <w:r w:rsidR="00BC2C2C">
        <w:rPr>
          <w:rStyle w:val="cursor-pointer"/>
          <w:rFonts w:ascii="Times New Roman" w:hAnsi="Times New Roman" w:cs="Times New Roman"/>
          <w:sz w:val="24"/>
          <w:szCs w:val="24"/>
        </w:rPr>
        <w:t xml:space="preserve"> = </w:t>
      </w:r>
      <w:r w:rsidRPr="003049EB">
        <w:rPr>
          <w:rStyle w:val="cursor-pointer"/>
          <w:rFonts w:ascii="Times New Roman" w:hAnsi="Times New Roman" w:cs="Times New Roman"/>
          <w:sz w:val="24"/>
          <w:szCs w:val="24"/>
        </w:rPr>
        <w:t>2) or 99.7% (k</w:t>
      </w:r>
      <w:r w:rsidR="00BC2C2C">
        <w:rPr>
          <w:rStyle w:val="cursor-pointer"/>
          <w:rFonts w:ascii="Times New Roman" w:hAnsi="Times New Roman" w:cs="Times New Roman"/>
          <w:sz w:val="24"/>
          <w:szCs w:val="24"/>
        </w:rPr>
        <w:t xml:space="preserve"> = </w:t>
      </w:r>
      <w:r w:rsidRPr="003049EB">
        <w:rPr>
          <w:rStyle w:val="cursor-pointer"/>
          <w:rFonts w:ascii="Times New Roman" w:hAnsi="Times New Roman" w:cs="Times New Roman"/>
          <w:sz w:val="24"/>
          <w:szCs w:val="24"/>
        </w:rPr>
        <w:t>3), respectively.</w:t>
      </w:r>
      <w:r w:rsidRPr="003049EB">
        <w:rP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Accredited calibration certificates must have k</w:t>
      </w:r>
      <w:r w:rsidR="00BC2C2C">
        <w:rPr>
          <w:rStyle w:val="cursor-pointer"/>
          <w:rFonts w:ascii="Times New Roman" w:hAnsi="Times New Roman" w:cs="Times New Roman"/>
          <w:sz w:val="24"/>
          <w:szCs w:val="24"/>
        </w:rPr>
        <w:t xml:space="preserve"> = </w:t>
      </w:r>
      <w:r w:rsidRPr="003049EB">
        <w:rPr>
          <w:rStyle w:val="cursor-pointer"/>
          <w:rFonts w:ascii="Times New Roman" w:hAnsi="Times New Roman" w:cs="Times New Roman"/>
          <w:sz w:val="24"/>
          <w:szCs w:val="24"/>
        </w:rPr>
        <w:t>2 unless indicated otherwise [17].</w:t>
      </w:r>
    </w:p>
    <w:p w14:paraId="342979D2" w14:textId="6989FFA8" w:rsidR="00BC2C2C" w:rsidRDefault="000E08E0" w:rsidP="000B190B">
      <w:pPr>
        <w:shd w:val="clear" w:color="auto" w:fill="FFFFFF"/>
        <w:spacing w:before="240" w:line="240" w:lineRule="auto"/>
        <w:jc w:val="both"/>
        <w:rPr>
          <w:rStyle w:val="cursor-pointer"/>
          <w:rFonts w:ascii="Times New Roman" w:hAnsi="Times New Roman" w:cs="Times New Roman"/>
          <w:sz w:val="24"/>
          <w:szCs w:val="24"/>
        </w:rPr>
      </w:pPr>
      <w:r w:rsidRPr="00BC2C2C">
        <w:rPr>
          <w:rStyle w:val="cursor-pointer"/>
          <w:rFonts w:ascii="Times New Roman" w:hAnsi="Times New Roman" w:cs="Times New Roman"/>
          <w:b/>
          <w:bCs/>
          <w:sz w:val="24"/>
          <w:szCs w:val="24"/>
        </w:rPr>
        <w:t>Detailed Worked Problem</w:t>
      </w:r>
    </w:p>
    <w:p w14:paraId="1F86BEC5" w14:textId="77777777" w:rsidR="00BC2C2C" w:rsidRDefault="000E08E0" w:rsidP="000B190B">
      <w:pPr>
        <w:shd w:val="clear" w:color="auto" w:fill="FFFFFF"/>
        <w:spacing w:before="240" w:line="240" w:lineRule="auto"/>
        <w:jc w:val="both"/>
        <w:rPr>
          <w:rFonts w:ascii="Times New Roman" w:hAnsi="Times New Roman" w:cs="Times New Roman"/>
          <w:sz w:val="24"/>
          <w:szCs w:val="24"/>
        </w:rPr>
      </w:pPr>
      <w:r w:rsidRPr="003049EB">
        <w:rPr>
          <w:rStyle w:val="cursor-pointer"/>
          <w:rFonts w:ascii="Times New Roman" w:hAnsi="Times New Roman" w:cs="Times New Roman"/>
          <w:sz w:val="24"/>
          <w:szCs w:val="24"/>
        </w:rPr>
        <w:t>Calibration of the Infusion Pump Flow Rate.</w:t>
      </w:r>
      <w:r w:rsidRPr="003049EB">
        <w:rP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Background: Hospital-grade volumetric infusion pump set to 100 mL/h and measured using gravimetric procedure with calibrated balance and timer.</w:t>
      </w:r>
      <w:r w:rsidRPr="003049EB">
        <w:rPr>
          <w:rFonts w:ascii="Times New Roman" w:hAnsi="Times New Roman" w:cs="Times New Roman"/>
          <w:sz w:val="24"/>
          <w:szCs w:val="24"/>
        </w:rPr>
        <w:t xml:space="preserve"> </w:t>
      </w:r>
    </w:p>
    <w:p w14:paraId="3AD55BB4" w14:textId="38F24D65" w:rsidR="00BC2C2C" w:rsidRDefault="000E08E0" w:rsidP="000B190B">
      <w:pPr>
        <w:shd w:val="clear" w:color="auto" w:fill="FFFFFF"/>
        <w:spacing w:before="240" w:line="240" w:lineRule="auto"/>
        <w:jc w:val="both"/>
        <w:rPr>
          <w:rFonts w:ascii="Times New Roman" w:hAnsi="Times New Roman" w:cs="Times New Roman"/>
          <w:sz w:val="24"/>
          <w:szCs w:val="24"/>
        </w:rPr>
      </w:pPr>
      <w:r w:rsidRPr="003049EB">
        <w:rPr>
          <w:rStyle w:val="cursor-pointer"/>
          <w:rFonts w:ascii="Times New Roman" w:hAnsi="Times New Roman" w:cs="Times New Roman"/>
          <w:sz w:val="24"/>
          <w:szCs w:val="24"/>
        </w:rPr>
        <w:t>Uncertainty budget as in Table 3 gives:</w:t>
      </w:r>
    </w:p>
    <w:p w14:paraId="0046867E" w14:textId="151925FE" w:rsidR="00BC2C2C" w:rsidRDefault="001E2BF8" w:rsidP="00BC2C2C">
      <w:pPr>
        <w:shd w:val="clear" w:color="auto" w:fill="FFFFFF"/>
        <w:spacing w:after="0" w:line="240" w:lineRule="auto"/>
        <w:jc w:val="both"/>
        <w:rPr>
          <w:rFonts w:ascii="Times New Roman" w:hAnsi="Times New Roman" w:cs="Times New Roman"/>
          <w:sz w:val="24"/>
          <w:szCs w:val="24"/>
        </w:rPr>
      </w:pPr>
      <m:oMath>
        <m:sSub>
          <m:sSubPr>
            <m:ctrlPr>
              <w:rPr>
                <w:rFonts w:ascii="Cambria Math" w:hAnsi="Cambria Math"/>
                <w:color w:val="0F1115"/>
                <w:sz w:val="29"/>
                <w:szCs w:val="29"/>
                <w:shd w:val="clear" w:color="auto" w:fill="FFFFFF"/>
              </w:rPr>
            </m:ctrlPr>
          </m:sSubPr>
          <m:e>
            <m:r>
              <w:rPr>
                <w:rFonts w:ascii="Cambria Math" w:hAnsi="Cambria Math"/>
                <w:color w:val="0F1115"/>
                <w:sz w:val="29"/>
                <w:szCs w:val="29"/>
                <w:shd w:val="clear" w:color="auto" w:fill="FFFFFF"/>
              </w:rPr>
              <m:t>u</m:t>
            </m:r>
          </m:e>
          <m:sub>
            <m:r>
              <w:rPr>
                <w:rFonts w:ascii="Cambria Math" w:hAnsi="Cambria Math"/>
                <w:color w:val="0F1115"/>
                <w:sz w:val="29"/>
                <w:szCs w:val="29"/>
                <w:shd w:val="clear" w:color="auto" w:fill="FFFFFF"/>
              </w:rPr>
              <m:t>c</m:t>
            </m:r>
          </m:sub>
        </m:sSub>
      </m:oMath>
      <w:r w:rsidR="000E08E0" w:rsidRPr="003049EB">
        <w:rPr>
          <w:rFonts w:ascii="Times New Roman" w:hAnsi="Times New Roman" w:cs="Times New Roman"/>
          <w:sz w:val="24"/>
          <w:szCs w:val="24"/>
        </w:rPr>
        <w:t>=</w:t>
      </w:r>
      <w:r w:rsidR="00BC2C2C">
        <w:rPr>
          <w:rFonts w:ascii="Times New Roman" w:hAnsi="Times New Roman" w:cs="Times New Roman"/>
          <w:sz w:val="24"/>
          <w:szCs w:val="24"/>
        </w:rPr>
        <w:t xml:space="preserve"> </w:t>
      </w:r>
      <w:r w:rsidR="000E08E0" w:rsidRPr="003049EB">
        <w:rPr>
          <w:rFonts w:ascii="Times New Roman" w:hAnsi="Times New Roman" w:cs="Times New Roman"/>
          <w:sz w:val="24"/>
          <w:szCs w:val="24"/>
        </w:rPr>
        <w:t>0.325 mL/h</w:t>
      </w:r>
    </w:p>
    <w:p w14:paraId="52C3BEC1" w14:textId="4389E52E" w:rsidR="00BC2C2C" w:rsidRDefault="000E08E0" w:rsidP="00BC2C2C">
      <w:pPr>
        <w:shd w:val="clear" w:color="auto" w:fill="FFFFFF"/>
        <w:spacing w:after="0" w:line="240" w:lineRule="auto"/>
        <w:jc w:val="both"/>
        <w:rPr>
          <w:rFonts w:ascii="Times New Roman" w:hAnsi="Times New Roman" w:cs="Times New Roman"/>
          <w:sz w:val="24"/>
          <w:szCs w:val="24"/>
        </w:rPr>
      </w:pPr>
      <w:r w:rsidRPr="003049EB">
        <w:rPr>
          <w:rFonts w:ascii="Times New Roman" w:hAnsi="Times New Roman" w:cs="Times New Roman"/>
          <w:sz w:val="24"/>
          <w:szCs w:val="24"/>
        </w:rPr>
        <w:t>U</w:t>
      </w:r>
      <w:r w:rsidR="00BC2C2C">
        <w:rPr>
          <w:rFonts w:ascii="Times New Roman" w:hAnsi="Times New Roman" w:cs="Times New Roman"/>
          <w:sz w:val="24"/>
          <w:szCs w:val="24"/>
        </w:rPr>
        <w:t xml:space="preserve"> </w:t>
      </w:r>
      <w:r w:rsidRPr="003049EB">
        <w:rPr>
          <w:rFonts w:ascii="Times New Roman" w:hAnsi="Times New Roman" w:cs="Times New Roman"/>
          <w:sz w:val="24"/>
          <w:szCs w:val="24"/>
        </w:rPr>
        <w:t>=</w:t>
      </w:r>
      <w:r w:rsidR="00BC2C2C">
        <w:rPr>
          <w:rFonts w:ascii="Times New Roman" w:hAnsi="Times New Roman" w:cs="Times New Roman"/>
          <w:sz w:val="24"/>
          <w:szCs w:val="24"/>
        </w:rPr>
        <w:t xml:space="preserve"> </w:t>
      </w:r>
      <w:r w:rsidRPr="003049EB">
        <w:rPr>
          <w:rFonts w:ascii="Times New Roman" w:hAnsi="Times New Roman" w:cs="Times New Roman"/>
          <w:sz w:val="24"/>
          <w:szCs w:val="24"/>
        </w:rPr>
        <w:t>2×0.325</w:t>
      </w:r>
      <w:r w:rsidR="00BC2C2C">
        <w:rPr>
          <w:rFonts w:ascii="Times New Roman" w:hAnsi="Times New Roman" w:cs="Times New Roman"/>
          <w:sz w:val="24"/>
          <w:szCs w:val="24"/>
        </w:rPr>
        <w:t xml:space="preserve"> </w:t>
      </w:r>
      <w:r w:rsidRPr="003049EB">
        <w:rPr>
          <w:rFonts w:ascii="Times New Roman" w:hAnsi="Times New Roman" w:cs="Times New Roman"/>
          <w:sz w:val="24"/>
          <w:szCs w:val="24"/>
        </w:rPr>
        <w:t>=</w:t>
      </w:r>
      <w:r w:rsidR="00BC2C2C">
        <w:rPr>
          <w:rFonts w:ascii="Times New Roman" w:hAnsi="Times New Roman" w:cs="Times New Roman"/>
          <w:sz w:val="24"/>
          <w:szCs w:val="24"/>
        </w:rPr>
        <w:t xml:space="preserve"> </w:t>
      </w:r>
      <w:r w:rsidRPr="003049EB">
        <w:rPr>
          <w:rFonts w:ascii="Times New Roman" w:hAnsi="Times New Roman" w:cs="Times New Roman"/>
          <w:sz w:val="24"/>
          <w:szCs w:val="24"/>
        </w:rPr>
        <w:t>0.65 mL/h</w:t>
      </w:r>
    </w:p>
    <w:p w14:paraId="6F1A57FF" w14:textId="34C41F21" w:rsidR="000E08E0" w:rsidRPr="003049EB" w:rsidRDefault="000E08E0" w:rsidP="000B190B">
      <w:pPr>
        <w:shd w:val="clear" w:color="auto" w:fill="FFFFFF"/>
        <w:spacing w:before="240" w:line="240" w:lineRule="auto"/>
        <w:jc w:val="both"/>
        <w:rPr>
          <w:rFonts w:ascii="Times New Roman" w:hAnsi="Times New Roman" w:cs="Times New Roman"/>
          <w:sz w:val="24"/>
          <w:szCs w:val="24"/>
        </w:rPr>
      </w:pPr>
      <w:r w:rsidRPr="00BC2C2C">
        <w:rPr>
          <w:rFonts w:ascii="Times New Roman" w:hAnsi="Times New Roman" w:cs="Times New Roman"/>
          <w:b/>
          <w:bCs/>
          <w:sz w:val="24"/>
          <w:szCs w:val="24"/>
        </w:rPr>
        <w:t>Reported result:</w:t>
      </w:r>
      <w:r w:rsidRPr="003049EB">
        <w:rPr>
          <w:rFonts w:ascii="Times New Roman" w:hAnsi="Times New Roman" w:cs="Times New Roman"/>
          <w:sz w:val="24"/>
          <w:szCs w:val="24"/>
        </w:rPr>
        <w:t xml:space="preserve"> Flow rate error = +0.2 mL/h ± 0.7 mL/h (k</w:t>
      </w:r>
      <w:r w:rsidR="00BC2C2C">
        <w:rPr>
          <w:rFonts w:ascii="Times New Roman" w:hAnsi="Times New Roman" w:cs="Times New Roman"/>
          <w:sz w:val="24"/>
          <w:szCs w:val="24"/>
        </w:rPr>
        <w:t xml:space="preserve"> </w:t>
      </w:r>
      <w:r w:rsidRPr="003049EB">
        <w:rPr>
          <w:rFonts w:ascii="Times New Roman" w:hAnsi="Times New Roman" w:cs="Times New Roman"/>
          <w:sz w:val="24"/>
          <w:szCs w:val="24"/>
        </w:rPr>
        <w:t>=</w:t>
      </w:r>
      <w:r w:rsidR="00BC2C2C">
        <w:rPr>
          <w:rFonts w:ascii="Times New Roman" w:hAnsi="Times New Roman" w:cs="Times New Roman"/>
          <w:sz w:val="24"/>
          <w:szCs w:val="24"/>
        </w:rPr>
        <w:t xml:space="preserve"> </w:t>
      </w:r>
      <w:r w:rsidRPr="003049EB">
        <w:rPr>
          <w:rFonts w:ascii="Times New Roman" w:hAnsi="Times New Roman" w:cs="Times New Roman"/>
          <w:sz w:val="24"/>
          <w:szCs w:val="24"/>
        </w:rPr>
        <w:t>2) at 100 mL/h setting.</w:t>
      </w:r>
    </w:p>
    <w:p w14:paraId="32E9587D" w14:textId="304E062F" w:rsidR="000E08E0" w:rsidRPr="00BC2C2C" w:rsidRDefault="000E08E0" w:rsidP="000B190B">
      <w:pPr>
        <w:shd w:val="clear" w:color="auto" w:fill="FFFFFF"/>
        <w:spacing w:before="240" w:line="240" w:lineRule="auto"/>
        <w:jc w:val="both"/>
        <w:rPr>
          <w:rFonts w:ascii="Times New Roman" w:hAnsi="Times New Roman" w:cs="Times New Roman"/>
          <w:b/>
          <w:bCs/>
          <w:sz w:val="24"/>
          <w:szCs w:val="24"/>
        </w:rPr>
      </w:pPr>
      <w:r w:rsidRPr="00BC2C2C">
        <w:rPr>
          <w:rStyle w:val="cursor-pointer"/>
          <w:rFonts w:ascii="Times New Roman" w:hAnsi="Times New Roman" w:cs="Times New Roman"/>
          <w:b/>
          <w:bCs/>
          <w:sz w:val="24"/>
          <w:szCs w:val="24"/>
        </w:rPr>
        <w:t>Uncertainty of Non-linear Devices</w:t>
      </w:r>
      <w:r w:rsidR="00BC2C2C">
        <w:rPr>
          <w:rStyle w:val="cursor-pointer"/>
          <w:rFonts w:ascii="Times New Roman" w:hAnsi="Times New Roman" w:cs="Times New Roman"/>
          <w:b/>
          <w:bCs/>
          <w:sz w:val="24"/>
          <w:szCs w:val="24"/>
        </w:rPr>
        <w:t xml:space="preserve">: </w:t>
      </w:r>
      <w:r w:rsidRPr="003049EB">
        <w:rPr>
          <w:rStyle w:val="cursor-pointer"/>
          <w:rFonts w:ascii="Times New Roman" w:hAnsi="Times New Roman" w:cs="Times New Roman"/>
          <w:sz w:val="24"/>
          <w:szCs w:val="24"/>
        </w:rPr>
        <w:t>In devices with high non-linearity, uncertainty should be assessed at various points over the range.</w:t>
      </w:r>
      <w:r w:rsidRPr="003049EB">
        <w:rP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Guidance documents of EURAMET give specific procedures of pressure, temperature, and electrical quantities [14,15,16].</w:t>
      </w:r>
      <w:r w:rsidRPr="003049EB">
        <w:rPr>
          <w:rFonts w:ascii="Times New Roman" w:hAnsi="Times New Roman" w:cs="Times New Roman"/>
          <w:sz w:val="24"/>
          <w:szCs w:val="24"/>
        </w:rPr>
        <w:t xml:space="preserve"> </w:t>
      </w:r>
    </w:p>
    <w:p w14:paraId="060F809B" w14:textId="282A0FD0" w:rsidR="000E08E0" w:rsidRPr="003049EB" w:rsidRDefault="000E08E0" w:rsidP="000B190B">
      <w:pPr>
        <w:shd w:val="clear" w:color="auto" w:fill="FFFFFF"/>
        <w:spacing w:before="240" w:line="240" w:lineRule="auto"/>
        <w:jc w:val="both"/>
        <w:rPr>
          <w:rFonts w:ascii="Times New Roman" w:hAnsi="Times New Roman" w:cs="Times New Roman"/>
          <w:sz w:val="24"/>
          <w:szCs w:val="24"/>
        </w:rPr>
      </w:pPr>
      <w:r w:rsidRPr="00BC2C2C">
        <w:rPr>
          <w:rStyle w:val="cursor-pointer"/>
          <w:rFonts w:ascii="Times New Roman" w:hAnsi="Times New Roman" w:cs="Times New Roman"/>
          <w:b/>
          <w:bCs/>
          <w:sz w:val="24"/>
          <w:szCs w:val="24"/>
        </w:rPr>
        <w:t>Conformity Assessment and Decision Rules</w:t>
      </w:r>
      <w:r w:rsidR="00BC2C2C" w:rsidRPr="00BC2C2C">
        <w:rPr>
          <w:rStyle w:val="cursor-pointer"/>
          <w:rFonts w:ascii="Times New Roman" w:hAnsi="Times New Roman" w:cs="Times New Roman"/>
          <w:b/>
          <w:bCs/>
          <w:sz w:val="24"/>
          <w:szCs w:val="24"/>
        </w:rPr>
        <w:t>:</w:t>
      </w:r>
      <w:r w:rsidRPr="003049EB">
        <w:rP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In comparing a measured value to a specification (tolerance), uncertainty has to be taken into consideration.</w:t>
      </w:r>
      <w:r w:rsidR="00511C32">
        <w:rP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The graph of decision rules is shown in figure 4.</w:t>
      </w:r>
    </w:p>
    <w:p w14:paraId="702A6D9B" w14:textId="1FF75DD9" w:rsidR="0050291E" w:rsidRPr="003049EB" w:rsidRDefault="0050291E" w:rsidP="000B190B">
      <w:pPr>
        <w:pStyle w:val="NormalWeb"/>
        <w:spacing w:before="240" w:beforeAutospacing="0" w:after="160" w:afterAutospacing="0"/>
        <w:jc w:val="both"/>
      </w:pPr>
      <w:r w:rsidRPr="003049EB">
        <w:rPr>
          <w:noProof/>
        </w:rPr>
        <w:drawing>
          <wp:inline distT="0" distB="0" distL="0" distR="0" wp14:anchorId="569A1527" wp14:editId="38CEDBB3">
            <wp:extent cx="5209274" cy="438221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85527" cy="4446366"/>
                    </a:xfrm>
                    <a:prstGeom prst="rect">
                      <a:avLst/>
                    </a:prstGeom>
                    <a:noFill/>
                    <a:ln>
                      <a:noFill/>
                    </a:ln>
                  </pic:spPr>
                </pic:pic>
              </a:graphicData>
            </a:graphic>
          </wp:inline>
        </w:drawing>
      </w:r>
    </w:p>
    <w:p w14:paraId="774B82B4" w14:textId="77777777" w:rsidR="003158E3" w:rsidRDefault="00511C32" w:rsidP="003158E3">
      <w:pPr>
        <w:shd w:val="clear" w:color="auto" w:fill="FFFFFF"/>
        <w:spacing w:before="240" w:line="240" w:lineRule="auto"/>
        <w:jc w:val="both"/>
        <w:rPr>
          <w:rFonts w:ascii="Times New Roman" w:eastAsia="Times New Roman" w:hAnsi="Times New Roman" w:cs="Times New Roman"/>
          <w:color w:val="0F1115"/>
          <w:sz w:val="24"/>
          <w:szCs w:val="24"/>
        </w:rPr>
      </w:pPr>
      <w:r w:rsidRPr="003049EB">
        <w:rPr>
          <w:rStyle w:val="cursor-pointer"/>
          <w:rFonts w:ascii="Times New Roman" w:hAnsi="Times New Roman" w:cs="Times New Roman"/>
          <w:sz w:val="24"/>
          <w:szCs w:val="24"/>
        </w:rPr>
        <w:t>Figure 4: Decision Rules of Conformity Assessment when Measurement Uncertainty is involved.</w:t>
      </w:r>
    </w:p>
    <w:p w14:paraId="12DB8348" w14:textId="530EBBE8" w:rsidR="000E08E0" w:rsidRPr="003158E3" w:rsidRDefault="000E08E0" w:rsidP="003158E3">
      <w:pPr>
        <w:shd w:val="clear" w:color="auto" w:fill="FFFFFF"/>
        <w:spacing w:before="240" w:line="240" w:lineRule="auto"/>
        <w:jc w:val="both"/>
        <w:rPr>
          <w:rFonts w:ascii="Times New Roman" w:eastAsia="Times New Roman" w:hAnsi="Times New Roman" w:cs="Times New Roman"/>
          <w:color w:val="0F1115"/>
          <w:sz w:val="24"/>
          <w:szCs w:val="24"/>
        </w:rPr>
      </w:pPr>
      <w:r w:rsidRPr="003049EB">
        <w:rPr>
          <w:rStyle w:val="cursor-pointer"/>
          <w:rFonts w:ascii="Times New Roman" w:hAnsi="Times New Roman" w:cs="Times New Roman"/>
          <w:sz w:val="24"/>
          <w:szCs w:val="24"/>
        </w:rPr>
        <w:lastRenderedPageBreak/>
        <w:t>The decision rules according to ILAC G8 [26] have:</w:t>
      </w:r>
    </w:p>
    <w:p w14:paraId="093E28AF" w14:textId="2C34598B" w:rsidR="000E08E0" w:rsidRPr="00BC2C2C" w:rsidRDefault="000E08E0" w:rsidP="00D7191A">
      <w:pPr>
        <w:pStyle w:val="ListParagraph"/>
        <w:numPr>
          <w:ilvl w:val="0"/>
          <w:numId w:val="8"/>
        </w:numPr>
        <w:spacing w:before="240" w:line="240" w:lineRule="auto"/>
        <w:jc w:val="both"/>
        <w:rPr>
          <w:rFonts w:ascii="Times New Roman" w:hAnsi="Times New Roman" w:cs="Times New Roman"/>
          <w:sz w:val="24"/>
          <w:szCs w:val="24"/>
        </w:rPr>
      </w:pPr>
      <w:r w:rsidRPr="00BC2C2C">
        <w:rPr>
          <w:rStyle w:val="cursor-pointer"/>
          <w:rFonts w:ascii="Times New Roman" w:hAnsi="Times New Roman" w:cs="Times New Roman"/>
          <w:b/>
          <w:bCs/>
          <w:sz w:val="24"/>
          <w:szCs w:val="24"/>
        </w:rPr>
        <w:t>Simple acceptance (</w:t>
      </w:r>
      <w:r w:rsidR="00BC2C2C" w:rsidRPr="00BC2C2C">
        <w:rPr>
          <w:rStyle w:val="cursor-pointer"/>
          <w:rFonts w:ascii="Times New Roman" w:hAnsi="Times New Roman" w:cs="Times New Roman"/>
          <w:b/>
          <w:bCs/>
          <w:sz w:val="24"/>
          <w:szCs w:val="24"/>
        </w:rPr>
        <w:t>more risky</w:t>
      </w:r>
      <w:r w:rsidRPr="00BC2C2C">
        <w:rPr>
          <w:rStyle w:val="cursor-pointer"/>
          <w:rFonts w:ascii="Times New Roman" w:hAnsi="Times New Roman" w:cs="Times New Roman"/>
          <w:b/>
          <w:bCs/>
          <w:sz w:val="24"/>
          <w:szCs w:val="24"/>
        </w:rPr>
        <w:t>):</w:t>
      </w:r>
      <w:r w:rsidRPr="00BC2C2C">
        <w:rPr>
          <w:rStyle w:val="cursor-pointer"/>
          <w:rFonts w:ascii="Times New Roman" w:hAnsi="Times New Roman" w:cs="Times New Roman"/>
          <w:sz w:val="24"/>
          <w:szCs w:val="24"/>
        </w:rPr>
        <w:t xml:space="preserve"> Accept when error is less than tolerance.</w:t>
      </w:r>
      <w:r w:rsidRPr="00BC2C2C">
        <w:rPr>
          <w:rFonts w:ascii="Times New Roman" w:hAnsi="Times New Roman" w:cs="Times New Roman"/>
          <w:sz w:val="24"/>
          <w:szCs w:val="24"/>
        </w:rPr>
        <w:t xml:space="preserve"> </w:t>
      </w:r>
    </w:p>
    <w:p w14:paraId="3D34BFB4" w14:textId="0A6CD0B9" w:rsidR="000E08E0" w:rsidRPr="00BC2C2C" w:rsidRDefault="000E08E0" w:rsidP="00D7191A">
      <w:pPr>
        <w:pStyle w:val="ListParagraph"/>
        <w:numPr>
          <w:ilvl w:val="0"/>
          <w:numId w:val="8"/>
        </w:numPr>
        <w:spacing w:before="240" w:line="240" w:lineRule="auto"/>
        <w:jc w:val="both"/>
        <w:rPr>
          <w:rFonts w:ascii="Times New Roman" w:hAnsi="Times New Roman" w:cs="Times New Roman"/>
          <w:sz w:val="24"/>
          <w:szCs w:val="24"/>
        </w:rPr>
      </w:pPr>
      <w:r w:rsidRPr="00BC2C2C">
        <w:rPr>
          <w:rStyle w:val="cursor-pointer"/>
          <w:rFonts w:ascii="Times New Roman" w:hAnsi="Times New Roman" w:cs="Times New Roman"/>
          <w:b/>
          <w:bCs/>
          <w:sz w:val="24"/>
          <w:szCs w:val="24"/>
        </w:rPr>
        <w:t>Simple rejection (conservative):</w:t>
      </w:r>
      <w:r w:rsidRPr="00BC2C2C">
        <w:rPr>
          <w:rStyle w:val="cursor-pointer"/>
          <w:rFonts w:ascii="Times New Roman" w:hAnsi="Times New Roman" w:cs="Times New Roman"/>
          <w:sz w:val="24"/>
          <w:szCs w:val="24"/>
        </w:rPr>
        <w:t xml:space="preserve"> Reject when error + U &gt; tolerance.</w:t>
      </w:r>
      <w:r w:rsidRPr="00BC2C2C">
        <w:rPr>
          <w:rFonts w:ascii="Times New Roman" w:hAnsi="Times New Roman" w:cs="Times New Roman"/>
          <w:sz w:val="24"/>
          <w:szCs w:val="24"/>
        </w:rPr>
        <w:t xml:space="preserve"> </w:t>
      </w:r>
    </w:p>
    <w:p w14:paraId="63CD75C6" w14:textId="7DE74999" w:rsidR="000E08E0" w:rsidRPr="00BC2C2C" w:rsidRDefault="000E08E0" w:rsidP="00D7191A">
      <w:pPr>
        <w:pStyle w:val="ListParagraph"/>
        <w:numPr>
          <w:ilvl w:val="0"/>
          <w:numId w:val="8"/>
        </w:numPr>
        <w:spacing w:before="240" w:line="240" w:lineRule="auto"/>
        <w:jc w:val="both"/>
        <w:rPr>
          <w:rFonts w:ascii="Times New Roman" w:hAnsi="Times New Roman" w:cs="Times New Roman"/>
          <w:sz w:val="24"/>
          <w:szCs w:val="24"/>
        </w:rPr>
      </w:pPr>
      <w:r w:rsidRPr="00BC2C2C">
        <w:rPr>
          <w:rStyle w:val="cursor-pointer"/>
          <w:rFonts w:ascii="Times New Roman" w:hAnsi="Times New Roman" w:cs="Times New Roman"/>
          <w:b/>
          <w:bCs/>
          <w:sz w:val="24"/>
          <w:szCs w:val="24"/>
        </w:rPr>
        <w:t>Guard banding (recommended for safety-critical):</w:t>
      </w:r>
      <w:r w:rsidRPr="00BC2C2C">
        <w:rPr>
          <w:rStyle w:val="cursor-pointer"/>
          <w:rFonts w:ascii="Times New Roman" w:hAnsi="Times New Roman" w:cs="Times New Roman"/>
          <w:sz w:val="24"/>
          <w:szCs w:val="24"/>
        </w:rPr>
        <w:t xml:space="preserve"> Use decision limit = tolerance - U</w:t>
      </w:r>
      <w:r w:rsidRPr="00BC2C2C">
        <w:rPr>
          <w:rFonts w:ascii="Times New Roman" w:hAnsi="Times New Roman" w:cs="Times New Roman"/>
          <w:sz w:val="24"/>
          <w:szCs w:val="24"/>
        </w:rPr>
        <w:t xml:space="preserve"> </w:t>
      </w:r>
    </w:p>
    <w:p w14:paraId="740E3880" w14:textId="2A04FD41" w:rsidR="00BC2C2C" w:rsidRPr="00BC2C2C" w:rsidRDefault="000E08E0" w:rsidP="00D7191A">
      <w:pPr>
        <w:pStyle w:val="ListParagraph"/>
        <w:numPr>
          <w:ilvl w:val="0"/>
          <w:numId w:val="8"/>
        </w:numPr>
        <w:spacing w:before="240" w:line="240" w:lineRule="auto"/>
        <w:jc w:val="both"/>
        <w:rPr>
          <w:rFonts w:ascii="Times New Roman" w:hAnsi="Times New Roman" w:cs="Times New Roman"/>
          <w:sz w:val="24"/>
          <w:szCs w:val="24"/>
        </w:rPr>
      </w:pPr>
      <w:r w:rsidRPr="00BC2C2C">
        <w:rPr>
          <w:rStyle w:val="cursor-pointer"/>
          <w:rFonts w:ascii="Times New Roman" w:hAnsi="Times New Roman" w:cs="Times New Roman"/>
          <w:b/>
          <w:bCs/>
          <w:sz w:val="24"/>
          <w:szCs w:val="24"/>
        </w:rPr>
        <w:t>Shared risk approach:</w:t>
      </w:r>
      <w:r w:rsidRPr="00BC2C2C">
        <w:rPr>
          <w:rStyle w:val="cursor-pointer"/>
          <w:rFonts w:ascii="Times New Roman" w:hAnsi="Times New Roman" w:cs="Times New Roman"/>
          <w:sz w:val="24"/>
          <w:szCs w:val="24"/>
        </w:rPr>
        <w:t xml:space="preserve"> Report both the result of measurement and uncertainty, and leave the final decision to clinical engineering.</w:t>
      </w:r>
    </w:p>
    <w:p w14:paraId="6C5FEDAD" w14:textId="3DD01DA6" w:rsidR="00B347AC" w:rsidRPr="00B347AC" w:rsidRDefault="000E08E0" w:rsidP="000B190B">
      <w:pPr>
        <w:spacing w:before="240" w:line="240" w:lineRule="auto"/>
        <w:jc w:val="both"/>
        <w:rPr>
          <w:rFonts w:ascii="Times New Roman" w:eastAsia="Times New Roman" w:hAnsi="Times New Roman" w:cs="Times New Roman"/>
          <w:sz w:val="24"/>
          <w:szCs w:val="24"/>
        </w:rPr>
      </w:pPr>
      <w:r w:rsidRPr="003049EB">
        <w:rPr>
          <w:rStyle w:val="cursor-pointer"/>
          <w:rFonts w:ascii="Times New Roman" w:hAnsi="Times New Roman" w:cs="Times New Roman"/>
          <w:sz w:val="24"/>
          <w:szCs w:val="24"/>
        </w:rPr>
        <w:t>When it comes to safety-critical biomedical devices, ILAC G8 suggests guard banding [26].</w:t>
      </w:r>
    </w:p>
    <w:p w14:paraId="372E03CE" w14:textId="2070533B" w:rsidR="00B347AC" w:rsidRPr="00B347AC" w:rsidRDefault="00547BE1" w:rsidP="000B190B">
      <w:pPr>
        <w:shd w:val="clear" w:color="auto" w:fill="FFFFFF"/>
        <w:spacing w:before="240" w:line="240" w:lineRule="auto"/>
        <w:jc w:val="both"/>
        <w:outlineLvl w:val="1"/>
        <w:rPr>
          <w:rFonts w:ascii="Times New Roman" w:eastAsia="Times New Roman" w:hAnsi="Times New Roman" w:cs="Times New Roman"/>
          <w:b/>
          <w:bCs/>
          <w:color w:val="0F1115"/>
          <w:sz w:val="24"/>
          <w:szCs w:val="24"/>
        </w:rPr>
      </w:pPr>
      <w:r w:rsidRPr="00547BE1">
        <w:rPr>
          <w:rFonts w:ascii="Times New Roman" w:eastAsia="Times New Roman" w:hAnsi="Times New Roman" w:cs="Times New Roman"/>
          <w:b/>
          <w:bCs/>
          <w:color w:val="0F1115"/>
          <w:sz w:val="28"/>
          <w:szCs w:val="28"/>
        </w:rPr>
        <w:t>ENVIRONMENTAL CONDITIONS</w:t>
      </w:r>
    </w:p>
    <w:p w14:paraId="7AB27A1C" w14:textId="77777777" w:rsidR="0050291E" w:rsidRPr="003049EB" w:rsidRDefault="0050291E" w:rsidP="000B190B">
      <w:pPr>
        <w:spacing w:before="240" w:line="240" w:lineRule="auto"/>
        <w:jc w:val="both"/>
        <w:rPr>
          <w:rFonts w:ascii="Times New Roman" w:hAnsi="Times New Roman" w:cs="Times New Roman"/>
          <w:sz w:val="24"/>
          <w:szCs w:val="24"/>
        </w:rPr>
      </w:pPr>
      <w:r w:rsidRPr="003049EB">
        <w:rPr>
          <w:rStyle w:val="cursor-pointer"/>
          <w:rFonts w:ascii="Times New Roman" w:hAnsi="Times New Roman" w:cs="Times New Roman"/>
          <w:sz w:val="24"/>
          <w:szCs w:val="24"/>
        </w:rPr>
        <w:t>There is a tendency to use controlled conditions in biomedical calibration as indicated in ISO/IEC 17025 clause 6.3 [1]:</w:t>
      </w:r>
      <w:r w:rsidRPr="003049EB">
        <w:rPr>
          <w:rFonts w:ascii="Times New Roman" w:hAnsi="Times New Roman" w:cs="Times New Roman"/>
          <w:sz w:val="24"/>
          <w:szCs w:val="24"/>
        </w:rPr>
        <w:t xml:space="preserve"> </w:t>
      </w:r>
    </w:p>
    <w:p w14:paraId="1D816E0E" w14:textId="404E4D00" w:rsidR="0050291E" w:rsidRPr="00547BE1" w:rsidRDefault="0050291E" w:rsidP="00D7191A">
      <w:pPr>
        <w:pStyle w:val="ListParagraph"/>
        <w:numPr>
          <w:ilvl w:val="0"/>
          <w:numId w:val="9"/>
        </w:numPr>
        <w:spacing w:before="240" w:line="240" w:lineRule="auto"/>
        <w:jc w:val="both"/>
        <w:rPr>
          <w:rStyle w:val="cursor-pointer"/>
          <w:rFonts w:ascii="Times New Roman" w:hAnsi="Times New Roman" w:cs="Times New Roman"/>
          <w:sz w:val="24"/>
          <w:szCs w:val="24"/>
        </w:rPr>
      </w:pPr>
      <w:r w:rsidRPr="00547BE1">
        <w:rPr>
          <w:rStyle w:val="cursor-pointer"/>
          <w:rFonts w:ascii="Times New Roman" w:hAnsi="Times New Roman" w:cs="Times New Roman"/>
          <w:sz w:val="24"/>
          <w:szCs w:val="24"/>
        </w:rPr>
        <w:t xml:space="preserve">Temperature: 20-25 C (can be reduced to 21-23 C to obtain more accurate measurements with precision instruments) Relative humidity: 4060% (to eliminate electrostatic discharge and condensation) </w:t>
      </w:r>
    </w:p>
    <w:p w14:paraId="708B12D9" w14:textId="13FD0F54" w:rsidR="0050291E" w:rsidRPr="00547BE1" w:rsidRDefault="0050291E" w:rsidP="00D7191A">
      <w:pPr>
        <w:pStyle w:val="ListParagraph"/>
        <w:numPr>
          <w:ilvl w:val="0"/>
          <w:numId w:val="9"/>
        </w:numPr>
        <w:spacing w:before="240" w:line="240" w:lineRule="auto"/>
        <w:jc w:val="both"/>
        <w:rPr>
          <w:rStyle w:val="cursor-pointer"/>
          <w:rFonts w:ascii="Times New Roman" w:hAnsi="Times New Roman" w:cs="Times New Roman"/>
          <w:sz w:val="24"/>
          <w:szCs w:val="24"/>
        </w:rPr>
      </w:pPr>
      <w:r w:rsidRPr="00547BE1">
        <w:rPr>
          <w:rStyle w:val="cursor-pointer"/>
          <w:rFonts w:ascii="Times New Roman" w:hAnsi="Times New Roman" w:cs="Times New Roman"/>
          <w:sz w:val="24"/>
          <w:szCs w:val="24"/>
        </w:rPr>
        <w:t xml:space="preserve">Constant power (±2% voltage, less than 2% THD) </w:t>
      </w:r>
    </w:p>
    <w:p w14:paraId="30EDDF54" w14:textId="6A3B969C" w:rsidR="0050291E" w:rsidRPr="00547BE1" w:rsidRDefault="0050291E" w:rsidP="00D7191A">
      <w:pPr>
        <w:pStyle w:val="ListParagraph"/>
        <w:numPr>
          <w:ilvl w:val="0"/>
          <w:numId w:val="9"/>
        </w:numPr>
        <w:spacing w:before="240" w:line="240" w:lineRule="auto"/>
        <w:jc w:val="both"/>
        <w:rPr>
          <w:rStyle w:val="cursor-pointer"/>
          <w:rFonts w:ascii="Times New Roman" w:hAnsi="Times New Roman" w:cs="Times New Roman"/>
          <w:sz w:val="24"/>
          <w:szCs w:val="24"/>
        </w:rPr>
      </w:pPr>
      <w:r w:rsidRPr="00547BE1">
        <w:rPr>
          <w:rStyle w:val="cursor-pointer"/>
          <w:rFonts w:ascii="Times New Roman" w:hAnsi="Times New Roman" w:cs="Times New Roman"/>
          <w:sz w:val="24"/>
          <w:szCs w:val="24"/>
        </w:rPr>
        <w:t xml:space="preserve">Low vibration (especially for mass and pressure calibrations) </w:t>
      </w:r>
    </w:p>
    <w:p w14:paraId="2322DE73" w14:textId="2B0788E5" w:rsidR="0050291E" w:rsidRPr="00547BE1" w:rsidRDefault="0050291E" w:rsidP="00D7191A">
      <w:pPr>
        <w:pStyle w:val="ListParagraph"/>
        <w:numPr>
          <w:ilvl w:val="0"/>
          <w:numId w:val="9"/>
        </w:numPr>
        <w:spacing w:before="240" w:line="240" w:lineRule="auto"/>
        <w:jc w:val="both"/>
        <w:rPr>
          <w:rStyle w:val="cursor-pointer"/>
          <w:rFonts w:ascii="Times New Roman" w:hAnsi="Times New Roman" w:cs="Times New Roman"/>
          <w:sz w:val="24"/>
          <w:szCs w:val="24"/>
        </w:rPr>
      </w:pPr>
      <w:r w:rsidRPr="00547BE1">
        <w:rPr>
          <w:rStyle w:val="cursor-pointer"/>
          <w:rFonts w:ascii="Times New Roman" w:hAnsi="Times New Roman" w:cs="Times New Roman"/>
          <w:sz w:val="24"/>
          <w:szCs w:val="24"/>
        </w:rPr>
        <w:t xml:space="preserve">Clean environment (no dust, no chemical </w:t>
      </w:r>
      <w:r w:rsidR="003158E3" w:rsidRPr="00547BE1">
        <w:rPr>
          <w:rStyle w:val="cursor-pointer"/>
          <w:rFonts w:ascii="Times New Roman" w:hAnsi="Times New Roman" w:cs="Times New Roman"/>
          <w:sz w:val="24"/>
          <w:szCs w:val="24"/>
        </w:rPr>
        <w:t>vapors</w:t>
      </w:r>
      <w:r w:rsidRPr="00547BE1">
        <w:rPr>
          <w:rStyle w:val="cursor-pointer"/>
          <w:rFonts w:ascii="Times New Roman" w:hAnsi="Times New Roman" w:cs="Times New Roman"/>
          <w:sz w:val="24"/>
          <w:szCs w:val="24"/>
        </w:rPr>
        <w:t>)</w:t>
      </w:r>
    </w:p>
    <w:p w14:paraId="5E1E001E" w14:textId="3A2F41A0" w:rsidR="0050291E" w:rsidRPr="00547BE1" w:rsidRDefault="0050291E" w:rsidP="00D7191A">
      <w:pPr>
        <w:pStyle w:val="ListParagraph"/>
        <w:numPr>
          <w:ilvl w:val="0"/>
          <w:numId w:val="9"/>
        </w:numPr>
        <w:spacing w:before="240" w:line="240" w:lineRule="auto"/>
        <w:jc w:val="both"/>
        <w:rPr>
          <w:rStyle w:val="cursor-pointer"/>
          <w:rFonts w:ascii="Times New Roman" w:hAnsi="Times New Roman" w:cs="Times New Roman"/>
          <w:sz w:val="24"/>
          <w:szCs w:val="24"/>
        </w:rPr>
      </w:pPr>
      <w:r w:rsidRPr="00547BE1">
        <w:rPr>
          <w:rStyle w:val="cursor-pointer"/>
          <w:rFonts w:ascii="Times New Roman" w:hAnsi="Times New Roman" w:cs="Times New Roman"/>
          <w:sz w:val="24"/>
          <w:szCs w:val="24"/>
        </w:rPr>
        <w:t xml:space="preserve">Electromagnetic compatibility control </w:t>
      </w:r>
    </w:p>
    <w:p w14:paraId="494FB1EB" w14:textId="05C3BA49" w:rsidR="00B347AC" w:rsidRPr="00B347AC" w:rsidRDefault="0050291E" w:rsidP="000B190B">
      <w:pPr>
        <w:spacing w:before="240" w:line="240" w:lineRule="auto"/>
        <w:jc w:val="both"/>
        <w:rPr>
          <w:rFonts w:ascii="Times New Roman" w:eastAsia="Times New Roman" w:hAnsi="Times New Roman" w:cs="Times New Roman"/>
          <w:sz w:val="24"/>
          <w:szCs w:val="24"/>
        </w:rPr>
      </w:pPr>
      <w:r w:rsidRPr="003049EB">
        <w:rPr>
          <w:rStyle w:val="cursor-pointer"/>
          <w:rFonts w:ascii="Times New Roman" w:hAnsi="Times New Roman" w:cs="Times New Roman"/>
          <w:sz w:val="24"/>
          <w:szCs w:val="24"/>
        </w:rPr>
        <w:t xml:space="preserve">The results may be </w:t>
      </w:r>
      <w:r w:rsidR="00342B4C">
        <w:rPr>
          <w:rStyle w:val="cursor-pointer"/>
          <w:rFonts w:ascii="Times New Roman" w:hAnsi="Times New Roman" w:cs="Times New Roman"/>
          <w:sz w:val="24"/>
          <w:szCs w:val="24"/>
        </w:rPr>
        <w:t>skewed</w:t>
      </w:r>
      <w:r w:rsidRPr="003049EB">
        <w:rPr>
          <w:rStyle w:val="cursor-pointer"/>
          <w:rFonts w:ascii="Times New Roman" w:hAnsi="Times New Roman" w:cs="Times New Roman"/>
          <w:sz w:val="24"/>
          <w:szCs w:val="24"/>
        </w:rPr>
        <w:t xml:space="preserve"> by uncontrolled environments.</w:t>
      </w:r>
      <w:r w:rsidRPr="003049EB">
        <w:rP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Even a 5</w:t>
      </w:r>
      <w:r w:rsidR="00547BE1">
        <w:rPr>
          <w:rFonts w:ascii="Segoe UI" w:hAnsi="Segoe UI" w:cs="Segoe UI"/>
          <w:color w:val="0F1115"/>
          <w:shd w:val="clear" w:color="auto" w:fill="FFFFFF"/>
        </w:rPr>
        <w:t>°C</w:t>
      </w:r>
      <w:r w:rsidRPr="003049EB">
        <w:rPr>
          <w:rStyle w:val="cursor-pointer"/>
          <w:rFonts w:ascii="Times New Roman" w:hAnsi="Times New Roman" w:cs="Times New Roman"/>
          <w:sz w:val="24"/>
          <w:szCs w:val="24"/>
        </w:rPr>
        <w:t xml:space="preserve"> change in temperature can cause a 0.5 percent </w:t>
      </w:r>
      <w:r w:rsidR="00547BE1">
        <w:rPr>
          <w:rStyle w:val="cursor-pointer"/>
          <w:rFonts w:ascii="Times New Roman" w:hAnsi="Times New Roman" w:cs="Times New Roman"/>
          <w:sz w:val="24"/>
          <w:szCs w:val="24"/>
        </w:rPr>
        <w:t>full scale</w:t>
      </w:r>
      <w:r w:rsidRPr="003049EB">
        <w:rPr>
          <w:rStyle w:val="cursor-pointer"/>
          <w:rFonts w:ascii="Times New Roman" w:hAnsi="Times New Roman" w:cs="Times New Roman"/>
          <w:sz w:val="24"/>
          <w:szCs w:val="24"/>
        </w:rPr>
        <w:t xml:space="preserve"> movement of pressure transducers [14].</w:t>
      </w:r>
    </w:p>
    <w:p w14:paraId="0AFB0AF5" w14:textId="77777777" w:rsidR="00547BE1" w:rsidRDefault="00547BE1" w:rsidP="00547BE1">
      <w:pPr>
        <w:shd w:val="clear" w:color="auto" w:fill="FFFFFF"/>
        <w:spacing w:before="240" w:line="240" w:lineRule="auto"/>
        <w:jc w:val="both"/>
        <w:outlineLvl w:val="1"/>
        <w:rPr>
          <w:rFonts w:ascii="Times New Roman" w:eastAsia="Times New Roman" w:hAnsi="Times New Roman" w:cs="Times New Roman"/>
          <w:b/>
          <w:bCs/>
          <w:color w:val="0F1115"/>
          <w:sz w:val="24"/>
          <w:szCs w:val="24"/>
        </w:rPr>
      </w:pPr>
      <w:r w:rsidRPr="00B347AC">
        <w:rPr>
          <w:rFonts w:ascii="Times New Roman" w:eastAsia="Times New Roman" w:hAnsi="Times New Roman" w:cs="Times New Roman"/>
          <w:b/>
          <w:bCs/>
          <w:color w:val="0F1115"/>
          <w:sz w:val="28"/>
          <w:szCs w:val="28"/>
        </w:rPr>
        <w:t>COMPETENCE OF PERSONNEL</w:t>
      </w:r>
    </w:p>
    <w:p w14:paraId="402E5B1E" w14:textId="77777777" w:rsidR="00547BE1" w:rsidRDefault="0050291E" w:rsidP="00547BE1">
      <w:pPr>
        <w:shd w:val="clear" w:color="auto" w:fill="FFFFFF"/>
        <w:spacing w:before="240" w:line="240" w:lineRule="auto"/>
        <w:jc w:val="both"/>
        <w:outlineLvl w:val="1"/>
        <w:rPr>
          <w:rStyle w:val="cursor-pointer"/>
          <w:rFonts w:ascii="Times New Roman" w:hAnsi="Times New Roman" w:cs="Times New Roman"/>
          <w:sz w:val="24"/>
          <w:szCs w:val="24"/>
        </w:rPr>
      </w:pPr>
      <w:r w:rsidRPr="003049EB">
        <w:rPr>
          <w:rStyle w:val="cursor-pointer"/>
          <w:rFonts w:ascii="Times New Roman" w:hAnsi="Times New Roman" w:cs="Times New Roman"/>
          <w:sz w:val="24"/>
          <w:szCs w:val="24"/>
        </w:rPr>
        <w:t>According to ISO/ IEC 17025 clause 6.2, all the personnel in the calibration activities are required to have documented competence [1].</w:t>
      </w:r>
      <w:r w:rsidRPr="003049EB">
        <w:rP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Training of personnel should be done in:</w:t>
      </w:r>
      <w:r w:rsidRPr="003049EB">
        <w:rP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 xml:space="preserve">Essentials: </w:t>
      </w:r>
    </w:p>
    <w:p w14:paraId="64F65C8A" w14:textId="5BE01FBC" w:rsidR="0050291E" w:rsidRPr="00547BE1" w:rsidRDefault="0050291E" w:rsidP="00D7191A">
      <w:pPr>
        <w:pStyle w:val="ListParagraph"/>
        <w:numPr>
          <w:ilvl w:val="0"/>
          <w:numId w:val="9"/>
        </w:numPr>
        <w:spacing w:before="240" w:line="240" w:lineRule="auto"/>
        <w:jc w:val="both"/>
        <w:rPr>
          <w:rStyle w:val="cursor-pointer"/>
          <w:rFonts w:ascii="Times New Roman" w:hAnsi="Times New Roman" w:cs="Times New Roman"/>
          <w:sz w:val="24"/>
          <w:szCs w:val="24"/>
        </w:rPr>
      </w:pPr>
      <w:r w:rsidRPr="00547BE1">
        <w:rPr>
          <w:rStyle w:val="cursor-pointer"/>
          <w:rFonts w:ascii="Times New Roman" w:hAnsi="Times New Roman" w:cs="Times New Roman"/>
          <w:sz w:val="24"/>
          <w:szCs w:val="24"/>
        </w:rPr>
        <w:t>Basic electronics and electrical safety (IEC 60601 series [6])</w:t>
      </w:r>
    </w:p>
    <w:p w14:paraId="3F989D07" w14:textId="5BC67462" w:rsidR="0050291E" w:rsidRPr="00547BE1" w:rsidRDefault="0050291E" w:rsidP="00D7191A">
      <w:pPr>
        <w:pStyle w:val="ListParagraph"/>
        <w:numPr>
          <w:ilvl w:val="0"/>
          <w:numId w:val="9"/>
        </w:numPr>
        <w:spacing w:before="240" w:line="240" w:lineRule="auto"/>
        <w:jc w:val="both"/>
        <w:rPr>
          <w:rStyle w:val="cursor-pointer"/>
          <w:rFonts w:ascii="Times New Roman" w:hAnsi="Times New Roman" w:cs="Times New Roman"/>
          <w:sz w:val="24"/>
          <w:szCs w:val="24"/>
        </w:rPr>
      </w:pPr>
      <w:r w:rsidRPr="00547BE1">
        <w:rPr>
          <w:rStyle w:val="cursor-pointer"/>
          <w:rFonts w:ascii="Times New Roman" w:hAnsi="Times New Roman" w:cs="Times New Roman"/>
          <w:sz w:val="24"/>
          <w:szCs w:val="24"/>
        </w:rPr>
        <w:t xml:space="preserve">Principles of medical devices and context of physiology. </w:t>
      </w:r>
    </w:p>
    <w:p w14:paraId="3F165C9B" w14:textId="720E170C" w:rsidR="0050291E" w:rsidRPr="00547BE1" w:rsidRDefault="0050291E" w:rsidP="00D7191A">
      <w:pPr>
        <w:pStyle w:val="ListParagraph"/>
        <w:numPr>
          <w:ilvl w:val="0"/>
          <w:numId w:val="9"/>
        </w:numPr>
        <w:spacing w:before="240" w:line="240" w:lineRule="auto"/>
        <w:jc w:val="both"/>
        <w:rPr>
          <w:rStyle w:val="cursor-pointer"/>
          <w:rFonts w:ascii="Times New Roman" w:hAnsi="Times New Roman" w:cs="Times New Roman"/>
          <w:sz w:val="24"/>
          <w:szCs w:val="24"/>
        </w:rPr>
      </w:pPr>
      <w:r w:rsidRPr="00547BE1">
        <w:rPr>
          <w:rStyle w:val="cursor-pointer"/>
          <w:rFonts w:ascii="Times New Roman" w:hAnsi="Times New Roman" w:cs="Times New Roman"/>
          <w:sz w:val="24"/>
          <w:szCs w:val="24"/>
        </w:rPr>
        <w:t xml:space="preserve">Basic metrology concepts (traceability, uncertainty, units) </w:t>
      </w:r>
    </w:p>
    <w:p w14:paraId="0285CDA0" w14:textId="039A0C7C" w:rsidR="0050291E" w:rsidRPr="00547BE1" w:rsidRDefault="0050291E" w:rsidP="00D7191A">
      <w:pPr>
        <w:pStyle w:val="ListParagraph"/>
        <w:numPr>
          <w:ilvl w:val="0"/>
          <w:numId w:val="9"/>
        </w:numPr>
        <w:spacing w:before="240" w:line="240" w:lineRule="auto"/>
        <w:jc w:val="both"/>
        <w:rPr>
          <w:rStyle w:val="cursor-pointer"/>
          <w:rFonts w:ascii="Times New Roman" w:hAnsi="Times New Roman" w:cs="Times New Roman"/>
          <w:sz w:val="24"/>
          <w:szCs w:val="24"/>
        </w:rPr>
      </w:pPr>
      <w:r w:rsidRPr="00547BE1">
        <w:rPr>
          <w:rStyle w:val="cursor-pointer"/>
          <w:rFonts w:ascii="Times New Roman" w:hAnsi="Times New Roman" w:cs="Times New Roman"/>
          <w:sz w:val="24"/>
          <w:szCs w:val="24"/>
        </w:rPr>
        <w:t xml:space="preserve">Calculation of uncertainty (Type A, Type B, GUM method [24]) </w:t>
      </w:r>
    </w:p>
    <w:p w14:paraId="1E975E9D" w14:textId="6166812C" w:rsidR="0050291E" w:rsidRPr="00547BE1" w:rsidRDefault="0050291E" w:rsidP="00D7191A">
      <w:pPr>
        <w:pStyle w:val="ListParagraph"/>
        <w:numPr>
          <w:ilvl w:val="0"/>
          <w:numId w:val="9"/>
        </w:numPr>
        <w:spacing w:before="240" w:line="240" w:lineRule="auto"/>
        <w:jc w:val="both"/>
        <w:rPr>
          <w:rStyle w:val="cursor-pointer"/>
          <w:rFonts w:ascii="Times New Roman" w:hAnsi="Times New Roman" w:cs="Times New Roman"/>
          <w:sz w:val="24"/>
          <w:szCs w:val="24"/>
        </w:rPr>
      </w:pPr>
      <w:r w:rsidRPr="00547BE1">
        <w:rPr>
          <w:rStyle w:val="cursor-pointer"/>
          <w:rFonts w:ascii="Times New Roman" w:hAnsi="Times New Roman" w:cs="Times New Roman"/>
          <w:sz w:val="24"/>
          <w:szCs w:val="24"/>
        </w:rPr>
        <w:t xml:space="preserve">Risk management (ISO 14971) [7] </w:t>
      </w:r>
    </w:p>
    <w:p w14:paraId="434623AB" w14:textId="0D785637" w:rsidR="0050291E" w:rsidRPr="00547BE1" w:rsidRDefault="0050291E" w:rsidP="00D7191A">
      <w:pPr>
        <w:pStyle w:val="ListParagraph"/>
        <w:numPr>
          <w:ilvl w:val="0"/>
          <w:numId w:val="9"/>
        </w:numPr>
        <w:spacing w:before="240" w:line="240" w:lineRule="auto"/>
        <w:jc w:val="both"/>
        <w:rPr>
          <w:rStyle w:val="cursor-pointer"/>
          <w:rFonts w:ascii="Times New Roman" w:hAnsi="Times New Roman" w:cs="Times New Roman"/>
          <w:sz w:val="24"/>
          <w:szCs w:val="24"/>
        </w:rPr>
      </w:pPr>
      <w:r w:rsidRPr="00547BE1">
        <w:rPr>
          <w:rStyle w:val="cursor-pointer"/>
          <w:rFonts w:ascii="Times New Roman" w:hAnsi="Times New Roman" w:cs="Times New Roman"/>
          <w:sz w:val="24"/>
          <w:szCs w:val="24"/>
        </w:rPr>
        <w:t xml:space="preserve">Safety standards (IEC 62353) [23] </w:t>
      </w:r>
    </w:p>
    <w:p w14:paraId="084B161E" w14:textId="2E3E0D88" w:rsidR="00547BE1" w:rsidRPr="00547BE1" w:rsidRDefault="0050291E" w:rsidP="00D7191A">
      <w:pPr>
        <w:pStyle w:val="ListParagraph"/>
        <w:numPr>
          <w:ilvl w:val="0"/>
          <w:numId w:val="9"/>
        </w:numPr>
        <w:spacing w:before="240" w:line="240" w:lineRule="auto"/>
        <w:jc w:val="both"/>
        <w:rPr>
          <w:rStyle w:val="cursor-pointer"/>
          <w:rFonts w:ascii="Times New Roman" w:hAnsi="Times New Roman" w:cs="Times New Roman"/>
          <w:sz w:val="24"/>
          <w:szCs w:val="24"/>
        </w:rPr>
      </w:pPr>
      <w:r w:rsidRPr="00547BE1">
        <w:rPr>
          <w:rStyle w:val="cursor-pointer"/>
          <w:rFonts w:ascii="Times New Roman" w:hAnsi="Times New Roman" w:cs="Times New Roman"/>
          <w:sz w:val="24"/>
          <w:szCs w:val="24"/>
        </w:rPr>
        <w:t xml:space="preserve">Documentation systems </w:t>
      </w:r>
    </w:p>
    <w:p w14:paraId="77678EC8" w14:textId="439C31F3" w:rsidR="00B347AC" w:rsidRPr="00B347AC" w:rsidRDefault="0050291E" w:rsidP="000B190B">
      <w:pPr>
        <w:spacing w:before="240" w:line="240" w:lineRule="auto"/>
        <w:jc w:val="both"/>
        <w:rPr>
          <w:rFonts w:ascii="Times New Roman" w:hAnsi="Times New Roman" w:cs="Times New Roman"/>
          <w:sz w:val="24"/>
          <w:szCs w:val="24"/>
        </w:rPr>
      </w:pPr>
      <w:r w:rsidRPr="003049EB">
        <w:rPr>
          <w:rStyle w:val="cursor-pointer"/>
          <w:rFonts w:ascii="Times New Roman" w:hAnsi="Times New Roman" w:cs="Times New Roman"/>
          <w:sz w:val="24"/>
          <w:szCs w:val="24"/>
        </w:rPr>
        <w:t>Periodic reassessment of competence should be done.</w:t>
      </w:r>
      <w:r w:rsidRPr="003049EB">
        <w:rP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Textbooks in clinical engineering give the background knowledge [27,28].</w:t>
      </w:r>
    </w:p>
    <w:p w14:paraId="5ADD7395" w14:textId="450BA754" w:rsidR="00B347AC" w:rsidRPr="00B347AC" w:rsidRDefault="00B347AC" w:rsidP="000B190B">
      <w:pPr>
        <w:shd w:val="clear" w:color="auto" w:fill="FFFFFF"/>
        <w:spacing w:before="240" w:line="240" w:lineRule="auto"/>
        <w:jc w:val="both"/>
        <w:outlineLvl w:val="1"/>
        <w:rPr>
          <w:rFonts w:ascii="Times New Roman" w:eastAsia="Times New Roman" w:hAnsi="Times New Roman" w:cs="Times New Roman"/>
          <w:b/>
          <w:bCs/>
          <w:color w:val="0F1115"/>
          <w:sz w:val="24"/>
          <w:szCs w:val="24"/>
        </w:rPr>
      </w:pPr>
      <w:r w:rsidRPr="00B347AC">
        <w:rPr>
          <w:rFonts w:ascii="Times New Roman" w:eastAsia="Times New Roman" w:hAnsi="Times New Roman" w:cs="Times New Roman"/>
          <w:b/>
          <w:bCs/>
          <w:color w:val="0F1115"/>
          <w:sz w:val="24"/>
          <w:szCs w:val="24"/>
        </w:rPr>
        <w:t>Documentation and Records</w:t>
      </w:r>
    </w:p>
    <w:p w14:paraId="6C7CD520" w14:textId="5B1B779B" w:rsidR="00547BE1" w:rsidRDefault="003049EB" w:rsidP="000B190B">
      <w:pPr>
        <w:shd w:val="clear" w:color="auto" w:fill="FFFFFF"/>
        <w:spacing w:before="240" w:line="240" w:lineRule="auto"/>
        <w:jc w:val="both"/>
        <w:rPr>
          <w:rFonts w:ascii="Times New Roman" w:hAnsi="Times New Roman" w:cs="Times New Roman"/>
          <w:sz w:val="24"/>
          <w:szCs w:val="24"/>
        </w:rPr>
      </w:pPr>
      <w:r w:rsidRPr="003049EB">
        <w:rPr>
          <w:rStyle w:val="cursor-pointer"/>
          <w:rFonts w:ascii="Times New Roman" w:hAnsi="Times New Roman" w:cs="Times New Roman"/>
          <w:sz w:val="24"/>
          <w:szCs w:val="24"/>
        </w:rPr>
        <w:t>I</w:t>
      </w:r>
      <w:r w:rsidR="00547BE1">
        <w:rPr>
          <w:rStyle w:val="cursor-pointer"/>
          <w:rFonts w:ascii="Times New Roman" w:hAnsi="Times New Roman" w:cs="Times New Roman"/>
          <w:sz w:val="24"/>
          <w:szCs w:val="24"/>
        </w:rPr>
        <w:t>SO</w:t>
      </w:r>
      <w:r w:rsidRPr="003049EB">
        <w:rPr>
          <w:rStyle w:val="cursor-pointer"/>
          <w:rFonts w:ascii="Times New Roman" w:hAnsi="Times New Roman" w:cs="Times New Roman"/>
          <w:sz w:val="24"/>
          <w:szCs w:val="24"/>
        </w:rPr>
        <w:t>/</w:t>
      </w:r>
      <w:r w:rsidR="00547BE1">
        <w:rPr>
          <w:rStyle w:val="cursor-pointer"/>
          <w:rFonts w:ascii="Times New Roman" w:hAnsi="Times New Roman" w:cs="Times New Roman"/>
          <w:sz w:val="24"/>
          <w:szCs w:val="24"/>
        </w:rPr>
        <w:t>IEC</w:t>
      </w:r>
      <w:r w:rsidRPr="003049EB">
        <w:rPr>
          <w:rStyle w:val="cursor-pointer"/>
          <w:rFonts w:ascii="Times New Roman" w:hAnsi="Times New Roman" w:cs="Times New Roman"/>
          <w:sz w:val="24"/>
          <w:szCs w:val="24"/>
        </w:rPr>
        <w:t xml:space="preserve"> 17025 stipulates extensive documentation (clause 7.5 to technical records, clause 8.3 to document control) [1]:</w:t>
      </w:r>
    </w:p>
    <w:p w14:paraId="60A6A26C" w14:textId="1DA560BC" w:rsidR="003049EB" w:rsidRPr="003049EB" w:rsidRDefault="003049EB" w:rsidP="000B190B">
      <w:pPr>
        <w:shd w:val="clear" w:color="auto" w:fill="FFFFFF"/>
        <w:spacing w:before="240" w:line="240" w:lineRule="auto"/>
        <w:jc w:val="both"/>
        <w:rPr>
          <w:rFonts w:ascii="Times New Roman" w:hAnsi="Times New Roman" w:cs="Times New Roman"/>
          <w:sz w:val="24"/>
          <w:szCs w:val="24"/>
        </w:rPr>
      </w:pPr>
      <w:r w:rsidRPr="003049EB">
        <w:rPr>
          <w:rFonts w:ascii="Times New Roman" w:hAnsi="Times New Roman" w:cs="Times New Roman"/>
          <w:sz w:val="24"/>
          <w:szCs w:val="24"/>
        </w:rPr>
        <w:t>Required records include:</w:t>
      </w:r>
    </w:p>
    <w:p w14:paraId="32542481" w14:textId="577A3943" w:rsidR="00547BE1" w:rsidRDefault="003049EB" w:rsidP="00D7191A">
      <w:pPr>
        <w:pStyle w:val="ListParagraph"/>
        <w:numPr>
          <w:ilvl w:val="0"/>
          <w:numId w:val="9"/>
        </w:numPr>
        <w:spacing w:before="240" w:line="240" w:lineRule="auto"/>
        <w:jc w:val="both"/>
        <w:rPr>
          <w:rStyle w:val="cursor-pointer"/>
          <w:rFonts w:ascii="Times New Roman" w:hAnsi="Times New Roman" w:cs="Times New Roman"/>
          <w:sz w:val="24"/>
          <w:szCs w:val="24"/>
        </w:rPr>
      </w:pPr>
      <w:r w:rsidRPr="00547BE1">
        <w:rPr>
          <w:rStyle w:val="cursor-pointer"/>
          <w:rFonts w:ascii="Times New Roman" w:hAnsi="Times New Roman" w:cs="Times New Roman"/>
          <w:sz w:val="24"/>
          <w:szCs w:val="24"/>
        </w:rPr>
        <w:t xml:space="preserve">Equipment </w:t>
      </w:r>
      <w:r w:rsidR="00547BE1" w:rsidRPr="00547BE1">
        <w:rPr>
          <w:rStyle w:val="cursor-pointer"/>
          <w:rFonts w:ascii="Times New Roman" w:hAnsi="Times New Roman" w:cs="Times New Roman"/>
          <w:sz w:val="24"/>
          <w:szCs w:val="24"/>
        </w:rPr>
        <w:t>registers</w:t>
      </w:r>
    </w:p>
    <w:p w14:paraId="0CA5C774" w14:textId="1E4AB024" w:rsidR="003049EB" w:rsidRPr="00547BE1" w:rsidRDefault="003049EB" w:rsidP="00D7191A">
      <w:pPr>
        <w:pStyle w:val="ListParagraph"/>
        <w:numPr>
          <w:ilvl w:val="0"/>
          <w:numId w:val="9"/>
        </w:numPr>
        <w:spacing w:before="240" w:line="240" w:lineRule="auto"/>
        <w:jc w:val="both"/>
        <w:rPr>
          <w:rStyle w:val="cursor-pointer"/>
          <w:rFonts w:ascii="Times New Roman" w:hAnsi="Times New Roman" w:cs="Times New Roman"/>
          <w:sz w:val="24"/>
          <w:szCs w:val="24"/>
        </w:rPr>
      </w:pPr>
      <w:r w:rsidRPr="00547BE1">
        <w:rPr>
          <w:rStyle w:val="cursor-pointer"/>
          <w:rFonts w:ascii="Times New Roman" w:hAnsi="Times New Roman" w:cs="Times New Roman"/>
          <w:sz w:val="24"/>
          <w:szCs w:val="24"/>
        </w:rPr>
        <w:t xml:space="preserve">Calibration procedures (validated, version-controlled) </w:t>
      </w:r>
    </w:p>
    <w:p w14:paraId="38EDCBEE" w14:textId="5A4530D8" w:rsidR="003049EB" w:rsidRPr="00547BE1" w:rsidRDefault="003049EB" w:rsidP="00D7191A">
      <w:pPr>
        <w:pStyle w:val="ListParagraph"/>
        <w:numPr>
          <w:ilvl w:val="0"/>
          <w:numId w:val="9"/>
        </w:numPr>
        <w:spacing w:before="240" w:line="240" w:lineRule="auto"/>
        <w:jc w:val="both"/>
        <w:rPr>
          <w:rStyle w:val="cursor-pointer"/>
          <w:rFonts w:ascii="Times New Roman" w:hAnsi="Times New Roman" w:cs="Times New Roman"/>
          <w:sz w:val="24"/>
          <w:szCs w:val="24"/>
        </w:rPr>
      </w:pPr>
      <w:r w:rsidRPr="00547BE1">
        <w:rPr>
          <w:rStyle w:val="cursor-pointer"/>
          <w:rFonts w:ascii="Times New Roman" w:hAnsi="Times New Roman" w:cs="Times New Roman"/>
          <w:sz w:val="24"/>
          <w:szCs w:val="24"/>
        </w:rPr>
        <w:t>Raw data sheets</w:t>
      </w:r>
    </w:p>
    <w:p w14:paraId="6667ECB2" w14:textId="035B043B" w:rsidR="003049EB" w:rsidRPr="00547BE1" w:rsidRDefault="003049EB" w:rsidP="00D7191A">
      <w:pPr>
        <w:pStyle w:val="ListParagraph"/>
        <w:numPr>
          <w:ilvl w:val="0"/>
          <w:numId w:val="9"/>
        </w:numPr>
        <w:spacing w:before="240" w:line="240" w:lineRule="auto"/>
        <w:jc w:val="both"/>
        <w:rPr>
          <w:rStyle w:val="cursor-pointer"/>
          <w:rFonts w:ascii="Times New Roman" w:hAnsi="Times New Roman" w:cs="Times New Roman"/>
          <w:sz w:val="24"/>
          <w:szCs w:val="24"/>
        </w:rPr>
      </w:pPr>
      <w:r w:rsidRPr="00547BE1">
        <w:rPr>
          <w:rStyle w:val="cursor-pointer"/>
          <w:rFonts w:ascii="Times New Roman" w:hAnsi="Times New Roman" w:cs="Times New Roman"/>
          <w:sz w:val="24"/>
          <w:szCs w:val="24"/>
        </w:rPr>
        <w:t xml:space="preserve">Calibration certificates (according to ILAC P14) [17]. </w:t>
      </w:r>
    </w:p>
    <w:p w14:paraId="09E48830" w14:textId="63EEB2F6" w:rsidR="003049EB" w:rsidRPr="00547BE1" w:rsidRDefault="003049EB" w:rsidP="00D7191A">
      <w:pPr>
        <w:pStyle w:val="ListParagraph"/>
        <w:numPr>
          <w:ilvl w:val="0"/>
          <w:numId w:val="9"/>
        </w:numPr>
        <w:spacing w:before="240" w:line="240" w:lineRule="auto"/>
        <w:jc w:val="both"/>
        <w:rPr>
          <w:rStyle w:val="cursor-pointer"/>
          <w:rFonts w:ascii="Times New Roman" w:hAnsi="Times New Roman" w:cs="Times New Roman"/>
          <w:sz w:val="24"/>
          <w:szCs w:val="24"/>
        </w:rPr>
      </w:pPr>
      <w:r w:rsidRPr="00547BE1">
        <w:rPr>
          <w:rStyle w:val="cursor-pointer"/>
          <w:rFonts w:ascii="Times New Roman" w:hAnsi="Times New Roman" w:cs="Times New Roman"/>
          <w:sz w:val="24"/>
          <w:szCs w:val="24"/>
        </w:rPr>
        <w:t xml:space="preserve">Traceability evidence </w:t>
      </w:r>
    </w:p>
    <w:p w14:paraId="614DD4FC" w14:textId="67D7F528" w:rsidR="003049EB" w:rsidRPr="00547BE1" w:rsidRDefault="003049EB" w:rsidP="00D7191A">
      <w:pPr>
        <w:pStyle w:val="ListParagraph"/>
        <w:numPr>
          <w:ilvl w:val="0"/>
          <w:numId w:val="9"/>
        </w:numPr>
        <w:spacing w:before="240" w:line="240" w:lineRule="auto"/>
        <w:jc w:val="both"/>
        <w:rPr>
          <w:rStyle w:val="cursor-pointer"/>
          <w:rFonts w:ascii="Times New Roman" w:hAnsi="Times New Roman" w:cs="Times New Roman"/>
          <w:sz w:val="24"/>
          <w:szCs w:val="24"/>
        </w:rPr>
      </w:pPr>
      <w:r w:rsidRPr="00547BE1">
        <w:rPr>
          <w:rStyle w:val="cursor-pointer"/>
          <w:rFonts w:ascii="Times New Roman" w:hAnsi="Times New Roman" w:cs="Times New Roman"/>
          <w:sz w:val="24"/>
          <w:szCs w:val="24"/>
        </w:rPr>
        <w:t xml:space="preserve">Environmental logs </w:t>
      </w:r>
    </w:p>
    <w:p w14:paraId="732F4389" w14:textId="77777777" w:rsidR="003158E3" w:rsidRDefault="003049EB" w:rsidP="00D7191A">
      <w:pPr>
        <w:pStyle w:val="ListParagraph"/>
        <w:numPr>
          <w:ilvl w:val="0"/>
          <w:numId w:val="9"/>
        </w:numPr>
        <w:spacing w:before="240" w:line="240" w:lineRule="auto"/>
        <w:jc w:val="both"/>
        <w:rPr>
          <w:rStyle w:val="cursor-pointer"/>
          <w:rFonts w:ascii="Times New Roman" w:hAnsi="Times New Roman" w:cs="Times New Roman"/>
          <w:sz w:val="24"/>
          <w:szCs w:val="24"/>
        </w:rPr>
      </w:pPr>
      <w:r w:rsidRPr="00547BE1">
        <w:rPr>
          <w:rStyle w:val="cursor-pointer"/>
          <w:rFonts w:ascii="Times New Roman" w:hAnsi="Times New Roman" w:cs="Times New Roman"/>
          <w:sz w:val="24"/>
          <w:szCs w:val="24"/>
        </w:rPr>
        <w:lastRenderedPageBreak/>
        <w:t xml:space="preserve">Corrective actions </w:t>
      </w:r>
    </w:p>
    <w:p w14:paraId="5C23BE22" w14:textId="60212903" w:rsidR="003049EB" w:rsidRPr="003158E3" w:rsidRDefault="003049EB" w:rsidP="00D7191A">
      <w:pPr>
        <w:pStyle w:val="ListParagraph"/>
        <w:numPr>
          <w:ilvl w:val="0"/>
          <w:numId w:val="9"/>
        </w:numPr>
        <w:spacing w:before="240" w:line="240" w:lineRule="auto"/>
        <w:jc w:val="both"/>
        <w:rPr>
          <w:rStyle w:val="cursor-pointer"/>
          <w:rFonts w:ascii="Times New Roman" w:hAnsi="Times New Roman" w:cs="Times New Roman"/>
          <w:sz w:val="24"/>
          <w:szCs w:val="24"/>
        </w:rPr>
      </w:pPr>
      <w:r w:rsidRPr="003158E3">
        <w:rPr>
          <w:rStyle w:val="cursor-pointer"/>
          <w:rFonts w:ascii="Times New Roman" w:hAnsi="Times New Roman" w:cs="Times New Roman"/>
          <w:sz w:val="24"/>
          <w:szCs w:val="24"/>
        </w:rPr>
        <w:t xml:space="preserve">Training records </w:t>
      </w:r>
    </w:p>
    <w:p w14:paraId="37163919" w14:textId="14F6FE1F" w:rsidR="00B347AC" w:rsidRPr="00B347AC" w:rsidRDefault="003049EB" w:rsidP="000B190B">
      <w:pPr>
        <w:shd w:val="clear" w:color="auto" w:fill="FFFFFF"/>
        <w:spacing w:before="240" w:line="240" w:lineRule="auto"/>
        <w:jc w:val="both"/>
        <w:rPr>
          <w:rFonts w:ascii="Times New Roman" w:hAnsi="Times New Roman" w:cs="Times New Roman"/>
          <w:sz w:val="24"/>
          <w:szCs w:val="24"/>
        </w:rPr>
      </w:pPr>
      <w:r w:rsidRPr="003049EB">
        <w:rPr>
          <w:rStyle w:val="cursor-pointer"/>
          <w:rFonts w:ascii="Times New Roman" w:hAnsi="Times New Roman" w:cs="Times New Roman"/>
          <w:sz w:val="24"/>
          <w:szCs w:val="24"/>
        </w:rPr>
        <w:t>Table 4 enumerates the required contents of an accredited calibration certificate.</w:t>
      </w:r>
    </w:p>
    <w:tbl>
      <w:tblPr>
        <w:tblpPr w:leftFromText="180" w:rightFromText="180" w:vertAnchor="page" w:horzAnchor="margin" w:tblpY="2460"/>
        <w:tblW w:w="10440" w:type="dxa"/>
        <w:tblCellMar>
          <w:top w:w="15" w:type="dxa"/>
          <w:left w:w="15" w:type="dxa"/>
          <w:bottom w:w="15" w:type="dxa"/>
          <w:right w:w="15" w:type="dxa"/>
        </w:tblCellMar>
        <w:tblLook w:val="04A0" w:firstRow="1" w:lastRow="0" w:firstColumn="1" w:lastColumn="0" w:noHBand="0" w:noVBand="1"/>
      </w:tblPr>
      <w:tblGrid>
        <w:gridCol w:w="2700"/>
        <w:gridCol w:w="4320"/>
        <w:gridCol w:w="3420"/>
      </w:tblGrid>
      <w:tr w:rsidR="00E33A1F" w:rsidRPr="00B347AC" w14:paraId="0580F235" w14:textId="77777777" w:rsidTr="00EF3BA1">
        <w:trPr>
          <w:cantSplit/>
          <w:trHeight w:val="144"/>
          <w:tblHeader/>
        </w:trPr>
        <w:tc>
          <w:tcPr>
            <w:tcW w:w="2700" w:type="dxa"/>
            <w:tcBorders>
              <w:top w:val="nil"/>
            </w:tcBorders>
            <w:tcMar>
              <w:top w:w="150" w:type="dxa"/>
              <w:left w:w="0" w:type="dxa"/>
              <w:bottom w:w="150" w:type="dxa"/>
              <w:right w:w="240" w:type="dxa"/>
            </w:tcMar>
            <w:vAlign w:val="center"/>
            <w:hideMark/>
          </w:tcPr>
          <w:p w14:paraId="6A994860" w14:textId="398E26F7" w:rsidR="00B347AC" w:rsidRPr="00B347AC" w:rsidRDefault="00E33A1F" w:rsidP="00EF3BA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347AC" w:rsidRPr="00B347AC">
              <w:rPr>
                <w:rFonts w:ascii="Times New Roman" w:eastAsia="Times New Roman" w:hAnsi="Times New Roman" w:cs="Times New Roman"/>
                <w:sz w:val="24"/>
                <w:szCs w:val="24"/>
              </w:rPr>
              <w:t>Element</w:t>
            </w:r>
          </w:p>
        </w:tc>
        <w:tc>
          <w:tcPr>
            <w:tcW w:w="4320" w:type="dxa"/>
            <w:tcBorders>
              <w:top w:val="nil"/>
            </w:tcBorders>
            <w:tcMar>
              <w:top w:w="150" w:type="dxa"/>
              <w:left w:w="240" w:type="dxa"/>
              <w:bottom w:w="150" w:type="dxa"/>
              <w:right w:w="240" w:type="dxa"/>
            </w:tcMar>
            <w:vAlign w:val="center"/>
            <w:hideMark/>
          </w:tcPr>
          <w:p w14:paraId="157A71FB" w14:textId="77777777" w:rsidR="00B347AC" w:rsidRPr="00B347AC" w:rsidRDefault="00B347AC" w:rsidP="00EF3BA1">
            <w:pPr>
              <w:spacing w:after="0" w:line="240" w:lineRule="auto"/>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Requirement</w:t>
            </w:r>
          </w:p>
        </w:tc>
        <w:tc>
          <w:tcPr>
            <w:tcW w:w="3420" w:type="dxa"/>
            <w:tcBorders>
              <w:top w:val="nil"/>
            </w:tcBorders>
            <w:tcMar>
              <w:top w:w="150" w:type="dxa"/>
              <w:left w:w="240" w:type="dxa"/>
              <w:bottom w:w="150" w:type="dxa"/>
              <w:right w:w="240" w:type="dxa"/>
            </w:tcMar>
            <w:vAlign w:val="center"/>
            <w:hideMark/>
          </w:tcPr>
          <w:p w14:paraId="15735B44" w14:textId="77777777" w:rsidR="00B347AC" w:rsidRPr="00B347AC" w:rsidRDefault="00B347AC" w:rsidP="00EF3BA1">
            <w:pPr>
              <w:spacing w:after="0" w:line="240" w:lineRule="auto"/>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Reference</w:t>
            </w:r>
          </w:p>
        </w:tc>
      </w:tr>
      <w:tr w:rsidR="00E33A1F" w:rsidRPr="00B347AC" w14:paraId="77076974" w14:textId="77777777" w:rsidTr="00EF3BA1">
        <w:trPr>
          <w:cantSplit/>
          <w:trHeight w:val="144"/>
          <w:tblHeader/>
        </w:trPr>
        <w:tc>
          <w:tcPr>
            <w:tcW w:w="2700" w:type="dxa"/>
            <w:tcMar>
              <w:top w:w="150" w:type="dxa"/>
              <w:left w:w="0" w:type="dxa"/>
              <w:bottom w:w="150" w:type="dxa"/>
              <w:right w:w="240" w:type="dxa"/>
            </w:tcMar>
            <w:vAlign w:val="center"/>
            <w:hideMark/>
          </w:tcPr>
          <w:p w14:paraId="3ED89F10" w14:textId="77777777" w:rsidR="00B347AC" w:rsidRPr="00B347AC" w:rsidRDefault="00B347AC" w:rsidP="00EF3BA1">
            <w:pPr>
              <w:spacing w:after="0" w:line="240" w:lineRule="auto"/>
              <w:ind w:left="180"/>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Title</w:t>
            </w:r>
          </w:p>
        </w:tc>
        <w:tc>
          <w:tcPr>
            <w:tcW w:w="4320" w:type="dxa"/>
            <w:tcMar>
              <w:top w:w="150" w:type="dxa"/>
              <w:left w:w="240" w:type="dxa"/>
              <w:bottom w:w="150" w:type="dxa"/>
              <w:right w:w="240" w:type="dxa"/>
            </w:tcMar>
            <w:vAlign w:val="center"/>
            <w:hideMark/>
          </w:tcPr>
          <w:p w14:paraId="175B116A" w14:textId="77777777" w:rsidR="00B347AC" w:rsidRPr="00B347AC" w:rsidRDefault="00B347AC" w:rsidP="00EF3BA1">
            <w:pPr>
              <w:spacing w:after="0" w:line="240" w:lineRule="auto"/>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"Calibration Certificate"</w:t>
            </w:r>
          </w:p>
        </w:tc>
        <w:tc>
          <w:tcPr>
            <w:tcW w:w="3420" w:type="dxa"/>
            <w:tcMar>
              <w:top w:w="150" w:type="dxa"/>
              <w:left w:w="240" w:type="dxa"/>
              <w:bottom w:w="150" w:type="dxa"/>
              <w:right w:w="0" w:type="dxa"/>
            </w:tcMar>
            <w:vAlign w:val="center"/>
            <w:hideMark/>
          </w:tcPr>
          <w:p w14:paraId="1BB7D8DD" w14:textId="77777777" w:rsidR="00B347AC" w:rsidRPr="00B347AC" w:rsidRDefault="00B347AC" w:rsidP="00EF3BA1">
            <w:pPr>
              <w:spacing w:after="0" w:line="240" w:lineRule="auto"/>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ISO/IEC 17025:2017 cl. 7.8.2</w:t>
            </w:r>
          </w:p>
        </w:tc>
      </w:tr>
      <w:tr w:rsidR="00E33A1F" w:rsidRPr="00B347AC" w14:paraId="7FE222BD" w14:textId="77777777" w:rsidTr="00EF3BA1">
        <w:trPr>
          <w:cantSplit/>
          <w:trHeight w:val="144"/>
          <w:tblHeader/>
        </w:trPr>
        <w:tc>
          <w:tcPr>
            <w:tcW w:w="2700" w:type="dxa"/>
            <w:tcMar>
              <w:top w:w="150" w:type="dxa"/>
              <w:left w:w="0" w:type="dxa"/>
              <w:bottom w:w="150" w:type="dxa"/>
              <w:right w:w="240" w:type="dxa"/>
            </w:tcMar>
            <w:vAlign w:val="center"/>
            <w:hideMark/>
          </w:tcPr>
          <w:p w14:paraId="726578CE" w14:textId="77777777" w:rsidR="00B347AC" w:rsidRPr="00B347AC" w:rsidRDefault="00B347AC" w:rsidP="00EF3BA1">
            <w:pPr>
              <w:spacing w:after="0" w:line="240" w:lineRule="auto"/>
              <w:ind w:left="180"/>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Laboratory identification</w:t>
            </w:r>
          </w:p>
        </w:tc>
        <w:tc>
          <w:tcPr>
            <w:tcW w:w="4320" w:type="dxa"/>
            <w:tcMar>
              <w:top w:w="150" w:type="dxa"/>
              <w:left w:w="240" w:type="dxa"/>
              <w:bottom w:w="150" w:type="dxa"/>
              <w:right w:w="240" w:type="dxa"/>
            </w:tcMar>
            <w:vAlign w:val="center"/>
            <w:hideMark/>
          </w:tcPr>
          <w:p w14:paraId="39D865CE" w14:textId="77777777" w:rsidR="00B347AC" w:rsidRPr="00B347AC" w:rsidRDefault="00B347AC" w:rsidP="00EF3BA1">
            <w:pPr>
              <w:spacing w:after="0" w:line="240" w:lineRule="auto"/>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Name, address, accreditation symbol</w:t>
            </w:r>
          </w:p>
        </w:tc>
        <w:tc>
          <w:tcPr>
            <w:tcW w:w="3420" w:type="dxa"/>
            <w:tcMar>
              <w:top w:w="150" w:type="dxa"/>
              <w:left w:w="240" w:type="dxa"/>
              <w:bottom w:w="150" w:type="dxa"/>
              <w:right w:w="0" w:type="dxa"/>
            </w:tcMar>
            <w:vAlign w:val="center"/>
            <w:hideMark/>
          </w:tcPr>
          <w:p w14:paraId="3DC66A20" w14:textId="77777777" w:rsidR="00B347AC" w:rsidRPr="00B347AC" w:rsidRDefault="00B347AC" w:rsidP="00EF3BA1">
            <w:pPr>
              <w:spacing w:after="0" w:line="240" w:lineRule="auto"/>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ILAC P14 [17]</w:t>
            </w:r>
          </w:p>
        </w:tc>
      </w:tr>
      <w:tr w:rsidR="00E33A1F" w:rsidRPr="00B347AC" w14:paraId="24E8D17F" w14:textId="77777777" w:rsidTr="00EF3BA1">
        <w:trPr>
          <w:cantSplit/>
          <w:trHeight w:val="144"/>
          <w:tblHeader/>
        </w:trPr>
        <w:tc>
          <w:tcPr>
            <w:tcW w:w="2700" w:type="dxa"/>
            <w:tcMar>
              <w:top w:w="150" w:type="dxa"/>
              <w:left w:w="0" w:type="dxa"/>
              <w:bottom w:w="150" w:type="dxa"/>
              <w:right w:w="240" w:type="dxa"/>
            </w:tcMar>
            <w:vAlign w:val="center"/>
            <w:hideMark/>
          </w:tcPr>
          <w:p w14:paraId="215BBA0D" w14:textId="77777777" w:rsidR="00B347AC" w:rsidRPr="00B347AC" w:rsidRDefault="00B347AC" w:rsidP="00EF3BA1">
            <w:pPr>
              <w:spacing w:after="0" w:line="240" w:lineRule="auto"/>
              <w:ind w:left="180"/>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Unique certificate ID</w:t>
            </w:r>
          </w:p>
        </w:tc>
        <w:tc>
          <w:tcPr>
            <w:tcW w:w="4320" w:type="dxa"/>
            <w:tcMar>
              <w:top w:w="150" w:type="dxa"/>
              <w:left w:w="240" w:type="dxa"/>
              <w:bottom w:w="150" w:type="dxa"/>
              <w:right w:w="240" w:type="dxa"/>
            </w:tcMar>
            <w:vAlign w:val="center"/>
            <w:hideMark/>
          </w:tcPr>
          <w:p w14:paraId="56FD5545" w14:textId="77777777" w:rsidR="00B347AC" w:rsidRPr="00B347AC" w:rsidRDefault="00B347AC" w:rsidP="00EF3BA1">
            <w:pPr>
              <w:spacing w:after="0" w:line="240" w:lineRule="auto"/>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Sequential numbering for traceability</w:t>
            </w:r>
          </w:p>
        </w:tc>
        <w:tc>
          <w:tcPr>
            <w:tcW w:w="3420" w:type="dxa"/>
            <w:tcMar>
              <w:top w:w="150" w:type="dxa"/>
              <w:left w:w="240" w:type="dxa"/>
              <w:bottom w:w="150" w:type="dxa"/>
              <w:right w:w="0" w:type="dxa"/>
            </w:tcMar>
            <w:vAlign w:val="center"/>
            <w:hideMark/>
          </w:tcPr>
          <w:p w14:paraId="4FBD1C05" w14:textId="77777777" w:rsidR="00B347AC" w:rsidRPr="00B347AC" w:rsidRDefault="00B347AC" w:rsidP="00EF3BA1">
            <w:pPr>
              <w:spacing w:after="0" w:line="240" w:lineRule="auto"/>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ISO/IEC 17025 cl. 7.8.2</w:t>
            </w:r>
          </w:p>
        </w:tc>
      </w:tr>
      <w:tr w:rsidR="00E33A1F" w:rsidRPr="00B347AC" w14:paraId="4A29314E" w14:textId="77777777" w:rsidTr="00EF3BA1">
        <w:trPr>
          <w:cantSplit/>
          <w:trHeight w:val="144"/>
          <w:tblHeader/>
        </w:trPr>
        <w:tc>
          <w:tcPr>
            <w:tcW w:w="2700" w:type="dxa"/>
            <w:tcMar>
              <w:top w:w="150" w:type="dxa"/>
              <w:left w:w="0" w:type="dxa"/>
              <w:bottom w:w="150" w:type="dxa"/>
              <w:right w:w="240" w:type="dxa"/>
            </w:tcMar>
            <w:vAlign w:val="center"/>
            <w:hideMark/>
          </w:tcPr>
          <w:p w14:paraId="12B9BB46" w14:textId="77777777" w:rsidR="00B347AC" w:rsidRPr="00B347AC" w:rsidRDefault="00B347AC" w:rsidP="00EF3BA1">
            <w:pPr>
              <w:spacing w:after="0" w:line="240" w:lineRule="auto"/>
              <w:ind w:left="180"/>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Customer identification</w:t>
            </w:r>
          </w:p>
        </w:tc>
        <w:tc>
          <w:tcPr>
            <w:tcW w:w="4320" w:type="dxa"/>
            <w:tcMar>
              <w:top w:w="150" w:type="dxa"/>
              <w:left w:w="240" w:type="dxa"/>
              <w:bottom w:w="150" w:type="dxa"/>
              <w:right w:w="240" w:type="dxa"/>
            </w:tcMar>
            <w:vAlign w:val="center"/>
            <w:hideMark/>
          </w:tcPr>
          <w:p w14:paraId="7A522080" w14:textId="77777777" w:rsidR="00B347AC" w:rsidRPr="00B347AC" w:rsidRDefault="00B347AC" w:rsidP="00EF3BA1">
            <w:pPr>
              <w:spacing w:after="0" w:line="240" w:lineRule="auto"/>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Name and address</w:t>
            </w:r>
          </w:p>
        </w:tc>
        <w:tc>
          <w:tcPr>
            <w:tcW w:w="3420" w:type="dxa"/>
            <w:tcMar>
              <w:top w:w="150" w:type="dxa"/>
              <w:left w:w="240" w:type="dxa"/>
              <w:bottom w:w="150" w:type="dxa"/>
              <w:right w:w="0" w:type="dxa"/>
            </w:tcMar>
            <w:vAlign w:val="center"/>
            <w:hideMark/>
          </w:tcPr>
          <w:p w14:paraId="3BB5D7EB" w14:textId="77777777" w:rsidR="00B347AC" w:rsidRPr="00B347AC" w:rsidRDefault="00B347AC" w:rsidP="00EF3BA1">
            <w:pPr>
              <w:spacing w:after="0" w:line="240" w:lineRule="auto"/>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ISO/IEC 17025 cl. 7.8.2</w:t>
            </w:r>
          </w:p>
        </w:tc>
      </w:tr>
      <w:tr w:rsidR="00E33A1F" w:rsidRPr="00B347AC" w14:paraId="313455E0" w14:textId="77777777" w:rsidTr="00EF3BA1">
        <w:trPr>
          <w:cantSplit/>
          <w:trHeight w:val="144"/>
          <w:tblHeader/>
        </w:trPr>
        <w:tc>
          <w:tcPr>
            <w:tcW w:w="2700" w:type="dxa"/>
            <w:tcMar>
              <w:top w:w="150" w:type="dxa"/>
              <w:left w:w="0" w:type="dxa"/>
              <w:bottom w:w="150" w:type="dxa"/>
              <w:right w:w="240" w:type="dxa"/>
            </w:tcMar>
            <w:vAlign w:val="center"/>
            <w:hideMark/>
          </w:tcPr>
          <w:p w14:paraId="29555C7F" w14:textId="77777777" w:rsidR="00B347AC" w:rsidRPr="00B347AC" w:rsidRDefault="00B347AC" w:rsidP="00EF3BA1">
            <w:pPr>
              <w:spacing w:after="0" w:line="240" w:lineRule="auto"/>
              <w:ind w:left="180"/>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Device identification</w:t>
            </w:r>
          </w:p>
        </w:tc>
        <w:tc>
          <w:tcPr>
            <w:tcW w:w="4320" w:type="dxa"/>
            <w:tcMar>
              <w:top w:w="150" w:type="dxa"/>
              <w:left w:w="240" w:type="dxa"/>
              <w:bottom w:w="150" w:type="dxa"/>
              <w:right w:w="240" w:type="dxa"/>
            </w:tcMar>
            <w:vAlign w:val="center"/>
            <w:hideMark/>
          </w:tcPr>
          <w:p w14:paraId="4ACA41D6" w14:textId="77777777" w:rsidR="00B347AC" w:rsidRPr="00B347AC" w:rsidRDefault="00B347AC" w:rsidP="00EF3BA1">
            <w:pPr>
              <w:spacing w:after="0" w:line="240" w:lineRule="auto"/>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Manufacturer, model, serial number</w:t>
            </w:r>
          </w:p>
        </w:tc>
        <w:tc>
          <w:tcPr>
            <w:tcW w:w="3420" w:type="dxa"/>
            <w:tcMar>
              <w:top w:w="150" w:type="dxa"/>
              <w:left w:w="240" w:type="dxa"/>
              <w:bottom w:w="150" w:type="dxa"/>
              <w:right w:w="0" w:type="dxa"/>
            </w:tcMar>
            <w:vAlign w:val="center"/>
            <w:hideMark/>
          </w:tcPr>
          <w:p w14:paraId="4C4C9671" w14:textId="77777777" w:rsidR="00B347AC" w:rsidRPr="00B347AC" w:rsidRDefault="00B347AC" w:rsidP="00EF3BA1">
            <w:pPr>
              <w:spacing w:after="0" w:line="240" w:lineRule="auto"/>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ISO/IEC 17025 cl. 7.8.2</w:t>
            </w:r>
          </w:p>
        </w:tc>
      </w:tr>
      <w:tr w:rsidR="00E33A1F" w:rsidRPr="00B347AC" w14:paraId="30B02CA4" w14:textId="77777777" w:rsidTr="00EF3BA1">
        <w:trPr>
          <w:cantSplit/>
          <w:trHeight w:val="144"/>
          <w:tblHeader/>
        </w:trPr>
        <w:tc>
          <w:tcPr>
            <w:tcW w:w="2700" w:type="dxa"/>
            <w:tcMar>
              <w:top w:w="150" w:type="dxa"/>
              <w:left w:w="0" w:type="dxa"/>
              <w:bottom w:w="150" w:type="dxa"/>
              <w:right w:w="240" w:type="dxa"/>
            </w:tcMar>
            <w:vAlign w:val="center"/>
            <w:hideMark/>
          </w:tcPr>
          <w:p w14:paraId="3FCF50A3" w14:textId="77777777" w:rsidR="00B347AC" w:rsidRPr="00B347AC" w:rsidRDefault="00B347AC" w:rsidP="00EF3BA1">
            <w:pPr>
              <w:spacing w:after="0" w:line="240" w:lineRule="auto"/>
              <w:ind w:left="180"/>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Calibration date</w:t>
            </w:r>
          </w:p>
        </w:tc>
        <w:tc>
          <w:tcPr>
            <w:tcW w:w="4320" w:type="dxa"/>
            <w:tcMar>
              <w:top w:w="150" w:type="dxa"/>
              <w:left w:w="240" w:type="dxa"/>
              <w:bottom w:w="150" w:type="dxa"/>
              <w:right w:w="240" w:type="dxa"/>
            </w:tcMar>
            <w:vAlign w:val="center"/>
            <w:hideMark/>
          </w:tcPr>
          <w:p w14:paraId="0F554406" w14:textId="77777777" w:rsidR="00B347AC" w:rsidRPr="00B347AC" w:rsidRDefault="00B347AC" w:rsidP="00EF3BA1">
            <w:pPr>
              <w:spacing w:after="0" w:line="240" w:lineRule="auto"/>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When performed</w:t>
            </w:r>
          </w:p>
        </w:tc>
        <w:tc>
          <w:tcPr>
            <w:tcW w:w="3420" w:type="dxa"/>
            <w:tcMar>
              <w:top w:w="150" w:type="dxa"/>
              <w:left w:w="240" w:type="dxa"/>
              <w:bottom w:w="150" w:type="dxa"/>
              <w:right w:w="0" w:type="dxa"/>
            </w:tcMar>
            <w:vAlign w:val="center"/>
            <w:hideMark/>
          </w:tcPr>
          <w:p w14:paraId="551F669B" w14:textId="77777777" w:rsidR="00B347AC" w:rsidRPr="00B347AC" w:rsidRDefault="00B347AC" w:rsidP="00EF3BA1">
            <w:pPr>
              <w:spacing w:after="0" w:line="240" w:lineRule="auto"/>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ISO/IEC 17025 cl. 7.8.2</w:t>
            </w:r>
          </w:p>
        </w:tc>
      </w:tr>
      <w:tr w:rsidR="00E33A1F" w:rsidRPr="00B347AC" w14:paraId="45962140" w14:textId="77777777" w:rsidTr="00EF3BA1">
        <w:trPr>
          <w:cantSplit/>
          <w:trHeight w:val="144"/>
          <w:tblHeader/>
        </w:trPr>
        <w:tc>
          <w:tcPr>
            <w:tcW w:w="2700" w:type="dxa"/>
            <w:tcMar>
              <w:top w:w="150" w:type="dxa"/>
              <w:left w:w="0" w:type="dxa"/>
              <w:bottom w:w="150" w:type="dxa"/>
              <w:right w:w="240" w:type="dxa"/>
            </w:tcMar>
            <w:vAlign w:val="center"/>
            <w:hideMark/>
          </w:tcPr>
          <w:p w14:paraId="71AD4B5E" w14:textId="77777777" w:rsidR="00B347AC" w:rsidRPr="00B347AC" w:rsidRDefault="00B347AC" w:rsidP="00EF3BA1">
            <w:pPr>
              <w:spacing w:after="0" w:line="240" w:lineRule="auto"/>
              <w:ind w:left="180"/>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Reference standards</w:t>
            </w:r>
          </w:p>
        </w:tc>
        <w:tc>
          <w:tcPr>
            <w:tcW w:w="4320" w:type="dxa"/>
            <w:tcMar>
              <w:top w:w="150" w:type="dxa"/>
              <w:left w:w="240" w:type="dxa"/>
              <w:bottom w:w="150" w:type="dxa"/>
              <w:right w:w="240" w:type="dxa"/>
            </w:tcMar>
            <w:vAlign w:val="center"/>
            <w:hideMark/>
          </w:tcPr>
          <w:p w14:paraId="20315368" w14:textId="77777777" w:rsidR="00B347AC" w:rsidRPr="00B347AC" w:rsidRDefault="00B347AC" w:rsidP="00EF3BA1">
            <w:pPr>
              <w:spacing w:after="0" w:line="240" w:lineRule="auto"/>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IDs, calibration dates, traceability</w:t>
            </w:r>
          </w:p>
        </w:tc>
        <w:tc>
          <w:tcPr>
            <w:tcW w:w="3420" w:type="dxa"/>
            <w:tcMar>
              <w:top w:w="150" w:type="dxa"/>
              <w:left w:w="240" w:type="dxa"/>
              <w:bottom w:w="150" w:type="dxa"/>
              <w:right w:w="0" w:type="dxa"/>
            </w:tcMar>
            <w:vAlign w:val="center"/>
            <w:hideMark/>
          </w:tcPr>
          <w:p w14:paraId="1F5972CF" w14:textId="77777777" w:rsidR="00B347AC" w:rsidRPr="00B347AC" w:rsidRDefault="00B347AC" w:rsidP="00EF3BA1">
            <w:pPr>
              <w:spacing w:after="0" w:line="240" w:lineRule="auto"/>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ILAC P14 [17]</w:t>
            </w:r>
          </w:p>
        </w:tc>
      </w:tr>
      <w:tr w:rsidR="00E33A1F" w:rsidRPr="00B347AC" w14:paraId="3E0A3CED" w14:textId="77777777" w:rsidTr="00EF3BA1">
        <w:trPr>
          <w:cantSplit/>
          <w:trHeight w:val="144"/>
          <w:tblHeader/>
        </w:trPr>
        <w:tc>
          <w:tcPr>
            <w:tcW w:w="2700" w:type="dxa"/>
            <w:tcMar>
              <w:top w:w="150" w:type="dxa"/>
              <w:left w:w="0" w:type="dxa"/>
              <w:bottom w:w="150" w:type="dxa"/>
              <w:right w:w="240" w:type="dxa"/>
            </w:tcMar>
            <w:vAlign w:val="center"/>
            <w:hideMark/>
          </w:tcPr>
          <w:p w14:paraId="2B867AFA" w14:textId="77777777" w:rsidR="00B347AC" w:rsidRPr="00B347AC" w:rsidRDefault="00B347AC" w:rsidP="00EF3BA1">
            <w:pPr>
              <w:spacing w:after="0" w:line="240" w:lineRule="auto"/>
              <w:ind w:left="180"/>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Environmental conditions</w:t>
            </w:r>
          </w:p>
        </w:tc>
        <w:tc>
          <w:tcPr>
            <w:tcW w:w="4320" w:type="dxa"/>
            <w:tcMar>
              <w:top w:w="150" w:type="dxa"/>
              <w:left w:w="240" w:type="dxa"/>
              <w:bottom w:w="150" w:type="dxa"/>
              <w:right w:w="240" w:type="dxa"/>
            </w:tcMar>
            <w:vAlign w:val="center"/>
            <w:hideMark/>
          </w:tcPr>
          <w:p w14:paraId="6128A3C8" w14:textId="77777777" w:rsidR="00B347AC" w:rsidRPr="00B347AC" w:rsidRDefault="00B347AC" w:rsidP="00EF3BA1">
            <w:pPr>
              <w:spacing w:after="0" w:line="240" w:lineRule="auto"/>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Temperature, humidity during calibration</w:t>
            </w:r>
          </w:p>
        </w:tc>
        <w:tc>
          <w:tcPr>
            <w:tcW w:w="3420" w:type="dxa"/>
            <w:tcMar>
              <w:top w:w="150" w:type="dxa"/>
              <w:left w:w="240" w:type="dxa"/>
              <w:bottom w:w="150" w:type="dxa"/>
              <w:right w:w="0" w:type="dxa"/>
            </w:tcMar>
            <w:vAlign w:val="center"/>
            <w:hideMark/>
          </w:tcPr>
          <w:p w14:paraId="6F201D20" w14:textId="77777777" w:rsidR="00B347AC" w:rsidRPr="00B347AC" w:rsidRDefault="00B347AC" w:rsidP="00EF3BA1">
            <w:pPr>
              <w:spacing w:after="0" w:line="240" w:lineRule="auto"/>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ISO/IEC 17025 cl. 7.8.2</w:t>
            </w:r>
          </w:p>
        </w:tc>
      </w:tr>
      <w:tr w:rsidR="00E33A1F" w:rsidRPr="00B347AC" w14:paraId="10F87D12" w14:textId="77777777" w:rsidTr="00EF3BA1">
        <w:trPr>
          <w:cantSplit/>
          <w:trHeight w:val="144"/>
          <w:tblHeader/>
        </w:trPr>
        <w:tc>
          <w:tcPr>
            <w:tcW w:w="2700" w:type="dxa"/>
            <w:tcMar>
              <w:top w:w="150" w:type="dxa"/>
              <w:left w:w="0" w:type="dxa"/>
              <w:bottom w:w="150" w:type="dxa"/>
              <w:right w:w="240" w:type="dxa"/>
            </w:tcMar>
            <w:vAlign w:val="center"/>
            <w:hideMark/>
          </w:tcPr>
          <w:p w14:paraId="29D023F2" w14:textId="77777777" w:rsidR="00B347AC" w:rsidRPr="00B347AC" w:rsidRDefault="00B347AC" w:rsidP="00EF3BA1">
            <w:pPr>
              <w:spacing w:after="0" w:line="240" w:lineRule="auto"/>
              <w:ind w:left="180"/>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Measurement results</w:t>
            </w:r>
          </w:p>
        </w:tc>
        <w:tc>
          <w:tcPr>
            <w:tcW w:w="4320" w:type="dxa"/>
            <w:tcMar>
              <w:top w:w="150" w:type="dxa"/>
              <w:left w:w="240" w:type="dxa"/>
              <w:bottom w:w="150" w:type="dxa"/>
              <w:right w:w="240" w:type="dxa"/>
            </w:tcMar>
            <w:vAlign w:val="center"/>
            <w:hideMark/>
          </w:tcPr>
          <w:p w14:paraId="30FFB835" w14:textId="77777777" w:rsidR="00B347AC" w:rsidRPr="00B347AC" w:rsidRDefault="00B347AC" w:rsidP="00EF3BA1">
            <w:pPr>
              <w:spacing w:after="0" w:line="240" w:lineRule="auto"/>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Values, errors at each point</w:t>
            </w:r>
          </w:p>
        </w:tc>
        <w:tc>
          <w:tcPr>
            <w:tcW w:w="3420" w:type="dxa"/>
            <w:tcMar>
              <w:top w:w="150" w:type="dxa"/>
              <w:left w:w="240" w:type="dxa"/>
              <w:bottom w:w="150" w:type="dxa"/>
              <w:right w:w="0" w:type="dxa"/>
            </w:tcMar>
            <w:vAlign w:val="center"/>
            <w:hideMark/>
          </w:tcPr>
          <w:p w14:paraId="5D4A930F" w14:textId="77777777" w:rsidR="00B347AC" w:rsidRPr="00B347AC" w:rsidRDefault="00B347AC" w:rsidP="00EF3BA1">
            <w:pPr>
              <w:spacing w:after="0" w:line="240" w:lineRule="auto"/>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ISO/IEC 17025 cl. 7.8.2</w:t>
            </w:r>
          </w:p>
        </w:tc>
      </w:tr>
      <w:tr w:rsidR="00E33A1F" w:rsidRPr="00B347AC" w14:paraId="780EA43E" w14:textId="77777777" w:rsidTr="00EF3BA1">
        <w:trPr>
          <w:cantSplit/>
          <w:trHeight w:val="144"/>
          <w:tblHeader/>
        </w:trPr>
        <w:tc>
          <w:tcPr>
            <w:tcW w:w="2700" w:type="dxa"/>
            <w:tcMar>
              <w:top w:w="150" w:type="dxa"/>
              <w:left w:w="0" w:type="dxa"/>
              <w:bottom w:w="150" w:type="dxa"/>
              <w:right w:w="240" w:type="dxa"/>
            </w:tcMar>
            <w:vAlign w:val="center"/>
            <w:hideMark/>
          </w:tcPr>
          <w:p w14:paraId="27E2CE1E" w14:textId="77777777" w:rsidR="00B347AC" w:rsidRPr="00B347AC" w:rsidRDefault="00B347AC" w:rsidP="00EF3BA1">
            <w:pPr>
              <w:spacing w:after="0" w:line="240" w:lineRule="auto"/>
              <w:ind w:left="180"/>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Measurement uncertainty</w:t>
            </w:r>
          </w:p>
        </w:tc>
        <w:tc>
          <w:tcPr>
            <w:tcW w:w="4320" w:type="dxa"/>
            <w:tcMar>
              <w:top w:w="150" w:type="dxa"/>
              <w:left w:w="240" w:type="dxa"/>
              <w:bottom w:w="150" w:type="dxa"/>
              <w:right w:w="240" w:type="dxa"/>
            </w:tcMar>
            <w:vAlign w:val="center"/>
            <w:hideMark/>
          </w:tcPr>
          <w:p w14:paraId="430A1FAD" w14:textId="77777777" w:rsidR="00B347AC" w:rsidRPr="00B347AC" w:rsidRDefault="00B347AC" w:rsidP="00EF3BA1">
            <w:pPr>
              <w:spacing w:after="0" w:line="240" w:lineRule="auto"/>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Expanded uncertainty (U, k=2)</w:t>
            </w:r>
          </w:p>
        </w:tc>
        <w:tc>
          <w:tcPr>
            <w:tcW w:w="3420" w:type="dxa"/>
            <w:tcMar>
              <w:top w:w="150" w:type="dxa"/>
              <w:left w:w="240" w:type="dxa"/>
              <w:bottom w:w="150" w:type="dxa"/>
              <w:right w:w="0" w:type="dxa"/>
            </w:tcMar>
            <w:vAlign w:val="center"/>
            <w:hideMark/>
          </w:tcPr>
          <w:p w14:paraId="766E1453" w14:textId="77777777" w:rsidR="00B347AC" w:rsidRPr="00B347AC" w:rsidRDefault="00B347AC" w:rsidP="00EF3BA1">
            <w:pPr>
              <w:spacing w:after="0" w:line="240" w:lineRule="auto"/>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ILAC P14 [17]</w:t>
            </w:r>
          </w:p>
        </w:tc>
      </w:tr>
      <w:tr w:rsidR="00E33A1F" w:rsidRPr="00B347AC" w14:paraId="2CF7B38D" w14:textId="77777777" w:rsidTr="00EF3BA1">
        <w:trPr>
          <w:cantSplit/>
          <w:trHeight w:val="144"/>
          <w:tblHeader/>
        </w:trPr>
        <w:tc>
          <w:tcPr>
            <w:tcW w:w="2700" w:type="dxa"/>
            <w:tcMar>
              <w:top w:w="150" w:type="dxa"/>
              <w:left w:w="0" w:type="dxa"/>
              <w:bottom w:w="150" w:type="dxa"/>
              <w:right w:w="240" w:type="dxa"/>
            </w:tcMar>
            <w:vAlign w:val="center"/>
            <w:hideMark/>
          </w:tcPr>
          <w:p w14:paraId="64BFD489" w14:textId="48D66FF8" w:rsidR="00B347AC" w:rsidRPr="00B347AC" w:rsidRDefault="00B347AC" w:rsidP="00EF3BA1">
            <w:pPr>
              <w:spacing w:after="0" w:line="240" w:lineRule="auto"/>
              <w:ind w:left="180"/>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Statement</w:t>
            </w:r>
            <w:r w:rsidR="00E33A1F">
              <w:rPr>
                <w:rFonts w:ascii="Times New Roman" w:eastAsia="Times New Roman" w:hAnsi="Times New Roman" w:cs="Times New Roman"/>
                <w:sz w:val="24"/>
                <w:szCs w:val="24"/>
              </w:rPr>
              <w:t xml:space="preserve"> </w:t>
            </w:r>
            <w:r w:rsidRPr="00B347AC">
              <w:rPr>
                <w:rFonts w:ascii="Times New Roman" w:eastAsia="Times New Roman" w:hAnsi="Times New Roman" w:cs="Times New Roman"/>
                <w:sz w:val="24"/>
                <w:szCs w:val="24"/>
              </w:rPr>
              <w:t>of conformity</w:t>
            </w:r>
          </w:p>
        </w:tc>
        <w:tc>
          <w:tcPr>
            <w:tcW w:w="4320" w:type="dxa"/>
            <w:tcMar>
              <w:top w:w="150" w:type="dxa"/>
              <w:left w:w="240" w:type="dxa"/>
              <w:bottom w:w="150" w:type="dxa"/>
              <w:right w:w="240" w:type="dxa"/>
            </w:tcMar>
            <w:vAlign w:val="center"/>
            <w:hideMark/>
          </w:tcPr>
          <w:p w14:paraId="2E4968E8" w14:textId="77777777" w:rsidR="00B347AC" w:rsidRPr="00B347AC" w:rsidRDefault="00B347AC" w:rsidP="00EF3BA1">
            <w:pPr>
              <w:spacing w:after="0" w:line="240" w:lineRule="auto"/>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Pass/fail (if requested)</w:t>
            </w:r>
          </w:p>
        </w:tc>
        <w:tc>
          <w:tcPr>
            <w:tcW w:w="3420" w:type="dxa"/>
            <w:tcMar>
              <w:top w:w="150" w:type="dxa"/>
              <w:left w:w="240" w:type="dxa"/>
              <w:bottom w:w="150" w:type="dxa"/>
              <w:right w:w="0" w:type="dxa"/>
            </w:tcMar>
            <w:vAlign w:val="center"/>
            <w:hideMark/>
          </w:tcPr>
          <w:p w14:paraId="514A5DA7" w14:textId="77777777" w:rsidR="00B347AC" w:rsidRPr="00B347AC" w:rsidRDefault="00B347AC" w:rsidP="00EF3BA1">
            <w:pPr>
              <w:spacing w:after="0" w:line="240" w:lineRule="auto"/>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ILAC G8 [26]</w:t>
            </w:r>
          </w:p>
        </w:tc>
      </w:tr>
      <w:tr w:rsidR="00E33A1F" w:rsidRPr="00B347AC" w14:paraId="1529BB47" w14:textId="77777777" w:rsidTr="00EF3BA1">
        <w:trPr>
          <w:cantSplit/>
          <w:trHeight w:val="144"/>
          <w:tblHeader/>
        </w:trPr>
        <w:tc>
          <w:tcPr>
            <w:tcW w:w="2700" w:type="dxa"/>
            <w:tcMar>
              <w:top w:w="150" w:type="dxa"/>
              <w:left w:w="0" w:type="dxa"/>
              <w:bottom w:w="150" w:type="dxa"/>
              <w:right w:w="240" w:type="dxa"/>
            </w:tcMar>
            <w:vAlign w:val="center"/>
            <w:hideMark/>
          </w:tcPr>
          <w:p w14:paraId="35AFE092" w14:textId="77777777" w:rsidR="00B347AC" w:rsidRPr="00B347AC" w:rsidRDefault="00B347AC" w:rsidP="00EF3BA1">
            <w:pPr>
              <w:spacing w:after="0" w:line="240" w:lineRule="auto"/>
              <w:ind w:left="180"/>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Signature</w:t>
            </w:r>
          </w:p>
        </w:tc>
        <w:tc>
          <w:tcPr>
            <w:tcW w:w="4320" w:type="dxa"/>
            <w:tcMar>
              <w:top w:w="150" w:type="dxa"/>
              <w:left w:w="240" w:type="dxa"/>
              <w:bottom w:w="150" w:type="dxa"/>
              <w:right w:w="240" w:type="dxa"/>
            </w:tcMar>
            <w:vAlign w:val="center"/>
            <w:hideMark/>
          </w:tcPr>
          <w:p w14:paraId="37470B4B" w14:textId="77777777" w:rsidR="00B347AC" w:rsidRPr="00B347AC" w:rsidRDefault="00B347AC" w:rsidP="00EF3BA1">
            <w:pPr>
              <w:spacing w:after="0" w:line="240" w:lineRule="auto"/>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Authorized signatory</w:t>
            </w:r>
          </w:p>
        </w:tc>
        <w:tc>
          <w:tcPr>
            <w:tcW w:w="3420" w:type="dxa"/>
            <w:tcMar>
              <w:top w:w="150" w:type="dxa"/>
              <w:left w:w="240" w:type="dxa"/>
              <w:bottom w:w="150" w:type="dxa"/>
              <w:right w:w="0" w:type="dxa"/>
            </w:tcMar>
            <w:vAlign w:val="center"/>
            <w:hideMark/>
          </w:tcPr>
          <w:p w14:paraId="3B89164F" w14:textId="77777777" w:rsidR="00B347AC" w:rsidRPr="00B347AC" w:rsidRDefault="00B347AC" w:rsidP="00EF3BA1">
            <w:pPr>
              <w:spacing w:after="0" w:line="240" w:lineRule="auto"/>
              <w:jc w:val="both"/>
              <w:rPr>
                <w:rFonts w:ascii="Times New Roman" w:eastAsia="Times New Roman" w:hAnsi="Times New Roman" w:cs="Times New Roman"/>
                <w:sz w:val="24"/>
                <w:szCs w:val="24"/>
              </w:rPr>
            </w:pPr>
            <w:r w:rsidRPr="00B347AC">
              <w:rPr>
                <w:rFonts w:ascii="Times New Roman" w:eastAsia="Times New Roman" w:hAnsi="Times New Roman" w:cs="Times New Roman"/>
                <w:sz w:val="24"/>
                <w:szCs w:val="24"/>
              </w:rPr>
              <w:t>ISO/IEC 17025 cl. 7.8.2</w:t>
            </w:r>
          </w:p>
        </w:tc>
      </w:tr>
    </w:tbl>
    <w:p w14:paraId="5F22CAA3" w14:textId="594B9F46" w:rsidR="00B347AC" w:rsidRPr="00B347AC" w:rsidRDefault="00B347AC" w:rsidP="000B190B">
      <w:pPr>
        <w:shd w:val="clear" w:color="auto" w:fill="FFFFFF"/>
        <w:spacing w:before="240" w:line="240" w:lineRule="auto"/>
        <w:jc w:val="both"/>
        <w:rPr>
          <w:rFonts w:ascii="Times New Roman" w:eastAsia="Times New Roman" w:hAnsi="Times New Roman" w:cs="Times New Roman"/>
          <w:color w:val="0F1115"/>
          <w:sz w:val="24"/>
          <w:szCs w:val="24"/>
        </w:rPr>
      </w:pPr>
      <w:r w:rsidRPr="00B347AC">
        <w:rPr>
          <w:rFonts w:ascii="Times New Roman" w:eastAsia="Times New Roman" w:hAnsi="Times New Roman" w:cs="Times New Roman"/>
          <w:color w:val="0F1115"/>
          <w:sz w:val="24"/>
          <w:szCs w:val="24"/>
        </w:rPr>
        <w:t xml:space="preserve">Digital </w:t>
      </w:r>
      <w:r w:rsidR="00342B4C">
        <w:rPr>
          <w:rFonts w:ascii="Times New Roman" w:eastAsia="Times New Roman" w:hAnsi="Times New Roman" w:cs="Times New Roman"/>
          <w:color w:val="0F1115"/>
          <w:sz w:val="24"/>
          <w:szCs w:val="24"/>
        </w:rPr>
        <w:t>resource</w:t>
      </w:r>
      <w:r w:rsidRPr="00B347AC">
        <w:rPr>
          <w:rFonts w:ascii="Times New Roman" w:eastAsia="Times New Roman" w:hAnsi="Times New Roman" w:cs="Times New Roman"/>
          <w:color w:val="0F1115"/>
          <w:sz w:val="24"/>
          <w:szCs w:val="24"/>
        </w:rPr>
        <w:t xml:space="preserve"> management systems (CMMS) improve efficiency. AAMI EQ56 recommends such systems [29].</w:t>
      </w:r>
    </w:p>
    <w:p w14:paraId="54C4B6D7" w14:textId="2FA1D17B" w:rsidR="00B347AC" w:rsidRPr="00B347AC" w:rsidRDefault="00B347AC" w:rsidP="000B190B">
      <w:pPr>
        <w:shd w:val="clear" w:color="auto" w:fill="FFFFFF"/>
        <w:spacing w:before="240" w:line="240" w:lineRule="auto"/>
        <w:jc w:val="both"/>
        <w:outlineLvl w:val="1"/>
        <w:rPr>
          <w:rFonts w:ascii="Times New Roman" w:eastAsia="Times New Roman" w:hAnsi="Times New Roman" w:cs="Times New Roman"/>
          <w:b/>
          <w:bCs/>
          <w:color w:val="0F1115"/>
          <w:sz w:val="24"/>
          <w:szCs w:val="24"/>
        </w:rPr>
      </w:pPr>
      <w:r w:rsidRPr="00B347AC">
        <w:rPr>
          <w:rFonts w:ascii="Times New Roman" w:eastAsia="Times New Roman" w:hAnsi="Times New Roman" w:cs="Times New Roman"/>
          <w:b/>
          <w:bCs/>
          <w:color w:val="0F1115"/>
          <w:sz w:val="24"/>
          <w:szCs w:val="24"/>
        </w:rPr>
        <w:t>Internal Quality Control</w:t>
      </w:r>
    </w:p>
    <w:p w14:paraId="38147B2B" w14:textId="77777777" w:rsidR="003049EB" w:rsidRPr="003049EB" w:rsidRDefault="003049EB" w:rsidP="000B190B">
      <w:pPr>
        <w:spacing w:before="240" w:line="240" w:lineRule="auto"/>
        <w:jc w:val="both"/>
        <w:rPr>
          <w:rFonts w:ascii="Times New Roman" w:hAnsi="Times New Roman" w:cs="Times New Roman"/>
          <w:sz w:val="24"/>
          <w:szCs w:val="24"/>
        </w:rPr>
      </w:pPr>
      <w:r w:rsidRPr="003049EB">
        <w:rPr>
          <w:rStyle w:val="cursor-pointer"/>
          <w:rFonts w:ascii="Times New Roman" w:hAnsi="Times New Roman" w:cs="Times New Roman"/>
          <w:sz w:val="24"/>
          <w:szCs w:val="24"/>
        </w:rPr>
        <w:t>The ISO/IEC 17025 clause 7.7 stipulates that internal QC [1] should be provided.</w:t>
      </w:r>
      <w:r w:rsidRPr="003049EB">
        <w:rPr>
          <w:rFonts w:ascii="Times New Roman" w:hAnsi="Times New Roman" w:cs="Times New Roman"/>
          <w:sz w:val="24"/>
          <w:szCs w:val="24"/>
        </w:rPr>
        <w:t xml:space="preserve"> Methods include: </w:t>
      </w:r>
    </w:p>
    <w:p w14:paraId="36A85AC3" w14:textId="196B213F" w:rsidR="003049EB" w:rsidRPr="00E33A1F" w:rsidRDefault="003049EB" w:rsidP="00D7191A">
      <w:pPr>
        <w:pStyle w:val="ListParagraph"/>
        <w:numPr>
          <w:ilvl w:val="0"/>
          <w:numId w:val="9"/>
        </w:numPr>
        <w:spacing w:before="240" w:line="240" w:lineRule="auto"/>
        <w:jc w:val="both"/>
        <w:rPr>
          <w:rFonts w:ascii="Times New Roman" w:hAnsi="Times New Roman" w:cs="Times New Roman"/>
          <w:sz w:val="24"/>
          <w:szCs w:val="24"/>
        </w:rPr>
      </w:pPr>
      <w:r w:rsidRPr="00E33A1F">
        <w:rPr>
          <w:rFonts w:ascii="Times New Roman" w:hAnsi="Times New Roman" w:cs="Times New Roman"/>
          <w:sz w:val="24"/>
          <w:szCs w:val="24"/>
        </w:rPr>
        <w:t xml:space="preserve">Intermediate checks of standards </w:t>
      </w:r>
    </w:p>
    <w:p w14:paraId="0F43E0D9" w14:textId="68BDEA05" w:rsidR="003049EB" w:rsidRPr="00E33A1F" w:rsidRDefault="003049EB" w:rsidP="00D7191A">
      <w:pPr>
        <w:pStyle w:val="ListParagraph"/>
        <w:numPr>
          <w:ilvl w:val="0"/>
          <w:numId w:val="9"/>
        </w:numPr>
        <w:spacing w:before="240" w:line="240" w:lineRule="auto"/>
        <w:jc w:val="both"/>
        <w:rPr>
          <w:rFonts w:ascii="Times New Roman" w:hAnsi="Times New Roman" w:cs="Times New Roman"/>
          <w:sz w:val="24"/>
          <w:szCs w:val="24"/>
        </w:rPr>
      </w:pPr>
      <w:r w:rsidRPr="00E33A1F">
        <w:rPr>
          <w:rFonts w:ascii="Times New Roman" w:hAnsi="Times New Roman" w:cs="Times New Roman"/>
          <w:sz w:val="24"/>
          <w:szCs w:val="24"/>
        </w:rPr>
        <w:t xml:space="preserve">Proficiency testing (PT) and interlaboratory comparisons [30] Control charts on reference standards. </w:t>
      </w:r>
    </w:p>
    <w:p w14:paraId="6A8F1436" w14:textId="02820A75" w:rsidR="003049EB" w:rsidRPr="00E33A1F" w:rsidRDefault="003049EB" w:rsidP="00D7191A">
      <w:pPr>
        <w:pStyle w:val="ListParagraph"/>
        <w:numPr>
          <w:ilvl w:val="0"/>
          <w:numId w:val="9"/>
        </w:numPr>
        <w:spacing w:before="240" w:line="240" w:lineRule="auto"/>
        <w:jc w:val="both"/>
        <w:rPr>
          <w:rFonts w:ascii="Times New Roman" w:hAnsi="Times New Roman" w:cs="Times New Roman"/>
          <w:sz w:val="24"/>
          <w:szCs w:val="24"/>
        </w:rPr>
      </w:pPr>
      <w:r w:rsidRPr="00E33A1F">
        <w:rPr>
          <w:rFonts w:ascii="Times New Roman" w:hAnsi="Times New Roman" w:cs="Times New Roman"/>
          <w:sz w:val="24"/>
          <w:szCs w:val="24"/>
        </w:rPr>
        <w:t xml:space="preserve">Trend analysis </w:t>
      </w:r>
    </w:p>
    <w:p w14:paraId="7F26E2F1" w14:textId="627FB870" w:rsidR="00E33A1F" w:rsidRPr="00E33A1F" w:rsidRDefault="003049EB" w:rsidP="00D7191A">
      <w:pPr>
        <w:pStyle w:val="ListParagraph"/>
        <w:numPr>
          <w:ilvl w:val="0"/>
          <w:numId w:val="9"/>
        </w:numPr>
        <w:spacing w:before="240" w:line="240" w:lineRule="auto"/>
        <w:jc w:val="both"/>
        <w:rPr>
          <w:rFonts w:ascii="Times New Roman" w:hAnsi="Times New Roman" w:cs="Times New Roman"/>
          <w:sz w:val="24"/>
          <w:szCs w:val="24"/>
        </w:rPr>
      </w:pPr>
      <w:r w:rsidRPr="00E33A1F">
        <w:rPr>
          <w:rFonts w:ascii="Times New Roman" w:hAnsi="Times New Roman" w:cs="Times New Roman"/>
          <w:sz w:val="24"/>
          <w:szCs w:val="24"/>
        </w:rPr>
        <w:t>Repeat calibrations</w:t>
      </w:r>
    </w:p>
    <w:p w14:paraId="4164F8FC" w14:textId="77777777" w:rsidR="00E33A1F" w:rsidRPr="00E33A1F" w:rsidRDefault="003049EB" w:rsidP="000B190B">
      <w:pPr>
        <w:spacing w:before="240" w:line="240" w:lineRule="auto"/>
        <w:jc w:val="both"/>
        <w:rPr>
          <w:rStyle w:val="cursor-pointer"/>
          <w:rFonts w:ascii="Times New Roman" w:hAnsi="Times New Roman" w:cs="Times New Roman"/>
          <w:b/>
          <w:bCs/>
          <w:sz w:val="24"/>
          <w:szCs w:val="24"/>
        </w:rPr>
      </w:pPr>
      <w:r w:rsidRPr="00E33A1F">
        <w:rPr>
          <w:rStyle w:val="cursor-pointer"/>
          <w:rFonts w:ascii="Times New Roman" w:hAnsi="Times New Roman" w:cs="Times New Roman"/>
          <w:b/>
          <w:bCs/>
          <w:sz w:val="24"/>
          <w:szCs w:val="24"/>
        </w:rPr>
        <w:t>Determination of Calibration Interval</w:t>
      </w:r>
    </w:p>
    <w:p w14:paraId="4AB96034" w14:textId="59B0B981" w:rsidR="003049EB" w:rsidRPr="003049EB" w:rsidRDefault="003049EB" w:rsidP="000B190B">
      <w:pPr>
        <w:spacing w:before="240" w:line="240" w:lineRule="auto"/>
        <w:jc w:val="both"/>
        <w:rPr>
          <w:rFonts w:ascii="Times New Roman" w:hAnsi="Times New Roman" w:cs="Times New Roman"/>
          <w:sz w:val="24"/>
          <w:szCs w:val="24"/>
        </w:rPr>
      </w:pPr>
      <w:r w:rsidRPr="003049EB">
        <w:rP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Factors for interval determination [31]:</w:t>
      </w:r>
    </w:p>
    <w:p w14:paraId="29728B59" w14:textId="24187755" w:rsidR="003049EB" w:rsidRPr="003049EB" w:rsidRDefault="003049EB" w:rsidP="00D7191A">
      <w:pPr>
        <w:pStyle w:val="ListParagraph"/>
        <w:numPr>
          <w:ilvl w:val="0"/>
          <w:numId w:val="9"/>
        </w:numPr>
        <w:spacing w:before="240" w:line="240" w:lineRule="auto"/>
        <w:jc w:val="both"/>
        <w:rPr>
          <w:rFonts w:ascii="Times New Roman" w:hAnsi="Times New Roman" w:cs="Times New Roman"/>
          <w:sz w:val="24"/>
          <w:szCs w:val="24"/>
        </w:rPr>
      </w:pPr>
      <w:r w:rsidRPr="003049EB">
        <w:rPr>
          <w:rFonts w:ascii="Times New Roman" w:hAnsi="Times New Roman" w:cs="Times New Roman"/>
          <w:sz w:val="24"/>
          <w:szCs w:val="24"/>
        </w:rPr>
        <w:t xml:space="preserve">Manufacturer guidance </w:t>
      </w:r>
    </w:p>
    <w:p w14:paraId="503084AD" w14:textId="6C7E1768" w:rsidR="003049EB" w:rsidRPr="003049EB" w:rsidRDefault="003049EB" w:rsidP="00D7191A">
      <w:pPr>
        <w:pStyle w:val="ListParagraph"/>
        <w:numPr>
          <w:ilvl w:val="0"/>
          <w:numId w:val="9"/>
        </w:numPr>
        <w:spacing w:before="240" w:line="240" w:lineRule="auto"/>
        <w:jc w:val="both"/>
        <w:rPr>
          <w:rFonts w:ascii="Times New Roman" w:hAnsi="Times New Roman" w:cs="Times New Roman"/>
          <w:sz w:val="24"/>
          <w:szCs w:val="24"/>
        </w:rPr>
      </w:pPr>
      <w:r w:rsidRPr="003049EB">
        <w:rPr>
          <w:rFonts w:ascii="Times New Roman" w:hAnsi="Times New Roman" w:cs="Times New Roman"/>
          <w:sz w:val="24"/>
          <w:szCs w:val="24"/>
        </w:rPr>
        <w:t xml:space="preserve">Usage frequency </w:t>
      </w:r>
    </w:p>
    <w:p w14:paraId="25F78BA9" w14:textId="1E9748C9" w:rsidR="003049EB" w:rsidRPr="003049EB" w:rsidRDefault="003049EB" w:rsidP="00D7191A">
      <w:pPr>
        <w:pStyle w:val="ListParagraph"/>
        <w:numPr>
          <w:ilvl w:val="0"/>
          <w:numId w:val="9"/>
        </w:numPr>
        <w:spacing w:before="240" w:line="240" w:lineRule="auto"/>
        <w:jc w:val="both"/>
        <w:rPr>
          <w:rFonts w:ascii="Times New Roman" w:hAnsi="Times New Roman" w:cs="Times New Roman"/>
          <w:sz w:val="24"/>
          <w:szCs w:val="24"/>
        </w:rPr>
      </w:pPr>
      <w:r w:rsidRPr="003049EB">
        <w:rPr>
          <w:rFonts w:ascii="Times New Roman" w:hAnsi="Times New Roman" w:cs="Times New Roman"/>
          <w:sz w:val="24"/>
          <w:szCs w:val="24"/>
        </w:rPr>
        <w:lastRenderedPageBreak/>
        <w:t xml:space="preserve">Criticality </w:t>
      </w:r>
    </w:p>
    <w:p w14:paraId="1FAC1F98" w14:textId="44D4A8C3" w:rsidR="003049EB" w:rsidRPr="003049EB" w:rsidRDefault="003049EB" w:rsidP="00D7191A">
      <w:pPr>
        <w:pStyle w:val="ListParagraph"/>
        <w:numPr>
          <w:ilvl w:val="0"/>
          <w:numId w:val="9"/>
        </w:numPr>
        <w:spacing w:before="240" w:line="240" w:lineRule="auto"/>
        <w:jc w:val="both"/>
        <w:rPr>
          <w:rFonts w:ascii="Times New Roman" w:hAnsi="Times New Roman" w:cs="Times New Roman"/>
          <w:sz w:val="24"/>
          <w:szCs w:val="24"/>
        </w:rPr>
      </w:pPr>
      <w:r w:rsidRPr="003049EB">
        <w:rPr>
          <w:rFonts w:ascii="Times New Roman" w:hAnsi="Times New Roman" w:cs="Times New Roman"/>
          <w:sz w:val="24"/>
          <w:szCs w:val="24"/>
        </w:rPr>
        <w:t xml:space="preserve">Historical drift </w:t>
      </w:r>
    </w:p>
    <w:p w14:paraId="05485AEC" w14:textId="77777777" w:rsidR="00E33A1F" w:rsidRDefault="003049EB" w:rsidP="00D7191A">
      <w:pPr>
        <w:pStyle w:val="ListParagraph"/>
        <w:numPr>
          <w:ilvl w:val="0"/>
          <w:numId w:val="9"/>
        </w:numPr>
        <w:spacing w:before="240" w:line="240" w:lineRule="auto"/>
        <w:jc w:val="both"/>
        <w:rPr>
          <w:rFonts w:ascii="Times New Roman" w:hAnsi="Times New Roman" w:cs="Times New Roman"/>
          <w:sz w:val="24"/>
          <w:szCs w:val="24"/>
        </w:rPr>
      </w:pPr>
      <w:r w:rsidRPr="003049EB">
        <w:rPr>
          <w:rFonts w:ascii="Times New Roman" w:hAnsi="Times New Roman" w:cs="Times New Roman"/>
          <w:sz w:val="24"/>
          <w:szCs w:val="24"/>
        </w:rPr>
        <w:t xml:space="preserve">Repair history </w:t>
      </w:r>
    </w:p>
    <w:p w14:paraId="2C7ACE98" w14:textId="7682717A" w:rsidR="00E33A1F" w:rsidRPr="00E33A1F" w:rsidRDefault="003049EB" w:rsidP="00D7191A">
      <w:pPr>
        <w:pStyle w:val="ListParagraph"/>
        <w:numPr>
          <w:ilvl w:val="0"/>
          <w:numId w:val="9"/>
        </w:numPr>
        <w:spacing w:before="240" w:line="240" w:lineRule="auto"/>
        <w:jc w:val="both"/>
        <w:rPr>
          <w:rFonts w:ascii="Times New Roman" w:hAnsi="Times New Roman" w:cs="Times New Roman"/>
          <w:sz w:val="24"/>
          <w:szCs w:val="24"/>
        </w:rPr>
      </w:pPr>
      <w:r w:rsidRPr="00E33A1F">
        <w:rPr>
          <w:rFonts w:ascii="Times New Roman" w:hAnsi="Times New Roman" w:cs="Times New Roman"/>
          <w:sz w:val="24"/>
          <w:szCs w:val="24"/>
        </w:rPr>
        <w:t>Environmental severity</w:t>
      </w:r>
    </w:p>
    <w:p w14:paraId="7E51F66A" w14:textId="7E5459AF" w:rsidR="003049EB" w:rsidRPr="003049EB" w:rsidRDefault="003049EB" w:rsidP="000B190B">
      <w:pPr>
        <w:spacing w:before="240" w:line="240" w:lineRule="auto"/>
        <w:jc w:val="both"/>
        <w:rPr>
          <w:rFonts w:ascii="Times New Roman" w:hAnsi="Times New Roman" w:cs="Times New Roman"/>
          <w:sz w:val="24"/>
          <w:szCs w:val="24"/>
        </w:rPr>
      </w:pPr>
      <w:r w:rsidRPr="003049EB">
        <w:rPr>
          <w:rStyle w:val="cursor-pointer"/>
          <w:rFonts w:ascii="Times New Roman" w:hAnsi="Times New Roman" w:cs="Times New Roman"/>
          <w:sz w:val="24"/>
          <w:szCs w:val="24"/>
        </w:rPr>
        <w:t>Guidelines are given in OIML D10 [31].</w:t>
      </w:r>
      <w:r w:rsidRPr="003049EB">
        <w:rP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Average intervals: defibrillator (6-12 months), infusion pump (6-12 months), patient monitor (12 months), precision balance (6 months) [7,29].</w:t>
      </w:r>
      <w:r w:rsidRPr="003049EB">
        <w:rPr>
          <w:rFonts w:ascii="Times New Roman" w:hAnsi="Times New Roman" w:cs="Times New Roman"/>
          <w:sz w:val="24"/>
          <w:szCs w:val="24"/>
        </w:rPr>
        <w:t xml:space="preserve"> </w:t>
      </w:r>
    </w:p>
    <w:p w14:paraId="123A9070" w14:textId="6118F8C0" w:rsidR="00E33A1F" w:rsidRPr="00E33A1F" w:rsidRDefault="00E33A1F" w:rsidP="000B190B">
      <w:pPr>
        <w:spacing w:before="240" w:line="240" w:lineRule="auto"/>
        <w:jc w:val="both"/>
        <w:rPr>
          <w:rFonts w:ascii="Times New Roman" w:hAnsi="Times New Roman" w:cs="Times New Roman"/>
          <w:b/>
          <w:bCs/>
          <w:sz w:val="28"/>
          <w:szCs w:val="28"/>
        </w:rPr>
      </w:pPr>
      <w:r w:rsidRPr="00E33A1F">
        <w:rPr>
          <w:rStyle w:val="cursor-pointer"/>
          <w:rFonts w:ascii="Times New Roman" w:hAnsi="Times New Roman" w:cs="Times New Roman"/>
          <w:b/>
          <w:bCs/>
          <w:sz w:val="28"/>
          <w:szCs w:val="28"/>
        </w:rPr>
        <w:t>DEVELOPING COUNTRIES DIFFICULTIES</w:t>
      </w:r>
    </w:p>
    <w:p w14:paraId="795855CB" w14:textId="6A9932B1" w:rsidR="003049EB" w:rsidRPr="003049EB" w:rsidRDefault="003049EB" w:rsidP="000B190B">
      <w:pPr>
        <w:spacing w:before="240" w:line="240" w:lineRule="auto"/>
        <w:jc w:val="both"/>
        <w:rPr>
          <w:rFonts w:ascii="Times New Roman" w:hAnsi="Times New Roman" w:cs="Times New Roman"/>
          <w:sz w:val="24"/>
          <w:szCs w:val="24"/>
        </w:rPr>
      </w:pPr>
      <w:r w:rsidRPr="003049EB">
        <w:rPr>
          <w:rFonts w:ascii="Times New Roman" w:hAnsi="Times New Roman" w:cs="Times New Roman"/>
          <w:sz w:val="24"/>
          <w:szCs w:val="24"/>
        </w:rPr>
        <w:t xml:space="preserve">Common barriers [2,4,32]: </w:t>
      </w:r>
    </w:p>
    <w:p w14:paraId="1418BB3C" w14:textId="77777777" w:rsidR="00EF3BA1" w:rsidRDefault="003049EB" w:rsidP="00D7191A">
      <w:pPr>
        <w:pStyle w:val="ListParagraph"/>
        <w:numPr>
          <w:ilvl w:val="0"/>
          <w:numId w:val="9"/>
        </w:numPr>
        <w:spacing w:before="240" w:line="240" w:lineRule="auto"/>
        <w:jc w:val="both"/>
        <w:rPr>
          <w:rFonts w:ascii="Times New Roman" w:hAnsi="Times New Roman" w:cs="Times New Roman"/>
          <w:sz w:val="24"/>
          <w:szCs w:val="24"/>
        </w:rPr>
      </w:pPr>
      <w:r w:rsidRPr="003049EB">
        <w:rPr>
          <w:rFonts w:ascii="Times New Roman" w:hAnsi="Times New Roman" w:cs="Times New Roman"/>
          <w:sz w:val="24"/>
          <w:szCs w:val="24"/>
        </w:rPr>
        <w:t xml:space="preserve">Limited accredited labs </w:t>
      </w:r>
    </w:p>
    <w:p w14:paraId="20BE5F27" w14:textId="55BBAAC2" w:rsidR="003049EB" w:rsidRPr="00376BA0" w:rsidRDefault="003049EB" w:rsidP="00D7191A">
      <w:pPr>
        <w:pStyle w:val="ListParagraph"/>
        <w:numPr>
          <w:ilvl w:val="0"/>
          <w:numId w:val="9"/>
        </w:numPr>
        <w:spacing w:before="240" w:line="240" w:lineRule="auto"/>
        <w:jc w:val="both"/>
        <w:rPr>
          <w:rFonts w:ascii="Times New Roman" w:hAnsi="Times New Roman" w:cs="Times New Roman"/>
          <w:sz w:val="24"/>
          <w:szCs w:val="24"/>
        </w:rPr>
      </w:pPr>
      <w:r w:rsidRPr="00376BA0">
        <w:rPr>
          <w:rFonts w:ascii="Times New Roman" w:hAnsi="Times New Roman" w:cs="Times New Roman"/>
          <w:sz w:val="24"/>
          <w:szCs w:val="24"/>
        </w:rPr>
        <w:t>Very expensive standards</w:t>
      </w:r>
    </w:p>
    <w:p w14:paraId="56B1E3FF" w14:textId="66B6E4D0" w:rsidR="003049EB" w:rsidRPr="003049EB" w:rsidRDefault="003049EB" w:rsidP="00D7191A">
      <w:pPr>
        <w:pStyle w:val="ListParagraph"/>
        <w:numPr>
          <w:ilvl w:val="0"/>
          <w:numId w:val="9"/>
        </w:numPr>
        <w:spacing w:before="240" w:line="240" w:lineRule="auto"/>
        <w:jc w:val="both"/>
        <w:rPr>
          <w:rFonts w:ascii="Times New Roman" w:hAnsi="Times New Roman" w:cs="Times New Roman"/>
          <w:sz w:val="24"/>
          <w:szCs w:val="24"/>
        </w:rPr>
      </w:pPr>
      <w:r w:rsidRPr="003049EB">
        <w:rPr>
          <w:rFonts w:ascii="Times New Roman" w:hAnsi="Times New Roman" w:cs="Times New Roman"/>
          <w:sz w:val="24"/>
          <w:szCs w:val="24"/>
        </w:rPr>
        <w:t xml:space="preserve">Lack of awareness </w:t>
      </w:r>
    </w:p>
    <w:p w14:paraId="568A2B41" w14:textId="3CCF9E4A" w:rsidR="003049EB" w:rsidRPr="003049EB" w:rsidRDefault="003049EB" w:rsidP="00D7191A">
      <w:pPr>
        <w:pStyle w:val="ListParagraph"/>
        <w:numPr>
          <w:ilvl w:val="0"/>
          <w:numId w:val="9"/>
        </w:numPr>
        <w:spacing w:before="240" w:line="240" w:lineRule="auto"/>
        <w:jc w:val="both"/>
        <w:rPr>
          <w:rFonts w:ascii="Times New Roman" w:hAnsi="Times New Roman" w:cs="Times New Roman"/>
          <w:sz w:val="24"/>
          <w:szCs w:val="24"/>
        </w:rPr>
      </w:pPr>
      <w:r w:rsidRPr="003049EB">
        <w:rPr>
          <w:rFonts w:ascii="Times New Roman" w:hAnsi="Times New Roman" w:cs="Times New Roman"/>
          <w:sz w:val="24"/>
          <w:szCs w:val="24"/>
        </w:rPr>
        <w:t xml:space="preserve">Poor maintenance culture </w:t>
      </w:r>
    </w:p>
    <w:p w14:paraId="597B94CC" w14:textId="4AFD2301" w:rsidR="003049EB" w:rsidRPr="003049EB" w:rsidRDefault="003049EB" w:rsidP="00D7191A">
      <w:pPr>
        <w:pStyle w:val="ListParagraph"/>
        <w:numPr>
          <w:ilvl w:val="0"/>
          <w:numId w:val="9"/>
        </w:numPr>
        <w:spacing w:before="240" w:line="240" w:lineRule="auto"/>
        <w:jc w:val="both"/>
        <w:rPr>
          <w:rFonts w:ascii="Times New Roman" w:hAnsi="Times New Roman" w:cs="Times New Roman"/>
          <w:sz w:val="24"/>
          <w:szCs w:val="24"/>
        </w:rPr>
      </w:pPr>
      <w:r w:rsidRPr="003049EB">
        <w:rPr>
          <w:rFonts w:ascii="Times New Roman" w:hAnsi="Times New Roman" w:cs="Times New Roman"/>
          <w:sz w:val="24"/>
          <w:szCs w:val="24"/>
        </w:rPr>
        <w:t xml:space="preserve">Spare parts shortage </w:t>
      </w:r>
    </w:p>
    <w:p w14:paraId="570A449A" w14:textId="6899BEB4" w:rsidR="003049EB" w:rsidRPr="003049EB" w:rsidRDefault="003049EB" w:rsidP="00D7191A">
      <w:pPr>
        <w:pStyle w:val="ListParagraph"/>
        <w:numPr>
          <w:ilvl w:val="0"/>
          <w:numId w:val="9"/>
        </w:numPr>
        <w:spacing w:before="240" w:line="240" w:lineRule="auto"/>
        <w:jc w:val="both"/>
        <w:rPr>
          <w:rFonts w:ascii="Times New Roman" w:hAnsi="Times New Roman" w:cs="Times New Roman"/>
          <w:sz w:val="24"/>
          <w:szCs w:val="24"/>
        </w:rPr>
      </w:pPr>
      <w:r w:rsidRPr="003049EB">
        <w:rPr>
          <w:rFonts w:ascii="Times New Roman" w:hAnsi="Times New Roman" w:cs="Times New Roman"/>
          <w:sz w:val="24"/>
          <w:szCs w:val="24"/>
        </w:rPr>
        <w:t xml:space="preserve">Inadequate regulation </w:t>
      </w:r>
    </w:p>
    <w:p w14:paraId="29DE55F8" w14:textId="3CE1D308" w:rsidR="003049EB" w:rsidRPr="003049EB" w:rsidRDefault="003049EB" w:rsidP="00D7191A">
      <w:pPr>
        <w:pStyle w:val="ListParagraph"/>
        <w:numPr>
          <w:ilvl w:val="0"/>
          <w:numId w:val="9"/>
        </w:numPr>
        <w:spacing w:before="240" w:line="240" w:lineRule="auto"/>
        <w:jc w:val="both"/>
        <w:rPr>
          <w:rFonts w:ascii="Times New Roman" w:hAnsi="Times New Roman" w:cs="Times New Roman"/>
          <w:sz w:val="24"/>
          <w:szCs w:val="24"/>
        </w:rPr>
      </w:pPr>
      <w:r w:rsidRPr="003049EB">
        <w:rPr>
          <w:rFonts w:ascii="Times New Roman" w:hAnsi="Times New Roman" w:cs="Times New Roman"/>
          <w:sz w:val="24"/>
          <w:szCs w:val="24"/>
        </w:rPr>
        <w:t>Insufficient trained personnel</w:t>
      </w:r>
    </w:p>
    <w:p w14:paraId="4467F018" w14:textId="3E69A67C" w:rsidR="003049EB" w:rsidRPr="003049EB" w:rsidRDefault="003049EB" w:rsidP="000B190B">
      <w:pPr>
        <w:spacing w:before="240" w:line="240" w:lineRule="auto"/>
        <w:jc w:val="both"/>
        <w:rPr>
          <w:rFonts w:ascii="Times New Roman" w:hAnsi="Times New Roman" w:cs="Times New Roman"/>
          <w:sz w:val="24"/>
          <w:szCs w:val="24"/>
        </w:rPr>
      </w:pPr>
      <w:r w:rsidRPr="003049EB">
        <w:rPr>
          <w:rStyle w:val="cursor-pointer"/>
          <w:rFonts w:ascii="Times New Roman" w:hAnsi="Times New Roman" w:cs="Times New Roman"/>
          <w:sz w:val="24"/>
          <w:szCs w:val="24"/>
        </w:rPr>
        <w:t>In certain African nations up to 80% of the medical equipment is working without any legitimate calibration [4].</w:t>
      </w:r>
      <w:r w:rsidRPr="003049EB">
        <w:rPr>
          <w:rFonts w:ascii="Times New Roman" w:hAnsi="Times New Roman" w:cs="Times New Roman"/>
          <w:sz w:val="24"/>
          <w:szCs w:val="24"/>
        </w:rPr>
        <w:t xml:space="preserve"> </w:t>
      </w:r>
      <w:r w:rsidRPr="003049EB">
        <w:rPr>
          <w:rStyle w:val="cursor-pointer"/>
          <w:rFonts w:ascii="Times New Roman" w:hAnsi="Times New Roman" w:cs="Times New Roman"/>
          <w:sz w:val="24"/>
          <w:szCs w:val="24"/>
        </w:rPr>
        <w:t>WHO suggests that critical equipment should be calibrated as a mandatory rule [33]; IAEA underlines that calibration of radiation equipment is a mandatory rule [34].</w:t>
      </w:r>
    </w:p>
    <w:p w14:paraId="374B8668" w14:textId="5BEF4D19" w:rsidR="00B347AC" w:rsidRPr="00B347AC" w:rsidRDefault="00E33A1F" w:rsidP="000B190B">
      <w:pPr>
        <w:shd w:val="clear" w:color="auto" w:fill="FFFFFF"/>
        <w:spacing w:before="240" w:line="240" w:lineRule="auto"/>
        <w:jc w:val="both"/>
        <w:outlineLvl w:val="1"/>
        <w:rPr>
          <w:rFonts w:ascii="Times New Roman" w:eastAsia="Times New Roman" w:hAnsi="Times New Roman" w:cs="Times New Roman"/>
          <w:b/>
          <w:bCs/>
          <w:color w:val="0F1115"/>
          <w:sz w:val="28"/>
          <w:szCs w:val="28"/>
        </w:rPr>
      </w:pPr>
      <w:r w:rsidRPr="00B347AC">
        <w:rPr>
          <w:rFonts w:ascii="Times New Roman" w:eastAsia="Times New Roman" w:hAnsi="Times New Roman" w:cs="Times New Roman"/>
          <w:b/>
          <w:bCs/>
          <w:color w:val="0F1115"/>
          <w:sz w:val="28"/>
          <w:szCs w:val="28"/>
        </w:rPr>
        <w:t>RECOMMENDATIONS</w:t>
      </w:r>
    </w:p>
    <w:p w14:paraId="1D1B9A22" w14:textId="77777777" w:rsidR="003049EB" w:rsidRPr="003049EB" w:rsidRDefault="003049EB" w:rsidP="000B190B">
      <w:pPr>
        <w:spacing w:before="240" w:line="240" w:lineRule="auto"/>
        <w:jc w:val="both"/>
        <w:rPr>
          <w:rFonts w:ascii="Times New Roman" w:hAnsi="Times New Roman" w:cs="Times New Roman"/>
          <w:sz w:val="24"/>
          <w:szCs w:val="24"/>
        </w:rPr>
      </w:pPr>
      <w:r w:rsidRPr="003049EB">
        <w:rPr>
          <w:rFonts w:ascii="Times New Roman" w:hAnsi="Times New Roman" w:cs="Times New Roman"/>
          <w:sz w:val="24"/>
          <w:szCs w:val="24"/>
        </w:rPr>
        <w:t xml:space="preserve">Based on the analysis [2,4,29,35]: </w:t>
      </w:r>
    </w:p>
    <w:p w14:paraId="38D80085" w14:textId="028519B4" w:rsidR="003049EB" w:rsidRPr="00E33A1F" w:rsidRDefault="003049EB" w:rsidP="00D7191A">
      <w:pPr>
        <w:pStyle w:val="ListParagraph"/>
        <w:numPr>
          <w:ilvl w:val="0"/>
          <w:numId w:val="9"/>
        </w:numPr>
        <w:spacing w:before="240" w:line="240" w:lineRule="auto"/>
        <w:jc w:val="both"/>
        <w:rPr>
          <w:rFonts w:ascii="Times New Roman" w:hAnsi="Times New Roman" w:cs="Times New Roman"/>
          <w:sz w:val="24"/>
          <w:szCs w:val="24"/>
        </w:rPr>
      </w:pPr>
      <w:r w:rsidRPr="00E33A1F">
        <w:rPr>
          <w:rFonts w:ascii="Times New Roman" w:hAnsi="Times New Roman" w:cs="Times New Roman"/>
          <w:sz w:val="24"/>
          <w:szCs w:val="24"/>
        </w:rPr>
        <w:t xml:space="preserve">Develop national policy of biomedical metrology. </w:t>
      </w:r>
    </w:p>
    <w:p w14:paraId="6DD6119B" w14:textId="45F7974E" w:rsidR="003049EB" w:rsidRPr="00E33A1F" w:rsidRDefault="003049EB" w:rsidP="00D7191A">
      <w:pPr>
        <w:pStyle w:val="ListParagraph"/>
        <w:numPr>
          <w:ilvl w:val="0"/>
          <w:numId w:val="9"/>
        </w:numPr>
        <w:spacing w:before="240" w:line="240" w:lineRule="auto"/>
        <w:jc w:val="both"/>
        <w:rPr>
          <w:rFonts w:ascii="Times New Roman" w:hAnsi="Times New Roman" w:cs="Times New Roman"/>
          <w:sz w:val="24"/>
          <w:szCs w:val="24"/>
        </w:rPr>
      </w:pPr>
      <w:r w:rsidRPr="00E33A1F">
        <w:rPr>
          <w:rFonts w:ascii="Times New Roman" w:hAnsi="Times New Roman" w:cs="Times New Roman"/>
          <w:sz w:val="24"/>
          <w:szCs w:val="24"/>
        </w:rPr>
        <w:t xml:space="preserve">Enlarge the ISO/IEC 17025 accredited laboratories. </w:t>
      </w:r>
    </w:p>
    <w:p w14:paraId="4BB45EB9" w14:textId="7F630303" w:rsidR="003049EB" w:rsidRPr="00E33A1F" w:rsidRDefault="003049EB" w:rsidP="00D7191A">
      <w:pPr>
        <w:pStyle w:val="ListParagraph"/>
        <w:numPr>
          <w:ilvl w:val="0"/>
          <w:numId w:val="9"/>
        </w:numPr>
        <w:spacing w:before="240" w:line="240" w:lineRule="auto"/>
        <w:jc w:val="both"/>
        <w:rPr>
          <w:rFonts w:ascii="Times New Roman" w:hAnsi="Times New Roman" w:cs="Times New Roman"/>
          <w:sz w:val="24"/>
          <w:szCs w:val="24"/>
        </w:rPr>
      </w:pPr>
      <w:r w:rsidRPr="00E33A1F">
        <w:rPr>
          <w:rFonts w:ascii="Times New Roman" w:hAnsi="Times New Roman" w:cs="Times New Roman"/>
          <w:sz w:val="24"/>
          <w:szCs w:val="24"/>
        </w:rPr>
        <w:t xml:space="preserve">Educate biomedical engineers in metrology. </w:t>
      </w:r>
    </w:p>
    <w:p w14:paraId="3A59F644" w14:textId="3FB6758B" w:rsidR="003049EB" w:rsidRPr="00E33A1F" w:rsidRDefault="003049EB" w:rsidP="00D7191A">
      <w:pPr>
        <w:pStyle w:val="ListParagraph"/>
        <w:numPr>
          <w:ilvl w:val="0"/>
          <w:numId w:val="9"/>
        </w:numPr>
        <w:spacing w:before="240" w:line="240" w:lineRule="auto"/>
        <w:jc w:val="both"/>
        <w:rPr>
          <w:rFonts w:ascii="Times New Roman" w:hAnsi="Times New Roman" w:cs="Times New Roman"/>
          <w:sz w:val="24"/>
          <w:szCs w:val="24"/>
        </w:rPr>
      </w:pPr>
      <w:r w:rsidRPr="00E33A1F">
        <w:rPr>
          <w:rFonts w:ascii="Times New Roman" w:hAnsi="Times New Roman" w:cs="Times New Roman"/>
          <w:sz w:val="24"/>
          <w:szCs w:val="24"/>
        </w:rPr>
        <w:t xml:space="preserve">Use CMMS systems for scheduling </w:t>
      </w:r>
    </w:p>
    <w:p w14:paraId="215C63C4" w14:textId="3150F8E6" w:rsidR="003049EB" w:rsidRPr="00E33A1F" w:rsidRDefault="003049EB" w:rsidP="00D7191A">
      <w:pPr>
        <w:pStyle w:val="ListParagraph"/>
        <w:numPr>
          <w:ilvl w:val="0"/>
          <w:numId w:val="9"/>
        </w:numPr>
        <w:spacing w:before="240" w:line="240" w:lineRule="auto"/>
        <w:jc w:val="both"/>
        <w:rPr>
          <w:rFonts w:ascii="Times New Roman" w:hAnsi="Times New Roman" w:cs="Times New Roman"/>
          <w:sz w:val="24"/>
          <w:szCs w:val="24"/>
        </w:rPr>
      </w:pPr>
      <w:r w:rsidRPr="00E33A1F">
        <w:rPr>
          <w:rFonts w:ascii="Times New Roman" w:hAnsi="Times New Roman" w:cs="Times New Roman"/>
          <w:sz w:val="24"/>
          <w:szCs w:val="24"/>
        </w:rPr>
        <w:t xml:space="preserve">Introduce risk-based intervals </w:t>
      </w:r>
    </w:p>
    <w:p w14:paraId="01118C75" w14:textId="2E64FC82" w:rsidR="003049EB" w:rsidRPr="00E33A1F" w:rsidRDefault="003049EB" w:rsidP="00D7191A">
      <w:pPr>
        <w:pStyle w:val="ListParagraph"/>
        <w:numPr>
          <w:ilvl w:val="0"/>
          <w:numId w:val="9"/>
        </w:numPr>
        <w:spacing w:before="240" w:line="240" w:lineRule="auto"/>
        <w:jc w:val="both"/>
        <w:rPr>
          <w:rFonts w:ascii="Times New Roman" w:hAnsi="Times New Roman" w:cs="Times New Roman"/>
          <w:sz w:val="24"/>
          <w:szCs w:val="24"/>
        </w:rPr>
      </w:pPr>
      <w:r w:rsidRPr="00E33A1F">
        <w:rPr>
          <w:rFonts w:ascii="Times New Roman" w:hAnsi="Times New Roman" w:cs="Times New Roman"/>
          <w:sz w:val="24"/>
          <w:szCs w:val="24"/>
        </w:rPr>
        <w:t xml:space="preserve">Require calibration evidence during audits </w:t>
      </w:r>
    </w:p>
    <w:p w14:paraId="30DF0C30" w14:textId="6490A2F6" w:rsidR="003049EB" w:rsidRPr="00E33A1F" w:rsidRDefault="003049EB" w:rsidP="00D7191A">
      <w:pPr>
        <w:pStyle w:val="ListParagraph"/>
        <w:numPr>
          <w:ilvl w:val="0"/>
          <w:numId w:val="9"/>
        </w:numPr>
        <w:spacing w:before="240" w:line="240" w:lineRule="auto"/>
        <w:jc w:val="both"/>
        <w:rPr>
          <w:rFonts w:ascii="Times New Roman" w:hAnsi="Times New Roman" w:cs="Times New Roman"/>
          <w:sz w:val="24"/>
          <w:szCs w:val="24"/>
        </w:rPr>
      </w:pPr>
      <w:r w:rsidRPr="00E33A1F">
        <w:rPr>
          <w:rFonts w:ascii="Times New Roman" w:hAnsi="Times New Roman" w:cs="Times New Roman"/>
          <w:sz w:val="24"/>
          <w:szCs w:val="24"/>
        </w:rPr>
        <w:t xml:space="preserve">Promote interlaboratory comparisons [36] </w:t>
      </w:r>
    </w:p>
    <w:p w14:paraId="5FDB1D17" w14:textId="47407B30" w:rsidR="00E33A1F" w:rsidRPr="003158E3" w:rsidRDefault="003049EB" w:rsidP="00D7191A">
      <w:pPr>
        <w:pStyle w:val="ListParagraph"/>
        <w:numPr>
          <w:ilvl w:val="0"/>
          <w:numId w:val="9"/>
        </w:numPr>
        <w:spacing w:before="240" w:line="240" w:lineRule="auto"/>
        <w:jc w:val="both"/>
        <w:rPr>
          <w:rFonts w:ascii="Times New Roman" w:hAnsi="Times New Roman" w:cs="Times New Roman"/>
          <w:sz w:val="24"/>
          <w:szCs w:val="24"/>
        </w:rPr>
      </w:pPr>
      <w:r w:rsidRPr="00E33A1F">
        <w:rPr>
          <w:rFonts w:ascii="Times New Roman" w:hAnsi="Times New Roman" w:cs="Times New Roman"/>
          <w:sz w:val="24"/>
          <w:szCs w:val="24"/>
        </w:rPr>
        <w:t>Promote local capacity building.</w:t>
      </w:r>
    </w:p>
    <w:p w14:paraId="268F6A13" w14:textId="1E8E9AF3" w:rsidR="00B347AC" w:rsidRPr="00B347AC" w:rsidRDefault="00E33A1F" w:rsidP="000B190B">
      <w:pPr>
        <w:shd w:val="clear" w:color="auto" w:fill="FFFFFF"/>
        <w:spacing w:before="240" w:line="240" w:lineRule="auto"/>
        <w:jc w:val="both"/>
        <w:outlineLvl w:val="1"/>
        <w:rPr>
          <w:rFonts w:ascii="Times New Roman" w:eastAsia="Times New Roman" w:hAnsi="Times New Roman" w:cs="Times New Roman"/>
          <w:b/>
          <w:bCs/>
          <w:color w:val="0F1115"/>
          <w:sz w:val="24"/>
          <w:szCs w:val="24"/>
        </w:rPr>
      </w:pPr>
      <w:r w:rsidRPr="00E33A1F">
        <w:rPr>
          <w:rFonts w:ascii="Times New Roman" w:eastAsia="Times New Roman" w:hAnsi="Times New Roman" w:cs="Times New Roman"/>
          <w:b/>
          <w:bCs/>
          <w:color w:val="0F1115"/>
          <w:sz w:val="28"/>
          <w:szCs w:val="28"/>
        </w:rPr>
        <w:t>CONCLUSION</w:t>
      </w:r>
    </w:p>
    <w:p w14:paraId="23320CC3" w14:textId="6DEE1B72" w:rsidR="00CB6FF0" w:rsidRPr="00CB6FF0" w:rsidRDefault="00CB6FF0" w:rsidP="000B190B">
      <w:pPr>
        <w:spacing w:before="240" w:line="240" w:lineRule="auto"/>
        <w:jc w:val="both"/>
        <w:rPr>
          <w:rFonts w:ascii="Times New Roman" w:hAnsi="Times New Roman" w:cs="Times New Roman"/>
          <w:sz w:val="24"/>
          <w:szCs w:val="24"/>
        </w:rPr>
      </w:pPr>
      <w:r w:rsidRPr="00CB6FF0">
        <w:rPr>
          <w:rStyle w:val="cursor-pointer"/>
          <w:rFonts w:ascii="Times New Roman" w:hAnsi="Times New Roman" w:cs="Times New Roman"/>
          <w:sz w:val="24"/>
          <w:szCs w:val="24"/>
        </w:rPr>
        <w:t>Biomedical equipment that is calibrated to ISO/IEC 17025 is a significant foundation of patient safety in healthcare.</w:t>
      </w:r>
      <w:r w:rsidRPr="00CB6FF0">
        <w:rPr>
          <w:rFonts w:ascii="Times New Roman" w:hAnsi="Times New Roman" w:cs="Times New Roman"/>
          <w:sz w:val="24"/>
          <w:szCs w:val="24"/>
        </w:rPr>
        <w:t xml:space="preserve"> </w:t>
      </w:r>
      <w:r w:rsidRPr="00CB6FF0">
        <w:rPr>
          <w:rStyle w:val="cursor-pointer"/>
          <w:rFonts w:ascii="Times New Roman" w:hAnsi="Times New Roman" w:cs="Times New Roman"/>
          <w:sz w:val="24"/>
          <w:szCs w:val="24"/>
        </w:rPr>
        <w:t>The standard offers an internationally recognized framework on competence, traceability, and uncertainty, documentation, and continuous improvement.</w:t>
      </w:r>
      <w:r w:rsidRPr="00CB6FF0">
        <w:rPr>
          <w:rFonts w:ascii="Times New Roman" w:hAnsi="Times New Roman" w:cs="Times New Roman"/>
          <w:sz w:val="24"/>
          <w:szCs w:val="24"/>
        </w:rPr>
        <w:t xml:space="preserve"> </w:t>
      </w:r>
      <w:r w:rsidRPr="00CB6FF0">
        <w:rPr>
          <w:rStyle w:val="cursor-pointer"/>
          <w:rFonts w:ascii="Times New Roman" w:hAnsi="Times New Roman" w:cs="Times New Roman"/>
          <w:sz w:val="24"/>
          <w:szCs w:val="24"/>
        </w:rPr>
        <w:t>Properly applied, it averts clinical risk and improves the reliability of devices [1].</w:t>
      </w:r>
    </w:p>
    <w:p w14:paraId="3E62FBFE" w14:textId="77777777" w:rsidR="00CB6FF0" w:rsidRPr="00CB6FF0" w:rsidRDefault="00CB6FF0" w:rsidP="000B190B">
      <w:pPr>
        <w:spacing w:before="240" w:line="240" w:lineRule="auto"/>
        <w:jc w:val="both"/>
        <w:rPr>
          <w:rFonts w:ascii="Times New Roman" w:hAnsi="Times New Roman" w:cs="Times New Roman"/>
          <w:sz w:val="24"/>
          <w:szCs w:val="24"/>
        </w:rPr>
      </w:pPr>
      <w:r w:rsidRPr="00CB6FF0">
        <w:rPr>
          <w:rStyle w:val="cursor-pointer"/>
          <w:rFonts w:ascii="Times New Roman" w:hAnsi="Times New Roman" w:cs="Times New Roman"/>
          <w:sz w:val="24"/>
          <w:szCs w:val="24"/>
        </w:rPr>
        <w:t>As shown in Figure 1 and Table 1, even minimal calibration errors result in extreme harm to the patients, either due to defects in infusion pumps dosing or due to failed defibrillation or ventilator hypoventilation, which are documented causes of adverse events worldwide [4,6].</w:t>
      </w:r>
      <w:r w:rsidRPr="00CB6FF0">
        <w:rPr>
          <w:rFonts w:ascii="Times New Roman" w:hAnsi="Times New Roman" w:cs="Times New Roman"/>
          <w:sz w:val="24"/>
          <w:szCs w:val="24"/>
        </w:rPr>
        <w:t xml:space="preserve"> </w:t>
      </w:r>
      <w:r w:rsidRPr="00CB6FF0">
        <w:rPr>
          <w:rStyle w:val="cursor-pointer"/>
          <w:rFonts w:ascii="Times New Roman" w:hAnsi="Times New Roman" w:cs="Times New Roman"/>
          <w:sz w:val="24"/>
          <w:szCs w:val="24"/>
        </w:rPr>
        <w:t>The methodology in Figure 3 highlights the focus on calibration as a rigorous, multi-phase process necessitating electrical safety as per IEC 62353 [23].</w:t>
      </w:r>
      <w:r w:rsidRPr="00CB6FF0">
        <w:rPr>
          <w:rFonts w:ascii="Times New Roman" w:hAnsi="Times New Roman" w:cs="Times New Roman"/>
          <w:sz w:val="24"/>
          <w:szCs w:val="24"/>
        </w:rPr>
        <w:t xml:space="preserve"> </w:t>
      </w:r>
      <w:r w:rsidRPr="00CB6FF0">
        <w:rPr>
          <w:rStyle w:val="cursor-pointer"/>
          <w:rFonts w:ascii="Times New Roman" w:hAnsi="Times New Roman" w:cs="Times New Roman"/>
          <w:sz w:val="24"/>
          <w:szCs w:val="24"/>
        </w:rPr>
        <w:t>Figure 2 shows that all calibration links to SI units via national metrology institutes (NIST, PTB, NPL).</w:t>
      </w:r>
      <w:r w:rsidRPr="00CB6FF0">
        <w:rPr>
          <w:rFonts w:ascii="Times New Roman" w:hAnsi="Times New Roman" w:cs="Times New Roman"/>
          <w:sz w:val="24"/>
          <w:szCs w:val="24"/>
        </w:rPr>
        <w:t xml:space="preserve"> </w:t>
      </w:r>
      <w:r w:rsidRPr="00CB6FF0">
        <w:rPr>
          <w:rStyle w:val="cursor-pointer"/>
          <w:rFonts w:ascii="Times New Roman" w:hAnsi="Times New Roman" w:cs="Times New Roman"/>
          <w:sz w:val="24"/>
          <w:szCs w:val="24"/>
        </w:rPr>
        <w:t>Table 2 gives the general intervals of 6-12 months of most biomedical devices.</w:t>
      </w:r>
      <w:r w:rsidRPr="00CB6FF0">
        <w:rPr>
          <w:rFonts w:ascii="Times New Roman" w:hAnsi="Times New Roman" w:cs="Times New Roman"/>
          <w:sz w:val="24"/>
          <w:szCs w:val="24"/>
        </w:rPr>
        <w:t xml:space="preserve"> </w:t>
      </w:r>
    </w:p>
    <w:p w14:paraId="13B572D8" w14:textId="77777777" w:rsidR="00EF3BA1" w:rsidRDefault="00CB6FF0" w:rsidP="000B190B">
      <w:pPr>
        <w:spacing w:before="240" w:line="240" w:lineRule="auto"/>
        <w:jc w:val="both"/>
        <w:rPr>
          <w:rFonts w:ascii="Times New Roman" w:hAnsi="Times New Roman" w:cs="Times New Roman"/>
          <w:sz w:val="24"/>
          <w:szCs w:val="24"/>
        </w:rPr>
      </w:pPr>
      <w:r w:rsidRPr="00CB6FF0">
        <w:rPr>
          <w:rStyle w:val="cursor-pointer"/>
          <w:rFonts w:ascii="Times New Roman" w:hAnsi="Times New Roman" w:cs="Times New Roman"/>
          <w:sz w:val="24"/>
          <w:szCs w:val="24"/>
        </w:rPr>
        <w:t>Close treatment of uncertainty (Section 7, Table 3) is vital.</w:t>
      </w:r>
      <w:r w:rsidRPr="00CB6FF0">
        <w:rPr>
          <w:rFonts w:ascii="Times New Roman" w:hAnsi="Times New Roman" w:cs="Times New Roman"/>
          <w:sz w:val="24"/>
          <w:szCs w:val="24"/>
        </w:rPr>
        <w:t xml:space="preserve"> Without expanded uncertainty (U</w:t>
      </w:r>
      <w:r>
        <w:rPr>
          <w:rFonts w:ascii="Times New Roman" w:hAnsi="Times New Roman" w:cs="Times New Roman"/>
          <w:sz w:val="24"/>
          <w:szCs w:val="24"/>
        </w:rPr>
        <w:t xml:space="preserve"> </w:t>
      </w:r>
      <w:r w:rsidRPr="00CB6FF0">
        <w:rPr>
          <w:rFonts w:ascii="Times New Roman" w:hAnsi="Times New Roman" w:cs="Times New Roman"/>
          <w:sz w:val="24"/>
          <w:szCs w:val="24"/>
        </w:rPr>
        <w:t>with k = 2</w:t>
      </w:r>
      <w:r>
        <w:rPr>
          <w:rFonts w:ascii="Times New Roman" w:hAnsi="Times New Roman" w:cs="Times New Roman"/>
          <w:sz w:val="24"/>
          <w:szCs w:val="24"/>
        </w:rPr>
        <w:t>)</w:t>
      </w:r>
      <w:r w:rsidRPr="00CB6FF0">
        <w:rPr>
          <w:rStyle w:val="cursor-pointer"/>
          <w:rFonts w:ascii="Times New Roman" w:hAnsi="Times New Roman" w:cs="Times New Roman"/>
          <w:sz w:val="24"/>
          <w:szCs w:val="24"/>
        </w:rPr>
        <w:t>, then the conformity decisions are not reliable.</w:t>
      </w:r>
      <w:r w:rsidRPr="00CB6FF0">
        <w:rPr>
          <w:rFonts w:ascii="Times New Roman" w:hAnsi="Times New Roman" w:cs="Times New Roman"/>
          <w:sz w:val="24"/>
          <w:szCs w:val="24"/>
        </w:rPr>
        <w:t xml:space="preserve"> </w:t>
      </w:r>
      <w:r w:rsidRPr="00CB6FF0">
        <w:rPr>
          <w:rStyle w:val="cursor-pointer"/>
          <w:rFonts w:ascii="Times New Roman" w:hAnsi="Times New Roman" w:cs="Times New Roman"/>
          <w:sz w:val="24"/>
          <w:szCs w:val="24"/>
        </w:rPr>
        <w:t>Figure 4 indicates that guard banding (ILAC G8 [26]) leads to a lower risk of false acceptance.</w:t>
      </w:r>
      <w:r w:rsidRPr="00CB6FF0">
        <w:rPr>
          <w:rFonts w:ascii="Times New Roman" w:hAnsi="Times New Roman" w:cs="Times New Roman"/>
          <w:sz w:val="24"/>
          <w:szCs w:val="24"/>
        </w:rPr>
        <w:t xml:space="preserve"> </w:t>
      </w:r>
      <w:r w:rsidRPr="00CB6FF0">
        <w:rPr>
          <w:rStyle w:val="cursor-pointer"/>
          <w:rFonts w:ascii="Times New Roman" w:hAnsi="Times New Roman" w:cs="Times New Roman"/>
          <w:sz w:val="24"/>
          <w:szCs w:val="24"/>
        </w:rPr>
        <w:t>Table 4 enumerates the elements of required certificates to be accredited.</w:t>
      </w:r>
      <w:r w:rsidRPr="00CB6FF0">
        <w:rPr>
          <w:rFonts w:ascii="Times New Roman" w:hAnsi="Times New Roman" w:cs="Times New Roman"/>
          <w:sz w:val="24"/>
          <w:szCs w:val="24"/>
        </w:rPr>
        <w:t xml:space="preserve"> </w:t>
      </w:r>
      <w:r w:rsidRPr="00CB6FF0">
        <w:rPr>
          <w:rStyle w:val="cursor-pointer"/>
          <w:rFonts w:ascii="Times New Roman" w:hAnsi="Times New Roman" w:cs="Times New Roman"/>
          <w:sz w:val="24"/>
          <w:szCs w:val="24"/>
        </w:rPr>
        <w:t xml:space="preserve">Other than </w:t>
      </w:r>
      <w:r w:rsidRPr="00CB6FF0">
        <w:rPr>
          <w:rStyle w:val="cursor-pointer"/>
          <w:rFonts w:ascii="Times New Roman" w:hAnsi="Times New Roman" w:cs="Times New Roman"/>
          <w:sz w:val="24"/>
          <w:szCs w:val="24"/>
        </w:rPr>
        <w:lastRenderedPageBreak/>
        <w:t>technical accuracy, accreditation guarantees impartiality, management reviews and documented competence (clause 6.2) -directly enhancing the management of hospital assets.</w:t>
      </w:r>
      <w:r w:rsidRPr="00CB6FF0">
        <w:rPr>
          <w:rFonts w:ascii="Times New Roman" w:hAnsi="Times New Roman" w:cs="Times New Roman"/>
          <w:sz w:val="24"/>
          <w:szCs w:val="24"/>
        </w:rPr>
        <w:t xml:space="preserve"> </w:t>
      </w:r>
    </w:p>
    <w:p w14:paraId="38AB4C0B" w14:textId="449498C4" w:rsidR="00CB6FF0" w:rsidRPr="00CB6FF0" w:rsidRDefault="00CB6FF0" w:rsidP="000B190B">
      <w:pPr>
        <w:spacing w:before="240" w:line="240" w:lineRule="auto"/>
        <w:jc w:val="both"/>
        <w:rPr>
          <w:rFonts w:ascii="Times New Roman" w:hAnsi="Times New Roman" w:cs="Times New Roman"/>
          <w:sz w:val="24"/>
          <w:szCs w:val="24"/>
        </w:rPr>
      </w:pPr>
      <w:r w:rsidRPr="00CB6FF0">
        <w:rPr>
          <w:rStyle w:val="cursor-pointer"/>
          <w:rFonts w:ascii="Times New Roman" w:hAnsi="Times New Roman" w:cs="Times New Roman"/>
          <w:sz w:val="24"/>
          <w:szCs w:val="24"/>
        </w:rPr>
        <w:t>The problems of developing countries are still acute.</w:t>
      </w:r>
      <w:r w:rsidRPr="00CB6FF0">
        <w:rPr>
          <w:rFonts w:ascii="Times New Roman" w:hAnsi="Times New Roman" w:cs="Times New Roman"/>
          <w:sz w:val="24"/>
          <w:szCs w:val="24"/>
        </w:rPr>
        <w:t xml:space="preserve"> </w:t>
      </w:r>
      <w:r w:rsidRPr="00CB6FF0">
        <w:rPr>
          <w:rStyle w:val="cursor-pointer"/>
          <w:rFonts w:ascii="Times New Roman" w:hAnsi="Times New Roman" w:cs="Times New Roman"/>
          <w:sz w:val="24"/>
          <w:szCs w:val="24"/>
        </w:rPr>
        <w:t>According to WHO, 50-80 percent of the medical devices used in low-income countries are uncalibrated [4].</w:t>
      </w:r>
      <w:r w:rsidRPr="00CB6FF0">
        <w:rPr>
          <w:rFonts w:ascii="Times New Roman" w:hAnsi="Times New Roman" w:cs="Times New Roman"/>
          <w:sz w:val="24"/>
          <w:szCs w:val="24"/>
        </w:rPr>
        <w:t xml:space="preserve"> </w:t>
      </w:r>
      <w:r w:rsidRPr="00CB6FF0">
        <w:rPr>
          <w:rStyle w:val="cursor-pointer"/>
          <w:rFonts w:ascii="Times New Roman" w:hAnsi="Times New Roman" w:cs="Times New Roman"/>
          <w:sz w:val="24"/>
          <w:szCs w:val="24"/>
        </w:rPr>
        <w:t>The national metrology infrastructure, the regional standards hubs, and interlaboratory comparisons are the requirements of the sustainable solution [36].</w:t>
      </w:r>
      <w:r w:rsidRPr="00CB6FF0">
        <w:rPr>
          <w:rFonts w:ascii="Times New Roman" w:hAnsi="Times New Roman" w:cs="Times New Roman"/>
          <w:sz w:val="24"/>
          <w:szCs w:val="24"/>
        </w:rPr>
        <w:t xml:space="preserve"> </w:t>
      </w:r>
      <w:r w:rsidRPr="00CB6FF0">
        <w:rPr>
          <w:rStyle w:val="cursor-pointer"/>
          <w:rFonts w:ascii="Times New Roman" w:hAnsi="Times New Roman" w:cs="Times New Roman"/>
          <w:sz w:val="24"/>
          <w:szCs w:val="24"/>
        </w:rPr>
        <w:t>Digital technologies do not eliminate but instead complement periodic traceable calibration.</w:t>
      </w:r>
      <w:r w:rsidRPr="00CB6FF0">
        <w:rPr>
          <w:rFonts w:ascii="Times New Roman" w:hAnsi="Times New Roman" w:cs="Times New Roman"/>
          <w:sz w:val="24"/>
          <w:szCs w:val="24"/>
        </w:rPr>
        <w:t xml:space="preserve"> </w:t>
      </w:r>
      <w:r w:rsidRPr="00CB6FF0">
        <w:rPr>
          <w:rStyle w:val="cursor-pointer"/>
          <w:rFonts w:ascii="Times New Roman" w:hAnsi="Times New Roman" w:cs="Times New Roman"/>
          <w:sz w:val="24"/>
          <w:szCs w:val="24"/>
        </w:rPr>
        <w:t>The basic rule is the same; all measurement systems should be traceable by use of an unbroken chain [5].</w:t>
      </w:r>
      <w:r w:rsidRPr="00CB6FF0">
        <w:rPr>
          <w:rFonts w:ascii="Times New Roman" w:hAnsi="Times New Roman" w:cs="Times New Roman"/>
          <w:sz w:val="24"/>
          <w:szCs w:val="24"/>
        </w:rPr>
        <w:t xml:space="preserve"> </w:t>
      </w:r>
    </w:p>
    <w:p w14:paraId="78C15A4A" w14:textId="2FD935EF" w:rsidR="00B347AC" w:rsidRPr="00B347AC" w:rsidRDefault="00CB6FF0" w:rsidP="000B190B">
      <w:pPr>
        <w:spacing w:before="240" w:line="240" w:lineRule="auto"/>
        <w:jc w:val="both"/>
        <w:rPr>
          <w:rFonts w:ascii="Times New Roman" w:eastAsia="Times New Roman" w:hAnsi="Times New Roman" w:cs="Times New Roman"/>
          <w:sz w:val="24"/>
          <w:szCs w:val="24"/>
        </w:rPr>
      </w:pPr>
      <w:r w:rsidRPr="00CB6FF0">
        <w:rPr>
          <w:rStyle w:val="cursor-pointer"/>
          <w:rFonts w:ascii="Times New Roman" w:hAnsi="Times New Roman" w:cs="Times New Roman"/>
          <w:sz w:val="24"/>
          <w:szCs w:val="24"/>
        </w:rPr>
        <w:t>The last, the ethical aspect: every time an uncalibrated device is used, it is assumed that the patient is at risk.</w:t>
      </w:r>
      <w:r w:rsidRPr="00CB6FF0">
        <w:rPr>
          <w:rFonts w:ascii="Times New Roman" w:hAnsi="Times New Roman" w:cs="Times New Roman"/>
          <w:sz w:val="24"/>
          <w:szCs w:val="24"/>
        </w:rPr>
        <w:t xml:space="preserve"> </w:t>
      </w:r>
      <w:r w:rsidRPr="00CB6FF0">
        <w:rPr>
          <w:rStyle w:val="cursor-pointer"/>
          <w:rFonts w:ascii="Times New Roman" w:hAnsi="Times New Roman" w:cs="Times New Roman"/>
          <w:sz w:val="24"/>
          <w:szCs w:val="24"/>
        </w:rPr>
        <w:t>Brain injury can occur when a ventilator in use delivers 20 percent of the normal tidal volume.</w:t>
      </w:r>
      <w:r w:rsidRPr="00CB6FF0">
        <w:rPr>
          <w:rFonts w:ascii="Times New Roman" w:hAnsi="Times New Roman" w:cs="Times New Roman"/>
          <w:sz w:val="24"/>
          <w:szCs w:val="24"/>
        </w:rPr>
        <w:t xml:space="preserve"> </w:t>
      </w:r>
      <w:r w:rsidRPr="00CB6FF0">
        <w:rPr>
          <w:rStyle w:val="cursor-pointer"/>
          <w:rFonts w:ascii="Times New Roman" w:hAnsi="Times New Roman" w:cs="Times New Roman"/>
          <w:sz w:val="24"/>
          <w:szCs w:val="24"/>
        </w:rPr>
        <w:t>These are everyday realities un-metrologically disciplined.</w:t>
      </w:r>
      <w:r w:rsidRPr="00CB6FF0">
        <w:rPr>
          <w:rFonts w:ascii="Times New Roman" w:hAnsi="Times New Roman" w:cs="Times New Roman"/>
          <w:sz w:val="24"/>
          <w:szCs w:val="24"/>
        </w:rPr>
        <w:t xml:space="preserve"> </w:t>
      </w:r>
      <w:r w:rsidRPr="00CB6FF0">
        <w:rPr>
          <w:rStyle w:val="cursor-pointer"/>
          <w:rFonts w:ascii="Times New Roman" w:hAnsi="Times New Roman" w:cs="Times New Roman"/>
          <w:sz w:val="24"/>
          <w:szCs w:val="24"/>
        </w:rPr>
        <w:t>We recommend that the hospital administrators and international organizations view ISO/IEC 17025-compliant calibration as a key patient safety approach.</w:t>
      </w:r>
      <w:r w:rsidRPr="00CB6FF0">
        <w:rPr>
          <w:rFonts w:ascii="Times New Roman" w:hAnsi="Times New Roman" w:cs="Times New Roman"/>
          <w:sz w:val="24"/>
          <w:szCs w:val="24"/>
        </w:rPr>
        <w:t xml:space="preserve"> </w:t>
      </w:r>
      <w:r w:rsidRPr="00CB6FF0">
        <w:rPr>
          <w:rStyle w:val="cursor-pointer"/>
          <w:rFonts w:ascii="Times New Roman" w:hAnsi="Times New Roman" w:cs="Times New Roman"/>
          <w:sz w:val="24"/>
          <w:szCs w:val="24"/>
        </w:rPr>
        <w:t>Formal calibration in a recognized structure is helpful in enhancing patient safety and health outcomes.</w:t>
      </w:r>
    </w:p>
    <w:p w14:paraId="2CB1CBEF" w14:textId="0FB64780" w:rsidR="00B347AC" w:rsidRPr="00B347AC" w:rsidRDefault="00A67C56" w:rsidP="000B190B">
      <w:pPr>
        <w:shd w:val="clear" w:color="auto" w:fill="FFFFFF"/>
        <w:spacing w:before="240" w:line="240" w:lineRule="auto"/>
        <w:jc w:val="both"/>
        <w:outlineLvl w:val="1"/>
        <w:rPr>
          <w:rFonts w:ascii="Times New Roman" w:eastAsia="Times New Roman" w:hAnsi="Times New Roman" w:cs="Times New Roman"/>
          <w:b/>
          <w:bCs/>
          <w:color w:val="0F1115"/>
          <w:sz w:val="28"/>
          <w:szCs w:val="28"/>
        </w:rPr>
      </w:pPr>
      <w:r w:rsidRPr="00A67C56">
        <w:rPr>
          <w:rFonts w:ascii="Times New Roman" w:eastAsia="Times New Roman" w:hAnsi="Times New Roman" w:cs="Times New Roman"/>
          <w:b/>
          <w:bCs/>
          <w:color w:val="0F1115"/>
          <w:sz w:val="28"/>
          <w:szCs w:val="28"/>
        </w:rPr>
        <w:t>REFERENCES</w:t>
      </w:r>
    </w:p>
    <w:p w14:paraId="3BE95DD3" w14:textId="385977E3" w:rsidR="00B347AC" w:rsidRPr="00CB6FF0" w:rsidRDefault="00B347AC" w:rsidP="00D7191A">
      <w:pPr>
        <w:pStyle w:val="ListParagraph"/>
        <w:numPr>
          <w:ilvl w:val="0"/>
          <w:numId w:val="10"/>
        </w:numPr>
        <w:shd w:val="clear" w:color="auto" w:fill="FFFFFF"/>
        <w:spacing w:before="240" w:line="240" w:lineRule="auto"/>
        <w:ind w:left="1080"/>
        <w:jc w:val="both"/>
        <w:rPr>
          <w:rFonts w:ascii="Times New Roman" w:eastAsia="Times New Roman" w:hAnsi="Times New Roman" w:cs="Times New Roman"/>
          <w:color w:val="0F1115"/>
          <w:sz w:val="24"/>
          <w:szCs w:val="24"/>
        </w:rPr>
      </w:pPr>
      <w:r w:rsidRPr="00CB6FF0">
        <w:rPr>
          <w:rFonts w:ascii="Times New Roman" w:eastAsia="Times New Roman" w:hAnsi="Times New Roman" w:cs="Times New Roman"/>
          <w:color w:val="0F1115"/>
          <w:sz w:val="24"/>
          <w:szCs w:val="24"/>
        </w:rPr>
        <w:t>ISO/IEC 17025:2017. General requirements for the competence of testing and calibration laboratories. Geneva: International Organization for Standardization; 2017.</w:t>
      </w:r>
    </w:p>
    <w:p w14:paraId="02C144DE" w14:textId="3CE78966" w:rsidR="00B347AC" w:rsidRPr="00CB6FF0" w:rsidRDefault="00B347AC" w:rsidP="00D7191A">
      <w:pPr>
        <w:pStyle w:val="ListParagraph"/>
        <w:numPr>
          <w:ilvl w:val="0"/>
          <w:numId w:val="10"/>
        </w:numPr>
        <w:shd w:val="clear" w:color="auto" w:fill="FFFFFF"/>
        <w:spacing w:before="240" w:line="240" w:lineRule="auto"/>
        <w:ind w:left="1080"/>
        <w:jc w:val="both"/>
        <w:rPr>
          <w:rFonts w:ascii="Times New Roman" w:eastAsia="Times New Roman" w:hAnsi="Times New Roman" w:cs="Times New Roman"/>
          <w:color w:val="0F1115"/>
          <w:sz w:val="24"/>
          <w:szCs w:val="24"/>
        </w:rPr>
      </w:pPr>
      <w:r w:rsidRPr="00CB6FF0">
        <w:rPr>
          <w:rFonts w:ascii="Times New Roman" w:eastAsia="Times New Roman" w:hAnsi="Times New Roman" w:cs="Times New Roman"/>
          <w:color w:val="0F1115"/>
          <w:sz w:val="24"/>
          <w:szCs w:val="24"/>
        </w:rPr>
        <w:t>World Health Organization. Barriers to medical device maintenance in low-resource settings. WHO Medical Device Technical Series. Geneva: WHO; 2015.</w:t>
      </w:r>
    </w:p>
    <w:p w14:paraId="4B7BAAA0" w14:textId="7730B4CD" w:rsidR="00B347AC" w:rsidRPr="00CB6FF0" w:rsidRDefault="00B347AC" w:rsidP="00D7191A">
      <w:pPr>
        <w:pStyle w:val="ListParagraph"/>
        <w:numPr>
          <w:ilvl w:val="0"/>
          <w:numId w:val="10"/>
        </w:numPr>
        <w:shd w:val="clear" w:color="auto" w:fill="FFFFFF"/>
        <w:spacing w:before="240" w:line="240" w:lineRule="auto"/>
        <w:ind w:left="1080"/>
        <w:jc w:val="both"/>
        <w:rPr>
          <w:rFonts w:ascii="Times New Roman" w:eastAsia="Times New Roman" w:hAnsi="Times New Roman" w:cs="Times New Roman"/>
          <w:color w:val="0F1115"/>
          <w:sz w:val="24"/>
          <w:szCs w:val="24"/>
        </w:rPr>
      </w:pPr>
      <w:r w:rsidRPr="00CB6FF0">
        <w:rPr>
          <w:rFonts w:ascii="Times New Roman" w:eastAsia="Times New Roman" w:hAnsi="Times New Roman" w:cs="Times New Roman"/>
          <w:color w:val="0F1115"/>
          <w:sz w:val="24"/>
          <w:szCs w:val="24"/>
        </w:rPr>
        <w:t>Khandpur RS. Biomedical Instrumentation: Technology and Applications. New York: McGraw-Hill; 2019.</w:t>
      </w:r>
    </w:p>
    <w:p w14:paraId="624D9BE2" w14:textId="2CEFB464" w:rsidR="00B347AC" w:rsidRPr="00CB6FF0" w:rsidRDefault="00B347AC" w:rsidP="00D7191A">
      <w:pPr>
        <w:pStyle w:val="ListParagraph"/>
        <w:numPr>
          <w:ilvl w:val="0"/>
          <w:numId w:val="10"/>
        </w:numPr>
        <w:shd w:val="clear" w:color="auto" w:fill="FFFFFF"/>
        <w:spacing w:before="240" w:line="240" w:lineRule="auto"/>
        <w:ind w:left="1080"/>
        <w:jc w:val="both"/>
        <w:rPr>
          <w:rFonts w:ascii="Times New Roman" w:eastAsia="Times New Roman" w:hAnsi="Times New Roman" w:cs="Times New Roman"/>
          <w:color w:val="0F1115"/>
          <w:sz w:val="24"/>
          <w:szCs w:val="24"/>
        </w:rPr>
      </w:pPr>
      <w:r w:rsidRPr="00CB6FF0">
        <w:rPr>
          <w:rFonts w:ascii="Times New Roman" w:eastAsia="Times New Roman" w:hAnsi="Times New Roman" w:cs="Times New Roman"/>
          <w:color w:val="0F1115"/>
          <w:sz w:val="24"/>
          <w:szCs w:val="24"/>
        </w:rPr>
        <w:t>World Health Organization. Medical device equipment management: How to manage the maintenance of medical devices. WHO Medical Device Technical Series. Geneva: WHO; 2011.</w:t>
      </w:r>
    </w:p>
    <w:p w14:paraId="56622330" w14:textId="3DB41CD6" w:rsidR="00B347AC" w:rsidRPr="00CB6FF0" w:rsidRDefault="00B347AC" w:rsidP="00D7191A">
      <w:pPr>
        <w:pStyle w:val="ListParagraph"/>
        <w:numPr>
          <w:ilvl w:val="0"/>
          <w:numId w:val="10"/>
        </w:numPr>
        <w:shd w:val="clear" w:color="auto" w:fill="FFFFFF"/>
        <w:spacing w:before="240" w:line="240" w:lineRule="auto"/>
        <w:ind w:left="1080"/>
        <w:jc w:val="both"/>
        <w:rPr>
          <w:rFonts w:ascii="Times New Roman" w:eastAsia="Times New Roman" w:hAnsi="Times New Roman" w:cs="Times New Roman"/>
          <w:color w:val="0F1115"/>
          <w:sz w:val="24"/>
          <w:szCs w:val="24"/>
        </w:rPr>
      </w:pPr>
      <w:r w:rsidRPr="00CB6FF0">
        <w:rPr>
          <w:rFonts w:ascii="Times New Roman" w:eastAsia="Times New Roman" w:hAnsi="Times New Roman" w:cs="Times New Roman"/>
          <w:color w:val="0F1115"/>
          <w:sz w:val="24"/>
          <w:szCs w:val="24"/>
        </w:rPr>
        <w:t xml:space="preserve">Joint Committee for Guides in Metrology. International vocabulary of metrology – Basic and general concepts and associated terms (VIM). JCGM 200:2012. </w:t>
      </w:r>
      <w:proofErr w:type="spellStart"/>
      <w:r w:rsidRPr="00CB6FF0">
        <w:rPr>
          <w:rFonts w:ascii="Times New Roman" w:eastAsia="Times New Roman" w:hAnsi="Times New Roman" w:cs="Times New Roman"/>
          <w:color w:val="0F1115"/>
          <w:sz w:val="24"/>
          <w:szCs w:val="24"/>
        </w:rPr>
        <w:t>Sèvres</w:t>
      </w:r>
      <w:proofErr w:type="spellEnd"/>
      <w:r w:rsidRPr="00CB6FF0">
        <w:rPr>
          <w:rFonts w:ascii="Times New Roman" w:eastAsia="Times New Roman" w:hAnsi="Times New Roman" w:cs="Times New Roman"/>
          <w:color w:val="0F1115"/>
          <w:sz w:val="24"/>
          <w:szCs w:val="24"/>
        </w:rPr>
        <w:t>: BIPM; 2012.</w:t>
      </w:r>
    </w:p>
    <w:p w14:paraId="0DECCC78" w14:textId="4B237785" w:rsidR="00B347AC" w:rsidRPr="00CB6FF0" w:rsidRDefault="00B347AC" w:rsidP="00D7191A">
      <w:pPr>
        <w:pStyle w:val="ListParagraph"/>
        <w:numPr>
          <w:ilvl w:val="0"/>
          <w:numId w:val="10"/>
        </w:numPr>
        <w:shd w:val="clear" w:color="auto" w:fill="FFFFFF"/>
        <w:spacing w:before="240" w:line="240" w:lineRule="auto"/>
        <w:ind w:left="1080"/>
        <w:jc w:val="both"/>
        <w:rPr>
          <w:rFonts w:ascii="Times New Roman" w:eastAsia="Times New Roman" w:hAnsi="Times New Roman" w:cs="Times New Roman"/>
          <w:color w:val="0F1115"/>
          <w:sz w:val="24"/>
          <w:szCs w:val="24"/>
        </w:rPr>
      </w:pPr>
      <w:r w:rsidRPr="00CB6FF0">
        <w:rPr>
          <w:rFonts w:ascii="Times New Roman" w:eastAsia="Times New Roman" w:hAnsi="Times New Roman" w:cs="Times New Roman"/>
          <w:color w:val="0F1115"/>
          <w:sz w:val="24"/>
          <w:szCs w:val="24"/>
        </w:rPr>
        <w:t>IEC 60601-1:2020. Medical electrical equipment – Part 1: General requirements for basic safety and essential performance. Geneva: IEC; 2020.</w:t>
      </w:r>
    </w:p>
    <w:p w14:paraId="506CDDE0" w14:textId="5F0F73EA" w:rsidR="00B347AC" w:rsidRPr="00CB6FF0" w:rsidRDefault="00B347AC" w:rsidP="00D7191A">
      <w:pPr>
        <w:pStyle w:val="ListParagraph"/>
        <w:numPr>
          <w:ilvl w:val="0"/>
          <w:numId w:val="10"/>
        </w:numPr>
        <w:shd w:val="clear" w:color="auto" w:fill="FFFFFF"/>
        <w:spacing w:before="240" w:line="240" w:lineRule="auto"/>
        <w:ind w:left="1080"/>
        <w:jc w:val="both"/>
        <w:rPr>
          <w:rFonts w:ascii="Times New Roman" w:eastAsia="Times New Roman" w:hAnsi="Times New Roman" w:cs="Times New Roman"/>
          <w:color w:val="0F1115"/>
          <w:sz w:val="24"/>
          <w:szCs w:val="24"/>
        </w:rPr>
      </w:pPr>
      <w:r w:rsidRPr="00CB6FF0">
        <w:rPr>
          <w:rFonts w:ascii="Times New Roman" w:eastAsia="Times New Roman" w:hAnsi="Times New Roman" w:cs="Times New Roman"/>
          <w:color w:val="0F1115"/>
          <w:sz w:val="24"/>
          <w:szCs w:val="24"/>
        </w:rPr>
        <w:t>ISO 14971:2019. Medical devices – Application of risk management to medical devices. Geneva: ISO; 2019.</w:t>
      </w:r>
    </w:p>
    <w:p w14:paraId="7B88C2BF" w14:textId="34866354" w:rsidR="00B347AC" w:rsidRPr="00CB6FF0" w:rsidRDefault="00B347AC" w:rsidP="00D7191A">
      <w:pPr>
        <w:pStyle w:val="ListParagraph"/>
        <w:numPr>
          <w:ilvl w:val="0"/>
          <w:numId w:val="10"/>
        </w:numPr>
        <w:shd w:val="clear" w:color="auto" w:fill="FFFFFF"/>
        <w:spacing w:before="240" w:line="240" w:lineRule="auto"/>
        <w:ind w:left="1080"/>
        <w:jc w:val="both"/>
        <w:rPr>
          <w:rFonts w:ascii="Times New Roman" w:eastAsia="Times New Roman" w:hAnsi="Times New Roman" w:cs="Times New Roman"/>
          <w:color w:val="0F1115"/>
          <w:sz w:val="24"/>
          <w:szCs w:val="24"/>
        </w:rPr>
      </w:pPr>
      <w:r w:rsidRPr="00CB6FF0">
        <w:rPr>
          <w:rFonts w:ascii="Times New Roman" w:eastAsia="Times New Roman" w:hAnsi="Times New Roman" w:cs="Times New Roman"/>
          <w:color w:val="0F1115"/>
          <w:sz w:val="24"/>
          <w:szCs w:val="24"/>
        </w:rPr>
        <w:t>Joint Commission International. JCI Accreditation Standards for Hospitals. 7th ed. Oak Brook: JCI; 2020.</w:t>
      </w:r>
    </w:p>
    <w:p w14:paraId="48A41A90" w14:textId="071689CD" w:rsidR="00B347AC" w:rsidRPr="00CB6FF0" w:rsidRDefault="00B347AC" w:rsidP="00D7191A">
      <w:pPr>
        <w:pStyle w:val="ListParagraph"/>
        <w:numPr>
          <w:ilvl w:val="0"/>
          <w:numId w:val="10"/>
        </w:numPr>
        <w:shd w:val="clear" w:color="auto" w:fill="FFFFFF"/>
        <w:spacing w:before="240" w:line="240" w:lineRule="auto"/>
        <w:ind w:left="1080"/>
        <w:jc w:val="both"/>
        <w:rPr>
          <w:rFonts w:ascii="Times New Roman" w:eastAsia="Times New Roman" w:hAnsi="Times New Roman" w:cs="Times New Roman"/>
          <w:color w:val="0F1115"/>
          <w:sz w:val="24"/>
          <w:szCs w:val="24"/>
        </w:rPr>
      </w:pPr>
      <w:proofErr w:type="spellStart"/>
      <w:r w:rsidRPr="00CB6FF0">
        <w:rPr>
          <w:rFonts w:ascii="Times New Roman" w:eastAsia="Times New Roman" w:hAnsi="Times New Roman" w:cs="Times New Roman"/>
          <w:color w:val="0F1115"/>
          <w:sz w:val="24"/>
          <w:szCs w:val="24"/>
        </w:rPr>
        <w:t>Carr</w:t>
      </w:r>
      <w:proofErr w:type="spellEnd"/>
      <w:r w:rsidRPr="00CB6FF0">
        <w:rPr>
          <w:rFonts w:ascii="Times New Roman" w:eastAsia="Times New Roman" w:hAnsi="Times New Roman" w:cs="Times New Roman"/>
          <w:color w:val="0F1115"/>
          <w:sz w:val="24"/>
          <w:szCs w:val="24"/>
        </w:rPr>
        <w:t xml:space="preserve"> JJ, Brown JM. Introduction to Biomedical Equipment Technology. 4th ed. Upper Saddle River: Prentice Hall; 2000.</w:t>
      </w:r>
    </w:p>
    <w:p w14:paraId="5A9BE5D8" w14:textId="206AD53E" w:rsidR="00B347AC" w:rsidRPr="00CB6FF0" w:rsidRDefault="00B347AC" w:rsidP="00D7191A">
      <w:pPr>
        <w:pStyle w:val="ListParagraph"/>
        <w:numPr>
          <w:ilvl w:val="0"/>
          <w:numId w:val="10"/>
        </w:numPr>
        <w:shd w:val="clear" w:color="auto" w:fill="FFFFFF"/>
        <w:spacing w:before="240" w:line="240" w:lineRule="auto"/>
        <w:ind w:left="1080"/>
        <w:jc w:val="both"/>
        <w:rPr>
          <w:rFonts w:ascii="Times New Roman" w:eastAsia="Times New Roman" w:hAnsi="Times New Roman" w:cs="Times New Roman"/>
          <w:color w:val="0F1115"/>
          <w:sz w:val="24"/>
          <w:szCs w:val="24"/>
        </w:rPr>
      </w:pPr>
      <w:proofErr w:type="spellStart"/>
      <w:r w:rsidRPr="00CB6FF0">
        <w:rPr>
          <w:rFonts w:ascii="Times New Roman" w:eastAsia="Times New Roman" w:hAnsi="Times New Roman" w:cs="Times New Roman"/>
          <w:color w:val="0F1115"/>
          <w:sz w:val="24"/>
          <w:szCs w:val="24"/>
        </w:rPr>
        <w:t>Dyro</w:t>
      </w:r>
      <w:proofErr w:type="spellEnd"/>
      <w:r w:rsidRPr="00CB6FF0">
        <w:rPr>
          <w:rFonts w:ascii="Times New Roman" w:eastAsia="Times New Roman" w:hAnsi="Times New Roman" w:cs="Times New Roman"/>
          <w:color w:val="0F1115"/>
          <w:sz w:val="24"/>
          <w:szCs w:val="24"/>
        </w:rPr>
        <w:t xml:space="preserve"> JF. Clinical Engineering Handbook. Burlington: Elsevier Academic Press; 2004.</w:t>
      </w:r>
    </w:p>
    <w:p w14:paraId="29CD8003" w14:textId="601C64D3" w:rsidR="00B347AC" w:rsidRPr="00CB6FF0" w:rsidRDefault="00B347AC" w:rsidP="00D7191A">
      <w:pPr>
        <w:pStyle w:val="ListParagraph"/>
        <w:numPr>
          <w:ilvl w:val="0"/>
          <w:numId w:val="10"/>
        </w:numPr>
        <w:shd w:val="clear" w:color="auto" w:fill="FFFFFF"/>
        <w:spacing w:before="240" w:line="240" w:lineRule="auto"/>
        <w:ind w:left="1080"/>
        <w:jc w:val="both"/>
        <w:rPr>
          <w:rFonts w:ascii="Times New Roman" w:eastAsia="Times New Roman" w:hAnsi="Times New Roman" w:cs="Times New Roman"/>
          <w:color w:val="0F1115"/>
          <w:sz w:val="24"/>
          <w:szCs w:val="24"/>
        </w:rPr>
      </w:pPr>
      <w:r w:rsidRPr="00CB6FF0">
        <w:rPr>
          <w:rFonts w:ascii="Times New Roman" w:eastAsia="Times New Roman" w:hAnsi="Times New Roman" w:cs="Times New Roman"/>
          <w:color w:val="0F1115"/>
          <w:sz w:val="24"/>
          <w:szCs w:val="24"/>
        </w:rPr>
        <w:t xml:space="preserve">O’Brien E, Atkins N, Stergiou G, et al. European Society of Hypertension International Protocol for the validation of blood pressure monitors. J </w:t>
      </w:r>
      <w:proofErr w:type="spellStart"/>
      <w:r w:rsidRPr="00CB6FF0">
        <w:rPr>
          <w:rFonts w:ascii="Times New Roman" w:eastAsia="Times New Roman" w:hAnsi="Times New Roman" w:cs="Times New Roman"/>
          <w:color w:val="0F1115"/>
          <w:sz w:val="24"/>
          <w:szCs w:val="24"/>
        </w:rPr>
        <w:t>Hypertens</w:t>
      </w:r>
      <w:proofErr w:type="spellEnd"/>
      <w:r w:rsidRPr="00CB6FF0">
        <w:rPr>
          <w:rFonts w:ascii="Times New Roman" w:eastAsia="Times New Roman" w:hAnsi="Times New Roman" w:cs="Times New Roman"/>
          <w:color w:val="0F1115"/>
          <w:sz w:val="24"/>
          <w:szCs w:val="24"/>
        </w:rPr>
        <w:t>. 2010;28(Suppl 2):S3-S8.</w:t>
      </w:r>
    </w:p>
    <w:p w14:paraId="4BB4C62F" w14:textId="3B295508" w:rsidR="00B347AC" w:rsidRPr="00CB6FF0" w:rsidRDefault="00B347AC" w:rsidP="00D7191A">
      <w:pPr>
        <w:pStyle w:val="ListParagraph"/>
        <w:numPr>
          <w:ilvl w:val="0"/>
          <w:numId w:val="10"/>
        </w:numPr>
        <w:shd w:val="clear" w:color="auto" w:fill="FFFFFF"/>
        <w:spacing w:before="240" w:line="240" w:lineRule="auto"/>
        <w:ind w:left="1080"/>
        <w:jc w:val="both"/>
        <w:rPr>
          <w:rFonts w:ascii="Times New Roman" w:eastAsia="Times New Roman" w:hAnsi="Times New Roman" w:cs="Times New Roman"/>
          <w:color w:val="0F1115"/>
          <w:sz w:val="24"/>
          <w:szCs w:val="24"/>
        </w:rPr>
      </w:pPr>
      <w:r w:rsidRPr="00CB6FF0">
        <w:rPr>
          <w:rFonts w:ascii="Times New Roman" w:eastAsia="Times New Roman" w:hAnsi="Times New Roman" w:cs="Times New Roman"/>
          <w:color w:val="0F1115"/>
          <w:sz w:val="24"/>
          <w:szCs w:val="24"/>
        </w:rPr>
        <w:t>ISO 80601-2-12:2020. Medical electrical equipment – Part 2-12: Particular requirements for basic safety and essential performance of critical care ventilators. Geneva: ISO; 2020.</w:t>
      </w:r>
    </w:p>
    <w:p w14:paraId="7123E3C5" w14:textId="18FA0312" w:rsidR="00B347AC" w:rsidRPr="00CB6FF0" w:rsidRDefault="00B347AC" w:rsidP="00D7191A">
      <w:pPr>
        <w:pStyle w:val="ListParagraph"/>
        <w:numPr>
          <w:ilvl w:val="0"/>
          <w:numId w:val="10"/>
        </w:numPr>
        <w:shd w:val="clear" w:color="auto" w:fill="FFFFFF"/>
        <w:spacing w:before="240" w:line="240" w:lineRule="auto"/>
        <w:ind w:left="1080"/>
        <w:jc w:val="both"/>
        <w:rPr>
          <w:rFonts w:ascii="Times New Roman" w:eastAsia="Times New Roman" w:hAnsi="Times New Roman" w:cs="Times New Roman"/>
          <w:color w:val="0F1115"/>
          <w:sz w:val="24"/>
          <w:szCs w:val="24"/>
        </w:rPr>
      </w:pPr>
      <w:r w:rsidRPr="00CB6FF0">
        <w:rPr>
          <w:rFonts w:ascii="Times New Roman" w:eastAsia="Times New Roman" w:hAnsi="Times New Roman" w:cs="Times New Roman"/>
          <w:color w:val="0F1115"/>
          <w:sz w:val="24"/>
          <w:szCs w:val="24"/>
        </w:rPr>
        <w:t>IEC 60601-2-4:2018. Medical electrical equipment – Part 2-4: Particular requirements for the basic safety and essential performance of defibrillators. Geneva: IEC; 2018.</w:t>
      </w:r>
    </w:p>
    <w:p w14:paraId="08E5EF96" w14:textId="7BB338C5" w:rsidR="00B347AC" w:rsidRPr="00CB6FF0" w:rsidRDefault="00B347AC" w:rsidP="00D7191A">
      <w:pPr>
        <w:pStyle w:val="ListParagraph"/>
        <w:numPr>
          <w:ilvl w:val="0"/>
          <w:numId w:val="10"/>
        </w:numPr>
        <w:shd w:val="clear" w:color="auto" w:fill="FFFFFF"/>
        <w:spacing w:before="240" w:line="240" w:lineRule="auto"/>
        <w:ind w:left="1080"/>
        <w:jc w:val="both"/>
        <w:rPr>
          <w:rFonts w:ascii="Times New Roman" w:eastAsia="Times New Roman" w:hAnsi="Times New Roman" w:cs="Times New Roman"/>
          <w:color w:val="0F1115"/>
          <w:sz w:val="24"/>
          <w:szCs w:val="24"/>
        </w:rPr>
      </w:pPr>
      <w:r w:rsidRPr="00CB6FF0">
        <w:rPr>
          <w:rFonts w:ascii="Times New Roman" w:eastAsia="Times New Roman" w:hAnsi="Times New Roman" w:cs="Times New Roman"/>
          <w:color w:val="0F1115"/>
          <w:sz w:val="24"/>
          <w:szCs w:val="24"/>
        </w:rPr>
        <w:t>EURAMET cg-13. Calibration of pressure transducers. EURAMET; 2018.</w:t>
      </w:r>
    </w:p>
    <w:p w14:paraId="7824FA12" w14:textId="5A1A0769" w:rsidR="00B347AC" w:rsidRPr="00CB6FF0" w:rsidRDefault="00B347AC" w:rsidP="00D7191A">
      <w:pPr>
        <w:pStyle w:val="ListParagraph"/>
        <w:numPr>
          <w:ilvl w:val="0"/>
          <w:numId w:val="10"/>
        </w:numPr>
        <w:shd w:val="clear" w:color="auto" w:fill="FFFFFF"/>
        <w:spacing w:before="240" w:line="240" w:lineRule="auto"/>
        <w:ind w:left="1080"/>
        <w:jc w:val="both"/>
        <w:rPr>
          <w:rFonts w:ascii="Times New Roman" w:eastAsia="Times New Roman" w:hAnsi="Times New Roman" w:cs="Times New Roman"/>
          <w:color w:val="0F1115"/>
          <w:sz w:val="24"/>
          <w:szCs w:val="24"/>
        </w:rPr>
      </w:pPr>
      <w:r w:rsidRPr="00CB6FF0">
        <w:rPr>
          <w:rFonts w:ascii="Times New Roman" w:eastAsia="Times New Roman" w:hAnsi="Times New Roman" w:cs="Times New Roman"/>
          <w:color w:val="0F1115"/>
          <w:sz w:val="24"/>
          <w:szCs w:val="24"/>
        </w:rPr>
        <w:t>EURAMET cg-8. Calibration of temperature sensors. EURAMET; 2019.</w:t>
      </w:r>
    </w:p>
    <w:p w14:paraId="3D9A87AA" w14:textId="70D14333" w:rsidR="00B347AC" w:rsidRPr="00CB6FF0" w:rsidRDefault="00B347AC" w:rsidP="00D7191A">
      <w:pPr>
        <w:pStyle w:val="ListParagraph"/>
        <w:numPr>
          <w:ilvl w:val="0"/>
          <w:numId w:val="10"/>
        </w:numPr>
        <w:shd w:val="clear" w:color="auto" w:fill="FFFFFF"/>
        <w:spacing w:before="240" w:line="240" w:lineRule="auto"/>
        <w:ind w:left="1080"/>
        <w:jc w:val="both"/>
        <w:rPr>
          <w:rFonts w:ascii="Times New Roman" w:eastAsia="Times New Roman" w:hAnsi="Times New Roman" w:cs="Times New Roman"/>
          <w:color w:val="0F1115"/>
          <w:sz w:val="24"/>
          <w:szCs w:val="24"/>
        </w:rPr>
      </w:pPr>
      <w:r w:rsidRPr="00CB6FF0">
        <w:rPr>
          <w:rFonts w:ascii="Times New Roman" w:eastAsia="Times New Roman" w:hAnsi="Times New Roman" w:cs="Times New Roman"/>
          <w:color w:val="0F1115"/>
          <w:sz w:val="24"/>
          <w:szCs w:val="24"/>
        </w:rPr>
        <w:t>EURAMET cg-15. Calibration of electrical measuring instruments. EURAMET; 2020.</w:t>
      </w:r>
    </w:p>
    <w:p w14:paraId="6C5359CD" w14:textId="073B7FFA" w:rsidR="00B347AC" w:rsidRPr="00CB6FF0" w:rsidRDefault="00B347AC" w:rsidP="00D7191A">
      <w:pPr>
        <w:pStyle w:val="ListParagraph"/>
        <w:numPr>
          <w:ilvl w:val="0"/>
          <w:numId w:val="10"/>
        </w:numPr>
        <w:shd w:val="clear" w:color="auto" w:fill="FFFFFF"/>
        <w:spacing w:before="240" w:line="240" w:lineRule="auto"/>
        <w:ind w:left="1080"/>
        <w:jc w:val="both"/>
        <w:rPr>
          <w:rFonts w:ascii="Times New Roman" w:eastAsia="Times New Roman" w:hAnsi="Times New Roman" w:cs="Times New Roman"/>
          <w:color w:val="0F1115"/>
          <w:sz w:val="24"/>
          <w:szCs w:val="24"/>
        </w:rPr>
      </w:pPr>
      <w:r w:rsidRPr="00CB6FF0">
        <w:rPr>
          <w:rFonts w:ascii="Times New Roman" w:eastAsia="Times New Roman" w:hAnsi="Times New Roman" w:cs="Times New Roman"/>
          <w:color w:val="0F1115"/>
          <w:sz w:val="24"/>
          <w:szCs w:val="24"/>
        </w:rPr>
        <w:t>ILAC P14:09/2020. ILAC policy for measurement uncertainty in calibration. ILAC; 2020.</w:t>
      </w:r>
    </w:p>
    <w:p w14:paraId="54A8ED88" w14:textId="10C26893" w:rsidR="00B347AC" w:rsidRPr="00CB6FF0" w:rsidRDefault="00B347AC" w:rsidP="00D7191A">
      <w:pPr>
        <w:pStyle w:val="ListParagraph"/>
        <w:numPr>
          <w:ilvl w:val="0"/>
          <w:numId w:val="10"/>
        </w:numPr>
        <w:shd w:val="clear" w:color="auto" w:fill="FFFFFF"/>
        <w:spacing w:before="240" w:line="240" w:lineRule="auto"/>
        <w:ind w:left="1080"/>
        <w:jc w:val="both"/>
        <w:rPr>
          <w:rFonts w:ascii="Times New Roman" w:eastAsia="Times New Roman" w:hAnsi="Times New Roman" w:cs="Times New Roman"/>
          <w:color w:val="0F1115"/>
          <w:sz w:val="24"/>
          <w:szCs w:val="24"/>
        </w:rPr>
      </w:pPr>
      <w:r w:rsidRPr="00CB6FF0">
        <w:rPr>
          <w:rFonts w:ascii="Times New Roman" w:eastAsia="Times New Roman" w:hAnsi="Times New Roman" w:cs="Times New Roman"/>
          <w:color w:val="0F1115"/>
          <w:sz w:val="24"/>
          <w:szCs w:val="24"/>
        </w:rPr>
        <w:t>IEC 60601-2-25:2011. Medical electrical equipment – Part 2-25: Particular requirements for the basic safety and essential performance of electrocardiographs. Geneva: IEC; 2011.</w:t>
      </w:r>
    </w:p>
    <w:p w14:paraId="6FAD4F26" w14:textId="51B1FD28" w:rsidR="00B347AC" w:rsidRPr="00CB6FF0" w:rsidRDefault="00B347AC" w:rsidP="00D7191A">
      <w:pPr>
        <w:pStyle w:val="ListParagraph"/>
        <w:numPr>
          <w:ilvl w:val="0"/>
          <w:numId w:val="10"/>
        </w:numPr>
        <w:shd w:val="clear" w:color="auto" w:fill="FFFFFF"/>
        <w:spacing w:before="240" w:line="240" w:lineRule="auto"/>
        <w:ind w:left="1080"/>
        <w:jc w:val="both"/>
        <w:rPr>
          <w:rFonts w:ascii="Times New Roman" w:eastAsia="Times New Roman" w:hAnsi="Times New Roman" w:cs="Times New Roman"/>
          <w:color w:val="0F1115"/>
          <w:sz w:val="24"/>
          <w:szCs w:val="24"/>
        </w:rPr>
      </w:pPr>
      <w:r w:rsidRPr="00CB6FF0">
        <w:rPr>
          <w:rFonts w:ascii="Times New Roman" w:eastAsia="Times New Roman" w:hAnsi="Times New Roman" w:cs="Times New Roman"/>
          <w:color w:val="0F1115"/>
          <w:sz w:val="24"/>
          <w:szCs w:val="24"/>
        </w:rPr>
        <w:t>IEC 60601-2-24:2012. Medical electrical equipment – Part 2-24: Particular requirements for the basic safety and essential performance of infusion pumps and controllers. Geneva: IEC; 2012.</w:t>
      </w:r>
    </w:p>
    <w:p w14:paraId="66C24F5A" w14:textId="06B00CAD" w:rsidR="00B347AC" w:rsidRPr="00CB6FF0" w:rsidRDefault="00B347AC" w:rsidP="00D7191A">
      <w:pPr>
        <w:pStyle w:val="ListParagraph"/>
        <w:numPr>
          <w:ilvl w:val="0"/>
          <w:numId w:val="10"/>
        </w:numPr>
        <w:shd w:val="clear" w:color="auto" w:fill="FFFFFF"/>
        <w:spacing w:before="240" w:line="240" w:lineRule="auto"/>
        <w:ind w:left="1080"/>
        <w:jc w:val="both"/>
        <w:rPr>
          <w:rFonts w:ascii="Times New Roman" w:eastAsia="Times New Roman" w:hAnsi="Times New Roman" w:cs="Times New Roman"/>
          <w:color w:val="0F1115"/>
          <w:sz w:val="24"/>
          <w:szCs w:val="24"/>
        </w:rPr>
      </w:pPr>
      <w:r w:rsidRPr="00CB6FF0">
        <w:rPr>
          <w:rFonts w:ascii="Times New Roman" w:eastAsia="Times New Roman" w:hAnsi="Times New Roman" w:cs="Times New Roman"/>
          <w:color w:val="0F1115"/>
          <w:sz w:val="24"/>
          <w:szCs w:val="24"/>
        </w:rPr>
        <w:t xml:space="preserve">ISO 80601-2-13:2022. Medical electrical equipment – Part 2-13: Particular requirements for basic safety and essential performance of </w:t>
      </w:r>
      <w:proofErr w:type="spellStart"/>
      <w:r w:rsidRPr="00CB6FF0">
        <w:rPr>
          <w:rFonts w:ascii="Times New Roman" w:eastAsia="Times New Roman" w:hAnsi="Times New Roman" w:cs="Times New Roman"/>
          <w:color w:val="0F1115"/>
          <w:sz w:val="24"/>
          <w:szCs w:val="24"/>
        </w:rPr>
        <w:t>anaesthetic</w:t>
      </w:r>
      <w:proofErr w:type="spellEnd"/>
      <w:r w:rsidRPr="00CB6FF0">
        <w:rPr>
          <w:rFonts w:ascii="Times New Roman" w:eastAsia="Times New Roman" w:hAnsi="Times New Roman" w:cs="Times New Roman"/>
          <w:color w:val="0F1115"/>
          <w:sz w:val="24"/>
          <w:szCs w:val="24"/>
        </w:rPr>
        <w:t xml:space="preserve"> workstations. Geneva: ISO; 2022.</w:t>
      </w:r>
    </w:p>
    <w:p w14:paraId="476B14EC" w14:textId="033CFCFF" w:rsidR="00B347AC" w:rsidRPr="00CB6FF0" w:rsidRDefault="00B347AC" w:rsidP="00D7191A">
      <w:pPr>
        <w:pStyle w:val="ListParagraph"/>
        <w:numPr>
          <w:ilvl w:val="0"/>
          <w:numId w:val="10"/>
        </w:numPr>
        <w:shd w:val="clear" w:color="auto" w:fill="FFFFFF"/>
        <w:spacing w:before="240" w:line="240" w:lineRule="auto"/>
        <w:ind w:left="1080"/>
        <w:jc w:val="both"/>
        <w:rPr>
          <w:rFonts w:ascii="Times New Roman" w:eastAsia="Times New Roman" w:hAnsi="Times New Roman" w:cs="Times New Roman"/>
          <w:color w:val="0F1115"/>
          <w:sz w:val="24"/>
          <w:szCs w:val="24"/>
        </w:rPr>
      </w:pPr>
      <w:r w:rsidRPr="00CB6FF0">
        <w:rPr>
          <w:rFonts w:ascii="Times New Roman" w:eastAsia="Times New Roman" w:hAnsi="Times New Roman" w:cs="Times New Roman"/>
          <w:color w:val="0F1115"/>
          <w:sz w:val="24"/>
          <w:szCs w:val="24"/>
        </w:rPr>
        <w:t>IEC 60601-2-2:2017. Medical electrical equipment – Part 2-2: Particular requirements for the basic safety and essential performance of high frequency surgical equipment. Geneva: IEC; 2017.</w:t>
      </w:r>
    </w:p>
    <w:p w14:paraId="720E8AC8" w14:textId="1206E0B5" w:rsidR="00B347AC" w:rsidRPr="00CB6FF0" w:rsidRDefault="00B347AC" w:rsidP="00D7191A">
      <w:pPr>
        <w:pStyle w:val="ListParagraph"/>
        <w:numPr>
          <w:ilvl w:val="0"/>
          <w:numId w:val="10"/>
        </w:numPr>
        <w:shd w:val="clear" w:color="auto" w:fill="FFFFFF"/>
        <w:spacing w:before="240" w:line="240" w:lineRule="auto"/>
        <w:ind w:left="1080"/>
        <w:jc w:val="both"/>
        <w:rPr>
          <w:rFonts w:ascii="Times New Roman" w:eastAsia="Times New Roman" w:hAnsi="Times New Roman" w:cs="Times New Roman"/>
          <w:color w:val="0F1115"/>
          <w:sz w:val="24"/>
          <w:szCs w:val="24"/>
        </w:rPr>
      </w:pPr>
      <w:r w:rsidRPr="00CB6FF0">
        <w:rPr>
          <w:rFonts w:ascii="Times New Roman" w:eastAsia="Times New Roman" w:hAnsi="Times New Roman" w:cs="Times New Roman"/>
          <w:color w:val="0F1115"/>
          <w:sz w:val="24"/>
          <w:szCs w:val="24"/>
        </w:rPr>
        <w:t>OIML R 111-1:2004. Weights of classes E1, E2, F1, F2, M1, M2, M3. Paris: OIML; 2004.</w:t>
      </w:r>
    </w:p>
    <w:p w14:paraId="32EF0DD2" w14:textId="44BDBDF7" w:rsidR="00B347AC" w:rsidRPr="00CB6FF0" w:rsidRDefault="00B347AC" w:rsidP="00D7191A">
      <w:pPr>
        <w:pStyle w:val="ListParagraph"/>
        <w:numPr>
          <w:ilvl w:val="0"/>
          <w:numId w:val="10"/>
        </w:numPr>
        <w:shd w:val="clear" w:color="auto" w:fill="FFFFFF"/>
        <w:spacing w:before="240" w:line="240" w:lineRule="auto"/>
        <w:ind w:left="1080"/>
        <w:jc w:val="both"/>
        <w:rPr>
          <w:rFonts w:ascii="Times New Roman" w:eastAsia="Times New Roman" w:hAnsi="Times New Roman" w:cs="Times New Roman"/>
          <w:color w:val="0F1115"/>
          <w:sz w:val="24"/>
          <w:szCs w:val="24"/>
        </w:rPr>
      </w:pPr>
      <w:r w:rsidRPr="00CB6FF0">
        <w:rPr>
          <w:rFonts w:ascii="Times New Roman" w:eastAsia="Times New Roman" w:hAnsi="Times New Roman" w:cs="Times New Roman"/>
          <w:color w:val="0F1115"/>
          <w:sz w:val="24"/>
          <w:szCs w:val="24"/>
        </w:rPr>
        <w:lastRenderedPageBreak/>
        <w:t>IEC 62353:2014. Medical electrical equipment – Recurrent test and test after repair of medical electrical equipment. Geneva: IEC; 2014.</w:t>
      </w:r>
    </w:p>
    <w:p w14:paraId="17F2122D" w14:textId="225A80F2" w:rsidR="00B347AC" w:rsidRPr="00CB6FF0" w:rsidRDefault="00B347AC" w:rsidP="00D7191A">
      <w:pPr>
        <w:pStyle w:val="ListParagraph"/>
        <w:numPr>
          <w:ilvl w:val="0"/>
          <w:numId w:val="10"/>
        </w:numPr>
        <w:shd w:val="clear" w:color="auto" w:fill="FFFFFF"/>
        <w:spacing w:before="240" w:line="240" w:lineRule="auto"/>
        <w:ind w:left="1080"/>
        <w:jc w:val="both"/>
        <w:rPr>
          <w:rFonts w:ascii="Times New Roman" w:eastAsia="Times New Roman" w:hAnsi="Times New Roman" w:cs="Times New Roman"/>
          <w:color w:val="0F1115"/>
          <w:sz w:val="24"/>
          <w:szCs w:val="24"/>
        </w:rPr>
      </w:pPr>
      <w:r w:rsidRPr="00CB6FF0">
        <w:rPr>
          <w:rFonts w:ascii="Times New Roman" w:eastAsia="Times New Roman" w:hAnsi="Times New Roman" w:cs="Times New Roman"/>
          <w:color w:val="0F1115"/>
          <w:sz w:val="24"/>
          <w:szCs w:val="24"/>
        </w:rPr>
        <w:t xml:space="preserve">Joint Committee for Guides in Metrology. Evaluation of measurement data – Guide to the expression of uncertainty in measurement (GUM). JCGM 100:2008. </w:t>
      </w:r>
      <w:proofErr w:type="spellStart"/>
      <w:r w:rsidRPr="00CB6FF0">
        <w:rPr>
          <w:rFonts w:ascii="Times New Roman" w:eastAsia="Times New Roman" w:hAnsi="Times New Roman" w:cs="Times New Roman"/>
          <w:color w:val="0F1115"/>
          <w:sz w:val="24"/>
          <w:szCs w:val="24"/>
        </w:rPr>
        <w:t>Sèvres</w:t>
      </w:r>
      <w:proofErr w:type="spellEnd"/>
      <w:r w:rsidRPr="00CB6FF0">
        <w:rPr>
          <w:rFonts w:ascii="Times New Roman" w:eastAsia="Times New Roman" w:hAnsi="Times New Roman" w:cs="Times New Roman"/>
          <w:color w:val="0F1115"/>
          <w:sz w:val="24"/>
          <w:szCs w:val="24"/>
        </w:rPr>
        <w:t>: BIPM; 2008.</w:t>
      </w:r>
    </w:p>
    <w:p w14:paraId="3CAFF681" w14:textId="77777777" w:rsidR="00B347AC" w:rsidRPr="00CB6FF0" w:rsidRDefault="00B347AC" w:rsidP="00D7191A">
      <w:pPr>
        <w:pStyle w:val="ListParagraph"/>
        <w:numPr>
          <w:ilvl w:val="0"/>
          <w:numId w:val="10"/>
        </w:numPr>
        <w:shd w:val="clear" w:color="auto" w:fill="FFFFFF"/>
        <w:spacing w:before="240" w:line="240" w:lineRule="auto"/>
        <w:ind w:left="1080"/>
        <w:jc w:val="both"/>
        <w:rPr>
          <w:rFonts w:ascii="Times New Roman" w:eastAsia="Times New Roman" w:hAnsi="Times New Roman" w:cs="Times New Roman"/>
          <w:color w:val="0F1115"/>
          <w:sz w:val="24"/>
          <w:szCs w:val="24"/>
        </w:rPr>
      </w:pPr>
      <w:r w:rsidRPr="00CB6FF0">
        <w:rPr>
          <w:rFonts w:ascii="Times New Roman" w:eastAsia="Times New Roman" w:hAnsi="Times New Roman" w:cs="Times New Roman"/>
          <w:color w:val="0F1115"/>
          <w:sz w:val="24"/>
          <w:szCs w:val="24"/>
        </w:rPr>
        <w:t>[25] EA-4/02 M:2022. Expression of the uncertainty of measurement in calibration. European co-operation for Accreditation; 2022.</w:t>
      </w:r>
    </w:p>
    <w:p w14:paraId="45908882" w14:textId="5CB5B310" w:rsidR="00B347AC" w:rsidRPr="00CB6FF0" w:rsidRDefault="00B347AC" w:rsidP="00D7191A">
      <w:pPr>
        <w:pStyle w:val="ListParagraph"/>
        <w:numPr>
          <w:ilvl w:val="0"/>
          <w:numId w:val="10"/>
        </w:numPr>
        <w:shd w:val="clear" w:color="auto" w:fill="FFFFFF"/>
        <w:spacing w:before="240" w:line="240" w:lineRule="auto"/>
        <w:ind w:left="1080"/>
        <w:jc w:val="both"/>
        <w:rPr>
          <w:rFonts w:ascii="Times New Roman" w:eastAsia="Times New Roman" w:hAnsi="Times New Roman" w:cs="Times New Roman"/>
          <w:color w:val="0F1115"/>
          <w:sz w:val="24"/>
          <w:szCs w:val="24"/>
        </w:rPr>
      </w:pPr>
      <w:r w:rsidRPr="00CB6FF0">
        <w:rPr>
          <w:rFonts w:ascii="Times New Roman" w:eastAsia="Times New Roman" w:hAnsi="Times New Roman" w:cs="Times New Roman"/>
          <w:color w:val="0F1115"/>
          <w:sz w:val="24"/>
          <w:szCs w:val="24"/>
        </w:rPr>
        <w:t>ILAC G8:09/2019. Guidelines on decision rules and statements of conformity. ILAC; 2019.</w:t>
      </w:r>
    </w:p>
    <w:p w14:paraId="54D1AE4E" w14:textId="118AB8A1" w:rsidR="00B347AC" w:rsidRPr="00CB6FF0" w:rsidRDefault="00B347AC" w:rsidP="00D7191A">
      <w:pPr>
        <w:pStyle w:val="ListParagraph"/>
        <w:numPr>
          <w:ilvl w:val="0"/>
          <w:numId w:val="10"/>
        </w:numPr>
        <w:shd w:val="clear" w:color="auto" w:fill="FFFFFF"/>
        <w:spacing w:before="240" w:line="240" w:lineRule="auto"/>
        <w:ind w:left="1080"/>
        <w:jc w:val="both"/>
        <w:rPr>
          <w:rFonts w:ascii="Times New Roman" w:eastAsia="Times New Roman" w:hAnsi="Times New Roman" w:cs="Times New Roman"/>
          <w:color w:val="0F1115"/>
          <w:sz w:val="24"/>
          <w:szCs w:val="24"/>
        </w:rPr>
      </w:pPr>
      <w:r w:rsidRPr="00CB6FF0">
        <w:rPr>
          <w:rFonts w:ascii="Times New Roman" w:eastAsia="Times New Roman" w:hAnsi="Times New Roman" w:cs="Times New Roman"/>
          <w:color w:val="0F1115"/>
          <w:sz w:val="24"/>
          <w:szCs w:val="24"/>
        </w:rPr>
        <w:t>Webster JG, editor. Medical Instrumentation: Application and Design. 5th ed. Hoboken: John Wiley &amp; Sons; 2020.</w:t>
      </w:r>
    </w:p>
    <w:p w14:paraId="0B18C054" w14:textId="4AA9D897" w:rsidR="00B347AC" w:rsidRPr="00CB6FF0" w:rsidRDefault="00B347AC" w:rsidP="00D7191A">
      <w:pPr>
        <w:pStyle w:val="ListParagraph"/>
        <w:numPr>
          <w:ilvl w:val="0"/>
          <w:numId w:val="10"/>
        </w:numPr>
        <w:shd w:val="clear" w:color="auto" w:fill="FFFFFF"/>
        <w:spacing w:before="240" w:line="240" w:lineRule="auto"/>
        <w:ind w:left="1080"/>
        <w:jc w:val="both"/>
        <w:rPr>
          <w:rFonts w:ascii="Times New Roman" w:eastAsia="Times New Roman" w:hAnsi="Times New Roman" w:cs="Times New Roman"/>
          <w:color w:val="0F1115"/>
          <w:sz w:val="24"/>
          <w:szCs w:val="24"/>
        </w:rPr>
      </w:pPr>
      <w:proofErr w:type="spellStart"/>
      <w:r w:rsidRPr="00CB6FF0">
        <w:rPr>
          <w:rFonts w:ascii="Times New Roman" w:eastAsia="Times New Roman" w:hAnsi="Times New Roman" w:cs="Times New Roman"/>
          <w:color w:val="0F1115"/>
          <w:sz w:val="24"/>
          <w:szCs w:val="24"/>
        </w:rPr>
        <w:t>Dyro</w:t>
      </w:r>
      <w:proofErr w:type="spellEnd"/>
      <w:r w:rsidRPr="00CB6FF0">
        <w:rPr>
          <w:rFonts w:ascii="Times New Roman" w:eastAsia="Times New Roman" w:hAnsi="Times New Roman" w:cs="Times New Roman"/>
          <w:color w:val="0F1115"/>
          <w:sz w:val="24"/>
          <w:szCs w:val="24"/>
        </w:rPr>
        <w:t xml:space="preserve"> JF, editor. Clinical Engineering Handbook. 2nd ed. Burlington: Elsevier; 2019.</w:t>
      </w:r>
    </w:p>
    <w:p w14:paraId="4F970FC3" w14:textId="21BE4493" w:rsidR="00B347AC" w:rsidRPr="00CB6FF0" w:rsidRDefault="00B347AC" w:rsidP="00D7191A">
      <w:pPr>
        <w:pStyle w:val="ListParagraph"/>
        <w:numPr>
          <w:ilvl w:val="0"/>
          <w:numId w:val="10"/>
        </w:numPr>
        <w:shd w:val="clear" w:color="auto" w:fill="FFFFFF"/>
        <w:spacing w:before="240" w:line="240" w:lineRule="auto"/>
        <w:ind w:left="1080"/>
        <w:jc w:val="both"/>
        <w:rPr>
          <w:rFonts w:ascii="Times New Roman" w:eastAsia="Times New Roman" w:hAnsi="Times New Roman" w:cs="Times New Roman"/>
          <w:color w:val="0F1115"/>
          <w:sz w:val="24"/>
          <w:szCs w:val="24"/>
        </w:rPr>
      </w:pPr>
      <w:r w:rsidRPr="00CB6FF0">
        <w:rPr>
          <w:rFonts w:ascii="Times New Roman" w:eastAsia="Times New Roman" w:hAnsi="Times New Roman" w:cs="Times New Roman"/>
          <w:color w:val="0F1115"/>
          <w:sz w:val="24"/>
          <w:szCs w:val="24"/>
        </w:rPr>
        <w:t>AAMI EQ56:2022. Recommended practice for a medical equipment management program. Arlington: AAMI; 2022.</w:t>
      </w:r>
    </w:p>
    <w:p w14:paraId="71447CFC" w14:textId="59F3DE03" w:rsidR="00B347AC" w:rsidRPr="00CB6FF0" w:rsidRDefault="00B347AC" w:rsidP="00D7191A">
      <w:pPr>
        <w:pStyle w:val="ListParagraph"/>
        <w:numPr>
          <w:ilvl w:val="0"/>
          <w:numId w:val="10"/>
        </w:numPr>
        <w:shd w:val="clear" w:color="auto" w:fill="FFFFFF"/>
        <w:spacing w:before="240" w:line="240" w:lineRule="auto"/>
        <w:ind w:left="1080"/>
        <w:jc w:val="both"/>
        <w:rPr>
          <w:rFonts w:ascii="Times New Roman" w:eastAsia="Times New Roman" w:hAnsi="Times New Roman" w:cs="Times New Roman"/>
          <w:color w:val="0F1115"/>
          <w:sz w:val="24"/>
          <w:szCs w:val="24"/>
        </w:rPr>
      </w:pPr>
      <w:r w:rsidRPr="00CB6FF0">
        <w:rPr>
          <w:rFonts w:ascii="Times New Roman" w:eastAsia="Times New Roman" w:hAnsi="Times New Roman" w:cs="Times New Roman"/>
          <w:color w:val="0F1115"/>
          <w:sz w:val="24"/>
          <w:szCs w:val="24"/>
        </w:rPr>
        <w:t>ISO/IEC 17043:2023. Conformity assessment –</w:t>
      </w:r>
      <w:r w:rsidR="00F86BA6">
        <w:rPr>
          <w:rFonts w:ascii="Times New Roman" w:eastAsia="Times New Roman" w:hAnsi="Times New Roman" w:cs="Times New Roman"/>
          <w:color w:val="0F1115"/>
          <w:sz w:val="24"/>
          <w:szCs w:val="24"/>
        </w:rPr>
        <w:t xml:space="preserve"> </w:t>
      </w:r>
      <w:r w:rsidRPr="00CB6FF0">
        <w:rPr>
          <w:rFonts w:ascii="Times New Roman" w:eastAsia="Times New Roman" w:hAnsi="Times New Roman" w:cs="Times New Roman"/>
          <w:color w:val="0F1115"/>
          <w:sz w:val="24"/>
          <w:szCs w:val="24"/>
        </w:rPr>
        <w:t>General requirements for proficiency testing. Geneva: ISO; 2023.</w:t>
      </w:r>
    </w:p>
    <w:p w14:paraId="6B7BC4E2" w14:textId="5EA15F1E" w:rsidR="00B347AC" w:rsidRPr="00CB6FF0" w:rsidRDefault="00B347AC" w:rsidP="00D7191A">
      <w:pPr>
        <w:pStyle w:val="ListParagraph"/>
        <w:numPr>
          <w:ilvl w:val="0"/>
          <w:numId w:val="10"/>
        </w:numPr>
        <w:shd w:val="clear" w:color="auto" w:fill="FFFFFF"/>
        <w:spacing w:before="240" w:line="240" w:lineRule="auto"/>
        <w:ind w:left="1080"/>
        <w:jc w:val="both"/>
        <w:rPr>
          <w:rFonts w:ascii="Times New Roman" w:eastAsia="Times New Roman" w:hAnsi="Times New Roman" w:cs="Times New Roman"/>
          <w:color w:val="0F1115"/>
          <w:sz w:val="24"/>
          <w:szCs w:val="24"/>
        </w:rPr>
      </w:pPr>
      <w:r w:rsidRPr="00CB6FF0">
        <w:rPr>
          <w:rFonts w:ascii="Times New Roman" w:eastAsia="Times New Roman" w:hAnsi="Times New Roman" w:cs="Times New Roman"/>
          <w:color w:val="0F1115"/>
          <w:sz w:val="24"/>
          <w:szCs w:val="24"/>
        </w:rPr>
        <w:t>OIML D 10:2007. Guidelines for the determination of recalibration intervals of measuring equipment. Paris: OIML; 2007.</w:t>
      </w:r>
    </w:p>
    <w:p w14:paraId="063CFD54" w14:textId="3AC40570" w:rsidR="00B347AC" w:rsidRPr="00CB6FF0" w:rsidRDefault="00B347AC" w:rsidP="00D7191A">
      <w:pPr>
        <w:pStyle w:val="ListParagraph"/>
        <w:numPr>
          <w:ilvl w:val="0"/>
          <w:numId w:val="10"/>
        </w:numPr>
        <w:shd w:val="clear" w:color="auto" w:fill="FFFFFF"/>
        <w:spacing w:before="240" w:line="240" w:lineRule="auto"/>
        <w:ind w:left="1080"/>
        <w:jc w:val="both"/>
        <w:rPr>
          <w:rFonts w:ascii="Times New Roman" w:eastAsia="Times New Roman" w:hAnsi="Times New Roman" w:cs="Times New Roman"/>
          <w:color w:val="0F1115"/>
          <w:sz w:val="24"/>
          <w:szCs w:val="24"/>
        </w:rPr>
      </w:pPr>
      <w:r w:rsidRPr="00CB6FF0">
        <w:rPr>
          <w:rFonts w:ascii="Times New Roman" w:eastAsia="Times New Roman" w:hAnsi="Times New Roman" w:cs="Times New Roman"/>
          <w:color w:val="0F1115"/>
          <w:sz w:val="24"/>
          <w:szCs w:val="24"/>
        </w:rPr>
        <w:t>Perry L, Malkin R. Effectiveness of medical equipment donations to improve health systems: a systematic review of the literature. J Glob Health. 2019;9(1):010301.</w:t>
      </w:r>
    </w:p>
    <w:p w14:paraId="6CCF304B" w14:textId="7718B3A0" w:rsidR="00B347AC" w:rsidRPr="00CB6FF0" w:rsidRDefault="00B347AC" w:rsidP="00D7191A">
      <w:pPr>
        <w:pStyle w:val="ListParagraph"/>
        <w:numPr>
          <w:ilvl w:val="0"/>
          <w:numId w:val="10"/>
        </w:numPr>
        <w:shd w:val="clear" w:color="auto" w:fill="FFFFFF"/>
        <w:spacing w:before="240" w:line="240" w:lineRule="auto"/>
        <w:ind w:left="1080"/>
        <w:jc w:val="both"/>
        <w:rPr>
          <w:rFonts w:ascii="Times New Roman" w:eastAsia="Times New Roman" w:hAnsi="Times New Roman" w:cs="Times New Roman"/>
          <w:color w:val="0F1115"/>
          <w:sz w:val="24"/>
          <w:szCs w:val="24"/>
        </w:rPr>
      </w:pPr>
      <w:r w:rsidRPr="00CB6FF0">
        <w:rPr>
          <w:rFonts w:ascii="Times New Roman" w:eastAsia="Times New Roman" w:hAnsi="Times New Roman" w:cs="Times New Roman"/>
          <w:color w:val="0F1115"/>
          <w:sz w:val="24"/>
          <w:szCs w:val="24"/>
        </w:rPr>
        <w:t>World Health Organization. Global model regulatory framework for medical devices. Geneva: WHO; 2017.</w:t>
      </w:r>
    </w:p>
    <w:p w14:paraId="637C9099" w14:textId="77777777" w:rsidR="00B347AC" w:rsidRPr="00CB6FF0" w:rsidRDefault="00B347AC" w:rsidP="00D7191A">
      <w:pPr>
        <w:pStyle w:val="ListParagraph"/>
        <w:numPr>
          <w:ilvl w:val="0"/>
          <w:numId w:val="10"/>
        </w:numPr>
        <w:shd w:val="clear" w:color="auto" w:fill="FFFFFF"/>
        <w:spacing w:before="240" w:line="240" w:lineRule="auto"/>
        <w:ind w:left="1080"/>
        <w:jc w:val="both"/>
        <w:rPr>
          <w:rFonts w:ascii="Times New Roman" w:eastAsia="Times New Roman" w:hAnsi="Times New Roman" w:cs="Times New Roman"/>
          <w:color w:val="0F1115"/>
          <w:sz w:val="24"/>
          <w:szCs w:val="24"/>
        </w:rPr>
      </w:pPr>
      <w:r w:rsidRPr="00CB6FF0">
        <w:rPr>
          <w:rFonts w:ascii="Times New Roman" w:eastAsia="Times New Roman" w:hAnsi="Times New Roman" w:cs="Times New Roman"/>
          <w:color w:val="0F1115"/>
          <w:sz w:val="24"/>
          <w:szCs w:val="24"/>
        </w:rPr>
        <w:t>[34] IAEA Human Health Series No. 33. Quality assurance and calibration of radiation therapy equipment. Vienna: IAEA; 2017.</w:t>
      </w:r>
    </w:p>
    <w:p w14:paraId="3CC43864" w14:textId="24A8462B" w:rsidR="00B347AC" w:rsidRPr="00CB6FF0" w:rsidRDefault="00B347AC" w:rsidP="00D7191A">
      <w:pPr>
        <w:pStyle w:val="ListParagraph"/>
        <w:numPr>
          <w:ilvl w:val="0"/>
          <w:numId w:val="10"/>
        </w:numPr>
        <w:shd w:val="clear" w:color="auto" w:fill="FFFFFF"/>
        <w:spacing w:before="240" w:line="240" w:lineRule="auto"/>
        <w:ind w:left="1080"/>
        <w:jc w:val="both"/>
        <w:rPr>
          <w:rFonts w:ascii="Times New Roman" w:eastAsia="Times New Roman" w:hAnsi="Times New Roman" w:cs="Times New Roman"/>
          <w:color w:val="0F1115"/>
          <w:sz w:val="24"/>
          <w:szCs w:val="24"/>
        </w:rPr>
      </w:pPr>
      <w:r w:rsidRPr="00CB6FF0">
        <w:rPr>
          <w:rFonts w:ascii="Times New Roman" w:eastAsia="Times New Roman" w:hAnsi="Times New Roman" w:cs="Times New Roman"/>
          <w:color w:val="0F1115"/>
          <w:sz w:val="24"/>
          <w:szCs w:val="24"/>
        </w:rPr>
        <w:t>NIST Technical Note 1297. Guidelines for evaluating and expressing the uncertainty of NIST measurement results. Gaithersburg: NIST; 1994.</w:t>
      </w:r>
    </w:p>
    <w:p w14:paraId="4EB42301" w14:textId="474B0371" w:rsidR="00B347AC" w:rsidRPr="00CB6FF0" w:rsidRDefault="00B347AC" w:rsidP="00D7191A">
      <w:pPr>
        <w:pStyle w:val="ListParagraph"/>
        <w:numPr>
          <w:ilvl w:val="0"/>
          <w:numId w:val="10"/>
        </w:numPr>
        <w:shd w:val="clear" w:color="auto" w:fill="FFFFFF"/>
        <w:spacing w:before="240" w:line="240" w:lineRule="auto"/>
        <w:ind w:left="1080"/>
        <w:jc w:val="both"/>
        <w:rPr>
          <w:rFonts w:ascii="Times New Roman" w:eastAsia="Times New Roman" w:hAnsi="Times New Roman" w:cs="Times New Roman"/>
          <w:color w:val="0F1115"/>
          <w:sz w:val="24"/>
          <w:szCs w:val="24"/>
        </w:rPr>
      </w:pPr>
      <w:r w:rsidRPr="00CB6FF0">
        <w:rPr>
          <w:rFonts w:ascii="Times New Roman" w:eastAsia="Times New Roman" w:hAnsi="Times New Roman" w:cs="Times New Roman"/>
          <w:color w:val="0F1115"/>
          <w:sz w:val="24"/>
          <w:szCs w:val="24"/>
        </w:rPr>
        <w:t xml:space="preserve">PTB. Metrology for health: Publications of the </w:t>
      </w:r>
      <w:proofErr w:type="spellStart"/>
      <w:r w:rsidRPr="00CB6FF0">
        <w:rPr>
          <w:rFonts w:ascii="Times New Roman" w:eastAsia="Times New Roman" w:hAnsi="Times New Roman" w:cs="Times New Roman"/>
          <w:color w:val="0F1115"/>
          <w:sz w:val="24"/>
          <w:szCs w:val="24"/>
        </w:rPr>
        <w:t>Physikalisch-Technische</w:t>
      </w:r>
      <w:proofErr w:type="spellEnd"/>
      <w:r w:rsidRPr="00CB6FF0">
        <w:rPr>
          <w:rFonts w:ascii="Times New Roman" w:eastAsia="Times New Roman" w:hAnsi="Times New Roman" w:cs="Times New Roman"/>
          <w:color w:val="0F1115"/>
          <w:sz w:val="24"/>
          <w:szCs w:val="24"/>
        </w:rPr>
        <w:t xml:space="preserve"> </w:t>
      </w:r>
      <w:proofErr w:type="spellStart"/>
      <w:r w:rsidRPr="00CB6FF0">
        <w:rPr>
          <w:rFonts w:ascii="Times New Roman" w:eastAsia="Times New Roman" w:hAnsi="Times New Roman" w:cs="Times New Roman"/>
          <w:color w:val="0F1115"/>
          <w:sz w:val="24"/>
          <w:szCs w:val="24"/>
        </w:rPr>
        <w:t>Bundesanstalt</w:t>
      </w:r>
      <w:proofErr w:type="spellEnd"/>
      <w:r w:rsidRPr="00CB6FF0">
        <w:rPr>
          <w:rFonts w:ascii="Times New Roman" w:eastAsia="Times New Roman" w:hAnsi="Times New Roman" w:cs="Times New Roman"/>
          <w:color w:val="0F1115"/>
          <w:sz w:val="24"/>
          <w:szCs w:val="24"/>
        </w:rPr>
        <w:t>. Braunschweig: PTB; 2020.</w:t>
      </w:r>
    </w:p>
    <w:p w14:paraId="6FAFAC8F" w14:textId="7FD25D31" w:rsidR="00B347AC" w:rsidRPr="00CB6FF0" w:rsidRDefault="00B347AC" w:rsidP="00D7191A">
      <w:pPr>
        <w:pStyle w:val="ListParagraph"/>
        <w:numPr>
          <w:ilvl w:val="0"/>
          <w:numId w:val="10"/>
        </w:numPr>
        <w:shd w:val="clear" w:color="auto" w:fill="FFFFFF"/>
        <w:spacing w:before="240" w:line="240" w:lineRule="auto"/>
        <w:ind w:left="1080"/>
        <w:jc w:val="both"/>
        <w:rPr>
          <w:rFonts w:ascii="Times New Roman" w:eastAsia="Times New Roman" w:hAnsi="Times New Roman" w:cs="Times New Roman"/>
          <w:color w:val="0F1115"/>
          <w:sz w:val="24"/>
          <w:szCs w:val="24"/>
        </w:rPr>
      </w:pPr>
      <w:r w:rsidRPr="00CB6FF0">
        <w:rPr>
          <w:rFonts w:ascii="Times New Roman" w:eastAsia="Times New Roman" w:hAnsi="Times New Roman" w:cs="Times New Roman"/>
          <w:color w:val="0F1115"/>
          <w:sz w:val="24"/>
          <w:szCs w:val="24"/>
        </w:rPr>
        <w:t>ANSI/AAMI/ISO 17664-1:2021. Processing of health care products – Information to be provided by the medical device manufacturer for the processing of medical devices. Arlington: AAMI; 2021.</w:t>
      </w:r>
    </w:p>
    <w:p w14:paraId="417BE9ED" w14:textId="31A3B0C0" w:rsidR="00B347AC" w:rsidRPr="00CB6FF0" w:rsidRDefault="00B347AC" w:rsidP="00D7191A">
      <w:pPr>
        <w:pStyle w:val="ListParagraph"/>
        <w:numPr>
          <w:ilvl w:val="0"/>
          <w:numId w:val="10"/>
        </w:numPr>
        <w:shd w:val="clear" w:color="auto" w:fill="FFFFFF"/>
        <w:spacing w:before="240" w:line="240" w:lineRule="auto"/>
        <w:ind w:left="1080"/>
        <w:jc w:val="both"/>
        <w:rPr>
          <w:rFonts w:ascii="Times New Roman" w:eastAsia="Times New Roman" w:hAnsi="Times New Roman" w:cs="Times New Roman"/>
          <w:color w:val="0F1115"/>
          <w:sz w:val="24"/>
          <w:szCs w:val="24"/>
        </w:rPr>
      </w:pPr>
      <w:r w:rsidRPr="00CB6FF0">
        <w:rPr>
          <w:rFonts w:ascii="Times New Roman" w:eastAsia="Times New Roman" w:hAnsi="Times New Roman" w:cs="Times New Roman"/>
          <w:color w:val="0F1115"/>
          <w:sz w:val="24"/>
          <w:szCs w:val="24"/>
        </w:rPr>
        <w:t>ASTM E2877-21. Standard guide for digital contact thermometers. West Conshohocken: ASTM; 2021.</w:t>
      </w:r>
    </w:p>
    <w:p w14:paraId="49CA0C3A" w14:textId="744FC053" w:rsidR="00B347AC" w:rsidRPr="00CB6FF0" w:rsidRDefault="00B347AC" w:rsidP="00D7191A">
      <w:pPr>
        <w:pStyle w:val="ListParagraph"/>
        <w:numPr>
          <w:ilvl w:val="0"/>
          <w:numId w:val="10"/>
        </w:numPr>
        <w:shd w:val="clear" w:color="auto" w:fill="FFFFFF"/>
        <w:spacing w:before="240" w:line="240" w:lineRule="auto"/>
        <w:ind w:left="1080"/>
        <w:jc w:val="both"/>
        <w:rPr>
          <w:rFonts w:ascii="Times New Roman" w:eastAsia="Times New Roman" w:hAnsi="Times New Roman" w:cs="Times New Roman"/>
          <w:color w:val="0F1115"/>
          <w:sz w:val="24"/>
          <w:szCs w:val="24"/>
        </w:rPr>
      </w:pPr>
      <w:r w:rsidRPr="00CB6FF0">
        <w:rPr>
          <w:rFonts w:ascii="Times New Roman" w:eastAsia="Times New Roman" w:hAnsi="Times New Roman" w:cs="Times New Roman"/>
          <w:color w:val="0F1115"/>
          <w:sz w:val="24"/>
          <w:szCs w:val="24"/>
        </w:rPr>
        <w:t xml:space="preserve">NPL. A beginner's guide to measurement uncertainty (Good Practice Guide No. 11). </w:t>
      </w:r>
      <w:proofErr w:type="spellStart"/>
      <w:r w:rsidRPr="00CB6FF0">
        <w:rPr>
          <w:rFonts w:ascii="Times New Roman" w:eastAsia="Times New Roman" w:hAnsi="Times New Roman" w:cs="Times New Roman"/>
          <w:color w:val="0F1115"/>
          <w:sz w:val="24"/>
          <w:szCs w:val="24"/>
        </w:rPr>
        <w:t>Teddington</w:t>
      </w:r>
      <w:proofErr w:type="spellEnd"/>
      <w:r w:rsidRPr="00CB6FF0">
        <w:rPr>
          <w:rFonts w:ascii="Times New Roman" w:eastAsia="Times New Roman" w:hAnsi="Times New Roman" w:cs="Times New Roman"/>
          <w:color w:val="0F1115"/>
          <w:sz w:val="24"/>
          <w:szCs w:val="24"/>
        </w:rPr>
        <w:t>: National Physical Laboratory; 2018.</w:t>
      </w:r>
    </w:p>
    <w:p w14:paraId="6743F2D2" w14:textId="0570E336" w:rsidR="00B347AC" w:rsidRPr="00CB6FF0" w:rsidRDefault="00B347AC" w:rsidP="00D7191A">
      <w:pPr>
        <w:pStyle w:val="ListParagraph"/>
        <w:numPr>
          <w:ilvl w:val="0"/>
          <w:numId w:val="10"/>
        </w:numPr>
        <w:shd w:val="clear" w:color="auto" w:fill="FFFFFF"/>
        <w:spacing w:before="240" w:line="240" w:lineRule="auto"/>
        <w:ind w:left="1080"/>
        <w:jc w:val="both"/>
        <w:rPr>
          <w:rFonts w:ascii="Times New Roman" w:eastAsia="Times New Roman" w:hAnsi="Times New Roman" w:cs="Times New Roman"/>
          <w:color w:val="0F1115"/>
          <w:sz w:val="24"/>
          <w:szCs w:val="24"/>
        </w:rPr>
      </w:pPr>
      <w:r w:rsidRPr="00CB6FF0">
        <w:rPr>
          <w:rFonts w:ascii="Times New Roman" w:eastAsia="Times New Roman" w:hAnsi="Times New Roman" w:cs="Times New Roman"/>
          <w:color w:val="0F1115"/>
          <w:sz w:val="24"/>
          <w:szCs w:val="24"/>
        </w:rPr>
        <w:t>IEC 60601-2-49:2022. Medical electrical equipment – Part 2-49: Particular requirements for the basic safety and essential performance of multifunction patient monitors. Geneva: IEC; 2022.</w:t>
      </w:r>
    </w:p>
    <w:p w14:paraId="34C755C1" w14:textId="083CA228" w:rsidR="00B347AC" w:rsidRPr="00CB6FF0" w:rsidRDefault="00B347AC" w:rsidP="00D7191A">
      <w:pPr>
        <w:pStyle w:val="ListParagraph"/>
        <w:numPr>
          <w:ilvl w:val="0"/>
          <w:numId w:val="10"/>
        </w:numPr>
        <w:shd w:val="clear" w:color="auto" w:fill="FFFFFF"/>
        <w:spacing w:before="240" w:line="240" w:lineRule="auto"/>
        <w:ind w:left="1080"/>
        <w:jc w:val="both"/>
        <w:rPr>
          <w:rFonts w:ascii="Times New Roman" w:eastAsia="Times New Roman" w:hAnsi="Times New Roman" w:cs="Times New Roman"/>
          <w:color w:val="0F1115"/>
          <w:sz w:val="24"/>
          <w:szCs w:val="24"/>
        </w:rPr>
      </w:pPr>
      <w:r w:rsidRPr="00CB6FF0">
        <w:rPr>
          <w:rFonts w:ascii="Times New Roman" w:eastAsia="Times New Roman" w:hAnsi="Times New Roman" w:cs="Times New Roman"/>
          <w:color w:val="0F1115"/>
          <w:sz w:val="24"/>
          <w:szCs w:val="24"/>
        </w:rPr>
        <w:t>FDA. Medical Device Quality Systems Regulation (21 CFR 820). Silver Spring: FDA; 2020.</w:t>
      </w:r>
    </w:p>
    <w:p w14:paraId="5E31A36E" w14:textId="56AAA6A9" w:rsidR="00B347AC" w:rsidRPr="00CB6FF0" w:rsidRDefault="00B347AC" w:rsidP="00D7191A">
      <w:pPr>
        <w:pStyle w:val="ListParagraph"/>
        <w:numPr>
          <w:ilvl w:val="0"/>
          <w:numId w:val="10"/>
        </w:numPr>
        <w:shd w:val="clear" w:color="auto" w:fill="FFFFFF"/>
        <w:spacing w:before="240" w:line="240" w:lineRule="auto"/>
        <w:ind w:left="1080"/>
        <w:jc w:val="both"/>
        <w:rPr>
          <w:rFonts w:ascii="Times New Roman" w:eastAsia="Times New Roman" w:hAnsi="Times New Roman" w:cs="Times New Roman"/>
          <w:color w:val="0F1115"/>
          <w:sz w:val="24"/>
          <w:szCs w:val="24"/>
        </w:rPr>
      </w:pPr>
      <w:r w:rsidRPr="00CB6FF0">
        <w:rPr>
          <w:rFonts w:ascii="Times New Roman" w:eastAsia="Times New Roman" w:hAnsi="Times New Roman" w:cs="Times New Roman"/>
          <w:color w:val="0F1115"/>
          <w:sz w:val="24"/>
          <w:szCs w:val="24"/>
        </w:rPr>
        <w:t>IFMBE. Clinical engineering recommendations for calibration intervals. IFMBE White Paper. Singapore: IFMBE; 2019.</w:t>
      </w:r>
    </w:p>
    <w:p w14:paraId="31579664" w14:textId="4F33B5D8" w:rsidR="00B347AC" w:rsidRPr="00CB6FF0" w:rsidRDefault="00B347AC" w:rsidP="00D7191A">
      <w:pPr>
        <w:pStyle w:val="ListParagraph"/>
        <w:numPr>
          <w:ilvl w:val="0"/>
          <w:numId w:val="10"/>
        </w:numPr>
        <w:shd w:val="clear" w:color="auto" w:fill="FFFFFF"/>
        <w:spacing w:before="240" w:line="240" w:lineRule="auto"/>
        <w:ind w:left="1080"/>
        <w:jc w:val="both"/>
        <w:rPr>
          <w:rFonts w:ascii="Times New Roman" w:eastAsia="Times New Roman" w:hAnsi="Times New Roman" w:cs="Times New Roman"/>
          <w:color w:val="0F1115"/>
          <w:sz w:val="24"/>
          <w:szCs w:val="24"/>
        </w:rPr>
      </w:pPr>
      <w:r w:rsidRPr="00CB6FF0">
        <w:rPr>
          <w:rFonts w:ascii="Times New Roman" w:eastAsia="Times New Roman" w:hAnsi="Times New Roman" w:cs="Times New Roman"/>
          <w:color w:val="0F1115"/>
          <w:sz w:val="24"/>
          <w:szCs w:val="24"/>
        </w:rPr>
        <w:t>NABL 100:2020. National Accreditation Board for Testing and Calibration Laboratories – General criteria for accreditation. New Delhi: NABL; 2020.</w:t>
      </w:r>
    </w:p>
    <w:p w14:paraId="08315598" w14:textId="500D7454" w:rsidR="00B347AC" w:rsidRPr="00CB6FF0" w:rsidRDefault="00B347AC" w:rsidP="00D7191A">
      <w:pPr>
        <w:pStyle w:val="ListParagraph"/>
        <w:numPr>
          <w:ilvl w:val="0"/>
          <w:numId w:val="10"/>
        </w:numPr>
        <w:shd w:val="clear" w:color="auto" w:fill="FFFFFF"/>
        <w:spacing w:before="240" w:line="240" w:lineRule="auto"/>
        <w:ind w:left="1080"/>
        <w:jc w:val="both"/>
        <w:rPr>
          <w:rFonts w:ascii="Times New Roman" w:eastAsia="Times New Roman" w:hAnsi="Times New Roman" w:cs="Times New Roman"/>
          <w:color w:val="0F1115"/>
          <w:sz w:val="24"/>
          <w:szCs w:val="24"/>
        </w:rPr>
      </w:pPr>
      <w:r w:rsidRPr="00CB6FF0">
        <w:rPr>
          <w:rFonts w:ascii="Times New Roman" w:eastAsia="Times New Roman" w:hAnsi="Times New Roman" w:cs="Times New Roman"/>
          <w:color w:val="0F1115"/>
          <w:sz w:val="24"/>
          <w:szCs w:val="24"/>
        </w:rPr>
        <w:t xml:space="preserve">APMP. APMP guidance on healthcare metrology. Asia Pacific Metrology </w:t>
      </w:r>
      <w:proofErr w:type="spellStart"/>
      <w:r w:rsidRPr="00CB6FF0">
        <w:rPr>
          <w:rFonts w:ascii="Times New Roman" w:eastAsia="Times New Roman" w:hAnsi="Times New Roman" w:cs="Times New Roman"/>
          <w:color w:val="0F1115"/>
          <w:sz w:val="24"/>
          <w:szCs w:val="24"/>
        </w:rPr>
        <w:t>Programme</w:t>
      </w:r>
      <w:proofErr w:type="spellEnd"/>
      <w:r w:rsidRPr="00CB6FF0">
        <w:rPr>
          <w:rFonts w:ascii="Times New Roman" w:eastAsia="Times New Roman" w:hAnsi="Times New Roman" w:cs="Times New Roman"/>
          <w:color w:val="0F1115"/>
          <w:sz w:val="24"/>
          <w:szCs w:val="24"/>
        </w:rPr>
        <w:t>; 2014.</w:t>
      </w:r>
    </w:p>
    <w:p w14:paraId="67AD64D5" w14:textId="0D5F9FD0" w:rsidR="00B347AC" w:rsidRPr="00CB6FF0" w:rsidRDefault="00B347AC" w:rsidP="00D7191A">
      <w:pPr>
        <w:pStyle w:val="ListParagraph"/>
        <w:numPr>
          <w:ilvl w:val="0"/>
          <w:numId w:val="10"/>
        </w:numPr>
        <w:shd w:val="clear" w:color="auto" w:fill="FFFFFF"/>
        <w:spacing w:before="240" w:line="240" w:lineRule="auto"/>
        <w:ind w:left="1080"/>
        <w:jc w:val="both"/>
        <w:rPr>
          <w:rFonts w:ascii="Times New Roman" w:eastAsia="Times New Roman" w:hAnsi="Times New Roman" w:cs="Times New Roman"/>
          <w:color w:val="0F1115"/>
          <w:sz w:val="24"/>
          <w:szCs w:val="24"/>
        </w:rPr>
      </w:pPr>
      <w:r w:rsidRPr="00CB6FF0">
        <w:rPr>
          <w:rFonts w:ascii="Times New Roman" w:eastAsia="Times New Roman" w:hAnsi="Times New Roman" w:cs="Times New Roman"/>
          <w:color w:val="0F1115"/>
          <w:sz w:val="24"/>
          <w:szCs w:val="24"/>
        </w:rPr>
        <w:t>UNICEF. Medical device procurement and quality assurance manual. Copenhagen: UNICEF; 2018.</w:t>
      </w:r>
    </w:p>
    <w:p w14:paraId="02023D90" w14:textId="4D452C74" w:rsidR="00B347AC" w:rsidRPr="00CB6FF0" w:rsidRDefault="00B347AC" w:rsidP="00D7191A">
      <w:pPr>
        <w:pStyle w:val="ListParagraph"/>
        <w:numPr>
          <w:ilvl w:val="0"/>
          <w:numId w:val="10"/>
        </w:numPr>
        <w:shd w:val="clear" w:color="auto" w:fill="FFFFFF"/>
        <w:spacing w:before="240" w:line="240" w:lineRule="auto"/>
        <w:ind w:left="1080"/>
        <w:jc w:val="both"/>
        <w:rPr>
          <w:rFonts w:ascii="Times New Roman" w:eastAsia="Times New Roman" w:hAnsi="Times New Roman" w:cs="Times New Roman"/>
          <w:color w:val="0F1115"/>
          <w:sz w:val="24"/>
          <w:szCs w:val="24"/>
        </w:rPr>
      </w:pPr>
      <w:r w:rsidRPr="00CB6FF0">
        <w:rPr>
          <w:rFonts w:ascii="Times New Roman" w:eastAsia="Times New Roman" w:hAnsi="Times New Roman" w:cs="Times New Roman"/>
          <w:color w:val="0F1115"/>
          <w:sz w:val="24"/>
          <w:szCs w:val="24"/>
        </w:rPr>
        <w:t xml:space="preserve">Cohen ER, </w:t>
      </w:r>
      <w:proofErr w:type="spellStart"/>
      <w:r w:rsidRPr="00CB6FF0">
        <w:rPr>
          <w:rFonts w:ascii="Times New Roman" w:eastAsia="Times New Roman" w:hAnsi="Times New Roman" w:cs="Times New Roman"/>
          <w:color w:val="0F1115"/>
          <w:sz w:val="24"/>
          <w:szCs w:val="24"/>
        </w:rPr>
        <w:t>Cvitas</w:t>
      </w:r>
      <w:proofErr w:type="spellEnd"/>
      <w:r w:rsidRPr="00CB6FF0">
        <w:rPr>
          <w:rFonts w:ascii="Times New Roman" w:eastAsia="Times New Roman" w:hAnsi="Times New Roman" w:cs="Times New Roman"/>
          <w:color w:val="0F1115"/>
          <w:sz w:val="24"/>
          <w:szCs w:val="24"/>
        </w:rPr>
        <w:t xml:space="preserve"> T, Frey JG, et al. Quantities, Units and Symbols in Physical Chemistry (IUPAC Green Book). 3rd ed. Cambridge: RSC Publishing; 2007.</w:t>
      </w:r>
    </w:p>
    <w:p w14:paraId="2B006C4B" w14:textId="30CFCB05" w:rsidR="00B347AC" w:rsidRPr="00CB6FF0" w:rsidRDefault="00B347AC" w:rsidP="00D7191A">
      <w:pPr>
        <w:pStyle w:val="ListParagraph"/>
        <w:numPr>
          <w:ilvl w:val="0"/>
          <w:numId w:val="10"/>
        </w:numPr>
        <w:shd w:val="clear" w:color="auto" w:fill="FFFFFF"/>
        <w:spacing w:before="240" w:line="240" w:lineRule="auto"/>
        <w:ind w:left="1080"/>
        <w:jc w:val="both"/>
        <w:rPr>
          <w:rFonts w:ascii="Times New Roman" w:eastAsia="Times New Roman" w:hAnsi="Times New Roman" w:cs="Times New Roman"/>
          <w:color w:val="0F1115"/>
          <w:sz w:val="24"/>
          <w:szCs w:val="24"/>
        </w:rPr>
      </w:pPr>
      <w:r w:rsidRPr="00CB6FF0">
        <w:rPr>
          <w:rFonts w:ascii="Times New Roman" w:eastAsia="Times New Roman" w:hAnsi="Times New Roman" w:cs="Times New Roman"/>
          <w:color w:val="0F1115"/>
          <w:sz w:val="24"/>
          <w:szCs w:val="24"/>
        </w:rPr>
        <w:t>BSI. BS 7000-2:2018 Design management systems – Guide to managing the design of medical devices. London: BSI; 2018.</w:t>
      </w:r>
    </w:p>
    <w:p w14:paraId="62C5113E" w14:textId="77777777" w:rsidR="0052182C" w:rsidRPr="003049EB" w:rsidRDefault="0052182C" w:rsidP="00A67C56">
      <w:pPr>
        <w:spacing w:before="240" w:line="240" w:lineRule="auto"/>
        <w:ind w:left="360"/>
        <w:jc w:val="both"/>
        <w:rPr>
          <w:rFonts w:ascii="Times New Roman" w:hAnsi="Times New Roman" w:cs="Times New Roman"/>
          <w:sz w:val="24"/>
          <w:szCs w:val="24"/>
        </w:rPr>
      </w:pPr>
    </w:p>
    <w:sectPr w:rsidR="0052182C" w:rsidRPr="003049EB" w:rsidSect="00373B49">
      <w:pgSz w:w="11909" w:h="16834" w:code="9"/>
      <w:pgMar w:top="1080" w:right="605" w:bottom="605" w:left="605" w:header="346" w:footer="40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FC8D95" w14:textId="77777777" w:rsidR="001E2BF8" w:rsidRDefault="001E2BF8" w:rsidP="00373B49">
      <w:pPr>
        <w:spacing w:after="0" w:line="240" w:lineRule="auto"/>
      </w:pPr>
      <w:r>
        <w:separator/>
      </w:r>
    </w:p>
  </w:endnote>
  <w:endnote w:type="continuationSeparator" w:id="0">
    <w:p w14:paraId="5C8293C3" w14:textId="77777777" w:rsidR="001E2BF8" w:rsidRDefault="001E2BF8" w:rsidP="00373B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6E0D0D" w14:textId="77777777" w:rsidR="001E2BF8" w:rsidRDefault="001E2BF8" w:rsidP="00373B49">
      <w:pPr>
        <w:spacing w:after="0" w:line="240" w:lineRule="auto"/>
      </w:pPr>
      <w:r>
        <w:separator/>
      </w:r>
    </w:p>
  </w:footnote>
  <w:footnote w:type="continuationSeparator" w:id="0">
    <w:p w14:paraId="62D25046" w14:textId="77777777" w:rsidR="001E2BF8" w:rsidRDefault="001E2BF8" w:rsidP="00373B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A5F74"/>
    <w:multiLevelType w:val="hybridMultilevel"/>
    <w:tmpl w:val="31EED958"/>
    <w:lvl w:ilvl="0" w:tplc="04090001">
      <w:start w:val="1"/>
      <w:numFmt w:val="bullet"/>
      <w:lvlText w:val=""/>
      <w:lvlJc w:val="left"/>
      <w:pPr>
        <w:ind w:left="720" w:hanging="360"/>
      </w:pPr>
      <w:rPr>
        <w:rFonts w:ascii="Symbol" w:hAnsi="Symbol" w:hint="default"/>
      </w:rPr>
    </w:lvl>
    <w:lvl w:ilvl="1" w:tplc="9E8E2882">
      <w:start w:val="5"/>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3B371B"/>
    <w:multiLevelType w:val="hybridMultilevel"/>
    <w:tmpl w:val="83246A2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1003964"/>
    <w:multiLevelType w:val="hybridMultilevel"/>
    <w:tmpl w:val="E0C225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7E3F55"/>
    <w:multiLevelType w:val="hybridMultilevel"/>
    <w:tmpl w:val="B6CA020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39BC1AF6"/>
    <w:multiLevelType w:val="hybridMultilevel"/>
    <w:tmpl w:val="23D4E8A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43E43828"/>
    <w:multiLevelType w:val="hybridMultilevel"/>
    <w:tmpl w:val="3B386042"/>
    <w:lvl w:ilvl="0" w:tplc="04090001">
      <w:start w:val="1"/>
      <w:numFmt w:val="bullet"/>
      <w:lvlText w:val=""/>
      <w:lvlJc w:val="left"/>
      <w:pPr>
        <w:ind w:left="720" w:hanging="360"/>
      </w:pPr>
      <w:rPr>
        <w:rFonts w:ascii="Symbol" w:hAnsi="Symbol" w:hint="default"/>
      </w:rPr>
    </w:lvl>
    <w:lvl w:ilvl="1" w:tplc="FFFFFFFF">
      <w:start w:val="5"/>
      <w:numFmt w:val="bullet"/>
      <w:lvlText w:val="•"/>
      <w:lvlJc w:val="left"/>
      <w:pPr>
        <w:ind w:left="1440" w:hanging="360"/>
      </w:pPr>
      <w:rPr>
        <w:rFonts w:ascii="Times New Roman" w:eastAsiaTheme="minorHAnsi"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53C27C4E"/>
    <w:multiLevelType w:val="hybridMultilevel"/>
    <w:tmpl w:val="2F3090B0"/>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5EED7F25"/>
    <w:multiLevelType w:val="hybridMultilevel"/>
    <w:tmpl w:val="E618C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2C32AC8"/>
    <w:multiLevelType w:val="hybridMultilevel"/>
    <w:tmpl w:val="CB08A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B2B15C9"/>
    <w:multiLevelType w:val="hybridMultilevel"/>
    <w:tmpl w:val="CC580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8"/>
  </w:num>
  <w:num w:numId="4">
    <w:abstractNumId w:val="3"/>
  </w:num>
  <w:num w:numId="5">
    <w:abstractNumId w:val="0"/>
  </w:num>
  <w:num w:numId="6">
    <w:abstractNumId w:val="5"/>
  </w:num>
  <w:num w:numId="7">
    <w:abstractNumId w:val="6"/>
  </w:num>
  <w:num w:numId="8">
    <w:abstractNumId w:val="7"/>
  </w:num>
  <w:num w:numId="9">
    <w:abstractNumId w:val="1"/>
  </w:num>
  <w:num w:numId="10">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7A33"/>
    <w:rsid w:val="000B190B"/>
    <w:rsid w:val="000E08E0"/>
    <w:rsid w:val="0010040B"/>
    <w:rsid w:val="001376E8"/>
    <w:rsid w:val="001E2BF8"/>
    <w:rsid w:val="002002C4"/>
    <w:rsid w:val="0024555D"/>
    <w:rsid w:val="002B72FB"/>
    <w:rsid w:val="003049EB"/>
    <w:rsid w:val="0031310E"/>
    <w:rsid w:val="003158E3"/>
    <w:rsid w:val="00327A33"/>
    <w:rsid w:val="00342B4C"/>
    <w:rsid w:val="00373B49"/>
    <w:rsid w:val="00376BA0"/>
    <w:rsid w:val="00384D83"/>
    <w:rsid w:val="00405B6B"/>
    <w:rsid w:val="004C0157"/>
    <w:rsid w:val="004D7425"/>
    <w:rsid w:val="00501474"/>
    <w:rsid w:val="0050291E"/>
    <w:rsid w:val="00511C32"/>
    <w:rsid w:val="0052182C"/>
    <w:rsid w:val="00547BE1"/>
    <w:rsid w:val="005D2E23"/>
    <w:rsid w:val="00847644"/>
    <w:rsid w:val="00855564"/>
    <w:rsid w:val="008676EA"/>
    <w:rsid w:val="008A231D"/>
    <w:rsid w:val="008B04CE"/>
    <w:rsid w:val="00955D63"/>
    <w:rsid w:val="009E1FAA"/>
    <w:rsid w:val="00A41F97"/>
    <w:rsid w:val="00A67C56"/>
    <w:rsid w:val="00B347AC"/>
    <w:rsid w:val="00BA5A1D"/>
    <w:rsid w:val="00BC2C2C"/>
    <w:rsid w:val="00CB6FF0"/>
    <w:rsid w:val="00D155C2"/>
    <w:rsid w:val="00D7191A"/>
    <w:rsid w:val="00D839A6"/>
    <w:rsid w:val="00DA6E6D"/>
    <w:rsid w:val="00DB7ABF"/>
    <w:rsid w:val="00E0189B"/>
    <w:rsid w:val="00E33A1F"/>
    <w:rsid w:val="00EB5B73"/>
    <w:rsid w:val="00EF3BA1"/>
    <w:rsid w:val="00F07FB3"/>
    <w:rsid w:val="00F346EC"/>
    <w:rsid w:val="00F5428D"/>
    <w:rsid w:val="00F86B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2322EA"/>
  <w15:chartTrackingRefBased/>
  <w15:docId w15:val="{C66D37CD-7E8D-44C5-BE07-88F8BA162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B347A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B347A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B347AC"/>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B347AC"/>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47AC"/>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B347AC"/>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B347AC"/>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B347AC"/>
    <w:rPr>
      <w:rFonts w:ascii="Times New Roman" w:eastAsia="Times New Roman" w:hAnsi="Times New Roman" w:cs="Times New Roman"/>
      <w:b/>
      <w:bCs/>
      <w:sz w:val="24"/>
      <w:szCs w:val="24"/>
    </w:rPr>
  </w:style>
  <w:style w:type="paragraph" w:customStyle="1" w:styleId="msonormal0">
    <w:name w:val="msonormal"/>
    <w:basedOn w:val="Normal"/>
    <w:rsid w:val="00B347A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s-markdown-paragraph">
    <w:name w:val="ds-markdown-paragraph"/>
    <w:basedOn w:val="Normal"/>
    <w:rsid w:val="00B347A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347AC"/>
    <w:rPr>
      <w:b/>
      <w:bCs/>
    </w:rPr>
  </w:style>
  <w:style w:type="character" w:customStyle="1" w:styleId="d813de27">
    <w:name w:val="d813de27"/>
    <w:basedOn w:val="DefaultParagraphFont"/>
    <w:rsid w:val="00B347AC"/>
  </w:style>
  <w:style w:type="paragraph" w:styleId="HTMLPreformatted">
    <w:name w:val="HTML Preformatted"/>
    <w:basedOn w:val="Normal"/>
    <w:link w:val="HTMLPreformattedChar"/>
    <w:uiPriority w:val="99"/>
    <w:semiHidden/>
    <w:unhideWhenUsed/>
    <w:rsid w:val="00B347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B347AC"/>
    <w:rPr>
      <w:rFonts w:ascii="Courier New" w:eastAsia="Times New Roman" w:hAnsi="Courier New" w:cs="Courier New"/>
      <w:sz w:val="20"/>
      <w:szCs w:val="20"/>
    </w:rPr>
  </w:style>
  <w:style w:type="character" w:customStyle="1" w:styleId="katex">
    <w:name w:val="katex"/>
    <w:basedOn w:val="DefaultParagraphFont"/>
    <w:rsid w:val="00B347AC"/>
  </w:style>
  <w:style w:type="character" w:customStyle="1" w:styleId="katex-mathml">
    <w:name w:val="katex-mathml"/>
    <w:basedOn w:val="DefaultParagraphFont"/>
    <w:rsid w:val="00B347AC"/>
  </w:style>
  <w:style w:type="character" w:customStyle="1" w:styleId="katex-html">
    <w:name w:val="katex-html"/>
    <w:basedOn w:val="DefaultParagraphFont"/>
    <w:rsid w:val="00B347AC"/>
  </w:style>
  <w:style w:type="character" w:customStyle="1" w:styleId="base">
    <w:name w:val="base"/>
    <w:basedOn w:val="DefaultParagraphFont"/>
    <w:rsid w:val="00B347AC"/>
  </w:style>
  <w:style w:type="character" w:customStyle="1" w:styleId="strut">
    <w:name w:val="strut"/>
    <w:basedOn w:val="DefaultParagraphFont"/>
    <w:rsid w:val="00B347AC"/>
  </w:style>
  <w:style w:type="character" w:customStyle="1" w:styleId="mord">
    <w:name w:val="mord"/>
    <w:basedOn w:val="DefaultParagraphFont"/>
    <w:rsid w:val="00B347AC"/>
  </w:style>
  <w:style w:type="character" w:customStyle="1" w:styleId="vlist-t">
    <w:name w:val="vlist-t"/>
    <w:basedOn w:val="DefaultParagraphFont"/>
    <w:rsid w:val="00B347AC"/>
  </w:style>
  <w:style w:type="character" w:customStyle="1" w:styleId="vlist-r">
    <w:name w:val="vlist-r"/>
    <w:basedOn w:val="DefaultParagraphFont"/>
    <w:rsid w:val="00B347AC"/>
  </w:style>
  <w:style w:type="character" w:customStyle="1" w:styleId="vlist">
    <w:name w:val="vlist"/>
    <w:basedOn w:val="DefaultParagraphFont"/>
    <w:rsid w:val="00B347AC"/>
  </w:style>
  <w:style w:type="character" w:customStyle="1" w:styleId="pstrut">
    <w:name w:val="pstrut"/>
    <w:basedOn w:val="DefaultParagraphFont"/>
    <w:rsid w:val="00B347AC"/>
  </w:style>
  <w:style w:type="character" w:customStyle="1" w:styleId="accent-body">
    <w:name w:val="accent-body"/>
    <w:basedOn w:val="DefaultParagraphFont"/>
    <w:rsid w:val="00B347AC"/>
  </w:style>
  <w:style w:type="character" w:customStyle="1" w:styleId="mspace">
    <w:name w:val="mspace"/>
    <w:basedOn w:val="DefaultParagraphFont"/>
    <w:rsid w:val="00B347AC"/>
  </w:style>
  <w:style w:type="character" w:customStyle="1" w:styleId="mrel">
    <w:name w:val="mrel"/>
    <w:basedOn w:val="DefaultParagraphFont"/>
    <w:rsid w:val="00B347AC"/>
  </w:style>
  <w:style w:type="character" w:customStyle="1" w:styleId="mopen">
    <w:name w:val="mopen"/>
    <w:basedOn w:val="DefaultParagraphFont"/>
    <w:rsid w:val="00B347AC"/>
  </w:style>
  <w:style w:type="character" w:customStyle="1" w:styleId="mfrac">
    <w:name w:val="mfrac"/>
    <w:basedOn w:val="DefaultParagraphFont"/>
    <w:rsid w:val="00B347AC"/>
  </w:style>
  <w:style w:type="character" w:customStyle="1" w:styleId="sizing">
    <w:name w:val="sizing"/>
    <w:basedOn w:val="DefaultParagraphFont"/>
    <w:rsid w:val="00B347AC"/>
  </w:style>
  <w:style w:type="character" w:customStyle="1" w:styleId="frac-line">
    <w:name w:val="frac-line"/>
    <w:basedOn w:val="DefaultParagraphFont"/>
    <w:rsid w:val="00B347AC"/>
  </w:style>
  <w:style w:type="character" w:customStyle="1" w:styleId="vlist-s">
    <w:name w:val="vlist-s"/>
    <w:basedOn w:val="DefaultParagraphFont"/>
    <w:rsid w:val="00B347AC"/>
  </w:style>
  <w:style w:type="character" w:customStyle="1" w:styleId="mclose">
    <w:name w:val="mclose"/>
    <w:basedOn w:val="DefaultParagraphFont"/>
    <w:rsid w:val="00B347AC"/>
  </w:style>
  <w:style w:type="character" w:customStyle="1" w:styleId="mop">
    <w:name w:val="mop"/>
    <w:basedOn w:val="DefaultParagraphFont"/>
    <w:rsid w:val="00B347AC"/>
  </w:style>
  <w:style w:type="character" w:customStyle="1" w:styleId="msupsub">
    <w:name w:val="msupsub"/>
    <w:basedOn w:val="DefaultParagraphFont"/>
    <w:rsid w:val="00B347AC"/>
  </w:style>
  <w:style w:type="character" w:customStyle="1" w:styleId="svg-align">
    <w:name w:val="svg-align"/>
    <w:basedOn w:val="DefaultParagraphFont"/>
    <w:rsid w:val="00B347AC"/>
  </w:style>
  <w:style w:type="character" w:customStyle="1" w:styleId="mbin">
    <w:name w:val="mbin"/>
    <w:basedOn w:val="DefaultParagraphFont"/>
    <w:rsid w:val="00B347AC"/>
  </w:style>
  <w:style w:type="character" w:customStyle="1" w:styleId="hide-tail">
    <w:name w:val="hide-tail"/>
    <w:basedOn w:val="DefaultParagraphFont"/>
    <w:rsid w:val="00B347AC"/>
  </w:style>
  <w:style w:type="character" w:customStyle="1" w:styleId="minner">
    <w:name w:val="minner"/>
    <w:basedOn w:val="DefaultParagraphFont"/>
    <w:rsid w:val="00B347AC"/>
  </w:style>
  <w:style w:type="character" w:customStyle="1" w:styleId="cursor-pointer">
    <w:name w:val="cursor-pointer"/>
    <w:basedOn w:val="DefaultParagraphFont"/>
    <w:rsid w:val="008676EA"/>
  </w:style>
  <w:style w:type="paragraph" w:styleId="NormalWeb">
    <w:name w:val="Normal (Web)"/>
    <w:basedOn w:val="Normal"/>
    <w:uiPriority w:val="99"/>
    <w:unhideWhenUsed/>
    <w:rsid w:val="008676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in-w-0">
    <w:name w:val="min-w-0"/>
    <w:basedOn w:val="Normal"/>
    <w:rsid w:val="003049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xs">
    <w:name w:val="text-xs"/>
    <w:basedOn w:val="Normal"/>
    <w:rsid w:val="003049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medium">
    <w:name w:val="font-medium"/>
    <w:basedOn w:val="DefaultParagraphFont"/>
    <w:rsid w:val="003049EB"/>
  </w:style>
  <w:style w:type="character" w:customStyle="1" w:styleId="font-semibold">
    <w:name w:val="font-semibold"/>
    <w:basedOn w:val="DefaultParagraphFont"/>
    <w:rsid w:val="003049EB"/>
  </w:style>
  <w:style w:type="character" w:customStyle="1" w:styleId="text-11px">
    <w:name w:val="text-[11px]"/>
    <w:basedOn w:val="DefaultParagraphFont"/>
    <w:rsid w:val="003049EB"/>
  </w:style>
  <w:style w:type="character" w:customStyle="1" w:styleId="text-10px">
    <w:name w:val="text-[10px]"/>
    <w:basedOn w:val="DefaultParagraphFont"/>
    <w:rsid w:val="003049EB"/>
  </w:style>
  <w:style w:type="character" w:customStyle="1" w:styleId="text-2xl">
    <w:name w:val="text-2xl"/>
    <w:basedOn w:val="DefaultParagraphFont"/>
    <w:rsid w:val="003049EB"/>
  </w:style>
  <w:style w:type="character" w:customStyle="1" w:styleId="mt-05">
    <w:name w:val="mt-0.5"/>
    <w:basedOn w:val="DefaultParagraphFont"/>
    <w:rsid w:val="003049EB"/>
  </w:style>
  <w:style w:type="character" w:customStyle="1" w:styleId="text-xs1">
    <w:name w:val="text-xs1"/>
    <w:basedOn w:val="DefaultParagraphFont"/>
    <w:rsid w:val="003049EB"/>
  </w:style>
  <w:style w:type="paragraph" w:customStyle="1" w:styleId="text-center">
    <w:name w:val="text-center"/>
    <w:basedOn w:val="Normal"/>
    <w:rsid w:val="003049E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3049EB"/>
    <w:rPr>
      <w:color w:val="0000FF"/>
      <w:u w:val="single"/>
    </w:rPr>
  </w:style>
  <w:style w:type="paragraph" w:styleId="Header">
    <w:name w:val="header"/>
    <w:basedOn w:val="Normal"/>
    <w:link w:val="HeaderChar"/>
    <w:uiPriority w:val="99"/>
    <w:unhideWhenUsed/>
    <w:rsid w:val="00373B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3B49"/>
  </w:style>
  <w:style w:type="paragraph" w:styleId="Footer">
    <w:name w:val="footer"/>
    <w:basedOn w:val="Normal"/>
    <w:link w:val="FooterChar"/>
    <w:uiPriority w:val="99"/>
    <w:unhideWhenUsed/>
    <w:rsid w:val="00373B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3B49"/>
  </w:style>
  <w:style w:type="paragraph" w:styleId="ListParagraph">
    <w:name w:val="List Paragraph"/>
    <w:basedOn w:val="Normal"/>
    <w:uiPriority w:val="34"/>
    <w:qFormat/>
    <w:rsid w:val="0024555D"/>
    <w:pPr>
      <w:ind w:left="720"/>
      <w:contextualSpacing/>
    </w:pPr>
  </w:style>
  <w:style w:type="character" w:styleId="PlaceholderText">
    <w:name w:val="Placeholder Text"/>
    <w:basedOn w:val="DefaultParagraphFont"/>
    <w:uiPriority w:val="99"/>
    <w:semiHidden/>
    <w:rsid w:val="002002C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058537">
      <w:bodyDiv w:val="1"/>
      <w:marLeft w:val="0"/>
      <w:marRight w:val="0"/>
      <w:marTop w:val="0"/>
      <w:marBottom w:val="0"/>
      <w:divBdr>
        <w:top w:val="none" w:sz="0" w:space="0" w:color="auto"/>
        <w:left w:val="none" w:sz="0" w:space="0" w:color="auto"/>
        <w:bottom w:val="none" w:sz="0" w:space="0" w:color="auto"/>
        <w:right w:val="none" w:sz="0" w:space="0" w:color="auto"/>
      </w:divBdr>
    </w:div>
    <w:div w:id="843713970">
      <w:bodyDiv w:val="1"/>
      <w:marLeft w:val="0"/>
      <w:marRight w:val="0"/>
      <w:marTop w:val="0"/>
      <w:marBottom w:val="0"/>
      <w:divBdr>
        <w:top w:val="none" w:sz="0" w:space="0" w:color="auto"/>
        <w:left w:val="none" w:sz="0" w:space="0" w:color="auto"/>
        <w:bottom w:val="none" w:sz="0" w:space="0" w:color="auto"/>
        <w:right w:val="none" w:sz="0" w:space="0" w:color="auto"/>
      </w:divBdr>
      <w:divsChild>
        <w:div w:id="1088505028">
          <w:marLeft w:val="0"/>
          <w:marRight w:val="0"/>
          <w:marTop w:val="0"/>
          <w:marBottom w:val="0"/>
          <w:divBdr>
            <w:top w:val="none" w:sz="0" w:space="0" w:color="auto"/>
            <w:left w:val="none" w:sz="0" w:space="0" w:color="auto"/>
            <w:bottom w:val="none" w:sz="0" w:space="0" w:color="auto"/>
            <w:right w:val="none" w:sz="0" w:space="0" w:color="auto"/>
          </w:divBdr>
          <w:divsChild>
            <w:div w:id="1050491656">
              <w:marLeft w:val="0"/>
              <w:marRight w:val="0"/>
              <w:marTop w:val="0"/>
              <w:marBottom w:val="0"/>
              <w:divBdr>
                <w:top w:val="none" w:sz="0" w:space="0" w:color="auto"/>
                <w:left w:val="none" w:sz="0" w:space="0" w:color="auto"/>
                <w:bottom w:val="none" w:sz="0" w:space="0" w:color="auto"/>
                <w:right w:val="none" w:sz="0" w:space="0" w:color="auto"/>
              </w:divBdr>
              <w:divsChild>
                <w:div w:id="1962833423">
                  <w:marLeft w:val="0"/>
                  <w:marRight w:val="0"/>
                  <w:marTop w:val="0"/>
                  <w:marBottom w:val="0"/>
                  <w:divBdr>
                    <w:top w:val="none" w:sz="0" w:space="0" w:color="auto"/>
                    <w:left w:val="none" w:sz="0" w:space="0" w:color="auto"/>
                    <w:bottom w:val="none" w:sz="0" w:space="0" w:color="auto"/>
                    <w:right w:val="none" w:sz="0" w:space="0" w:color="auto"/>
                  </w:divBdr>
                  <w:divsChild>
                    <w:div w:id="2034257358">
                      <w:marLeft w:val="0"/>
                      <w:marRight w:val="0"/>
                      <w:marTop w:val="0"/>
                      <w:marBottom w:val="0"/>
                      <w:divBdr>
                        <w:top w:val="none" w:sz="0" w:space="0" w:color="auto"/>
                        <w:left w:val="none" w:sz="0" w:space="0" w:color="auto"/>
                        <w:bottom w:val="none" w:sz="0" w:space="0" w:color="auto"/>
                        <w:right w:val="none" w:sz="0" w:space="0" w:color="auto"/>
                      </w:divBdr>
                      <w:divsChild>
                        <w:div w:id="1614753288">
                          <w:marLeft w:val="0"/>
                          <w:marRight w:val="0"/>
                          <w:marTop w:val="0"/>
                          <w:marBottom w:val="0"/>
                          <w:divBdr>
                            <w:top w:val="none" w:sz="0" w:space="0" w:color="auto"/>
                            <w:left w:val="none" w:sz="0" w:space="0" w:color="auto"/>
                            <w:bottom w:val="none" w:sz="0" w:space="0" w:color="auto"/>
                            <w:right w:val="none" w:sz="0" w:space="0" w:color="auto"/>
                          </w:divBdr>
                        </w:div>
                      </w:divsChild>
                    </w:div>
                    <w:div w:id="2061709198">
                      <w:marLeft w:val="0"/>
                      <w:marRight w:val="0"/>
                      <w:marTop w:val="0"/>
                      <w:marBottom w:val="0"/>
                      <w:divBdr>
                        <w:top w:val="single" w:sz="6" w:space="0" w:color="auto"/>
                        <w:left w:val="single" w:sz="2" w:space="0" w:color="auto"/>
                        <w:bottom w:val="single" w:sz="2" w:space="0" w:color="auto"/>
                        <w:right w:val="single" w:sz="2" w:space="0" w:color="auto"/>
                      </w:divBdr>
                    </w:div>
                  </w:divsChild>
                </w:div>
              </w:divsChild>
            </w:div>
            <w:div w:id="278486925">
              <w:marLeft w:val="0"/>
              <w:marRight w:val="0"/>
              <w:marTop w:val="0"/>
              <w:marBottom w:val="0"/>
              <w:divBdr>
                <w:top w:val="none" w:sz="0" w:space="0" w:color="auto"/>
                <w:left w:val="none" w:sz="0" w:space="0" w:color="auto"/>
                <w:bottom w:val="none" w:sz="0" w:space="0" w:color="auto"/>
                <w:right w:val="none" w:sz="0" w:space="0" w:color="auto"/>
              </w:divBdr>
              <w:divsChild>
                <w:div w:id="1321041689">
                  <w:marLeft w:val="0"/>
                  <w:marRight w:val="0"/>
                  <w:marTop w:val="0"/>
                  <w:marBottom w:val="0"/>
                  <w:divBdr>
                    <w:top w:val="none" w:sz="0" w:space="0" w:color="auto"/>
                    <w:left w:val="none" w:sz="0" w:space="0" w:color="auto"/>
                    <w:bottom w:val="none" w:sz="0" w:space="0" w:color="auto"/>
                    <w:right w:val="none" w:sz="0" w:space="0" w:color="auto"/>
                  </w:divBdr>
                  <w:divsChild>
                    <w:div w:id="611473775">
                      <w:marLeft w:val="0"/>
                      <w:marRight w:val="0"/>
                      <w:marTop w:val="0"/>
                      <w:marBottom w:val="0"/>
                      <w:divBdr>
                        <w:top w:val="single" w:sz="2" w:space="0" w:color="auto"/>
                        <w:left w:val="single" w:sz="2" w:space="0" w:color="auto"/>
                        <w:bottom w:val="single" w:sz="6" w:space="0" w:color="auto"/>
                        <w:right w:val="single" w:sz="2" w:space="0" w:color="auto"/>
                      </w:divBdr>
                      <w:divsChild>
                        <w:div w:id="1993024725">
                          <w:marLeft w:val="0"/>
                          <w:marRight w:val="0"/>
                          <w:marTop w:val="0"/>
                          <w:marBottom w:val="0"/>
                          <w:divBdr>
                            <w:top w:val="none" w:sz="0" w:space="0" w:color="auto"/>
                            <w:left w:val="none" w:sz="0" w:space="0" w:color="auto"/>
                            <w:bottom w:val="none" w:sz="0" w:space="0" w:color="auto"/>
                            <w:right w:val="none" w:sz="0" w:space="0" w:color="auto"/>
                          </w:divBdr>
                          <w:divsChild>
                            <w:div w:id="14500558">
                              <w:marLeft w:val="0"/>
                              <w:marRight w:val="0"/>
                              <w:marTop w:val="0"/>
                              <w:marBottom w:val="0"/>
                              <w:divBdr>
                                <w:top w:val="none" w:sz="0" w:space="0" w:color="auto"/>
                                <w:left w:val="none" w:sz="0" w:space="0" w:color="auto"/>
                                <w:bottom w:val="none" w:sz="0" w:space="0" w:color="auto"/>
                                <w:right w:val="none" w:sz="0" w:space="0" w:color="auto"/>
                              </w:divBdr>
                              <w:divsChild>
                                <w:div w:id="75119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909671">
                      <w:marLeft w:val="0"/>
                      <w:marRight w:val="0"/>
                      <w:marTop w:val="0"/>
                      <w:marBottom w:val="0"/>
                      <w:divBdr>
                        <w:top w:val="none" w:sz="0" w:space="0" w:color="auto"/>
                        <w:left w:val="none" w:sz="0" w:space="0" w:color="auto"/>
                        <w:bottom w:val="none" w:sz="0" w:space="0" w:color="auto"/>
                        <w:right w:val="none" w:sz="0" w:space="0" w:color="auto"/>
                      </w:divBdr>
                      <w:divsChild>
                        <w:div w:id="1481801614">
                          <w:marLeft w:val="0"/>
                          <w:marRight w:val="0"/>
                          <w:marTop w:val="0"/>
                          <w:marBottom w:val="0"/>
                          <w:divBdr>
                            <w:top w:val="none" w:sz="0" w:space="0" w:color="auto"/>
                            <w:left w:val="none" w:sz="0" w:space="0" w:color="auto"/>
                            <w:bottom w:val="none" w:sz="0" w:space="0" w:color="auto"/>
                            <w:right w:val="none" w:sz="0" w:space="0" w:color="auto"/>
                          </w:divBdr>
                          <w:divsChild>
                            <w:div w:id="1983196155">
                              <w:marLeft w:val="0"/>
                              <w:marRight w:val="0"/>
                              <w:marTop w:val="0"/>
                              <w:marBottom w:val="0"/>
                              <w:divBdr>
                                <w:top w:val="none" w:sz="0" w:space="0" w:color="auto"/>
                                <w:left w:val="none" w:sz="0" w:space="0" w:color="auto"/>
                                <w:bottom w:val="none" w:sz="0" w:space="0" w:color="auto"/>
                                <w:right w:val="none" w:sz="0" w:space="0" w:color="auto"/>
                              </w:divBdr>
                              <w:divsChild>
                                <w:div w:id="877818180">
                                  <w:marLeft w:val="0"/>
                                  <w:marRight w:val="0"/>
                                  <w:marTop w:val="0"/>
                                  <w:marBottom w:val="0"/>
                                  <w:divBdr>
                                    <w:top w:val="none" w:sz="0" w:space="0" w:color="auto"/>
                                    <w:left w:val="none" w:sz="0" w:space="0" w:color="auto"/>
                                    <w:bottom w:val="none" w:sz="0" w:space="0" w:color="auto"/>
                                    <w:right w:val="none" w:sz="0" w:space="0" w:color="auto"/>
                                  </w:divBdr>
                                  <w:divsChild>
                                    <w:div w:id="126506841">
                                      <w:marLeft w:val="0"/>
                                      <w:marRight w:val="0"/>
                                      <w:marTop w:val="0"/>
                                      <w:marBottom w:val="0"/>
                                      <w:divBdr>
                                        <w:top w:val="none" w:sz="0" w:space="0" w:color="auto"/>
                                        <w:left w:val="none" w:sz="0" w:space="0" w:color="auto"/>
                                        <w:bottom w:val="none" w:sz="0" w:space="0" w:color="auto"/>
                                        <w:right w:val="none" w:sz="0" w:space="0" w:color="auto"/>
                                      </w:divBdr>
                                    </w:div>
                                    <w:div w:id="534122641">
                                      <w:marLeft w:val="0"/>
                                      <w:marRight w:val="0"/>
                                      <w:marTop w:val="0"/>
                                      <w:marBottom w:val="0"/>
                                      <w:divBdr>
                                        <w:top w:val="none" w:sz="0" w:space="0" w:color="auto"/>
                                        <w:left w:val="none" w:sz="0" w:space="0" w:color="auto"/>
                                        <w:bottom w:val="none" w:sz="0" w:space="0" w:color="auto"/>
                                        <w:right w:val="none" w:sz="0" w:space="0" w:color="auto"/>
                                      </w:divBdr>
                                      <w:divsChild>
                                        <w:div w:id="614168185">
                                          <w:marLeft w:val="0"/>
                                          <w:marRight w:val="0"/>
                                          <w:marTop w:val="0"/>
                                          <w:marBottom w:val="0"/>
                                          <w:divBdr>
                                            <w:top w:val="none" w:sz="0" w:space="0" w:color="auto"/>
                                            <w:left w:val="none" w:sz="0" w:space="0" w:color="auto"/>
                                            <w:bottom w:val="none" w:sz="0" w:space="0" w:color="auto"/>
                                            <w:right w:val="none" w:sz="0" w:space="0" w:color="auto"/>
                                          </w:divBdr>
                                        </w:div>
                                      </w:divsChild>
                                    </w:div>
                                    <w:div w:id="34879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820530">
                      <w:marLeft w:val="0"/>
                      <w:marRight w:val="0"/>
                      <w:marTop w:val="0"/>
                      <w:marBottom w:val="0"/>
                      <w:divBdr>
                        <w:top w:val="single" w:sz="6" w:space="0" w:color="auto"/>
                        <w:left w:val="single" w:sz="2" w:space="0" w:color="auto"/>
                        <w:bottom w:val="single" w:sz="2" w:space="0" w:color="auto"/>
                        <w:right w:val="single" w:sz="2" w:space="0" w:color="auto"/>
                      </w:divBdr>
                    </w:div>
                  </w:divsChild>
                </w:div>
              </w:divsChild>
            </w:div>
          </w:divsChild>
        </w:div>
      </w:divsChild>
    </w:div>
    <w:div w:id="1242450115">
      <w:bodyDiv w:val="1"/>
      <w:marLeft w:val="0"/>
      <w:marRight w:val="0"/>
      <w:marTop w:val="0"/>
      <w:marBottom w:val="0"/>
      <w:divBdr>
        <w:top w:val="none" w:sz="0" w:space="0" w:color="auto"/>
        <w:left w:val="none" w:sz="0" w:space="0" w:color="auto"/>
        <w:bottom w:val="none" w:sz="0" w:space="0" w:color="auto"/>
        <w:right w:val="none" w:sz="0" w:space="0" w:color="auto"/>
      </w:divBdr>
    </w:div>
    <w:div w:id="1299922794">
      <w:bodyDiv w:val="1"/>
      <w:marLeft w:val="0"/>
      <w:marRight w:val="0"/>
      <w:marTop w:val="0"/>
      <w:marBottom w:val="0"/>
      <w:divBdr>
        <w:top w:val="none" w:sz="0" w:space="0" w:color="auto"/>
        <w:left w:val="none" w:sz="0" w:space="0" w:color="auto"/>
        <w:bottom w:val="none" w:sz="0" w:space="0" w:color="auto"/>
        <w:right w:val="none" w:sz="0" w:space="0" w:color="auto"/>
      </w:divBdr>
    </w:div>
    <w:div w:id="1486235923">
      <w:bodyDiv w:val="1"/>
      <w:marLeft w:val="0"/>
      <w:marRight w:val="0"/>
      <w:marTop w:val="0"/>
      <w:marBottom w:val="0"/>
      <w:divBdr>
        <w:top w:val="none" w:sz="0" w:space="0" w:color="auto"/>
        <w:left w:val="none" w:sz="0" w:space="0" w:color="auto"/>
        <w:bottom w:val="none" w:sz="0" w:space="0" w:color="auto"/>
        <w:right w:val="none" w:sz="0" w:space="0" w:color="auto"/>
      </w:divBdr>
    </w:div>
    <w:div w:id="1842742520">
      <w:bodyDiv w:val="1"/>
      <w:marLeft w:val="0"/>
      <w:marRight w:val="0"/>
      <w:marTop w:val="0"/>
      <w:marBottom w:val="0"/>
      <w:divBdr>
        <w:top w:val="none" w:sz="0" w:space="0" w:color="auto"/>
        <w:left w:val="none" w:sz="0" w:space="0" w:color="auto"/>
        <w:bottom w:val="none" w:sz="0" w:space="0" w:color="auto"/>
        <w:right w:val="none" w:sz="0" w:space="0" w:color="auto"/>
      </w:divBdr>
      <w:divsChild>
        <w:div w:id="1893997757">
          <w:marLeft w:val="0"/>
          <w:marRight w:val="0"/>
          <w:marTop w:val="240"/>
          <w:marBottom w:val="171"/>
          <w:divBdr>
            <w:top w:val="none" w:sz="0" w:space="0" w:color="auto"/>
            <w:left w:val="none" w:sz="0" w:space="0" w:color="auto"/>
            <w:bottom w:val="none" w:sz="0" w:space="0" w:color="auto"/>
            <w:right w:val="none" w:sz="0" w:space="0" w:color="auto"/>
          </w:divBdr>
          <w:divsChild>
            <w:div w:id="1301224116">
              <w:marLeft w:val="0"/>
              <w:marRight w:val="0"/>
              <w:marTop w:val="0"/>
              <w:marBottom w:val="0"/>
              <w:divBdr>
                <w:top w:val="none" w:sz="0" w:space="0" w:color="auto"/>
                <w:left w:val="none" w:sz="0" w:space="0" w:color="auto"/>
                <w:bottom w:val="none" w:sz="0" w:space="0" w:color="auto"/>
                <w:right w:val="none" w:sz="0" w:space="0" w:color="auto"/>
              </w:divBdr>
              <w:divsChild>
                <w:div w:id="1997416399">
                  <w:marLeft w:val="0"/>
                  <w:marRight w:val="0"/>
                  <w:marTop w:val="0"/>
                  <w:marBottom w:val="0"/>
                  <w:divBdr>
                    <w:top w:val="none" w:sz="0" w:space="0" w:color="auto"/>
                    <w:left w:val="none" w:sz="0" w:space="0" w:color="auto"/>
                    <w:bottom w:val="none" w:sz="0" w:space="0" w:color="auto"/>
                    <w:right w:val="none" w:sz="0" w:space="0" w:color="auto"/>
                  </w:divBdr>
                  <w:divsChild>
                    <w:div w:id="435903948">
                      <w:marLeft w:val="0"/>
                      <w:marRight w:val="0"/>
                      <w:marTop w:val="0"/>
                      <w:marBottom w:val="0"/>
                      <w:divBdr>
                        <w:top w:val="none" w:sz="0" w:space="0" w:color="auto"/>
                        <w:left w:val="none" w:sz="0" w:space="0" w:color="auto"/>
                        <w:bottom w:val="none" w:sz="0" w:space="0" w:color="auto"/>
                        <w:right w:val="none" w:sz="0" w:space="0" w:color="auto"/>
                      </w:divBdr>
                      <w:divsChild>
                        <w:div w:id="156625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976058">
          <w:marLeft w:val="0"/>
          <w:marRight w:val="0"/>
          <w:marTop w:val="0"/>
          <w:marBottom w:val="0"/>
          <w:divBdr>
            <w:top w:val="none" w:sz="0" w:space="0" w:color="auto"/>
            <w:left w:val="none" w:sz="0" w:space="0" w:color="auto"/>
            <w:bottom w:val="none" w:sz="0" w:space="0" w:color="auto"/>
            <w:right w:val="none" w:sz="0" w:space="0" w:color="auto"/>
          </w:divBdr>
        </w:div>
        <w:div w:id="1163817560">
          <w:marLeft w:val="0"/>
          <w:marRight w:val="0"/>
          <w:marTop w:val="240"/>
          <w:marBottom w:val="171"/>
          <w:divBdr>
            <w:top w:val="none" w:sz="0" w:space="0" w:color="auto"/>
            <w:left w:val="none" w:sz="0" w:space="0" w:color="auto"/>
            <w:bottom w:val="none" w:sz="0" w:space="0" w:color="auto"/>
            <w:right w:val="none" w:sz="0" w:space="0" w:color="auto"/>
          </w:divBdr>
          <w:divsChild>
            <w:div w:id="125398235">
              <w:marLeft w:val="0"/>
              <w:marRight w:val="0"/>
              <w:marTop w:val="0"/>
              <w:marBottom w:val="0"/>
              <w:divBdr>
                <w:top w:val="none" w:sz="0" w:space="0" w:color="auto"/>
                <w:left w:val="none" w:sz="0" w:space="0" w:color="auto"/>
                <w:bottom w:val="none" w:sz="0" w:space="0" w:color="auto"/>
                <w:right w:val="none" w:sz="0" w:space="0" w:color="auto"/>
              </w:divBdr>
              <w:divsChild>
                <w:div w:id="1138181685">
                  <w:marLeft w:val="0"/>
                  <w:marRight w:val="0"/>
                  <w:marTop w:val="0"/>
                  <w:marBottom w:val="0"/>
                  <w:divBdr>
                    <w:top w:val="none" w:sz="0" w:space="0" w:color="auto"/>
                    <w:left w:val="none" w:sz="0" w:space="0" w:color="auto"/>
                    <w:bottom w:val="none" w:sz="0" w:space="0" w:color="auto"/>
                    <w:right w:val="none" w:sz="0" w:space="0" w:color="auto"/>
                  </w:divBdr>
                  <w:divsChild>
                    <w:div w:id="13507928">
                      <w:marLeft w:val="0"/>
                      <w:marRight w:val="0"/>
                      <w:marTop w:val="0"/>
                      <w:marBottom w:val="0"/>
                      <w:divBdr>
                        <w:top w:val="none" w:sz="0" w:space="0" w:color="auto"/>
                        <w:left w:val="none" w:sz="0" w:space="0" w:color="auto"/>
                        <w:bottom w:val="none" w:sz="0" w:space="0" w:color="auto"/>
                        <w:right w:val="none" w:sz="0" w:space="0" w:color="auto"/>
                      </w:divBdr>
                      <w:divsChild>
                        <w:div w:id="31839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9759951">
          <w:marLeft w:val="0"/>
          <w:marRight w:val="0"/>
          <w:marTop w:val="0"/>
          <w:marBottom w:val="0"/>
          <w:divBdr>
            <w:top w:val="none" w:sz="0" w:space="0" w:color="auto"/>
            <w:left w:val="none" w:sz="0" w:space="0" w:color="auto"/>
            <w:bottom w:val="none" w:sz="0" w:space="0" w:color="auto"/>
            <w:right w:val="none" w:sz="0" w:space="0" w:color="auto"/>
          </w:divBdr>
        </w:div>
        <w:div w:id="276722063">
          <w:marLeft w:val="0"/>
          <w:marRight w:val="0"/>
          <w:marTop w:val="240"/>
          <w:marBottom w:val="171"/>
          <w:divBdr>
            <w:top w:val="none" w:sz="0" w:space="0" w:color="auto"/>
            <w:left w:val="none" w:sz="0" w:space="0" w:color="auto"/>
            <w:bottom w:val="none" w:sz="0" w:space="0" w:color="auto"/>
            <w:right w:val="none" w:sz="0" w:space="0" w:color="auto"/>
          </w:divBdr>
          <w:divsChild>
            <w:div w:id="519125620">
              <w:marLeft w:val="0"/>
              <w:marRight w:val="0"/>
              <w:marTop w:val="0"/>
              <w:marBottom w:val="0"/>
              <w:divBdr>
                <w:top w:val="none" w:sz="0" w:space="0" w:color="auto"/>
                <w:left w:val="none" w:sz="0" w:space="0" w:color="auto"/>
                <w:bottom w:val="none" w:sz="0" w:space="0" w:color="auto"/>
                <w:right w:val="none" w:sz="0" w:space="0" w:color="auto"/>
              </w:divBdr>
              <w:divsChild>
                <w:div w:id="675110386">
                  <w:marLeft w:val="0"/>
                  <w:marRight w:val="0"/>
                  <w:marTop w:val="0"/>
                  <w:marBottom w:val="0"/>
                  <w:divBdr>
                    <w:top w:val="none" w:sz="0" w:space="0" w:color="auto"/>
                    <w:left w:val="none" w:sz="0" w:space="0" w:color="auto"/>
                    <w:bottom w:val="none" w:sz="0" w:space="0" w:color="auto"/>
                    <w:right w:val="none" w:sz="0" w:space="0" w:color="auto"/>
                  </w:divBdr>
                  <w:divsChild>
                    <w:div w:id="1668170197">
                      <w:marLeft w:val="0"/>
                      <w:marRight w:val="0"/>
                      <w:marTop w:val="0"/>
                      <w:marBottom w:val="0"/>
                      <w:divBdr>
                        <w:top w:val="none" w:sz="0" w:space="0" w:color="auto"/>
                        <w:left w:val="none" w:sz="0" w:space="0" w:color="auto"/>
                        <w:bottom w:val="none" w:sz="0" w:space="0" w:color="auto"/>
                        <w:right w:val="none" w:sz="0" w:space="0" w:color="auto"/>
                      </w:divBdr>
                      <w:divsChild>
                        <w:div w:id="69115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57639">
          <w:marLeft w:val="0"/>
          <w:marRight w:val="0"/>
          <w:marTop w:val="0"/>
          <w:marBottom w:val="0"/>
          <w:divBdr>
            <w:top w:val="none" w:sz="0" w:space="0" w:color="auto"/>
            <w:left w:val="none" w:sz="0" w:space="0" w:color="auto"/>
            <w:bottom w:val="none" w:sz="0" w:space="0" w:color="auto"/>
            <w:right w:val="none" w:sz="0" w:space="0" w:color="auto"/>
          </w:divBdr>
        </w:div>
        <w:div w:id="1130780809">
          <w:marLeft w:val="0"/>
          <w:marRight w:val="0"/>
          <w:marTop w:val="240"/>
          <w:marBottom w:val="171"/>
          <w:divBdr>
            <w:top w:val="none" w:sz="0" w:space="0" w:color="auto"/>
            <w:left w:val="none" w:sz="0" w:space="0" w:color="auto"/>
            <w:bottom w:val="none" w:sz="0" w:space="0" w:color="auto"/>
            <w:right w:val="none" w:sz="0" w:space="0" w:color="auto"/>
          </w:divBdr>
          <w:divsChild>
            <w:div w:id="164368053">
              <w:marLeft w:val="0"/>
              <w:marRight w:val="0"/>
              <w:marTop w:val="0"/>
              <w:marBottom w:val="0"/>
              <w:divBdr>
                <w:top w:val="none" w:sz="0" w:space="0" w:color="auto"/>
                <w:left w:val="none" w:sz="0" w:space="0" w:color="auto"/>
                <w:bottom w:val="none" w:sz="0" w:space="0" w:color="auto"/>
                <w:right w:val="none" w:sz="0" w:space="0" w:color="auto"/>
              </w:divBdr>
              <w:divsChild>
                <w:div w:id="1993483400">
                  <w:marLeft w:val="0"/>
                  <w:marRight w:val="0"/>
                  <w:marTop w:val="0"/>
                  <w:marBottom w:val="0"/>
                  <w:divBdr>
                    <w:top w:val="none" w:sz="0" w:space="0" w:color="auto"/>
                    <w:left w:val="none" w:sz="0" w:space="0" w:color="auto"/>
                    <w:bottom w:val="none" w:sz="0" w:space="0" w:color="auto"/>
                    <w:right w:val="none" w:sz="0" w:space="0" w:color="auto"/>
                  </w:divBdr>
                  <w:divsChild>
                    <w:div w:id="1334145158">
                      <w:marLeft w:val="0"/>
                      <w:marRight w:val="0"/>
                      <w:marTop w:val="0"/>
                      <w:marBottom w:val="0"/>
                      <w:divBdr>
                        <w:top w:val="none" w:sz="0" w:space="0" w:color="auto"/>
                        <w:left w:val="none" w:sz="0" w:space="0" w:color="auto"/>
                        <w:bottom w:val="none" w:sz="0" w:space="0" w:color="auto"/>
                        <w:right w:val="none" w:sz="0" w:space="0" w:color="auto"/>
                      </w:divBdr>
                      <w:divsChild>
                        <w:div w:id="114408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624851">
          <w:marLeft w:val="0"/>
          <w:marRight w:val="0"/>
          <w:marTop w:val="0"/>
          <w:marBottom w:val="0"/>
          <w:divBdr>
            <w:top w:val="none" w:sz="0" w:space="0" w:color="auto"/>
            <w:left w:val="none" w:sz="0" w:space="0" w:color="auto"/>
            <w:bottom w:val="none" w:sz="0" w:space="0" w:color="auto"/>
            <w:right w:val="none" w:sz="0" w:space="0" w:color="auto"/>
          </w:divBdr>
        </w:div>
      </w:divsChild>
    </w:div>
    <w:div w:id="1915240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moktar@bricm.gov.bd"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1509</TotalTime>
  <Pages>15</Pages>
  <Words>5589</Words>
  <Characters>31862</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Moktar Hossain</dc:creator>
  <cp:keywords/>
  <dc:description/>
  <cp:lastModifiedBy>Moktar Hossain</cp:lastModifiedBy>
  <cp:revision>73</cp:revision>
  <dcterms:created xsi:type="dcterms:W3CDTF">2026-05-03T05:03:00Z</dcterms:created>
  <dcterms:modified xsi:type="dcterms:W3CDTF">2026-05-05T08:15:00Z</dcterms:modified>
</cp:coreProperties>
</file>