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3DD" w:rsidRPr="00DA5120" w:rsidRDefault="00DA5120" w:rsidP="00DA5120">
      <w:pPr>
        <w:spacing w:after="0" w:line="240" w:lineRule="auto"/>
        <w:jc w:val="both"/>
        <w:rPr>
          <w:rFonts w:ascii="Times New Roman" w:hAnsi="Times New Roman" w:cs="Times New Roman"/>
          <w:b/>
          <w:bCs/>
          <w:sz w:val="24"/>
          <w:szCs w:val="24"/>
        </w:rPr>
      </w:pPr>
      <w:r w:rsidRPr="00DA5120">
        <w:rPr>
          <w:rFonts w:ascii="Times New Roman" w:hAnsi="Times New Roman" w:cs="Times New Roman"/>
          <w:b/>
          <w:bCs/>
          <w:sz w:val="24"/>
          <w:szCs w:val="24"/>
        </w:rPr>
        <w:t>Effectiveness of Localized Context-Based STEM Education Approach on Teaching Science 6</w:t>
      </w:r>
    </w:p>
    <w:p w:rsidR="00DA5120" w:rsidRDefault="00DA5120" w:rsidP="00B5007D">
      <w:pPr>
        <w:spacing w:after="0" w:line="240" w:lineRule="auto"/>
        <w:rPr>
          <w:rFonts w:ascii="Times New Roman" w:hAnsi="Times New Roman"/>
          <w:b/>
          <w:bCs/>
          <w:sz w:val="24"/>
          <w:szCs w:val="24"/>
        </w:rPr>
      </w:pPr>
    </w:p>
    <w:p w:rsidR="00DA5120" w:rsidRPr="00DB345E" w:rsidRDefault="00DA5120" w:rsidP="00B5007D">
      <w:pPr>
        <w:spacing w:after="0" w:line="240" w:lineRule="auto"/>
        <w:rPr>
          <w:rFonts w:ascii="Times New Roman" w:hAnsi="Times New Roman"/>
          <w:b/>
          <w:bCs/>
          <w:sz w:val="24"/>
          <w:szCs w:val="24"/>
        </w:rPr>
      </w:pPr>
    </w:p>
    <w:p w:rsidR="00B5007D" w:rsidRDefault="00DB345E" w:rsidP="00B5007D">
      <w:pPr>
        <w:spacing w:after="0" w:line="240" w:lineRule="auto"/>
        <w:rPr>
          <w:rFonts w:ascii="Times New Roman" w:hAnsi="Times New Roman"/>
          <w:b/>
          <w:bCs/>
          <w:sz w:val="24"/>
          <w:szCs w:val="24"/>
        </w:rPr>
      </w:pPr>
      <w:proofErr w:type="spellStart"/>
      <w:r w:rsidRPr="00DB345E">
        <w:rPr>
          <w:rFonts w:ascii="Times New Roman" w:hAnsi="Times New Roman"/>
          <w:b/>
          <w:bCs/>
          <w:sz w:val="24"/>
          <w:szCs w:val="24"/>
        </w:rPr>
        <w:t>Salnor</w:t>
      </w:r>
      <w:proofErr w:type="spellEnd"/>
      <w:r w:rsidRPr="00DB345E">
        <w:rPr>
          <w:rFonts w:ascii="Times New Roman" w:hAnsi="Times New Roman"/>
          <w:b/>
          <w:bCs/>
          <w:sz w:val="24"/>
          <w:szCs w:val="24"/>
        </w:rPr>
        <w:t xml:space="preserve"> M. </w:t>
      </w:r>
      <w:proofErr w:type="spellStart"/>
      <w:r w:rsidRPr="00DB345E">
        <w:rPr>
          <w:rFonts w:ascii="Times New Roman" w:hAnsi="Times New Roman"/>
          <w:b/>
          <w:bCs/>
          <w:sz w:val="24"/>
          <w:szCs w:val="24"/>
        </w:rPr>
        <w:t>Tomanto</w:t>
      </w:r>
      <w:proofErr w:type="spellEnd"/>
    </w:p>
    <w:p w:rsidR="00B5007D" w:rsidRPr="00B5007D" w:rsidRDefault="00B5007D" w:rsidP="00B5007D">
      <w:pPr>
        <w:spacing w:after="0" w:line="240" w:lineRule="auto"/>
        <w:rPr>
          <w:rFonts w:ascii="Times New Roman" w:hAnsi="Times New Roman"/>
          <w:bCs/>
          <w:sz w:val="24"/>
          <w:szCs w:val="24"/>
        </w:rPr>
      </w:pPr>
      <w:r w:rsidRPr="00B5007D">
        <w:rPr>
          <w:rFonts w:ascii="Times New Roman" w:hAnsi="Times New Roman"/>
          <w:bCs/>
          <w:sz w:val="24"/>
          <w:szCs w:val="24"/>
        </w:rPr>
        <w:t xml:space="preserve">Mindanao State University-Sultan Naga </w:t>
      </w:r>
      <w:proofErr w:type="spellStart"/>
      <w:r w:rsidRPr="00B5007D">
        <w:rPr>
          <w:rFonts w:ascii="Times New Roman" w:hAnsi="Times New Roman"/>
          <w:bCs/>
          <w:sz w:val="24"/>
          <w:szCs w:val="24"/>
        </w:rPr>
        <w:t>Dimaporo</w:t>
      </w:r>
      <w:proofErr w:type="spellEnd"/>
    </w:p>
    <w:p w:rsidR="000433DD" w:rsidRPr="00B5007D" w:rsidRDefault="00B5007D" w:rsidP="00B5007D">
      <w:pPr>
        <w:spacing w:after="0" w:line="240" w:lineRule="auto"/>
        <w:rPr>
          <w:rFonts w:ascii="Times New Roman" w:hAnsi="Times New Roman"/>
          <w:bCs/>
          <w:sz w:val="24"/>
          <w:szCs w:val="24"/>
        </w:rPr>
      </w:pPr>
      <w:r w:rsidRPr="00B5007D">
        <w:rPr>
          <w:rFonts w:ascii="Times New Roman" w:hAnsi="Times New Roman"/>
          <w:bCs/>
          <w:sz w:val="24"/>
          <w:szCs w:val="24"/>
        </w:rPr>
        <w:t>Corresponding Author E-mail:</w:t>
      </w:r>
      <w:r w:rsidR="003C20C0">
        <w:rPr>
          <w:rFonts w:ascii="Times New Roman" w:hAnsi="Times New Roman"/>
          <w:bCs/>
          <w:sz w:val="24"/>
          <w:szCs w:val="24"/>
        </w:rPr>
        <w:t xml:space="preserve"> </w:t>
      </w:r>
      <w:hyperlink r:id="rId5" w:history="1">
        <w:r w:rsidR="003C20C0" w:rsidRPr="00B5007D">
          <w:rPr>
            <w:rStyle w:val="Hyperlink"/>
            <w:rFonts w:ascii="Times New Roman" w:hAnsi="Times New Roman"/>
            <w:bCs/>
            <w:sz w:val="24"/>
            <w:szCs w:val="24"/>
          </w:rPr>
          <w:t>salnortomanto06@gmail.com</w:t>
        </w:r>
      </w:hyperlink>
      <w:r w:rsidR="00DB345E" w:rsidRPr="00B5007D">
        <w:rPr>
          <w:rFonts w:ascii="Times New Roman" w:hAnsi="Times New Roman"/>
          <w:bCs/>
          <w:sz w:val="24"/>
          <w:szCs w:val="24"/>
        </w:rPr>
        <w:t xml:space="preserve">                                                                              </w:t>
      </w:r>
    </w:p>
    <w:p w:rsidR="003C20C0" w:rsidRDefault="00DB345E" w:rsidP="00B5007D">
      <w:pPr>
        <w:spacing w:after="0" w:line="240" w:lineRule="auto"/>
        <w:rPr>
          <w:rFonts w:ascii="Times New Roman" w:hAnsi="Times New Roman"/>
          <w:b/>
          <w:bCs/>
          <w:sz w:val="24"/>
          <w:szCs w:val="24"/>
        </w:rPr>
      </w:pPr>
      <w:proofErr w:type="spellStart"/>
      <w:r w:rsidRPr="00DB345E">
        <w:rPr>
          <w:rFonts w:ascii="Times New Roman" w:hAnsi="Times New Roman"/>
          <w:b/>
          <w:bCs/>
          <w:sz w:val="24"/>
          <w:szCs w:val="24"/>
        </w:rPr>
        <w:t>Ameril</w:t>
      </w:r>
      <w:proofErr w:type="spellEnd"/>
      <w:r w:rsidRPr="00DB345E">
        <w:rPr>
          <w:rFonts w:ascii="Times New Roman" w:hAnsi="Times New Roman"/>
          <w:b/>
          <w:bCs/>
          <w:sz w:val="24"/>
          <w:szCs w:val="24"/>
        </w:rPr>
        <w:t xml:space="preserve"> A. </w:t>
      </w:r>
      <w:proofErr w:type="spellStart"/>
      <w:r w:rsidRPr="00DB345E">
        <w:rPr>
          <w:rFonts w:ascii="Times New Roman" w:hAnsi="Times New Roman"/>
          <w:b/>
          <w:bCs/>
          <w:sz w:val="24"/>
          <w:szCs w:val="24"/>
        </w:rPr>
        <w:t>Dimnang</w:t>
      </w:r>
      <w:proofErr w:type="spellEnd"/>
      <w:r w:rsidRPr="00DB345E">
        <w:rPr>
          <w:rFonts w:ascii="Times New Roman" w:hAnsi="Times New Roman"/>
          <w:b/>
          <w:bCs/>
          <w:sz w:val="24"/>
          <w:szCs w:val="24"/>
        </w:rPr>
        <w:t xml:space="preserve"> </w:t>
      </w:r>
    </w:p>
    <w:p w:rsidR="003C20C0" w:rsidRPr="00B5007D" w:rsidRDefault="003C20C0" w:rsidP="003C20C0">
      <w:pPr>
        <w:spacing w:after="0" w:line="240" w:lineRule="auto"/>
        <w:rPr>
          <w:rFonts w:ascii="Times New Roman" w:hAnsi="Times New Roman"/>
          <w:bCs/>
          <w:sz w:val="24"/>
          <w:szCs w:val="24"/>
        </w:rPr>
      </w:pPr>
      <w:r w:rsidRPr="00B5007D">
        <w:rPr>
          <w:rFonts w:ascii="Times New Roman" w:hAnsi="Times New Roman"/>
          <w:bCs/>
          <w:sz w:val="24"/>
          <w:szCs w:val="24"/>
        </w:rPr>
        <w:t xml:space="preserve">Mindanao State University-Sultan Naga </w:t>
      </w:r>
      <w:proofErr w:type="spellStart"/>
      <w:r w:rsidRPr="00B5007D">
        <w:rPr>
          <w:rFonts w:ascii="Times New Roman" w:hAnsi="Times New Roman"/>
          <w:bCs/>
          <w:sz w:val="24"/>
          <w:szCs w:val="24"/>
        </w:rPr>
        <w:t>Dimaporo</w:t>
      </w:r>
      <w:proofErr w:type="spellEnd"/>
    </w:p>
    <w:p w:rsidR="00B5007D" w:rsidRDefault="003C20C0" w:rsidP="003C20C0">
      <w:pPr>
        <w:spacing w:after="0" w:line="240" w:lineRule="auto"/>
        <w:rPr>
          <w:rFonts w:ascii="Times New Roman" w:hAnsi="Times New Roman"/>
          <w:b/>
          <w:bCs/>
          <w:sz w:val="24"/>
          <w:szCs w:val="24"/>
        </w:rPr>
      </w:pPr>
      <w:r w:rsidRPr="00B5007D">
        <w:rPr>
          <w:rFonts w:ascii="Times New Roman" w:hAnsi="Times New Roman"/>
          <w:bCs/>
          <w:sz w:val="24"/>
          <w:szCs w:val="24"/>
        </w:rPr>
        <w:t>Corresponding Author E-mail</w:t>
      </w:r>
      <w:r>
        <w:rPr>
          <w:rFonts w:ascii="Times New Roman" w:hAnsi="Times New Roman"/>
          <w:bCs/>
          <w:sz w:val="24"/>
          <w:szCs w:val="24"/>
        </w:rPr>
        <w:t xml:space="preserve">: </w:t>
      </w:r>
      <w:hyperlink r:id="rId6" w:history="1">
        <w:r w:rsidRPr="00B5007D">
          <w:rPr>
            <w:rStyle w:val="Hyperlink"/>
            <w:rFonts w:ascii="Times New Roman" w:hAnsi="Times New Roman"/>
            <w:bCs/>
            <w:sz w:val="24"/>
            <w:szCs w:val="24"/>
          </w:rPr>
          <w:t>amerildimnang06@gmail.com</w:t>
        </w:r>
      </w:hyperlink>
      <w:r w:rsidR="00DB345E" w:rsidRPr="00DB345E">
        <w:rPr>
          <w:rFonts w:ascii="Times New Roman" w:hAnsi="Times New Roman"/>
          <w:b/>
          <w:bCs/>
          <w:sz w:val="24"/>
          <w:szCs w:val="24"/>
        </w:rPr>
        <w:t xml:space="preserve">                                                                                    </w:t>
      </w:r>
    </w:p>
    <w:p w:rsidR="000433DD" w:rsidRDefault="00DB345E" w:rsidP="00B5007D">
      <w:pPr>
        <w:spacing w:after="0" w:line="240" w:lineRule="auto"/>
        <w:rPr>
          <w:rFonts w:ascii="Times New Roman" w:hAnsi="Times New Roman"/>
          <w:b/>
          <w:bCs/>
          <w:sz w:val="24"/>
          <w:szCs w:val="24"/>
        </w:rPr>
      </w:pPr>
      <w:proofErr w:type="spellStart"/>
      <w:r w:rsidRPr="00DB345E">
        <w:rPr>
          <w:rFonts w:ascii="Times New Roman" w:hAnsi="Times New Roman"/>
          <w:b/>
          <w:bCs/>
          <w:sz w:val="24"/>
          <w:szCs w:val="24"/>
        </w:rPr>
        <w:t>Saidie</w:t>
      </w:r>
      <w:proofErr w:type="spellEnd"/>
      <w:r w:rsidRPr="00DB345E">
        <w:rPr>
          <w:rFonts w:ascii="Times New Roman" w:hAnsi="Times New Roman"/>
          <w:b/>
          <w:bCs/>
          <w:sz w:val="24"/>
          <w:szCs w:val="24"/>
        </w:rPr>
        <w:t xml:space="preserve"> M. Odin</w:t>
      </w:r>
    </w:p>
    <w:p w:rsidR="003C20C0" w:rsidRPr="00B5007D" w:rsidRDefault="003C20C0" w:rsidP="003C20C0">
      <w:pPr>
        <w:spacing w:after="0" w:line="240" w:lineRule="auto"/>
        <w:rPr>
          <w:rFonts w:ascii="Times New Roman" w:hAnsi="Times New Roman"/>
          <w:bCs/>
          <w:sz w:val="24"/>
          <w:szCs w:val="24"/>
        </w:rPr>
      </w:pPr>
      <w:r w:rsidRPr="00B5007D">
        <w:rPr>
          <w:rFonts w:ascii="Times New Roman" w:hAnsi="Times New Roman"/>
          <w:bCs/>
          <w:sz w:val="24"/>
          <w:szCs w:val="24"/>
        </w:rPr>
        <w:t xml:space="preserve">Mindanao State University-Sultan Naga </w:t>
      </w:r>
      <w:proofErr w:type="spellStart"/>
      <w:r w:rsidRPr="00B5007D">
        <w:rPr>
          <w:rFonts w:ascii="Times New Roman" w:hAnsi="Times New Roman"/>
          <w:bCs/>
          <w:sz w:val="24"/>
          <w:szCs w:val="24"/>
        </w:rPr>
        <w:t>Dimaporo</w:t>
      </w:r>
      <w:proofErr w:type="spellEnd"/>
    </w:p>
    <w:p w:rsidR="003C20C0" w:rsidRPr="00B5007D" w:rsidRDefault="003C20C0" w:rsidP="003C20C0">
      <w:pPr>
        <w:spacing w:after="0" w:line="240" w:lineRule="auto"/>
        <w:rPr>
          <w:rFonts w:ascii="Times New Roman" w:hAnsi="Times New Roman"/>
          <w:bCs/>
          <w:sz w:val="24"/>
          <w:szCs w:val="24"/>
        </w:rPr>
      </w:pPr>
      <w:r w:rsidRPr="00B5007D">
        <w:rPr>
          <w:rFonts w:ascii="Times New Roman" w:hAnsi="Times New Roman"/>
          <w:bCs/>
          <w:sz w:val="24"/>
          <w:szCs w:val="24"/>
        </w:rPr>
        <w:t>Corresponding Author E-mail</w:t>
      </w:r>
      <w:r>
        <w:rPr>
          <w:rFonts w:ascii="Times New Roman" w:hAnsi="Times New Roman"/>
          <w:bCs/>
          <w:sz w:val="24"/>
          <w:szCs w:val="24"/>
        </w:rPr>
        <w:t>:</w:t>
      </w:r>
      <w:r w:rsidRPr="003C20C0">
        <w:rPr>
          <w:rFonts w:ascii="Times New Roman" w:hAnsi="Times New Roman"/>
          <w:bCs/>
          <w:sz w:val="24"/>
          <w:szCs w:val="24"/>
        </w:rPr>
        <w:t xml:space="preserve"> </w:t>
      </w:r>
      <w:hyperlink r:id="rId7" w:history="1">
        <w:r w:rsidRPr="00B5007D">
          <w:rPr>
            <w:rStyle w:val="Hyperlink"/>
            <w:rFonts w:ascii="Times New Roman" w:hAnsi="Times New Roman"/>
            <w:bCs/>
            <w:sz w:val="24"/>
            <w:szCs w:val="24"/>
          </w:rPr>
          <w:t>odinsaidie291@gmail.com</w:t>
        </w:r>
      </w:hyperlink>
    </w:p>
    <w:p w:rsidR="003C20C0" w:rsidRDefault="003C20C0" w:rsidP="00B5007D">
      <w:pPr>
        <w:spacing w:after="0" w:line="240" w:lineRule="auto"/>
        <w:rPr>
          <w:rFonts w:ascii="Times New Roman" w:hAnsi="Times New Roman"/>
          <w:b/>
          <w:bCs/>
          <w:sz w:val="24"/>
          <w:szCs w:val="24"/>
        </w:rPr>
      </w:pPr>
    </w:p>
    <w:p w:rsidR="00DB345E" w:rsidRDefault="00DB345E" w:rsidP="00B5007D">
      <w:pPr>
        <w:spacing w:after="0" w:line="240" w:lineRule="auto"/>
        <w:rPr>
          <w:rFonts w:ascii="Times New Roman" w:hAnsi="Times New Roman"/>
          <w:b/>
          <w:bCs/>
          <w:sz w:val="24"/>
          <w:szCs w:val="24"/>
        </w:rPr>
      </w:pPr>
      <w:r w:rsidRPr="00DB345E">
        <w:rPr>
          <w:rFonts w:ascii="Times New Roman" w:hAnsi="Times New Roman"/>
          <w:b/>
          <w:bCs/>
          <w:sz w:val="24"/>
          <w:szCs w:val="24"/>
        </w:rPr>
        <w:t xml:space="preserve">Liezel P. </w:t>
      </w:r>
      <w:proofErr w:type="spellStart"/>
      <w:r w:rsidRPr="00DB345E">
        <w:rPr>
          <w:rFonts w:ascii="Times New Roman" w:hAnsi="Times New Roman"/>
          <w:b/>
          <w:bCs/>
          <w:sz w:val="24"/>
          <w:szCs w:val="24"/>
        </w:rPr>
        <w:t>Naquines</w:t>
      </w:r>
      <w:proofErr w:type="spellEnd"/>
    </w:p>
    <w:p w:rsidR="003C20C0" w:rsidRPr="00B5007D" w:rsidRDefault="003C20C0" w:rsidP="003C20C0">
      <w:pPr>
        <w:spacing w:after="0" w:line="240" w:lineRule="auto"/>
        <w:rPr>
          <w:rFonts w:ascii="Times New Roman" w:hAnsi="Times New Roman"/>
          <w:bCs/>
          <w:sz w:val="24"/>
          <w:szCs w:val="24"/>
        </w:rPr>
      </w:pPr>
      <w:r w:rsidRPr="00B5007D">
        <w:rPr>
          <w:rFonts w:ascii="Times New Roman" w:hAnsi="Times New Roman"/>
          <w:bCs/>
          <w:sz w:val="24"/>
          <w:szCs w:val="24"/>
        </w:rPr>
        <w:t xml:space="preserve">Mindanao State University-Sultan Naga </w:t>
      </w:r>
      <w:proofErr w:type="spellStart"/>
      <w:r w:rsidRPr="00B5007D">
        <w:rPr>
          <w:rFonts w:ascii="Times New Roman" w:hAnsi="Times New Roman"/>
          <w:bCs/>
          <w:sz w:val="24"/>
          <w:szCs w:val="24"/>
        </w:rPr>
        <w:t>Dimaporo</w:t>
      </w:r>
      <w:proofErr w:type="spellEnd"/>
    </w:p>
    <w:p w:rsidR="003C20C0" w:rsidRPr="00B5007D" w:rsidRDefault="003C20C0" w:rsidP="003C20C0">
      <w:pPr>
        <w:spacing w:after="0" w:line="240" w:lineRule="auto"/>
        <w:rPr>
          <w:rFonts w:ascii="Times New Roman" w:hAnsi="Times New Roman"/>
          <w:bCs/>
          <w:sz w:val="24"/>
          <w:szCs w:val="24"/>
        </w:rPr>
      </w:pPr>
      <w:r w:rsidRPr="00B5007D">
        <w:rPr>
          <w:rFonts w:ascii="Times New Roman" w:hAnsi="Times New Roman"/>
          <w:bCs/>
          <w:sz w:val="24"/>
          <w:szCs w:val="24"/>
        </w:rPr>
        <w:t>Corresponding Author E-mail</w:t>
      </w:r>
      <w:r>
        <w:rPr>
          <w:rFonts w:ascii="Times New Roman" w:hAnsi="Times New Roman"/>
          <w:bCs/>
          <w:sz w:val="24"/>
          <w:szCs w:val="24"/>
        </w:rPr>
        <w:t xml:space="preserve">: </w:t>
      </w:r>
      <w:hyperlink r:id="rId8" w:history="1">
        <w:r w:rsidRPr="00B5007D">
          <w:rPr>
            <w:rStyle w:val="Hyperlink"/>
            <w:rFonts w:ascii="Times New Roman" w:hAnsi="Times New Roman"/>
            <w:bCs/>
            <w:sz w:val="24"/>
            <w:szCs w:val="24"/>
          </w:rPr>
          <w:t>liezel.patadilla-naquines@g.msuiit.edu.ph</w:t>
        </w:r>
      </w:hyperlink>
    </w:p>
    <w:p w:rsidR="003C20C0" w:rsidRPr="00DB345E" w:rsidRDefault="003C20C0" w:rsidP="003C20C0">
      <w:pPr>
        <w:spacing w:after="0" w:line="240" w:lineRule="auto"/>
        <w:rPr>
          <w:rFonts w:ascii="Times New Roman" w:hAnsi="Times New Roman"/>
          <w:b/>
          <w:bCs/>
          <w:sz w:val="24"/>
          <w:szCs w:val="24"/>
        </w:rPr>
      </w:pPr>
    </w:p>
    <w:p w:rsidR="00DB345E" w:rsidRDefault="00DB345E" w:rsidP="00B5007D">
      <w:pPr>
        <w:spacing w:after="0" w:line="240" w:lineRule="auto"/>
        <w:rPr>
          <w:rFonts w:ascii="Times New Roman" w:hAnsi="Times New Roman"/>
          <w:b/>
          <w:bCs/>
          <w:sz w:val="24"/>
          <w:szCs w:val="24"/>
        </w:rPr>
      </w:pPr>
      <w:proofErr w:type="spellStart"/>
      <w:r w:rsidRPr="00DB345E">
        <w:rPr>
          <w:rFonts w:ascii="Times New Roman" w:hAnsi="Times New Roman"/>
          <w:b/>
          <w:bCs/>
          <w:sz w:val="24"/>
          <w:szCs w:val="24"/>
        </w:rPr>
        <w:t>Settie-Zhymah</w:t>
      </w:r>
      <w:proofErr w:type="spellEnd"/>
      <w:r w:rsidRPr="00DB345E">
        <w:rPr>
          <w:rFonts w:ascii="Times New Roman" w:hAnsi="Times New Roman"/>
          <w:b/>
          <w:bCs/>
          <w:sz w:val="24"/>
          <w:szCs w:val="24"/>
        </w:rPr>
        <w:t xml:space="preserve"> S</w:t>
      </w:r>
      <w:r>
        <w:rPr>
          <w:rFonts w:ascii="Times New Roman" w:hAnsi="Times New Roman"/>
          <w:b/>
          <w:bCs/>
          <w:sz w:val="24"/>
          <w:szCs w:val="24"/>
        </w:rPr>
        <w:t>.</w:t>
      </w:r>
      <w:r w:rsidRPr="00DB345E">
        <w:rPr>
          <w:rFonts w:ascii="Times New Roman" w:hAnsi="Times New Roman"/>
          <w:b/>
          <w:bCs/>
          <w:sz w:val="24"/>
          <w:szCs w:val="24"/>
        </w:rPr>
        <w:t xml:space="preserve"> </w:t>
      </w:r>
      <w:proofErr w:type="spellStart"/>
      <w:r w:rsidRPr="00DB345E">
        <w:rPr>
          <w:rFonts w:ascii="Times New Roman" w:hAnsi="Times New Roman"/>
          <w:b/>
          <w:bCs/>
          <w:sz w:val="24"/>
          <w:szCs w:val="24"/>
        </w:rPr>
        <w:t>Padate</w:t>
      </w:r>
      <w:proofErr w:type="spellEnd"/>
    </w:p>
    <w:p w:rsidR="003C20C0" w:rsidRPr="00B5007D" w:rsidRDefault="003C20C0" w:rsidP="003C20C0">
      <w:pPr>
        <w:spacing w:after="0" w:line="240" w:lineRule="auto"/>
        <w:rPr>
          <w:rFonts w:ascii="Times New Roman" w:hAnsi="Times New Roman"/>
          <w:bCs/>
          <w:sz w:val="24"/>
          <w:szCs w:val="24"/>
        </w:rPr>
      </w:pPr>
      <w:r w:rsidRPr="00B5007D">
        <w:rPr>
          <w:rFonts w:ascii="Times New Roman" w:hAnsi="Times New Roman"/>
          <w:bCs/>
          <w:sz w:val="24"/>
          <w:szCs w:val="24"/>
        </w:rPr>
        <w:t xml:space="preserve">Mindanao State University-Sultan Naga </w:t>
      </w:r>
      <w:proofErr w:type="spellStart"/>
      <w:r w:rsidRPr="00B5007D">
        <w:rPr>
          <w:rFonts w:ascii="Times New Roman" w:hAnsi="Times New Roman"/>
          <w:bCs/>
          <w:sz w:val="24"/>
          <w:szCs w:val="24"/>
        </w:rPr>
        <w:t>Dimaporo</w:t>
      </w:r>
      <w:proofErr w:type="spellEnd"/>
    </w:p>
    <w:p w:rsidR="003C20C0" w:rsidRDefault="003C20C0" w:rsidP="003C20C0">
      <w:pPr>
        <w:spacing w:after="0" w:line="240" w:lineRule="auto"/>
        <w:rPr>
          <w:rFonts w:ascii="Times New Roman" w:hAnsi="Times New Roman"/>
          <w:b/>
          <w:bCs/>
          <w:sz w:val="24"/>
          <w:szCs w:val="24"/>
        </w:rPr>
      </w:pPr>
      <w:r w:rsidRPr="00B5007D">
        <w:rPr>
          <w:rFonts w:ascii="Times New Roman" w:hAnsi="Times New Roman"/>
          <w:bCs/>
          <w:sz w:val="24"/>
          <w:szCs w:val="24"/>
        </w:rPr>
        <w:t>Corresponding Author E-mail</w:t>
      </w:r>
      <w:r>
        <w:rPr>
          <w:rFonts w:ascii="Times New Roman" w:hAnsi="Times New Roman"/>
          <w:bCs/>
          <w:sz w:val="24"/>
          <w:szCs w:val="24"/>
        </w:rPr>
        <w:t xml:space="preserve">: </w:t>
      </w:r>
      <w:hyperlink r:id="rId9" w:history="1">
        <w:r w:rsidRPr="00B5007D">
          <w:rPr>
            <w:rStyle w:val="Hyperlink"/>
            <w:rFonts w:ascii="Times New Roman" w:hAnsi="Times New Roman"/>
            <w:bCs/>
            <w:sz w:val="24"/>
            <w:szCs w:val="24"/>
          </w:rPr>
          <w:t>alradjiepadate@gmail.com</w:t>
        </w:r>
      </w:hyperlink>
    </w:p>
    <w:p w:rsidR="003C20C0" w:rsidRPr="00DB345E" w:rsidRDefault="003C20C0" w:rsidP="00B5007D">
      <w:pPr>
        <w:spacing w:after="0" w:line="240" w:lineRule="auto"/>
        <w:rPr>
          <w:rFonts w:ascii="Times New Roman" w:hAnsi="Times New Roman"/>
          <w:b/>
          <w:bCs/>
          <w:sz w:val="24"/>
          <w:szCs w:val="24"/>
        </w:rPr>
      </w:pPr>
    </w:p>
    <w:p w:rsidR="00DB345E" w:rsidRDefault="00DB345E" w:rsidP="00B5007D">
      <w:pPr>
        <w:spacing w:after="0" w:line="240" w:lineRule="auto"/>
        <w:rPr>
          <w:rFonts w:ascii="Times New Roman" w:hAnsi="Times New Roman"/>
          <w:b/>
          <w:bCs/>
          <w:sz w:val="24"/>
          <w:szCs w:val="24"/>
        </w:rPr>
      </w:pPr>
      <w:proofErr w:type="spellStart"/>
      <w:r w:rsidRPr="00DB345E">
        <w:rPr>
          <w:rFonts w:ascii="Times New Roman" w:hAnsi="Times New Roman"/>
          <w:b/>
          <w:bCs/>
          <w:sz w:val="24"/>
          <w:szCs w:val="24"/>
        </w:rPr>
        <w:t>Najeb</w:t>
      </w:r>
      <w:proofErr w:type="spellEnd"/>
      <w:r w:rsidRPr="00DB345E">
        <w:rPr>
          <w:rFonts w:ascii="Times New Roman" w:hAnsi="Times New Roman"/>
          <w:b/>
          <w:bCs/>
          <w:sz w:val="24"/>
          <w:szCs w:val="24"/>
        </w:rPr>
        <w:t xml:space="preserve"> B. </w:t>
      </w:r>
      <w:proofErr w:type="spellStart"/>
      <w:r w:rsidRPr="00DB345E">
        <w:rPr>
          <w:rFonts w:ascii="Times New Roman" w:hAnsi="Times New Roman"/>
          <w:b/>
          <w:bCs/>
          <w:sz w:val="24"/>
          <w:szCs w:val="24"/>
        </w:rPr>
        <w:t>Aloyod</w:t>
      </w:r>
      <w:proofErr w:type="spellEnd"/>
    </w:p>
    <w:p w:rsidR="003C20C0" w:rsidRPr="00B5007D" w:rsidRDefault="003C20C0" w:rsidP="003C20C0">
      <w:pPr>
        <w:spacing w:after="0" w:line="240" w:lineRule="auto"/>
        <w:rPr>
          <w:rFonts w:ascii="Times New Roman" w:hAnsi="Times New Roman"/>
          <w:bCs/>
          <w:sz w:val="24"/>
          <w:szCs w:val="24"/>
        </w:rPr>
      </w:pPr>
      <w:r w:rsidRPr="00B5007D">
        <w:rPr>
          <w:rFonts w:ascii="Times New Roman" w:hAnsi="Times New Roman"/>
          <w:bCs/>
          <w:sz w:val="24"/>
          <w:szCs w:val="24"/>
        </w:rPr>
        <w:t xml:space="preserve">Mindanao State University-Sultan Naga </w:t>
      </w:r>
      <w:proofErr w:type="spellStart"/>
      <w:r w:rsidRPr="00B5007D">
        <w:rPr>
          <w:rFonts w:ascii="Times New Roman" w:hAnsi="Times New Roman"/>
          <w:bCs/>
          <w:sz w:val="24"/>
          <w:szCs w:val="24"/>
        </w:rPr>
        <w:t>Dimaporo</w:t>
      </w:r>
      <w:proofErr w:type="spellEnd"/>
    </w:p>
    <w:p w:rsidR="00CA4EBC" w:rsidRDefault="003C20C0" w:rsidP="003C20C0">
      <w:pPr>
        <w:spacing w:after="0" w:line="240" w:lineRule="auto"/>
        <w:rPr>
          <w:rFonts w:ascii="Times New Roman" w:hAnsi="Times New Roman"/>
          <w:b/>
          <w:bCs/>
          <w:sz w:val="24"/>
          <w:szCs w:val="24"/>
        </w:rPr>
      </w:pPr>
      <w:r w:rsidRPr="00B5007D">
        <w:rPr>
          <w:rFonts w:ascii="Times New Roman" w:hAnsi="Times New Roman"/>
          <w:bCs/>
          <w:sz w:val="24"/>
          <w:szCs w:val="24"/>
        </w:rPr>
        <w:t>Corresponding Author E-mail</w:t>
      </w:r>
      <w:r>
        <w:rPr>
          <w:rFonts w:ascii="Times New Roman" w:hAnsi="Times New Roman"/>
          <w:bCs/>
          <w:sz w:val="24"/>
          <w:szCs w:val="24"/>
        </w:rPr>
        <w:t>:</w:t>
      </w:r>
      <w:r w:rsidR="00C40631">
        <w:rPr>
          <w:rFonts w:ascii="Times New Roman" w:hAnsi="Times New Roman"/>
          <w:bCs/>
          <w:sz w:val="24"/>
          <w:szCs w:val="24"/>
        </w:rPr>
        <w:t xml:space="preserve"> </w:t>
      </w:r>
      <w:hyperlink r:id="rId10" w:history="1">
        <w:r w:rsidR="00C40631" w:rsidRPr="00B5007D">
          <w:rPr>
            <w:rStyle w:val="Hyperlink"/>
            <w:rFonts w:ascii="Times New Roman" w:hAnsi="Times New Roman"/>
            <w:bCs/>
            <w:sz w:val="24"/>
            <w:szCs w:val="24"/>
          </w:rPr>
          <w:t>najebaloyod@gmail.com</w:t>
        </w:r>
      </w:hyperlink>
    </w:p>
    <w:p w:rsidR="00CA4EBC" w:rsidRPr="00DB345E" w:rsidRDefault="00CA4EBC" w:rsidP="00B5007D">
      <w:pPr>
        <w:spacing w:after="0" w:line="240" w:lineRule="auto"/>
        <w:rPr>
          <w:rFonts w:ascii="Times New Roman" w:hAnsi="Times New Roman"/>
          <w:b/>
          <w:bCs/>
          <w:sz w:val="24"/>
          <w:szCs w:val="24"/>
        </w:rPr>
      </w:pPr>
    </w:p>
    <w:p w:rsidR="00DB345E" w:rsidRPr="00DB345E" w:rsidRDefault="00DB345E" w:rsidP="00B5007D">
      <w:pPr>
        <w:spacing w:after="0" w:line="240" w:lineRule="auto"/>
        <w:rPr>
          <w:rFonts w:ascii="Times New Roman" w:hAnsi="Times New Roman"/>
          <w:b/>
          <w:bCs/>
          <w:sz w:val="24"/>
          <w:szCs w:val="24"/>
        </w:rPr>
      </w:pPr>
    </w:p>
    <w:p w:rsidR="00DB345E" w:rsidRDefault="00DB345E" w:rsidP="00DB345E">
      <w:pPr>
        <w:spacing w:after="0" w:line="240" w:lineRule="auto"/>
        <w:jc w:val="both"/>
        <w:rPr>
          <w:rFonts w:ascii="Times New Roman" w:hAnsi="Times New Roman"/>
          <w:b/>
          <w:bCs/>
          <w:sz w:val="24"/>
          <w:szCs w:val="24"/>
        </w:rPr>
      </w:pPr>
    </w:p>
    <w:p w:rsidR="00DB345E" w:rsidRDefault="00DB345E" w:rsidP="00DB345E">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rsidR="00DB345E" w:rsidRDefault="00DB345E">
      <w:pPr>
        <w:spacing w:after="0" w:line="240" w:lineRule="auto"/>
        <w:jc w:val="center"/>
        <w:rPr>
          <w:rFonts w:ascii="Times New Roman" w:hAnsi="Times New Roman"/>
          <w:b/>
          <w:bCs/>
          <w:sz w:val="24"/>
          <w:szCs w:val="24"/>
        </w:rPr>
      </w:pPr>
    </w:p>
    <w:p w:rsidR="00DB345E" w:rsidRDefault="00DB345E">
      <w:pPr>
        <w:spacing w:after="0" w:line="240" w:lineRule="auto"/>
        <w:jc w:val="center"/>
        <w:rPr>
          <w:rFonts w:ascii="Times New Roman" w:hAnsi="Times New Roman"/>
          <w:b/>
          <w:bCs/>
          <w:sz w:val="24"/>
          <w:szCs w:val="24"/>
        </w:rPr>
      </w:pPr>
    </w:p>
    <w:p w:rsidR="000433DD" w:rsidRDefault="000433DD">
      <w:pPr>
        <w:spacing w:after="0" w:line="240" w:lineRule="auto"/>
        <w:jc w:val="center"/>
        <w:rPr>
          <w:rFonts w:ascii="Times New Roman" w:hAnsi="Times New Roman"/>
          <w:b/>
          <w:bCs/>
          <w:sz w:val="24"/>
          <w:szCs w:val="24"/>
        </w:rPr>
      </w:pPr>
    </w:p>
    <w:p w:rsidR="000433DD" w:rsidRDefault="000433DD">
      <w:pPr>
        <w:rPr>
          <w:rFonts w:ascii="Times New Roman" w:hAnsi="Times New Roman" w:cs="Times New Roman"/>
          <w:b/>
          <w:bCs/>
          <w:sz w:val="24"/>
          <w:szCs w:val="24"/>
        </w:rPr>
      </w:pPr>
    </w:p>
    <w:p w:rsidR="000433DD" w:rsidRDefault="000433DD">
      <w:pPr>
        <w:rPr>
          <w:rFonts w:ascii="Times New Roman" w:hAnsi="Times New Roman" w:cs="Times New Roman"/>
          <w:b/>
          <w:bCs/>
          <w:sz w:val="24"/>
          <w:szCs w:val="24"/>
        </w:rPr>
      </w:pPr>
    </w:p>
    <w:p w:rsidR="000433DD" w:rsidRDefault="000433DD">
      <w:pPr>
        <w:rPr>
          <w:rFonts w:ascii="Times New Roman" w:hAnsi="Times New Roman" w:cs="Times New Roman"/>
          <w:b/>
          <w:bCs/>
          <w:sz w:val="24"/>
          <w:szCs w:val="24"/>
        </w:rPr>
      </w:pPr>
    </w:p>
    <w:p w:rsidR="00A85BD7" w:rsidRDefault="00A85BD7">
      <w:pPr>
        <w:rPr>
          <w:rFonts w:ascii="Times New Roman" w:hAnsi="Times New Roman" w:cs="Times New Roman"/>
          <w:b/>
          <w:bCs/>
          <w:sz w:val="24"/>
          <w:szCs w:val="24"/>
        </w:rPr>
      </w:pPr>
    </w:p>
    <w:p w:rsidR="00A85BD7" w:rsidRDefault="00A85BD7">
      <w:pPr>
        <w:rPr>
          <w:rFonts w:ascii="Times New Roman" w:hAnsi="Times New Roman" w:cs="Times New Roman"/>
          <w:b/>
          <w:bCs/>
          <w:sz w:val="24"/>
          <w:szCs w:val="24"/>
        </w:rPr>
      </w:pPr>
    </w:p>
    <w:p w:rsidR="000433DD" w:rsidRDefault="000433DD">
      <w:pPr>
        <w:rPr>
          <w:rFonts w:ascii="Times New Roman" w:hAnsi="Times New Roman" w:cs="Times New Roman"/>
          <w:b/>
          <w:bCs/>
          <w:sz w:val="24"/>
          <w:szCs w:val="24"/>
        </w:rPr>
      </w:pPr>
    </w:p>
    <w:p w:rsidR="000433DD" w:rsidRDefault="000433DD">
      <w:pPr>
        <w:rPr>
          <w:rFonts w:ascii="Times New Roman" w:hAnsi="Times New Roman" w:cs="Times New Roman"/>
          <w:b/>
          <w:bCs/>
          <w:sz w:val="24"/>
          <w:szCs w:val="24"/>
        </w:rPr>
      </w:pPr>
    </w:p>
    <w:p w:rsidR="00CB4B18" w:rsidRDefault="00CB4B18">
      <w:pPr>
        <w:rPr>
          <w:rFonts w:ascii="Times New Roman" w:hAnsi="Times New Roman" w:cs="Times New Roman"/>
          <w:b/>
          <w:bCs/>
          <w:sz w:val="24"/>
          <w:szCs w:val="24"/>
        </w:rPr>
      </w:pPr>
    </w:p>
    <w:p w:rsidR="00C40631" w:rsidRDefault="00C40631">
      <w:pPr>
        <w:rPr>
          <w:rFonts w:ascii="Times New Roman" w:hAnsi="Times New Roman" w:cs="Times New Roman"/>
          <w:b/>
          <w:bCs/>
          <w:sz w:val="24"/>
          <w:szCs w:val="24"/>
        </w:rPr>
      </w:pPr>
    </w:p>
    <w:p w:rsidR="000433DD" w:rsidRDefault="000433DD">
      <w:pPr>
        <w:rPr>
          <w:rFonts w:ascii="Times New Roman" w:hAnsi="Times New Roman" w:cs="Times New Roman"/>
          <w:b/>
          <w:bCs/>
          <w:sz w:val="24"/>
          <w:szCs w:val="24"/>
        </w:rPr>
      </w:pPr>
    </w:p>
    <w:p w:rsidR="000433DD" w:rsidRDefault="00432D06">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Abstract </w:t>
      </w:r>
    </w:p>
    <w:p w:rsidR="000433DD" w:rsidRDefault="00432D0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study utilized an experimental research design, specifically the one-group pre-test and post-test design, to determine the effectiveness of a localized context-based STEM education approach in enhancing the conceptual understanding of Grade VI learners at Sultan Naga </w:t>
      </w:r>
      <w:proofErr w:type="spellStart"/>
      <w:r>
        <w:rPr>
          <w:rFonts w:ascii="Times New Roman" w:hAnsi="Times New Roman" w:cs="Times New Roman"/>
          <w:sz w:val="24"/>
          <w:szCs w:val="24"/>
        </w:rPr>
        <w:t>Dimaporo</w:t>
      </w:r>
      <w:proofErr w:type="spellEnd"/>
      <w:r>
        <w:rPr>
          <w:rFonts w:ascii="Times New Roman" w:hAnsi="Times New Roman" w:cs="Times New Roman"/>
          <w:sz w:val="24"/>
          <w:szCs w:val="24"/>
        </w:rPr>
        <w:t xml:space="preserve"> Memorial Integrated School (SNDMIS), Lanao del Norte. The respondents were thirty-seven (37) learners from Section A, officially enrolled during the Academic Year 2025–2026. A 20-item multiple-choice test aligned with the Science 6 curriculum was administered before and after the intervention, and the data were analyzed using frequency and percentage distribution, mean, and paired t-test. Findings revealed that pre-test scores were generally low, indicating limited prior understanding of science concepts, while post-test results showed a remarkable increase in achievement levels. The mean score increased from 13.51 to 16.22, and the t-test confirmed a significant difference between pre-test and post-test scores (t = –9.50, p &lt; 0.05). This proves that the localized context-based STEM approach effectively improved learners’ conceptual understanding. As part of the intervention, pupils engaged in hands-on activities such as designing a Coral Reef Water Cleaner prototype using recyclable materials. Their outputs, evaluated in terms of design, functionality, creativity, teamwork, and presentation, scored between 90.8% and 96.4%, interpreted as “Outstanding” output. Engagement analysis further showed a grand weighted mean of 2.64, interpreted as “Highly Engaged.” The study concludes that contextualizing STEM instruction through local and familiar situations enhances academic performance, engagement, and motivation.</w:t>
      </w:r>
    </w:p>
    <w:p w:rsidR="000433DD" w:rsidRDefault="000433DD">
      <w:pPr>
        <w:spacing w:after="0" w:line="240" w:lineRule="auto"/>
        <w:ind w:left="720"/>
        <w:jc w:val="both"/>
        <w:rPr>
          <w:rFonts w:ascii="Times New Roman" w:hAnsi="Times New Roman" w:cs="Times New Roman"/>
          <w:sz w:val="24"/>
          <w:szCs w:val="24"/>
        </w:rPr>
      </w:pPr>
    </w:p>
    <w:p w:rsidR="000433DD" w:rsidRDefault="000433DD">
      <w:pPr>
        <w:spacing w:after="0" w:line="240" w:lineRule="auto"/>
        <w:ind w:left="720"/>
        <w:jc w:val="both"/>
        <w:rPr>
          <w:rFonts w:ascii="Times New Roman" w:hAnsi="Times New Roman" w:cs="Times New Roman"/>
          <w:sz w:val="24"/>
          <w:szCs w:val="24"/>
        </w:rPr>
      </w:pPr>
    </w:p>
    <w:p w:rsidR="000433DD" w:rsidRDefault="00432D06">
      <w:pPr>
        <w:spacing w:after="0" w:line="240" w:lineRule="auto"/>
        <w:ind w:left="720"/>
        <w:jc w:val="both"/>
        <w:rPr>
          <w:rFonts w:ascii="Times New Roman" w:eastAsia="Times New Roman" w:hAnsi="Times New Roman" w:cs="Times New Roman"/>
          <w:i/>
          <w:iCs/>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Context-Based Learning, STEM Education, Conceptual Understanding, and Experimental Research</w:t>
      </w:r>
    </w:p>
    <w:p w:rsidR="000433DD" w:rsidRDefault="000433DD">
      <w:pPr>
        <w:ind w:left="720"/>
        <w:rPr>
          <w:rFonts w:ascii="Times New Roman" w:hAnsi="Times New Roman" w:cs="Times New Roman"/>
          <w:b/>
          <w:bCs/>
          <w:sz w:val="24"/>
          <w:szCs w:val="24"/>
        </w:rPr>
      </w:pPr>
    </w:p>
    <w:p w:rsidR="000433DD" w:rsidRDefault="00432D06">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ab/>
        <w:t>The Science Capital and STEM Capital teaching approaches encourage teachers to personalize and localize science and STEM content so that students can see how science is present in their everyday lives and in their communities, with the aim of enhancing engagement, aspiration, and achievement in science (</w:t>
      </w:r>
      <w:proofErr w:type="spellStart"/>
      <w:r>
        <w:rPr>
          <w:rFonts w:ascii="Times New Roman" w:hAnsi="Times New Roman" w:cs="Times New Roman"/>
          <w:sz w:val="24"/>
          <w:szCs w:val="24"/>
        </w:rPr>
        <w:t>Moote</w:t>
      </w:r>
      <w:proofErr w:type="spellEnd"/>
      <w:r>
        <w:rPr>
          <w:rFonts w:ascii="Times New Roman" w:hAnsi="Times New Roman" w:cs="Times New Roman"/>
          <w:sz w:val="24"/>
          <w:szCs w:val="24"/>
        </w:rPr>
        <w:t xml:space="preserve"> et al., 2020).</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The context of STEM education instruction requires solving the real-world problem or task through teamwork. Another conceptualized idea of teaching and learning in STEM education was suggested by Williams (2019). He provided some practical ideas of STEM teaching and learning which focuses on processes and engagement of students in collaborative activity. He discussed that the principles of teaching and learning in STEM Education: (1) involves the integration of science, technology and mathematics, (2) is student centered, (3) engages students in collaborative activity, (4) focusses on processes, (5) occurs within the curriculum (is not extra-curricular); and (6) is project and/or problem based.</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 xml:space="preserve">According to William (2019) he reminded some implications when students move on the processes of doing STEM activities. STEM education should focus more on process rather than content. The STEM education is important learning occurs through the activities of the process. However, content could be applied when the learning of content is necessary through an activity to a situation. It focuses on the activities of the process will also enable student to learn from failure. Therefore, teachers should not expect too much too soon from students. It will </w:t>
      </w:r>
      <w:r>
        <w:rPr>
          <w:rFonts w:ascii="Times New Roman" w:hAnsi="Times New Roman" w:cs="Times New Roman"/>
          <w:sz w:val="24"/>
          <w:szCs w:val="24"/>
        </w:rPr>
        <w:lastRenderedPageBreak/>
        <w:t>take time for them to get used to this complexity, and the progressive development from a simple approach to something more complex.</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 xml:space="preserve">Furthermore, localized learning includes pedagogical approaches that use local contexts to enhance the relevance and authenticity of STEM education to students in primary and secondary schools. Pedagogical approaches are an example of school-level factors, which are a promising area of research given their potential malleability (van den </w:t>
      </w:r>
      <w:proofErr w:type="spellStart"/>
      <w:r>
        <w:rPr>
          <w:rFonts w:ascii="Times New Roman" w:hAnsi="Times New Roman" w:cs="Times New Roman"/>
          <w:sz w:val="24"/>
          <w:szCs w:val="24"/>
        </w:rPr>
        <w:t>Hurk</w:t>
      </w:r>
      <w:proofErr w:type="spellEnd"/>
      <w:r>
        <w:rPr>
          <w:rFonts w:ascii="Times New Roman" w:hAnsi="Times New Roman" w:cs="Times New Roman"/>
          <w:sz w:val="24"/>
          <w:szCs w:val="24"/>
        </w:rPr>
        <w:t xml:space="preserve"> et al., 2019). The STEM motivation scale, originally called “Development and practicing of a scale to measure students’ STEM continuing motivation,” developed by Luo et al. (2019), was used to reveal students’ motivation levels for STEM. The scale was developed to measure the STEM motivations of 7th and 8th-grade students (</w:t>
      </w:r>
      <w:proofErr w:type="spellStart"/>
      <w:r>
        <w:rPr>
          <w:rFonts w:ascii="Times New Roman" w:hAnsi="Times New Roman" w:cs="Times New Roman"/>
          <w:sz w:val="24"/>
          <w:szCs w:val="24"/>
        </w:rPr>
        <w:t>Şimşek</w:t>
      </w:r>
      <w:proofErr w:type="spellEnd"/>
      <w:r>
        <w:rPr>
          <w:rFonts w:ascii="Times New Roman" w:hAnsi="Times New Roman" w:cs="Times New Roman"/>
          <w:sz w:val="24"/>
          <w:szCs w:val="24"/>
        </w:rPr>
        <w:t xml:space="preserve"> &amp;</w:t>
      </w:r>
      <w:proofErr w:type="spellStart"/>
      <w:r>
        <w:rPr>
          <w:rFonts w:ascii="Times New Roman" w:hAnsi="Times New Roman" w:cs="Times New Roman"/>
          <w:sz w:val="24"/>
          <w:szCs w:val="24"/>
        </w:rPr>
        <w:t>Hamzaoğlu</w:t>
      </w:r>
      <w:proofErr w:type="spellEnd"/>
      <w:r>
        <w:rPr>
          <w:rFonts w:ascii="Times New Roman" w:hAnsi="Times New Roman" w:cs="Times New Roman"/>
          <w:sz w:val="24"/>
          <w:szCs w:val="24"/>
        </w:rPr>
        <w:t>, 2022).</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 xml:space="preserve">Despite the increasing emphasis on STEM education, research on its application at the elementary level, particularly in Science 6, remains limited. The absence of localized teaching strategies in many schools leads to missed opportunities for connecting scientific concepts to students’ daily lives. </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This research aims to bridge that gap by investigating the effectiveness of localized context-based STEM education approach in teaching Science 6. Specifically, this study seeks to determine how this approach impact students’ engagement, interest, and academic performance compared to traditional teaching methods. By investigating this aspect, this study will provide how localized context-based STEM education approach can enhance science learning.</w:t>
      </w:r>
    </w:p>
    <w:p w:rsidR="000433DD" w:rsidRDefault="000433DD">
      <w:pPr>
        <w:pStyle w:val="ListParagraph"/>
        <w:spacing w:after="0" w:line="240" w:lineRule="auto"/>
        <w:ind w:left="360" w:right="-13"/>
        <w:jc w:val="both"/>
        <w:rPr>
          <w:rFonts w:ascii="Times New Roman" w:hAnsi="Times New Roman" w:cs="Times New Roman"/>
          <w:sz w:val="24"/>
          <w:szCs w:val="24"/>
        </w:rPr>
      </w:pPr>
    </w:p>
    <w:p w:rsidR="000433DD" w:rsidRDefault="00432D06">
      <w:pPr>
        <w:pStyle w:val="ListParagraph"/>
        <w:numPr>
          <w:ilvl w:val="0"/>
          <w:numId w:val="1"/>
        </w:num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Research objective</w:t>
      </w:r>
    </w:p>
    <w:p w:rsidR="000433DD" w:rsidRDefault="00432D06">
      <w:pPr>
        <w:spacing w:after="0" w:line="240" w:lineRule="auto"/>
        <w:ind w:left="360" w:right="-13" w:firstLine="360"/>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The study aimed to determine the effectiveness of the localized context-based STEM education approach in teaching Science 6 at Sultan Naga </w:t>
      </w:r>
      <w:proofErr w:type="spellStart"/>
      <w:r>
        <w:rPr>
          <w:rFonts w:ascii="Times New Roman" w:eastAsia="Times New Roman" w:hAnsi="Times New Roman" w:cs="Times New Roman"/>
          <w:kern w:val="0"/>
          <w:sz w:val="24"/>
          <w:szCs w:val="24"/>
          <w:lang w:eastAsia="en-PH"/>
          <w14:ligatures w14:val="none"/>
        </w:rPr>
        <w:t>Dimaporo</w:t>
      </w:r>
      <w:proofErr w:type="spellEnd"/>
      <w:r>
        <w:rPr>
          <w:rFonts w:ascii="Times New Roman" w:eastAsia="Times New Roman" w:hAnsi="Times New Roman" w:cs="Times New Roman"/>
          <w:kern w:val="0"/>
          <w:sz w:val="24"/>
          <w:szCs w:val="24"/>
          <w:lang w:eastAsia="en-PH"/>
          <w14:ligatures w14:val="none"/>
        </w:rPr>
        <w:t xml:space="preserve"> Memorial Integrated School (SNDMIS). Specifically, it sought to evaluate the approach’s effectiveness by analyzing pupils’ demographic profiles, assessing their pre-test and post-test performance, determining significant differences in learning outcomes, and examining pupils’ level of engagement during instruction. This approach provided essential evidence on the impact of localized context-based STEM instruction in enhancing pupils’ learning and engagement in Science.</w:t>
      </w:r>
    </w:p>
    <w:p w:rsidR="000433DD" w:rsidRDefault="000433DD">
      <w:pPr>
        <w:spacing w:after="0" w:line="240" w:lineRule="auto"/>
        <w:ind w:left="360" w:right="-13" w:firstLine="360"/>
        <w:jc w:val="both"/>
        <w:rPr>
          <w:rFonts w:ascii="Times New Roman" w:eastAsia="Times New Roman" w:hAnsi="Times New Roman" w:cs="Times New Roman"/>
          <w:kern w:val="0"/>
          <w:sz w:val="24"/>
          <w:szCs w:val="24"/>
          <w:lang w:eastAsia="en-PH"/>
          <w14:ligatures w14:val="none"/>
        </w:rPr>
      </w:pPr>
    </w:p>
    <w:p w:rsidR="000433DD" w:rsidRDefault="00432D06">
      <w:pPr>
        <w:pStyle w:val="ListParagraph"/>
        <w:numPr>
          <w:ilvl w:val="0"/>
          <w:numId w:val="1"/>
        </w:num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 xml:space="preserve">Hypothesis </w:t>
      </w:r>
    </w:p>
    <w:p w:rsidR="000433DD" w:rsidRDefault="00432D06">
      <w:pPr>
        <w:spacing w:after="0" w:line="240" w:lineRule="auto"/>
        <w:ind w:left="360" w:right="-13" w:firstLine="360"/>
        <w:jc w:val="both"/>
        <w:rPr>
          <w:rFonts w:ascii="Times New Roman" w:hAnsi="Times New Roman" w:cs="Times New Roman"/>
          <w:sz w:val="24"/>
          <w:szCs w:val="24"/>
        </w:rPr>
      </w:pPr>
      <w:r>
        <w:rPr>
          <w:rFonts w:ascii="Times New Roman" w:hAnsi="Times New Roman" w:cs="Times New Roman"/>
          <w:sz w:val="24"/>
          <w:szCs w:val="24"/>
        </w:rPr>
        <w:t>This study proposed that there is no significant difference between the pre-test and post-test scores of the pupils taught using the localized context-based STEM education approach.</w:t>
      </w:r>
    </w:p>
    <w:p w:rsidR="000433DD" w:rsidRDefault="000433DD">
      <w:pPr>
        <w:spacing w:after="0" w:line="240" w:lineRule="auto"/>
        <w:ind w:left="360" w:right="-13" w:firstLine="360"/>
        <w:jc w:val="both"/>
        <w:rPr>
          <w:rFonts w:ascii="Times New Roman" w:hAnsi="Times New Roman" w:cs="Times New Roman"/>
          <w:sz w:val="24"/>
          <w:szCs w:val="24"/>
        </w:rPr>
      </w:pPr>
    </w:p>
    <w:p w:rsidR="000433DD" w:rsidRDefault="00432D06">
      <w:pPr>
        <w:pStyle w:val="ListParagraph"/>
        <w:numPr>
          <w:ilvl w:val="0"/>
          <w:numId w:val="1"/>
        </w:num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rsidR="000433DD" w:rsidRDefault="00432D06">
      <w:pPr>
        <w:spacing w:after="0" w:line="240" w:lineRule="auto"/>
        <w:ind w:left="360" w:right="-13" w:firstLine="360"/>
        <w:jc w:val="both"/>
        <w:rPr>
          <w:rFonts w:ascii="Times New Roman" w:hAnsi="Times New Roman" w:cs="Times New Roman"/>
          <w:sz w:val="24"/>
          <w:szCs w:val="24"/>
        </w:rPr>
      </w:pPr>
      <w:r>
        <w:rPr>
          <w:rFonts w:ascii="Times New Roman" w:hAnsi="Times New Roman" w:cs="Times New Roman"/>
          <w:sz w:val="24"/>
          <w:szCs w:val="24"/>
        </w:rPr>
        <w:t xml:space="preserve">A research framework for implementing the Localized Context-Based STEM Education Approach was anchored on several learning theories that emphasize the importance of experience, context, and social interaction in the learning process. Constructivist Learning Theory (Piaget, 1950; Vygotsky, 1978) underscores that learners actively build their understanding through experiences and social interactions. This aligns with localized STEM education, which enables students to construct scientific knowledge through engagement with familiar, real-life contexts. Contextual Learning Theory (Hull, 1995) emphasizes that learning becomes meaningful when new knowledge is connected to real-world situations. This supports the integration of local issues and community-based examples into Science instruction, allowing students to relate academic concepts to their everyday lives and develop applicable problem-solving skills. Situated Learning Theory (Lave &amp; Wenger, 1991) further supports this </w:t>
      </w:r>
      <w:r>
        <w:rPr>
          <w:rFonts w:ascii="Times New Roman" w:hAnsi="Times New Roman" w:cs="Times New Roman"/>
          <w:sz w:val="24"/>
          <w:szCs w:val="24"/>
        </w:rPr>
        <w:lastRenderedPageBreak/>
        <w:t>approach by asserting that learning is most effective when it occurs within authentic contexts and communities of practice. Through hands-on, community-centered activities, students can apply scientific concepts in real-world environments, promoting deeper understanding and sustained engagement. Taken together, these theoretical foundations provide a strong basis for implementing a localized, context-based STEM approach in Science 6. By situating learning within students’ local environment and experiences, the approach promotes active participation, meaningful learning, and improved conceptual understanding, while fostering problem-solving skills and real-world application of scientific knowledge.</w:t>
      </w:r>
    </w:p>
    <w:p w:rsidR="000433DD" w:rsidRDefault="000433DD">
      <w:pPr>
        <w:spacing w:after="0" w:line="240" w:lineRule="auto"/>
        <w:ind w:left="360" w:right="-13" w:firstLine="360"/>
        <w:jc w:val="both"/>
        <w:rPr>
          <w:rFonts w:ascii="Times New Roman" w:hAnsi="Times New Roman" w:cs="Times New Roman"/>
          <w:sz w:val="24"/>
          <w:szCs w:val="24"/>
        </w:rPr>
      </w:pPr>
    </w:p>
    <w:p w:rsidR="000433DD" w:rsidRDefault="00432D06">
      <w:pPr>
        <w:pStyle w:val="ListParagraph"/>
        <w:numPr>
          <w:ilvl w:val="0"/>
          <w:numId w:val="1"/>
        </w:num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lang w:bidi="th-TH"/>
        </w:rPr>
        <w:t>Research methodology</w:t>
      </w:r>
    </w:p>
    <w:p w:rsidR="000433DD" w:rsidRDefault="00432D06">
      <w:pPr>
        <w:spacing w:after="0" w:line="240" w:lineRule="auto"/>
        <w:ind w:left="360" w:right="-13" w:firstLine="360"/>
        <w:jc w:val="both"/>
        <w:rPr>
          <w:rFonts w:ascii="Times New Roman" w:hAnsi="Times New Roman" w:cs="Times New Roman"/>
          <w:bCs/>
          <w:sz w:val="24"/>
          <w:szCs w:val="24"/>
        </w:rPr>
      </w:pPr>
      <w:r>
        <w:rPr>
          <w:rFonts w:ascii="Times New Roman" w:hAnsi="Times New Roman" w:cs="Times New Roman"/>
          <w:bCs/>
          <w:sz w:val="24"/>
          <w:szCs w:val="24"/>
        </w:rPr>
        <w:t>The instructional intervention implemented in this study was deliberately designed to be localized and context-based, with the goal of increasing learners’ engagement and understanding by anchoring Science concepts in their immediate environmental and community experiences. The localized context-based STEM approach integrates real-life local issues, indigenous knowledge, and familiar surroundings into Science instruction, allowing learners to perceive the relevance and practical application of scientific concepts in their daily lives. This approach also strengthens the connection between school learning and community realities, consistent with constructivist and contextual learning principles that emphasize meaningful, learner-centered experiences.</w:t>
      </w:r>
    </w:p>
    <w:p w:rsidR="000433DD" w:rsidRDefault="00432D06">
      <w:pPr>
        <w:spacing w:after="0" w:line="240" w:lineRule="auto"/>
        <w:ind w:left="360" w:right="-13" w:firstLine="360"/>
        <w:jc w:val="both"/>
        <w:rPr>
          <w:rFonts w:ascii="Times New Roman" w:hAnsi="Times New Roman" w:cs="Times New Roman"/>
          <w:bCs/>
          <w:sz w:val="24"/>
          <w:szCs w:val="24"/>
        </w:rPr>
      </w:pPr>
      <w:r>
        <w:rPr>
          <w:rFonts w:ascii="Times New Roman" w:hAnsi="Times New Roman" w:cs="Times New Roman"/>
          <w:bCs/>
          <w:sz w:val="24"/>
          <w:szCs w:val="24"/>
        </w:rPr>
        <w:t>The study employed an experimental one-group pretest–posttest research design to determine the effectiveness of the localized context-based STEM education approach in teaching Science 6. Quantitative data were supported by descriptive observations of learner engagement during the implementation of the intervention. Data were collected through pretest and posttest assessments, engagement survey questionnaires, and prototype evaluation rubrics used to assess pupils’ outputs during STEM activities.</w:t>
      </w:r>
    </w:p>
    <w:p w:rsidR="000433DD" w:rsidRDefault="00432D06">
      <w:pPr>
        <w:spacing w:after="0" w:line="240" w:lineRule="auto"/>
        <w:ind w:left="360" w:right="-13" w:firstLine="360"/>
        <w:jc w:val="both"/>
        <w:rPr>
          <w:rFonts w:ascii="Times New Roman" w:hAnsi="Times New Roman" w:cs="Times New Roman"/>
          <w:bCs/>
          <w:sz w:val="24"/>
          <w:szCs w:val="24"/>
        </w:rPr>
      </w:pPr>
      <w:r>
        <w:rPr>
          <w:rFonts w:ascii="Times New Roman" w:hAnsi="Times New Roman" w:cs="Times New Roman"/>
          <w:bCs/>
          <w:sz w:val="24"/>
          <w:szCs w:val="24"/>
        </w:rPr>
        <w:t xml:space="preserve">A purposive sampling technique was utilized in selecting the respondents of the study. The participants consisted of thirty-seven (37) Grade 6 pupils from Section A of Sultan Naga </w:t>
      </w:r>
      <w:proofErr w:type="spellStart"/>
      <w:r>
        <w:rPr>
          <w:rFonts w:ascii="Times New Roman" w:hAnsi="Times New Roman" w:cs="Times New Roman"/>
          <w:bCs/>
          <w:sz w:val="24"/>
          <w:szCs w:val="24"/>
        </w:rPr>
        <w:t>Dimaporo</w:t>
      </w:r>
      <w:proofErr w:type="spellEnd"/>
      <w:r>
        <w:rPr>
          <w:rFonts w:ascii="Times New Roman" w:hAnsi="Times New Roman" w:cs="Times New Roman"/>
          <w:bCs/>
          <w:sz w:val="24"/>
          <w:szCs w:val="24"/>
        </w:rPr>
        <w:t xml:space="preserve"> Memorial Integrated School, who were selected based on predetermined criteria relevant to the objectives of the study. These criteria ensured that the respondents were appropriate for evaluating the effects of the localized STEM intervention.</w:t>
      </w:r>
    </w:p>
    <w:p w:rsidR="000433DD" w:rsidRDefault="00432D06">
      <w:pPr>
        <w:spacing w:after="0" w:line="240" w:lineRule="auto"/>
        <w:ind w:left="360" w:right="-13" w:firstLine="360"/>
        <w:jc w:val="both"/>
        <w:rPr>
          <w:rFonts w:ascii="Times New Roman" w:hAnsi="Times New Roman" w:cs="Times New Roman"/>
          <w:bCs/>
          <w:sz w:val="24"/>
          <w:szCs w:val="24"/>
        </w:rPr>
      </w:pPr>
      <w:r>
        <w:rPr>
          <w:rFonts w:ascii="Times New Roman" w:hAnsi="Times New Roman" w:cs="Times New Roman"/>
          <w:bCs/>
          <w:sz w:val="24"/>
          <w:szCs w:val="24"/>
        </w:rPr>
        <w:t>Data analysis involved both quantitative and descriptive techniques. Pretest and posttest scores were analyzed using frequency, percentage distribution, mean, and paired-sample t-test to determine whether a significant difference existed between learners’ performance before and after the intervention. Engagement levels and prototype evaluation results were analyzed using weighted mean and descriptive interpretation.</w:t>
      </w:r>
    </w:p>
    <w:p w:rsidR="000433DD" w:rsidRDefault="00432D06">
      <w:pPr>
        <w:spacing w:after="0" w:line="240" w:lineRule="auto"/>
        <w:ind w:left="360" w:right="-13" w:firstLine="360"/>
        <w:jc w:val="both"/>
        <w:rPr>
          <w:rFonts w:ascii="Times New Roman" w:hAnsi="Times New Roman" w:cs="Times New Roman"/>
          <w:bCs/>
          <w:sz w:val="24"/>
          <w:szCs w:val="24"/>
        </w:rPr>
      </w:pPr>
      <w:r>
        <w:rPr>
          <w:rFonts w:ascii="Times New Roman" w:hAnsi="Times New Roman" w:cs="Times New Roman"/>
          <w:bCs/>
          <w:sz w:val="24"/>
          <w:szCs w:val="24"/>
        </w:rPr>
        <w:t>Ethical considerations were strictly observed throughout the conduct of the study. Informed consent was secured from the respondents prior to data collection to ensure voluntary participation. The respondents were fully informed of the purpose of the study, their role as participants, and their right to withdraw at any time without penalty. Confidentiality and anonymity of responses were assured, thereby safeguarding the participants’ rights and privacy in accordance with ethical research standards.</w:t>
      </w:r>
    </w:p>
    <w:p w:rsidR="000433DD" w:rsidRDefault="000433DD">
      <w:pPr>
        <w:spacing w:after="0" w:line="240" w:lineRule="auto"/>
        <w:ind w:left="360" w:right="-13" w:firstLine="360"/>
        <w:jc w:val="both"/>
        <w:rPr>
          <w:rFonts w:ascii="Times New Roman" w:hAnsi="Times New Roman" w:cs="Times New Roman"/>
          <w:bCs/>
          <w:sz w:val="24"/>
          <w:szCs w:val="24"/>
        </w:rPr>
      </w:pPr>
    </w:p>
    <w:p w:rsidR="000433DD" w:rsidRDefault="000433DD">
      <w:pPr>
        <w:spacing w:after="0" w:line="240" w:lineRule="auto"/>
        <w:ind w:left="360" w:right="-13" w:firstLine="360"/>
        <w:jc w:val="both"/>
        <w:rPr>
          <w:rFonts w:ascii="Times New Roman" w:hAnsi="Times New Roman" w:cs="Times New Roman"/>
          <w:bCs/>
          <w:sz w:val="24"/>
          <w:szCs w:val="24"/>
        </w:rPr>
      </w:pPr>
    </w:p>
    <w:p w:rsidR="000433DD" w:rsidRDefault="000433DD">
      <w:pPr>
        <w:spacing w:after="0" w:line="240" w:lineRule="auto"/>
        <w:ind w:left="360" w:right="-13" w:firstLine="360"/>
        <w:jc w:val="both"/>
        <w:rPr>
          <w:rFonts w:ascii="Times New Roman" w:hAnsi="Times New Roman" w:cs="Times New Roman"/>
          <w:bCs/>
          <w:sz w:val="24"/>
          <w:szCs w:val="24"/>
        </w:rPr>
      </w:pPr>
    </w:p>
    <w:p w:rsidR="000433DD" w:rsidRDefault="000433DD">
      <w:pPr>
        <w:spacing w:after="0" w:line="240" w:lineRule="auto"/>
        <w:ind w:left="360" w:right="-13" w:firstLine="360"/>
        <w:jc w:val="both"/>
        <w:rPr>
          <w:rFonts w:ascii="Times New Roman" w:hAnsi="Times New Roman" w:cs="Times New Roman"/>
          <w:bCs/>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432D06">
      <w:pPr>
        <w:pStyle w:val="ListParagraph"/>
        <w:numPr>
          <w:ilvl w:val="0"/>
          <w:numId w:val="1"/>
        </w:num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rPr>
        <w:lastRenderedPageBreak/>
        <w:t>Research findings</w:t>
      </w:r>
    </w:p>
    <w:p w:rsidR="000433DD" w:rsidRDefault="00432D06">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4.1 Respondents’ Profile</w:t>
      </w:r>
    </w:p>
    <w:p w:rsidR="000433DD" w:rsidRDefault="00432D06">
      <w:pPr>
        <w:spacing w:after="0" w:line="240" w:lineRule="auto"/>
        <w:ind w:firstLine="720"/>
        <w:jc w:val="both"/>
        <w:rPr>
          <w:rFonts w:ascii="Times New Roman" w:hAnsi="Times New Roman"/>
          <w:sz w:val="24"/>
          <w:szCs w:val="24"/>
        </w:rPr>
      </w:pPr>
      <w:r>
        <w:rPr>
          <w:rFonts w:ascii="Times New Roman" w:hAnsi="Times New Roman" w:cs="Times New Roman"/>
          <w:sz w:val="24"/>
          <w:szCs w:val="24"/>
        </w:rPr>
        <w:t xml:space="preserve">Table 4.1 presents the frequency and percentage distribution of the respondents according to their age. Out of the thirty-seven (37) pupils, the majority were 11 years old (f = 31, 83.78%), followed by those aged 12 (f = 3, 8.11%), 10 (f = 2, 5.41%), and 13 (f = 1, 2.70%). These results indicate that most of the respondents fall within the expected age range for Grade 6 learners. </w:t>
      </w:r>
      <w:r>
        <w:rPr>
          <w:rFonts w:ascii="Times New Roman" w:hAnsi="Times New Roman"/>
          <w:sz w:val="24"/>
          <w:szCs w:val="24"/>
        </w:rPr>
        <w:t xml:space="preserve">According to Piaget (1972), children around the age of 11 enter the formal operational stage, which allows abstract reasoning. Vygotsky also emphasized that effective learning occurs when instruction is linked to cultural and community contexts. Holmes et al. (2012) and </w:t>
      </w:r>
      <w:proofErr w:type="spellStart"/>
      <w:r>
        <w:rPr>
          <w:rFonts w:ascii="Times New Roman" w:hAnsi="Times New Roman"/>
          <w:sz w:val="24"/>
          <w:szCs w:val="24"/>
        </w:rPr>
        <w:t>Kostol</w:t>
      </w:r>
      <w:proofErr w:type="spellEnd"/>
      <w:r>
        <w:rPr>
          <w:rFonts w:ascii="Times New Roman" w:hAnsi="Times New Roman"/>
          <w:sz w:val="24"/>
          <w:szCs w:val="24"/>
        </w:rPr>
        <w:t xml:space="preserve"> &amp; </w:t>
      </w:r>
      <w:proofErr w:type="spellStart"/>
      <w:r>
        <w:rPr>
          <w:rFonts w:ascii="Times New Roman" w:hAnsi="Times New Roman"/>
          <w:sz w:val="24"/>
          <w:szCs w:val="24"/>
        </w:rPr>
        <w:t>Remmen</w:t>
      </w:r>
      <w:proofErr w:type="spellEnd"/>
      <w:r>
        <w:rPr>
          <w:rFonts w:ascii="Times New Roman" w:hAnsi="Times New Roman"/>
          <w:sz w:val="24"/>
          <w:szCs w:val="24"/>
        </w:rPr>
        <w:t xml:space="preserve"> (2022) supported this by stating that localized STEM enhances comprehension when tied to real-life applications.</w:t>
      </w:r>
    </w:p>
    <w:p w:rsidR="000433DD" w:rsidRDefault="000433DD">
      <w:pPr>
        <w:pStyle w:val="ListParagraph"/>
        <w:spacing w:after="0" w:line="240" w:lineRule="auto"/>
        <w:ind w:firstLine="431"/>
        <w:jc w:val="both"/>
        <w:rPr>
          <w:rFonts w:ascii="Times New Roman" w:hAnsi="Times New Roman" w:cs="Times New Roman"/>
          <w:b/>
          <w:sz w:val="24"/>
          <w:szCs w:val="24"/>
        </w:rPr>
      </w:pPr>
    </w:p>
    <w:p w:rsidR="000433DD" w:rsidRDefault="000433DD">
      <w:pPr>
        <w:pStyle w:val="ListParagraph"/>
        <w:spacing w:after="0" w:line="240" w:lineRule="auto"/>
        <w:jc w:val="both"/>
        <w:rPr>
          <w:rFonts w:ascii="Times New Roman" w:hAnsi="Times New Roman" w:cs="Times New Roman"/>
          <w:sz w:val="24"/>
          <w:szCs w:val="24"/>
        </w:rPr>
      </w:pPr>
    </w:p>
    <w:p w:rsidR="000433DD" w:rsidRDefault="00432D06">
      <w:pPr>
        <w:spacing w:after="0" w:line="240" w:lineRule="auto"/>
        <w:ind w:left="720" w:firstLine="431"/>
        <w:rPr>
          <w:rFonts w:ascii="Times New Roman" w:hAnsi="Times New Roman" w:cs="Times New Roman"/>
          <w:bCs/>
          <w:sz w:val="24"/>
          <w:szCs w:val="24"/>
        </w:rPr>
      </w:pPr>
      <w:r>
        <w:rPr>
          <w:rFonts w:ascii="Times New Roman" w:hAnsi="Times New Roman" w:cs="Times New Roman"/>
          <w:b/>
          <w:sz w:val="24"/>
          <w:szCs w:val="24"/>
        </w:rPr>
        <w:t>Table 4.1.</w:t>
      </w:r>
      <w:r>
        <w:rPr>
          <w:rFonts w:ascii="Times New Roman" w:hAnsi="Times New Roman" w:cs="Times New Roman"/>
          <w:sz w:val="24"/>
          <w:szCs w:val="24"/>
        </w:rPr>
        <w:t xml:space="preserve"> </w:t>
      </w:r>
      <w:r>
        <w:rPr>
          <w:rFonts w:ascii="Times New Roman" w:hAnsi="Times New Roman" w:cs="Times New Roman"/>
          <w:bCs/>
          <w:sz w:val="24"/>
          <w:szCs w:val="24"/>
        </w:rPr>
        <w:t>Frequency and Percentage Distribution of the Respondent of the</w:t>
      </w:r>
    </w:p>
    <w:p w:rsidR="000433DD" w:rsidRDefault="00432D06">
      <w:pPr>
        <w:spacing w:after="0" w:line="240" w:lineRule="auto"/>
        <w:ind w:left="2138"/>
        <w:rPr>
          <w:rFonts w:ascii="Times New Roman" w:hAnsi="Times New Roman" w:cs="Times New Roman"/>
          <w:bCs/>
          <w:sz w:val="24"/>
          <w:szCs w:val="24"/>
        </w:rPr>
      </w:pPr>
      <w:r>
        <w:rPr>
          <w:rFonts w:ascii="Times New Roman" w:hAnsi="Times New Roman" w:cs="Times New Roman"/>
          <w:bCs/>
          <w:sz w:val="24"/>
          <w:szCs w:val="24"/>
        </w:rPr>
        <w:t xml:space="preserve"> Demographic Profile in terms of Age (n=37)</w:t>
      </w:r>
    </w:p>
    <w:tbl>
      <w:tblPr>
        <w:tblpPr w:leftFromText="180" w:rightFromText="180" w:vertAnchor="text" w:horzAnchor="margin" w:tblpXSpec="center" w:tblpY="13"/>
        <w:tblW w:w="8010" w:type="dxa"/>
        <w:tblBorders>
          <w:top w:val="double" w:sz="4" w:space="0" w:color="auto"/>
          <w:bottom w:val="double" w:sz="4" w:space="0" w:color="auto"/>
        </w:tblBorders>
        <w:tblLook w:val="04A0" w:firstRow="1" w:lastRow="0" w:firstColumn="1" w:lastColumn="0" w:noHBand="0" w:noVBand="1"/>
      </w:tblPr>
      <w:tblGrid>
        <w:gridCol w:w="2127"/>
        <w:gridCol w:w="2614"/>
        <w:gridCol w:w="3269"/>
      </w:tblGrid>
      <w:tr w:rsidR="000433DD">
        <w:trPr>
          <w:trHeight w:val="330"/>
        </w:trPr>
        <w:tc>
          <w:tcPr>
            <w:tcW w:w="2127"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Age</w:t>
            </w:r>
          </w:p>
        </w:tc>
        <w:tc>
          <w:tcPr>
            <w:tcW w:w="2614"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269"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0433DD">
        <w:tc>
          <w:tcPr>
            <w:tcW w:w="2127"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614"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69"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2.70</w:t>
            </w:r>
          </w:p>
        </w:tc>
      </w:tr>
      <w:tr w:rsidR="000433DD">
        <w:tc>
          <w:tcPr>
            <w:tcW w:w="2127"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14"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69"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8.11</w:t>
            </w:r>
          </w:p>
        </w:tc>
      </w:tr>
      <w:tr w:rsidR="000433DD">
        <w:tc>
          <w:tcPr>
            <w:tcW w:w="2127"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614"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269"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83.78</w:t>
            </w:r>
          </w:p>
        </w:tc>
      </w:tr>
      <w:tr w:rsidR="000433DD">
        <w:tc>
          <w:tcPr>
            <w:tcW w:w="2127"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14"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269"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5.41</w:t>
            </w:r>
          </w:p>
        </w:tc>
      </w:tr>
    </w:tbl>
    <w:p w:rsidR="000433DD" w:rsidRDefault="000433DD">
      <w:pPr>
        <w:pStyle w:val="ListParagraph"/>
        <w:spacing w:after="0" w:line="240" w:lineRule="auto"/>
        <w:ind w:left="2556"/>
        <w:jc w:val="both"/>
        <w:rPr>
          <w:rFonts w:ascii="Times New Roman" w:hAnsi="Times New Roman" w:cs="Times New Roman"/>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720"/>
        <w:jc w:val="both"/>
        <w:rPr>
          <w:rFonts w:ascii="Times New Roman" w:hAnsi="Times New Roman" w:cs="Times New Roman"/>
          <w:sz w:val="24"/>
          <w:szCs w:val="24"/>
        </w:rPr>
      </w:pPr>
    </w:p>
    <w:p w:rsidR="000433DD" w:rsidRDefault="00432D06">
      <w:pPr>
        <w:spacing w:after="0" w:line="240" w:lineRule="auto"/>
        <w:ind w:firstLine="720"/>
        <w:jc w:val="both"/>
        <w:rPr>
          <w:rFonts w:ascii="Times New Roman" w:hAnsi="Times New Roman"/>
          <w:sz w:val="24"/>
          <w:szCs w:val="24"/>
        </w:rPr>
      </w:pPr>
      <w:r>
        <w:rPr>
          <w:rFonts w:ascii="Times New Roman" w:hAnsi="Times New Roman" w:cs="Times New Roman"/>
          <w:sz w:val="24"/>
          <w:szCs w:val="24"/>
        </w:rPr>
        <w:t xml:space="preserve">Table 4.2 shows the gender distribution of the respondents. Out of thirty-seven (37) pupils, 22 (59.46%) were female, while 15 (40.54%) were male. This reflects a slightly higher number of female participants in the study. </w:t>
      </w:r>
      <w:r>
        <w:rPr>
          <w:rFonts w:ascii="Times New Roman" w:hAnsi="Times New Roman"/>
          <w:sz w:val="24"/>
          <w:szCs w:val="24"/>
        </w:rPr>
        <w:t>The predominance of female respondents highlights the potential of localized STEM approaches to promote inclusivity in Science education. Female learners are often underrepresented in STEM fields, and providing meaningful, localized instruction may encourage greater participation.</w:t>
      </w:r>
    </w:p>
    <w:p w:rsidR="000433DD" w:rsidRDefault="00432D06">
      <w:pPr>
        <w:spacing w:after="0" w:line="240" w:lineRule="auto"/>
        <w:ind w:firstLine="720"/>
        <w:jc w:val="both"/>
        <w:rPr>
          <w:rFonts w:ascii="Times New Roman" w:hAnsi="Times New Roman"/>
          <w:sz w:val="24"/>
          <w:szCs w:val="24"/>
        </w:rPr>
      </w:pPr>
      <w:r>
        <w:rPr>
          <w:rFonts w:ascii="Times New Roman" w:hAnsi="Times New Roman"/>
          <w:sz w:val="24"/>
          <w:szCs w:val="24"/>
        </w:rPr>
        <w:t xml:space="preserve">According to Berger et al. (2020), gender differences in STEM often emerge early, placing female learners at a disadvantage. However, </w:t>
      </w:r>
      <w:proofErr w:type="spellStart"/>
      <w:r>
        <w:rPr>
          <w:rFonts w:ascii="Times New Roman" w:hAnsi="Times New Roman"/>
          <w:sz w:val="24"/>
          <w:szCs w:val="24"/>
        </w:rPr>
        <w:t>Moote</w:t>
      </w:r>
      <w:proofErr w:type="spellEnd"/>
      <w:r>
        <w:rPr>
          <w:rFonts w:ascii="Times New Roman" w:hAnsi="Times New Roman"/>
          <w:sz w:val="24"/>
          <w:szCs w:val="24"/>
        </w:rPr>
        <w:t xml:space="preserve"> et al. (2020) emphasized that localized and personalized instruction can enhance engagement among girls. Likewise, Freeman et al. (2019) highlighted the crucial role of teacher strategies in ensuring equitable participation in STEM classrooms.</w:t>
      </w:r>
    </w:p>
    <w:p w:rsidR="000433DD" w:rsidRDefault="000433DD">
      <w:pPr>
        <w:spacing w:after="0" w:line="240" w:lineRule="auto"/>
        <w:ind w:left="720" w:firstLine="720"/>
        <w:jc w:val="both"/>
        <w:rPr>
          <w:rFonts w:ascii="Times New Roman" w:hAnsi="Times New Roman" w:cs="Times New Roman"/>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432D06">
      <w:pPr>
        <w:spacing w:after="0" w:line="240" w:lineRule="auto"/>
        <w:ind w:left="1854" w:hanging="1134"/>
        <w:jc w:val="both"/>
        <w:rPr>
          <w:rFonts w:ascii="Times New Roman" w:hAnsi="Times New Roman" w:cs="Times New Roman"/>
          <w:sz w:val="24"/>
          <w:szCs w:val="24"/>
        </w:rPr>
      </w:pPr>
      <w:r>
        <w:rPr>
          <w:rFonts w:ascii="Times New Roman" w:hAnsi="Times New Roman" w:cs="Times New Roman"/>
          <w:b/>
          <w:sz w:val="24"/>
          <w:szCs w:val="24"/>
        </w:rPr>
        <w:t>Table 4.2.</w:t>
      </w:r>
      <w:r>
        <w:rPr>
          <w:rFonts w:ascii="Times New Roman" w:hAnsi="Times New Roman" w:cs="Times New Roman"/>
          <w:bCs/>
          <w:sz w:val="24"/>
          <w:szCs w:val="24"/>
        </w:rPr>
        <w:t xml:space="preserve"> Frequency and Percentage Distribution of the Respondent of the Demographic Profile in terms of Gender (n=37)</w:t>
      </w:r>
    </w:p>
    <w:tbl>
      <w:tblPr>
        <w:tblW w:w="0" w:type="auto"/>
        <w:tblInd w:w="725" w:type="dxa"/>
        <w:tblBorders>
          <w:top w:val="double" w:sz="4" w:space="0" w:color="auto"/>
          <w:bottom w:val="double" w:sz="4" w:space="0" w:color="auto"/>
        </w:tblBorders>
        <w:tblLook w:val="04A0" w:firstRow="1" w:lastRow="0" w:firstColumn="1" w:lastColumn="0" w:noHBand="0" w:noVBand="1"/>
      </w:tblPr>
      <w:tblGrid>
        <w:gridCol w:w="2305"/>
        <w:gridCol w:w="2640"/>
        <w:gridCol w:w="2975"/>
      </w:tblGrid>
      <w:tr w:rsidR="000433DD">
        <w:trPr>
          <w:trHeight w:val="339"/>
        </w:trPr>
        <w:tc>
          <w:tcPr>
            <w:tcW w:w="2305"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Gender</w:t>
            </w:r>
          </w:p>
        </w:tc>
        <w:tc>
          <w:tcPr>
            <w:tcW w:w="2640"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975"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0433DD">
        <w:tc>
          <w:tcPr>
            <w:tcW w:w="2305"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2640" w:type="dxa"/>
            <w:vAlign w:val="bottom"/>
          </w:tcPr>
          <w:p w:rsidR="000433DD" w:rsidRDefault="00432D0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975" w:type="dxa"/>
            <w:vAlign w:val="bottom"/>
          </w:tcPr>
          <w:p w:rsidR="000433DD" w:rsidRDefault="00432D0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40.54</w:t>
            </w:r>
          </w:p>
        </w:tc>
      </w:tr>
      <w:tr w:rsidR="000433DD">
        <w:tc>
          <w:tcPr>
            <w:tcW w:w="2305"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2640" w:type="dxa"/>
            <w:vAlign w:val="bottom"/>
          </w:tcPr>
          <w:p w:rsidR="000433DD" w:rsidRDefault="00432D0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975" w:type="dxa"/>
            <w:vAlign w:val="bottom"/>
          </w:tcPr>
          <w:p w:rsidR="000433DD" w:rsidRDefault="00432D0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59.46</w:t>
            </w:r>
          </w:p>
        </w:tc>
      </w:tr>
    </w:tbl>
    <w:p w:rsidR="000433DD" w:rsidRDefault="000433DD">
      <w:pPr>
        <w:spacing w:after="0" w:line="480" w:lineRule="auto"/>
        <w:jc w:val="both"/>
        <w:rPr>
          <w:rFonts w:ascii="Times New Roman" w:hAnsi="Times New Roman" w:cs="Times New Roman"/>
          <w:sz w:val="24"/>
          <w:szCs w:val="24"/>
        </w:rPr>
      </w:pPr>
    </w:p>
    <w:p w:rsidR="000433DD" w:rsidRDefault="000433DD">
      <w:pPr>
        <w:spacing w:after="0" w:line="480" w:lineRule="auto"/>
        <w:jc w:val="both"/>
        <w:rPr>
          <w:rFonts w:ascii="Times New Roman" w:hAnsi="Times New Roman" w:cs="Times New Roman"/>
          <w:sz w:val="24"/>
          <w:szCs w:val="24"/>
        </w:rPr>
      </w:pPr>
    </w:p>
    <w:p w:rsidR="000433DD" w:rsidRDefault="00432D06">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4.2 Pretest and Posttest Gain Scores of the Respondents</w:t>
      </w:r>
    </w:p>
    <w:p w:rsidR="000433DD" w:rsidRDefault="000433DD">
      <w:pPr>
        <w:spacing w:after="0" w:line="240" w:lineRule="auto"/>
        <w:ind w:left="360"/>
        <w:jc w:val="both"/>
        <w:rPr>
          <w:rFonts w:ascii="Times New Roman" w:hAnsi="Times New Roman" w:cs="Times New Roman"/>
          <w:b/>
          <w:sz w:val="24"/>
          <w:szCs w:val="24"/>
        </w:rPr>
      </w:pPr>
    </w:p>
    <w:p w:rsidR="000433DD" w:rsidRDefault="00432D06">
      <w:pPr>
        <w:spacing w:after="0" w:line="240" w:lineRule="auto"/>
        <w:ind w:firstLine="720"/>
        <w:jc w:val="both"/>
        <w:rPr>
          <w:rFonts w:ascii="Times New Roman" w:hAnsi="Times New Roman"/>
          <w:sz w:val="24"/>
          <w:szCs w:val="24"/>
        </w:rPr>
      </w:pPr>
      <w:r>
        <w:rPr>
          <w:rFonts w:ascii="Times New Roman" w:hAnsi="Times New Roman" w:cs="Times New Roman"/>
          <w:sz w:val="24"/>
          <w:szCs w:val="24"/>
        </w:rPr>
        <w:t xml:space="preserve">Table 4.3 shows a clear improvement in pupils’ performance from the pretest to the posttest. Initially, most respondents scored in the “High” (48.65%) and “Very High” (35.14%) categories, with a smaller portion in the “Low” category (16.22%) and none in “Very Low,” indicating that pupils had a foundational understanding of Science but still needed reinforcement. After the intervention, all pupils scored either “High” (40.54%) or “Very High” (59.46%), with no scores in the lower ranges. This demonstrates that the localized STEM intervention effectively strengthened pupils’ understanding, allowing them to build on prior knowledge and apply concepts more successfully. The elimination of lower scores also suggests that contextualized instruction helped address learning gaps and fostered more uniform achievement, reducing disparities and elevating overall mastery of scientific concepts. </w:t>
      </w:r>
      <w:r>
        <w:rPr>
          <w:rFonts w:ascii="Times New Roman" w:hAnsi="Times New Roman"/>
          <w:sz w:val="24"/>
          <w:szCs w:val="24"/>
        </w:rPr>
        <w:t xml:space="preserve">According to </w:t>
      </w:r>
      <w:proofErr w:type="spellStart"/>
      <w:r>
        <w:rPr>
          <w:rFonts w:ascii="Times New Roman" w:hAnsi="Times New Roman"/>
          <w:sz w:val="24"/>
          <w:szCs w:val="24"/>
        </w:rPr>
        <w:t>Simsek</w:t>
      </w:r>
      <w:proofErr w:type="spellEnd"/>
      <w:r>
        <w:rPr>
          <w:rFonts w:ascii="Times New Roman" w:hAnsi="Times New Roman"/>
          <w:sz w:val="24"/>
          <w:szCs w:val="24"/>
        </w:rPr>
        <w:t xml:space="preserve"> &amp; </w:t>
      </w:r>
      <w:proofErr w:type="spellStart"/>
      <w:r>
        <w:rPr>
          <w:rFonts w:ascii="Times New Roman" w:hAnsi="Times New Roman"/>
          <w:sz w:val="24"/>
          <w:szCs w:val="24"/>
        </w:rPr>
        <w:t>Hamzaoglu</w:t>
      </w:r>
      <w:proofErr w:type="spellEnd"/>
      <w:r>
        <w:rPr>
          <w:rFonts w:ascii="Times New Roman" w:hAnsi="Times New Roman"/>
          <w:sz w:val="24"/>
          <w:szCs w:val="24"/>
        </w:rPr>
        <w:t xml:space="preserve"> (2023), contextualization improves comprehension, while Holmes et al. (2021) reported that linking Science to real-world contexts enhances motivation and test outcomes. Bybee &amp; Williams (2013) also emphasized STEM’s role in cultivating critical 21st-century skills.</w:t>
      </w:r>
    </w:p>
    <w:p w:rsidR="000433DD" w:rsidRDefault="000433DD">
      <w:pPr>
        <w:spacing w:after="0" w:line="240" w:lineRule="auto"/>
        <w:ind w:left="720" w:right="-13" w:firstLine="720"/>
        <w:jc w:val="both"/>
        <w:rPr>
          <w:rFonts w:ascii="Times New Roman" w:hAnsi="Times New Roman" w:cs="Times New Roman"/>
          <w:sz w:val="24"/>
          <w:szCs w:val="24"/>
        </w:rPr>
      </w:pPr>
    </w:p>
    <w:p w:rsidR="000433DD" w:rsidRDefault="000433DD">
      <w:pPr>
        <w:spacing w:after="0" w:line="240" w:lineRule="auto"/>
        <w:ind w:left="720" w:right="-13"/>
        <w:jc w:val="both"/>
        <w:rPr>
          <w:rFonts w:ascii="Times New Roman" w:hAnsi="Times New Roman" w:cs="Times New Roman"/>
          <w:sz w:val="24"/>
          <w:szCs w:val="24"/>
        </w:rPr>
      </w:pPr>
    </w:p>
    <w:p w:rsidR="000433DD" w:rsidRDefault="00432D06">
      <w:pPr>
        <w:spacing w:after="0" w:line="240" w:lineRule="auto"/>
        <w:ind w:firstLine="431"/>
        <w:jc w:val="both"/>
        <w:rPr>
          <w:rFonts w:ascii="Times New Roman" w:hAnsi="Times New Roman" w:cs="Times New Roman"/>
          <w:bCs/>
          <w:sz w:val="24"/>
          <w:szCs w:val="24"/>
        </w:rPr>
      </w:pPr>
      <w:r>
        <w:rPr>
          <w:rFonts w:ascii="Times New Roman" w:hAnsi="Times New Roman" w:cs="Times New Roman"/>
          <w:b/>
          <w:sz w:val="24"/>
          <w:szCs w:val="24"/>
        </w:rPr>
        <w:t xml:space="preserve">Table 4.3 </w:t>
      </w:r>
      <w:r>
        <w:rPr>
          <w:rFonts w:ascii="Times New Roman" w:hAnsi="Times New Roman" w:cs="Times New Roman"/>
          <w:bCs/>
          <w:sz w:val="24"/>
          <w:szCs w:val="24"/>
        </w:rPr>
        <w:t xml:space="preserve">Frequency and Percentage Distribution of the Pupils’ Pre-Test and </w:t>
      </w:r>
    </w:p>
    <w:p w:rsidR="000433DD" w:rsidRDefault="00432D06">
      <w:pPr>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Posttest Scores of the Respondents (n=37)</w:t>
      </w:r>
    </w:p>
    <w:tbl>
      <w:tblPr>
        <w:tblW w:w="4989" w:type="pct"/>
        <w:jc w:val="center"/>
        <w:tblBorders>
          <w:top w:val="double" w:sz="4" w:space="0" w:color="auto"/>
          <w:bottom w:val="double" w:sz="4" w:space="0" w:color="auto"/>
        </w:tblBorders>
        <w:tblCellMar>
          <w:top w:w="28" w:type="dxa"/>
        </w:tblCellMar>
        <w:tblLook w:val="04A0" w:firstRow="1" w:lastRow="0" w:firstColumn="1" w:lastColumn="0" w:noHBand="0" w:noVBand="1"/>
      </w:tblPr>
      <w:tblGrid>
        <w:gridCol w:w="933"/>
        <w:gridCol w:w="2944"/>
        <w:gridCol w:w="1030"/>
        <w:gridCol w:w="1665"/>
        <w:gridCol w:w="1358"/>
        <w:gridCol w:w="1409"/>
      </w:tblGrid>
      <w:tr w:rsidR="000433DD">
        <w:trPr>
          <w:trHeight w:val="263"/>
          <w:jc w:val="center"/>
        </w:trPr>
        <w:tc>
          <w:tcPr>
            <w:tcW w:w="790" w:type="dxa"/>
            <w:vMerge w:val="restart"/>
            <w:tcBorders>
              <w:top w:val="doub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bookmarkStart w:id="0" w:name="_Hlk207102906"/>
            <w:r>
              <w:rPr>
                <w:rFonts w:ascii="Times New Roman" w:eastAsia="DengXian" w:hAnsi="Times New Roman" w:cs="Times New Roman"/>
                <w:b/>
                <w:bCs/>
                <w:sz w:val="24"/>
                <w:szCs w:val="24"/>
                <w:lang w:eastAsia="zh-CN"/>
              </w:rPr>
              <w:t>Score</w:t>
            </w:r>
          </w:p>
        </w:tc>
        <w:tc>
          <w:tcPr>
            <w:tcW w:w="2491" w:type="dxa"/>
            <w:vMerge w:val="restart"/>
            <w:tcBorders>
              <w:top w:val="doub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Performance</w:t>
            </w:r>
          </w:p>
        </w:tc>
        <w:tc>
          <w:tcPr>
            <w:tcW w:w="2281" w:type="dxa"/>
            <w:gridSpan w:val="2"/>
            <w:tcBorders>
              <w:top w:val="double" w:sz="4" w:space="0" w:color="auto"/>
              <w:bottom w:val="nil"/>
            </w:tcBorders>
            <w:tcMar>
              <w:top w:w="0" w:type="dxa"/>
            </w:tcMar>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Pretest</w:t>
            </w:r>
          </w:p>
        </w:tc>
        <w:tc>
          <w:tcPr>
            <w:tcW w:w="2341" w:type="dxa"/>
            <w:gridSpan w:val="2"/>
            <w:tcBorders>
              <w:top w:val="doub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Posttest</w:t>
            </w:r>
          </w:p>
        </w:tc>
      </w:tr>
      <w:tr w:rsidR="000433DD">
        <w:trPr>
          <w:trHeight w:val="243"/>
          <w:jc w:val="center"/>
        </w:trPr>
        <w:tc>
          <w:tcPr>
            <w:tcW w:w="790" w:type="dxa"/>
            <w:vMerge/>
            <w:tcBorders>
              <w:bottom w:val="single" w:sz="4" w:space="0" w:color="auto"/>
            </w:tcBorders>
            <w:vAlign w:val="center"/>
          </w:tcPr>
          <w:p w:rsidR="000433DD" w:rsidRDefault="000433DD">
            <w:pPr>
              <w:spacing w:after="0"/>
              <w:jc w:val="center"/>
              <w:rPr>
                <w:rFonts w:ascii="Times New Roman" w:eastAsia="DengXian" w:hAnsi="Times New Roman" w:cs="Times New Roman"/>
                <w:b/>
                <w:bCs/>
                <w:sz w:val="24"/>
                <w:szCs w:val="24"/>
                <w:lang w:eastAsia="zh-CN"/>
              </w:rPr>
            </w:pPr>
          </w:p>
        </w:tc>
        <w:tc>
          <w:tcPr>
            <w:tcW w:w="2491" w:type="dxa"/>
            <w:vMerge/>
            <w:tcBorders>
              <w:bottom w:val="single" w:sz="4" w:space="0" w:color="auto"/>
            </w:tcBorders>
            <w:vAlign w:val="center"/>
          </w:tcPr>
          <w:p w:rsidR="000433DD" w:rsidRDefault="000433DD">
            <w:pPr>
              <w:spacing w:after="0"/>
              <w:jc w:val="center"/>
              <w:rPr>
                <w:rFonts w:ascii="Times New Roman" w:eastAsia="DengXian" w:hAnsi="Times New Roman" w:cs="Times New Roman"/>
                <w:b/>
                <w:bCs/>
                <w:sz w:val="24"/>
                <w:szCs w:val="24"/>
                <w:lang w:eastAsia="zh-CN"/>
              </w:rPr>
            </w:pPr>
          </w:p>
        </w:tc>
        <w:tc>
          <w:tcPr>
            <w:tcW w:w="872" w:type="dxa"/>
            <w:tcBorders>
              <w:top w:val="nil"/>
              <w:bottom w:val="sing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F</w:t>
            </w:r>
          </w:p>
        </w:tc>
        <w:tc>
          <w:tcPr>
            <w:tcW w:w="1409" w:type="dxa"/>
            <w:tcBorders>
              <w:top w:val="nil"/>
              <w:bottom w:val="sing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w:t>
            </w:r>
          </w:p>
        </w:tc>
        <w:tc>
          <w:tcPr>
            <w:tcW w:w="1149" w:type="dxa"/>
            <w:tcBorders>
              <w:bottom w:val="sing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F</w:t>
            </w:r>
          </w:p>
        </w:tc>
        <w:tc>
          <w:tcPr>
            <w:tcW w:w="1192" w:type="dxa"/>
            <w:tcBorders>
              <w:bottom w:val="sing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w:t>
            </w:r>
          </w:p>
        </w:tc>
      </w:tr>
      <w:tr w:rsidR="000433DD">
        <w:trPr>
          <w:trHeight w:val="57"/>
          <w:jc w:val="center"/>
        </w:trPr>
        <w:tc>
          <w:tcPr>
            <w:tcW w:w="790" w:type="dxa"/>
            <w:tcBorders>
              <w:top w:val="single" w:sz="4" w:space="0" w:color="auto"/>
            </w:tcBorders>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16-20</w:t>
            </w:r>
          </w:p>
        </w:tc>
        <w:tc>
          <w:tcPr>
            <w:tcW w:w="2491" w:type="dxa"/>
            <w:tcBorders>
              <w:top w:val="single" w:sz="4" w:space="0" w:color="auto"/>
            </w:tcBorders>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Very High</w:t>
            </w:r>
          </w:p>
        </w:tc>
        <w:tc>
          <w:tcPr>
            <w:tcW w:w="872" w:type="dxa"/>
            <w:tcBorders>
              <w:top w:val="single" w:sz="4" w:space="0" w:color="auto"/>
            </w:tcBorders>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13</w:t>
            </w:r>
          </w:p>
        </w:tc>
        <w:tc>
          <w:tcPr>
            <w:tcW w:w="1409" w:type="dxa"/>
            <w:tcBorders>
              <w:top w:val="single" w:sz="4" w:space="0" w:color="auto"/>
            </w:tcBorders>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 xml:space="preserve">     35.14</w:t>
            </w:r>
          </w:p>
        </w:tc>
        <w:tc>
          <w:tcPr>
            <w:tcW w:w="1149" w:type="dxa"/>
            <w:tcBorders>
              <w:top w:val="single" w:sz="4" w:space="0" w:color="auto"/>
            </w:tcBorders>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22</w:t>
            </w:r>
          </w:p>
        </w:tc>
        <w:tc>
          <w:tcPr>
            <w:tcW w:w="1192" w:type="dxa"/>
            <w:tcBorders>
              <w:top w:val="single" w:sz="4" w:space="0" w:color="auto"/>
            </w:tcBorders>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59.96</w:t>
            </w:r>
          </w:p>
        </w:tc>
      </w:tr>
      <w:tr w:rsidR="000433DD">
        <w:trPr>
          <w:trHeight w:val="57"/>
          <w:jc w:val="center"/>
        </w:trPr>
        <w:tc>
          <w:tcPr>
            <w:tcW w:w="790"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11-15</w:t>
            </w:r>
          </w:p>
        </w:tc>
        <w:tc>
          <w:tcPr>
            <w:tcW w:w="2491" w:type="dxa"/>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High</w:t>
            </w:r>
          </w:p>
        </w:tc>
        <w:tc>
          <w:tcPr>
            <w:tcW w:w="87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18</w:t>
            </w:r>
          </w:p>
        </w:tc>
        <w:tc>
          <w:tcPr>
            <w:tcW w:w="1409" w:type="dxa"/>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48.65</w:t>
            </w:r>
          </w:p>
        </w:tc>
        <w:tc>
          <w:tcPr>
            <w:tcW w:w="1149"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15</w:t>
            </w:r>
          </w:p>
        </w:tc>
        <w:tc>
          <w:tcPr>
            <w:tcW w:w="119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40.54</w:t>
            </w:r>
          </w:p>
        </w:tc>
      </w:tr>
      <w:tr w:rsidR="000433DD">
        <w:trPr>
          <w:trHeight w:val="57"/>
          <w:jc w:val="center"/>
        </w:trPr>
        <w:tc>
          <w:tcPr>
            <w:tcW w:w="790"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6-10</w:t>
            </w:r>
          </w:p>
        </w:tc>
        <w:tc>
          <w:tcPr>
            <w:tcW w:w="2491"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 xml:space="preserve">    Low</w:t>
            </w:r>
          </w:p>
        </w:tc>
        <w:tc>
          <w:tcPr>
            <w:tcW w:w="87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6</w:t>
            </w:r>
          </w:p>
        </w:tc>
        <w:tc>
          <w:tcPr>
            <w:tcW w:w="1409" w:type="dxa"/>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16.22</w:t>
            </w:r>
          </w:p>
        </w:tc>
        <w:tc>
          <w:tcPr>
            <w:tcW w:w="1149"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w:t>
            </w:r>
          </w:p>
        </w:tc>
        <w:tc>
          <w:tcPr>
            <w:tcW w:w="119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0.00</w:t>
            </w:r>
          </w:p>
        </w:tc>
      </w:tr>
      <w:tr w:rsidR="000433DD">
        <w:trPr>
          <w:trHeight w:val="57"/>
          <w:jc w:val="center"/>
        </w:trPr>
        <w:tc>
          <w:tcPr>
            <w:tcW w:w="790"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1-5</w:t>
            </w:r>
          </w:p>
        </w:tc>
        <w:tc>
          <w:tcPr>
            <w:tcW w:w="2491" w:type="dxa"/>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Very Low</w:t>
            </w:r>
          </w:p>
        </w:tc>
        <w:tc>
          <w:tcPr>
            <w:tcW w:w="87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w:t>
            </w:r>
          </w:p>
        </w:tc>
        <w:tc>
          <w:tcPr>
            <w:tcW w:w="1409" w:type="dxa"/>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0.00</w:t>
            </w:r>
          </w:p>
        </w:tc>
        <w:tc>
          <w:tcPr>
            <w:tcW w:w="1149"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w:t>
            </w:r>
          </w:p>
        </w:tc>
        <w:tc>
          <w:tcPr>
            <w:tcW w:w="119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0.00</w:t>
            </w:r>
          </w:p>
        </w:tc>
      </w:tr>
      <w:bookmarkEnd w:id="0"/>
    </w:tbl>
    <w:p w:rsidR="000433DD" w:rsidRDefault="000433DD">
      <w:pPr>
        <w:spacing w:after="0" w:line="240" w:lineRule="auto"/>
        <w:ind w:left="360" w:right="-13"/>
        <w:jc w:val="both"/>
        <w:rPr>
          <w:rFonts w:ascii="Times New Roman" w:hAnsi="Times New Roman" w:cs="Times New Roman"/>
          <w:b/>
          <w:sz w:val="24"/>
          <w:szCs w:val="24"/>
        </w:rPr>
      </w:pPr>
    </w:p>
    <w:p w:rsidR="000433DD" w:rsidRDefault="00432D06">
      <w:pPr>
        <w:spacing w:line="240" w:lineRule="auto"/>
        <w:ind w:left="426" w:firstLine="556"/>
        <w:jc w:val="both"/>
        <w:rPr>
          <w:rFonts w:ascii="Times New Roman" w:hAnsi="Times New Roman" w:cs="Times New Roman"/>
          <w:sz w:val="24"/>
          <w:szCs w:val="24"/>
        </w:rPr>
      </w:pPr>
      <w:r>
        <w:rPr>
          <w:rFonts w:ascii="Times New Roman" w:hAnsi="Times New Roman" w:cs="Times New Roman"/>
          <w:sz w:val="24"/>
          <w:szCs w:val="24"/>
        </w:rPr>
        <w:t xml:space="preserve">Figure 4.1 presents the line graph compares the Pretest and Posttest scores of participants across four score ranges (1–5, 6–10, 11–15, and 16–20). As shown, the Pretest scores started low in the 1–5 range and gradually increased, peaking at the 11–15 range before slightly declining in the 16–20 range. In contrast, the Posttest scores show a consistent upward trend, starting from zero in the 1–5 range and increasing steadily up to the 16–20 range, where they reached the highest point. </w:t>
      </w:r>
    </w:p>
    <w:p w:rsidR="000433DD" w:rsidRDefault="00432D06">
      <w:pPr>
        <w:spacing w:after="0"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This indicates that participants generally performed better in the posttest compared to the pretest. The improvement suggests that the intervention or learning activity conducted between the two tests had a positive impact on the participants’ performance.</w:t>
      </w: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567"/>
        <w:jc w:val="both"/>
        <w:rPr>
          <w:rFonts w:ascii="Times New Roman" w:hAnsi="Times New Roman" w:cs="Times New Roman"/>
          <w:sz w:val="24"/>
          <w:szCs w:val="24"/>
        </w:rPr>
      </w:pPr>
    </w:p>
    <w:p w:rsidR="000433DD" w:rsidRDefault="00432D06">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w:lastRenderedPageBreak/>
        <w:drawing>
          <wp:anchor distT="0" distB="0" distL="0" distR="0" simplePos="0" relativeHeight="2" behindDoc="1" locked="0" layoutInCell="1" allowOverlap="1">
            <wp:simplePos x="0" y="0"/>
            <wp:positionH relativeFrom="margin">
              <wp:posOffset>615950</wp:posOffset>
            </wp:positionH>
            <wp:positionV relativeFrom="paragraph">
              <wp:posOffset>12065</wp:posOffset>
            </wp:positionV>
            <wp:extent cx="4952365" cy="2023744"/>
            <wp:effectExtent l="0" t="0" r="0" b="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4952365" cy="2023744"/>
                    </a:xfrm>
                    <a:prstGeom prst="rect">
                      <a:avLst/>
                    </a:prstGeom>
                  </pic:spPr>
                </pic:pic>
              </a:graphicData>
            </a:graphic>
            <wp14:sizeRelH relativeFrom="page">
              <wp14:pctWidth>0</wp14:pctWidth>
            </wp14:sizeRelH>
            <wp14:sizeRelV relativeFrom="page">
              <wp14:pctHeight>0</wp14:pctHeight>
            </wp14:sizeRelV>
          </wp:anchor>
        </w:drawing>
      </w:r>
    </w:p>
    <w:p w:rsidR="000433DD" w:rsidRDefault="000433DD">
      <w:pPr>
        <w:spacing w:after="0" w:line="480" w:lineRule="auto"/>
        <w:jc w:val="both"/>
        <w:rPr>
          <w:rFonts w:ascii="Times New Roman" w:hAnsi="Times New Roman" w:cs="Times New Roman"/>
          <w:sz w:val="24"/>
          <w:szCs w:val="24"/>
        </w:rPr>
      </w:pPr>
    </w:p>
    <w:p w:rsidR="000433DD" w:rsidRDefault="00432D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left="567"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432D06">
      <w:pPr>
        <w:spacing w:after="0" w:line="240" w:lineRule="auto"/>
        <w:ind w:firstLine="431"/>
        <w:jc w:val="center"/>
        <w:rPr>
          <w:rFonts w:ascii="Times New Roman" w:eastAsia="Times New Roman" w:hAnsi="Times New Roman" w:cs="Times New Roman"/>
          <w:bCs/>
          <w:sz w:val="24"/>
          <w:szCs w:val="24"/>
          <w:lang w:eastAsia="en-PH"/>
        </w:rPr>
      </w:pPr>
      <w:r>
        <w:rPr>
          <w:rFonts w:ascii="Times New Roman" w:eastAsia="Times New Roman" w:hAnsi="Times New Roman" w:cs="Times New Roman"/>
          <w:b/>
          <w:bCs/>
          <w:sz w:val="24"/>
          <w:szCs w:val="24"/>
          <w:lang w:eastAsia="en-PH"/>
        </w:rPr>
        <w:t xml:space="preserve">Figure 4.1 </w:t>
      </w:r>
      <w:r>
        <w:rPr>
          <w:rFonts w:ascii="Times New Roman" w:eastAsia="Times New Roman" w:hAnsi="Times New Roman" w:cs="Times New Roman"/>
          <w:bCs/>
          <w:sz w:val="24"/>
          <w:szCs w:val="24"/>
          <w:lang w:eastAsia="en-PH"/>
        </w:rPr>
        <w:t>Line Graph of the Respondents’ Pretest and Posttest Score</w:t>
      </w:r>
    </w:p>
    <w:p w:rsidR="000433DD" w:rsidRDefault="000433DD">
      <w:pPr>
        <w:spacing w:after="0" w:line="240" w:lineRule="auto"/>
        <w:ind w:left="567"/>
        <w:jc w:val="both"/>
        <w:rPr>
          <w:rFonts w:ascii="Times New Roman" w:hAnsi="Times New Roman" w:cs="Times New Roman"/>
          <w:sz w:val="24"/>
          <w:szCs w:val="24"/>
        </w:rPr>
      </w:pPr>
    </w:p>
    <w:p w:rsidR="000433DD" w:rsidRDefault="00432D06">
      <w:pPr>
        <w:spacing w:after="0" w:line="480" w:lineRule="auto"/>
        <w:ind w:left="431"/>
        <w:jc w:val="both"/>
        <w:rPr>
          <w:rFonts w:ascii="Times New Roman" w:hAnsi="Times New Roman" w:cs="Times New Roman"/>
          <w:b/>
          <w:sz w:val="24"/>
          <w:szCs w:val="24"/>
        </w:rPr>
      </w:pPr>
      <w:r>
        <w:rPr>
          <w:rFonts w:ascii="Times New Roman" w:eastAsia="Times New Roman" w:hAnsi="Times New Roman" w:cs="Times New Roman"/>
          <w:b/>
          <w:bCs/>
          <w:sz w:val="24"/>
          <w:szCs w:val="24"/>
          <w:lang w:eastAsia="en-PH"/>
        </w:rPr>
        <w:t xml:space="preserve">4.3 </w:t>
      </w:r>
      <w:r>
        <w:rPr>
          <w:rFonts w:ascii="Times New Roman" w:hAnsi="Times New Roman" w:cs="Times New Roman"/>
          <w:b/>
          <w:sz w:val="24"/>
          <w:szCs w:val="24"/>
        </w:rPr>
        <w:t>Difference Between Pretest and Posttest Gain Scores of the Respondents</w:t>
      </w:r>
    </w:p>
    <w:p w:rsidR="000433DD" w:rsidRDefault="00432D06">
      <w:pPr>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Table 4.4 presents the difference between the pretest and posttest scores of the respondents, including mean values, standard deviation (SD), t-value, and p-value. The results indicate a significant improvement in scores from the pretest to the posttest.</w:t>
      </w:r>
    </w:p>
    <w:p w:rsidR="000433DD" w:rsidRDefault="00432D06">
      <w:pPr>
        <w:spacing w:line="240" w:lineRule="auto"/>
        <w:ind w:left="426" w:firstLine="426"/>
        <w:jc w:val="both"/>
        <w:rPr>
          <w:rFonts w:ascii="Times New Roman" w:hAnsi="Times New Roman"/>
          <w:sz w:val="24"/>
          <w:szCs w:val="24"/>
        </w:rPr>
      </w:pPr>
      <w:r>
        <w:rPr>
          <w:rFonts w:ascii="Times New Roman" w:hAnsi="Times New Roman" w:cs="Times New Roman"/>
          <w:sz w:val="24"/>
          <w:szCs w:val="24"/>
        </w:rPr>
        <w:t xml:space="preserve">The mean pretest score was 13.51, with a standard deviation of 3.18, suggesting that pupils had limited prior knowledge before the intervention was applied. After the intervention, the mean posttest score increased to 16.22 with a standard deviation of 2.66. This increase in the mean score demonstrates a clear improvement in participants’ performance. The posttest SD, which is slightly lower than the pretest SD, indicates that the pupils’ performance became more consistent after the intervention. The paired-sample t-test yielded a t-value of -9.50, which is highly significant (p = 0.000 &lt; 0.05). Thus, the null hypothesis stating that there is no significant difference between the pretest and posttest scores is rejected, confirming that the improvement in scores is not due to random chance. The negative t-value further implies that the mean posttest score is significantly higher than the mean pretest score, indicating that the intervention effectively enhanced the pupils’ Science performance. </w:t>
      </w:r>
      <w:r>
        <w:rPr>
          <w:rFonts w:ascii="Times New Roman" w:hAnsi="Times New Roman"/>
          <w:sz w:val="24"/>
          <w:szCs w:val="24"/>
        </w:rPr>
        <w:t xml:space="preserve">These findings suggest that the substantial improvement in scores highlights the effectiveness of the localized context-based STEM intervention in enhancing pupils’ Science performance. This is consistent with the findings of Holmes et al. (2021) and </w:t>
      </w:r>
      <w:proofErr w:type="spellStart"/>
      <w:r>
        <w:rPr>
          <w:rFonts w:ascii="Times New Roman" w:hAnsi="Times New Roman"/>
          <w:sz w:val="24"/>
          <w:szCs w:val="24"/>
        </w:rPr>
        <w:t>Kostøl</w:t>
      </w:r>
      <w:proofErr w:type="spellEnd"/>
      <w:r>
        <w:rPr>
          <w:rFonts w:ascii="Times New Roman" w:hAnsi="Times New Roman"/>
          <w:sz w:val="24"/>
          <w:szCs w:val="24"/>
        </w:rPr>
        <w:t xml:space="preserve"> &amp; </w:t>
      </w:r>
      <w:proofErr w:type="spellStart"/>
      <w:r>
        <w:rPr>
          <w:rFonts w:ascii="Times New Roman" w:hAnsi="Times New Roman"/>
          <w:sz w:val="24"/>
          <w:szCs w:val="24"/>
        </w:rPr>
        <w:t>Remmen</w:t>
      </w:r>
      <w:proofErr w:type="spellEnd"/>
      <w:r>
        <w:rPr>
          <w:rFonts w:ascii="Times New Roman" w:hAnsi="Times New Roman"/>
          <w:sz w:val="24"/>
          <w:szCs w:val="24"/>
        </w:rPr>
        <w:t xml:space="preserve"> (2022), who reported that contextualized STEM learning improves comprehension and retention by linking lessons to real-world situations. Similarly, </w:t>
      </w:r>
      <w:proofErr w:type="spellStart"/>
      <w:r>
        <w:rPr>
          <w:rFonts w:ascii="Times New Roman" w:hAnsi="Times New Roman"/>
          <w:sz w:val="24"/>
          <w:szCs w:val="24"/>
        </w:rPr>
        <w:t>Simsek</w:t>
      </w:r>
      <w:proofErr w:type="spellEnd"/>
      <w:r>
        <w:rPr>
          <w:rFonts w:ascii="Times New Roman" w:hAnsi="Times New Roman"/>
          <w:sz w:val="24"/>
          <w:szCs w:val="24"/>
        </w:rPr>
        <w:t xml:space="preserve"> and </w:t>
      </w:r>
      <w:proofErr w:type="spellStart"/>
      <w:r>
        <w:rPr>
          <w:rFonts w:ascii="Times New Roman" w:hAnsi="Times New Roman"/>
          <w:sz w:val="24"/>
          <w:szCs w:val="24"/>
        </w:rPr>
        <w:t>Hamzaoglu</w:t>
      </w:r>
      <w:proofErr w:type="spellEnd"/>
      <w:r>
        <w:rPr>
          <w:rFonts w:ascii="Times New Roman" w:hAnsi="Times New Roman"/>
          <w:sz w:val="24"/>
          <w:szCs w:val="24"/>
        </w:rPr>
        <w:t xml:space="preserve"> (2023) emphasized that context-based instruction increases meaningful learning, while Fraser et al. (2021) noted its role in fostering active engagement. Therefore, the present results validate that the use of localized STEM strategies significantly strengthened pupils’ understanding and mastery of Science concepts.</w:t>
      </w:r>
    </w:p>
    <w:p w:rsidR="000433DD" w:rsidRDefault="000433DD">
      <w:pPr>
        <w:spacing w:line="240" w:lineRule="auto"/>
        <w:ind w:left="426" w:firstLine="426"/>
        <w:jc w:val="both"/>
        <w:rPr>
          <w:rFonts w:ascii="Times New Roman" w:hAnsi="Times New Roman"/>
          <w:sz w:val="24"/>
          <w:szCs w:val="24"/>
        </w:rPr>
      </w:pPr>
    </w:p>
    <w:p w:rsidR="000433DD" w:rsidRDefault="000433DD">
      <w:pPr>
        <w:spacing w:line="240" w:lineRule="auto"/>
        <w:ind w:left="426" w:firstLine="426"/>
        <w:jc w:val="both"/>
        <w:rPr>
          <w:rFonts w:ascii="Times New Roman" w:hAnsi="Times New Roman"/>
          <w:sz w:val="24"/>
          <w:szCs w:val="24"/>
        </w:rPr>
      </w:pPr>
    </w:p>
    <w:p w:rsidR="000433DD" w:rsidRDefault="000433DD">
      <w:pPr>
        <w:spacing w:line="240" w:lineRule="auto"/>
        <w:ind w:left="426" w:firstLine="426"/>
        <w:jc w:val="both"/>
        <w:rPr>
          <w:rFonts w:ascii="Times New Roman" w:hAnsi="Times New Roman"/>
          <w:sz w:val="24"/>
          <w:szCs w:val="24"/>
        </w:rPr>
      </w:pPr>
    </w:p>
    <w:p w:rsidR="000433DD" w:rsidRDefault="000433DD">
      <w:pPr>
        <w:spacing w:line="240" w:lineRule="auto"/>
        <w:ind w:left="426" w:firstLine="426"/>
        <w:jc w:val="both"/>
        <w:rPr>
          <w:rFonts w:ascii="Times New Roman" w:hAnsi="Times New Roman"/>
          <w:sz w:val="24"/>
          <w:szCs w:val="24"/>
        </w:rPr>
      </w:pPr>
    </w:p>
    <w:p w:rsidR="000433DD" w:rsidRDefault="000433DD">
      <w:pPr>
        <w:spacing w:line="240" w:lineRule="auto"/>
        <w:ind w:left="426" w:firstLine="426"/>
        <w:jc w:val="both"/>
        <w:rPr>
          <w:rFonts w:ascii="Times New Roman" w:hAnsi="Times New Roman"/>
          <w:sz w:val="24"/>
          <w:szCs w:val="24"/>
        </w:rPr>
      </w:pPr>
    </w:p>
    <w:p w:rsidR="000433DD" w:rsidRDefault="00432D06">
      <w:pPr>
        <w:spacing w:after="0" w:line="240" w:lineRule="auto"/>
        <w:ind w:firstLine="431"/>
        <w:jc w:val="both"/>
        <w:rPr>
          <w:rFonts w:ascii="Times New Roman" w:eastAsia="DengXian" w:hAnsi="Times New Roman" w:cs="Times New Roman"/>
          <w:bCs/>
          <w:sz w:val="24"/>
          <w:szCs w:val="24"/>
          <w:lang w:eastAsia="zh-CN"/>
        </w:rPr>
      </w:pPr>
      <w:r>
        <w:rPr>
          <w:rFonts w:ascii="Times New Roman" w:eastAsia="DengXian" w:hAnsi="Times New Roman" w:cs="Times New Roman"/>
          <w:b/>
          <w:bCs/>
          <w:sz w:val="24"/>
          <w:szCs w:val="24"/>
          <w:lang w:eastAsia="zh-CN"/>
        </w:rPr>
        <w:lastRenderedPageBreak/>
        <w:t>Table 4.4</w:t>
      </w:r>
      <w:r>
        <w:rPr>
          <w:rFonts w:ascii="Times New Roman" w:eastAsia="DengXian" w:hAnsi="Times New Roman" w:cs="Times New Roman"/>
          <w:bCs/>
          <w:sz w:val="24"/>
          <w:szCs w:val="24"/>
          <w:lang w:eastAsia="zh-CN"/>
        </w:rPr>
        <w:t xml:space="preserve"> Difference Between the Pretest and Posttest Gain Scores of the </w:t>
      </w:r>
    </w:p>
    <w:p w:rsidR="000433DD" w:rsidRDefault="00432D06">
      <w:pPr>
        <w:spacing w:after="0" w:line="240" w:lineRule="auto"/>
        <w:ind w:firstLine="1418"/>
        <w:jc w:val="both"/>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 xml:space="preserve">Respondents </w:t>
      </w:r>
      <w:r>
        <w:rPr>
          <w:rFonts w:ascii="Times New Roman" w:eastAsia="DengXian" w:hAnsi="Times New Roman" w:cs="Times New Roman"/>
          <w:sz w:val="24"/>
          <w:szCs w:val="24"/>
          <w:lang w:eastAsia="zh-CN"/>
        </w:rPr>
        <w:t>(n=37)</w:t>
      </w:r>
    </w:p>
    <w:tbl>
      <w:tblPr>
        <w:tblW w:w="0" w:type="auto"/>
        <w:jc w:val="center"/>
        <w:tblBorders>
          <w:top w:val="double" w:sz="4" w:space="0" w:color="auto"/>
          <w:bottom w:val="double" w:sz="4" w:space="0" w:color="auto"/>
        </w:tblBorders>
        <w:tblCellMar>
          <w:top w:w="28" w:type="dxa"/>
        </w:tblCellMar>
        <w:tblLook w:val="04A0" w:firstRow="1" w:lastRow="0" w:firstColumn="1" w:lastColumn="0" w:noHBand="0" w:noVBand="1"/>
      </w:tblPr>
      <w:tblGrid>
        <w:gridCol w:w="1805"/>
        <w:gridCol w:w="1104"/>
        <w:gridCol w:w="831"/>
        <w:gridCol w:w="1230"/>
        <w:gridCol w:w="1640"/>
        <w:gridCol w:w="1310"/>
      </w:tblGrid>
      <w:tr w:rsidR="000433DD">
        <w:trPr>
          <w:trHeight w:val="20"/>
          <w:jc w:val="center"/>
        </w:trPr>
        <w:tc>
          <w:tcPr>
            <w:tcW w:w="1805" w:type="dxa"/>
            <w:tcBorders>
              <w:top w:val="double" w:sz="4" w:space="0" w:color="auto"/>
              <w:bottom w:val="single" w:sz="4" w:space="0" w:color="auto"/>
            </w:tcBorders>
            <w:vAlign w:val="bottom"/>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Paired Scores</w:t>
            </w:r>
          </w:p>
        </w:tc>
        <w:tc>
          <w:tcPr>
            <w:tcW w:w="1104" w:type="dxa"/>
            <w:tcBorders>
              <w:top w:val="double" w:sz="4" w:space="0" w:color="auto"/>
              <w:bottom w:val="single" w:sz="4" w:space="0" w:color="auto"/>
            </w:tcBorders>
            <w:vAlign w:val="bottom"/>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Mean</w:t>
            </w:r>
          </w:p>
        </w:tc>
        <w:tc>
          <w:tcPr>
            <w:tcW w:w="831" w:type="dxa"/>
            <w:tcBorders>
              <w:top w:val="double" w:sz="4" w:space="0" w:color="auto"/>
              <w:bottom w:val="single" w:sz="4" w:space="0" w:color="auto"/>
            </w:tcBorders>
            <w:vAlign w:val="bottom"/>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SD</w:t>
            </w:r>
          </w:p>
        </w:tc>
        <w:tc>
          <w:tcPr>
            <w:tcW w:w="1230" w:type="dxa"/>
            <w:tcBorders>
              <w:top w:val="double" w:sz="4" w:space="0" w:color="auto"/>
              <w:bottom w:val="single" w:sz="4" w:space="0" w:color="auto"/>
            </w:tcBorders>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t-value</w:t>
            </w:r>
          </w:p>
        </w:tc>
        <w:tc>
          <w:tcPr>
            <w:tcW w:w="1640" w:type="dxa"/>
            <w:tcBorders>
              <w:top w:val="double" w:sz="4" w:space="0" w:color="auto"/>
              <w:bottom w:val="single" w:sz="4" w:space="0" w:color="auto"/>
            </w:tcBorders>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p-value</w:t>
            </w:r>
          </w:p>
        </w:tc>
        <w:tc>
          <w:tcPr>
            <w:tcW w:w="1310" w:type="dxa"/>
            <w:tcBorders>
              <w:top w:val="double" w:sz="4" w:space="0" w:color="auto"/>
              <w:bottom w:val="single" w:sz="4" w:space="0" w:color="auto"/>
            </w:tcBorders>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Remark</w:t>
            </w:r>
          </w:p>
        </w:tc>
      </w:tr>
      <w:tr w:rsidR="000433DD">
        <w:trPr>
          <w:trHeight w:val="20"/>
          <w:jc w:val="center"/>
        </w:trPr>
        <w:tc>
          <w:tcPr>
            <w:tcW w:w="1805" w:type="dxa"/>
            <w:tcBorders>
              <w:top w:val="single" w:sz="4" w:space="0" w:color="auto"/>
            </w:tcBorders>
          </w:tcPr>
          <w:p w:rsidR="000433DD" w:rsidRDefault="00432D06">
            <w:pPr>
              <w:spacing w:after="0" w:line="240" w:lineRule="auto"/>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Pretest</w:t>
            </w:r>
          </w:p>
        </w:tc>
        <w:tc>
          <w:tcPr>
            <w:tcW w:w="1104" w:type="dxa"/>
            <w:tcBorders>
              <w:top w:val="single" w:sz="4" w:space="0" w:color="auto"/>
            </w:tcBorders>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13.51</w:t>
            </w:r>
          </w:p>
        </w:tc>
        <w:tc>
          <w:tcPr>
            <w:tcW w:w="831" w:type="dxa"/>
            <w:tcBorders>
              <w:top w:val="single" w:sz="4" w:space="0" w:color="auto"/>
            </w:tcBorders>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3.18</w:t>
            </w:r>
          </w:p>
        </w:tc>
        <w:tc>
          <w:tcPr>
            <w:tcW w:w="1230" w:type="dxa"/>
            <w:tcBorders>
              <w:top w:val="single" w:sz="4" w:space="0" w:color="auto"/>
            </w:tcBorders>
          </w:tcPr>
          <w:p w:rsidR="000433DD" w:rsidRDefault="000433DD">
            <w:pPr>
              <w:spacing w:after="0" w:line="480" w:lineRule="auto"/>
              <w:jc w:val="center"/>
              <w:rPr>
                <w:rFonts w:ascii="Times New Roman" w:eastAsia="DengXian" w:hAnsi="Times New Roman" w:cs="Times New Roman"/>
                <w:bCs/>
                <w:sz w:val="24"/>
                <w:szCs w:val="24"/>
                <w:lang w:eastAsia="zh-CN"/>
              </w:rPr>
            </w:pPr>
          </w:p>
        </w:tc>
        <w:tc>
          <w:tcPr>
            <w:tcW w:w="1640" w:type="dxa"/>
            <w:tcBorders>
              <w:top w:val="single" w:sz="4" w:space="0" w:color="auto"/>
            </w:tcBorders>
          </w:tcPr>
          <w:p w:rsidR="000433DD" w:rsidRDefault="000433DD">
            <w:pPr>
              <w:spacing w:after="0" w:line="480" w:lineRule="auto"/>
              <w:jc w:val="center"/>
              <w:rPr>
                <w:rFonts w:ascii="Times New Roman" w:eastAsia="DengXian" w:hAnsi="Times New Roman" w:cs="Times New Roman"/>
                <w:bCs/>
                <w:sz w:val="24"/>
                <w:szCs w:val="24"/>
                <w:lang w:eastAsia="zh-CN"/>
              </w:rPr>
            </w:pPr>
          </w:p>
        </w:tc>
        <w:tc>
          <w:tcPr>
            <w:tcW w:w="1310" w:type="dxa"/>
            <w:tcBorders>
              <w:top w:val="single" w:sz="4" w:space="0" w:color="auto"/>
            </w:tcBorders>
          </w:tcPr>
          <w:p w:rsidR="000433DD" w:rsidRDefault="000433DD">
            <w:pPr>
              <w:spacing w:after="0" w:line="480" w:lineRule="auto"/>
              <w:jc w:val="center"/>
              <w:rPr>
                <w:rFonts w:ascii="Times New Roman" w:eastAsia="DengXian" w:hAnsi="Times New Roman" w:cs="Times New Roman"/>
                <w:b/>
                <w:bCs/>
                <w:i/>
                <w:sz w:val="24"/>
                <w:szCs w:val="24"/>
                <w:lang w:eastAsia="zh-CN"/>
              </w:rPr>
            </w:pPr>
          </w:p>
        </w:tc>
      </w:tr>
      <w:tr w:rsidR="000433DD">
        <w:trPr>
          <w:trHeight w:val="20"/>
          <w:jc w:val="center"/>
        </w:trPr>
        <w:tc>
          <w:tcPr>
            <w:tcW w:w="1805" w:type="dxa"/>
          </w:tcPr>
          <w:p w:rsidR="000433DD" w:rsidRDefault="00432D06">
            <w:pPr>
              <w:spacing w:after="0" w:line="240" w:lineRule="auto"/>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Posttest</w:t>
            </w:r>
          </w:p>
        </w:tc>
        <w:tc>
          <w:tcPr>
            <w:tcW w:w="1104" w:type="dxa"/>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16.22</w:t>
            </w:r>
          </w:p>
        </w:tc>
        <w:tc>
          <w:tcPr>
            <w:tcW w:w="831" w:type="dxa"/>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2.66</w:t>
            </w:r>
          </w:p>
        </w:tc>
        <w:tc>
          <w:tcPr>
            <w:tcW w:w="1230" w:type="dxa"/>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-9.50</w:t>
            </w:r>
          </w:p>
        </w:tc>
        <w:tc>
          <w:tcPr>
            <w:tcW w:w="1640" w:type="dxa"/>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0.000**</w:t>
            </w:r>
          </w:p>
        </w:tc>
        <w:tc>
          <w:tcPr>
            <w:tcW w:w="1310" w:type="dxa"/>
          </w:tcPr>
          <w:p w:rsidR="000433DD" w:rsidRDefault="00432D06">
            <w:pPr>
              <w:spacing w:after="0" w:line="480" w:lineRule="auto"/>
              <w:jc w:val="center"/>
              <w:rPr>
                <w:rFonts w:ascii="Times New Roman" w:eastAsia="DengXian" w:hAnsi="Times New Roman" w:cs="Times New Roman"/>
                <w:b/>
                <w:bCs/>
                <w:i/>
                <w:sz w:val="24"/>
                <w:szCs w:val="24"/>
                <w:lang w:eastAsia="zh-CN"/>
              </w:rPr>
            </w:pPr>
            <w:r>
              <w:rPr>
                <w:rFonts w:ascii="Times New Roman" w:eastAsia="DengXian" w:hAnsi="Times New Roman" w:cs="Times New Roman"/>
                <w:b/>
                <w:bCs/>
                <w:i/>
                <w:sz w:val="24"/>
                <w:szCs w:val="24"/>
                <w:lang w:eastAsia="zh-CN"/>
              </w:rPr>
              <w:t>Significant</w:t>
            </w:r>
          </w:p>
        </w:tc>
      </w:tr>
    </w:tbl>
    <w:p w:rsidR="000433DD" w:rsidRDefault="00432D06">
      <w:pPr>
        <w:spacing w:after="0" w:line="480" w:lineRule="auto"/>
        <w:jc w:val="both"/>
        <w:rPr>
          <w:rFonts w:ascii="Times New Roman" w:eastAsia="DengXian" w:hAnsi="Times New Roman" w:cs="Times New Roman"/>
          <w:bCs/>
          <w:i/>
          <w:sz w:val="24"/>
          <w:szCs w:val="24"/>
          <w:lang w:eastAsia="zh-CN"/>
        </w:rPr>
      </w:pPr>
      <w:r>
        <w:rPr>
          <w:rFonts w:ascii="Times New Roman" w:eastAsia="DengXian" w:hAnsi="Times New Roman" w:cs="Times New Roman"/>
          <w:bCs/>
          <w:i/>
          <w:sz w:val="24"/>
          <w:szCs w:val="24"/>
          <w:lang w:eastAsia="zh-CN"/>
        </w:rPr>
        <w:t xml:space="preserve">           Note: **significant at .05 level</w:t>
      </w:r>
    </w:p>
    <w:p w:rsidR="000433DD" w:rsidRDefault="00432D06">
      <w:pPr>
        <w:spacing w:after="0" w:line="240" w:lineRule="auto"/>
        <w:ind w:left="284" w:hanging="284"/>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        4.4 Level of Engagement of the Pupils</w:t>
      </w:r>
    </w:p>
    <w:p w:rsidR="000433DD" w:rsidRDefault="000433DD">
      <w:pPr>
        <w:spacing w:after="0" w:line="480" w:lineRule="auto"/>
        <w:jc w:val="both"/>
        <w:rPr>
          <w:rFonts w:ascii="Times New Roman" w:eastAsia="DengXian" w:hAnsi="Times New Roman" w:cs="Times New Roman"/>
          <w:bCs/>
          <w:iCs/>
          <w:sz w:val="24"/>
          <w:szCs w:val="24"/>
          <w:lang w:eastAsia="zh-CN"/>
        </w:rPr>
      </w:pPr>
    </w:p>
    <w:p w:rsidR="000433DD" w:rsidRDefault="00432D06">
      <w:pPr>
        <w:spacing w:after="0" w:line="240" w:lineRule="auto"/>
        <w:ind w:left="567" w:firstLine="720"/>
        <w:jc w:val="both"/>
        <w:rPr>
          <w:rFonts w:ascii="Times New Roman" w:eastAsia="Times New Roman" w:hAnsi="Times New Roman" w:cs="Times New Roman"/>
          <w:bCs/>
          <w:sz w:val="24"/>
          <w:szCs w:val="24"/>
          <w:lang w:eastAsia="en-PH"/>
        </w:rPr>
      </w:pPr>
      <w:r>
        <w:rPr>
          <w:rFonts w:ascii="Times New Roman" w:eastAsia="Times New Roman" w:hAnsi="Times New Roman" w:cs="Times New Roman"/>
          <w:bCs/>
          <w:sz w:val="24"/>
          <w:szCs w:val="24"/>
          <w:lang w:eastAsia="en-PH"/>
        </w:rPr>
        <w:t>Table 4.5 presents the pupils’ level of engagement during the intervention. Results reveal that most indicators were rated as “Highly Engaged,” with weighted means ranging from 2.60 to 2.92. The highest score was recorded for “I listened carefully during the Science lesson” (WM = 2.92).</w:t>
      </w:r>
    </w:p>
    <w:p w:rsidR="000433DD" w:rsidRDefault="00432D06">
      <w:pPr>
        <w:spacing w:after="0" w:line="240" w:lineRule="auto"/>
        <w:ind w:left="567" w:firstLine="720"/>
        <w:jc w:val="both"/>
        <w:rPr>
          <w:rFonts w:ascii="Times New Roman" w:eastAsia="Times New Roman" w:hAnsi="Times New Roman" w:cs="Times New Roman"/>
          <w:bCs/>
          <w:sz w:val="24"/>
          <w:szCs w:val="24"/>
          <w:lang w:eastAsia="en-PH"/>
        </w:rPr>
      </w:pPr>
      <w:r>
        <w:rPr>
          <w:rFonts w:ascii="Times New Roman" w:eastAsia="Times New Roman" w:hAnsi="Times New Roman" w:cs="Times New Roman"/>
          <w:bCs/>
          <w:sz w:val="24"/>
          <w:szCs w:val="24"/>
          <w:lang w:eastAsia="en-PH"/>
        </w:rPr>
        <w:t>Five indicators were rated “Moderately Engaged,” with the lowest being “I asked questions when I did not understand” (WM = 2.41). This suggests that although students actively participated in group activities, some were reluctant to ask questions individually. The grand weighted mean of 2.64 indicates that overall, pupils were Highly Engaged in Science lessons with the localized STEM approach.</w:t>
      </w:r>
    </w:p>
    <w:p w:rsidR="000433DD" w:rsidRDefault="00432D06">
      <w:pPr>
        <w:spacing w:after="0" w:line="240" w:lineRule="auto"/>
        <w:ind w:left="567" w:firstLine="720"/>
        <w:jc w:val="both"/>
        <w:rPr>
          <w:rFonts w:ascii="Times New Roman" w:eastAsia="Times New Roman" w:hAnsi="Times New Roman" w:cs="Times New Roman"/>
          <w:bCs/>
          <w:sz w:val="24"/>
          <w:szCs w:val="24"/>
          <w:lang w:eastAsia="en-PH"/>
        </w:rPr>
      </w:pPr>
      <w:r>
        <w:rPr>
          <w:rFonts w:ascii="Times New Roman" w:eastAsia="Times New Roman" w:hAnsi="Times New Roman" w:cs="Times New Roman"/>
          <w:bCs/>
          <w:sz w:val="24"/>
          <w:szCs w:val="24"/>
          <w:lang w:eastAsia="en-PH"/>
        </w:rPr>
        <w:t>These findings imply that the localized STEM approach successfully fostered attentiveness, collaboration, and enthusiasm among learners—qualities essential for meaningful classroom participation. However, the moderate results in questioning and independent confidence suggest the need for instructional strategies that encourage inquiry-based learning, self-directed exploration, and stronger real-life connections. Teachers may need to provide scaffolding and create a supportive classroom culture where students feel comfortable asking questions and applying concepts beyond the classroom. This also indicates the importance of designing activities that gradually transition from group collaboration to individual accountability in order to strengthen independent engagement.</w:t>
      </w:r>
    </w:p>
    <w:p w:rsidR="000433DD" w:rsidRDefault="00432D06">
      <w:pPr>
        <w:spacing w:after="0" w:line="240" w:lineRule="auto"/>
        <w:ind w:left="567" w:firstLine="720"/>
        <w:jc w:val="both"/>
        <w:rPr>
          <w:rFonts w:ascii="Times New Roman" w:eastAsia="Times New Roman" w:hAnsi="Times New Roman"/>
          <w:bCs/>
          <w:sz w:val="24"/>
          <w:szCs w:val="24"/>
          <w:lang w:eastAsia="en-PH"/>
        </w:rPr>
      </w:pPr>
      <w:r>
        <w:rPr>
          <w:rFonts w:ascii="Times New Roman" w:eastAsia="Times New Roman" w:hAnsi="Times New Roman"/>
          <w:bCs/>
          <w:sz w:val="24"/>
          <w:szCs w:val="24"/>
          <w:lang w:eastAsia="en-PH"/>
        </w:rPr>
        <w:t xml:space="preserve">According to Holmes et al. (2021) and </w:t>
      </w:r>
      <w:proofErr w:type="spellStart"/>
      <w:r>
        <w:rPr>
          <w:rFonts w:ascii="Times New Roman" w:eastAsia="Times New Roman" w:hAnsi="Times New Roman"/>
          <w:bCs/>
          <w:sz w:val="24"/>
          <w:szCs w:val="24"/>
          <w:lang w:eastAsia="en-PH"/>
        </w:rPr>
        <w:t>Kostøl</w:t>
      </w:r>
      <w:proofErr w:type="spellEnd"/>
      <w:r>
        <w:rPr>
          <w:rFonts w:ascii="Times New Roman" w:eastAsia="Times New Roman" w:hAnsi="Times New Roman"/>
          <w:bCs/>
          <w:sz w:val="24"/>
          <w:szCs w:val="24"/>
          <w:lang w:eastAsia="en-PH"/>
        </w:rPr>
        <w:t xml:space="preserve"> &amp; </w:t>
      </w:r>
      <w:proofErr w:type="spellStart"/>
      <w:r>
        <w:rPr>
          <w:rFonts w:ascii="Times New Roman" w:eastAsia="Times New Roman" w:hAnsi="Times New Roman"/>
          <w:bCs/>
          <w:sz w:val="24"/>
          <w:szCs w:val="24"/>
          <w:lang w:eastAsia="en-PH"/>
        </w:rPr>
        <w:t>Remmen</w:t>
      </w:r>
      <w:proofErr w:type="spellEnd"/>
      <w:r>
        <w:rPr>
          <w:rFonts w:ascii="Times New Roman" w:eastAsia="Times New Roman" w:hAnsi="Times New Roman"/>
          <w:bCs/>
          <w:sz w:val="24"/>
          <w:szCs w:val="24"/>
          <w:lang w:eastAsia="en-PH"/>
        </w:rPr>
        <w:t xml:space="preserve"> (2022), localized context-based STEM fosters greater attentiveness, collaboration, and active participation among learners, which is consistent with the high engagement reflected in this study. Pupils were most engaged in listening and group activities, supporting Attard et al. (2021) who highlighted the role of such approaches in enhancing communication and problem-solving. However, the moderate ratings in questioning and independent work mirror the findings of Margot &amp; Kettler (2019) and Littrell et al. (2020), who noted that students may still struggle with inquiry and self-directed learning. This implies that while localized STEM effectively boosts overall engagement, teachers should implement strategies that encourage questioning and independent exploration to maximize its benefits.</w:t>
      </w: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432D06">
      <w:pPr>
        <w:spacing w:after="0" w:line="240" w:lineRule="auto"/>
        <w:ind w:left="720" w:firstLine="431"/>
        <w:jc w:val="both"/>
        <w:rPr>
          <w:rFonts w:ascii="Times New Roman" w:hAnsi="Times New Roman" w:cs="Times New Roman"/>
          <w:sz w:val="24"/>
          <w:szCs w:val="24"/>
        </w:rPr>
      </w:pPr>
      <w:bookmarkStart w:id="1" w:name="_Hlk208671044"/>
      <w:r>
        <w:rPr>
          <w:rFonts w:ascii="Times New Roman" w:hAnsi="Times New Roman" w:cs="Times New Roman"/>
          <w:b/>
          <w:sz w:val="24"/>
          <w:szCs w:val="24"/>
        </w:rPr>
        <w:t>Table 4.5</w:t>
      </w:r>
      <w:r>
        <w:rPr>
          <w:rFonts w:ascii="Times New Roman" w:hAnsi="Times New Roman" w:cs="Times New Roman"/>
          <w:sz w:val="24"/>
          <w:szCs w:val="24"/>
        </w:rPr>
        <w:t xml:space="preserve"> Weighted Mean on Level of Engagement of the Respondents </w:t>
      </w:r>
    </w:p>
    <w:p w:rsidR="000433DD" w:rsidRDefault="00432D06">
      <w:pPr>
        <w:spacing w:after="0" w:line="240" w:lineRule="auto"/>
        <w:ind w:firstLine="1418"/>
        <w:jc w:val="both"/>
        <w:rPr>
          <w:rFonts w:ascii="Times New Roman" w:hAnsi="Times New Roman" w:cs="Times New Roman"/>
          <w:bCs/>
          <w:sz w:val="24"/>
          <w:szCs w:val="24"/>
        </w:rPr>
      </w:pPr>
      <w:r>
        <w:rPr>
          <w:rFonts w:ascii="Times New Roman" w:hAnsi="Times New Roman" w:cs="Times New Roman"/>
          <w:sz w:val="24"/>
          <w:szCs w:val="24"/>
        </w:rPr>
        <w:t xml:space="preserve">during the Intervention </w:t>
      </w:r>
      <w:r>
        <w:rPr>
          <w:rFonts w:ascii="Times New Roman" w:hAnsi="Times New Roman" w:cs="Times New Roman"/>
          <w:bCs/>
          <w:sz w:val="24"/>
          <w:szCs w:val="24"/>
        </w:rPr>
        <w:t>(n=37)</w:t>
      </w:r>
    </w:p>
    <w:tbl>
      <w:tblPr>
        <w:tblW w:w="8055" w:type="dxa"/>
        <w:tblInd w:w="660" w:type="dxa"/>
        <w:tblLook w:val="04A0" w:firstRow="1" w:lastRow="0" w:firstColumn="1" w:lastColumn="0" w:noHBand="0" w:noVBand="1"/>
      </w:tblPr>
      <w:tblGrid>
        <w:gridCol w:w="3960"/>
        <w:gridCol w:w="1410"/>
        <w:gridCol w:w="2685"/>
      </w:tblGrid>
      <w:tr w:rsidR="000433DD">
        <w:trPr>
          <w:trHeight w:val="709"/>
        </w:trPr>
        <w:tc>
          <w:tcPr>
            <w:tcW w:w="3960" w:type="dxa"/>
            <w:tcBorders>
              <w:top w:val="single" w:sz="8" w:space="0" w:color="auto"/>
              <w:left w:val="nil"/>
              <w:bottom w:val="double" w:sz="6" w:space="0" w:color="auto"/>
              <w:right w:val="nil"/>
            </w:tcBorders>
            <w:vAlign w:val="center"/>
            <w:hideMark/>
          </w:tcPr>
          <w:bookmarkEnd w:id="1"/>
          <w:p w:rsidR="000433DD" w:rsidRDefault="00432D0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Indicators</w:t>
            </w:r>
          </w:p>
        </w:tc>
        <w:tc>
          <w:tcPr>
            <w:tcW w:w="1410" w:type="dxa"/>
            <w:tcBorders>
              <w:top w:val="single" w:sz="8" w:space="0" w:color="auto"/>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WM</w:t>
            </w:r>
          </w:p>
        </w:tc>
        <w:tc>
          <w:tcPr>
            <w:tcW w:w="2685" w:type="dxa"/>
            <w:tcBorders>
              <w:top w:val="single" w:sz="8" w:space="0" w:color="auto"/>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Interpretation</w:t>
            </w:r>
          </w:p>
        </w:tc>
      </w:tr>
      <w:tr w:rsidR="000433DD">
        <w:trPr>
          <w:trHeight w:val="957"/>
        </w:trPr>
        <w:tc>
          <w:tcPr>
            <w:tcW w:w="3960" w:type="dxa"/>
            <w:tcBorders>
              <w:top w:val="nil"/>
              <w:left w:val="nil"/>
              <w:bottom w:val="nil"/>
              <w:right w:val="nil"/>
            </w:tcBorders>
            <w:vAlign w:val="center"/>
            <w:hideMark/>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listened carefully during                                   the Science lesson. </w:t>
            </w:r>
          </w:p>
        </w:tc>
        <w:tc>
          <w:tcPr>
            <w:tcW w:w="141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p>
        </w:tc>
        <w:tc>
          <w:tcPr>
            <w:tcW w:w="2685"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Engaged</w:t>
            </w:r>
          </w:p>
        </w:tc>
      </w:tr>
      <w:tr w:rsidR="000433DD">
        <w:trPr>
          <w:trHeight w:val="957"/>
        </w:trPr>
        <w:tc>
          <w:tcPr>
            <w:tcW w:w="3960" w:type="dxa"/>
            <w:tcBorders>
              <w:top w:val="nil"/>
              <w:left w:val="nil"/>
              <w:bottom w:val="nil"/>
              <w:right w:val="nil"/>
            </w:tcBorders>
            <w:vAlign w:val="center"/>
            <w:hideMark/>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joined in the class activities or experiments during the Science lesson.</w:t>
            </w:r>
          </w:p>
        </w:tc>
        <w:tc>
          <w:tcPr>
            <w:tcW w:w="141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p>
        </w:tc>
        <w:tc>
          <w:tcPr>
            <w:tcW w:w="2685"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Engaged</w:t>
            </w:r>
          </w:p>
        </w:tc>
      </w:tr>
      <w:tr w:rsidR="000433DD">
        <w:trPr>
          <w:trHeight w:val="957"/>
        </w:trPr>
        <w:tc>
          <w:tcPr>
            <w:tcW w:w="3960" w:type="dxa"/>
            <w:tcBorders>
              <w:top w:val="nil"/>
              <w:left w:val="nil"/>
              <w:bottom w:val="nil"/>
              <w:right w:val="nil"/>
            </w:tcBorders>
            <w:vAlign w:val="center"/>
            <w:hideMark/>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felt excited to join group work and experiments during the Science class.</w:t>
            </w:r>
          </w:p>
        </w:tc>
        <w:tc>
          <w:tcPr>
            <w:tcW w:w="141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p>
        </w:tc>
        <w:tc>
          <w:tcPr>
            <w:tcW w:w="2685"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Engaged</w:t>
            </w:r>
          </w:p>
        </w:tc>
      </w:tr>
      <w:tr w:rsidR="000433DD">
        <w:trPr>
          <w:trHeight w:val="957"/>
        </w:trPr>
        <w:tc>
          <w:tcPr>
            <w:tcW w:w="3960" w:type="dxa"/>
            <w:tcBorders>
              <w:top w:val="nil"/>
              <w:left w:val="nil"/>
              <w:bottom w:val="nil"/>
              <w:right w:val="nil"/>
            </w:tcBorders>
            <w:vAlign w:val="center"/>
            <w:hideMark/>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stayed focused and did not get distracted during the Science class</w:t>
            </w:r>
          </w:p>
        </w:tc>
        <w:tc>
          <w:tcPr>
            <w:tcW w:w="141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685"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Engaged</w:t>
            </w:r>
          </w:p>
        </w:tc>
      </w:tr>
      <w:tr w:rsidR="000433DD">
        <w:trPr>
          <w:trHeight w:val="957"/>
        </w:trPr>
        <w:tc>
          <w:tcPr>
            <w:tcW w:w="3960" w:type="dxa"/>
            <w:tcBorders>
              <w:top w:val="nil"/>
              <w:left w:val="nil"/>
              <w:bottom w:val="nil"/>
              <w:right w:val="nil"/>
            </w:tcBorders>
            <w:vAlign w:val="center"/>
            <w:hideMark/>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worked will with my group during the Science class.</w:t>
            </w:r>
          </w:p>
        </w:tc>
        <w:tc>
          <w:tcPr>
            <w:tcW w:w="141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w:t>
            </w:r>
          </w:p>
        </w:tc>
        <w:tc>
          <w:tcPr>
            <w:tcW w:w="2685"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Engaged</w:t>
            </w:r>
          </w:p>
          <w:p w:rsidR="000433DD" w:rsidRDefault="000433DD">
            <w:pPr>
              <w:spacing w:after="0" w:line="240" w:lineRule="auto"/>
              <w:rPr>
                <w:rFonts w:ascii="Times New Roman" w:eastAsia="Times New Roman" w:hAnsi="Times New Roman" w:cs="Times New Roman"/>
                <w:color w:val="000000"/>
                <w:sz w:val="24"/>
                <w:szCs w:val="24"/>
              </w:rPr>
            </w:pPr>
          </w:p>
        </w:tc>
      </w:tr>
      <w:tr w:rsidR="000433DD">
        <w:trPr>
          <w:trHeight w:val="957"/>
        </w:trPr>
        <w:tc>
          <w:tcPr>
            <w:tcW w:w="3960" w:type="dxa"/>
            <w:tcBorders>
              <w:top w:val="nil"/>
              <w:left w:val="nil"/>
              <w:bottom w:val="nil"/>
              <w:right w:val="nil"/>
            </w:tcBorders>
            <w:vAlign w:val="center"/>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I asked questions when I do not understand something in Science class.</w:t>
            </w:r>
          </w:p>
        </w:tc>
        <w:tc>
          <w:tcPr>
            <w:tcW w:w="1410"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2.41</w:t>
            </w:r>
          </w:p>
        </w:tc>
        <w:tc>
          <w:tcPr>
            <w:tcW w:w="2685"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Highly Engaged</w:t>
            </w:r>
          </w:p>
        </w:tc>
      </w:tr>
      <w:tr w:rsidR="000433DD">
        <w:trPr>
          <w:trHeight w:val="957"/>
        </w:trPr>
        <w:tc>
          <w:tcPr>
            <w:tcW w:w="3960" w:type="dxa"/>
            <w:tcBorders>
              <w:top w:val="nil"/>
              <w:left w:val="nil"/>
              <w:bottom w:val="nil"/>
              <w:right w:val="nil"/>
            </w:tcBorders>
            <w:vAlign w:val="center"/>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I shared my ideas and helped my classmates during Science activities.</w:t>
            </w:r>
          </w:p>
        </w:tc>
        <w:tc>
          <w:tcPr>
            <w:tcW w:w="1410"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2.55</w:t>
            </w:r>
          </w:p>
        </w:tc>
        <w:tc>
          <w:tcPr>
            <w:tcW w:w="2685"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Highly Engaged</w:t>
            </w:r>
          </w:p>
        </w:tc>
      </w:tr>
      <w:tr w:rsidR="000433DD">
        <w:trPr>
          <w:trHeight w:val="957"/>
        </w:trPr>
        <w:tc>
          <w:tcPr>
            <w:tcW w:w="3960" w:type="dxa"/>
            <w:tcBorders>
              <w:top w:val="nil"/>
              <w:left w:val="nil"/>
              <w:bottom w:val="nil"/>
              <w:right w:val="nil"/>
            </w:tcBorders>
            <w:vAlign w:val="center"/>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I related the Science lesson into real-life situations.</w:t>
            </w:r>
          </w:p>
        </w:tc>
        <w:tc>
          <w:tcPr>
            <w:tcW w:w="1410"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2.49</w:t>
            </w:r>
          </w:p>
        </w:tc>
        <w:tc>
          <w:tcPr>
            <w:tcW w:w="2685"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Highly Engaged</w:t>
            </w:r>
          </w:p>
        </w:tc>
      </w:tr>
      <w:tr w:rsidR="00EE38B8" w:rsidTr="00EE38B8">
        <w:trPr>
          <w:trHeight w:val="1914"/>
        </w:trPr>
        <w:tc>
          <w:tcPr>
            <w:tcW w:w="3960" w:type="dxa"/>
            <w:tcBorders>
              <w:top w:val="nil"/>
              <w:left w:val="nil"/>
              <w:bottom w:val="single" w:sz="4" w:space="0" w:color="auto"/>
              <w:right w:val="nil"/>
            </w:tcBorders>
            <w:vAlign w:val="center"/>
          </w:tcPr>
          <w:p w:rsidR="00EE38B8" w:rsidRDefault="00EE38B8">
            <w:pPr>
              <w:numPr>
                <w:ilvl w:val="0"/>
                <w:numId w:val="6"/>
              </w:numPr>
              <w:spacing w:after="0" w:line="240" w:lineRule="auto"/>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I felt confident to do experiments or activities by myself.</w:t>
            </w:r>
          </w:p>
          <w:p w:rsidR="00EE38B8" w:rsidRDefault="00EE38B8" w:rsidP="00EE38B8">
            <w:pPr>
              <w:spacing w:after="0" w:line="240" w:lineRule="auto"/>
              <w:ind w:left="720"/>
              <w:jc w:val="both"/>
              <w:rPr>
                <w:rFonts w:ascii="Times New Roman" w:eastAsia="Times New Roman" w:hAnsi="Times New Roman" w:cs="Times New Roman"/>
                <w:color w:val="000000"/>
                <w:sz w:val="24"/>
                <w:szCs w:val="24"/>
                <w:lang w:eastAsia="en-PH"/>
              </w:rPr>
            </w:pPr>
          </w:p>
          <w:p w:rsidR="00EE38B8" w:rsidRDefault="00EE38B8" w:rsidP="009D5471">
            <w:pPr>
              <w:numPr>
                <w:ilvl w:val="0"/>
                <w:numId w:val="6"/>
              </w:numPr>
              <w:spacing w:after="0" w:line="240" w:lineRule="auto"/>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I reviewed or studied the Science lesson after class.</w:t>
            </w:r>
          </w:p>
        </w:tc>
        <w:tc>
          <w:tcPr>
            <w:tcW w:w="1410" w:type="dxa"/>
            <w:tcBorders>
              <w:top w:val="nil"/>
              <w:left w:val="nil"/>
              <w:bottom w:val="single" w:sz="4" w:space="0" w:color="auto"/>
              <w:right w:val="nil"/>
            </w:tcBorders>
            <w:vAlign w:val="center"/>
          </w:tcPr>
          <w:p w:rsidR="00EE38B8" w:rsidRDefault="00EE38B8">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2.54</w:t>
            </w:r>
          </w:p>
          <w:p w:rsidR="00EE38B8" w:rsidRDefault="00EE38B8">
            <w:pPr>
              <w:spacing w:after="0" w:line="240" w:lineRule="auto"/>
              <w:jc w:val="center"/>
              <w:rPr>
                <w:rFonts w:ascii="Times New Roman" w:eastAsia="Times New Roman" w:hAnsi="Times New Roman" w:cs="Times New Roman"/>
                <w:color w:val="000000"/>
                <w:sz w:val="24"/>
                <w:szCs w:val="24"/>
                <w:lang w:eastAsia="en-PH"/>
              </w:rPr>
            </w:pPr>
          </w:p>
          <w:p w:rsidR="00EE38B8" w:rsidRDefault="00EE38B8">
            <w:pPr>
              <w:spacing w:after="0" w:line="240" w:lineRule="auto"/>
              <w:jc w:val="center"/>
              <w:rPr>
                <w:rFonts w:ascii="Times New Roman" w:eastAsia="Times New Roman" w:hAnsi="Times New Roman" w:cs="Times New Roman"/>
                <w:color w:val="000000"/>
                <w:sz w:val="24"/>
                <w:szCs w:val="24"/>
                <w:lang w:eastAsia="en-PH"/>
              </w:rPr>
            </w:pPr>
          </w:p>
          <w:p w:rsidR="00EE38B8" w:rsidRDefault="00EE38B8" w:rsidP="008467C1">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2.55</w:t>
            </w:r>
          </w:p>
        </w:tc>
        <w:tc>
          <w:tcPr>
            <w:tcW w:w="2685" w:type="dxa"/>
            <w:tcBorders>
              <w:top w:val="nil"/>
              <w:left w:val="nil"/>
              <w:bottom w:val="single" w:sz="4" w:space="0" w:color="auto"/>
              <w:right w:val="nil"/>
            </w:tcBorders>
            <w:vAlign w:val="center"/>
          </w:tcPr>
          <w:p w:rsidR="00EE38B8" w:rsidRDefault="00EE38B8">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Highly Engaged</w:t>
            </w:r>
          </w:p>
          <w:p w:rsidR="00EE38B8" w:rsidRDefault="00EE38B8">
            <w:pPr>
              <w:spacing w:after="0" w:line="240" w:lineRule="auto"/>
              <w:jc w:val="center"/>
              <w:rPr>
                <w:rFonts w:ascii="Times New Roman" w:eastAsia="Times New Roman" w:hAnsi="Times New Roman" w:cs="Times New Roman"/>
                <w:color w:val="000000"/>
                <w:sz w:val="24"/>
                <w:szCs w:val="24"/>
                <w:lang w:eastAsia="en-PH"/>
              </w:rPr>
            </w:pPr>
          </w:p>
          <w:p w:rsidR="00EE38B8" w:rsidRDefault="00EE38B8">
            <w:pPr>
              <w:spacing w:after="0" w:line="240" w:lineRule="auto"/>
              <w:jc w:val="center"/>
              <w:rPr>
                <w:rFonts w:ascii="Times New Roman" w:eastAsia="Times New Roman" w:hAnsi="Times New Roman" w:cs="Times New Roman"/>
                <w:color w:val="000000"/>
                <w:sz w:val="24"/>
                <w:szCs w:val="24"/>
                <w:lang w:eastAsia="en-PH"/>
              </w:rPr>
            </w:pPr>
            <w:bookmarkStart w:id="2" w:name="_GoBack"/>
            <w:bookmarkEnd w:id="2"/>
          </w:p>
          <w:p w:rsidR="00EE38B8" w:rsidRDefault="00EE38B8" w:rsidP="004E7345">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Highly Engaged</w:t>
            </w:r>
          </w:p>
        </w:tc>
      </w:tr>
    </w:tbl>
    <w:p w:rsidR="000433DD" w:rsidRDefault="00432D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Grand Weighted Mean                               2.64               Highly Engaged </w:t>
      </w:r>
    </w:p>
    <w:p w:rsidR="000433DD" w:rsidRDefault="000433DD">
      <w:pPr>
        <w:spacing w:after="0" w:line="480" w:lineRule="auto"/>
        <w:jc w:val="both"/>
        <w:rPr>
          <w:rFonts w:ascii="Times New Roman" w:hAnsi="Times New Roman" w:cs="Times New Roman"/>
          <w:b/>
          <w:sz w:val="24"/>
          <w:szCs w:val="24"/>
        </w:rPr>
      </w:pPr>
    </w:p>
    <w:p w:rsidR="000433DD" w:rsidRDefault="000433DD">
      <w:pPr>
        <w:spacing w:after="0" w:line="480" w:lineRule="auto"/>
        <w:jc w:val="both"/>
        <w:rPr>
          <w:rFonts w:ascii="Times New Roman" w:hAnsi="Times New Roman" w:cs="Times New Roman"/>
          <w:b/>
          <w:sz w:val="24"/>
          <w:szCs w:val="24"/>
        </w:rPr>
      </w:pPr>
    </w:p>
    <w:p w:rsidR="000433DD" w:rsidRDefault="00432D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4.6 Evaluation Result of Coral Reef Water Cleaner Prototype</w:t>
      </w:r>
    </w:p>
    <w:p w:rsidR="000433DD" w:rsidRDefault="00432D0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prototype of the three groups was evaluated by the Science teachers of Sultan Naga </w:t>
      </w:r>
      <w:proofErr w:type="spellStart"/>
      <w:r>
        <w:rPr>
          <w:rFonts w:ascii="Times New Roman" w:hAnsi="Times New Roman" w:cs="Times New Roman"/>
          <w:sz w:val="24"/>
          <w:szCs w:val="24"/>
        </w:rPr>
        <w:t>Dimaporo</w:t>
      </w:r>
      <w:proofErr w:type="spellEnd"/>
      <w:r>
        <w:rPr>
          <w:rFonts w:ascii="Times New Roman" w:hAnsi="Times New Roman" w:cs="Times New Roman"/>
          <w:sz w:val="24"/>
          <w:szCs w:val="24"/>
        </w:rPr>
        <w:t xml:space="preserve"> Memorial Integrated School, together with invited visitors who served as guest judges, including school staff and community representatives. The evaluation was based on five criteria: Design and Creativity, Functionality, Use of Recycled Materials, Teamwork/Participation, and Explanation/Presentation. Each group presented and demonstrated their work, answered questions from the evaluators, and was scored accordingly. After the presentations, evaluators gave feedback, praising creativity, teamwork, and effective use of recycled materials, while suggesting improvements in presentation clarity and design refinement.</w:t>
      </w:r>
    </w:p>
    <w:p w:rsidR="000433DD" w:rsidRDefault="00432D06">
      <w:pPr>
        <w:spacing w:after="0" w:line="24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Group 1</w:t>
      </w:r>
    </w:p>
    <w:p w:rsidR="000433DD" w:rsidRDefault="00432D06">
      <w:pPr>
        <w:spacing w:after="0" w:line="240" w:lineRule="auto"/>
        <w:ind w:firstLine="431"/>
        <w:jc w:val="center"/>
        <w:rPr>
          <w:rFonts w:ascii="Times New Roman" w:hAnsi="Times New Roman" w:cs="Times New Roman"/>
          <w:b/>
          <w:noProof/>
          <w:color w:val="000000"/>
          <w:sz w:val="24"/>
          <w:szCs w:val="24"/>
        </w:rPr>
      </w:pPr>
      <w:r>
        <w:rPr>
          <w:rFonts w:ascii="Times New Roman" w:hAnsi="Times New Roman" w:cs="Times New Roman"/>
          <w:b/>
          <w:noProof/>
          <w:color w:val="000000"/>
          <w:sz w:val="24"/>
          <w:szCs w:val="24"/>
        </w:rPr>
        <mc:AlternateContent>
          <mc:Choice Requires="wpg">
            <w:drawing>
              <wp:anchor distT="0" distB="0" distL="0" distR="0" simplePos="0" relativeHeight="3" behindDoc="0" locked="0" layoutInCell="1" allowOverlap="1">
                <wp:simplePos x="0" y="0"/>
                <wp:positionH relativeFrom="column">
                  <wp:posOffset>412750</wp:posOffset>
                </wp:positionH>
                <wp:positionV relativeFrom="paragraph">
                  <wp:posOffset>85090</wp:posOffset>
                </wp:positionV>
                <wp:extent cx="5391150" cy="2209800"/>
                <wp:effectExtent l="0" t="0" r="0" b="0"/>
                <wp:wrapNone/>
                <wp:docPr id="1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0" cy="2209800"/>
                          <a:chOff x="2520" y="3131"/>
                          <a:chExt cx="7861" cy="3864"/>
                        </a:xfrm>
                      </wpg:grpSpPr>
                      <pic:pic xmlns:pic="http://schemas.openxmlformats.org/drawingml/2006/picture">
                        <pic:nvPicPr>
                          <pic:cNvPr id="1" name="Image"/>
                          <pic:cNvPicPr/>
                        </pic:nvPicPr>
                        <pic:blipFill>
                          <a:blip r:embed="rId12" cstate="print"/>
                          <a:srcRect/>
                          <a:stretch/>
                        </pic:blipFill>
                        <pic:spPr>
                          <a:xfrm>
                            <a:off x="2520" y="3144"/>
                            <a:ext cx="3851" cy="3851"/>
                          </a:xfrm>
                          <a:prstGeom prst="rect">
                            <a:avLst/>
                          </a:prstGeom>
                          <a:ln>
                            <a:noFill/>
                          </a:ln>
                        </pic:spPr>
                      </pic:pic>
                      <pic:pic xmlns:pic="http://schemas.openxmlformats.org/drawingml/2006/picture">
                        <pic:nvPicPr>
                          <pic:cNvPr id="2" name="Image"/>
                          <pic:cNvPicPr/>
                        </pic:nvPicPr>
                        <pic:blipFill>
                          <a:blip r:embed="rId13" cstate="print"/>
                          <a:srcRect/>
                          <a:stretch/>
                        </pic:blipFill>
                        <pic:spPr>
                          <a:xfrm>
                            <a:off x="6597" y="3131"/>
                            <a:ext cx="3784" cy="3858"/>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1027" filled="f" stroked="f" style="position:absolute;margin-left:32.5pt;margin-top:6.7pt;width:424.5pt;height:174.0pt;z-index:3;mso-position-horizontal-relative:text;mso-position-vertical-relative:text;mso-width-percent:0;mso-height-percent:0;mso-width-relative:page;mso-height-relative:page;mso-wrap-distance-left:0.0pt;mso-wrap-distance-right:0.0pt;visibility:visible;" coordsize="7861,3864" coordorigin="2520,3131">
                <v:shape id="1028" type="#_x0000_t75" filled="f" stroked="f" style="position:absolute;left:2520;top:3144;width:3851;height:3851;z-index:2;mso-position-horizontal-relative:page;mso-position-vertical-relative:page;mso-width-relative:page;mso-height-relative:page;visibility:visible;">
                  <v:imagedata r:id="rId14" embosscolor="white" o:title=""/>
                  <v:stroke on="f"/>
                  <v:fill/>
                </v:shape>
                <v:shape id="1029" type="#_x0000_t75" filled="f" stroked="f" style="position:absolute;left:6597;top:3131;width:3784;height:3858;z-index:3;mso-position-horizontal-relative:page;mso-position-vertical-relative:page;mso-width-relative:page;mso-height-relative:page;visibility:visible;">
                  <v:imagedata r:id="rId15" embosscolor="white" o:title=""/>
                  <v:stroke on="f"/>
                  <v:fill/>
                </v:shape>
                <v:fill/>
              </v:group>
            </w:pict>
          </mc:Fallback>
        </mc:AlternateContent>
      </w: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432D06">
      <w:pPr>
        <w:spacing w:after="0" w:line="240" w:lineRule="auto"/>
        <w:ind w:firstLine="431"/>
        <w:jc w:val="center"/>
        <w:rPr>
          <w:rFonts w:ascii="Times New Roman" w:hAnsi="Times New Roman" w:cs="Times New Roman"/>
          <w:b/>
          <w:noProof/>
          <w:color w:val="000000"/>
          <w:sz w:val="24"/>
          <w:szCs w:val="24"/>
        </w:rPr>
      </w:pPr>
      <w:r>
        <w:rPr>
          <w:rFonts w:ascii="Times New Roman" w:hAnsi="Times New Roman" w:cs="Times New Roman"/>
          <w:b/>
          <w:noProof/>
          <w:color w:val="000000"/>
          <w:sz w:val="24"/>
          <w:szCs w:val="24"/>
        </w:rPr>
        <mc:AlternateContent>
          <mc:Choice Requires="wps">
            <w:drawing>
              <wp:anchor distT="0" distB="0" distL="0" distR="0" simplePos="0" relativeHeight="6" behindDoc="0" locked="0" layoutInCell="1" allowOverlap="1">
                <wp:simplePos x="0" y="0"/>
                <wp:positionH relativeFrom="column">
                  <wp:posOffset>4191000</wp:posOffset>
                </wp:positionH>
                <wp:positionV relativeFrom="paragraph">
                  <wp:posOffset>124460</wp:posOffset>
                </wp:positionV>
                <wp:extent cx="520699" cy="76200"/>
                <wp:effectExtent l="0" t="0" r="12700" b="19050"/>
                <wp:wrapNone/>
                <wp:docPr id="10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9" cy="76200"/>
                        </a:xfrm>
                        <a:prstGeom prst="rect">
                          <a:avLst/>
                        </a:prstGeom>
                        <a:solidFill>
                          <a:srgbClr val="EE0000"/>
                        </a:solidFill>
                        <a:ln w="12700" cap="flat" cmpd="sng">
                          <a:solidFill>
                            <a:srgbClr val="1C3053"/>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0" fillcolor="#ee0000" stroked="t" style="position:absolute;margin-left:330.0pt;margin-top:9.8pt;width:41.0pt;height:6.0pt;z-index:6;mso-position-horizontal-relative:text;mso-position-vertical-relative:text;mso-width-percent:0;mso-height-percent:0;mso-width-relative:margin;mso-height-relative:margin;mso-wrap-distance-left:0.0pt;mso-wrap-distance-right:0.0pt;visibility:visible;">
                <v:stroke joinstyle="miter" color="#1c3053" weight="1.0pt"/>
                <v:fill/>
              </v:rect>
            </w:pict>
          </mc:Fallback>
        </mc:AlternateContent>
      </w: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rPr>
          <w:rFonts w:ascii="Times New Roman" w:hAnsi="Times New Roman" w:cs="Times New Roman"/>
          <w:b/>
          <w:noProof/>
          <w:color w:val="000000"/>
          <w:sz w:val="24"/>
          <w:szCs w:val="24"/>
        </w:rPr>
      </w:pPr>
    </w:p>
    <w:p w:rsidR="000433DD" w:rsidRDefault="00432D06">
      <w:pPr>
        <w:spacing w:after="0" w:line="240" w:lineRule="auto"/>
        <w:ind w:firstLine="431"/>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 xml:space="preserve">Figure 4.7.1 </w:t>
      </w:r>
      <w:r>
        <w:rPr>
          <w:rFonts w:ascii="Times New Roman" w:hAnsi="Times New Roman" w:cs="Times New Roman"/>
          <w:noProof/>
          <w:color w:val="000000"/>
          <w:sz w:val="24"/>
          <w:szCs w:val="24"/>
        </w:rPr>
        <w:t>Prototype of the Respondents and Application of their Prototype</w:t>
      </w:r>
    </w:p>
    <w:p w:rsidR="000433DD" w:rsidRDefault="000433DD">
      <w:pPr>
        <w:spacing w:after="0" w:line="240" w:lineRule="auto"/>
        <w:ind w:firstLine="431"/>
        <w:jc w:val="both"/>
        <w:rPr>
          <w:rFonts w:ascii="Times New Roman" w:hAnsi="Times New Roman" w:cs="Times New Roman"/>
          <w:noProof/>
          <w:color w:val="000000"/>
          <w:sz w:val="24"/>
          <w:szCs w:val="24"/>
        </w:rPr>
      </w:pPr>
    </w:p>
    <w:p w:rsidR="000433DD" w:rsidRDefault="00432D06">
      <w:pPr>
        <w:spacing w:after="0" w:line="24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Group 2</w:t>
      </w:r>
    </w:p>
    <w:p w:rsidR="000433DD" w:rsidRDefault="00432D06">
      <w:pPr>
        <w:spacing w:after="0" w:line="480" w:lineRule="auto"/>
        <w:ind w:firstLine="431"/>
        <w:rPr>
          <w:rFonts w:ascii="Times New Roman" w:hAnsi="Times New Roman" w:cs="Times New Roman"/>
          <w:b/>
          <w:noProof/>
          <w:color w:val="000000"/>
          <w:sz w:val="24"/>
          <w:szCs w:val="24"/>
        </w:rPr>
      </w:pPr>
      <w:r>
        <w:rPr>
          <w:rFonts w:ascii="Times New Roman" w:hAnsi="Times New Roman" w:cs="Times New Roman"/>
          <w:noProof/>
          <w:sz w:val="24"/>
          <w:szCs w:val="24"/>
        </w:rPr>
        <mc:AlternateContent>
          <mc:Choice Requires="wpg">
            <w:drawing>
              <wp:anchor distT="0" distB="0" distL="0" distR="0" simplePos="0" relativeHeight="4" behindDoc="0" locked="0" layoutInCell="1" allowOverlap="1">
                <wp:simplePos x="0" y="0"/>
                <wp:positionH relativeFrom="margin">
                  <wp:posOffset>381000</wp:posOffset>
                </wp:positionH>
                <wp:positionV relativeFrom="paragraph">
                  <wp:posOffset>106045</wp:posOffset>
                </wp:positionV>
                <wp:extent cx="5511800" cy="2501900"/>
                <wp:effectExtent l="0" t="0" r="0" b="0"/>
                <wp:wrapNone/>
                <wp:docPr id="10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1800" cy="2501900"/>
                          <a:chOff x="2520" y="7890"/>
                          <a:chExt cx="7920" cy="4308"/>
                        </a:xfrm>
                      </wpg:grpSpPr>
                      <pic:pic xmlns:pic="http://schemas.openxmlformats.org/drawingml/2006/picture">
                        <pic:nvPicPr>
                          <pic:cNvPr id="3" name="Image"/>
                          <pic:cNvPicPr/>
                        </pic:nvPicPr>
                        <pic:blipFill>
                          <a:blip r:embed="rId16" cstate="print"/>
                          <a:srcRect/>
                          <a:stretch/>
                        </pic:blipFill>
                        <pic:spPr>
                          <a:xfrm>
                            <a:off x="2520" y="7890"/>
                            <a:ext cx="4019" cy="4308"/>
                          </a:xfrm>
                          <a:prstGeom prst="rect">
                            <a:avLst/>
                          </a:prstGeom>
                          <a:ln>
                            <a:noFill/>
                          </a:ln>
                        </pic:spPr>
                      </pic:pic>
                      <pic:pic xmlns:pic="http://schemas.openxmlformats.org/drawingml/2006/picture">
                        <pic:nvPicPr>
                          <pic:cNvPr id="4" name="Image"/>
                          <pic:cNvPicPr/>
                        </pic:nvPicPr>
                        <pic:blipFill>
                          <a:blip r:embed="rId17" cstate="print"/>
                          <a:srcRect/>
                          <a:stretch/>
                        </pic:blipFill>
                        <pic:spPr>
                          <a:xfrm>
                            <a:off x="6421" y="7914"/>
                            <a:ext cx="4019" cy="4280"/>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1031" filled="f" stroked="f" style="position:absolute;margin-left:30.0pt;margin-top:8.35pt;width:434.0pt;height:197.0pt;z-index:4;mso-position-horizontal-relative:margin;mso-position-vertical-relative:text;mso-width-percent:0;mso-height-percent:0;mso-width-relative:page;mso-height-relative:page;mso-wrap-distance-left:0.0pt;mso-wrap-distance-right:0.0pt;visibility:visible;" coordsize="7920,4308" coordorigin="2520,7890">
                <v:shape id="1032" type="#_x0000_t75" filled="f" stroked="f" style="position:absolute;left:2520;top:7890;width:4019;height:4308;z-index:2;mso-position-horizontal-relative:page;mso-position-vertical-relative:page;mso-width-relative:page;mso-height-relative:page;visibility:visible;">
                  <v:imagedata r:id="rId18" embosscolor="white" o:title=""/>
                  <v:stroke on="f"/>
                  <v:fill/>
                </v:shape>
                <v:shape id="1033" type="#_x0000_t75" filled="f" stroked="f" style="position:absolute;left:6421;top:7914;width:4019;height:4280;z-index:3;mso-position-horizontal-relative:page;mso-position-vertical-relative:page;mso-width-relative:page;mso-height-relative:page;visibility:visible;">
                  <v:imagedata r:id="rId19" embosscolor="white" o:title=""/>
                  <v:stroke on="f"/>
                  <v:fill/>
                </v:shape>
                <v:fill/>
              </v:group>
            </w:pict>
          </mc:Fallback>
        </mc:AlternateContent>
      </w:r>
    </w:p>
    <w:p w:rsidR="000433DD" w:rsidRDefault="00432D06">
      <w:pPr>
        <w:spacing w:after="0" w:line="480" w:lineRule="auto"/>
        <w:ind w:firstLine="431"/>
        <w:rPr>
          <w:rFonts w:ascii="Times New Roman" w:hAnsi="Times New Roman" w:cs="Times New Roman"/>
          <w:b/>
          <w:noProof/>
          <w:color w:val="000000"/>
          <w:sz w:val="24"/>
          <w:szCs w:val="24"/>
        </w:rPr>
      </w:pPr>
      <w:r>
        <w:rPr>
          <w:rFonts w:ascii="Times New Roman" w:hAnsi="Times New Roman" w:cs="Times New Roman"/>
          <w:b/>
          <w:noProof/>
          <w:color w:val="000000"/>
          <w:sz w:val="24"/>
          <w:szCs w:val="24"/>
        </w:rPr>
        <mc:AlternateContent>
          <mc:Choice Requires="wps">
            <w:drawing>
              <wp:anchor distT="0" distB="0" distL="0" distR="0" simplePos="0" relativeHeight="7" behindDoc="0" locked="0" layoutInCell="1" allowOverlap="1">
                <wp:simplePos x="0" y="0"/>
                <wp:positionH relativeFrom="column">
                  <wp:posOffset>4406900</wp:posOffset>
                </wp:positionH>
                <wp:positionV relativeFrom="paragraph">
                  <wp:posOffset>343535</wp:posOffset>
                </wp:positionV>
                <wp:extent cx="520699" cy="57150"/>
                <wp:effectExtent l="0" t="0" r="12700" b="19050"/>
                <wp:wrapNone/>
                <wp:docPr id="10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9" cy="57150"/>
                        </a:xfrm>
                        <a:prstGeom prst="rect">
                          <a:avLst/>
                        </a:prstGeom>
                        <a:solidFill>
                          <a:srgbClr val="EE0000"/>
                        </a:solidFill>
                        <a:ln w="12700" cap="flat" cmpd="sng">
                          <a:solidFill>
                            <a:srgbClr val="1C3053"/>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4" fillcolor="#ee0000" stroked="t" style="position:absolute;margin-left:347.0pt;margin-top:27.05pt;width:41.0pt;height:4.5pt;z-index:7;mso-position-horizontal-relative:text;mso-position-vertical-relative:text;mso-width-percent:0;mso-height-percent:0;mso-width-relative:margin;mso-height-relative:margin;mso-wrap-distance-left:0.0pt;mso-wrap-distance-right:0.0pt;visibility:visible;">
                <v:stroke joinstyle="miter" color="#1c3053" weight="1.0pt"/>
                <v:fill/>
              </v:rect>
            </w:pict>
          </mc:Fallback>
        </mc:AlternateContent>
      </w:r>
    </w:p>
    <w:p w:rsidR="000433DD" w:rsidRDefault="000433DD">
      <w:pPr>
        <w:spacing w:after="0" w:line="480" w:lineRule="auto"/>
        <w:ind w:firstLine="431"/>
        <w:rPr>
          <w:rFonts w:ascii="Times New Roman" w:hAnsi="Times New Roman" w:cs="Times New Roman"/>
          <w:b/>
          <w:noProof/>
          <w:color w:val="000000"/>
          <w:sz w:val="24"/>
          <w:szCs w:val="24"/>
        </w:rPr>
      </w:pPr>
    </w:p>
    <w:p w:rsidR="000433DD" w:rsidRDefault="000433DD">
      <w:pPr>
        <w:spacing w:after="0" w:line="480" w:lineRule="auto"/>
        <w:ind w:firstLine="431"/>
        <w:rPr>
          <w:rFonts w:ascii="Times New Roman" w:hAnsi="Times New Roman" w:cs="Times New Roman"/>
          <w:b/>
          <w:noProof/>
          <w:color w:val="000000"/>
          <w:sz w:val="24"/>
          <w:szCs w:val="24"/>
        </w:rPr>
      </w:pPr>
    </w:p>
    <w:p w:rsidR="000433DD" w:rsidRDefault="000433DD">
      <w:pPr>
        <w:spacing w:after="0" w:line="480" w:lineRule="auto"/>
        <w:ind w:firstLine="431"/>
        <w:rPr>
          <w:rFonts w:ascii="Times New Roman" w:hAnsi="Times New Roman" w:cs="Times New Roman"/>
          <w:b/>
          <w:noProof/>
          <w:color w:val="000000"/>
          <w:sz w:val="24"/>
          <w:szCs w:val="24"/>
        </w:rPr>
      </w:pPr>
    </w:p>
    <w:p w:rsidR="000433DD" w:rsidRDefault="000433DD">
      <w:pPr>
        <w:spacing w:after="0" w:line="480" w:lineRule="auto"/>
        <w:ind w:firstLine="431"/>
        <w:rPr>
          <w:rFonts w:ascii="Times New Roman" w:hAnsi="Times New Roman" w:cs="Times New Roman"/>
          <w:b/>
          <w:noProof/>
          <w:color w:val="000000"/>
          <w:sz w:val="24"/>
          <w:szCs w:val="24"/>
        </w:rPr>
      </w:pPr>
    </w:p>
    <w:p w:rsidR="000433DD" w:rsidRDefault="000433DD">
      <w:pPr>
        <w:spacing w:after="0" w:line="480" w:lineRule="auto"/>
        <w:ind w:firstLine="431"/>
        <w:rPr>
          <w:rFonts w:ascii="Times New Roman" w:hAnsi="Times New Roman" w:cs="Times New Roman"/>
          <w:b/>
          <w:noProof/>
          <w:color w:val="000000"/>
          <w:sz w:val="24"/>
          <w:szCs w:val="24"/>
        </w:rPr>
      </w:pPr>
    </w:p>
    <w:p w:rsidR="000433DD" w:rsidRDefault="000433DD">
      <w:pPr>
        <w:spacing w:after="0" w:line="480" w:lineRule="auto"/>
        <w:jc w:val="both"/>
        <w:rPr>
          <w:rFonts w:ascii="Times New Roman" w:hAnsi="Times New Roman" w:cs="Times New Roman"/>
          <w:b/>
          <w:noProof/>
          <w:color w:val="000000"/>
          <w:sz w:val="24"/>
          <w:szCs w:val="24"/>
        </w:rPr>
      </w:pPr>
    </w:p>
    <w:p w:rsidR="000433DD" w:rsidRDefault="00432D06">
      <w:pPr>
        <w:spacing w:after="0" w:line="480" w:lineRule="auto"/>
        <w:ind w:left="720"/>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 xml:space="preserve">Figure 4.7.2 </w:t>
      </w:r>
      <w:r>
        <w:rPr>
          <w:rFonts w:ascii="Times New Roman" w:hAnsi="Times New Roman" w:cs="Times New Roman"/>
          <w:noProof/>
          <w:color w:val="000000"/>
          <w:sz w:val="24"/>
          <w:szCs w:val="24"/>
        </w:rPr>
        <w:t>Prototype of the Respondents and Application of their Prototype</w:t>
      </w:r>
    </w:p>
    <w:p w:rsidR="000433DD" w:rsidRDefault="00432D06">
      <w:pPr>
        <w:spacing w:after="0" w:line="24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lastRenderedPageBreak/>
        <w:t>Group 3</w:t>
      </w: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432D06">
      <w:pPr>
        <w:spacing w:after="0" w:line="240" w:lineRule="auto"/>
        <w:jc w:val="center"/>
        <w:rPr>
          <w:rFonts w:ascii="Times New Roman" w:eastAsia="DengXian" w:hAnsi="Times New Roman" w:cs="Times New Roman"/>
          <w:b/>
          <w:bCs/>
          <w:sz w:val="24"/>
          <w:szCs w:val="24"/>
          <w:lang w:eastAsia="zh-CN"/>
        </w:rPr>
      </w:pPr>
      <w:r>
        <w:rPr>
          <w:rFonts w:ascii="Times New Roman" w:hAnsi="Times New Roman" w:cs="Times New Roman"/>
          <w:noProof/>
          <w:sz w:val="24"/>
          <w:szCs w:val="24"/>
        </w:rPr>
        <mc:AlternateContent>
          <mc:Choice Requires="wpg">
            <w:drawing>
              <wp:anchor distT="0" distB="0" distL="0" distR="0" simplePos="0" relativeHeight="5" behindDoc="0" locked="0" layoutInCell="1" allowOverlap="1">
                <wp:simplePos x="0" y="0"/>
                <wp:positionH relativeFrom="margin">
                  <wp:posOffset>165100</wp:posOffset>
                </wp:positionH>
                <wp:positionV relativeFrom="paragraph">
                  <wp:posOffset>11430</wp:posOffset>
                </wp:positionV>
                <wp:extent cx="5543550" cy="2413000"/>
                <wp:effectExtent l="0" t="0" r="0" b="6350"/>
                <wp:wrapNone/>
                <wp:docPr id="10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3550" cy="2413000"/>
                          <a:chOff x="2520" y="2967"/>
                          <a:chExt cx="7920" cy="3519"/>
                        </a:xfrm>
                      </wpg:grpSpPr>
                      <pic:pic xmlns:pic="http://schemas.openxmlformats.org/drawingml/2006/picture">
                        <pic:nvPicPr>
                          <pic:cNvPr id="5" name="Image"/>
                          <pic:cNvPicPr/>
                        </pic:nvPicPr>
                        <pic:blipFill>
                          <a:blip r:embed="rId20" cstate="print"/>
                          <a:srcRect/>
                          <a:stretch/>
                        </pic:blipFill>
                        <pic:spPr>
                          <a:xfrm>
                            <a:off x="2520" y="2967"/>
                            <a:ext cx="3901" cy="3513"/>
                          </a:xfrm>
                          <a:prstGeom prst="rect">
                            <a:avLst/>
                          </a:prstGeom>
                          <a:ln>
                            <a:noFill/>
                          </a:ln>
                        </pic:spPr>
                      </pic:pic>
                      <pic:pic xmlns:pic="http://schemas.openxmlformats.org/drawingml/2006/picture">
                        <pic:nvPicPr>
                          <pic:cNvPr id="6" name="Image"/>
                          <pic:cNvPicPr/>
                        </pic:nvPicPr>
                        <pic:blipFill>
                          <a:blip r:embed="rId21" cstate="print"/>
                          <a:srcRect/>
                          <a:stretch/>
                        </pic:blipFill>
                        <pic:spPr>
                          <a:xfrm>
                            <a:off x="6421" y="2989"/>
                            <a:ext cx="4019" cy="3497"/>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1035" filled="f" stroked="f" style="position:absolute;margin-left:13.0pt;margin-top:0.9pt;width:436.5pt;height:190.0pt;z-index:5;mso-position-horizontal-relative:margin;mso-position-vertical-relative:text;mso-width-percent:0;mso-height-percent:0;mso-width-relative:page;mso-height-relative:page;mso-wrap-distance-left:0.0pt;mso-wrap-distance-right:0.0pt;visibility:visible;" coordsize="7920,3519" coordorigin="2520,2967">
                <v:shape id="1036" type="#_x0000_t75" filled="f" stroked="f" style="position:absolute;left:2520;top:2967;width:3901;height:3513;z-index:2;mso-position-horizontal-relative:page;mso-position-vertical-relative:page;mso-width-relative:page;mso-height-relative:page;visibility:visible;">
                  <v:imagedata r:id="rId22" embosscolor="white" o:title=""/>
                  <v:stroke on="f"/>
                  <v:fill/>
                </v:shape>
                <v:shape id="1037" type="#_x0000_t75" filled="f" stroked="f" style="position:absolute;left:6421;top:2989;width:4019;height:3497;z-index:3;mso-position-horizontal-relative:page;mso-position-vertical-relative:page;mso-width-relative:page;mso-height-relative:page;visibility:visible;">
                  <v:imagedata r:id="rId23" embosscolor="white" o:title=""/>
                  <v:stroke on="f"/>
                  <v:fill/>
                </v:shape>
                <v:fill/>
              </v:group>
            </w:pict>
          </mc:Fallback>
        </mc:AlternateContent>
      </w: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432D06">
      <w:pPr>
        <w:spacing w:after="0" w:line="240" w:lineRule="auto"/>
        <w:jc w:val="center"/>
        <w:rPr>
          <w:rFonts w:ascii="Times New Roman" w:eastAsia="DengXian" w:hAnsi="Times New Roman" w:cs="Times New Roman"/>
          <w:b/>
          <w:bCs/>
          <w:sz w:val="24"/>
          <w:szCs w:val="24"/>
          <w:lang w:eastAsia="zh-CN"/>
        </w:rPr>
      </w:pPr>
      <w:r>
        <w:rPr>
          <w:rFonts w:ascii="Times New Roman" w:hAnsi="Times New Roman" w:cs="Times New Roman"/>
          <w:b/>
          <w:noProof/>
          <w:color w:val="000000"/>
          <w:sz w:val="24"/>
          <w:szCs w:val="24"/>
        </w:rPr>
        <mc:AlternateContent>
          <mc:Choice Requires="wps">
            <w:drawing>
              <wp:anchor distT="0" distB="0" distL="0" distR="0" simplePos="0" relativeHeight="8" behindDoc="0" locked="0" layoutInCell="1" allowOverlap="1">
                <wp:simplePos x="0" y="0"/>
                <wp:positionH relativeFrom="column">
                  <wp:posOffset>4083050</wp:posOffset>
                </wp:positionH>
                <wp:positionV relativeFrom="paragraph">
                  <wp:posOffset>111760</wp:posOffset>
                </wp:positionV>
                <wp:extent cx="520699" cy="76200"/>
                <wp:effectExtent l="0" t="0" r="12700" b="19050"/>
                <wp:wrapNone/>
                <wp:docPr id="10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9" cy="76200"/>
                        </a:xfrm>
                        <a:prstGeom prst="rect">
                          <a:avLst/>
                        </a:prstGeom>
                        <a:solidFill>
                          <a:srgbClr val="EE0000"/>
                        </a:solidFill>
                        <a:ln w="12700" cap="flat" cmpd="sng">
                          <a:solidFill>
                            <a:srgbClr val="1C3053"/>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8" fillcolor="#ee0000" stroked="t" style="position:absolute;margin-left:321.5pt;margin-top:8.8pt;width:41.0pt;height:6.0pt;z-index:8;mso-position-horizontal-relative:text;mso-position-vertical-relative:text;mso-width-percent:0;mso-height-percent:0;mso-width-relative:margin;mso-height-relative:margin;mso-wrap-distance-left:0.0pt;mso-wrap-distance-right:0.0pt;visibility:visible;">
                <v:stroke joinstyle="miter" color="#1c3053" weight="1.0pt"/>
                <v:fill/>
              </v:rect>
            </w:pict>
          </mc:Fallback>
        </mc:AlternateContent>
      </w: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480" w:lineRule="auto"/>
        <w:rPr>
          <w:rFonts w:ascii="Times New Roman" w:hAnsi="Times New Roman" w:cs="Times New Roman"/>
          <w:b/>
          <w:noProof/>
          <w:color w:val="000000"/>
          <w:sz w:val="24"/>
          <w:szCs w:val="24"/>
        </w:rPr>
      </w:pPr>
    </w:p>
    <w:p w:rsidR="000433DD" w:rsidRDefault="000433DD">
      <w:pPr>
        <w:spacing w:after="0" w:line="480" w:lineRule="auto"/>
        <w:rPr>
          <w:rFonts w:ascii="Times New Roman" w:hAnsi="Times New Roman" w:cs="Times New Roman"/>
          <w:b/>
          <w:noProof/>
          <w:color w:val="000000"/>
          <w:sz w:val="24"/>
          <w:szCs w:val="24"/>
        </w:rPr>
      </w:pPr>
    </w:p>
    <w:p w:rsidR="000433DD" w:rsidRDefault="00432D06">
      <w:pPr>
        <w:spacing w:after="0" w:line="480" w:lineRule="auto"/>
        <w:ind w:firstLine="431"/>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 xml:space="preserve">Figure 4.7.3 </w:t>
      </w:r>
      <w:r>
        <w:rPr>
          <w:rFonts w:ascii="Times New Roman" w:hAnsi="Times New Roman" w:cs="Times New Roman"/>
          <w:noProof/>
          <w:color w:val="000000"/>
          <w:sz w:val="24"/>
          <w:szCs w:val="24"/>
        </w:rPr>
        <w:t>Prototype of the Respondents and Application of their Prototype</w:t>
      </w:r>
    </w:p>
    <w:p w:rsidR="000433DD" w:rsidRDefault="00432D0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showed Group 1 as the top performer with 482 points (96.4%), excelling in functionality and use of recycled materials. Group 2 followed with 472 points (94.4%), showing strong performance but slightly lower presentation scores. Group 3 scored 454 points (90.8%), doing well functionality but needing improvement in design and presentation. Overall, the critique highlighted each group’s strengths and areas for growth, motivating them to keep innovating.</w:t>
      </w:r>
    </w:p>
    <w:p w:rsidR="000433DD" w:rsidRDefault="00432D06">
      <w:pPr>
        <w:spacing w:after="0" w:line="240" w:lineRule="auto"/>
        <w:ind w:left="720" w:firstLine="431"/>
        <w:jc w:val="both"/>
        <w:rPr>
          <w:rFonts w:ascii="Times New Roman" w:hAnsi="Times New Roman" w:cs="Times New Roman"/>
          <w:sz w:val="24"/>
          <w:szCs w:val="24"/>
        </w:rPr>
      </w:pPr>
      <w:r>
        <w:rPr>
          <w:rFonts w:ascii="Times New Roman" w:hAnsi="Times New Roman" w:cs="Times New Roman"/>
          <w:b/>
          <w:sz w:val="24"/>
          <w:szCs w:val="24"/>
        </w:rPr>
        <w:t xml:space="preserve">Table 4.6 </w:t>
      </w:r>
      <w:r>
        <w:rPr>
          <w:rFonts w:ascii="Times New Roman" w:hAnsi="Times New Roman" w:cs="Times New Roman"/>
          <w:bCs/>
          <w:sz w:val="24"/>
          <w:szCs w:val="24"/>
        </w:rPr>
        <w:t>Overall Evaluation</w:t>
      </w:r>
      <w:r>
        <w:rPr>
          <w:rFonts w:ascii="Times New Roman" w:hAnsi="Times New Roman" w:cs="Times New Roman"/>
          <w:b/>
          <w:sz w:val="24"/>
          <w:szCs w:val="24"/>
        </w:rPr>
        <w:t xml:space="preserve"> </w:t>
      </w:r>
      <w:r>
        <w:rPr>
          <w:rFonts w:ascii="Times New Roman" w:hAnsi="Times New Roman" w:cs="Times New Roman"/>
          <w:sz w:val="24"/>
          <w:szCs w:val="24"/>
        </w:rPr>
        <w:t>Result of Coral Reef Water Cleaner Prototype.</w:t>
      </w:r>
    </w:p>
    <w:tbl>
      <w:tblPr>
        <w:tblW w:w="8013" w:type="dxa"/>
        <w:tblInd w:w="680" w:type="dxa"/>
        <w:tblLook w:val="04A0" w:firstRow="1" w:lastRow="0" w:firstColumn="1" w:lastColumn="0" w:noHBand="0" w:noVBand="1"/>
      </w:tblPr>
      <w:tblGrid>
        <w:gridCol w:w="1821"/>
        <w:gridCol w:w="1926"/>
        <w:gridCol w:w="1986"/>
        <w:gridCol w:w="2280"/>
      </w:tblGrid>
      <w:tr w:rsidR="000433DD">
        <w:trPr>
          <w:trHeight w:val="570"/>
        </w:trPr>
        <w:tc>
          <w:tcPr>
            <w:tcW w:w="1821" w:type="dxa"/>
            <w:tcBorders>
              <w:top w:val="double" w:sz="6" w:space="0" w:color="auto"/>
              <w:left w:val="nil"/>
              <w:bottom w:val="single" w:sz="8"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color w:val="000000"/>
                <w:sz w:val="24"/>
                <w:szCs w:val="24"/>
                <w:lang w:eastAsia="en-PH"/>
              </w:rPr>
              <w:t xml:space="preserve">Group </w:t>
            </w:r>
          </w:p>
        </w:tc>
        <w:tc>
          <w:tcPr>
            <w:tcW w:w="1926" w:type="dxa"/>
            <w:tcBorders>
              <w:top w:val="double" w:sz="6" w:space="0" w:color="auto"/>
              <w:left w:val="nil"/>
              <w:bottom w:val="single" w:sz="8"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color w:val="000000"/>
                <w:sz w:val="24"/>
                <w:szCs w:val="24"/>
                <w:lang w:eastAsia="en-PH"/>
              </w:rPr>
              <w:t xml:space="preserve">Percentage </w:t>
            </w:r>
          </w:p>
        </w:tc>
        <w:tc>
          <w:tcPr>
            <w:tcW w:w="1986" w:type="dxa"/>
            <w:tcBorders>
              <w:top w:val="double" w:sz="6" w:space="0" w:color="auto"/>
              <w:left w:val="nil"/>
              <w:bottom w:val="single" w:sz="8"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color w:val="000000"/>
                <w:sz w:val="24"/>
                <w:szCs w:val="24"/>
                <w:lang w:eastAsia="en-PH"/>
              </w:rPr>
              <w:t>Description</w:t>
            </w:r>
          </w:p>
        </w:tc>
        <w:tc>
          <w:tcPr>
            <w:tcW w:w="2280" w:type="dxa"/>
            <w:tcBorders>
              <w:top w:val="double" w:sz="6" w:space="0" w:color="auto"/>
              <w:left w:val="nil"/>
              <w:bottom w:val="single" w:sz="8"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color w:val="000000"/>
                <w:sz w:val="24"/>
                <w:szCs w:val="24"/>
                <w:lang w:eastAsia="en-PH"/>
              </w:rPr>
              <w:t>Verbal Interpretation</w:t>
            </w:r>
          </w:p>
        </w:tc>
      </w:tr>
      <w:tr w:rsidR="000433DD">
        <w:trPr>
          <w:trHeight w:val="405"/>
        </w:trPr>
        <w:tc>
          <w:tcPr>
            <w:tcW w:w="1821"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Group 1</w:t>
            </w:r>
          </w:p>
        </w:tc>
        <w:tc>
          <w:tcPr>
            <w:tcW w:w="1926"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96.40%</w:t>
            </w:r>
          </w:p>
        </w:tc>
        <w:tc>
          <w:tcPr>
            <w:tcW w:w="1986"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Excellent</w:t>
            </w:r>
          </w:p>
        </w:tc>
        <w:tc>
          <w:tcPr>
            <w:tcW w:w="228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Outstanding</w:t>
            </w:r>
          </w:p>
        </w:tc>
      </w:tr>
      <w:tr w:rsidR="000433DD">
        <w:trPr>
          <w:trHeight w:val="432"/>
        </w:trPr>
        <w:tc>
          <w:tcPr>
            <w:tcW w:w="1821"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Group 2</w:t>
            </w:r>
          </w:p>
        </w:tc>
        <w:tc>
          <w:tcPr>
            <w:tcW w:w="1926"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94.40%</w:t>
            </w:r>
          </w:p>
        </w:tc>
        <w:tc>
          <w:tcPr>
            <w:tcW w:w="1986"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Excellent</w:t>
            </w:r>
          </w:p>
        </w:tc>
        <w:tc>
          <w:tcPr>
            <w:tcW w:w="228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Outstanding</w:t>
            </w:r>
          </w:p>
        </w:tc>
      </w:tr>
      <w:tr w:rsidR="000433DD">
        <w:trPr>
          <w:trHeight w:val="566"/>
        </w:trPr>
        <w:tc>
          <w:tcPr>
            <w:tcW w:w="1821" w:type="dxa"/>
            <w:tcBorders>
              <w:top w:val="nil"/>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Group 3</w:t>
            </w:r>
          </w:p>
        </w:tc>
        <w:tc>
          <w:tcPr>
            <w:tcW w:w="1926" w:type="dxa"/>
            <w:tcBorders>
              <w:top w:val="nil"/>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90.80%</w:t>
            </w:r>
          </w:p>
        </w:tc>
        <w:tc>
          <w:tcPr>
            <w:tcW w:w="1986" w:type="dxa"/>
            <w:tcBorders>
              <w:top w:val="nil"/>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Excellent</w:t>
            </w:r>
          </w:p>
        </w:tc>
        <w:tc>
          <w:tcPr>
            <w:tcW w:w="2280" w:type="dxa"/>
            <w:tcBorders>
              <w:top w:val="nil"/>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Outstanding</w:t>
            </w:r>
          </w:p>
        </w:tc>
      </w:tr>
    </w:tbl>
    <w:p w:rsidR="000433DD" w:rsidRDefault="000433DD">
      <w:pPr>
        <w:spacing w:after="0" w:line="480" w:lineRule="auto"/>
        <w:ind w:firstLine="431"/>
        <w:jc w:val="both"/>
        <w:rPr>
          <w:rFonts w:ascii="Times New Roman" w:hAnsi="Times New Roman" w:cs="Times New Roman"/>
          <w:sz w:val="24"/>
          <w:szCs w:val="24"/>
        </w:rPr>
      </w:pPr>
    </w:p>
    <w:p w:rsidR="000433DD" w:rsidRDefault="00432D06">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implementation of the localized context-based STEM education approach yielded positive results in terms of learners’ academic performance, engagement, and application of scientific concepts. The respondents, composed mainly of 11-year-old Grade 6 pupils, were developmentally appropriate for inquiry-based and hands-on STEM activities. This age group demonstrated readiness to engage in higher-order thinking tasks, collaborative problem-solving, and contextual learning, which supported the effectiveness of the intervention.</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Results from the pretest and posttest revealed a clear improvement in learners’ Science achievement after the implementation of the localized STEM approach. Prior to the intervention, most pupils already demonstrated a foundational understanding of </w:t>
      </w:r>
      <w:r>
        <w:rPr>
          <w:rFonts w:ascii="Times New Roman" w:hAnsi="Times New Roman" w:cs="Times New Roman"/>
          <w:sz w:val="24"/>
          <w:szCs w:val="24"/>
        </w:rPr>
        <w:lastRenderedPageBreak/>
        <w:t>Science concepts, with scores ranging from low to high. However, after the localized context-based STEM lessons were implemented, posttest results showed a marked shift toward higher achievement levels. All learners attained scores within the “High” to “Very High” categories, indicating improved mastery of the lesson content. This improvement suggests that contextualizing Science instruction using familiar environmental issues enhanced comprehension and retention of scientific concepts.</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Statistical analysis further confirmed the effectiveness of the intervention. The mean score increased from 13.51 in the pretest to 16.22 in the posttest, and the paired-sample t-test revealed a statistically significant difference between the two sets of scores (t = –9.50, p &lt; 0.05). This result indicates that the improvement in learners’ performance was not due to chance but can be attributed to the localized context-based STEM education approach. The decrease in standard deviation in the posttest also suggests more consistent performance among learners after the intervention.</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learner engagement, results showed that pupils were highly engaged throughout the implementation of the localized STEM lessons. The overall weighted mean of 2.64 indicated a “Highly Engaged” level of participation. Learners demonstrated strong attentiveness during discussions, active involvement in group activities, and enthusiasm in hands-on tasks such as designing and constructing prototypes. These findings highlight that integrating real-life environmental issues and collaborative STEM activities effectively captured learners’ interest and sustained their participation.</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Although most engagement indicators were rated highly, some aspects such as asking questions independently and studying lessons after class received slightly lower ratings. This suggests that while learners were confident and active during group-based activities, further instructional support may be needed to strengthen individual inquiry and self-directed learning. Nevertheless, the overall high engagement level indicates that the localized context-based STEM approach created a motivating and learner-centered classroom environment.</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implementation of the STEM lesson exemplar also resulted in meaningful application of knowledge through project-based learning. Learners successfully designed and constructed a Coral Reef Water Cleaner prototype using recycled materials. The evaluation of the prototypes showed outstanding performance across all groups, with percentage scores ranging from 90.80% to 96.40%. These results demonstrate learners’ ability to integrate Science, Technology, Engineering, and Mathematics concepts to address real-world environmental problems. The high ratings in creativity, functionality, teamwork, and presentation reflect the effectiveness of hands-on STEM activities in developing problem-solving and collaboration skills. Observations during the prototype development and presentation revealed increased learner confidence, creativity, and environmental awareness. Pupils were able to explain the purpose and function of their prototypes clearly, demonstrating their understanding of the interactions between living and non-living components of ecosystems. The use of recycled materials reinforced the importance of sustainability and responsible environmental practices.</w:t>
      </w:r>
    </w:p>
    <w:p w:rsidR="000433DD" w:rsidRDefault="00432D06">
      <w:pPr>
        <w:pStyle w:val="ListParagraph"/>
        <w:spacing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This indicates that the localized context-based STEM education approach significantly enhanced learners’ academic performance, engagement, and practical application of Science concepts. The integration of local environmental issues, inquiry-based learning, and hands-on STEM projects provided meaningful learning experiences that promoted critical thinking, collaboration, and environmental stewardship. These </w:t>
      </w:r>
      <w:r>
        <w:rPr>
          <w:rFonts w:ascii="Times New Roman" w:hAnsi="Times New Roman" w:cs="Times New Roman"/>
          <w:sz w:val="24"/>
          <w:szCs w:val="24"/>
        </w:rPr>
        <w:lastRenderedPageBreak/>
        <w:t>findings affirm that localized and context-based STEM instruction is an effective strategy in teaching Science 6 and in fostering meaningful and relevant learning outcomes among elementary learners.</w:t>
      </w:r>
    </w:p>
    <w:p w:rsidR="000433DD" w:rsidRDefault="000433DD">
      <w:pPr>
        <w:pStyle w:val="ListParagraph"/>
        <w:spacing w:line="240" w:lineRule="auto"/>
        <w:jc w:val="both"/>
        <w:rPr>
          <w:rFonts w:ascii="Times New Roman" w:hAnsi="Times New Roman" w:cs="Times New Roman"/>
          <w:b/>
          <w:bCs/>
          <w:sz w:val="24"/>
          <w:szCs w:val="24"/>
        </w:rPr>
      </w:pPr>
    </w:p>
    <w:p w:rsidR="000433DD" w:rsidRDefault="00432D06">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analyzing the data from the implementation of the Localized Context-Based STEM Education approach, it was found that the respondents’ demographic profile was typical of Grade 6 learners, with the majority being 11 years old and female pupils slightly outnumbering male pupils. These characteristics, however, did not significantly influence their performance in </w:t>
      </w:r>
      <w:proofErr w:type="spellStart"/>
      <w:r>
        <w:rPr>
          <w:rFonts w:ascii="Times New Roman" w:hAnsi="Times New Roman" w:cs="Times New Roman"/>
          <w:sz w:val="24"/>
          <w:szCs w:val="24"/>
        </w:rPr>
        <w:t>Science.The</w:t>
      </w:r>
      <w:proofErr w:type="spellEnd"/>
      <w:r>
        <w:rPr>
          <w:rFonts w:ascii="Times New Roman" w:hAnsi="Times New Roman" w:cs="Times New Roman"/>
          <w:sz w:val="24"/>
          <w:szCs w:val="24"/>
        </w:rPr>
        <w:t xml:space="preserve"> intervention, which involved the integration of localized contexts and STEM strategies into classroom instruction, demonstrated a positive impact on learners’ achievement. The comparison between pretest and posttest results revealed a statistically significant improvement, indicating that the approach effectively enhanced students’ understanding of scientific concepts. Learners actively engaged in contextualized learning activities that connected Science concepts to real-world situations. They participated in hands-on experiences such as creating waste material collages, educational posters, DIY projects, and graphical representations of observed data. These activities fostered creativity, critical thinking, and collaboration among learners, while also enhancing their appreciation for applied science in their daily lives. Quantitative results confirmed the effectiveness of the approach, with posttest scores significantly higher than pretest scores, demonstrating substantial gains in conceptual understanding and science process skills. Learner reflections highlighted increased motivation, engagement, and enjoyment in learning Science through practical activities, reporting tasks, and collaborative projects. Overall, the study confirms the feasibility and effectiveness of the Localized Context-Based STEM Education approach. It not only improved student performance and conceptual understanding but also fostered positive attitudes toward Science, creativity, and responsibility, emphasizing the value of contextualized, interactive, and inquiry-driven strategies in elementary Science education.</w:t>
      </w:r>
    </w:p>
    <w:p w:rsidR="000433DD" w:rsidRDefault="000433DD">
      <w:pPr>
        <w:pStyle w:val="ListParagraph"/>
        <w:spacing w:line="240" w:lineRule="auto"/>
        <w:ind w:firstLine="720"/>
        <w:jc w:val="both"/>
        <w:rPr>
          <w:rFonts w:ascii="Times New Roman" w:hAnsi="Times New Roman" w:cs="Times New Roman"/>
          <w:sz w:val="24"/>
          <w:szCs w:val="24"/>
        </w:rPr>
      </w:pPr>
    </w:p>
    <w:p w:rsidR="000433DD" w:rsidRDefault="00432D06">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Suggestion </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findings of the study, it is recommended that the localized context-based STEM education approach be integrated into the teaching of other Grade 6 Science topics, particularly those related to environmental systems and human–environment interactions. The significant improvement in learners’ posttest scores and high level of engagement indicate that contextualized and hands-on STEM activities are effective in enhancing conceptual understanding and Science achievement. It is also recommended that teachers be provided with appropriate training on the design and implementation of localized context-based STEM lessons to ensure effective and consistent classroom application.</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Professional development activities may focus on inquiry-based instruction, collaborative learning strategies, and the development and assessment of STEM projects, as these components were found to contribute to learners’ active participation and improved performance. In addition, future implementations may include activities that promote greater learner independence and self-directed inquiry. Although engagement levels were generally high, providing more opportunities for learners to ask questions, conduct simple </w:t>
      </w:r>
      <w:r>
        <w:rPr>
          <w:rFonts w:ascii="Times New Roman" w:hAnsi="Times New Roman" w:cs="Times New Roman"/>
          <w:sz w:val="24"/>
          <w:szCs w:val="24"/>
        </w:rPr>
        <w:lastRenderedPageBreak/>
        <w:t>investigations, and reflect individually on their learning may further strengthen critical thinking and inquiry skills.</w:t>
      </w:r>
    </w:p>
    <w:p w:rsidR="000433DD" w:rsidRDefault="00432D06">
      <w:pPr>
        <w:pStyle w:val="ListParagraph"/>
        <w:spacing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Moreover, the development of STEM project outputs may be enhanced by allocating additional time and resources for prototype design, testing, and improvement to further improve creativity, innovation, and engineering skills. Finally, future researchers may conduct similar studies with longer implementation periods or different groups of learners to determine the long-term effects of the localized context-based STEM education approach on Science achievement, learner engagement, and environmental awareness.</w:t>
      </w:r>
    </w:p>
    <w:p w:rsidR="000433DD" w:rsidRDefault="000433DD">
      <w:pPr>
        <w:pStyle w:val="ListParagraph"/>
        <w:spacing w:line="240" w:lineRule="auto"/>
        <w:jc w:val="both"/>
        <w:rPr>
          <w:rFonts w:ascii="Times New Roman" w:hAnsi="Times New Roman" w:cs="Times New Roman"/>
          <w:b/>
          <w:bCs/>
          <w:sz w:val="24"/>
          <w:szCs w:val="24"/>
        </w:rPr>
      </w:pPr>
    </w:p>
    <w:p w:rsidR="000433DD" w:rsidRDefault="00432D0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Acknowledgements </w:t>
      </w:r>
    </w:p>
    <w:p w:rsidR="000433DD" w:rsidRDefault="00432D0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authors would like to express their sincere gratitude to their thesis adviser and panel members for their valuable guidance and constructive feedback throughout the conduct of this study. Appreciation is also extended to the administrators, teachers and pupil of Sultan Naga </w:t>
      </w:r>
      <w:proofErr w:type="spellStart"/>
      <w:r>
        <w:rPr>
          <w:rFonts w:ascii="Times New Roman" w:hAnsi="Times New Roman" w:cs="Times New Roman"/>
          <w:sz w:val="24"/>
          <w:szCs w:val="24"/>
        </w:rPr>
        <w:t>DimaporoMemorial</w:t>
      </w:r>
      <w:proofErr w:type="spellEnd"/>
      <w:r>
        <w:rPr>
          <w:rFonts w:ascii="Times New Roman" w:hAnsi="Times New Roman" w:cs="Times New Roman"/>
          <w:sz w:val="24"/>
          <w:szCs w:val="24"/>
        </w:rPr>
        <w:t xml:space="preserve"> Integrated School for their cooperation and support.</w:t>
      </w:r>
    </w:p>
    <w:p w:rsidR="000433DD" w:rsidRDefault="000433DD">
      <w:pPr>
        <w:spacing w:after="0" w:line="240" w:lineRule="auto"/>
        <w:ind w:left="720"/>
        <w:jc w:val="both"/>
        <w:rPr>
          <w:rFonts w:ascii="Times New Roman" w:hAnsi="Times New Roman" w:cs="Times New Roman"/>
          <w:sz w:val="24"/>
          <w:szCs w:val="24"/>
        </w:rPr>
      </w:pPr>
    </w:p>
    <w:p w:rsidR="000433DD" w:rsidRDefault="00432D0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 </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Berger, N., Mackenzie, E., &amp; Holmes, K. (2020). </w:t>
      </w:r>
      <w:r>
        <w:rPr>
          <w:rFonts w:ascii="Times New Roman" w:hAnsi="Times New Roman"/>
          <w:i/>
          <w:iCs/>
          <w:sz w:val="24"/>
          <w:szCs w:val="24"/>
        </w:rPr>
        <w:t>Positive attitudes towards mathematics and science are mutually beneficial for student achievement</w:t>
      </w:r>
      <w:r>
        <w:rPr>
          <w:rFonts w:ascii="Times New Roman" w:hAnsi="Times New Roman"/>
          <w:sz w:val="24"/>
          <w:szCs w:val="24"/>
        </w:rPr>
        <w:t xml:space="preserve">: </w:t>
      </w:r>
      <w:r>
        <w:rPr>
          <w:rFonts w:ascii="Times New Roman" w:hAnsi="Times New Roman"/>
          <w:i/>
          <w:sz w:val="24"/>
          <w:szCs w:val="24"/>
        </w:rPr>
        <w:t>A latent profile analysis of TIMSS 2015</w:t>
      </w:r>
      <w:r>
        <w:rPr>
          <w:rFonts w:ascii="Times New Roman" w:hAnsi="Times New Roman"/>
          <w:sz w:val="24"/>
          <w:szCs w:val="24"/>
        </w:rPr>
        <w:t>. Australian Educational Researcher</w:t>
      </w:r>
    </w:p>
    <w:p w:rsidR="000433DD" w:rsidRDefault="00432D06">
      <w:pPr>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Bybee, R. W., &amp; Williams, J. (2013). STEM education: </w:t>
      </w:r>
      <w:r>
        <w:rPr>
          <w:rFonts w:ascii="Times New Roman" w:hAnsi="Times New Roman"/>
          <w:i/>
          <w:iCs/>
          <w:sz w:val="24"/>
          <w:szCs w:val="24"/>
        </w:rPr>
        <w:t>New policies and practices for a changing world</w:t>
      </w:r>
      <w:r>
        <w:rPr>
          <w:rFonts w:ascii="Times New Roman" w:hAnsi="Times New Roman"/>
          <w:sz w:val="24"/>
          <w:szCs w:val="24"/>
        </w:rPr>
        <w:t>. School Science and Mathematics.</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Fraser, S., Attard, C., &amp; Holmes, K. (2021). </w:t>
      </w:r>
      <w:r>
        <w:rPr>
          <w:rFonts w:ascii="Times New Roman" w:hAnsi="Times New Roman"/>
          <w:i/>
          <w:sz w:val="24"/>
          <w:szCs w:val="24"/>
        </w:rPr>
        <w:t>The place-based STEM-alignment framework: A tool for observing and documenting place-based STEM discourses in rural, regional and remote (RRR) communities</w:t>
      </w:r>
      <w:r>
        <w:rPr>
          <w:rFonts w:ascii="Times New Roman" w:hAnsi="Times New Roman"/>
          <w:sz w:val="24"/>
          <w:szCs w:val="24"/>
        </w:rPr>
        <w:t>. Frontiers in Education. Fullan, M. (2015). The new meaning of educational change. Teachers College Press.</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Freeman, B., </w:t>
      </w:r>
      <w:proofErr w:type="spellStart"/>
      <w:r>
        <w:rPr>
          <w:rFonts w:ascii="Times New Roman" w:hAnsi="Times New Roman"/>
          <w:sz w:val="24"/>
          <w:szCs w:val="24"/>
        </w:rPr>
        <w:t>Marginson</w:t>
      </w:r>
      <w:proofErr w:type="spellEnd"/>
      <w:r>
        <w:rPr>
          <w:rFonts w:ascii="Times New Roman" w:hAnsi="Times New Roman"/>
          <w:sz w:val="24"/>
          <w:szCs w:val="24"/>
        </w:rPr>
        <w:t xml:space="preserve">, S., and </w:t>
      </w:r>
      <w:proofErr w:type="spellStart"/>
      <w:r>
        <w:rPr>
          <w:rFonts w:ascii="Times New Roman" w:hAnsi="Times New Roman"/>
          <w:sz w:val="24"/>
          <w:szCs w:val="24"/>
        </w:rPr>
        <w:t>Tytler</w:t>
      </w:r>
      <w:proofErr w:type="spellEnd"/>
      <w:r>
        <w:rPr>
          <w:rFonts w:ascii="Times New Roman" w:hAnsi="Times New Roman"/>
          <w:sz w:val="24"/>
          <w:szCs w:val="24"/>
        </w:rPr>
        <w:t>, R. (2019). “</w:t>
      </w:r>
      <w:r>
        <w:rPr>
          <w:rFonts w:ascii="Times New Roman" w:hAnsi="Times New Roman"/>
          <w:i/>
          <w:sz w:val="24"/>
          <w:szCs w:val="24"/>
        </w:rPr>
        <w:t>An International View of STEM Education,” in STEM Education, 2.0</w:t>
      </w:r>
      <w:r>
        <w:rPr>
          <w:rFonts w:ascii="Times New Roman" w:hAnsi="Times New Roman"/>
          <w:sz w:val="24"/>
          <w:szCs w:val="24"/>
        </w:rPr>
        <w:t>. (Leiden, Netherlands: Brill Sense).</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Holmes, K., Berger, N., Mackenzie, E., Attard, C., Johnson, P., </w:t>
      </w:r>
      <w:proofErr w:type="spellStart"/>
      <w:r>
        <w:rPr>
          <w:rFonts w:ascii="Times New Roman" w:hAnsi="Times New Roman"/>
          <w:sz w:val="24"/>
          <w:szCs w:val="24"/>
        </w:rPr>
        <w:t>Fitmaurice</w:t>
      </w:r>
      <w:proofErr w:type="spellEnd"/>
      <w:r>
        <w:rPr>
          <w:rFonts w:ascii="Times New Roman" w:hAnsi="Times New Roman"/>
          <w:sz w:val="24"/>
          <w:szCs w:val="24"/>
        </w:rPr>
        <w:t xml:space="preserve">, O., O’Meara, N., &amp; Ryan, V. (2021). Editorial: </w:t>
      </w:r>
      <w:r>
        <w:rPr>
          <w:rFonts w:ascii="Times New Roman" w:hAnsi="Times New Roman"/>
          <w:i/>
          <w:sz w:val="24"/>
          <w:szCs w:val="24"/>
        </w:rPr>
        <w:t xml:space="preserve">The impact of place-based </w:t>
      </w:r>
      <w:proofErr w:type="spellStart"/>
      <w:r>
        <w:rPr>
          <w:rFonts w:ascii="Times New Roman" w:hAnsi="Times New Roman"/>
          <w:i/>
          <w:sz w:val="24"/>
          <w:szCs w:val="24"/>
        </w:rPr>
        <w:t>contextualised</w:t>
      </w:r>
      <w:proofErr w:type="spellEnd"/>
      <w:r>
        <w:rPr>
          <w:rFonts w:ascii="Times New Roman" w:hAnsi="Times New Roman"/>
          <w:i/>
          <w:sz w:val="24"/>
          <w:szCs w:val="24"/>
        </w:rPr>
        <w:t xml:space="preserve"> curriculum on student engagement and motivation in STEM education. Frontiers in Education.</w:t>
      </w:r>
    </w:p>
    <w:p w:rsidR="000433DD" w:rsidRDefault="00432D06">
      <w:pPr>
        <w:spacing w:after="0" w:line="240" w:lineRule="auto"/>
        <w:ind w:left="1146" w:hanging="720"/>
        <w:jc w:val="both"/>
        <w:rPr>
          <w:rFonts w:ascii="Times New Roman" w:hAnsi="Times New Roman"/>
          <w:i/>
          <w:iCs/>
          <w:sz w:val="24"/>
          <w:szCs w:val="24"/>
        </w:rPr>
      </w:pPr>
      <w:proofErr w:type="spellStart"/>
      <w:r>
        <w:rPr>
          <w:rFonts w:ascii="Times New Roman" w:hAnsi="Times New Roman"/>
          <w:sz w:val="24"/>
          <w:szCs w:val="24"/>
        </w:rPr>
        <w:t>Kostol</w:t>
      </w:r>
      <w:proofErr w:type="spellEnd"/>
      <w:r>
        <w:rPr>
          <w:rFonts w:ascii="Times New Roman" w:hAnsi="Times New Roman"/>
          <w:sz w:val="24"/>
          <w:szCs w:val="24"/>
        </w:rPr>
        <w:t xml:space="preserve">, K. B. M., &amp; </w:t>
      </w:r>
      <w:proofErr w:type="spellStart"/>
      <w:r>
        <w:rPr>
          <w:rFonts w:ascii="Times New Roman" w:hAnsi="Times New Roman"/>
          <w:sz w:val="24"/>
          <w:szCs w:val="24"/>
        </w:rPr>
        <w:t>Remmen</w:t>
      </w:r>
      <w:proofErr w:type="spellEnd"/>
      <w:r>
        <w:rPr>
          <w:rFonts w:ascii="Times New Roman" w:hAnsi="Times New Roman"/>
          <w:sz w:val="24"/>
          <w:szCs w:val="24"/>
        </w:rPr>
        <w:t xml:space="preserve">, K. B. (2022). </w:t>
      </w:r>
      <w:r>
        <w:rPr>
          <w:rFonts w:ascii="Times New Roman" w:hAnsi="Times New Roman"/>
          <w:i/>
          <w:sz w:val="24"/>
          <w:szCs w:val="24"/>
        </w:rPr>
        <w:t>A qualitative study of teachers’ and students’ experiences with a context-based curriculum unit designed in collaboration with STEM professionals and science educators. Disciplinary and Interdisciplinary</w:t>
      </w:r>
      <w:r>
        <w:rPr>
          <w:rFonts w:ascii="Times New Roman" w:hAnsi="Times New Roman"/>
          <w:sz w:val="24"/>
          <w:szCs w:val="24"/>
        </w:rPr>
        <w:t xml:space="preserve"> </w:t>
      </w:r>
      <w:r>
        <w:rPr>
          <w:rFonts w:ascii="Times New Roman" w:hAnsi="Times New Roman"/>
          <w:i/>
          <w:iCs/>
          <w:sz w:val="24"/>
          <w:szCs w:val="24"/>
        </w:rPr>
        <w:t>Science Education Research.</w:t>
      </w:r>
    </w:p>
    <w:p w:rsidR="000433DD" w:rsidRDefault="00432D06">
      <w:pPr>
        <w:tabs>
          <w:tab w:val="left" w:pos="426"/>
        </w:tabs>
        <w:spacing w:after="0" w:line="240" w:lineRule="auto"/>
        <w:ind w:left="1146" w:hanging="720"/>
        <w:jc w:val="both"/>
        <w:rPr>
          <w:rFonts w:ascii="Times New Roman" w:hAnsi="Times New Roman"/>
          <w:i/>
          <w:sz w:val="24"/>
          <w:szCs w:val="24"/>
        </w:rPr>
      </w:pPr>
      <w:r>
        <w:rPr>
          <w:rFonts w:ascii="Times New Roman" w:hAnsi="Times New Roman"/>
          <w:sz w:val="24"/>
          <w:szCs w:val="24"/>
        </w:rPr>
        <w:t xml:space="preserve">Lave, J. &amp; Wenger, E. (1991). </w:t>
      </w:r>
      <w:r>
        <w:rPr>
          <w:rFonts w:ascii="Times New Roman" w:hAnsi="Times New Roman"/>
          <w:i/>
          <w:sz w:val="24"/>
          <w:szCs w:val="24"/>
        </w:rPr>
        <w:t>Situated learning: Legitimate peripheral participation. Cambridge University Press.</w:t>
      </w:r>
    </w:p>
    <w:p w:rsidR="000433DD" w:rsidRDefault="00432D06">
      <w:pPr>
        <w:tabs>
          <w:tab w:val="left" w:pos="426"/>
        </w:tabs>
        <w:spacing w:after="0" w:line="240" w:lineRule="auto"/>
        <w:ind w:left="1146" w:hanging="720"/>
        <w:jc w:val="both"/>
        <w:rPr>
          <w:rFonts w:ascii="Times New Roman" w:hAnsi="Times New Roman"/>
          <w:i/>
          <w:sz w:val="24"/>
          <w:szCs w:val="24"/>
        </w:rPr>
      </w:pPr>
      <w:proofErr w:type="spellStart"/>
      <w:r>
        <w:rPr>
          <w:rFonts w:ascii="Times New Roman" w:hAnsi="Times New Roman"/>
          <w:sz w:val="24"/>
          <w:szCs w:val="24"/>
        </w:rPr>
        <w:t>Leutner</w:t>
      </w:r>
      <w:proofErr w:type="spellEnd"/>
      <w:r>
        <w:rPr>
          <w:rFonts w:ascii="Times New Roman" w:hAnsi="Times New Roman"/>
          <w:sz w:val="24"/>
          <w:szCs w:val="24"/>
        </w:rPr>
        <w:t xml:space="preserve"> et al (2009). </w:t>
      </w:r>
      <w:r>
        <w:rPr>
          <w:rFonts w:ascii="Times New Roman" w:hAnsi="Times New Roman"/>
          <w:i/>
          <w:sz w:val="24"/>
          <w:szCs w:val="24"/>
        </w:rPr>
        <w:t>Cognitive load and science text comprehension: Effects of drawing and mentally imagining text content</w:t>
      </w:r>
    </w:p>
    <w:p w:rsidR="000433DD" w:rsidRDefault="00432D06">
      <w:pPr>
        <w:spacing w:after="0" w:line="240" w:lineRule="auto"/>
        <w:ind w:left="1146" w:hanging="720"/>
        <w:jc w:val="both"/>
        <w:rPr>
          <w:rFonts w:ascii="Times New Roman" w:hAnsi="Times New Roman"/>
          <w:sz w:val="24"/>
          <w:szCs w:val="24"/>
        </w:rPr>
      </w:pPr>
      <w:proofErr w:type="spellStart"/>
      <w:r>
        <w:rPr>
          <w:rFonts w:ascii="Times New Roman" w:hAnsi="Times New Roman"/>
          <w:sz w:val="24"/>
          <w:szCs w:val="24"/>
        </w:rPr>
        <w:t>Moote</w:t>
      </w:r>
      <w:proofErr w:type="spellEnd"/>
      <w:r>
        <w:rPr>
          <w:rFonts w:ascii="Times New Roman" w:hAnsi="Times New Roman"/>
          <w:sz w:val="24"/>
          <w:szCs w:val="24"/>
        </w:rPr>
        <w:t xml:space="preserve">, J., Archer, L., DeWitt, J., and MacLeod, E. (2020). </w:t>
      </w:r>
      <w:r>
        <w:rPr>
          <w:rFonts w:ascii="Times New Roman" w:hAnsi="Times New Roman"/>
          <w:i/>
          <w:sz w:val="24"/>
          <w:szCs w:val="24"/>
        </w:rPr>
        <w:t xml:space="preserve">Science Capital or STEM Capital? Exploring Relationships between Science Capital and Technology, Engineering, and </w:t>
      </w:r>
      <w:proofErr w:type="spellStart"/>
      <w:r>
        <w:rPr>
          <w:rFonts w:ascii="Times New Roman" w:hAnsi="Times New Roman"/>
          <w:i/>
          <w:sz w:val="24"/>
          <w:szCs w:val="24"/>
        </w:rPr>
        <w:t>Maths</w:t>
      </w:r>
      <w:proofErr w:type="spellEnd"/>
      <w:r>
        <w:rPr>
          <w:rFonts w:ascii="Times New Roman" w:hAnsi="Times New Roman"/>
          <w:i/>
          <w:sz w:val="24"/>
          <w:szCs w:val="24"/>
        </w:rPr>
        <w:t xml:space="preserve"> Aspirations and Attitudes Among Young People Aged</w:t>
      </w:r>
      <w:r>
        <w:rPr>
          <w:rFonts w:ascii="Times New Roman" w:hAnsi="Times New Roman"/>
          <w:sz w:val="24"/>
          <w:szCs w:val="24"/>
        </w:rPr>
        <w:t xml:space="preserve"> 17/18. J. Res. Sci. Teach. </w:t>
      </w:r>
    </w:p>
    <w:p w:rsidR="000433DD" w:rsidRDefault="00432D06">
      <w:pPr>
        <w:spacing w:after="0" w:line="240" w:lineRule="auto"/>
        <w:ind w:left="1146" w:hanging="720"/>
        <w:jc w:val="both"/>
        <w:rPr>
          <w:rFonts w:ascii="Times New Roman" w:hAnsi="Times New Roman"/>
          <w:sz w:val="24"/>
          <w:szCs w:val="24"/>
        </w:rPr>
      </w:pPr>
      <w:proofErr w:type="spellStart"/>
      <w:r>
        <w:rPr>
          <w:rFonts w:ascii="Times New Roman" w:hAnsi="Times New Roman"/>
          <w:sz w:val="24"/>
          <w:szCs w:val="24"/>
        </w:rPr>
        <w:t>Moote</w:t>
      </w:r>
      <w:proofErr w:type="spellEnd"/>
      <w:r>
        <w:rPr>
          <w:rFonts w:ascii="Times New Roman" w:hAnsi="Times New Roman"/>
          <w:sz w:val="24"/>
          <w:szCs w:val="24"/>
        </w:rPr>
        <w:t xml:space="preserve">, J., Archer, L., DeWitt, J., and MacLeod, E. (2020). </w:t>
      </w:r>
      <w:r>
        <w:rPr>
          <w:rFonts w:ascii="Times New Roman" w:hAnsi="Times New Roman"/>
          <w:i/>
          <w:sz w:val="24"/>
          <w:szCs w:val="24"/>
        </w:rPr>
        <w:t xml:space="preserve">Science Capital or STEM Capital? Exploring Relationships between Science Capital and Technology, Engineering, and </w:t>
      </w:r>
      <w:proofErr w:type="spellStart"/>
      <w:r>
        <w:rPr>
          <w:rFonts w:ascii="Times New Roman" w:hAnsi="Times New Roman"/>
          <w:i/>
          <w:sz w:val="24"/>
          <w:szCs w:val="24"/>
        </w:rPr>
        <w:t>Maths</w:t>
      </w:r>
      <w:proofErr w:type="spellEnd"/>
      <w:r>
        <w:rPr>
          <w:rFonts w:ascii="Times New Roman" w:hAnsi="Times New Roman"/>
          <w:i/>
          <w:sz w:val="24"/>
          <w:szCs w:val="24"/>
        </w:rPr>
        <w:t xml:space="preserve"> Aspirations and Attitudes Among Young People Aged</w:t>
      </w:r>
      <w:r>
        <w:rPr>
          <w:rFonts w:ascii="Times New Roman" w:hAnsi="Times New Roman"/>
          <w:sz w:val="24"/>
          <w:szCs w:val="24"/>
        </w:rPr>
        <w:t xml:space="preserve"> 17/18. J. Res. Sci. Teach. </w:t>
      </w:r>
    </w:p>
    <w:p w:rsidR="000433DD" w:rsidRDefault="00432D06">
      <w:pPr>
        <w:tabs>
          <w:tab w:val="left" w:pos="426"/>
        </w:tabs>
        <w:spacing w:after="0" w:line="240" w:lineRule="auto"/>
        <w:ind w:left="1146" w:hanging="720"/>
        <w:jc w:val="both"/>
        <w:rPr>
          <w:rFonts w:ascii="Times New Roman" w:hAnsi="Times New Roman"/>
          <w:sz w:val="24"/>
          <w:szCs w:val="24"/>
        </w:rPr>
      </w:pPr>
      <w:proofErr w:type="spellStart"/>
      <w:r>
        <w:rPr>
          <w:rFonts w:ascii="Times New Roman" w:hAnsi="Times New Roman"/>
          <w:sz w:val="24"/>
          <w:szCs w:val="24"/>
        </w:rPr>
        <w:t>Şimsek</w:t>
      </w:r>
      <w:proofErr w:type="spellEnd"/>
      <w:r>
        <w:rPr>
          <w:rFonts w:ascii="Times New Roman" w:hAnsi="Times New Roman"/>
          <w:sz w:val="24"/>
          <w:szCs w:val="24"/>
        </w:rPr>
        <w:t xml:space="preserve">, F., &amp; </w:t>
      </w:r>
      <w:proofErr w:type="spellStart"/>
      <w:r>
        <w:rPr>
          <w:rFonts w:ascii="Times New Roman" w:hAnsi="Times New Roman"/>
          <w:sz w:val="24"/>
          <w:szCs w:val="24"/>
        </w:rPr>
        <w:t>Hamzaoglu</w:t>
      </w:r>
      <w:proofErr w:type="spellEnd"/>
      <w:r>
        <w:rPr>
          <w:rFonts w:ascii="Times New Roman" w:hAnsi="Times New Roman"/>
          <w:sz w:val="24"/>
          <w:szCs w:val="24"/>
        </w:rPr>
        <w:t xml:space="preserve">, E. (2022). </w:t>
      </w:r>
      <w:r>
        <w:rPr>
          <w:rFonts w:ascii="Times New Roman" w:hAnsi="Times New Roman"/>
          <w:i/>
          <w:sz w:val="24"/>
          <w:szCs w:val="24"/>
        </w:rPr>
        <w:t>Adaptation of the STEM activities motivation scale for 7th and 8th grade students. Journal of Research in Education and Society</w:t>
      </w:r>
      <w:r>
        <w:rPr>
          <w:rFonts w:ascii="Times New Roman" w:hAnsi="Times New Roman"/>
          <w:sz w:val="24"/>
          <w:szCs w:val="24"/>
        </w:rPr>
        <w:t xml:space="preserve">. </w:t>
      </w:r>
    </w:p>
    <w:p w:rsidR="000433DD" w:rsidRDefault="00432D06">
      <w:pPr>
        <w:spacing w:after="0" w:line="240" w:lineRule="auto"/>
        <w:ind w:left="1146" w:hanging="720"/>
        <w:jc w:val="both"/>
        <w:rPr>
          <w:rFonts w:ascii="Times New Roman" w:hAnsi="Times New Roman"/>
          <w:sz w:val="24"/>
          <w:szCs w:val="24"/>
        </w:rPr>
      </w:pPr>
      <w:proofErr w:type="spellStart"/>
      <w:r>
        <w:rPr>
          <w:rFonts w:ascii="Times New Roman" w:hAnsi="Times New Roman"/>
          <w:sz w:val="24"/>
          <w:szCs w:val="24"/>
        </w:rPr>
        <w:lastRenderedPageBreak/>
        <w:t>Simsek</w:t>
      </w:r>
      <w:proofErr w:type="spellEnd"/>
      <w:r>
        <w:rPr>
          <w:rFonts w:ascii="Times New Roman" w:hAnsi="Times New Roman"/>
          <w:sz w:val="24"/>
          <w:szCs w:val="24"/>
        </w:rPr>
        <w:t xml:space="preserve">, F., &amp; </w:t>
      </w:r>
      <w:proofErr w:type="spellStart"/>
      <w:r>
        <w:rPr>
          <w:rFonts w:ascii="Times New Roman" w:hAnsi="Times New Roman"/>
          <w:sz w:val="24"/>
          <w:szCs w:val="24"/>
        </w:rPr>
        <w:t>Hamzaoglu</w:t>
      </w:r>
      <w:proofErr w:type="spellEnd"/>
      <w:r>
        <w:rPr>
          <w:rFonts w:ascii="Times New Roman" w:hAnsi="Times New Roman"/>
          <w:sz w:val="24"/>
          <w:szCs w:val="24"/>
        </w:rPr>
        <w:t xml:space="preserve">, E. (2023). </w:t>
      </w:r>
      <w:r>
        <w:rPr>
          <w:rFonts w:ascii="Times New Roman" w:hAnsi="Times New Roman"/>
          <w:i/>
          <w:sz w:val="24"/>
          <w:szCs w:val="24"/>
        </w:rPr>
        <w:t>The effect of context-based STEM activities on secondary school students’ scientific literacy and STEM motivation.</w:t>
      </w:r>
      <w:r>
        <w:rPr>
          <w:rFonts w:ascii="Times New Roman" w:hAnsi="Times New Roman"/>
          <w:sz w:val="24"/>
          <w:szCs w:val="24"/>
        </w:rPr>
        <w:t xml:space="preserve"> Journal of Theoretical Educational Science.</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Van den </w:t>
      </w:r>
      <w:proofErr w:type="spellStart"/>
      <w:r>
        <w:rPr>
          <w:rFonts w:ascii="Times New Roman" w:hAnsi="Times New Roman"/>
          <w:sz w:val="24"/>
          <w:szCs w:val="24"/>
        </w:rPr>
        <w:t>Hurk</w:t>
      </w:r>
      <w:proofErr w:type="spellEnd"/>
      <w:r>
        <w:rPr>
          <w:rFonts w:ascii="Times New Roman" w:hAnsi="Times New Roman"/>
          <w:sz w:val="24"/>
          <w:szCs w:val="24"/>
        </w:rPr>
        <w:t xml:space="preserve">, A., </w:t>
      </w:r>
      <w:proofErr w:type="spellStart"/>
      <w:r>
        <w:rPr>
          <w:rFonts w:ascii="Times New Roman" w:hAnsi="Times New Roman"/>
          <w:sz w:val="24"/>
          <w:szCs w:val="24"/>
        </w:rPr>
        <w:t>Meelissen</w:t>
      </w:r>
      <w:proofErr w:type="spellEnd"/>
      <w:r>
        <w:rPr>
          <w:rFonts w:ascii="Times New Roman" w:hAnsi="Times New Roman"/>
          <w:sz w:val="24"/>
          <w:szCs w:val="24"/>
        </w:rPr>
        <w:t xml:space="preserve">, M., and Van </w:t>
      </w:r>
      <w:proofErr w:type="spellStart"/>
      <w:r>
        <w:rPr>
          <w:rFonts w:ascii="Times New Roman" w:hAnsi="Times New Roman"/>
          <w:sz w:val="24"/>
          <w:szCs w:val="24"/>
        </w:rPr>
        <w:t>Langen</w:t>
      </w:r>
      <w:proofErr w:type="spellEnd"/>
      <w:r>
        <w:rPr>
          <w:rFonts w:ascii="Times New Roman" w:hAnsi="Times New Roman"/>
          <w:sz w:val="24"/>
          <w:szCs w:val="24"/>
        </w:rPr>
        <w:t>, A. (2019</w:t>
      </w:r>
      <w:r>
        <w:rPr>
          <w:rFonts w:ascii="Times New Roman" w:hAnsi="Times New Roman"/>
          <w:i/>
          <w:sz w:val="24"/>
          <w:szCs w:val="24"/>
        </w:rPr>
        <w:t>). Interventions in Education to Prevent STEM Pipeline Leakage</w:t>
      </w:r>
      <w:r>
        <w:rPr>
          <w:rFonts w:ascii="Times New Roman" w:hAnsi="Times New Roman"/>
          <w:sz w:val="24"/>
          <w:szCs w:val="24"/>
        </w:rPr>
        <w:t>. Int. J. Sci. Educ.</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Vygotsky, L. S. (1978). </w:t>
      </w:r>
      <w:r>
        <w:rPr>
          <w:rFonts w:ascii="Times New Roman" w:hAnsi="Times New Roman"/>
          <w:i/>
          <w:sz w:val="24"/>
          <w:szCs w:val="24"/>
        </w:rPr>
        <w:t xml:space="preserve">Mind in society: The development of higher psychological processes. </w:t>
      </w:r>
      <w:r>
        <w:rPr>
          <w:rFonts w:ascii="Times New Roman" w:hAnsi="Times New Roman"/>
          <w:sz w:val="24"/>
          <w:szCs w:val="24"/>
        </w:rPr>
        <w:t>Cambridge, MA: Harvard University Press.</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Williams, P. J (2019). </w:t>
      </w:r>
      <w:r>
        <w:rPr>
          <w:rFonts w:ascii="Times New Roman" w:hAnsi="Times New Roman"/>
          <w:i/>
          <w:sz w:val="24"/>
          <w:szCs w:val="24"/>
        </w:rPr>
        <w:t>The principles of teaching and learning in STEM education</w:t>
      </w:r>
      <w:r>
        <w:rPr>
          <w:rFonts w:ascii="Times New Roman" w:hAnsi="Times New Roman"/>
          <w:sz w:val="24"/>
          <w:szCs w:val="24"/>
        </w:rPr>
        <w:t>. AIP Proceeding.</w:t>
      </w:r>
    </w:p>
    <w:p w:rsidR="000433DD" w:rsidRDefault="000433DD">
      <w:pPr>
        <w:pStyle w:val="ListParagraph"/>
        <w:spacing w:line="240" w:lineRule="auto"/>
        <w:ind w:left="1146"/>
        <w:jc w:val="both"/>
        <w:rPr>
          <w:rFonts w:ascii="Times New Roman" w:hAnsi="Times New Roman" w:cs="Times New Roman"/>
          <w:b/>
          <w:bCs/>
          <w:sz w:val="24"/>
          <w:szCs w:val="24"/>
        </w:rPr>
      </w:pPr>
    </w:p>
    <w:p w:rsidR="000433DD" w:rsidRDefault="000433DD">
      <w:pPr>
        <w:spacing w:line="240" w:lineRule="auto"/>
        <w:ind w:left="786"/>
        <w:jc w:val="both"/>
        <w:rPr>
          <w:rFonts w:ascii="Times New Roman" w:hAnsi="Times New Roman" w:cs="Times New Roman"/>
          <w:b/>
          <w:bCs/>
          <w:sz w:val="24"/>
          <w:szCs w:val="24"/>
        </w:rPr>
      </w:pPr>
    </w:p>
    <w:p w:rsidR="000433DD" w:rsidRDefault="000433DD">
      <w:pPr>
        <w:spacing w:after="0" w:line="480" w:lineRule="auto"/>
        <w:ind w:left="426"/>
        <w:jc w:val="both"/>
        <w:rPr>
          <w:rFonts w:ascii="Times New Roman" w:hAnsi="Times New Roman" w:cs="Times New Roman"/>
          <w:b/>
          <w:sz w:val="24"/>
          <w:szCs w:val="24"/>
        </w:rPr>
      </w:pPr>
    </w:p>
    <w:p w:rsidR="000433DD" w:rsidRDefault="000433DD">
      <w:pPr>
        <w:spacing w:after="0" w:line="240" w:lineRule="auto"/>
        <w:ind w:left="426" w:right="123"/>
        <w:jc w:val="both"/>
        <w:rPr>
          <w:rFonts w:ascii="Times New Roman" w:hAnsi="Times New Roman" w:cs="Times New Roman"/>
          <w:b/>
          <w:sz w:val="24"/>
          <w:szCs w:val="24"/>
        </w:rPr>
      </w:pPr>
    </w:p>
    <w:p w:rsidR="000433DD" w:rsidRDefault="000433DD">
      <w:pPr>
        <w:spacing w:after="0" w:line="240" w:lineRule="auto"/>
        <w:ind w:left="426" w:right="123"/>
        <w:jc w:val="both"/>
        <w:rPr>
          <w:rFonts w:ascii="Times New Roman" w:hAnsi="Times New Roman" w:cs="Times New Roman"/>
          <w:b/>
          <w:sz w:val="24"/>
          <w:szCs w:val="24"/>
        </w:rPr>
      </w:pPr>
    </w:p>
    <w:p w:rsidR="000433DD" w:rsidRDefault="000433DD">
      <w:pPr>
        <w:spacing w:after="0" w:line="240" w:lineRule="auto"/>
        <w:ind w:left="426" w:right="123"/>
        <w:jc w:val="both"/>
        <w:rPr>
          <w:rFonts w:ascii="Times New Roman" w:hAnsi="Times New Roman" w:cs="Times New Roman"/>
          <w:b/>
          <w:sz w:val="24"/>
          <w:szCs w:val="24"/>
        </w:rPr>
      </w:pPr>
    </w:p>
    <w:p w:rsidR="000433DD" w:rsidRDefault="000433DD">
      <w:pPr>
        <w:spacing w:after="0" w:line="240" w:lineRule="auto"/>
        <w:ind w:left="426" w:right="123"/>
        <w:jc w:val="both"/>
        <w:rPr>
          <w:rFonts w:ascii="Times New Roman" w:hAnsi="Times New Roman" w:cs="Times New Roman"/>
          <w:b/>
          <w:sz w:val="24"/>
          <w:szCs w:val="24"/>
        </w:rPr>
      </w:pPr>
    </w:p>
    <w:p w:rsidR="000433DD" w:rsidRDefault="000433DD">
      <w:pPr>
        <w:spacing w:after="0" w:line="240" w:lineRule="auto"/>
        <w:ind w:left="426" w:right="123"/>
        <w:jc w:val="both"/>
        <w:rPr>
          <w:rFonts w:ascii="Times New Roman" w:hAnsi="Times New Roman" w:cs="Times New Roman"/>
          <w:b/>
          <w:sz w:val="24"/>
          <w:szCs w:val="24"/>
        </w:rPr>
      </w:pPr>
    </w:p>
    <w:p w:rsidR="000433DD" w:rsidRDefault="000433DD">
      <w:pPr>
        <w:spacing w:after="0" w:line="240" w:lineRule="auto"/>
        <w:ind w:left="1135"/>
        <w:jc w:val="both"/>
        <w:rPr>
          <w:rFonts w:ascii="Times New Roman" w:hAnsi="Times New Roman" w:cs="Times New Roman"/>
          <w:sz w:val="24"/>
          <w:szCs w:val="24"/>
        </w:rPr>
      </w:pPr>
    </w:p>
    <w:p w:rsidR="000433DD" w:rsidRDefault="000433DD">
      <w:pPr>
        <w:spacing w:after="0" w:line="480" w:lineRule="auto"/>
        <w:ind w:left="857"/>
        <w:jc w:val="both"/>
        <w:rPr>
          <w:rFonts w:ascii="Times New Roman" w:hAnsi="Times New Roman" w:cs="Times New Roman"/>
          <w:b/>
          <w:sz w:val="24"/>
          <w:szCs w:val="24"/>
        </w:rPr>
      </w:pPr>
    </w:p>
    <w:p w:rsidR="000433DD" w:rsidRDefault="000433DD">
      <w:pPr>
        <w:spacing w:after="0" w:line="240" w:lineRule="auto"/>
        <w:ind w:left="786" w:right="-13"/>
        <w:jc w:val="both"/>
        <w:rPr>
          <w:rFonts w:ascii="Times New Roman" w:hAnsi="Times New Roman" w:cs="Times New Roman"/>
          <w:b/>
          <w:sz w:val="24"/>
          <w:szCs w:val="24"/>
        </w:rPr>
      </w:pPr>
    </w:p>
    <w:sectPr w:rsidR="000433DD" w:rsidSect="00CA4EBC">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D0C4C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AFBA1036"/>
    <w:lvl w:ilvl="0">
      <w:start w:val="1"/>
      <w:numFmt w:val="decimal"/>
      <w:lvlText w:val="%1."/>
      <w:lvlJc w:val="left"/>
      <w:pPr>
        <w:ind w:left="1495" w:hanging="360"/>
      </w:pPr>
      <w:rPr>
        <w:rFonts w:ascii="Times New Roman" w:eastAsia="SimSun" w:hAnsi="Times New Roman" w:cs="Times New Roman"/>
      </w:rPr>
    </w:lvl>
    <w:lvl w:ilvl="1">
      <w:start w:val="1"/>
      <w:numFmt w:val="decimal"/>
      <w:isLgl/>
      <w:lvlText w:val="%1.%2"/>
      <w:lvlJc w:val="left"/>
      <w:pPr>
        <w:ind w:left="2259"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2" w15:restartNumberingAfterBreak="0">
    <w:nsid w:val="00000003"/>
    <w:multiLevelType w:val="hybridMultilevel"/>
    <w:tmpl w:val="55483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BA0A8100"/>
    <w:lvl w:ilvl="0" w:tplc="257C74F0">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00000005"/>
    <w:multiLevelType w:val="hybridMultilevel"/>
    <w:tmpl w:val="E63C14F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79870444"/>
    <w:multiLevelType w:val="hybridMultilevel"/>
    <w:tmpl w:val="DC82E3C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DD"/>
    <w:rsid w:val="000433DD"/>
    <w:rsid w:val="002B78D9"/>
    <w:rsid w:val="003C20C0"/>
    <w:rsid w:val="00432D06"/>
    <w:rsid w:val="00537BFE"/>
    <w:rsid w:val="00585B01"/>
    <w:rsid w:val="00636911"/>
    <w:rsid w:val="007907D4"/>
    <w:rsid w:val="00A85BD7"/>
    <w:rsid w:val="00B5007D"/>
    <w:rsid w:val="00C40631"/>
    <w:rsid w:val="00CA4EBC"/>
    <w:rsid w:val="00CB4B18"/>
    <w:rsid w:val="00DA5120"/>
    <w:rsid w:val="00DB345E"/>
    <w:rsid w:val="00EE38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E591"/>
  <w15:docId w15:val="{616EC8DF-B86C-4031-A1DA-19A9B042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Hyperlink">
    <w:name w:val="Hyperlink"/>
    <w:basedOn w:val="DefaultParagraphFont"/>
    <w:uiPriority w:val="99"/>
    <w:unhideWhenUsed/>
    <w:rsid w:val="00DB345E"/>
    <w:rPr>
      <w:color w:val="0000FF" w:themeColor="hyperlink"/>
      <w:u w:val="single"/>
    </w:rPr>
  </w:style>
  <w:style w:type="character" w:styleId="UnresolvedMention">
    <w:name w:val="Unresolved Mention"/>
    <w:basedOn w:val="DefaultParagraphFont"/>
    <w:uiPriority w:val="99"/>
    <w:semiHidden/>
    <w:unhideWhenUsed/>
    <w:rsid w:val="00DB3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iezel.patadilla-naquines@g.msuiit.edu.ph" TargetMode="External"/><Relationship Id="rId13" Type="http://schemas.openxmlformats.org/officeDocument/2006/relationships/image" Target="media/image3.jpeg"/><Relationship Id="rId18" Type="http://schemas.openxmlformats.org/officeDocument/2006/relationships/image" Target="media/image40.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mailto:odinsaidie291@gmail.com" TargetMode="Externa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mailto:amerildimnang06@gmail.com" TargetMode="Externa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hyperlink" Target="mailto:salnortomanto06@gamil.com" TargetMode="External"/><Relationship Id="rId15" Type="http://schemas.openxmlformats.org/officeDocument/2006/relationships/image" Target="media/image30.jpeg"/><Relationship Id="rId23" Type="http://schemas.openxmlformats.org/officeDocument/2006/relationships/image" Target="media/image70.jpeg"/><Relationship Id="rId10" Type="http://schemas.openxmlformats.org/officeDocument/2006/relationships/hyperlink" Target="mailto:najebaloyod@gmail.com" TargetMode="External"/><Relationship Id="rId19" Type="http://schemas.openxmlformats.org/officeDocument/2006/relationships/image" Target="media/image50.jpeg"/><Relationship Id="rId4" Type="http://schemas.openxmlformats.org/officeDocument/2006/relationships/webSettings" Target="webSettings.xml"/><Relationship Id="rId9" Type="http://schemas.openxmlformats.org/officeDocument/2006/relationships/hyperlink" Target="mailto:alradjiepadate@gmail.com" TargetMode="External"/><Relationship Id="rId14" Type="http://schemas.openxmlformats.org/officeDocument/2006/relationships/image" Target="media/image20.jpeg"/><Relationship Id="rId22" Type="http://schemas.openxmlformats.org/officeDocument/2006/relationships/image" Target="media/image6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15</Pages>
  <Words>5305</Words>
  <Characters>30243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pelt john macasarte</dc:creator>
  <cp:lastModifiedBy>MSU LNAC</cp:lastModifiedBy>
  <cp:revision>24</cp:revision>
  <dcterms:created xsi:type="dcterms:W3CDTF">2026-04-15T03:02:00Z</dcterms:created>
  <dcterms:modified xsi:type="dcterms:W3CDTF">2026-04-20T14:55:00Z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0275a0a7e99d47789aec4df9fa925189</vt:lpwstr>
  </property>
</Properties>
</file>