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648A1" w14:textId="77777777" w:rsidR="007C2EA3" w:rsidRPr="005B0C91" w:rsidRDefault="007C2EA3" w:rsidP="00E9050B">
      <w:pPr>
        <w:pStyle w:val="NoSpacing"/>
        <w:rPr>
          <w:rFonts w:ascii="Times New Roman" w:hAnsi="Times New Roman"/>
          <w:sz w:val="24"/>
          <w:szCs w:val="24"/>
        </w:rPr>
      </w:pPr>
    </w:p>
    <w:p w14:paraId="6D3D455A" w14:textId="1DEA2CD4" w:rsidR="004C57A5" w:rsidRDefault="000B46D2" w:rsidP="00050ECA">
      <w:pPr>
        <w:spacing w:after="0"/>
        <w:jc w:val="center"/>
        <w:rPr>
          <w:b/>
          <w:bCs/>
          <w:sz w:val="36"/>
          <w:szCs w:val="36"/>
        </w:rPr>
      </w:pPr>
      <w:r w:rsidRPr="000B46D2">
        <w:rPr>
          <w:b/>
          <w:bCs/>
          <w:sz w:val="36"/>
          <w:szCs w:val="36"/>
        </w:rPr>
        <w:t>Technology Strategy Towards Sustainable Manufacturing Performance: An Empirical Study of the Mediating Role of Leadership Style in Malaysian Manufacturing Firms</w:t>
      </w:r>
    </w:p>
    <w:p w14:paraId="4F5C28B2" w14:textId="77777777" w:rsidR="000B46D2" w:rsidRPr="00DE79BF" w:rsidRDefault="000B46D2" w:rsidP="00050ECA">
      <w:pPr>
        <w:spacing w:after="0"/>
        <w:jc w:val="center"/>
        <w:rPr>
          <w:b/>
          <w:bCs/>
          <w:color w:val="000000"/>
          <w:sz w:val="36"/>
          <w:szCs w:val="36"/>
        </w:rPr>
      </w:pPr>
    </w:p>
    <w:p w14:paraId="2E569E9F" w14:textId="629A7FCF" w:rsidR="00452D14" w:rsidRPr="00DE79BF" w:rsidRDefault="00324D1B" w:rsidP="004C57A5">
      <w:pPr>
        <w:spacing w:after="0"/>
        <w:jc w:val="center"/>
        <w:rPr>
          <w:b/>
          <w:bCs/>
          <w:sz w:val="36"/>
          <w:szCs w:val="36"/>
        </w:rPr>
      </w:pPr>
      <w:r w:rsidRPr="00DE79BF">
        <w:rPr>
          <w:b/>
          <w:bCs/>
          <w:sz w:val="36"/>
          <w:szCs w:val="36"/>
        </w:rPr>
        <w:t xml:space="preserve"/>
      </w:r>
      <w:proofErr w:type="gramStart"/>
      <w:r w:rsidRPr="00DE79BF">
        <w:rPr>
          <w:b/>
          <w:bCs/>
          <w:sz w:val="36"/>
          <w:szCs w:val="36"/>
        </w:rPr>
        <w:t/>
      </w:r>
      <w:proofErr w:type="gramEnd"/>
      <w:r w:rsidRPr="00DE79BF">
        <w:rPr>
          <w:b/>
          <w:bCs/>
          <w:sz w:val="36"/>
          <w:szCs w:val="36"/>
        </w:rPr>
        <w:t/>
      </w:r>
      <w:r w:rsidR="006D0EE6" w:rsidRPr="00DE79BF">
        <w:rPr>
          <w:b/>
          <w:bCs/>
          <w:sz w:val="36"/>
          <w:szCs w:val="36"/>
        </w:rPr>
        <w:t xml:space="preserve"/>
      </w:r>
      <w:proofErr w:type="spellStart"/>
      <w:r w:rsidR="006D0EE6" w:rsidRPr="00DE79BF">
        <w:rPr>
          <w:b/>
          <w:bCs/>
          <w:sz w:val="36"/>
          <w:szCs w:val="36"/>
        </w:rPr>
        <w:t/>
      </w:r>
      <w:proofErr w:type="spellEnd"/>
      <w:r w:rsidR="006D0EE6" w:rsidRPr="00DE79BF">
        <w:rPr>
          <w:b/>
          <w:bCs/>
          <w:sz w:val="36"/>
          <w:szCs w:val="36"/>
        </w:rPr>
        <w:t xml:space="preserve"/>
      </w:r>
    </w:p>
    <w:p w14:paraId="2148755F" w14:textId="355238B7" w:rsidR="00050ECA" w:rsidRPr="00DE79BF" w:rsidRDefault="00324D1B" w:rsidP="00050ECA">
      <w:pPr>
        <w:spacing w:after="0"/>
        <w:jc w:val="center"/>
        <w:rPr>
          <w:b/>
          <w:bCs/>
          <w:sz w:val="36"/>
          <w:szCs w:val="36"/>
        </w:rPr>
      </w:pPr>
      <w:r w:rsidRPr="00DE79BF">
        <w:rPr>
          <w:b/>
          <w:bCs/>
          <w:sz w:val="36"/>
          <w:szCs w:val="36"/>
        </w:rPr>
        <w:t xml:space="preserve"> </w:t>
      </w:r>
    </w:p>
    <w:p w14:paraId="5F8F2203" w14:textId="73AA8B20" w:rsidR="00050ECA" w:rsidRPr="00DE79BF" w:rsidRDefault="001E0406" w:rsidP="00CC7364">
      <w:pPr>
        <w:spacing w:after="0"/>
        <w:jc w:val="center"/>
        <w:rPr>
          <w:b/>
          <w:bCs/>
          <w:sz w:val="36"/>
          <w:szCs w:val="36"/>
        </w:rPr>
      </w:pPr>
      <w:r w:rsidRPr="00DE79BF">
        <w:rPr>
          <w:b/>
          <w:bCs/>
          <w:position w:val="4"/>
          <w:sz w:val="36"/>
          <w:szCs w:val="36"/>
          <w:vertAlign w:val="superscript"/>
        </w:rPr>
        <w:t/>
      </w:r>
      <w:r w:rsidR="006D0EE6" w:rsidRPr="00DE79BF">
        <w:rPr>
          <w:b/>
          <w:bCs/>
          <w:position w:val="4"/>
          <w:sz w:val="36"/>
          <w:szCs w:val="36"/>
          <w:vertAlign w:val="superscript"/>
        </w:rPr>
        <w:t/>
      </w:r>
      <w:r w:rsidRPr="00DE79BF">
        <w:rPr>
          <w:b/>
          <w:bCs/>
          <w:position w:val="4"/>
          <w:sz w:val="36"/>
          <w:szCs w:val="36"/>
          <w:vertAlign w:val="superscript"/>
        </w:rPr>
        <w:t xml:space="preserve"/>
      </w:r>
      <w:r w:rsidR="00324D1B" w:rsidRPr="00DE79BF">
        <w:rPr>
          <w:b/>
          <w:bCs/>
          <w:sz w:val="36"/>
          <w:szCs w:val="36"/>
        </w:rPr>
        <w:t xml:space="preserve"/>
      </w:r>
      <w:r w:rsidR="00C00DC5" w:rsidRPr="00DE79BF">
        <w:rPr>
          <w:b/>
          <w:bCs/>
          <w:sz w:val="36"/>
          <w:szCs w:val="36"/>
        </w:rPr>
        <w:t xml:space="preserve"/>
      </w:r>
      <w:proofErr w:type="spellStart"/>
      <w:r w:rsidR="00C00DC5" w:rsidRPr="00DE79BF">
        <w:rPr>
          <w:b/>
          <w:bCs/>
          <w:sz w:val="36"/>
          <w:szCs w:val="36"/>
        </w:rPr>
        <w:t/>
      </w:r>
      <w:proofErr w:type="spellEnd"/>
      <w:r w:rsidR="00C00DC5" w:rsidRPr="00DE79BF">
        <w:rPr>
          <w:b/>
          <w:bCs/>
          <w:sz w:val="36"/>
          <w:szCs w:val="36"/>
        </w:rPr>
        <w:t xml:space="preserve"/>
      </w:r>
      <w:proofErr w:type="spellStart"/>
      <w:r w:rsidR="00C00DC5" w:rsidRPr="00DE79BF">
        <w:rPr>
          <w:b/>
          <w:bCs/>
          <w:sz w:val="36"/>
          <w:szCs w:val="36"/>
        </w:rPr>
        <w:t/>
      </w:r>
      <w:proofErr w:type="spellEnd"/>
      <w:r w:rsidR="00C00DC5" w:rsidRPr="00DE79BF">
        <w:rPr>
          <w:b/>
          <w:bCs/>
          <w:sz w:val="36"/>
          <w:szCs w:val="36"/>
        </w:rPr>
        <w:t xml:space="preserve"/>
      </w:r>
      <w:r w:rsidR="00452D14" w:rsidRPr="00DE79BF">
        <w:rPr>
          <w:b/>
          <w:bCs/>
          <w:sz w:val="36"/>
          <w:szCs w:val="36"/>
        </w:rPr>
        <w:t/>
      </w:r>
      <w:r w:rsidR="00C00DC5" w:rsidRPr="00DE79BF">
        <w:rPr>
          <w:b/>
          <w:bCs/>
          <w:sz w:val="36"/>
          <w:szCs w:val="36"/>
        </w:rPr>
        <w:t xml:space="preserve"/>
      </w:r>
      <w:r w:rsidR="00452D14" w:rsidRPr="00DE79BF">
        <w:rPr>
          <w:b/>
          <w:bCs/>
          <w:sz w:val="36"/>
          <w:szCs w:val="36"/>
        </w:rPr>
        <w:t/>
      </w:r>
      <w:r w:rsidR="00C00DC5" w:rsidRPr="00DE79BF">
        <w:rPr>
          <w:b/>
          <w:bCs/>
          <w:sz w:val="36"/>
          <w:szCs w:val="36"/>
        </w:rPr>
        <w:t/>
      </w:r>
    </w:p>
    <w:p w14:paraId="6C8494ED" w14:textId="77777777" w:rsidR="00452D14" w:rsidRPr="00DE79BF" w:rsidRDefault="00452D14" w:rsidP="00CC7364">
      <w:pPr>
        <w:spacing w:after="0"/>
        <w:jc w:val="center"/>
        <w:rPr>
          <w:b/>
          <w:bCs/>
          <w:sz w:val="36"/>
          <w:szCs w:val="36"/>
        </w:rPr>
      </w:pPr>
    </w:p>
    <w:p w14:paraId="4C104694" w14:textId="4B693973" w:rsidR="00452D14" w:rsidRPr="00DE79BF" w:rsidRDefault="00B855BC" w:rsidP="00CC7364">
      <w:pPr>
        <w:spacing w:after="0"/>
        <w:jc w:val="center"/>
        <w:rPr>
          <w:b/>
          <w:bCs/>
          <w:sz w:val="36"/>
          <w:szCs w:val="36"/>
        </w:rPr>
      </w:pPr>
      <w:r w:rsidRPr="00DE79BF">
        <w:rPr>
          <w:b/>
          <w:bCs/>
          <w:sz w:val="36"/>
          <w:szCs w:val="36"/>
          <w:vertAlign w:val="superscript"/>
        </w:rPr>
        <w:t/>
      </w:r>
      <w:r w:rsidR="00452D14" w:rsidRPr="00DE79BF">
        <w:rPr>
          <w:b/>
          <w:bCs/>
          <w:sz w:val="36"/>
          <w:szCs w:val="36"/>
        </w:rPr>
        <w:t xml:space="preserve"/>
      </w:r>
      <w:proofErr w:type="spellStart"/>
      <w:r w:rsidR="00452D14" w:rsidRPr="00DE79BF">
        <w:rPr>
          <w:b/>
          <w:bCs/>
          <w:sz w:val="36"/>
          <w:szCs w:val="36"/>
        </w:rPr>
        <w:t/>
      </w:r>
      <w:proofErr w:type="spellEnd"/>
      <w:r w:rsidR="00452D14" w:rsidRPr="00DE79BF">
        <w:rPr>
          <w:b/>
          <w:bCs/>
          <w:sz w:val="36"/>
          <w:szCs w:val="36"/>
        </w:rPr>
        <w:t/>
      </w:r>
      <w:r w:rsidR="00452D14" w:rsidRPr="00DE79BF">
        <w:rPr>
          <w:b/>
          <w:bCs/>
          <w:sz w:val="36"/>
          <w:szCs w:val="36"/>
        </w:rPr>
        <w:br/>
      </w:r>
    </w:p>
    <w:p w14:paraId="7A02478B" w14:textId="77777777" w:rsidR="00050ECA" w:rsidRPr="00DE79BF" w:rsidRDefault="00050ECA" w:rsidP="00050ECA">
      <w:pPr>
        <w:spacing w:after="0"/>
        <w:jc w:val="center"/>
        <w:rPr>
          <w:sz w:val="36"/>
          <w:szCs w:val="36"/>
        </w:rPr>
      </w:pPr>
    </w:p>
    <w:p w14:paraId="509FFDDF" w14:textId="48F39F75" w:rsidR="00050ECA" w:rsidRPr="00DE79BF" w:rsidRDefault="00050ECA" w:rsidP="00050ECA">
      <w:pPr>
        <w:pStyle w:val="NormalWeb"/>
        <w:snapToGrid w:val="0"/>
        <w:spacing w:before="0" w:beforeAutospacing="0" w:after="0" w:afterAutospacing="0"/>
        <w:ind w:left="567" w:right="655"/>
        <w:jc w:val="center"/>
        <w:textAlignment w:val="top"/>
        <w:rPr>
          <w:iCs/>
          <w:sz w:val="36"/>
          <w:szCs w:val="36"/>
        </w:rPr>
      </w:pPr>
      <w:r w:rsidRPr="00DE79BF">
        <w:rPr>
          <w:iCs/>
          <w:sz w:val="36"/>
          <w:szCs w:val="36"/>
        </w:rPr>
        <w:t xml:space="preserve"/>
      </w:r>
      <w:r w:rsidR="00DE79BF" w:rsidRPr="00DE79BF">
        <w:rPr>
          <w:iCs/>
          <w:sz w:val="36"/>
          <w:szCs w:val="36"/>
        </w:rPr>
        <w:t/>
      </w:r>
      <w:r w:rsidRPr="00DE79BF">
        <w:rPr>
          <w:iCs/>
          <w:sz w:val="36"/>
          <w:szCs w:val="36"/>
          <w:vertAlign w:val="superscript"/>
        </w:rPr>
        <w:t/>
      </w:r>
      <w:r w:rsidRPr="00DE79BF">
        <w:rPr>
          <w:iCs/>
          <w:sz w:val="36"/>
          <w:szCs w:val="36"/>
        </w:rPr>
        <w:t xml:space="preserve"/>
      </w:r>
      <w:r w:rsidR="00D46D39" w:rsidRPr="00DE79BF">
        <w:rPr>
          <w:iCs/>
          <w:sz w:val="36"/>
          <w:szCs w:val="36"/>
        </w:rPr>
        <w:t xml:space="preserve"/>
      </w:r>
      <w:r w:rsidRPr="00DE79BF">
        <w:rPr>
          <w:iCs/>
          <w:sz w:val="36"/>
          <w:szCs w:val="36"/>
        </w:rPr>
        <w:t/>
      </w:r>
      <w:r w:rsidR="00F61DA9" w:rsidRPr="00DE79BF">
        <w:rPr>
          <w:iCs/>
          <w:sz w:val="36"/>
          <w:szCs w:val="36"/>
        </w:rPr>
        <w:t/>
      </w:r>
      <w:r w:rsidRPr="00DE79BF">
        <w:rPr>
          <w:iCs/>
          <w:sz w:val="36"/>
          <w:szCs w:val="36"/>
        </w:rPr>
        <w:t xml:space="preserve"/>
      </w:r>
      <w:proofErr w:type="gramStart"/>
      <w:r w:rsidRPr="00DE79BF">
        <w:rPr>
          <w:iCs/>
          <w:sz w:val="36"/>
          <w:szCs w:val="36"/>
        </w:rPr>
        <w:t/>
      </w:r>
      <w:proofErr w:type="gramEnd"/>
      <w:r w:rsidR="00F61DA9" w:rsidRPr="00DE79BF">
        <w:rPr>
          <w:iCs/>
          <w:sz w:val="36"/>
          <w:szCs w:val="36"/>
        </w:rPr>
        <w:t/>
      </w:r>
      <w:r w:rsidRPr="00DE79BF">
        <w:rPr>
          <w:iCs/>
          <w:sz w:val="36"/>
          <w:szCs w:val="36"/>
        </w:rPr>
        <w:t xml:space="preserve"/>
      </w:r>
      <w:r w:rsidR="00F61DA9" w:rsidRPr="00DE79BF">
        <w:rPr>
          <w:iCs/>
          <w:sz w:val="36"/>
          <w:szCs w:val="36"/>
        </w:rPr>
        <w:t/>
      </w:r>
    </w:p>
    <w:p w14:paraId="6996818C" w14:textId="77777777" w:rsidR="00452D14" w:rsidRPr="005B0C91" w:rsidRDefault="00452D14" w:rsidP="00050ECA">
      <w:pPr>
        <w:pStyle w:val="NormalWeb"/>
        <w:snapToGrid w:val="0"/>
        <w:spacing w:before="0" w:beforeAutospacing="0" w:after="0" w:afterAutospacing="0"/>
        <w:ind w:left="567" w:right="655"/>
        <w:jc w:val="center"/>
        <w:textAlignment w:val="top"/>
        <w:rPr>
          <w:iCs/>
        </w:rPr>
      </w:pPr>
    </w:p>
    <w:p w14:paraId="6E32B260" w14:textId="6C2C452A" w:rsidR="00050ECA" w:rsidRPr="005B0C91" w:rsidRDefault="00452D14" w:rsidP="00452D14">
      <w:pPr>
        <w:pStyle w:val="NormalWeb"/>
        <w:snapToGrid w:val="0"/>
        <w:spacing w:before="0" w:beforeAutospacing="0" w:after="0" w:afterAutospacing="0"/>
        <w:ind w:left="567" w:right="655"/>
        <w:jc w:val="center"/>
        <w:textAlignment w:val="top"/>
        <w:rPr>
          <w:iCs/>
          <w:u w:val="single"/>
        </w:rPr>
      </w:pPr>
      <w:r w:rsidRPr="005B0C91">
        <w:rPr>
          <w:iCs/>
          <w:u w:val="single"/>
        </w:rPr>
        <w:t/>
      </w:r>
    </w:p>
    <w:p w14:paraId="3E9A93B2" w14:textId="77777777" w:rsidR="001E0406" w:rsidRPr="005B0C91" w:rsidRDefault="001E0406" w:rsidP="00B65AC7">
      <w:pPr>
        <w:spacing w:after="0"/>
        <w:rPr>
          <w:sz w:val="24"/>
          <w:szCs w:val="24"/>
        </w:rPr>
      </w:pPr>
    </w:p>
    <w:p w14:paraId="4B20EA95" w14:textId="77777777" w:rsidR="001E0406" w:rsidRPr="005B0C91" w:rsidRDefault="001E0406" w:rsidP="001E0406">
      <w:pPr>
        <w:pStyle w:val="IEEEAbstract"/>
        <w:spacing w:after="0" w:line="240" w:lineRule="auto"/>
        <w:ind w:firstLine="0"/>
        <w:jc w:val="center"/>
        <w:rPr>
          <w:rFonts w:ascii="Times New Roman" w:hAnsi="Times New Roman"/>
          <w:sz w:val="24"/>
          <w:szCs w:val="24"/>
        </w:rPr>
      </w:pPr>
      <w:r w:rsidRPr="00DE79BF">
        <w:rPr>
          <w:rFonts w:ascii="Times New Roman" w:hAnsi="Times New Roman"/>
          <w:sz w:val="28"/>
          <w:szCs w:val="28"/>
        </w:rPr>
        <w:t>ABSTRACT</w:t>
      </w:r>
    </w:p>
    <w:p w14:paraId="0FE8C77E" w14:textId="77777777" w:rsidR="00050ECA" w:rsidRPr="005B0C91" w:rsidRDefault="00050ECA" w:rsidP="001E0406">
      <w:pPr>
        <w:pStyle w:val="IEEEAbstract"/>
        <w:spacing w:after="0" w:line="240" w:lineRule="auto"/>
        <w:ind w:firstLine="0"/>
        <w:jc w:val="center"/>
        <w:rPr>
          <w:rFonts w:ascii="Times New Roman" w:hAnsi="Times New Roman"/>
          <w:sz w:val="24"/>
          <w:szCs w:val="24"/>
        </w:rPr>
      </w:pPr>
    </w:p>
    <w:p w14:paraId="24A4E682" w14:textId="5DC4D368" w:rsidR="00823EF3" w:rsidRDefault="00605047" w:rsidP="00823EF3">
      <w:pPr>
        <w:spacing w:after="0"/>
        <w:ind w:right="746"/>
        <w:rPr>
          <w:bCs/>
          <w:sz w:val="24"/>
          <w:szCs w:val="24"/>
        </w:rPr>
      </w:pPr>
      <w:r w:rsidRPr="00605047">
        <w:rPr>
          <w:bCs/>
          <w:sz w:val="24"/>
          <w:szCs w:val="24"/>
        </w:rPr>
        <w:t xml:space="preserve">This study empirically examines the relationship between technology strategy, leadership style, and sustainable manufacturing performance (SMP) among Malaysian manufacturing firms. Grounded in the Resource-Based View (RBV), the study investigates how technological resources, including pioneer–follower posture, technological investments, product and process technologies, digital manufacturing technologies, and </w:t>
      </w:r>
      <w:proofErr w:type="spellStart"/>
      <w:r w:rsidRPr="00605047">
        <w:rPr>
          <w:bCs/>
          <w:sz w:val="24"/>
          <w:szCs w:val="24"/>
        </w:rPr>
        <w:t>microfactories</w:t>
      </w:r>
      <w:proofErr w:type="spellEnd"/>
      <w:r w:rsidRPr="00605047">
        <w:rPr>
          <w:bCs/>
          <w:sz w:val="24"/>
          <w:szCs w:val="24"/>
        </w:rPr>
        <w:t xml:space="preserve">, contribute to economic, environmental, and social sustainability outcomes, with leadership style positioned as a mediating variable. A quantitative research approach was adopted, and data were collected from 216 manufacturing firms using a structured questionnaire. The data were </w:t>
      </w:r>
      <w:proofErr w:type="spellStart"/>
      <w:r w:rsidRPr="00605047">
        <w:rPr>
          <w:bCs/>
          <w:sz w:val="24"/>
          <w:szCs w:val="24"/>
        </w:rPr>
        <w:t>analysed</w:t>
      </w:r>
      <w:proofErr w:type="spellEnd"/>
      <w:r w:rsidRPr="00605047">
        <w:rPr>
          <w:bCs/>
          <w:sz w:val="24"/>
          <w:szCs w:val="24"/>
        </w:rPr>
        <w:t xml:space="preserve"> using SPSS Version 29 through descriptive analysis, reliability analysis, multiple regression analysis, and Hayes PROCESS Macro Model 4 for mediation testing. The findings indicate that technological investments, manufacturing system and process design technologies, manufacturing process technology innovations, digital manufacturing technologies, and </w:t>
      </w:r>
      <w:proofErr w:type="spellStart"/>
      <w:r w:rsidRPr="00605047">
        <w:rPr>
          <w:bCs/>
          <w:sz w:val="24"/>
          <w:szCs w:val="24"/>
        </w:rPr>
        <w:t>microfactories</w:t>
      </w:r>
      <w:proofErr w:type="spellEnd"/>
      <w:r w:rsidRPr="00605047">
        <w:rPr>
          <w:bCs/>
          <w:sz w:val="24"/>
          <w:szCs w:val="24"/>
        </w:rPr>
        <w:t xml:space="preserve"> have significant positive effects on sustainable manufacturing performance. However, pioneer–follower posture, intensity of product upgrades, and product and process technology do not demonstrate significant direct effects. Leadership style significantly mediates the relationship between all technology strategy dimensions and sustainable manufacturing performance, highlighting its role in translating technological capabilities into sustainability outcomes. Overall, the study demonstrates that sustainable manufacturing performance depends not only on technological capabilities but also on effective leadership integration to </w:t>
      </w:r>
      <w:proofErr w:type="spellStart"/>
      <w:r w:rsidRPr="00605047">
        <w:rPr>
          <w:bCs/>
          <w:sz w:val="24"/>
          <w:szCs w:val="24"/>
        </w:rPr>
        <w:t>maximise</w:t>
      </w:r>
      <w:proofErr w:type="spellEnd"/>
      <w:r w:rsidRPr="00605047">
        <w:rPr>
          <w:bCs/>
          <w:sz w:val="24"/>
          <w:szCs w:val="24"/>
        </w:rPr>
        <w:t xml:space="preserve"> the benefits of Industry 4.0 transformation.</w:t>
      </w:r>
    </w:p>
    <w:p w14:paraId="54314962" w14:textId="77777777" w:rsidR="00605047" w:rsidRPr="00605047" w:rsidRDefault="00605047" w:rsidP="00823EF3">
      <w:pPr>
        <w:spacing w:after="0"/>
        <w:ind w:right="746"/>
        <w:rPr>
          <w:bCs/>
          <w:sz w:val="24"/>
          <w:szCs w:val="24"/>
          <w:lang w:bidi="ar-SA"/>
        </w:rPr>
      </w:pPr>
    </w:p>
    <w:p w14:paraId="1B569395" w14:textId="3378C499" w:rsidR="00823EF3" w:rsidRPr="005B0C91" w:rsidRDefault="00823EF3" w:rsidP="00823EF3">
      <w:pPr>
        <w:spacing w:after="0"/>
        <w:ind w:right="746"/>
        <w:rPr>
          <w:bCs/>
          <w:sz w:val="24"/>
          <w:szCs w:val="24"/>
          <w:lang w:bidi="ar-SA"/>
        </w:rPr>
      </w:pPr>
      <w:r w:rsidRPr="005B0C91">
        <w:rPr>
          <w:b/>
          <w:bCs/>
          <w:sz w:val="24"/>
          <w:szCs w:val="24"/>
          <w:lang w:bidi="ar-SA"/>
        </w:rPr>
        <w:t>Keywords:</w:t>
      </w:r>
      <w:r w:rsidRPr="005B0C91">
        <w:rPr>
          <w:bCs/>
          <w:sz w:val="24"/>
          <w:szCs w:val="24"/>
          <w:lang w:bidi="ar-SA"/>
        </w:rPr>
        <w:t xml:space="preserve"> Sustainable manufacturing, technology strategy, leadership style, Industry 4.0, RBV</w:t>
      </w:r>
    </w:p>
    <w:p w14:paraId="0F6D6E28" w14:textId="77777777" w:rsidR="008143C5" w:rsidRPr="005B0C91" w:rsidRDefault="008143C5" w:rsidP="008143C5">
      <w:pPr>
        <w:spacing w:after="0"/>
        <w:ind w:right="746"/>
        <w:rPr>
          <w:i/>
          <w:sz w:val="24"/>
          <w:szCs w:val="24"/>
        </w:rPr>
      </w:pPr>
    </w:p>
    <w:p w14:paraId="0D8C226D" w14:textId="77777777" w:rsidR="001E0406" w:rsidRPr="005B0C91" w:rsidRDefault="001E0406" w:rsidP="00B16D6E">
      <w:pPr>
        <w:spacing w:after="0"/>
        <w:ind w:right="746"/>
        <w:rPr>
          <w:i/>
          <w:sz w:val="24"/>
          <w:szCs w:val="24"/>
          <w:lang w:val="en-GB"/>
        </w:rPr>
      </w:pPr>
    </w:p>
    <w:p w14:paraId="405C6014" w14:textId="77777777" w:rsidR="001E0406" w:rsidRPr="005B0C91" w:rsidRDefault="001E0406" w:rsidP="001E0406">
      <w:pPr>
        <w:tabs>
          <w:tab w:val="left" w:pos="1814"/>
        </w:tabs>
        <w:spacing w:after="0"/>
        <w:ind w:left="720" w:right="746"/>
        <w:rPr>
          <w:b/>
          <w:sz w:val="24"/>
          <w:szCs w:val="24"/>
        </w:rPr>
      </w:pPr>
      <w:r w:rsidRPr="005B0C91">
        <w:rPr>
          <w:b/>
          <w:sz w:val="24"/>
          <w:szCs w:val="24"/>
        </w:rPr>
        <w:tab/>
      </w:r>
    </w:p>
    <w:p w14:paraId="32DEC3D2" w14:textId="77777777" w:rsidR="001E0406" w:rsidRPr="00DE79BF" w:rsidRDefault="001E0406" w:rsidP="001E0406">
      <w:pPr>
        <w:pStyle w:val="Heading1"/>
        <w:numPr>
          <w:ilvl w:val="0"/>
          <w:numId w:val="4"/>
        </w:numPr>
        <w:spacing w:before="0" w:after="0"/>
        <w:rPr>
          <w:b w:val="0"/>
          <w:sz w:val="28"/>
        </w:rPr>
      </w:pPr>
      <w:r w:rsidRPr="00DE79BF">
        <w:rPr>
          <w:sz w:val="28"/>
        </w:rPr>
        <w:lastRenderedPageBreak/>
        <w:t xml:space="preserve"> INTRODUCTION </w:t>
      </w:r>
    </w:p>
    <w:p w14:paraId="43C335DC" w14:textId="77777777" w:rsidR="008143C5" w:rsidRPr="005B0C91" w:rsidRDefault="008143C5" w:rsidP="00CA3CC3">
      <w:pPr>
        <w:spacing w:before="240" w:after="240"/>
        <w:rPr>
          <w:sz w:val="24"/>
          <w:szCs w:val="24"/>
        </w:rPr>
      </w:pPr>
      <w:r w:rsidRPr="005B0C91">
        <w:rPr>
          <w:sz w:val="24"/>
          <w:szCs w:val="24"/>
        </w:rPr>
        <w:t>The rapid advancement of Industry 4.0 technologies has significantly transformed manufacturing systems worldwide. Technologies such as artificial intelligence, big data analytics, cyber-physical systems, and the Internet of Things have enhanced operational efficiency, flexibility, and innovation. Despite these advancements, many manufacturing firms continue to face challenges in translating technological adoption into sustainable manufacturing performance.</w:t>
      </w:r>
    </w:p>
    <w:p w14:paraId="7C407503" w14:textId="77777777" w:rsidR="00CA3CC3" w:rsidRPr="00CA3CC3" w:rsidRDefault="008143C5" w:rsidP="00CA3CC3">
      <w:pPr>
        <w:spacing w:before="240" w:after="240"/>
        <w:rPr>
          <w:sz w:val="24"/>
          <w:szCs w:val="24"/>
        </w:rPr>
      </w:pPr>
      <w:r w:rsidRPr="005B0C91">
        <w:rPr>
          <w:sz w:val="24"/>
          <w:szCs w:val="24"/>
        </w:rPr>
        <w:t>Sustainable manufacturing performance encompasses economic, environmental, and social dimensions, requiring firms to align technological capabilities with sustainability objectives. However, the effectiveness of technology strategy depends not only on the adoption of advanced technologies but also on organisational factors, particularly leadership.</w:t>
      </w:r>
    </w:p>
    <w:p w14:paraId="0A98D460" w14:textId="195F68B4" w:rsidR="008143C5" w:rsidRPr="00CA3CC3" w:rsidRDefault="003C0C38" w:rsidP="00CA3CC3">
      <w:pPr>
        <w:spacing w:before="240" w:after="240"/>
        <w:rPr>
          <w:sz w:val="24"/>
          <w:szCs w:val="24"/>
        </w:rPr>
      </w:pPr>
      <w:r w:rsidRPr="00CA3CC3">
        <w:rPr>
          <w:sz w:val="24"/>
          <w:szCs w:val="24"/>
        </w:rPr>
        <w:t>Despite increasing investments in Industry 4.0 technologies, many manufacturing organisations continue to experience difficulties in achieving sustainable outcomes from technological initiatives. Previous studies have largely focused on technology adoption and operational improvements, while limited attention has been given to how different dimensions of technology strategy collectively influence sustainable manufacturing performance. Furthermore, the role of leadership style as an organisational mechanism that enables technology strategies to generate sustainability outcomes remains insufficiently explored, particularly in the Malaysian manufacturing context. Therefore, this study aims to examine the relationships among technology strategy dimensions, leadership style, and sustainable manufacturing performance.</w:t>
      </w:r>
    </w:p>
    <w:p w14:paraId="1AA6400B" w14:textId="77777777" w:rsidR="003C0C38" w:rsidRDefault="003C0C38" w:rsidP="003C0C38">
      <w:pPr>
        <w:spacing w:after="0"/>
        <w:ind w:left="360"/>
        <w:rPr>
          <w:sz w:val="24"/>
          <w:szCs w:val="24"/>
          <w:lang w:val="en-MY" w:eastAsia="en-MY"/>
        </w:rPr>
      </w:pPr>
    </w:p>
    <w:p w14:paraId="7A4DC8E2" w14:textId="77777777" w:rsidR="003C0C38" w:rsidRPr="0020120A" w:rsidRDefault="003C0C38" w:rsidP="003C0C38">
      <w:pPr>
        <w:spacing w:after="0"/>
        <w:ind w:left="360"/>
        <w:rPr>
          <w:sz w:val="24"/>
          <w:szCs w:val="24"/>
          <w:lang w:val="en-GB"/>
        </w:rPr>
      </w:pPr>
    </w:p>
    <w:p w14:paraId="65D1B7EC" w14:textId="577E8293" w:rsidR="0020120A" w:rsidRPr="00DE79BF" w:rsidRDefault="0020120A" w:rsidP="001E0406">
      <w:pPr>
        <w:pStyle w:val="Heading1"/>
        <w:numPr>
          <w:ilvl w:val="0"/>
          <w:numId w:val="4"/>
        </w:numPr>
        <w:spacing w:before="0" w:after="0"/>
        <w:rPr>
          <w:sz w:val="28"/>
        </w:rPr>
      </w:pPr>
      <w:r w:rsidRPr="00DE79BF">
        <w:rPr>
          <w:sz w:val="28"/>
        </w:rPr>
        <w:t>PROBLEM STATEMENT</w:t>
      </w:r>
    </w:p>
    <w:p w14:paraId="3BBABC95" w14:textId="77777777" w:rsidR="0020120A" w:rsidRPr="003C0C38" w:rsidRDefault="0020120A" w:rsidP="003C0C38">
      <w:pPr>
        <w:spacing w:after="160"/>
        <w:rPr>
          <w:sz w:val="24"/>
          <w:szCs w:val="24"/>
        </w:rPr>
      </w:pPr>
    </w:p>
    <w:p w14:paraId="671409EF" w14:textId="77777777" w:rsidR="003C0C38" w:rsidRPr="003C0C38" w:rsidRDefault="003C0C38" w:rsidP="00DE79BF">
      <w:pPr>
        <w:spacing w:before="240" w:after="240"/>
        <w:rPr>
          <w:sz w:val="24"/>
          <w:szCs w:val="24"/>
        </w:rPr>
      </w:pPr>
      <w:r w:rsidRPr="003C0C38">
        <w:rPr>
          <w:sz w:val="24"/>
          <w:szCs w:val="24"/>
        </w:rPr>
        <w:t xml:space="preserve">Although Industry 4.0 technologies have provided opportunities for manufacturing firms to improve operational efficiency and competitiveness, many </w:t>
      </w:r>
      <w:proofErr w:type="spellStart"/>
      <w:r w:rsidRPr="003C0C38">
        <w:rPr>
          <w:sz w:val="24"/>
          <w:szCs w:val="24"/>
        </w:rPr>
        <w:t>organisations</w:t>
      </w:r>
      <w:proofErr w:type="spellEnd"/>
      <w:r w:rsidRPr="003C0C38">
        <w:rPr>
          <w:sz w:val="24"/>
          <w:szCs w:val="24"/>
        </w:rPr>
        <w:t xml:space="preserve"> still struggle to translate technological investments into sustainable manufacturing performance. The adoption of advanced technologies alone does not guarantee improvements in economic, environmental, and social sustainability outcomes.</w:t>
      </w:r>
    </w:p>
    <w:p w14:paraId="06CDF19D" w14:textId="77777777" w:rsidR="003C0C38" w:rsidRPr="003C0C38" w:rsidRDefault="003C0C38" w:rsidP="00DE79BF">
      <w:pPr>
        <w:spacing w:before="240" w:after="240"/>
        <w:rPr>
          <w:sz w:val="24"/>
          <w:szCs w:val="24"/>
        </w:rPr>
      </w:pPr>
      <w:r w:rsidRPr="003C0C38">
        <w:rPr>
          <w:sz w:val="24"/>
          <w:szCs w:val="24"/>
        </w:rPr>
        <w:t>Existing studies have mainly examined individual technology adoption factors, such as digital technologies, automation, and technological investment, while limited research has investigated technology strategy as a multidimensional construct involving strategic positioning, technological investment decisions, innovation intensity, and manufacturing technology capabilities.</w:t>
      </w:r>
    </w:p>
    <w:p w14:paraId="25BADB12" w14:textId="77777777" w:rsidR="003C0C38" w:rsidRPr="003C0C38" w:rsidRDefault="003C0C38" w:rsidP="00DE79BF">
      <w:pPr>
        <w:spacing w:before="240" w:after="240"/>
        <w:rPr>
          <w:sz w:val="24"/>
          <w:szCs w:val="24"/>
        </w:rPr>
      </w:pPr>
      <w:r w:rsidRPr="003C0C38">
        <w:rPr>
          <w:sz w:val="24"/>
          <w:szCs w:val="24"/>
        </w:rPr>
        <w:t>Furthermore, previous research has highlighted the importance of leadership in managing technological transformation; however, the mediating role of leadership style in explaining how technology strategies influence sustainable manufacturing performance remains insufficiently examined.</w:t>
      </w:r>
    </w:p>
    <w:p w14:paraId="44523DD5" w14:textId="63A3B77A" w:rsidR="0020120A" w:rsidRPr="00972632" w:rsidRDefault="003C0C38" w:rsidP="00972632">
      <w:pPr>
        <w:spacing w:before="240" w:after="240"/>
        <w:rPr>
          <w:sz w:val="24"/>
          <w:szCs w:val="24"/>
        </w:rPr>
      </w:pPr>
      <w:r w:rsidRPr="003C0C38">
        <w:rPr>
          <w:sz w:val="24"/>
          <w:szCs w:val="24"/>
        </w:rPr>
        <w:t>Therefore, this study addresses these gaps by developing and empirically testing a framework that integrates technology strategy dimensions, leadership style, and sustainable manufacturing performance within Malaysian manufacturing firms.</w:t>
      </w:r>
    </w:p>
    <w:p w14:paraId="7C79DFCD" w14:textId="77777777" w:rsidR="0020120A" w:rsidRPr="0020120A" w:rsidRDefault="0020120A" w:rsidP="0020120A">
      <w:pPr>
        <w:rPr>
          <w:lang w:val="en-GB"/>
        </w:rPr>
      </w:pPr>
    </w:p>
    <w:p w14:paraId="274F213C" w14:textId="1EC77B4B" w:rsidR="001E0406" w:rsidRPr="00DE79BF" w:rsidRDefault="001E0406" w:rsidP="001E0406">
      <w:pPr>
        <w:pStyle w:val="Heading1"/>
        <w:numPr>
          <w:ilvl w:val="0"/>
          <w:numId w:val="4"/>
        </w:numPr>
        <w:spacing w:before="0" w:after="0"/>
        <w:rPr>
          <w:sz w:val="28"/>
        </w:rPr>
      </w:pPr>
      <w:r w:rsidRPr="00DE79BF">
        <w:rPr>
          <w:sz w:val="28"/>
        </w:rPr>
        <w:t xml:space="preserve">LITERATURE REVIEW </w:t>
      </w:r>
    </w:p>
    <w:p w14:paraId="21BACE32" w14:textId="77777777" w:rsidR="001E0406" w:rsidRPr="005B0C91" w:rsidRDefault="001E0406" w:rsidP="00A76DB2">
      <w:pPr>
        <w:spacing w:after="0"/>
        <w:rPr>
          <w:sz w:val="24"/>
          <w:szCs w:val="24"/>
          <w:lang w:val="en-GB"/>
        </w:rPr>
      </w:pPr>
    </w:p>
    <w:p w14:paraId="2E3C22BB" w14:textId="77777777" w:rsidR="00B16D6E" w:rsidRPr="005B0C91" w:rsidRDefault="00B16D6E" w:rsidP="00DE79BF">
      <w:pPr>
        <w:spacing w:before="240" w:after="240"/>
        <w:rPr>
          <w:sz w:val="24"/>
          <w:szCs w:val="24"/>
        </w:rPr>
      </w:pPr>
      <w:r w:rsidRPr="005B0C91">
        <w:rPr>
          <w:sz w:val="24"/>
          <w:szCs w:val="24"/>
        </w:rPr>
        <w:t xml:space="preserve">Technology strategy has been widely </w:t>
      </w:r>
      <w:proofErr w:type="spellStart"/>
      <w:r w:rsidRPr="005B0C91">
        <w:rPr>
          <w:sz w:val="24"/>
          <w:szCs w:val="24"/>
        </w:rPr>
        <w:t>recognised</w:t>
      </w:r>
      <w:proofErr w:type="spellEnd"/>
      <w:r w:rsidRPr="005B0C91">
        <w:rPr>
          <w:sz w:val="24"/>
          <w:szCs w:val="24"/>
        </w:rPr>
        <w:t xml:space="preserve"> as a key determinant of competitive advantage and sustainability performance in manufacturing firms. The Resource-Based View (RBV) suggests that firms achieve superior performance through valuable, rare, inimitable, and non-substitutable resources such as </w:t>
      </w:r>
      <w:r w:rsidRPr="005B0C91">
        <w:rPr>
          <w:sz w:val="24"/>
          <w:szCs w:val="24"/>
        </w:rPr>
        <w:lastRenderedPageBreak/>
        <w:t>technological capability and leadership competence (Barney, 1991; Wernerfelt, 1984). These strategic resources enable firms to sustain long-term performance advantages in dynamic environments.</w:t>
      </w:r>
    </w:p>
    <w:p w14:paraId="540D2CA9" w14:textId="77777777" w:rsidR="00B16D6E" w:rsidRPr="005B0C91" w:rsidRDefault="00B16D6E" w:rsidP="00DE79BF">
      <w:pPr>
        <w:spacing w:before="240" w:after="240"/>
        <w:rPr>
          <w:sz w:val="24"/>
          <w:szCs w:val="24"/>
        </w:rPr>
      </w:pPr>
      <w:r w:rsidRPr="005B0C91">
        <w:rPr>
          <w:sz w:val="24"/>
          <w:szCs w:val="24"/>
        </w:rPr>
        <w:t>The Technology–</w:t>
      </w:r>
      <w:proofErr w:type="spellStart"/>
      <w:r w:rsidRPr="005B0C91">
        <w:rPr>
          <w:sz w:val="24"/>
          <w:szCs w:val="24"/>
        </w:rPr>
        <w:t>Organisation</w:t>
      </w:r>
      <w:proofErr w:type="spellEnd"/>
      <w:r w:rsidRPr="005B0C91">
        <w:rPr>
          <w:sz w:val="24"/>
          <w:szCs w:val="24"/>
        </w:rPr>
        <w:t xml:space="preserve">–Environment (TOE) framework further explains that technology adoption is influenced by technological readiness, </w:t>
      </w:r>
      <w:proofErr w:type="spellStart"/>
      <w:r w:rsidRPr="005B0C91">
        <w:rPr>
          <w:sz w:val="24"/>
          <w:szCs w:val="24"/>
        </w:rPr>
        <w:t>organisational</w:t>
      </w:r>
      <w:proofErr w:type="spellEnd"/>
      <w:r w:rsidRPr="005B0C91">
        <w:rPr>
          <w:sz w:val="24"/>
          <w:szCs w:val="24"/>
        </w:rPr>
        <w:t xml:space="preserve"> capability, and environmental pressures (</w:t>
      </w:r>
      <w:proofErr w:type="spellStart"/>
      <w:r w:rsidRPr="005B0C91">
        <w:rPr>
          <w:sz w:val="24"/>
          <w:szCs w:val="24"/>
        </w:rPr>
        <w:t>Tornatzky</w:t>
      </w:r>
      <w:proofErr w:type="spellEnd"/>
      <w:r w:rsidRPr="005B0C91">
        <w:rPr>
          <w:sz w:val="24"/>
          <w:szCs w:val="24"/>
        </w:rPr>
        <w:t xml:space="preserve"> &amp; Fleischer, 1990). In Industry 4.0 contexts, TOE has been extensively applied to explain digital transformation adoption patterns and </w:t>
      </w:r>
      <w:proofErr w:type="spellStart"/>
      <w:r w:rsidRPr="005B0C91">
        <w:rPr>
          <w:sz w:val="24"/>
          <w:szCs w:val="24"/>
        </w:rPr>
        <w:t>organisational</w:t>
      </w:r>
      <w:proofErr w:type="spellEnd"/>
      <w:r w:rsidRPr="005B0C91">
        <w:rPr>
          <w:sz w:val="24"/>
          <w:szCs w:val="24"/>
        </w:rPr>
        <w:t xml:space="preserve"> readiness for technological change (Luthra et al., 2016; Müller et al., 2018).</w:t>
      </w:r>
    </w:p>
    <w:p w14:paraId="1877293C" w14:textId="77777777" w:rsidR="00B16D6E" w:rsidRPr="005B0C91" w:rsidRDefault="00B16D6E" w:rsidP="00DE79BF">
      <w:pPr>
        <w:spacing w:before="240" w:after="240"/>
        <w:rPr>
          <w:sz w:val="24"/>
          <w:szCs w:val="24"/>
        </w:rPr>
      </w:pPr>
      <w:r w:rsidRPr="005B0C91">
        <w:rPr>
          <w:sz w:val="24"/>
          <w:szCs w:val="24"/>
        </w:rPr>
        <w:t xml:space="preserve">Leadership theory </w:t>
      </w:r>
      <w:proofErr w:type="spellStart"/>
      <w:r w:rsidRPr="005B0C91">
        <w:rPr>
          <w:sz w:val="24"/>
          <w:szCs w:val="24"/>
        </w:rPr>
        <w:t>emphasises</w:t>
      </w:r>
      <w:proofErr w:type="spellEnd"/>
      <w:r w:rsidRPr="005B0C91">
        <w:rPr>
          <w:sz w:val="24"/>
          <w:szCs w:val="24"/>
        </w:rPr>
        <w:t xml:space="preserve"> that transformational and digital leadership styles are critical enablers of </w:t>
      </w:r>
      <w:proofErr w:type="spellStart"/>
      <w:r w:rsidRPr="005B0C91">
        <w:rPr>
          <w:sz w:val="24"/>
          <w:szCs w:val="24"/>
        </w:rPr>
        <w:t>organisational</w:t>
      </w:r>
      <w:proofErr w:type="spellEnd"/>
      <w:r w:rsidRPr="005B0C91">
        <w:rPr>
          <w:sz w:val="24"/>
          <w:szCs w:val="24"/>
        </w:rPr>
        <w:t xml:space="preserve"> change and innovation. Transformational leadership enhances motivation, innovation culture, and strategic alignment, while digital leadership ensures effective integration of advanced technologies into </w:t>
      </w:r>
      <w:proofErr w:type="spellStart"/>
      <w:r w:rsidRPr="005B0C91">
        <w:rPr>
          <w:sz w:val="24"/>
          <w:szCs w:val="24"/>
        </w:rPr>
        <w:t>organisational</w:t>
      </w:r>
      <w:proofErr w:type="spellEnd"/>
      <w:r w:rsidRPr="005B0C91">
        <w:rPr>
          <w:sz w:val="24"/>
          <w:szCs w:val="24"/>
        </w:rPr>
        <w:t xml:space="preserve"> systems (Vial, 2019; Chatterjee et al., 2021).</w:t>
      </w:r>
    </w:p>
    <w:p w14:paraId="4A8CCDD1" w14:textId="77777777" w:rsidR="008143C5" w:rsidRPr="005B0C91" w:rsidRDefault="00B16D6E" w:rsidP="00DE79BF">
      <w:pPr>
        <w:spacing w:before="240" w:after="240"/>
        <w:rPr>
          <w:sz w:val="24"/>
          <w:szCs w:val="24"/>
        </w:rPr>
      </w:pPr>
      <w:r w:rsidRPr="005B0C91">
        <w:rPr>
          <w:sz w:val="24"/>
          <w:szCs w:val="24"/>
        </w:rPr>
        <w:t xml:space="preserve">Technology strategy is a multidimensional construct that includes several interrelated components. Pioneer–follower strategy influences innovation timing and competitive positioning (Frank et al., 2019). Technological investments enhance efficiency and sustainability outcomes by enabling resource </w:t>
      </w:r>
      <w:proofErr w:type="spellStart"/>
      <w:r w:rsidRPr="005B0C91">
        <w:rPr>
          <w:sz w:val="24"/>
          <w:szCs w:val="24"/>
        </w:rPr>
        <w:t>optimisation</w:t>
      </w:r>
      <w:proofErr w:type="spellEnd"/>
      <w:r w:rsidRPr="005B0C91">
        <w:rPr>
          <w:sz w:val="24"/>
          <w:szCs w:val="24"/>
        </w:rPr>
        <w:t xml:space="preserve"> (Bai &amp; Sarkis, 2020). Product upgrade intensity improves innovation responsiveness and lifecycle efficiency (Nunes et al., 2020). </w:t>
      </w:r>
    </w:p>
    <w:p w14:paraId="2E75B478" w14:textId="2418128F" w:rsidR="00B16D6E" w:rsidRPr="005B0C91" w:rsidRDefault="00B16D6E" w:rsidP="00DE79BF">
      <w:pPr>
        <w:spacing w:before="240" w:after="240"/>
        <w:rPr>
          <w:sz w:val="24"/>
          <w:szCs w:val="24"/>
        </w:rPr>
      </w:pPr>
      <w:r w:rsidRPr="005B0C91">
        <w:rPr>
          <w:sz w:val="24"/>
          <w:szCs w:val="24"/>
        </w:rPr>
        <w:t xml:space="preserve">Product and process technologies reduce emissions and improve operational efficiency (Stock &amp; Seliger, 2016). Manufacturing system design technologies enhance flexibility and resource </w:t>
      </w:r>
      <w:proofErr w:type="spellStart"/>
      <w:r w:rsidRPr="005B0C91">
        <w:rPr>
          <w:sz w:val="24"/>
          <w:szCs w:val="24"/>
        </w:rPr>
        <w:t>utilisation</w:t>
      </w:r>
      <w:proofErr w:type="spellEnd"/>
      <w:r w:rsidRPr="005B0C91">
        <w:rPr>
          <w:sz w:val="24"/>
          <w:szCs w:val="24"/>
        </w:rPr>
        <w:t xml:space="preserve"> (Kiel et al., 2017). Process innovations enable cleaner production systems and waste reduction (Dubey et al., 2019). Digital manufacturing technologies such as IoT, AI, and big data analytics enhance real-time decision-making and predictive capability (Wang et al., 2016; Lu, 2017). </w:t>
      </w:r>
      <w:proofErr w:type="spellStart"/>
      <w:r w:rsidRPr="005B0C91">
        <w:rPr>
          <w:sz w:val="24"/>
          <w:szCs w:val="24"/>
        </w:rPr>
        <w:t>Microfactories</w:t>
      </w:r>
      <w:proofErr w:type="spellEnd"/>
      <w:r w:rsidRPr="005B0C91">
        <w:rPr>
          <w:sz w:val="24"/>
          <w:szCs w:val="24"/>
        </w:rPr>
        <w:t xml:space="preserve"> support </w:t>
      </w:r>
      <w:proofErr w:type="spellStart"/>
      <w:r w:rsidRPr="005B0C91">
        <w:rPr>
          <w:sz w:val="24"/>
          <w:szCs w:val="24"/>
        </w:rPr>
        <w:t>decentralised</w:t>
      </w:r>
      <w:proofErr w:type="spellEnd"/>
      <w:r w:rsidRPr="005B0C91">
        <w:rPr>
          <w:sz w:val="24"/>
          <w:szCs w:val="24"/>
        </w:rPr>
        <w:t xml:space="preserve"> production systems that reduce environmental impact and improve sustainability efficiency (Javaid et al., 2022).</w:t>
      </w:r>
    </w:p>
    <w:p w14:paraId="749938FB" w14:textId="77777777" w:rsidR="00B16D6E" w:rsidRPr="005B0C91" w:rsidRDefault="00B16D6E" w:rsidP="00DE79BF">
      <w:pPr>
        <w:spacing w:before="240" w:after="240"/>
        <w:rPr>
          <w:sz w:val="24"/>
          <w:szCs w:val="24"/>
        </w:rPr>
      </w:pPr>
      <w:r w:rsidRPr="005B0C91">
        <w:rPr>
          <w:sz w:val="24"/>
          <w:szCs w:val="24"/>
        </w:rPr>
        <w:t xml:space="preserve">Sustainable manufacturing performance is </w:t>
      </w:r>
      <w:proofErr w:type="spellStart"/>
      <w:r w:rsidRPr="005B0C91">
        <w:rPr>
          <w:sz w:val="24"/>
          <w:szCs w:val="24"/>
        </w:rPr>
        <w:t>conceptualised</w:t>
      </w:r>
      <w:proofErr w:type="spellEnd"/>
      <w:r w:rsidRPr="005B0C91">
        <w:rPr>
          <w:sz w:val="24"/>
          <w:szCs w:val="24"/>
        </w:rPr>
        <w:t xml:space="preserve"> using the triple bottom line framework, which includes economic, environmental, and social dimensions (Elkington, 1997). This holistic approach </w:t>
      </w:r>
      <w:proofErr w:type="spellStart"/>
      <w:r w:rsidRPr="005B0C91">
        <w:rPr>
          <w:sz w:val="24"/>
          <w:szCs w:val="24"/>
        </w:rPr>
        <w:t>emphasises</w:t>
      </w:r>
      <w:proofErr w:type="spellEnd"/>
      <w:r w:rsidRPr="005B0C91">
        <w:rPr>
          <w:sz w:val="24"/>
          <w:szCs w:val="24"/>
        </w:rPr>
        <w:t xml:space="preserve"> the need for firms to balance profitability, environmental protection, and social responsibility in their operations (Porter &amp; Kramer, 2011).</w:t>
      </w:r>
    </w:p>
    <w:p w14:paraId="3FA8C959" w14:textId="77777777" w:rsidR="001E0406" w:rsidRPr="005B0C91" w:rsidRDefault="001E0406" w:rsidP="00B16D6E">
      <w:pPr>
        <w:spacing w:after="0"/>
        <w:rPr>
          <w:sz w:val="24"/>
          <w:szCs w:val="24"/>
          <w:lang w:val="en-GB"/>
        </w:rPr>
      </w:pPr>
    </w:p>
    <w:p w14:paraId="17271085" w14:textId="77777777" w:rsidR="001E0406" w:rsidRPr="00DE79BF" w:rsidRDefault="001E0406" w:rsidP="00B16D6E">
      <w:pPr>
        <w:pStyle w:val="TFReferencesSection"/>
        <w:spacing w:line="240" w:lineRule="auto"/>
        <w:ind w:left="0" w:firstLine="0"/>
        <w:rPr>
          <w:rFonts w:ascii="Times New Roman" w:hAnsi="Times New Roman"/>
          <w:sz w:val="28"/>
          <w:szCs w:val="28"/>
          <w:lang w:val="en-GB"/>
        </w:rPr>
      </w:pPr>
    </w:p>
    <w:p w14:paraId="50B16A39" w14:textId="1326764A" w:rsidR="001E0406" w:rsidRPr="00DE79BF" w:rsidRDefault="00DE79BF" w:rsidP="00B16D6E">
      <w:pPr>
        <w:pStyle w:val="Heading1"/>
        <w:numPr>
          <w:ilvl w:val="0"/>
          <w:numId w:val="4"/>
        </w:numPr>
        <w:spacing w:before="0" w:after="0"/>
        <w:rPr>
          <w:sz w:val="28"/>
        </w:rPr>
      </w:pPr>
      <w:r w:rsidRPr="00DE79BF">
        <w:rPr>
          <w:sz w:val="28"/>
        </w:rPr>
        <w:t xml:space="preserve">RESEARCH METHODOLOGY </w:t>
      </w:r>
    </w:p>
    <w:p w14:paraId="4144F77B" w14:textId="77777777" w:rsidR="001E0406" w:rsidRPr="00DE79BF" w:rsidRDefault="001E0406" w:rsidP="00B16D6E">
      <w:pPr>
        <w:spacing w:after="0"/>
        <w:rPr>
          <w:sz w:val="28"/>
          <w:szCs w:val="28"/>
          <w:lang w:val="en-GB"/>
        </w:rPr>
      </w:pPr>
    </w:p>
    <w:p w14:paraId="20260316" w14:textId="1811C77C" w:rsidR="008143C5" w:rsidRPr="00DE79BF" w:rsidRDefault="00DE79BF" w:rsidP="008143C5">
      <w:pPr>
        <w:pStyle w:val="NormalWeb"/>
        <w:spacing w:before="0" w:beforeAutospacing="0" w:after="240" w:afterAutospacing="0" w:line="276" w:lineRule="auto"/>
        <w:rPr>
          <w:b/>
          <w:bCs/>
          <w:sz w:val="28"/>
          <w:szCs w:val="28"/>
          <w:lang w:bidi="en-US"/>
        </w:rPr>
      </w:pPr>
      <w:r w:rsidRPr="00DE79BF">
        <w:rPr>
          <w:b/>
          <w:bCs/>
          <w:sz w:val="28"/>
          <w:szCs w:val="28"/>
          <w:lang w:bidi="en-US"/>
        </w:rPr>
        <w:t>4.1 CONCEPTUAL FRAMEWORK</w:t>
      </w:r>
    </w:p>
    <w:p w14:paraId="6D5130D7" w14:textId="77777777" w:rsidR="008143C5" w:rsidRPr="005B0C91" w:rsidRDefault="008143C5" w:rsidP="00DE79BF">
      <w:pPr>
        <w:pStyle w:val="NormalWeb"/>
        <w:spacing w:before="240" w:beforeAutospacing="0" w:after="240" w:afterAutospacing="0"/>
        <w:rPr>
          <w:lang w:bidi="en-US"/>
        </w:rPr>
      </w:pPr>
      <w:r w:rsidRPr="005B0C91">
        <w:rPr>
          <w:lang w:bidi="en-US"/>
        </w:rPr>
        <w:t xml:space="preserve">Figure 1 illustrates the conceptual framework of this study. The framework presents eight dimensions of technology strategy, namely pioneer–follower posture, technological investments, intensity of product upgrades, product and process technology, manufacturing system and process design technologies, manufacturing process technology innovations, digital manufacturing technologies, and </w:t>
      </w:r>
      <w:proofErr w:type="spellStart"/>
      <w:r w:rsidRPr="005B0C91">
        <w:rPr>
          <w:lang w:bidi="en-US"/>
        </w:rPr>
        <w:t>microfactories</w:t>
      </w:r>
      <w:proofErr w:type="spellEnd"/>
      <w:r w:rsidRPr="005B0C91">
        <w:rPr>
          <w:lang w:bidi="en-US"/>
        </w:rPr>
        <w:t xml:space="preserve"> as independent variables. Leadership style is positioned as the mediating variable, while sustainable manufacturing performance is the dependent variable.</w:t>
      </w:r>
    </w:p>
    <w:p w14:paraId="5ECB9DBE" w14:textId="77777777" w:rsidR="008143C5" w:rsidRPr="005B0C91" w:rsidRDefault="008143C5" w:rsidP="00DE79BF">
      <w:pPr>
        <w:pStyle w:val="NormalWeb"/>
        <w:spacing w:before="240" w:beforeAutospacing="0" w:after="240" w:afterAutospacing="0"/>
        <w:rPr>
          <w:lang w:bidi="en-US"/>
        </w:rPr>
      </w:pPr>
      <w:r w:rsidRPr="005B0C91">
        <w:rPr>
          <w:lang w:bidi="en-US"/>
        </w:rPr>
        <w:t>The framework proposes that all technology strategy dimensions influence sustainable manufacturing performance both directly and indirectly through leadership style. Leadership is expected to play a crucial role in enhancing the effectiveness of technological strategies by aligning organisational capabilities with sustainability objectives.</w:t>
      </w:r>
    </w:p>
    <w:p w14:paraId="715694A3" w14:textId="589729BB" w:rsidR="008143C5" w:rsidRPr="005B0C91" w:rsidRDefault="00B02BD6" w:rsidP="008143C5">
      <w:pPr>
        <w:pStyle w:val="NormalWeb"/>
        <w:keepNext/>
        <w:spacing w:before="0" w:beforeAutospacing="0" w:after="240" w:afterAutospacing="0" w:line="276" w:lineRule="auto"/>
        <w:ind w:left="426"/>
        <w:jc w:val="center"/>
      </w:pPr>
      <w:r>
        <w:rPr>
          <w:noProof/>
        </w:rPr>
        <w:lastRenderedPageBreak/>
        <w:drawing>
          <wp:inline distT="0" distB="0" distL="0" distR="0" wp14:anchorId="3A28E332" wp14:editId="3A2657C1">
            <wp:extent cx="5156975" cy="3438144"/>
            <wp:effectExtent l="0" t="0" r="5715" b="0"/>
            <wp:docPr id="10406201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620106" name="Picture 1040620106"/>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65884" cy="3444083"/>
                    </a:xfrm>
                    <a:prstGeom prst="rect">
                      <a:avLst/>
                    </a:prstGeom>
                  </pic:spPr>
                </pic:pic>
              </a:graphicData>
            </a:graphic>
          </wp:inline>
        </w:drawing>
      </w:r>
    </w:p>
    <w:p w14:paraId="0CEED3A5" w14:textId="7D1E91F2" w:rsidR="008143C5" w:rsidRPr="00DE79BF" w:rsidRDefault="008143C5" w:rsidP="008143C5">
      <w:pPr>
        <w:pStyle w:val="Caption"/>
        <w:jc w:val="center"/>
        <w:rPr>
          <w:color w:val="auto"/>
          <w:sz w:val="24"/>
          <w:szCs w:val="24"/>
        </w:rPr>
      </w:pPr>
      <w:r w:rsidRPr="00DE79BF">
        <w:rPr>
          <w:color w:val="auto"/>
          <w:sz w:val="24"/>
          <w:szCs w:val="24"/>
        </w:rPr>
        <w:t xml:space="preserve">Figure </w:t>
      </w:r>
      <w:r w:rsidRPr="00DE79BF">
        <w:rPr>
          <w:color w:val="auto"/>
          <w:sz w:val="24"/>
          <w:szCs w:val="24"/>
        </w:rPr>
        <w:fldChar w:fldCharType="begin"/>
      </w:r>
      <w:r w:rsidRPr="00DE79BF">
        <w:rPr>
          <w:color w:val="auto"/>
          <w:sz w:val="24"/>
          <w:szCs w:val="24"/>
        </w:rPr>
        <w:instrText xml:space="preserve"> SEQ Figure \* ARABIC </w:instrText>
      </w:r>
      <w:r w:rsidRPr="00DE79BF">
        <w:rPr>
          <w:color w:val="auto"/>
          <w:sz w:val="24"/>
          <w:szCs w:val="24"/>
        </w:rPr>
        <w:fldChar w:fldCharType="separate"/>
      </w:r>
      <w:r w:rsidR="009C3CA5" w:rsidRPr="00DE79BF">
        <w:rPr>
          <w:noProof/>
          <w:color w:val="auto"/>
          <w:sz w:val="24"/>
          <w:szCs w:val="24"/>
        </w:rPr>
        <w:t>1</w:t>
      </w:r>
      <w:r w:rsidRPr="00DE79BF">
        <w:rPr>
          <w:color w:val="auto"/>
          <w:sz w:val="24"/>
          <w:szCs w:val="24"/>
        </w:rPr>
        <w:fldChar w:fldCharType="end"/>
      </w:r>
      <w:r w:rsidR="00DE79BF">
        <w:rPr>
          <w:color w:val="auto"/>
          <w:sz w:val="24"/>
          <w:szCs w:val="24"/>
        </w:rPr>
        <w:t xml:space="preserve"> </w:t>
      </w:r>
      <w:r w:rsidRPr="00DE79BF">
        <w:rPr>
          <w:color w:val="auto"/>
          <w:sz w:val="24"/>
          <w:szCs w:val="24"/>
        </w:rPr>
        <w:t>Conceptual Framework</w:t>
      </w:r>
    </w:p>
    <w:p w14:paraId="002C7310" w14:textId="758FF994" w:rsidR="008143C5" w:rsidRPr="005B0C91" w:rsidRDefault="008143C5" w:rsidP="008143C5">
      <w:pPr>
        <w:pStyle w:val="NormalWeb"/>
        <w:spacing w:after="240" w:line="276" w:lineRule="auto"/>
        <w:rPr>
          <w:lang w:bidi="en-US"/>
        </w:rPr>
      </w:pPr>
    </w:p>
    <w:p w14:paraId="4446E456" w14:textId="23042BBA" w:rsidR="008143C5" w:rsidRPr="00DE79BF" w:rsidRDefault="00DE79BF" w:rsidP="008143C5">
      <w:pPr>
        <w:pStyle w:val="NormalWeb"/>
        <w:spacing w:before="0" w:beforeAutospacing="0" w:after="240" w:afterAutospacing="0" w:line="276" w:lineRule="auto"/>
        <w:rPr>
          <w:b/>
          <w:bCs/>
          <w:sz w:val="28"/>
          <w:szCs w:val="28"/>
          <w:lang w:bidi="en-US"/>
        </w:rPr>
      </w:pPr>
      <w:r w:rsidRPr="00DE79BF">
        <w:rPr>
          <w:b/>
          <w:bCs/>
          <w:sz w:val="28"/>
          <w:szCs w:val="28"/>
          <w:lang w:bidi="en-US"/>
        </w:rPr>
        <w:t>4.2 RESEARCH DESIGN</w:t>
      </w:r>
    </w:p>
    <w:p w14:paraId="6EB28192" w14:textId="77777777" w:rsidR="008143C5" w:rsidRPr="005B0C91" w:rsidRDefault="008143C5" w:rsidP="00DE79BF">
      <w:pPr>
        <w:pStyle w:val="NormalWeb"/>
        <w:spacing w:before="240" w:beforeAutospacing="0" w:after="240" w:afterAutospacing="0"/>
        <w:rPr>
          <w:lang w:bidi="en-US"/>
        </w:rPr>
      </w:pPr>
      <w:r w:rsidRPr="005B0C91">
        <w:rPr>
          <w:lang w:bidi="en-US"/>
        </w:rPr>
        <w:t xml:space="preserve">This study adopts a quantitative research method using a structured questionnaire as the primary instrument for data collection. Quantitative data were collected through survey forms consisting of questions related to the study variables. The questionnaire included items linked to independent variables (pioneer–follower posture, technological investments, intensity of product upgrades, product and process technology, manufacturing system and process design technologies, manufacturing process technology innovations, digital manufacturing technologies, and </w:t>
      </w:r>
      <w:proofErr w:type="spellStart"/>
      <w:r w:rsidRPr="005B0C91">
        <w:rPr>
          <w:lang w:bidi="en-US"/>
        </w:rPr>
        <w:t>microfactories</w:t>
      </w:r>
      <w:proofErr w:type="spellEnd"/>
      <w:r w:rsidRPr="005B0C91">
        <w:rPr>
          <w:lang w:bidi="en-US"/>
        </w:rPr>
        <w:t>), the mediating variable (leadership style), and the dependent variable (sustainable manufacturing performance).</w:t>
      </w:r>
    </w:p>
    <w:p w14:paraId="5AB61E8B" w14:textId="6182FD79" w:rsidR="00747A44" w:rsidRPr="005B0C91" w:rsidRDefault="008143C5" w:rsidP="00DE79BF">
      <w:pPr>
        <w:pStyle w:val="NormalWeb"/>
        <w:spacing w:before="240" w:beforeAutospacing="0" w:after="240" w:afterAutospacing="0"/>
        <w:rPr>
          <w:lang w:bidi="en-US"/>
        </w:rPr>
      </w:pPr>
      <w:r w:rsidRPr="005B0C91">
        <w:rPr>
          <w:lang w:bidi="en-US"/>
        </w:rPr>
        <w:t xml:space="preserve">The conceptual framework was established based on prior literature, and data were collected to examine the proposed relationships. The collected data were analysed using </w:t>
      </w:r>
      <w:r w:rsidR="003C0C38">
        <w:rPr>
          <w:lang w:bidi="en-US"/>
        </w:rPr>
        <w:t>SPSS Version 29,</w:t>
      </w:r>
      <w:r w:rsidRPr="005B0C91">
        <w:rPr>
          <w:lang w:bidi="en-US"/>
        </w:rPr>
        <w:t xml:space="preserve"> including descriptive analysis, reliability analysis, correlation analysis, and regression analysis</w:t>
      </w:r>
      <w:r w:rsidR="003C0C38">
        <w:rPr>
          <w:lang w:bidi="en-US"/>
        </w:rPr>
        <w:t xml:space="preserve"> and mediation analysis</w:t>
      </w:r>
      <w:r w:rsidRPr="005B0C91">
        <w:rPr>
          <w:lang w:bidi="en-US"/>
        </w:rPr>
        <w:t>.</w:t>
      </w:r>
      <w:r w:rsidR="00747A44">
        <w:rPr>
          <w:lang w:bidi="en-US"/>
        </w:rPr>
        <w:t xml:space="preserve"> </w:t>
      </w:r>
      <w:r w:rsidR="00747A44" w:rsidRPr="00747A44">
        <w:rPr>
          <w:lang w:val="en-US" w:bidi="en-US"/>
        </w:rPr>
        <w:t>To ensure data completeness, all questions in the questionnaire were made compulsory, reducing missing responses and improving the reliability of statistical analysis, particularly regression and mediation analysis.</w:t>
      </w:r>
    </w:p>
    <w:p w14:paraId="16029B47" w14:textId="77777777" w:rsidR="00747A44" w:rsidRPr="005B0C91" w:rsidRDefault="00747A44" w:rsidP="00B02BD6">
      <w:pPr>
        <w:pStyle w:val="NormalWeb"/>
        <w:spacing w:after="240" w:line="276" w:lineRule="auto"/>
        <w:rPr>
          <w:lang w:bidi="en-US"/>
        </w:rPr>
      </w:pPr>
    </w:p>
    <w:p w14:paraId="1B6EE9EB" w14:textId="3DE2EDE9" w:rsidR="008143C5" w:rsidRPr="00DE79BF" w:rsidRDefault="00DE79BF" w:rsidP="008143C5">
      <w:pPr>
        <w:pStyle w:val="NormalWeb"/>
        <w:spacing w:before="0" w:beforeAutospacing="0" w:after="240" w:afterAutospacing="0" w:line="276" w:lineRule="auto"/>
        <w:rPr>
          <w:b/>
          <w:bCs/>
          <w:sz w:val="28"/>
          <w:szCs w:val="28"/>
          <w:lang w:bidi="en-US"/>
        </w:rPr>
      </w:pPr>
      <w:r w:rsidRPr="00DE79BF">
        <w:rPr>
          <w:b/>
          <w:bCs/>
          <w:sz w:val="28"/>
          <w:szCs w:val="28"/>
          <w:lang w:bidi="en-US"/>
        </w:rPr>
        <w:t>4.3 POPULATION AND SAMPLE</w:t>
      </w:r>
    </w:p>
    <w:p w14:paraId="09109F49" w14:textId="77777777" w:rsidR="008143C5" w:rsidRPr="005B0C91" w:rsidRDefault="008143C5" w:rsidP="00DE79BF">
      <w:pPr>
        <w:pStyle w:val="NormalWeb"/>
        <w:spacing w:before="240" w:beforeAutospacing="0" w:after="240" w:afterAutospacing="0"/>
        <w:rPr>
          <w:lang w:bidi="en-US"/>
        </w:rPr>
      </w:pPr>
      <w:r w:rsidRPr="005B0C91">
        <w:rPr>
          <w:lang w:bidi="en-US"/>
        </w:rPr>
        <w:t>The population of this study consists of employees working in manufacturing firms in Malaysia, particularly those involved in Industry 4.0 adoption and sustainability-related activities. The target respondents include managers, engineers, supervisors, and employees who are directly engaged in technological implementation and operational processes.</w:t>
      </w:r>
    </w:p>
    <w:p w14:paraId="5DBB6EDC" w14:textId="454C38A5" w:rsidR="008143C5" w:rsidRPr="005B0C91" w:rsidRDefault="008143C5" w:rsidP="00DE79BF">
      <w:pPr>
        <w:pStyle w:val="NormalWeb"/>
        <w:spacing w:before="240" w:beforeAutospacing="0" w:after="240" w:afterAutospacing="0"/>
        <w:rPr>
          <w:lang w:bidi="en-US"/>
        </w:rPr>
      </w:pPr>
      <w:r w:rsidRPr="005B0C91">
        <w:rPr>
          <w:lang w:bidi="en-US"/>
        </w:rPr>
        <w:t xml:space="preserve">Given the large population of manufacturing employees in Malaysia, this study refers to </w:t>
      </w:r>
      <w:proofErr w:type="spellStart"/>
      <w:r w:rsidRPr="005B0C91">
        <w:rPr>
          <w:lang w:bidi="en-US"/>
        </w:rPr>
        <w:t>Krejcie</w:t>
      </w:r>
      <w:proofErr w:type="spellEnd"/>
      <w:r w:rsidRPr="005B0C91">
        <w:rPr>
          <w:lang w:bidi="en-US"/>
        </w:rPr>
        <w:t xml:space="preserve"> and Morgan’s (1970) table to determine the appropriate sample size. </w:t>
      </w:r>
      <w:r w:rsidR="00605047" w:rsidRPr="00605047">
        <w:rPr>
          <w:lang w:val="en-US" w:bidi="en-US"/>
        </w:rPr>
        <w:t xml:space="preserve">Based on </w:t>
      </w:r>
      <w:proofErr w:type="spellStart"/>
      <w:r w:rsidR="00605047" w:rsidRPr="00605047">
        <w:rPr>
          <w:lang w:val="en-US" w:bidi="en-US"/>
        </w:rPr>
        <w:t>Krejcie</w:t>
      </w:r>
      <w:proofErr w:type="spellEnd"/>
      <w:r w:rsidR="00605047" w:rsidRPr="00605047">
        <w:rPr>
          <w:lang w:val="en-US" w:bidi="en-US"/>
        </w:rPr>
        <w:t xml:space="preserve"> and Morgan’s (1970) sampling </w:t>
      </w:r>
      <w:r w:rsidR="00605047" w:rsidRPr="00605047">
        <w:rPr>
          <w:lang w:val="en-US" w:bidi="en-US"/>
        </w:rPr>
        <w:lastRenderedPageBreak/>
        <w:t>guideline, a larger sample size was initially considered appropriate. However, due to accessibility constraints and the targeted nature of manufacturing respondents, 216 valid responses were obtained and considered adequate for regression and mediation analysis.</w:t>
      </w:r>
    </w:p>
    <w:p w14:paraId="57251C9B" w14:textId="3F4501E2" w:rsidR="008143C5" w:rsidRPr="005B0C91" w:rsidRDefault="008143C5" w:rsidP="00DE79BF">
      <w:pPr>
        <w:pStyle w:val="NormalWeb"/>
        <w:spacing w:before="240" w:beforeAutospacing="0" w:after="240" w:afterAutospacing="0"/>
        <w:rPr>
          <w:lang w:bidi="en-US"/>
        </w:rPr>
      </w:pPr>
      <w:r w:rsidRPr="005B0C91">
        <w:rPr>
          <w:lang w:bidi="en-US"/>
        </w:rPr>
        <w:t>The study focuses on respondents aged 21 years and above, as this group represents the working population with relevant experience and involvement in organisational decision-making and technological practices.</w:t>
      </w:r>
      <w:r w:rsidR="00747A44">
        <w:rPr>
          <w:lang w:bidi="en-US"/>
        </w:rPr>
        <w:t xml:space="preserve"> </w:t>
      </w:r>
      <w:r w:rsidR="00747A44" w:rsidRPr="00747A44">
        <w:rPr>
          <w:lang w:val="en-US" w:bidi="en-US"/>
        </w:rPr>
        <w:t>A purposive sampling technique was employed to ensure that respondents possessed relevant knowledge and experience related to manufacturing technologies and sustainability practices.</w:t>
      </w:r>
    </w:p>
    <w:p w14:paraId="3379D178" w14:textId="01B6BCB4" w:rsidR="00C9272B" w:rsidRPr="005B0C91" w:rsidRDefault="00C9272B" w:rsidP="00C9272B">
      <w:pPr>
        <w:pStyle w:val="NormalWeb"/>
        <w:spacing w:before="0" w:beforeAutospacing="0" w:after="240" w:afterAutospacing="0" w:line="276" w:lineRule="auto"/>
        <w:rPr>
          <w:noProof/>
        </w:rPr>
      </w:pPr>
      <w:r w:rsidRPr="005B0C91">
        <w:rPr>
          <w:noProof/>
        </w:rPr>
        <w:drawing>
          <wp:anchor distT="0" distB="0" distL="114300" distR="114300" simplePos="0" relativeHeight="251659264" behindDoc="0" locked="0" layoutInCell="1" allowOverlap="1" wp14:anchorId="4212B7B4" wp14:editId="58EE3435">
            <wp:simplePos x="0" y="0"/>
            <wp:positionH relativeFrom="margin">
              <wp:posOffset>1638300</wp:posOffset>
            </wp:positionH>
            <wp:positionV relativeFrom="paragraph">
              <wp:posOffset>-1905</wp:posOffset>
            </wp:positionV>
            <wp:extent cx="2454442" cy="2560597"/>
            <wp:effectExtent l="0" t="0" r="3175" b="0"/>
            <wp:wrapNone/>
            <wp:docPr id="1695821932" name="Picture 14" descr="Table 2. Krejcie and Morgan Table : Influence of Childr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Table 2. Krejcie and Morgan Table : Influence of Children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54442" cy="256059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B4F409" w14:textId="7A5B32DB" w:rsidR="00C9272B" w:rsidRPr="005B0C91" w:rsidRDefault="00C9272B" w:rsidP="00C9272B">
      <w:pPr>
        <w:pStyle w:val="NormalWeb"/>
        <w:spacing w:before="0" w:beforeAutospacing="0" w:after="240" w:afterAutospacing="0" w:line="276" w:lineRule="auto"/>
        <w:rPr>
          <w:noProof/>
        </w:rPr>
      </w:pPr>
    </w:p>
    <w:p w14:paraId="1CFFE7F5" w14:textId="77777777" w:rsidR="00C9272B" w:rsidRPr="005B0C91" w:rsidRDefault="00C9272B" w:rsidP="00C9272B">
      <w:pPr>
        <w:pStyle w:val="NormalWeb"/>
        <w:spacing w:before="0" w:beforeAutospacing="0" w:after="240" w:afterAutospacing="0" w:line="276" w:lineRule="auto"/>
        <w:rPr>
          <w:noProof/>
        </w:rPr>
      </w:pPr>
    </w:p>
    <w:p w14:paraId="5D20C309" w14:textId="77777777" w:rsidR="00C9272B" w:rsidRPr="005B0C91" w:rsidRDefault="00C9272B" w:rsidP="00C9272B">
      <w:pPr>
        <w:pStyle w:val="NormalWeb"/>
        <w:spacing w:before="0" w:beforeAutospacing="0" w:after="240" w:afterAutospacing="0" w:line="276" w:lineRule="auto"/>
        <w:rPr>
          <w:noProof/>
        </w:rPr>
      </w:pPr>
    </w:p>
    <w:p w14:paraId="58B1EC5E" w14:textId="77777777" w:rsidR="00C9272B" w:rsidRPr="005B0C91" w:rsidRDefault="00C9272B" w:rsidP="00C9272B">
      <w:pPr>
        <w:pStyle w:val="NormalWeb"/>
        <w:spacing w:before="0" w:beforeAutospacing="0" w:after="240" w:afterAutospacing="0" w:line="276" w:lineRule="auto"/>
        <w:rPr>
          <w:noProof/>
        </w:rPr>
      </w:pPr>
    </w:p>
    <w:p w14:paraId="05640619" w14:textId="77777777" w:rsidR="00C9272B" w:rsidRPr="005B0C91" w:rsidRDefault="00C9272B" w:rsidP="00C9272B">
      <w:pPr>
        <w:pStyle w:val="NormalWeb"/>
        <w:spacing w:before="0" w:beforeAutospacing="0" w:after="240" w:afterAutospacing="0" w:line="276" w:lineRule="auto"/>
        <w:rPr>
          <w:noProof/>
        </w:rPr>
      </w:pPr>
    </w:p>
    <w:p w14:paraId="6C665D7E" w14:textId="77777777" w:rsidR="00C9272B" w:rsidRPr="005B0C91" w:rsidRDefault="00C9272B" w:rsidP="00C9272B">
      <w:pPr>
        <w:pStyle w:val="NormalWeb"/>
        <w:spacing w:before="0" w:beforeAutospacing="0" w:after="240" w:afterAutospacing="0" w:line="276" w:lineRule="auto"/>
        <w:rPr>
          <w:lang w:bidi="en-US"/>
        </w:rPr>
      </w:pPr>
    </w:p>
    <w:p w14:paraId="424F2EDC" w14:textId="5A71E4EF" w:rsidR="008143C5" w:rsidRPr="005B0C91" w:rsidRDefault="000B46D2" w:rsidP="008143C5">
      <w:pPr>
        <w:pStyle w:val="NormalWeb"/>
        <w:spacing w:before="0" w:beforeAutospacing="0" w:after="240" w:afterAutospacing="0" w:line="276" w:lineRule="auto"/>
        <w:rPr>
          <w:lang w:bidi="en-US"/>
        </w:rPr>
      </w:pPr>
      <w:r w:rsidRPr="005B0C91">
        <w:rPr>
          <w:noProof/>
        </w:rPr>
        <mc:AlternateContent>
          <mc:Choice Requires="wps">
            <w:drawing>
              <wp:anchor distT="0" distB="0" distL="114300" distR="114300" simplePos="0" relativeHeight="251661312" behindDoc="0" locked="0" layoutInCell="1" allowOverlap="1" wp14:anchorId="0EE9488D" wp14:editId="4EB43C6B">
                <wp:simplePos x="0" y="0"/>
                <wp:positionH relativeFrom="column">
                  <wp:posOffset>1639697</wp:posOffset>
                </wp:positionH>
                <wp:positionV relativeFrom="paragraph">
                  <wp:posOffset>136779</wp:posOffset>
                </wp:positionV>
                <wp:extent cx="3157728" cy="635"/>
                <wp:effectExtent l="0" t="0" r="5080" b="2540"/>
                <wp:wrapNone/>
                <wp:docPr id="350481990" name="Text Box 1"/>
                <wp:cNvGraphicFramePr/>
                <a:graphic xmlns:a="http://schemas.openxmlformats.org/drawingml/2006/main">
                  <a:graphicData uri="http://schemas.microsoft.com/office/word/2010/wordprocessingShape">
                    <wps:wsp>
                      <wps:cNvSpPr txBox="1"/>
                      <wps:spPr>
                        <a:xfrm>
                          <a:off x="0" y="0"/>
                          <a:ext cx="3157728" cy="635"/>
                        </a:xfrm>
                        <a:prstGeom prst="rect">
                          <a:avLst/>
                        </a:prstGeom>
                        <a:solidFill>
                          <a:prstClr val="white"/>
                        </a:solidFill>
                        <a:ln>
                          <a:noFill/>
                        </a:ln>
                      </wps:spPr>
                      <wps:txbx>
                        <w:txbxContent>
                          <w:p w14:paraId="3C3E74A9" w14:textId="578E8779" w:rsidR="009C3CA5" w:rsidRPr="00B02BD6" w:rsidRDefault="009C3CA5" w:rsidP="009C3CA5">
                            <w:pPr>
                              <w:pStyle w:val="Caption"/>
                              <w:rPr>
                                <w:noProof/>
                                <w:color w:val="auto"/>
                                <w:sz w:val="24"/>
                                <w:szCs w:val="24"/>
                                <w:lang w:val="en-MY" w:eastAsia="en-MY"/>
                              </w:rPr>
                            </w:pPr>
                            <w:r w:rsidRPr="00B02BD6">
                              <w:rPr>
                                <w:color w:val="auto"/>
                                <w:sz w:val="24"/>
                                <w:szCs w:val="24"/>
                              </w:rPr>
                              <w:t xml:space="preserve">Figure </w:t>
                            </w:r>
                            <w:r w:rsidRPr="00B02BD6">
                              <w:rPr>
                                <w:color w:val="auto"/>
                                <w:sz w:val="24"/>
                                <w:szCs w:val="24"/>
                              </w:rPr>
                              <w:fldChar w:fldCharType="begin"/>
                            </w:r>
                            <w:r w:rsidRPr="00B02BD6">
                              <w:rPr>
                                <w:color w:val="auto"/>
                                <w:sz w:val="24"/>
                                <w:szCs w:val="24"/>
                              </w:rPr>
                              <w:instrText xml:space="preserve"> SEQ Figure \* ARABIC </w:instrText>
                            </w:r>
                            <w:r w:rsidRPr="00B02BD6">
                              <w:rPr>
                                <w:color w:val="auto"/>
                                <w:sz w:val="24"/>
                                <w:szCs w:val="24"/>
                              </w:rPr>
                              <w:fldChar w:fldCharType="separate"/>
                            </w:r>
                            <w:r w:rsidRPr="00B02BD6">
                              <w:rPr>
                                <w:noProof/>
                                <w:color w:val="auto"/>
                                <w:sz w:val="24"/>
                                <w:szCs w:val="24"/>
                              </w:rPr>
                              <w:t>2</w:t>
                            </w:r>
                            <w:r w:rsidRPr="00B02BD6">
                              <w:rPr>
                                <w:color w:val="auto"/>
                                <w:sz w:val="24"/>
                                <w:szCs w:val="24"/>
                              </w:rPr>
                              <w:fldChar w:fldCharType="end"/>
                            </w:r>
                            <w:r w:rsidRPr="00B02BD6">
                              <w:rPr>
                                <w:color w:val="auto"/>
                                <w:sz w:val="24"/>
                                <w:szCs w:val="24"/>
                              </w:rPr>
                              <w:t xml:space="preserve"> </w:t>
                            </w:r>
                            <w:proofErr w:type="spellStart"/>
                            <w:r w:rsidRPr="00B02BD6">
                              <w:rPr>
                                <w:color w:val="auto"/>
                                <w:sz w:val="24"/>
                                <w:szCs w:val="24"/>
                              </w:rPr>
                              <w:t>Krejcie</w:t>
                            </w:r>
                            <w:proofErr w:type="spellEnd"/>
                            <w:r w:rsidRPr="00B02BD6">
                              <w:rPr>
                                <w:color w:val="auto"/>
                                <w:sz w:val="24"/>
                                <w:szCs w:val="24"/>
                              </w:rPr>
                              <w:t xml:space="preserve"> and Morgan Table ,1970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EE9488D" id="_x0000_t202" coordsize="21600,21600" o:spt="202" path="m,l,21600r21600,l21600,xe">
                <v:stroke joinstyle="miter"/>
                <v:path gradientshapeok="t" o:connecttype="rect"/>
              </v:shapetype>
              <v:shape id="Text Box 1" o:spid="_x0000_s1026" type="#_x0000_t202" style="position:absolute;margin-left:129.1pt;margin-top:10.75pt;width:248.65pt;height:.0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" stroked="f">
                <v:textbox style="mso-fit-shape-to-text:t" inset="0,0,0,0">
                  <w:txbxContent>
                    <w:p w14:paraId="3C3E74A9" w14:textId="578E8779" w:rsidR="009C3CA5" w:rsidRPr="00B02BD6" w:rsidRDefault="009C3CA5" w:rsidP="009C3CA5">
                      <w:pPr>
                        <w:pStyle w:val="Caption"/>
                        <w:rPr>
                          <w:noProof/>
                          <w:color w:val="auto"/>
                          <w:sz w:val="24"/>
                          <w:szCs w:val="24"/>
                          <w:lang w:val="en-MY" w:eastAsia="en-MY"/>
                        </w:rPr>
                      </w:pPr>
                      <w:r w:rsidRPr="00B02BD6">
                        <w:rPr>
                          <w:color w:val="auto"/>
                          <w:sz w:val="24"/>
                          <w:szCs w:val="24"/>
                        </w:rPr>
                        <w:t xml:space="preserve">Figure </w:t>
                      </w:r>
                      <w:r w:rsidRPr="00B02BD6">
                        <w:rPr>
                          <w:color w:val="auto"/>
                          <w:sz w:val="24"/>
                          <w:szCs w:val="24"/>
                        </w:rPr>
                        <w:fldChar w:fldCharType="begin"/>
                      </w:r>
                      <w:r w:rsidRPr="00B02BD6">
                        <w:rPr>
                          <w:color w:val="auto"/>
                          <w:sz w:val="24"/>
                          <w:szCs w:val="24"/>
                        </w:rPr>
                        <w:instrText xml:space="preserve"> SEQ Figure \* ARABIC </w:instrText>
                      </w:r>
                      <w:r w:rsidRPr="00B02BD6">
                        <w:rPr>
                          <w:color w:val="auto"/>
                          <w:sz w:val="24"/>
                          <w:szCs w:val="24"/>
                        </w:rPr>
                        <w:fldChar w:fldCharType="separate"/>
                      </w:r>
                      <w:r w:rsidRPr="00B02BD6">
                        <w:rPr>
                          <w:noProof/>
                          <w:color w:val="auto"/>
                          <w:sz w:val="24"/>
                          <w:szCs w:val="24"/>
                        </w:rPr>
                        <w:t>2</w:t>
                      </w:r>
                      <w:r w:rsidRPr="00B02BD6">
                        <w:rPr>
                          <w:color w:val="auto"/>
                          <w:sz w:val="24"/>
                          <w:szCs w:val="24"/>
                        </w:rPr>
                        <w:fldChar w:fldCharType="end"/>
                      </w:r>
                      <w:r w:rsidRPr="00B02BD6">
                        <w:rPr>
                          <w:color w:val="auto"/>
                          <w:sz w:val="24"/>
                          <w:szCs w:val="24"/>
                        </w:rPr>
                        <w:t xml:space="preserve"> </w:t>
                      </w:r>
                      <w:proofErr w:type="spellStart"/>
                      <w:r w:rsidRPr="00B02BD6">
                        <w:rPr>
                          <w:color w:val="auto"/>
                          <w:sz w:val="24"/>
                          <w:szCs w:val="24"/>
                        </w:rPr>
                        <w:t>Krejcie</w:t>
                      </w:r>
                      <w:proofErr w:type="spellEnd"/>
                      <w:r w:rsidRPr="00B02BD6">
                        <w:rPr>
                          <w:color w:val="auto"/>
                          <w:sz w:val="24"/>
                          <w:szCs w:val="24"/>
                        </w:rPr>
                        <w:t xml:space="preserve"> and Morgan Table ,1970</w:t>
                      </w:r>
                    </w:p>
                  </w:txbxContent>
                </v:textbox>
              </v:shape>
            </w:pict>
          </mc:Fallback>
        </mc:AlternateContent>
      </w:r>
    </w:p>
    <w:p w14:paraId="592D7C82" w14:textId="77777777" w:rsidR="008A1315" w:rsidRPr="005B0C91" w:rsidRDefault="008A1315" w:rsidP="008143C5">
      <w:pPr>
        <w:pStyle w:val="NormalWeb"/>
        <w:spacing w:before="0" w:beforeAutospacing="0" w:after="240" w:afterAutospacing="0" w:line="276" w:lineRule="auto"/>
        <w:rPr>
          <w:lang w:bidi="en-US"/>
        </w:rPr>
      </w:pPr>
    </w:p>
    <w:p w14:paraId="45C75C05" w14:textId="0A2C1E8E" w:rsidR="008143C5" w:rsidRPr="00DE79BF" w:rsidRDefault="00DE79BF" w:rsidP="008143C5">
      <w:pPr>
        <w:pStyle w:val="NormalWeb"/>
        <w:spacing w:before="0" w:beforeAutospacing="0" w:after="240" w:afterAutospacing="0" w:line="276" w:lineRule="auto"/>
        <w:rPr>
          <w:b/>
          <w:bCs/>
          <w:sz w:val="28"/>
          <w:szCs w:val="28"/>
          <w:lang w:bidi="en-US"/>
        </w:rPr>
      </w:pPr>
      <w:r w:rsidRPr="00DE79BF">
        <w:rPr>
          <w:b/>
          <w:bCs/>
          <w:sz w:val="28"/>
          <w:szCs w:val="28"/>
          <w:lang w:bidi="en-US"/>
        </w:rPr>
        <w:t>4.4 STUDY INSTRUMENT</w:t>
      </w:r>
    </w:p>
    <w:p w14:paraId="14807CB2" w14:textId="77777777" w:rsidR="00C9272B" w:rsidRPr="005B0C91" w:rsidRDefault="00C9272B" w:rsidP="00DE79BF">
      <w:pPr>
        <w:pStyle w:val="NormalWeb"/>
        <w:spacing w:before="240" w:beforeAutospacing="0" w:after="240" w:afterAutospacing="0"/>
        <w:rPr>
          <w:lang w:val="en-US" w:bidi="en-US"/>
        </w:rPr>
      </w:pPr>
      <w:r w:rsidRPr="005B0C91">
        <w:rPr>
          <w:lang w:val="en-US" w:bidi="en-US"/>
        </w:rPr>
        <w:t xml:space="preserve">A structured questionnaire was used as the main research instrument for data collection in this study. The instrument was developed to examine the relationships among leadership style, multidimensional technology strategy dimensions, and sustainable manufacturing performance (SMP) in Malaysian manufacturing firms. The design of the questionnaire is grounded in the Resource-Based View (RBV), which emphasizes the role of </w:t>
      </w:r>
      <w:proofErr w:type="spellStart"/>
      <w:r w:rsidRPr="005B0C91">
        <w:rPr>
          <w:lang w:val="en-US" w:bidi="en-US"/>
        </w:rPr>
        <w:t>organisational</w:t>
      </w:r>
      <w:proofErr w:type="spellEnd"/>
      <w:r w:rsidRPr="005B0C91">
        <w:rPr>
          <w:lang w:val="en-US" w:bidi="en-US"/>
        </w:rPr>
        <w:t xml:space="preserve"> resources and capabilities in achieving sustained competitive advantage and sustainability outcomes (Barney, 1991; Wernerfelt, 1984).</w:t>
      </w:r>
    </w:p>
    <w:p w14:paraId="203C6AB8" w14:textId="56C4A593" w:rsidR="00C9272B" w:rsidRPr="005B0C91" w:rsidRDefault="00C9272B" w:rsidP="00DE79BF">
      <w:pPr>
        <w:pStyle w:val="NormalWeb"/>
        <w:spacing w:before="240" w:beforeAutospacing="0" w:after="240" w:afterAutospacing="0"/>
        <w:rPr>
          <w:lang w:val="en-US" w:bidi="en-US"/>
        </w:rPr>
      </w:pPr>
      <w:r w:rsidRPr="005B0C91">
        <w:rPr>
          <w:lang w:val="en-US" w:bidi="en-US"/>
        </w:rPr>
        <w:t xml:space="preserve">All constructs included in the questionnaire were measured using validated measurement scales adapted from prior empirical studies to ensure content validity and reliability. The independent variables consist of pioneer–follower posture, technological investments, intensity of product upgrades, product and process technology, manufacturing system and process design technologies, manufacturing process technology innovations, digital manufacturing technologies, and </w:t>
      </w:r>
      <w:proofErr w:type="spellStart"/>
      <w:r w:rsidRPr="005B0C91">
        <w:rPr>
          <w:lang w:val="en-US" w:bidi="en-US"/>
        </w:rPr>
        <w:t>microfactories</w:t>
      </w:r>
      <w:proofErr w:type="spellEnd"/>
      <w:r w:rsidRPr="005B0C91">
        <w:rPr>
          <w:lang w:val="en-US" w:bidi="en-US"/>
        </w:rPr>
        <w:t>. The mediating variable, leadership style, was adapted from established leadership literature</w:t>
      </w:r>
      <w:r w:rsidR="00747A44">
        <w:rPr>
          <w:lang w:val="en-US" w:bidi="en-US"/>
        </w:rPr>
        <w:t xml:space="preserve">. </w:t>
      </w:r>
      <w:r w:rsidR="00747A44" w:rsidRPr="00747A44">
        <w:rPr>
          <w:lang w:val="en-US" w:bidi="en-US"/>
        </w:rPr>
        <w:t>The dependent variable, sustainable manufacturing performance, was measured through three dimensions: economic, environmental, and social sustainability performance.</w:t>
      </w:r>
    </w:p>
    <w:p w14:paraId="48D6D535" w14:textId="77777777" w:rsidR="00C9272B" w:rsidRPr="005B0C91" w:rsidRDefault="00C9272B" w:rsidP="00DE79BF">
      <w:pPr>
        <w:pStyle w:val="NormalWeb"/>
        <w:spacing w:before="240" w:beforeAutospacing="0" w:after="240" w:afterAutospacing="0"/>
        <w:rPr>
          <w:lang w:val="en-US" w:bidi="en-US"/>
        </w:rPr>
      </w:pPr>
      <w:r w:rsidRPr="005B0C91">
        <w:rPr>
          <w:lang w:val="en-US" w:bidi="en-US"/>
        </w:rPr>
        <w:t>The questionnaire consists of 13 sections, namely demographic information, eight independent variables, one mediating variable, three dependent variables, and control variables, with minor contextual modifications to suit the Malaysian manufacturing context.</w:t>
      </w:r>
    </w:p>
    <w:p w14:paraId="74BE2D37" w14:textId="77777777" w:rsidR="00C9272B" w:rsidRPr="005B0C91" w:rsidRDefault="00C9272B" w:rsidP="00DE79BF">
      <w:pPr>
        <w:pStyle w:val="NormalWeb"/>
        <w:spacing w:before="240" w:beforeAutospacing="0" w:after="240" w:afterAutospacing="0"/>
        <w:rPr>
          <w:lang w:val="en-US" w:bidi="en-US"/>
        </w:rPr>
      </w:pPr>
      <w:r w:rsidRPr="005B0C91">
        <w:rPr>
          <w:lang w:val="en-US" w:bidi="en-US"/>
        </w:rPr>
        <w:t xml:space="preserve">All items were measured using a five-point Likert scale ranging from 1 (Strongly Disagree) to 5 (Strongly Agree) (Joshi et al., 2015). This scale is widely used in management and </w:t>
      </w:r>
      <w:proofErr w:type="spellStart"/>
      <w:r w:rsidRPr="005B0C91">
        <w:rPr>
          <w:lang w:val="en-US" w:bidi="en-US"/>
        </w:rPr>
        <w:t>behavioural</w:t>
      </w:r>
      <w:proofErr w:type="spellEnd"/>
      <w:r w:rsidRPr="005B0C91">
        <w:rPr>
          <w:lang w:val="en-US" w:bidi="en-US"/>
        </w:rPr>
        <w:t xml:space="preserve"> research to capture respondents’ perceptions in a consistent and quantifiable manner.</w:t>
      </w:r>
    </w:p>
    <w:p w14:paraId="56A82996" w14:textId="1C49AEDC" w:rsidR="008143C5" w:rsidRDefault="00605047" w:rsidP="00605047">
      <w:pPr>
        <w:pStyle w:val="NormalWeb"/>
        <w:spacing w:before="0" w:beforeAutospacing="0" w:after="240" w:afterAutospacing="0" w:line="276" w:lineRule="auto"/>
        <w:rPr>
          <w:lang w:val="en-US" w:bidi="en-US"/>
        </w:rPr>
      </w:pPr>
      <w:r w:rsidRPr="00605047">
        <w:rPr>
          <w:lang w:val="en-US" w:bidi="en-US"/>
        </w:rPr>
        <w:lastRenderedPageBreak/>
        <w:t>To ensure data completeness, all questions in the questionnaire were made compulsory, reducing missing responses and improving the reliability of statistical analysis, particularly regression and mediation analysis.</w:t>
      </w:r>
    </w:p>
    <w:p w14:paraId="594B1E4D" w14:textId="77777777" w:rsidR="00605047" w:rsidRPr="005B0C91" w:rsidRDefault="00605047" w:rsidP="00605047">
      <w:pPr>
        <w:pStyle w:val="NormalWeb"/>
        <w:spacing w:before="0" w:beforeAutospacing="0" w:after="240" w:afterAutospacing="0" w:line="276" w:lineRule="auto"/>
        <w:rPr>
          <w:lang w:bidi="en-US"/>
        </w:rPr>
      </w:pPr>
    </w:p>
    <w:p w14:paraId="3E5B7961" w14:textId="5946E2BD" w:rsidR="008143C5" w:rsidRPr="00DE79BF" w:rsidRDefault="00DE79BF" w:rsidP="008143C5">
      <w:pPr>
        <w:pStyle w:val="NormalWeb"/>
        <w:spacing w:before="0" w:beforeAutospacing="0" w:after="240" w:afterAutospacing="0" w:line="276" w:lineRule="auto"/>
        <w:rPr>
          <w:b/>
          <w:bCs/>
          <w:sz w:val="28"/>
          <w:szCs w:val="28"/>
          <w:lang w:bidi="en-US"/>
        </w:rPr>
      </w:pPr>
      <w:r w:rsidRPr="00DE79BF">
        <w:rPr>
          <w:b/>
          <w:bCs/>
          <w:sz w:val="28"/>
          <w:szCs w:val="28"/>
          <w:lang w:bidi="en-US"/>
        </w:rPr>
        <w:t>4.5 VARIABLES AND ITEMS</w:t>
      </w:r>
    </w:p>
    <w:p w14:paraId="564C656A" w14:textId="77777777" w:rsidR="008143C5" w:rsidRPr="005B0C91" w:rsidRDefault="008143C5" w:rsidP="00DE79BF">
      <w:pPr>
        <w:pStyle w:val="NormalWeb"/>
        <w:spacing w:before="240" w:beforeAutospacing="0" w:after="240" w:afterAutospacing="0"/>
        <w:rPr>
          <w:lang w:bidi="en-US"/>
        </w:rPr>
      </w:pPr>
      <w:r w:rsidRPr="005B0C91">
        <w:rPr>
          <w:lang w:bidi="en-US"/>
        </w:rPr>
        <w:t>The variables used in this study consist of independent variables (technology strategy dimensions), a mediating variable (leadership style), and a dependent variable (sustainable manufacturing performance).</w:t>
      </w:r>
    </w:p>
    <w:p w14:paraId="4BDB71EB" w14:textId="77777777" w:rsidR="008143C5" w:rsidRPr="005B0C91" w:rsidRDefault="008143C5" w:rsidP="00DE79BF">
      <w:pPr>
        <w:pStyle w:val="NormalWeb"/>
        <w:spacing w:before="240" w:beforeAutospacing="0" w:after="240" w:afterAutospacing="0"/>
        <w:rPr>
          <w:lang w:bidi="en-US"/>
        </w:rPr>
      </w:pPr>
      <w:r w:rsidRPr="005B0C91">
        <w:rPr>
          <w:lang w:bidi="en-US"/>
        </w:rPr>
        <w:t xml:space="preserve">The independent variables include pioneer–follower posture, technological investments, intensity of product upgrades, product and process technology, manufacturing system and process design technologies, manufacturing process technology innovations, digital manufacturing technologies, and </w:t>
      </w:r>
      <w:proofErr w:type="spellStart"/>
      <w:r w:rsidRPr="005B0C91">
        <w:rPr>
          <w:lang w:bidi="en-US"/>
        </w:rPr>
        <w:t>microfactories</w:t>
      </w:r>
      <w:proofErr w:type="spellEnd"/>
      <w:r w:rsidRPr="005B0C91">
        <w:rPr>
          <w:lang w:bidi="en-US"/>
        </w:rPr>
        <w:t>.</w:t>
      </w:r>
    </w:p>
    <w:p w14:paraId="3CAE191E" w14:textId="77777777" w:rsidR="008143C5" w:rsidRPr="005B0C91" w:rsidRDefault="008143C5" w:rsidP="00DE79BF">
      <w:pPr>
        <w:pStyle w:val="NormalWeb"/>
        <w:spacing w:before="240" w:beforeAutospacing="0" w:after="240" w:afterAutospacing="0"/>
        <w:rPr>
          <w:lang w:bidi="en-US"/>
        </w:rPr>
      </w:pPr>
      <w:r w:rsidRPr="005B0C91">
        <w:rPr>
          <w:lang w:bidi="en-US"/>
        </w:rPr>
        <w:t>Leadership style is measured as the mediating variable, capturing aspects of transformational and digital leadership. Sustainable manufacturing performance is measured as the dependent variable, encompassing economic, environmental, and social performance outcomes.</w:t>
      </w:r>
    </w:p>
    <w:p w14:paraId="7E065814" w14:textId="77777777" w:rsidR="008143C5" w:rsidRPr="005B0C91" w:rsidRDefault="008143C5" w:rsidP="00DE79BF">
      <w:pPr>
        <w:pStyle w:val="NormalWeb"/>
        <w:spacing w:before="240" w:beforeAutospacing="0" w:after="240" w:afterAutospacing="0"/>
        <w:rPr>
          <w:lang w:bidi="en-US"/>
        </w:rPr>
      </w:pPr>
      <w:r w:rsidRPr="005B0C91">
        <w:rPr>
          <w:lang w:bidi="en-US"/>
        </w:rPr>
        <w:t>All measurement items were adapted from prior studies to ensure validity and reliability. Each construct was measured using multiple items to capture different dimensions of the variables.</w:t>
      </w:r>
    </w:p>
    <w:p w14:paraId="501E7193" w14:textId="57B93060" w:rsidR="009C3CA5" w:rsidRPr="00DE79BF" w:rsidRDefault="009C3CA5" w:rsidP="009C3CA5">
      <w:pPr>
        <w:pStyle w:val="Caption"/>
        <w:keepNext/>
        <w:rPr>
          <w:color w:val="auto"/>
          <w:sz w:val="24"/>
          <w:szCs w:val="24"/>
        </w:rPr>
      </w:pPr>
      <w:r w:rsidRPr="00DE79BF">
        <w:rPr>
          <w:color w:val="auto"/>
          <w:sz w:val="24"/>
          <w:szCs w:val="24"/>
        </w:rPr>
        <w:t xml:space="preserve">Table </w:t>
      </w:r>
      <w:r w:rsidRPr="00DE79BF">
        <w:rPr>
          <w:color w:val="auto"/>
          <w:sz w:val="24"/>
          <w:szCs w:val="24"/>
        </w:rPr>
        <w:fldChar w:fldCharType="begin"/>
      </w:r>
      <w:r w:rsidRPr="00DE79BF">
        <w:rPr>
          <w:color w:val="auto"/>
          <w:sz w:val="24"/>
          <w:szCs w:val="24"/>
        </w:rPr>
        <w:instrText xml:space="preserve"> SEQ Table \* ARABIC </w:instrText>
      </w:r>
      <w:r w:rsidRPr="00DE79BF">
        <w:rPr>
          <w:color w:val="auto"/>
          <w:sz w:val="24"/>
          <w:szCs w:val="24"/>
        </w:rPr>
        <w:fldChar w:fldCharType="separate"/>
      </w:r>
      <w:r w:rsidR="00605047">
        <w:rPr>
          <w:noProof/>
          <w:color w:val="auto"/>
          <w:sz w:val="24"/>
          <w:szCs w:val="24"/>
        </w:rPr>
        <w:t>1</w:t>
      </w:r>
      <w:r w:rsidRPr="00DE79BF">
        <w:rPr>
          <w:color w:val="auto"/>
          <w:sz w:val="24"/>
          <w:szCs w:val="24"/>
        </w:rPr>
        <w:fldChar w:fldCharType="end"/>
      </w:r>
      <w:r w:rsidRPr="00DE79BF">
        <w:rPr>
          <w:color w:val="auto"/>
          <w:sz w:val="24"/>
          <w:szCs w:val="24"/>
        </w:rPr>
        <w:t xml:space="preserve"> Variables and Items</w:t>
      </w:r>
    </w:p>
    <w:tbl>
      <w:tblPr>
        <w:tblW w:w="10800" w:type="dxa"/>
        <w:tblCellSpacing w:w="15" w:type="dxa"/>
        <w:tblBorders>
          <w:insideH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494"/>
        <w:gridCol w:w="2101"/>
        <w:gridCol w:w="1350"/>
        <w:gridCol w:w="3875"/>
        <w:gridCol w:w="1980"/>
      </w:tblGrid>
      <w:tr w:rsidR="008143C5" w:rsidRPr="005B0C91" w14:paraId="1D648E24" w14:textId="77777777" w:rsidTr="00E00B62">
        <w:trPr>
          <w:tblHeader/>
          <w:tblCellSpacing w:w="15" w:type="dxa"/>
        </w:trPr>
        <w:tc>
          <w:tcPr>
            <w:tcW w:w="1449" w:type="dxa"/>
            <w:vAlign w:val="center"/>
            <w:hideMark/>
          </w:tcPr>
          <w:p w14:paraId="73E35283" w14:textId="77777777" w:rsidR="008143C5" w:rsidRPr="005B0C91" w:rsidRDefault="008143C5" w:rsidP="008143C5">
            <w:pPr>
              <w:pStyle w:val="NormalWeb"/>
              <w:spacing w:after="240" w:line="276" w:lineRule="auto"/>
              <w:ind w:left="426"/>
              <w:rPr>
                <w:b/>
                <w:bCs/>
                <w:lang w:val="en-US" w:bidi="en-US"/>
              </w:rPr>
            </w:pPr>
            <w:r w:rsidRPr="005B0C91">
              <w:rPr>
                <w:b/>
                <w:bCs/>
                <w:lang w:val="en-US" w:bidi="en-US"/>
              </w:rPr>
              <w:t>Variable Type</w:t>
            </w:r>
          </w:p>
        </w:tc>
        <w:tc>
          <w:tcPr>
            <w:tcW w:w="2071" w:type="dxa"/>
            <w:vAlign w:val="center"/>
            <w:hideMark/>
          </w:tcPr>
          <w:p w14:paraId="72E17096" w14:textId="77777777" w:rsidR="008143C5" w:rsidRPr="005B0C91" w:rsidRDefault="008143C5" w:rsidP="008143C5">
            <w:pPr>
              <w:pStyle w:val="NormalWeb"/>
              <w:spacing w:after="240" w:line="276" w:lineRule="auto"/>
              <w:ind w:left="426" w:firstLine="630"/>
              <w:rPr>
                <w:b/>
                <w:bCs/>
                <w:lang w:val="en-US" w:bidi="en-US"/>
              </w:rPr>
            </w:pPr>
            <w:r w:rsidRPr="005B0C91">
              <w:rPr>
                <w:b/>
                <w:bCs/>
                <w:lang w:val="en-US" w:bidi="en-US"/>
              </w:rPr>
              <w:t>Variable</w:t>
            </w:r>
          </w:p>
        </w:tc>
        <w:tc>
          <w:tcPr>
            <w:tcW w:w="1320" w:type="dxa"/>
            <w:vAlign w:val="center"/>
            <w:hideMark/>
          </w:tcPr>
          <w:p w14:paraId="4DA91437" w14:textId="77777777" w:rsidR="008143C5" w:rsidRPr="005B0C91" w:rsidRDefault="008143C5" w:rsidP="008143C5">
            <w:pPr>
              <w:pStyle w:val="NormalWeb"/>
              <w:spacing w:after="240" w:line="276" w:lineRule="auto"/>
              <w:ind w:left="426"/>
              <w:rPr>
                <w:b/>
                <w:bCs/>
                <w:lang w:val="en-US" w:bidi="en-US"/>
              </w:rPr>
            </w:pPr>
            <w:r w:rsidRPr="005B0C91">
              <w:rPr>
                <w:b/>
                <w:bCs/>
                <w:lang w:val="en-US" w:bidi="en-US"/>
              </w:rPr>
              <w:t>Measurement Items</w:t>
            </w:r>
          </w:p>
        </w:tc>
        <w:tc>
          <w:tcPr>
            <w:tcW w:w="3845" w:type="dxa"/>
            <w:vAlign w:val="center"/>
            <w:hideMark/>
          </w:tcPr>
          <w:p w14:paraId="6A796735" w14:textId="3E52975A" w:rsidR="008143C5" w:rsidRPr="005B0C91" w:rsidRDefault="008143C5" w:rsidP="008143C5">
            <w:pPr>
              <w:pStyle w:val="NormalWeb"/>
              <w:spacing w:after="240" w:line="276" w:lineRule="auto"/>
              <w:rPr>
                <w:b/>
                <w:bCs/>
                <w:lang w:val="en-US" w:bidi="en-US"/>
              </w:rPr>
            </w:pPr>
            <w:r w:rsidRPr="005B0C91">
              <w:rPr>
                <w:b/>
                <w:bCs/>
                <w:lang w:val="en-US" w:bidi="en-US"/>
              </w:rPr>
              <w:t>Sources</w:t>
            </w:r>
          </w:p>
        </w:tc>
        <w:tc>
          <w:tcPr>
            <w:tcW w:w="1935" w:type="dxa"/>
            <w:vAlign w:val="center"/>
            <w:hideMark/>
          </w:tcPr>
          <w:p w14:paraId="4E79454E" w14:textId="77777777" w:rsidR="008143C5" w:rsidRPr="005B0C91" w:rsidRDefault="008143C5" w:rsidP="008143C5">
            <w:pPr>
              <w:pStyle w:val="NormalWeb"/>
              <w:spacing w:after="240" w:line="276" w:lineRule="auto"/>
              <w:ind w:left="426"/>
              <w:rPr>
                <w:b/>
                <w:bCs/>
                <w:lang w:val="en-US" w:bidi="en-US"/>
              </w:rPr>
            </w:pPr>
            <w:r w:rsidRPr="005B0C91">
              <w:rPr>
                <w:b/>
                <w:bCs/>
                <w:lang w:val="en-US" w:bidi="en-US"/>
              </w:rPr>
              <w:t>No. of Items</w:t>
            </w:r>
          </w:p>
        </w:tc>
      </w:tr>
      <w:tr w:rsidR="008143C5" w:rsidRPr="005B0C91" w14:paraId="1B0124C4" w14:textId="77777777" w:rsidTr="00E00B62">
        <w:trPr>
          <w:tblCellSpacing w:w="15" w:type="dxa"/>
        </w:trPr>
        <w:tc>
          <w:tcPr>
            <w:tcW w:w="1449" w:type="dxa"/>
            <w:vAlign w:val="center"/>
            <w:hideMark/>
          </w:tcPr>
          <w:p w14:paraId="35ADB586" w14:textId="77777777" w:rsidR="008143C5" w:rsidRPr="005B0C91" w:rsidRDefault="008143C5" w:rsidP="008143C5">
            <w:pPr>
              <w:pStyle w:val="NormalWeb"/>
              <w:spacing w:after="240" w:line="276" w:lineRule="auto"/>
              <w:ind w:left="426" w:firstLine="630"/>
              <w:rPr>
                <w:lang w:val="en-US" w:bidi="en-US"/>
              </w:rPr>
            </w:pPr>
            <w:r w:rsidRPr="005B0C91">
              <w:rPr>
                <w:b/>
                <w:bCs/>
                <w:lang w:val="en-US" w:bidi="en-US"/>
              </w:rPr>
              <w:t>IV1</w:t>
            </w:r>
          </w:p>
        </w:tc>
        <w:tc>
          <w:tcPr>
            <w:tcW w:w="2071" w:type="dxa"/>
            <w:vAlign w:val="center"/>
            <w:hideMark/>
          </w:tcPr>
          <w:p w14:paraId="6419A33B" w14:textId="77777777" w:rsidR="008143C5" w:rsidRPr="005B0C91" w:rsidRDefault="008143C5" w:rsidP="008143C5">
            <w:pPr>
              <w:pStyle w:val="NormalWeb"/>
              <w:spacing w:after="240" w:line="276" w:lineRule="auto"/>
              <w:ind w:left="426"/>
              <w:rPr>
                <w:lang w:val="en-US" w:bidi="en-US"/>
              </w:rPr>
            </w:pPr>
            <w:r w:rsidRPr="005B0C91">
              <w:rPr>
                <w:lang w:val="en-US" w:bidi="en-US"/>
              </w:rPr>
              <w:t>Pioneer–Follower Posture</w:t>
            </w:r>
          </w:p>
        </w:tc>
        <w:tc>
          <w:tcPr>
            <w:tcW w:w="1320" w:type="dxa"/>
            <w:vAlign w:val="center"/>
            <w:hideMark/>
          </w:tcPr>
          <w:p w14:paraId="4697E833" w14:textId="77777777" w:rsidR="008143C5" w:rsidRPr="005B0C91" w:rsidRDefault="008143C5" w:rsidP="008143C5">
            <w:pPr>
              <w:pStyle w:val="NormalWeb"/>
              <w:spacing w:after="240" w:line="276" w:lineRule="auto"/>
              <w:ind w:left="426"/>
              <w:rPr>
                <w:lang w:val="en-US" w:bidi="en-US"/>
              </w:rPr>
            </w:pPr>
            <w:r w:rsidRPr="005B0C91">
              <w:rPr>
                <w:lang w:val="en-US" w:bidi="en-US"/>
              </w:rPr>
              <w:t>PFP01–PFP08</w:t>
            </w:r>
          </w:p>
        </w:tc>
        <w:tc>
          <w:tcPr>
            <w:tcW w:w="3845" w:type="dxa"/>
            <w:vAlign w:val="center"/>
            <w:hideMark/>
          </w:tcPr>
          <w:p w14:paraId="4CB3B73B" w14:textId="4B2FECA0" w:rsidR="008143C5" w:rsidRPr="005B0C91" w:rsidRDefault="00E36C0F" w:rsidP="008143C5">
            <w:pPr>
              <w:pStyle w:val="NormalWeb"/>
              <w:spacing w:after="240" w:line="276" w:lineRule="auto"/>
              <w:ind w:left="426"/>
              <w:rPr>
                <w:lang w:val="en-US" w:bidi="en-US"/>
              </w:rPr>
            </w:pPr>
            <w:r w:rsidRPr="00E36C0F">
              <w:rPr>
                <w:lang w:val="en-US" w:bidi="en-US"/>
              </w:rPr>
              <w:t>Lieberman and Montgomery (1998); Zahra and Covin (1993)</w:t>
            </w:r>
          </w:p>
        </w:tc>
        <w:tc>
          <w:tcPr>
            <w:tcW w:w="1935" w:type="dxa"/>
            <w:vAlign w:val="center"/>
            <w:hideMark/>
          </w:tcPr>
          <w:p w14:paraId="25892FF2" w14:textId="77777777" w:rsidR="008143C5" w:rsidRPr="005B0C91" w:rsidRDefault="008143C5" w:rsidP="008143C5">
            <w:pPr>
              <w:pStyle w:val="NormalWeb"/>
              <w:spacing w:after="240" w:line="276" w:lineRule="auto"/>
              <w:ind w:left="426" w:firstLine="630"/>
              <w:rPr>
                <w:lang w:val="en-US" w:bidi="en-US"/>
              </w:rPr>
            </w:pPr>
            <w:r w:rsidRPr="005B0C91">
              <w:rPr>
                <w:lang w:val="en-US" w:bidi="en-US"/>
              </w:rPr>
              <w:t>8</w:t>
            </w:r>
          </w:p>
        </w:tc>
      </w:tr>
      <w:tr w:rsidR="008143C5" w:rsidRPr="005B0C91" w14:paraId="79DD623F" w14:textId="77777777" w:rsidTr="00E00B62">
        <w:trPr>
          <w:tblCellSpacing w:w="15" w:type="dxa"/>
        </w:trPr>
        <w:tc>
          <w:tcPr>
            <w:tcW w:w="1449" w:type="dxa"/>
            <w:vAlign w:val="center"/>
            <w:hideMark/>
          </w:tcPr>
          <w:p w14:paraId="15EC427B" w14:textId="77777777" w:rsidR="008143C5" w:rsidRPr="005B0C91" w:rsidRDefault="008143C5" w:rsidP="008143C5">
            <w:pPr>
              <w:pStyle w:val="NormalWeb"/>
              <w:spacing w:after="240" w:line="276" w:lineRule="auto"/>
              <w:ind w:left="426" w:firstLine="630"/>
              <w:rPr>
                <w:lang w:val="en-US" w:bidi="en-US"/>
              </w:rPr>
            </w:pPr>
            <w:r w:rsidRPr="005B0C91">
              <w:rPr>
                <w:b/>
                <w:bCs/>
                <w:lang w:val="en-US" w:bidi="en-US"/>
              </w:rPr>
              <w:t>IV2</w:t>
            </w:r>
          </w:p>
        </w:tc>
        <w:tc>
          <w:tcPr>
            <w:tcW w:w="2071" w:type="dxa"/>
            <w:vAlign w:val="center"/>
            <w:hideMark/>
          </w:tcPr>
          <w:p w14:paraId="23BF22E8" w14:textId="77777777" w:rsidR="008143C5" w:rsidRPr="005B0C91" w:rsidRDefault="008143C5" w:rsidP="008143C5">
            <w:pPr>
              <w:pStyle w:val="NormalWeb"/>
              <w:spacing w:after="240" w:line="276" w:lineRule="auto"/>
              <w:ind w:left="426"/>
              <w:rPr>
                <w:lang w:val="en-US" w:bidi="en-US"/>
              </w:rPr>
            </w:pPr>
            <w:r w:rsidRPr="005B0C91">
              <w:rPr>
                <w:lang w:val="en-US" w:bidi="en-US"/>
              </w:rPr>
              <w:t>Technological Investments</w:t>
            </w:r>
          </w:p>
        </w:tc>
        <w:tc>
          <w:tcPr>
            <w:tcW w:w="1320" w:type="dxa"/>
            <w:vAlign w:val="center"/>
            <w:hideMark/>
          </w:tcPr>
          <w:p w14:paraId="76AAD6ED" w14:textId="77777777" w:rsidR="008143C5" w:rsidRPr="005B0C91" w:rsidRDefault="008143C5" w:rsidP="008143C5">
            <w:pPr>
              <w:pStyle w:val="NormalWeb"/>
              <w:spacing w:after="240" w:line="276" w:lineRule="auto"/>
              <w:ind w:left="426"/>
              <w:rPr>
                <w:lang w:val="en-US" w:bidi="en-US"/>
              </w:rPr>
            </w:pPr>
            <w:r w:rsidRPr="005B0C91">
              <w:rPr>
                <w:lang w:val="en-US" w:bidi="en-US"/>
              </w:rPr>
              <w:t>TI01–TI07</w:t>
            </w:r>
          </w:p>
        </w:tc>
        <w:tc>
          <w:tcPr>
            <w:tcW w:w="3845" w:type="dxa"/>
            <w:vAlign w:val="center"/>
            <w:hideMark/>
          </w:tcPr>
          <w:p w14:paraId="1304283A" w14:textId="5780E9C6" w:rsidR="008143C5" w:rsidRPr="005B0C91" w:rsidRDefault="00E36C0F" w:rsidP="008143C5">
            <w:pPr>
              <w:pStyle w:val="NormalWeb"/>
              <w:spacing w:after="240" w:line="276" w:lineRule="auto"/>
              <w:ind w:left="426"/>
              <w:rPr>
                <w:lang w:val="en-US" w:bidi="en-US"/>
              </w:rPr>
            </w:pPr>
            <w:r w:rsidRPr="00E36C0F">
              <w:rPr>
                <w:lang w:val="en-US" w:bidi="en-US"/>
              </w:rPr>
              <w:t>Hitt et al. (1997); Gunasekaran et al. (2015); Olan et al. (2022)</w:t>
            </w:r>
          </w:p>
        </w:tc>
        <w:tc>
          <w:tcPr>
            <w:tcW w:w="1935" w:type="dxa"/>
            <w:vAlign w:val="center"/>
            <w:hideMark/>
          </w:tcPr>
          <w:p w14:paraId="218802BA" w14:textId="77777777" w:rsidR="008143C5" w:rsidRPr="005B0C91" w:rsidRDefault="008143C5" w:rsidP="008143C5">
            <w:pPr>
              <w:pStyle w:val="NormalWeb"/>
              <w:spacing w:after="240" w:line="276" w:lineRule="auto"/>
              <w:ind w:left="426" w:firstLine="630"/>
              <w:rPr>
                <w:lang w:val="en-US" w:bidi="en-US"/>
              </w:rPr>
            </w:pPr>
            <w:r w:rsidRPr="005B0C91">
              <w:rPr>
                <w:lang w:val="en-US" w:bidi="en-US"/>
              </w:rPr>
              <w:t>7</w:t>
            </w:r>
          </w:p>
        </w:tc>
      </w:tr>
      <w:tr w:rsidR="008143C5" w:rsidRPr="005B0C91" w14:paraId="0ED69180" w14:textId="77777777" w:rsidTr="00E00B62">
        <w:trPr>
          <w:tblCellSpacing w:w="15" w:type="dxa"/>
        </w:trPr>
        <w:tc>
          <w:tcPr>
            <w:tcW w:w="1449" w:type="dxa"/>
            <w:vAlign w:val="center"/>
            <w:hideMark/>
          </w:tcPr>
          <w:p w14:paraId="3D0F126F" w14:textId="77777777" w:rsidR="008143C5" w:rsidRPr="005B0C91" w:rsidRDefault="008143C5" w:rsidP="008143C5">
            <w:pPr>
              <w:pStyle w:val="NormalWeb"/>
              <w:spacing w:after="240" w:line="276" w:lineRule="auto"/>
              <w:ind w:left="426" w:firstLine="630"/>
              <w:rPr>
                <w:lang w:val="en-US" w:bidi="en-US"/>
              </w:rPr>
            </w:pPr>
            <w:r w:rsidRPr="005B0C91">
              <w:rPr>
                <w:b/>
                <w:bCs/>
                <w:lang w:val="en-US" w:bidi="en-US"/>
              </w:rPr>
              <w:t>IV3</w:t>
            </w:r>
          </w:p>
        </w:tc>
        <w:tc>
          <w:tcPr>
            <w:tcW w:w="2071" w:type="dxa"/>
            <w:vAlign w:val="center"/>
            <w:hideMark/>
          </w:tcPr>
          <w:p w14:paraId="0642F66F" w14:textId="77777777" w:rsidR="008143C5" w:rsidRPr="005B0C91" w:rsidRDefault="008143C5" w:rsidP="008143C5">
            <w:pPr>
              <w:pStyle w:val="NormalWeb"/>
              <w:spacing w:after="240" w:line="276" w:lineRule="auto"/>
              <w:ind w:left="426"/>
              <w:rPr>
                <w:lang w:val="en-US" w:bidi="en-US"/>
              </w:rPr>
            </w:pPr>
            <w:r w:rsidRPr="005B0C91">
              <w:rPr>
                <w:lang w:val="en-US" w:bidi="en-US"/>
              </w:rPr>
              <w:t>Intensity of Product Upgrades</w:t>
            </w:r>
          </w:p>
        </w:tc>
        <w:tc>
          <w:tcPr>
            <w:tcW w:w="1320" w:type="dxa"/>
            <w:vAlign w:val="center"/>
            <w:hideMark/>
          </w:tcPr>
          <w:p w14:paraId="51F4A616" w14:textId="77777777" w:rsidR="008143C5" w:rsidRPr="005B0C91" w:rsidRDefault="008143C5" w:rsidP="008143C5">
            <w:pPr>
              <w:pStyle w:val="NormalWeb"/>
              <w:spacing w:after="240" w:line="276" w:lineRule="auto"/>
              <w:ind w:left="426"/>
              <w:rPr>
                <w:lang w:val="en-US" w:bidi="en-US"/>
              </w:rPr>
            </w:pPr>
            <w:r w:rsidRPr="005B0C91">
              <w:rPr>
                <w:lang w:val="en-US" w:bidi="en-US"/>
              </w:rPr>
              <w:t>IPU01–IPU06</w:t>
            </w:r>
          </w:p>
        </w:tc>
        <w:tc>
          <w:tcPr>
            <w:tcW w:w="3845" w:type="dxa"/>
            <w:vAlign w:val="center"/>
            <w:hideMark/>
          </w:tcPr>
          <w:p w14:paraId="319488D0" w14:textId="77777777" w:rsidR="008143C5" w:rsidRPr="005B0C91" w:rsidRDefault="008143C5" w:rsidP="008143C5">
            <w:pPr>
              <w:pStyle w:val="NormalWeb"/>
              <w:spacing w:after="240" w:line="276" w:lineRule="auto"/>
              <w:ind w:left="426"/>
              <w:rPr>
                <w:lang w:val="en-US" w:bidi="en-US"/>
              </w:rPr>
            </w:pPr>
            <w:r w:rsidRPr="005B0C91">
              <w:rPr>
                <w:lang w:val="en-US" w:bidi="en-US"/>
              </w:rPr>
              <w:t xml:space="preserve">Teece et al. (1997); </w:t>
            </w:r>
            <w:proofErr w:type="spellStart"/>
            <w:r w:rsidRPr="005B0C91">
              <w:rPr>
                <w:lang w:val="en-US" w:bidi="en-US"/>
              </w:rPr>
              <w:t>Calantone</w:t>
            </w:r>
            <w:proofErr w:type="spellEnd"/>
            <w:r w:rsidRPr="005B0C91">
              <w:rPr>
                <w:lang w:val="en-US" w:bidi="en-US"/>
              </w:rPr>
              <w:t xml:space="preserve"> et al. (1996); Ahsan et al. (2023)</w:t>
            </w:r>
          </w:p>
        </w:tc>
        <w:tc>
          <w:tcPr>
            <w:tcW w:w="1935" w:type="dxa"/>
            <w:vAlign w:val="center"/>
            <w:hideMark/>
          </w:tcPr>
          <w:p w14:paraId="2A515FD7" w14:textId="77777777" w:rsidR="008143C5" w:rsidRPr="005B0C91" w:rsidRDefault="008143C5" w:rsidP="008143C5">
            <w:pPr>
              <w:pStyle w:val="NormalWeb"/>
              <w:spacing w:after="240" w:line="276" w:lineRule="auto"/>
              <w:ind w:left="426" w:firstLine="630"/>
              <w:rPr>
                <w:lang w:val="en-US" w:bidi="en-US"/>
              </w:rPr>
            </w:pPr>
            <w:r w:rsidRPr="005B0C91">
              <w:rPr>
                <w:lang w:val="en-US" w:bidi="en-US"/>
              </w:rPr>
              <w:t>6</w:t>
            </w:r>
          </w:p>
        </w:tc>
      </w:tr>
      <w:tr w:rsidR="008143C5" w:rsidRPr="005B0C91" w14:paraId="7058808D" w14:textId="77777777" w:rsidTr="00E00B62">
        <w:trPr>
          <w:tblCellSpacing w:w="15" w:type="dxa"/>
        </w:trPr>
        <w:tc>
          <w:tcPr>
            <w:tcW w:w="1449" w:type="dxa"/>
            <w:vAlign w:val="center"/>
            <w:hideMark/>
          </w:tcPr>
          <w:p w14:paraId="58989F89" w14:textId="77777777" w:rsidR="008143C5" w:rsidRPr="005B0C91" w:rsidRDefault="008143C5" w:rsidP="008143C5">
            <w:pPr>
              <w:pStyle w:val="NormalWeb"/>
              <w:spacing w:after="240" w:line="276" w:lineRule="auto"/>
              <w:ind w:left="426" w:firstLine="630"/>
              <w:rPr>
                <w:lang w:val="en-US" w:bidi="en-US"/>
              </w:rPr>
            </w:pPr>
            <w:r w:rsidRPr="005B0C91">
              <w:rPr>
                <w:b/>
                <w:bCs/>
                <w:lang w:val="en-US" w:bidi="en-US"/>
              </w:rPr>
              <w:t>IV4</w:t>
            </w:r>
          </w:p>
        </w:tc>
        <w:tc>
          <w:tcPr>
            <w:tcW w:w="2071" w:type="dxa"/>
            <w:vAlign w:val="center"/>
            <w:hideMark/>
          </w:tcPr>
          <w:p w14:paraId="722D21E9" w14:textId="77777777" w:rsidR="008143C5" w:rsidRPr="005B0C91" w:rsidRDefault="008143C5" w:rsidP="008143C5">
            <w:pPr>
              <w:pStyle w:val="NormalWeb"/>
              <w:spacing w:after="240" w:line="276" w:lineRule="auto"/>
              <w:ind w:left="426"/>
              <w:rPr>
                <w:lang w:val="en-US" w:bidi="en-US"/>
              </w:rPr>
            </w:pPr>
            <w:r w:rsidRPr="005B0C91">
              <w:rPr>
                <w:lang w:val="en-US" w:bidi="en-US"/>
              </w:rPr>
              <w:t>Product and Process Technology</w:t>
            </w:r>
          </w:p>
        </w:tc>
        <w:tc>
          <w:tcPr>
            <w:tcW w:w="1320" w:type="dxa"/>
            <w:vAlign w:val="center"/>
            <w:hideMark/>
          </w:tcPr>
          <w:p w14:paraId="487ACB00" w14:textId="77777777" w:rsidR="008143C5" w:rsidRPr="005B0C91" w:rsidRDefault="008143C5" w:rsidP="008143C5">
            <w:pPr>
              <w:pStyle w:val="NormalWeb"/>
              <w:spacing w:after="240" w:line="276" w:lineRule="auto"/>
              <w:ind w:left="426"/>
              <w:rPr>
                <w:lang w:val="en-US" w:bidi="en-US"/>
              </w:rPr>
            </w:pPr>
            <w:r w:rsidRPr="005B0C91">
              <w:rPr>
                <w:lang w:val="en-US" w:bidi="en-US"/>
              </w:rPr>
              <w:t>PPT01–PPT06</w:t>
            </w:r>
          </w:p>
        </w:tc>
        <w:tc>
          <w:tcPr>
            <w:tcW w:w="3845" w:type="dxa"/>
            <w:vAlign w:val="center"/>
            <w:hideMark/>
          </w:tcPr>
          <w:p w14:paraId="29CA9372" w14:textId="77777777" w:rsidR="008143C5" w:rsidRPr="005B0C91" w:rsidRDefault="008143C5" w:rsidP="008143C5">
            <w:pPr>
              <w:pStyle w:val="NormalWeb"/>
              <w:spacing w:after="240" w:line="276" w:lineRule="auto"/>
              <w:ind w:left="426"/>
              <w:rPr>
                <w:lang w:val="en-US" w:bidi="en-US"/>
              </w:rPr>
            </w:pPr>
            <w:r w:rsidRPr="005B0C91">
              <w:rPr>
                <w:lang w:val="en-US" w:bidi="en-US"/>
              </w:rPr>
              <w:t>Hayes &amp; Wheelwright (1984); Buer et al. (2018); Frank et al. (2019)</w:t>
            </w:r>
          </w:p>
        </w:tc>
        <w:tc>
          <w:tcPr>
            <w:tcW w:w="1935" w:type="dxa"/>
            <w:vAlign w:val="center"/>
            <w:hideMark/>
          </w:tcPr>
          <w:p w14:paraId="5B874B16" w14:textId="77777777" w:rsidR="008143C5" w:rsidRPr="005B0C91" w:rsidRDefault="008143C5" w:rsidP="008143C5">
            <w:pPr>
              <w:pStyle w:val="NormalWeb"/>
              <w:spacing w:after="240" w:line="276" w:lineRule="auto"/>
              <w:ind w:left="426" w:firstLine="630"/>
              <w:rPr>
                <w:lang w:val="en-US" w:bidi="en-US"/>
              </w:rPr>
            </w:pPr>
            <w:r w:rsidRPr="005B0C91">
              <w:rPr>
                <w:lang w:val="en-US" w:bidi="en-US"/>
              </w:rPr>
              <w:t>6</w:t>
            </w:r>
          </w:p>
        </w:tc>
      </w:tr>
      <w:tr w:rsidR="008143C5" w:rsidRPr="005B0C91" w14:paraId="790B8A23" w14:textId="77777777" w:rsidTr="00E00B62">
        <w:trPr>
          <w:tblCellSpacing w:w="15" w:type="dxa"/>
        </w:trPr>
        <w:tc>
          <w:tcPr>
            <w:tcW w:w="1449" w:type="dxa"/>
            <w:vAlign w:val="center"/>
            <w:hideMark/>
          </w:tcPr>
          <w:p w14:paraId="0E48A134" w14:textId="77777777" w:rsidR="008143C5" w:rsidRPr="005B0C91" w:rsidRDefault="008143C5" w:rsidP="008143C5">
            <w:pPr>
              <w:pStyle w:val="NormalWeb"/>
              <w:spacing w:after="240" w:line="276" w:lineRule="auto"/>
              <w:ind w:left="426" w:firstLine="630"/>
              <w:rPr>
                <w:lang w:val="en-US" w:bidi="en-US"/>
              </w:rPr>
            </w:pPr>
            <w:r w:rsidRPr="005B0C91">
              <w:rPr>
                <w:b/>
                <w:bCs/>
                <w:lang w:val="en-US" w:bidi="en-US"/>
              </w:rPr>
              <w:t>IV5</w:t>
            </w:r>
          </w:p>
        </w:tc>
        <w:tc>
          <w:tcPr>
            <w:tcW w:w="2071" w:type="dxa"/>
            <w:vAlign w:val="center"/>
            <w:hideMark/>
          </w:tcPr>
          <w:p w14:paraId="135D04A9" w14:textId="77777777" w:rsidR="008143C5" w:rsidRPr="005B0C91" w:rsidRDefault="008143C5" w:rsidP="008143C5">
            <w:pPr>
              <w:pStyle w:val="NormalWeb"/>
              <w:spacing w:after="240" w:line="276" w:lineRule="auto"/>
              <w:ind w:left="426"/>
              <w:rPr>
                <w:lang w:val="en-US" w:bidi="en-US"/>
              </w:rPr>
            </w:pPr>
            <w:r w:rsidRPr="005B0C91">
              <w:rPr>
                <w:lang w:val="en-US" w:bidi="en-US"/>
              </w:rPr>
              <w:t>Manufacturing System and Process Design Technologies</w:t>
            </w:r>
          </w:p>
        </w:tc>
        <w:tc>
          <w:tcPr>
            <w:tcW w:w="1320" w:type="dxa"/>
            <w:vAlign w:val="center"/>
            <w:hideMark/>
          </w:tcPr>
          <w:p w14:paraId="728886C8" w14:textId="77777777" w:rsidR="008143C5" w:rsidRPr="005B0C91" w:rsidRDefault="008143C5" w:rsidP="008143C5">
            <w:pPr>
              <w:pStyle w:val="NormalWeb"/>
              <w:spacing w:after="240" w:line="276" w:lineRule="auto"/>
              <w:ind w:left="426"/>
              <w:rPr>
                <w:lang w:val="en-US" w:bidi="en-US"/>
              </w:rPr>
            </w:pPr>
            <w:r w:rsidRPr="005B0C91">
              <w:rPr>
                <w:lang w:val="en-US" w:bidi="en-US"/>
              </w:rPr>
              <w:t>MSPD01–MSPD03</w:t>
            </w:r>
          </w:p>
        </w:tc>
        <w:tc>
          <w:tcPr>
            <w:tcW w:w="3845" w:type="dxa"/>
            <w:vAlign w:val="center"/>
            <w:hideMark/>
          </w:tcPr>
          <w:p w14:paraId="7AA79A1E" w14:textId="756B1CEF" w:rsidR="008143C5" w:rsidRPr="005B0C91" w:rsidRDefault="00EE27F4" w:rsidP="008143C5">
            <w:pPr>
              <w:pStyle w:val="NormalWeb"/>
              <w:spacing w:after="240" w:line="276" w:lineRule="auto"/>
              <w:ind w:left="426"/>
              <w:rPr>
                <w:lang w:val="en-US" w:bidi="en-US"/>
              </w:rPr>
            </w:pPr>
            <w:proofErr w:type="spellStart"/>
            <w:r w:rsidRPr="00EE27F4">
              <w:rPr>
                <w:lang w:val="en-US" w:bidi="en-US"/>
              </w:rPr>
              <w:t>Duflou</w:t>
            </w:r>
            <w:proofErr w:type="spellEnd"/>
            <w:r w:rsidRPr="00EE27F4">
              <w:rPr>
                <w:lang w:val="en-US" w:bidi="en-US"/>
              </w:rPr>
              <w:t xml:space="preserve"> et al. (2012); Buer et al. (2018); Kiel et al. (2017)</w:t>
            </w:r>
          </w:p>
        </w:tc>
        <w:tc>
          <w:tcPr>
            <w:tcW w:w="1935" w:type="dxa"/>
            <w:vAlign w:val="center"/>
            <w:hideMark/>
          </w:tcPr>
          <w:p w14:paraId="0AD06DA8" w14:textId="77777777" w:rsidR="008143C5" w:rsidRPr="005B0C91" w:rsidRDefault="008143C5" w:rsidP="008143C5">
            <w:pPr>
              <w:pStyle w:val="NormalWeb"/>
              <w:spacing w:after="240" w:line="276" w:lineRule="auto"/>
              <w:ind w:left="426" w:firstLine="630"/>
              <w:rPr>
                <w:lang w:val="en-US" w:bidi="en-US"/>
              </w:rPr>
            </w:pPr>
            <w:r w:rsidRPr="005B0C91">
              <w:rPr>
                <w:lang w:val="en-US" w:bidi="en-US"/>
              </w:rPr>
              <w:t>3</w:t>
            </w:r>
          </w:p>
        </w:tc>
      </w:tr>
      <w:tr w:rsidR="008143C5" w:rsidRPr="005B0C91" w14:paraId="4534283B" w14:textId="77777777" w:rsidTr="00E00B62">
        <w:trPr>
          <w:tblCellSpacing w:w="15" w:type="dxa"/>
        </w:trPr>
        <w:tc>
          <w:tcPr>
            <w:tcW w:w="1449" w:type="dxa"/>
            <w:vAlign w:val="center"/>
            <w:hideMark/>
          </w:tcPr>
          <w:p w14:paraId="4ABF6530" w14:textId="77777777" w:rsidR="008143C5" w:rsidRPr="005B0C91" w:rsidRDefault="008143C5" w:rsidP="008143C5">
            <w:pPr>
              <w:pStyle w:val="NormalWeb"/>
              <w:spacing w:after="240" w:line="276" w:lineRule="auto"/>
              <w:ind w:left="426" w:firstLine="630"/>
              <w:rPr>
                <w:lang w:val="en-US" w:bidi="en-US"/>
              </w:rPr>
            </w:pPr>
            <w:r w:rsidRPr="005B0C91">
              <w:rPr>
                <w:b/>
                <w:bCs/>
                <w:lang w:val="en-US" w:bidi="en-US"/>
              </w:rPr>
              <w:t>IV6</w:t>
            </w:r>
          </w:p>
        </w:tc>
        <w:tc>
          <w:tcPr>
            <w:tcW w:w="2071" w:type="dxa"/>
            <w:vAlign w:val="center"/>
            <w:hideMark/>
          </w:tcPr>
          <w:p w14:paraId="2B99C1AC" w14:textId="77777777" w:rsidR="008143C5" w:rsidRPr="005B0C91" w:rsidRDefault="008143C5" w:rsidP="008143C5">
            <w:pPr>
              <w:pStyle w:val="NormalWeb"/>
              <w:spacing w:after="240" w:line="276" w:lineRule="auto"/>
              <w:ind w:left="426"/>
              <w:rPr>
                <w:lang w:val="en-US" w:bidi="en-US"/>
              </w:rPr>
            </w:pPr>
            <w:r w:rsidRPr="005B0C91">
              <w:rPr>
                <w:lang w:val="en-US" w:bidi="en-US"/>
              </w:rPr>
              <w:t>Manufacturing Process Technology Innovations</w:t>
            </w:r>
          </w:p>
        </w:tc>
        <w:tc>
          <w:tcPr>
            <w:tcW w:w="1320" w:type="dxa"/>
            <w:vAlign w:val="center"/>
            <w:hideMark/>
          </w:tcPr>
          <w:p w14:paraId="44A7B827" w14:textId="77777777" w:rsidR="008143C5" w:rsidRPr="005B0C91" w:rsidRDefault="008143C5" w:rsidP="008143C5">
            <w:pPr>
              <w:pStyle w:val="NormalWeb"/>
              <w:spacing w:after="240" w:line="276" w:lineRule="auto"/>
              <w:ind w:left="426"/>
              <w:rPr>
                <w:lang w:val="en-US" w:bidi="en-US"/>
              </w:rPr>
            </w:pPr>
            <w:r w:rsidRPr="005B0C91">
              <w:rPr>
                <w:lang w:val="en-US" w:bidi="en-US"/>
              </w:rPr>
              <w:t>MPTI01–MPTI03</w:t>
            </w:r>
          </w:p>
        </w:tc>
        <w:tc>
          <w:tcPr>
            <w:tcW w:w="3845" w:type="dxa"/>
            <w:vAlign w:val="center"/>
            <w:hideMark/>
          </w:tcPr>
          <w:p w14:paraId="715093BF" w14:textId="513FE5F7" w:rsidR="008143C5" w:rsidRPr="005B0C91" w:rsidRDefault="00EE27F4" w:rsidP="008143C5">
            <w:pPr>
              <w:pStyle w:val="NormalWeb"/>
              <w:spacing w:after="240" w:line="276" w:lineRule="auto"/>
              <w:ind w:left="426"/>
              <w:rPr>
                <w:lang w:val="en-US" w:bidi="en-US"/>
              </w:rPr>
            </w:pPr>
            <w:r w:rsidRPr="00EE27F4">
              <w:rPr>
                <w:lang w:val="en-US" w:bidi="en-US"/>
              </w:rPr>
              <w:t xml:space="preserve">Ford and </w:t>
            </w:r>
            <w:proofErr w:type="spellStart"/>
            <w:r w:rsidRPr="00EE27F4">
              <w:rPr>
                <w:lang w:val="en-US" w:bidi="en-US"/>
              </w:rPr>
              <w:t>Despeisse</w:t>
            </w:r>
            <w:proofErr w:type="spellEnd"/>
            <w:r w:rsidRPr="00EE27F4">
              <w:rPr>
                <w:lang w:val="en-US" w:bidi="en-US"/>
              </w:rPr>
              <w:t xml:space="preserve"> (2016); </w:t>
            </w:r>
            <w:proofErr w:type="spellStart"/>
            <w:r w:rsidRPr="00EE27F4">
              <w:rPr>
                <w:lang w:val="en-US" w:bidi="en-US"/>
              </w:rPr>
              <w:t>Moktadir</w:t>
            </w:r>
            <w:proofErr w:type="spellEnd"/>
            <w:r w:rsidRPr="00EE27F4">
              <w:rPr>
                <w:lang w:val="en-US" w:bidi="en-US"/>
              </w:rPr>
              <w:t xml:space="preserve"> et al. (2020)</w:t>
            </w:r>
          </w:p>
        </w:tc>
        <w:tc>
          <w:tcPr>
            <w:tcW w:w="1935" w:type="dxa"/>
            <w:vAlign w:val="center"/>
            <w:hideMark/>
          </w:tcPr>
          <w:p w14:paraId="3B40EF96" w14:textId="77777777" w:rsidR="008143C5" w:rsidRPr="005B0C91" w:rsidRDefault="008143C5" w:rsidP="008143C5">
            <w:pPr>
              <w:pStyle w:val="NormalWeb"/>
              <w:spacing w:after="240" w:line="276" w:lineRule="auto"/>
              <w:ind w:left="426" w:firstLine="630"/>
              <w:rPr>
                <w:lang w:val="en-US" w:bidi="en-US"/>
              </w:rPr>
            </w:pPr>
            <w:r w:rsidRPr="005B0C91">
              <w:rPr>
                <w:lang w:val="en-US" w:bidi="en-US"/>
              </w:rPr>
              <w:t>3</w:t>
            </w:r>
          </w:p>
        </w:tc>
      </w:tr>
      <w:tr w:rsidR="008143C5" w:rsidRPr="005B0C91" w14:paraId="414E41AE" w14:textId="77777777" w:rsidTr="00E00B62">
        <w:trPr>
          <w:tblCellSpacing w:w="15" w:type="dxa"/>
        </w:trPr>
        <w:tc>
          <w:tcPr>
            <w:tcW w:w="1449" w:type="dxa"/>
            <w:vAlign w:val="center"/>
            <w:hideMark/>
          </w:tcPr>
          <w:p w14:paraId="7CF837FF" w14:textId="77777777" w:rsidR="008143C5" w:rsidRPr="005B0C91" w:rsidRDefault="008143C5" w:rsidP="008143C5">
            <w:pPr>
              <w:pStyle w:val="NormalWeb"/>
              <w:spacing w:after="240" w:line="276" w:lineRule="auto"/>
              <w:ind w:left="426" w:firstLine="630"/>
              <w:rPr>
                <w:lang w:val="en-US" w:bidi="en-US"/>
              </w:rPr>
            </w:pPr>
            <w:r w:rsidRPr="005B0C91">
              <w:rPr>
                <w:b/>
                <w:bCs/>
                <w:lang w:val="en-US" w:bidi="en-US"/>
              </w:rPr>
              <w:lastRenderedPageBreak/>
              <w:t>IV7</w:t>
            </w:r>
          </w:p>
        </w:tc>
        <w:tc>
          <w:tcPr>
            <w:tcW w:w="2071" w:type="dxa"/>
            <w:vAlign w:val="center"/>
            <w:hideMark/>
          </w:tcPr>
          <w:p w14:paraId="5989264D" w14:textId="246AB6FD" w:rsidR="008143C5" w:rsidRPr="005B0C91" w:rsidRDefault="008143C5" w:rsidP="008143C5">
            <w:pPr>
              <w:pStyle w:val="NormalWeb"/>
              <w:spacing w:after="240" w:line="276" w:lineRule="auto"/>
              <w:ind w:left="426"/>
              <w:rPr>
                <w:lang w:val="en-US" w:bidi="en-US"/>
              </w:rPr>
            </w:pPr>
            <w:r w:rsidRPr="005B0C91">
              <w:rPr>
                <w:lang w:val="en-US" w:bidi="en-US"/>
              </w:rPr>
              <w:t>Digital Manufacturing Technologies</w:t>
            </w:r>
          </w:p>
        </w:tc>
        <w:tc>
          <w:tcPr>
            <w:tcW w:w="1320" w:type="dxa"/>
            <w:vAlign w:val="center"/>
            <w:hideMark/>
          </w:tcPr>
          <w:p w14:paraId="7D8F2AC4" w14:textId="77777777" w:rsidR="008143C5" w:rsidRPr="005B0C91" w:rsidRDefault="008143C5" w:rsidP="008143C5">
            <w:pPr>
              <w:pStyle w:val="NormalWeb"/>
              <w:spacing w:after="240" w:line="276" w:lineRule="auto"/>
              <w:ind w:left="426"/>
              <w:rPr>
                <w:lang w:val="en-US" w:bidi="en-US"/>
              </w:rPr>
            </w:pPr>
            <w:r w:rsidRPr="005B0C91">
              <w:rPr>
                <w:lang w:val="en-US" w:bidi="en-US"/>
              </w:rPr>
              <w:t>DMT01–DMT03</w:t>
            </w:r>
          </w:p>
        </w:tc>
        <w:tc>
          <w:tcPr>
            <w:tcW w:w="3845" w:type="dxa"/>
            <w:vAlign w:val="center"/>
            <w:hideMark/>
          </w:tcPr>
          <w:p w14:paraId="78689663" w14:textId="77777777" w:rsidR="008143C5" w:rsidRPr="005B0C91" w:rsidRDefault="008143C5" w:rsidP="008143C5">
            <w:pPr>
              <w:pStyle w:val="NormalWeb"/>
              <w:spacing w:after="240" w:line="276" w:lineRule="auto"/>
              <w:ind w:left="426"/>
              <w:rPr>
                <w:lang w:val="en-US" w:bidi="en-US"/>
              </w:rPr>
            </w:pPr>
            <w:r w:rsidRPr="005B0C91">
              <w:rPr>
                <w:lang w:val="en-US" w:bidi="en-US"/>
              </w:rPr>
              <w:t>Kusiak (2018); Frank et al. (2019); Tortorella et al. (2023)</w:t>
            </w:r>
          </w:p>
        </w:tc>
        <w:tc>
          <w:tcPr>
            <w:tcW w:w="1935" w:type="dxa"/>
            <w:vAlign w:val="center"/>
            <w:hideMark/>
          </w:tcPr>
          <w:p w14:paraId="5F5E5776" w14:textId="77777777" w:rsidR="008143C5" w:rsidRPr="005B0C91" w:rsidRDefault="008143C5" w:rsidP="008143C5">
            <w:pPr>
              <w:pStyle w:val="NormalWeb"/>
              <w:spacing w:after="240" w:line="276" w:lineRule="auto"/>
              <w:ind w:left="426" w:firstLine="630"/>
              <w:rPr>
                <w:lang w:val="en-US" w:bidi="en-US"/>
              </w:rPr>
            </w:pPr>
            <w:r w:rsidRPr="005B0C91">
              <w:rPr>
                <w:lang w:val="en-US" w:bidi="en-US"/>
              </w:rPr>
              <w:t>3</w:t>
            </w:r>
          </w:p>
        </w:tc>
      </w:tr>
      <w:tr w:rsidR="008143C5" w:rsidRPr="005B0C91" w14:paraId="263922E9" w14:textId="77777777" w:rsidTr="00E00B62">
        <w:trPr>
          <w:tblCellSpacing w:w="15" w:type="dxa"/>
        </w:trPr>
        <w:tc>
          <w:tcPr>
            <w:tcW w:w="1449" w:type="dxa"/>
            <w:vAlign w:val="center"/>
            <w:hideMark/>
          </w:tcPr>
          <w:p w14:paraId="723A74B1" w14:textId="77777777" w:rsidR="008143C5" w:rsidRPr="005B0C91" w:rsidRDefault="008143C5" w:rsidP="008143C5">
            <w:pPr>
              <w:pStyle w:val="NormalWeb"/>
              <w:spacing w:after="240" w:line="276" w:lineRule="auto"/>
              <w:ind w:left="426" w:firstLine="630"/>
              <w:rPr>
                <w:lang w:val="en-US" w:bidi="en-US"/>
              </w:rPr>
            </w:pPr>
            <w:r w:rsidRPr="005B0C91">
              <w:rPr>
                <w:b/>
                <w:bCs/>
                <w:lang w:val="en-US" w:bidi="en-US"/>
              </w:rPr>
              <w:t>IV8</w:t>
            </w:r>
          </w:p>
        </w:tc>
        <w:tc>
          <w:tcPr>
            <w:tcW w:w="2071" w:type="dxa"/>
            <w:vAlign w:val="center"/>
            <w:hideMark/>
          </w:tcPr>
          <w:p w14:paraId="479BAB41" w14:textId="77777777" w:rsidR="008143C5" w:rsidRPr="005B0C91" w:rsidRDefault="008143C5" w:rsidP="008143C5">
            <w:pPr>
              <w:pStyle w:val="NormalWeb"/>
              <w:spacing w:after="240" w:line="276" w:lineRule="auto"/>
              <w:ind w:left="426"/>
              <w:rPr>
                <w:lang w:val="en-US" w:bidi="en-US"/>
              </w:rPr>
            </w:pPr>
            <w:proofErr w:type="spellStart"/>
            <w:r w:rsidRPr="005B0C91">
              <w:rPr>
                <w:lang w:val="en-US" w:bidi="en-US"/>
              </w:rPr>
              <w:t>Microfactories</w:t>
            </w:r>
            <w:proofErr w:type="spellEnd"/>
          </w:p>
        </w:tc>
        <w:tc>
          <w:tcPr>
            <w:tcW w:w="1320" w:type="dxa"/>
            <w:vAlign w:val="center"/>
            <w:hideMark/>
          </w:tcPr>
          <w:p w14:paraId="3A05A751" w14:textId="77777777" w:rsidR="008143C5" w:rsidRPr="005B0C91" w:rsidRDefault="008143C5" w:rsidP="008143C5">
            <w:pPr>
              <w:pStyle w:val="NormalWeb"/>
              <w:spacing w:after="240" w:line="276" w:lineRule="auto"/>
              <w:ind w:left="426"/>
              <w:rPr>
                <w:lang w:val="en-US" w:bidi="en-US"/>
              </w:rPr>
            </w:pPr>
            <w:r w:rsidRPr="005B0C91">
              <w:rPr>
                <w:lang w:val="en-US" w:bidi="en-US"/>
              </w:rPr>
              <w:t>MF01–MF05</w:t>
            </w:r>
          </w:p>
        </w:tc>
        <w:tc>
          <w:tcPr>
            <w:tcW w:w="3845" w:type="dxa"/>
            <w:vAlign w:val="center"/>
            <w:hideMark/>
          </w:tcPr>
          <w:p w14:paraId="05F0ABF1" w14:textId="38BEE5A7" w:rsidR="008143C5" w:rsidRPr="005B0C91" w:rsidRDefault="00EE27F4" w:rsidP="008143C5">
            <w:pPr>
              <w:pStyle w:val="NormalWeb"/>
              <w:spacing w:after="240" w:line="276" w:lineRule="auto"/>
              <w:ind w:left="426"/>
              <w:rPr>
                <w:lang w:val="en-US" w:bidi="en-US"/>
              </w:rPr>
            </w:pPr>
            <w:r w:rsidRPr="00EE27F4">
              <w:rPr>
                <w:lang w:val="en-US" w:bidi="en-US"/>
              </w:rPr>
              <w:t xml:space="preserve">Hermann et al. (2019); </w:t>
            </w:r>
            <w:proofErr w:type="spellStart"/>
            <w:r w:rsidRPr="00EE27F4">
              <w:rPr>
                <w:lang w:val="en-US" w:bidi="en-US"/>
              </w:rPr>
              <w:t>Mourtzis</w:t>
            </w:r>
            <w:proofErr w:type="spellEnd"/>
            <w:r w:rsidRPr="00EE27F4">
              <w:rPr>
                <w:lang w:val="en-US" w:bidi="en-US"/>
              </w:rPr>
              <w:t xml:space="preserve"> (2022); Javaid et al. (2022)</w:t>
            </w:r>
          </w:p>
        </w:tc>
        <w:tc>
          <w:tcPr>
            <w:tcW w:w="1935" w:type="dxa"/>
            <w:vAlign w:val="center"/>
            <w:hideMark/>
          </w:tcPr>
          <w:p w14:paraId="7D00E409" w14:textId="77777777" w:rsidR="008143C5" w:rsidRPr="005B0C91" w:rsidRDefault="008143C5" w:rsidP="008143C5">
            <w:pPr>
              <w:pStyle w:val="NormalWeb"/>
              <w:spacing w:after="240" w:line="276" w:lineRule="auto"/>
              <w:ind w:left="426" w:firstLine="630"/>
              <w:rPr>
                <w:lang w:val="en-US" w:bidi="en-US"/>
              </w:rPr>
            </w:pPr>
            <w:r w:rsidRPr="005B0C91">
              <w:rPr>
                <w:lang w:val="en-US" w:bidi="en-US"/>
              </w:rPr>
              <w:t>5</w:t>
            </w:r>
          </w:p>
        </w:tc>
      </w:tr>
      <w:tr w:rsidR="008143C5" w:rsidRPr="005B0C91" w14:paraId="3534D952" w14:textId="77777777" w:rsidTr="00E00B62">
        <w:trPr>
          <w:tblCellSpacing w:w="15" w:type="dxa"/>
        </w:trPr>
        <w:tc>
          <w:tcPr>
            <w:tcW w:w="1449" w:type="dxa"/>
            <w:vAlign w:val="center"/>
            <w:hideMark/>
          </w:tcPr>
          <w:p w14:paraId="78FCFF03" w14:textId="77777777" w:rsidR="008143C5" w:rsidRPr="005B0C91" w:rsidRDefault="008143C5" w:rsidP="008143C5">
            <w:pPr>
              <w:pStyle w:val="NormalWeb"/>
              <w:spacing w:after="240" w:line="276" w:lineRule="auto"/>
              <w:ind w:left="426" w:firstLine="630"/>
              <w:rPr>
                <w:lang w:val="en-US" w:bidi="en-US"/>
              </w:rPr>
            </w:pPr>
            <w:r w:rsidRPr="005B0C91">
              <w:rPr>
                <w:b/>
                <w:bCs/>
                <w:lang w:val="en-US" w:bidi="en-US"/>
              </w:rPr>
              <w:t>MV</w:t>
            </w:r>
          </w:p>
        </w:tc>
        <w:tc>
          <w:tcPr>
            <w:tcW w:w="2071" w:type="dxa"/>
            <w:vAlign w:val="center"/>
            <w:hideMark/>
          </w:tcPr>
          <w:p w14:paraId="1CD0030A" w14:textId="77777777" w:rsidR="008143C5" w:rsidRPr="005B0C91" w:rsidRDefault="008143C5" w:rsidP="008143C5">
            <w:pPr>
              <w:pStyle w:val="NormalWeb"/>
              <w:spacing w:after="240" w:line="276" w:lineRule="auto"/>
              <w:ind w:left="426"/>
              <w:rPr>
                <w:lang w:val="en-US" w:bidi="en-US"/>
              </w:rPr>
            </w:pPr>
            <w:r w:rsidRPr="005B0C91">
              <w:rPr>
                <w:lang w:val="en-US" w:bidi="en-US"/>
              </w:rPr>
              <w:t>Leadership Style</w:t>
            </w:r>
          </w:p>
        </w:tc>
        <w:tc>
          <w:tcPr>
            <w:tcW w:w="1320" w:type="dxa"/>
            <w:vAlign w:val="center"/>
            <w:hideMark/>
          </w:tcPr>
          <w:p w14:paraId="73114E4D" w14:textId="77777777" w:rsidR="008143C5" w:rsidRPr="005B0C91" w:rsidRDefault="008143C5" w:rsidP="008143C5">
            <w:pPr>
              <w:pStyle w:val="NormalWeb"/>
              <w:spacing w:after="240" w:line="276" w:lineRule="auto"/>
              <w:ind w:left="426"/>
              <w:rPr>
                <w:lang w:val="en-US" w:bidi="en-US"/>
              </w:rPr>
            </w:pPr>
            <w:r w:rsidRPr="005B0C91">
              <w:rPr>
                <w:lang w:val="en-US" w:bidi="en-US"/>
              </w:rPr>
              <w:t>LS01–LS09</w:t>
            </w:r>
          </w:p>
        </w:tc>
        <w:tc>
          <w:tcPr>
            <w:tcW w:w="3845" w:type="dxa"/>
            <w:vAlign w:val="center"/>
            <w:hideMark/>
          </w:tcPr>
          <w:p w14:paraId="79F5DE99" w14:textId="7754C50C" w:rsidR="008143C5" w:rsidRPr="005B0C91" w:rsidRDefault="00EE27F4" w:rsidP="008143C5">
            <w:pPr>
              <w:pStyle w:val="NormalWeb"/>
              <w:spacing w:after="240" w:line="276" w:lineRule="auto"/>
              <w:ind w:left="426"/>
              <w:rPr>
                <w:lang w:val="en-US" w:bidi="en-US"/>
              </w:rPr>
            </w:pPr>
            <w:r w:rsidRPr="00EE27F4">
              <w:rPr>
                <w:lang w:val="en-US" w:bidi="en-US"/>
              </w:rPr>
              <w:t xml:space="preserve">Bass and Avolio (1994); Northouse (2021); </w:t>
            </w:r>
            <w:proofErr w:type="spellStart"/>
            <w:r w:rsidRPr="00EE27F4">
              <w:rPr>
                <w:lang w:val="en-US" w:bidi="en-US"/>
              </w:rPr>
              <w:t>Jagadisen</w:t>
            </w:r>
            <w:proofErr w:type="spellEnd"/>
            <w:r w:rsidRPr="00EE27F4">
              <w:rPr>
                <w:lang w:val="en-US" w:bidi="en-US"/>
              </w:rPr>
              <w:t xml:space="preserve"> et al. (2022)</w:t>
            </w:r>
          </w:p>
        </w:tc>
        <w:tc>
          <w:tcPr>
            <w:tcW w:w="1935" w:type="dxa"/>
            <w:vAlign w:val="center"/>
            <w:hideMark/>
          </w:tcPr>
          <w:p w14:paraId="686992E2" w14:textId="77777777" w:rsidR="008143C5" w:rsidRPr="005B0C91" w:rsidRDefault="008143C5" w:rsidP="008143C5">
            <w:pPr>
              <w:pStyle w:val="NormalWeb"/>
              <w:spacing w:after="240" w:line="276" w:lineRule="auto"/>
              <w:ind w:left="426" w:firstLine="630"/>
              <w:rPr>
                <w:lang w:val="en-US" w:bidi="en-US"/>
              </w:rPr>
            </w:pPr>
            <w:r w:rsidRPr="005B0C91">
              <w:rPr>
                <w:lang w:val="en-US" w:bidi="en-US"/>
              </w:rPr>
              <w:t>9</w:t>
            </w:r>
          </w:p>
        </w:tc>
      </w:tr>
      <w:tr w:rsidR="008143C5" w:rsidRPr="005B0C91" w14:paraId="0B0CF8FA" w14:textId="77777777" w:rsidTr="00E00B62">
        <w:trPr>
          <w:tblCellSpacing w:w="15" w:type="dxa"/>
        </w:trPr>
        <w:tc>
          <w:tcPr>
            <w:tcW w:w="1449" w:type="dxa"/>
            <w:vAlign w:val="center"/>
            <w:hideMark/>
          </w:tcPr>
          <w:p w14:paraId="4781E3DF" w14:textId="77777777" w:rsidR="008143C5" w:rsidRPr="005B0C91" w:rsidRDefault="008143C5" w:rsidP="008143C5">
            <w:pPr>
              <w:pStyle w:val="NormalWeb"/>
              <w:spacing w:after="240" w:line="276" w:lineRule="auto"/>
              <w:ind w:left="426" w:firstLine="630"/>
              <w:rPr>
                <w:lang w:val="en-US" w:bidi="en-US"/>
              </w:rPr>
            </w:pPr>
            <w:r w:rsidRPr="005B0C91">
              <w:rPr>
                <w:b/>
                <w:bCs/>
                <w:lang w:val="en-US" w:bidi="en-US"/>
              </w:rPr>
              <w:t>DV1</w:t>
            </w:r>
          </w:p>
        </w:tc>
        <w:tc>
          <w:tcPr>
            <w:tcW w:w="2071" w:type="dxa"/>
            <w:vAlign w:val="center"/>
            <w:hideMark/>
          </w:tcPr>
          <w:p w14:paraId="5D0FCDFB" w14:textId="77777777" w:rsidR="008143C5" w:rsidRPr="005B0C91" w:rsidRDefault="008143C5" w:rsidP="008143C5">
            <w:pPr>
              <w:pStyle w:val="NormalWeb"/>
              <w:spacing w:after="240" w:line="276" w:lineRule="auto"/>
              <w:ind w:left="426"/>
              <w:rPr>
                <w:lang w:val="en-US" w:bidi="en-US"/>
              </w:rPr>
            </w:pPr>
            <w:r w:rsidRPr="005B0C91">
              <w:rPr>
                <w:lang w:val="en-US" w:bidi="en-US"/>
              </w:rPr>
              <w:t>Environmental Sustainability Indicators</w:t>
            </w:r>
          </w:p>
        </w:tc>
        <w:tc>
          <w:tcPr>
            <w:tcW w:w="1320" w:type="dxa"/>
            <w:vAlign w:val="center"/>
            <w:hideMark/>
          </w:tcPr>
          <w:p w14:paraId="425E0C92" w14:textId="77777777" w:rsidR="008143C5" w:rsidRPr="005B0C91" w:rsidRDefault="008143C5" w:rsidP="008143C5">
            <w:pPr>
              <w:pStyle w:val="NormalWeb"/>
              <w:spacing w:after="240" w:line="276" w:lineRule="auto"/>
              <w:ind w:left="426"/>
              <w:rPr>
                <w:lang w:val="en-US" w:bidi="en-US"/>
              </w:rPr>
            </w:pPr>
            <w:r w:rsidRPr="005B0C91">
              <w:rPr>
                <w:lang w:val="en-US" w:bidi="en-US"/>
              </w:rPr>
              <w:t>ENV01–ENV08</w:t>
            </w:r>
          </w:p>
        </w:tc>
        <w:tc>
          <w:tcPr>
            <w:tcW w:w="3845" w:type="dxa"/>
            <w:vAlign w:val="center"/>
            <w:hideMark/>
          </w:tcPr>
          <w:p w14:paraId="2D151694" w14:textId="77777777" w:rsidR="008143C5" w:rsidRPr="005B0C91" w:rsidRDefault="008143C5" w:rsidP="008143C5">
            <w:pPr>
              <w:pStyle w:val="NormalWeb"/>
              <w:spacing w:after="240" w:line="276" w:lineRule="auto"/>
              <w:ind w:left="426"/>
              <w:rPr>
                <w:lang w:val="en-US" w:bidi="en-US"/>
              </w:rPr>
            </w:pPr>
            <w:r w:rsidRPr="005B0C91">
              <w:rPr>
                <w:lang w:val="en-US" w:bidi="en-US"/>
              </w:rPr>
              <w:t>Elkington (1997); Dangelico &amp; Pujari (2010); Chowdhury et al. (2023)</w:t>
            </w:r>
          </w:p>
        </w:tc>
        <w:tc>
          <w:tcPr>
            <w:tcW w:w="1935" w:type="dxa"/>
            <w:vAlign w:val="center"/>
            <w:hideMark/>
          </w:tcPr>
          <w:p w14:paraId="1D1007EE" w14:textId="77777777" w:rsidR="008143C5" w:rsidRPr="005B0C91" w:rsidRDefault="008143C5" w:rsidP="008143C5">
            <w:pPr>
              <w:pStyle w:val="NormalWeb"/>
              <w:spacing w:after="240" w:line="276" w:lineRule="auto"/>
              <w:ind w:left="426" w:firstLine="630"/>
              <w:rPr>
                <w:lang w:val="en-US" w:bidi="en-US"/>
              </w:rPr>
            </w:pPr>
            <w:r w:rsidRPr="005B0C91">
              <w:rPr>
                <w:lang w:val="en-US" w:bidi="en-US"/>
              </w:rPr>
              <w:t>8</w:t>
            </w:r>
          </w:p>
        </w:tc>
      </w:tr>
      <w:tr w:rsidR="008143C5" w:rsidRPr="005B0C91" w14:paraId="656168BC" w14:textId="77777777" w:rsidTr="00E00B62">
        <w:trPr>
          <w:tblCellSpacing w:w="15" w:type="dxa"/>
        </w:trPr>
        <w:tc>
          <w:tcPr>
            <w:tcW w:w="1449" w:type="dxa"/>
            <w:vAlign w:val="center"/>
            <w:hideMark/>
          </w:tcPr>
          <w:p w14:paraId="0BB83530" w14:textId="77777777" w:rsidR="008143C5" w:rsidRPr="005B0C91" w:rsidRDefault="008143C5" w:rsidP="008143C5">
            <w:pPr>
              <w:pStyle w:val="NormalWeb"/>
              <w:spacing w:after="240" w:line="276" w:lineRule="auto"/>
              <w:ind w:left="426" w:firstLine="630"/>
              <w:rPr>
                <w:lang w:val="en-US" w:bidi="en-US"/>
              </w:rPr>
            </w:pPr>
            <w:r w:rsidRPr="005B0C91">
              <w:rPr>
                <w:b/>
                <w:bCs/>
                <w:lang w:val="en-US" w:bidi="en-US"/>
              </w:rPr>
              <w:t>DV2</w:t>
            </w:r>
          </w:p>
        </w:tc>
        <w:tc>
          <w:tcPr>
            <w:tcW w:w="2071" w:type="dxa"/>
            <w:vAlign w:val="center"/>
            <w:hideMark/>
          </w:tcPr>
          <w:p w14:paraId="34DD25EA" w14:textId="77777777" w:rsidR="008143C5" w:rsidRPr="005B0C91" w:rsidRDefault="008143C5" w:rsidP="008143C5">
            <w:pPr>
              <w:pStyle w:val="NormalWeb"/>
              <w:spacing w:after="240" w:line="276" w:lineRule="auto"/>
              <w:ind w:left="426"/>
              <w:rPr>
                <w:lang w:val="en-US" w:bidi="en-US"/>
              </w:rPr>
            </w:pPr>
            <w:r w:rsidRPr="005B0C91">
              <w:rPr>
                <w:lang w:val="en-US" w:bidi="en-US"/>
              </w:rPr>
              <w:t>Social Sustainability Indicators</w:t>
            </w:r>
          </w:p>
        </w:tc>
        <w:tc>
          <w:tcPr>
            <w:tcW w:w="1320" w:type="dxa"/>
            <w:vAlign w:val="center"/>
            <w:hideMark/>
          </w:tcPr>
          <w:p w14:paraId="230453AF" w14:textId="77777777" w:rsidR="008143C5" w:rsidRPr="005B0C91" w:rsidRDefault="008143C5" w:rsidP="008143C5">
            <w:pPr>
              <w:pStyle w:val="NormalWeb"/>
              <w:spacing w:after="240" w:line="276" w:lineRule="auto"/>
              <w:ind w:left="426"/>
              <w:rPr>
                <w:lang w:val="en-US" w:bidi="en-US"/>
              </w:rPr>
            </w:pPr>
            <w:r w:rsidRPr="005B0C91">
              <w:rPr>
                <w:lang w:val="en-US" w:bidi="en-US"/>
              </w:rPr>
              <w:t>SOC01–SOC07</w:t>
            </w:r>
          </w:p>
        </w:tc>
        <w:tc>
          <w:tcPr>
            <w:tcW w:w="3845" w:type="dxa"/>
            <w:vAlign w:val="center"/>
            <w:hideMark/>
          </w:tcPr>
          <w:p w14:paraId="780B1399" w14:textId="77777777" w:rsidR="008143C5" w:rsidRPr="005B0C91" w:rsidRDefault="008143C5" w:rsidP="008143C5">
            <w:pPr>
              <w:pStyle w:val="NormalWeb"/>
              <w:spacing w:after="240" w:line="276" w:lineRule="auto"/>
              <w:ind w:left="426"/>
              <w:rPr>
                <w:lang w:val="en-US" w:bidi="en-US"/>
              </w:rPr>
            </w:pPr>
            <w:r w:rsidRPr="005B0C91">
              <w:rPr>
                <w:lang w:val="en-US" w:bidi="en-US"/>
              </w:rPr>
              <w:t>Carter &amp; Rogers (2008); Govindan et al. (2015); Bag &amp; Pretorius (2022)</w:t>
            </w:r>
          </w:p>
        </w:tc>
        <w:tc>
          <w:tcPr>
            <w:tcW w:w="1935" w:type="dxa"/>
            <w:vAlign w:val="center"/>
            <w:hideMark/>
          </w:tcPr>
          <w:p w14:paraId="5BFBC92B" w14:textId="77777777" w:rsidR="008143C5" w:rsidRPr="005B0C91" w:rsidRDefault="008143C5" w:rsidP="008143C5">
            <w:pPr>
              <w:pStyle w:val="NormalWeb"/>
              <w:spacing w:after="240" w:line="276" w:lineRule="auto"/>
              <w:ind w:left="426" w:firstLine="630"/>
              <w:rPr>
                <w:lang w:val="en-US" w:bidi="en-US"/>
              </w:rPr>
            </w:pPr>
            <w:r w:rsidRPr="005B0C91">
              <w:rPr>
                <w:lang w:val="en-US" w:bidi="en-US"/>
              </w:rPr>
              <w:t>7</w:t>
            </w:r>
          </w:p>
        </w:tc>
      </w:tr>
      <w:tr w:rsidR="008143C5" w:rsidRPr="005B0C91" w14:paraId="3F44F5D0" w14:textId="77777777" w:rsidTr="00E00B62">
        <w:trPr>
          <w:tblCellSpacing w:w="15" w:type="dxa"/>
        </w:trPr>
        <w:tc>
          <w:tcPr>
            <w:tcW w:w="1449" w:type="dxa"/>
            <w:vAlign w:val="center"/>
            <w:hideMark/>
          </w:tcPr>
          <w:p w14:paraId="64FBE6A3" w14:textId="77777777" w:rsidR="008143C5" w:rsidRPr="005B0C91" w:rsidRDefault="008143C5" w:rsidP="008143C5">
            <w:pPr>
              <w:pStyle w:val="NormalWeb"/>
              <w:spacing w:after="240" w:line="276" w:lineRule="auto"/>
              <w:ind w:left="426" w:firstLine="630"/>
              <w:rPr>
                <w:lang w:val="en-US" w:bidi="en-US"/>
              </w:rPr>
            </w:pPr>
            <w:r w:rsidRPr="005B0C91">
              <w:rPr>
                <w:b/>
                <w:bCs/>
                <w:lang w:val="en-US" w:bidi="en-US"/>
              </w:rPr>
              <w:t>DV3</w:t>
            </w:r>
          </w:p>
        </w:tc>
        <w:tc>
          <w:tcPr>
            <w:tcW w:w="2071" w:type="dxa"/>
            <w:vAlign w:val="center"/>
            <w:hideMark/>
          </w:tcPr>
          <w:p w14:paraId="2ECBDC19" w14:textId="77777777" w:rsidR="008143C5" w:rsidRPr="005B0C91" w:rsidRDefault="008143C5" w:rsidP="008143C5">
            <w:pPr>
              <w:pStyle w:val="NormalWeb"/>
              <w:spacing w:after="240" w:line="276" w:lineRule="auto"/>
              <w:ind w:left="426"/>
              <w:rPr>
                <w:lang w:val="en-US" w:bidi="en-US"/>
              </w:rPr>
            </w:pPr>
            <w:r w:rsidRPr="005B0C91">
              <w:rPr>
                <w:lang w:val="en-US" w:bidi="en-US"/>
              </w:rPr>
              <w:t>Economic Sustainability Indicators</w:t>
            </w:r>
          </w:p>
        </w:tc>
        <w:tc>
          <w:tcPr>
            <w:tcW w:w="1320" w:type="dxa"/>
            <w:vAlign w:val="center"/>
            <w:hideMark/>
          </w:tcPr>
          <w:p w14:paraId="5DC77F9A" w14:textId="77777777" w:rsidR="008143C5" w:rsidRPr="005B0C91" w:rsidRDefault="008143C5" w:rsidP="008143C5">
            <w:pPr>
              <w:pStyle w:val="NormalWeb"/>
              <w:spacing w:after="240" w:line="276" w:lineRule="auto"/>
              <w:ind w:left="426"/>
              <w:rPr>
                <w:lang w:val="en-US" w:bidi="en-US"/>
              </w:rPr>
            </w:pPr>
            <w:r w:rsidRPr="005B0C91">
              <w:rPr>
                <w:lang w:val="en-US" w:bidi="en-US"/>
              </w:rPr>
              <w:t>ECO01–ECO04</w:t>
            </w:r>
          </w:p>
        </w:tc>
        <w:tc>
          <w:tcPr>
            <w:tcW w:w="3845" w:type="dxa"/>
            <w:vAlign w:val="center"/>
            <w:hideMark/>
          </w:tcPr>
          <w:p w14:paraId="49770C97" w14:textId="77777777" w:rsidR="008143C5" w:rsidRPr="005B0C91" w:rsidRDefault="008143C5" w:rsidP="008143C5">
            <w:pPr>
              <w:pStyle w:val="NormalWeb"/>
              <w:spacing w:after="240" w:line="276" w:lineRule="auto"/>
              <w:ind w:left="426"/>
              <w:rPr>
                <w:lang w:val="en-US" w:bidi="en-US"/>
              </w:rPr>
            </w:pPr>
            <w:r w:rsidRPr="005B0C91">
              <w:rPr>
                <w:lang w:val="en-US" w:bidi="en-US"/>
              </w:rPr>
              <w:t>Elkington (1997); Hitt et al. (1997); Ahsan et al. (2023)</w:t>
            </w:r>
          </w:p>
        </w:tc>
        <w:tc>
          <w:tcPr>
            <w:tcW w:w="1935" w:type="dxa"/>
            <w:vAlign w:val="center"/>
            <w:hideMark/>
          </w:tcPr>
          <w:p w14:paraId="772AC7EE" w14:textId="77777777" w:rsidR="008143C5" w:rsidRPr="005B0C91" w:rsidRDefault="008143C5" w:rsidP="008143C5">
            <w:pPr>
              <w:pStyle w:val="NormalWeb"/>
              <w:spacing w:after="240" w:line="276" w:lineRule="auto"/>
              <w:ind w:left="426" w:firstLine="630"/>
              <w:rPr>
                <w:lang w:val="en-US" w:bidi="en-US"/>
              </w:rPr>
            </w:pPr>
            <w:r w:rsidRPr="005B0C91">
              <w:rPr>
                <w:lang w:val="en-US" w:bidi="en-US"/>
              </w:rPr>
              <w:t>4</w:t>
            </w:r>
          </w:p>
        </w:tc>
      </w:tr>
    </w:tbl>
    <w:p w14:paraId="089F23C3" w14:textId="5CCE5D67" w:rsidR="00E00B62" w:rsidRDefault="00972632" w:rsidP="00972632">
      <w:pPr>
        <w:spacing w:after="0" w:line="480" w:lineRule="auto"/>
        <w:rPr>
          <w:sz w:val="24"/>
          <w:szCs w:val="24"/>
          <w:lang w:val="en-GB"/>
        </w:rPr>
      </w:pPr>
      <w:r>
        <w:rPr>
          <w:sz w:val="24"/>
          <w:szCs w:val="24"/>
          <w:lang w:val="en-GB"/>
        </w:rPr>
        <w:t>Source: Survey Data (2025)</w:t>
      </w:r>
    </w:p>
    <w:p w14:paraId="4547841A" w14:textId="77777777" w:rsidR="00972632" w:rsidRPr="00972632" w:rsidRDefault="00972632" w:rsidP="00972632">
      <w:pPr>
        <w:spacing w:after="0" w:line="480" w:lineRule="auto"/>
        <w:rPr>
          <w:sz w:val="24"/>
          <w:szCs w:val="24"/>
          <w:lang w:val="en-GB"/>
        </w:rPr>
      </w:pPr>
    </w:p>
    <w:p w14:paraId="4DB99568" w14:textId="15EDFDD5" w:rsidR="00DE79BF" w:rsidRPr="00DE79BF" w:rsidRDefault="00DE79BF" w:rsidP="00DE79BF">
      <w:pPr>
        <w:spacing w:after="160"/>
        <w:rPr>
          <w:b/>
          <w:bCs/>
          <w:sz w:val="28"/>
          <w:szCs w:val="28"/>
        </w:rPr>
      </w:pPr>
      <w:r w:rsidRPr="00DE79BF">
        <w:rPr>
          <w:b/>
          <w:bCs/>
          <w:sz w:val="28"/>
          <w:szCs w:val="28"/>
        </w:rPr>
        <w:t>4.6 ETHICAL CONSIDERATIONS</w:t>
      </w:r>
    </w:p>
    <w:p w14:paraId="63A59184" w14:textId="77777777" w:rsidR="00DE79BF" w:rsidRPr="005B0C91" w:rsidRDefault="00DE79BF" w:rsidP="00DE79BF">
      <w:pPr>
        <w:spacing w:before="240" w:after="240"/>
        <w:rPr>
          <w:sz w:val="24"/>
          <w:szCs w:val="24"/>
        </w:rPr>
      </w:pPr>
      <w:r w:rsidRPr="005B0C91">
        <w:rPr>
          <w:sz w:val="24"/>
          <w:szCs w:val="24"/>
        </w:rPr>
        <w:t xml:space="preserve">Ethical principles were observed throughout the research process, including data collection, analysis, and reporting. Before completing the questionnaire, participants were informed of the purpose of the study and that their participation was entirely voluntary. A consent statement was provided at the beginning of the questionnaire, and respondents could decide whether to participate. All responses were treated confidentially, and no identifying information about the respondents or their </w:t>
      </w:r>
      <w:proofErr w:type="spellStart"/>
      <w:r w:rsidRPr="005B0C91">
        <w:rPr>
          <w:sz w:val="24"/>
          <w:szCs w:val="24"/>
        </w:rPr>
        <w:t>organisations</w:t>
      </w:r>
      <w:proofErr w:type="spellEnd"/>
      <w:r w:rsidRPr="005B0C91">
        <w:rPr>
          <w:sz w:val="24"/>
          <w:szCs w:val="24"/>
        </w:rPr>
        <w:t xml:space="preserve"> was disclosed. The collected data were stored securely, accessed only by the researcher, and used solely for academic purposes. These measures were implemented to protect participants' privacy and ensure the integrity of the research process.</w:t>
      </w:r>
    </w:p>
    <w:p w14:paraId="67B10437" w14:textId="77777777" w:rsidR="003C0C38" w:rsidRDefault="003C0C38" w:rsidP="00E00B62">
      <w:pPr>
        <w:pStyle w:val="NormalWeb"/>
        <w:spacing w:before="0" w:beforeAutospacing="0" w:after="240" w:afterAutospacing="0" w:line="276" w:lineRule="auto"/>
        <w:rPr>
          <w:color w:val="000000"/>
        </w:rPr>
      </w:pPr>
    </w:p>
    <w:p w14:paraId="6DB4178E" w14:textId="77777777" w:rsidR="00B02BD6" w:rsidRDefault="00B02BD6" w:rsidP="00E00B62">
      <w:pPr>
        <w:pStyle w:val="NormalWeb"/>
        <w:spacing w:before="0" w:beforeAutospacing="0" w:after="240" w:afterAutospacing="0" w:line="276" w:lineRule="auto"/>
        <w:rPr>
          <w:color w:val="000000"/>
        </w:rPr>
      </w:pPr>
    </w:p>
    <w:p w14:paraId="4942C27A" w14:textId="77777777" w:rsidR="00B02BD6" w:rsidRDefault="00B02BD6" w:rsidP="00E00B62">
      <w:pPr>
        <w:pStyle w:val="NormalWeb"/>
        <w:spacing w:before="0" w:beforeAutospacing="0" w:after="240" w:afterAutospacing="0" w:line="276" w:lineRule="auto"/>
        <w:rPr>
          <w:color w:val="000000"/>
        </w:rPr>
      </w:pPr>
    </w:p>
    <w:p w14:paraId="22ADB013" w14:textId="77777777" w:rsidR="00B02BD6" w:rsidRDefault="00B02BD6" w:rsidP="00E00B62">
      <w:pPr>
        <w:pStyle w:val="NormalWeb"/>
        <w:spacing w:before="0" w:beforeAutospacing="0" w:after="240" w:afterAutospacing="0" w:line="276" w:lineRule="auto"/>
        <w:rPr>
          <w:color w:val="000000"/>
        </w:rPr>
      </w:pPr>
    </w:p>
    <w:p w14:paraId="07731D66" w14:textId="77777777" w:rsidR="00B02BD6" w:rsidRDefault="00B02BD6" w:rsidP="00E00B62">
      <w:pPr>
        <w:pStyle w:val="NormalWeb"/>
        <w:spacing w:before="0" w:beforeAutospacing="0" w:after="240" w:afterAutospacing="0" w:line="276" w:lineRule="auto"/>
        <w:rPr>
          <w:color w:val="000000"/>
        </w:rPr>
      </w:pPr>
    </w:p>
    <w:p w14:paraId="7E6DAA8C" w14:textId="77777777" w:rsidR="00CA3CC3" w:rsidRDefault="00CA3CC3" w:rsidP="00E00B62">
      <w:pPr>
        <w:pStyle w:val="NormalWeb"/>
        <w:spacing w:before="0" w:beforeAutospacing="0" w:after="240" w:afterAutospacing="0" w:line="276" w:lineRule="auto"/>
        <w:rPr>
          <w:color w:val="000000"/>
        </w:rPr>
      </w:pPr>
    </w:p>
    <w:p w14:paraId="62F8794F" w14:textId="77777777" w:rsidR="00B02BD6" w:rsidRPr="005B0C91" w:rsidRDefault="00B02BD6" w:rsidP="00E00B62">
      <w:pPr>
        <w:pStyle w:val="NormalWeb"/>
        <w:spacing w:before="0" w:beforeAutospacing="0" w:after="240" w:afterAutospacing="0" w:line="276" w:lineRule="auto"/>
        <w:rPr>
          <w:color w:val="000000"/>
        </w:rPr>
      </w:pPr>
    </w:p>
    <w:p w14:paraId="05EFCEB3" w14:textId="4B2722E4" w:rsidR="001E0406" w:rsidRPr="00DE79BF" w:rsidRDefault="00737A86" w:rsidP="00B65AC7">
      <w:pPr>
        <w:pStyle w:val="Heading2"/>
        <w:numPr>
          <w:ilvl w:val="0"/>
          <w:numId w:val="4"/>
        </w:numPr>
        <w:spacing w:before="0"/>
        <w:rPr>
          <w:rFonts w:ascii="Times New Roman" w:hAnsi="Times New Roman" w:cs="Times New Roman"/>
          <w:color w:val="auto"/>
          <w:sz w:val="28"/>
          <w:szCs w:val="28"/>
        </w:rPr>
      </w:pPr>
      <w:r w:rsidRPr="00DE79BF">
        <w:rPr>
          <w:rFonts w:ascii="Times New Roman" w:hAnsi="Times New Roman" w:cs="Times New Roman"/>
          <w:color w:val="auto"/>
          <w:sz w:val="28"/>
          <w:szCs w:val="28"/>
        </w:rPr>
        <w:lastRenderedPageBreak/>
        <w:t xml:space="preserve">RESEARCH </w:t>
      </w:r>
      <w:r w:rsidR="001E0406" w:rsidRPr="00DE79BF">
        <w:rPr>
          <w:rFonts w:ascii="Times New Roman" w:hAnsi="Times New Roman" w:cs="Times New Roman"/>
          <w:color w:val="auto"/>
          <w:sz w:val="28"/>
          <w:szCs w:val="28"/>
        </w:rPr>
        <w:t xml:space="preserve">FINDINGS </w:t>
      </w:r>
    </w:p>
    <w:p w14:paraId="4B0E5E60" w14:textId="77777777" w:rsidR="00615012" w:rsidRPr="005B0C91" w:rsidRDefault="00615012" w:rsidP="00615012">
      <w:pPr>
        <w:rPr>
          <w:sz w:val="24"/>
          <w:szCs w:val="24"/>
        </w:rPr>
      </w:pPr>
    </w:p>
    <w:p w14:paraId="2BFBC8A2" w14:textId="582D87F8" w:rsidR="00615012" w:rsidRDefault="00615012" w:rsidP="00615012">
      <w:pPr>
        <w:rPr>
          <w:b/>
          <w:bCs/>
          <w:sz w:val="24"/>
          <w:szCs w:val="24"/>
        </w:rPr>
      </w:pPr>
    </w:p>
    <w:p w14:paraId="459F552C" w14:textId="5E840A8C" w:rsidR="00B02BD6" w:rsidRPr="00B02BD6" w:rsidRDefault="00B02BD6" w:rsidP="00B02BD6">
      <w:pPr>
        <w:pStyle w:val="Caption"/>
        <w:keepNext/>
        <w:rPr>
          <w:color w:val="auto"/>
          <w:sz w:val="24"/>
          <w:szCs w:val="24"/>
        </w:rPr>
      </w:pPr>
      <w:r w:rsidRPr="00B02BD6">
        <w:rPr>
          <w:color w:val="auto"/>
          <w:sz w:val="24"/>
          <w:szCs w:val="24"/>
        </w:rPr>
        <w:t xml:space="preserve">Table </w:t>
      </w:r>
      <w:r w:rsidRPr="00B02BD6">
        <w:rPr>
          <w:color w:val="auto"/>
          <w:sz w:val="24"/>
          <w:szCs w:val="24"/>
        </w:rPr>
        <w:fldChar w:fldCharType="begin"/>
      </w:r>
      <w:r w:rsidRPr="00B02BD6">
        <w:rPr>
          <w:color w:val="auto"/>
          <w:sz w:val="24"/>
          <w:szCs w:val="24"/>
        </w:rPr>
        <w:instrText xml:space="preserve"> SEQ Table \* ARABIC </w:instrText>
      </w:r>
      <w:r w:rsidRPr="00B02BD6">
        <w:rPr>
          <w:color w:val="auto"/>
          <w:sz w:val="24"/>
          <w:szCs w:val="24"/>
        </w:rPr>
        <w:fldChar w:fldCharType="separate"/>
      </w:r>
      <w:r w:rsidR="00605047">
        <w:rPr>
          <w:noProof/>
          <w:color w:val="auto"/>
          <w:sz w:val="24"/>
          <w:szCs w:val="24"/>
        </w:rPr>
        <w:t>2</w:t>
      </w:r>
      <w:r w:rsidRPr="00B02BD6">
        <w:rPr>
          <w:color w:val="auto"/>
          <w:sz w:val="24"/>
          <w:szCs w:val="24"/>
        </w:rPr>
        <w:fldChar w:fldCharType="end"/>
      </w:r>
      <w:r w:rsidRPr="00B02BD6">
        <w:rPr>
          <w:color w:val="auto"/>
          <w:sz w:val="24"/>
          <w:szCs w:val="24"/>
        </w:rPr>
        <w:t xml:space="preserve"> Descriptive Statistics</w:t>
      </w:r>
    </w:p>
    <w:tbl>
      <w:tblPr>
        <w:tblpPr w:leftFromText="180" w:rightFromText="180" w:vertAnchor="text" w:tblpY="-156"/>
        <w:tblW w:w="10716" w:type="dxa"/>
        <w:tblLayout w:type="fixed"/>
        <w:tblCellMar>
          <w:left w:w="0" w:type="dxa"/>
          <w:right w:w="0" w:type="dxa"/>
        </w:tblCellMar>
        <w:tblLook w:val="0000" w:firstRow="0" w:lastRow="0" w:firstColumn="0" w:lastColumn="0" w:noHBand="0" w:noVBand="0"/>
      </w:tblPr>
      <w:tblGrid>
        <w:gridCol w:w="1816"/>
        <w:gridCol w:w="1227"/>
        <w:gridCol w:w="1228"/>
        <w:gridCol w:w="1521"/>
        <w:gridCol w:w="1228"/>
        <w:gridCol w:w="1229"/>
        <w:gridCol w:w="1228"/>
        <w:gridCol w:w="1233"/>
        <w:gridCol w:w="6"/>
      </w:tblGrid>
      <w:tr w:rsidR="005B0C91" w:rsidRPr="00C8400E" w14:paraId="07A0455C" w14:textId="77777777" w:rsidTr="005B0C91">
        <w:trPr>
          <w:cantSplit/>
          <w:trHeight w:val="478"/>
        </w:trPr>
        <w:tc>
          <w:tcPr>
            <w:tcW w:w="10716" w:type="dxa"/>
            <w:gridSpan w:val="9"/>
            <w:tcBorders>
              <w:top w:val="nil"/>
              <w:left w:val="nil"/>
              <w:bottom w:val="single" w:sz="4" w:space="0" w:color="auto"/>
              <w:right w:val="nil"/>
            </w:tcBorders>
            <w:shd w:val="clear" w:color="auto" w:fill="FFFFFF"/>
            <w:vAlign w:val="center"/>
          </w:tcPr>
          <w:p w14:paraId="4D566CFF" w14:textId="77777777" w:rsidR="005B0C91" w:rsidRPr="00C8400E" w:rsidRDefault="005B0C91" w:rsidP="00665C41">
            <w:pPr>
              <w:spacing w:line="360" w:lineRule="auto"/>
              <w:jc w:val="center"/>
              <w:rPr>
                <w:b/>
                <w:bCs/>
                <w:color w:val="000000" w:themeColor="text1"/>
                <w:sz w:val="24"/>
                <w:szCs w:val="24"/>
              </w:rPr>
            </w:pPr>
            <w:r w:rsidRPr="00C8400E">
              <w:rPr>
                <w:b/>
                <w:bCs/>
                <w:color w:val="000000" w:themeColor="text1"/>
                <w:sz w:val="24"/>
                <w:szCs w:val="24"/>
              </w:rPr>
              <w:t>Descriptive Statistics</w:t>
            </w:r>
          </w:p>
        </w:tc>
      </w:tr>
      <w:tr w:rsidR="005B0C91" w:rsidRPr="00C8400E" w14:paraId="5DDEEDB8" w14:textId="77777777" w:rsidTr="00972632">
        <w:trPr>
          <w:gridAfter w:val="1"/>
          <w:wAfter w:w="6" w:type="dxa"/>
          <w:cantSplit/>
          <w:trHeight w:val="814"/>
        </w:trPr>
        <w:tc>
          <w:tcPr>
            <w:tcW w:w="1816" w:type="dxa"/>
            <w:vMerge w:val="restart"/>
            <w:tcBorders>
              <w:top w:val="single" w:sz="4" w:space="0" w:color="auto"/>
              <w:left w:val="nil"/>
            </w:tcBorders>
            <w:shd w:val="clear" w:color="auto" w:fill="FFFFFF"/>
            <w:vAlign w:val="bottom"/>
          </w:tcPr>
          <w:p w14:paraId="2A91A248" w14:textId="77777777" w:rsidR="005B0C91" w:rsidRPr="00C8400E" w:rsidRDefault="005B0C91" w:rsidP="00665C41">
            <w:pPr>
              <w:spacing w:line="360" w:lineRule="auto"/>
              <w:jc w:val="center"/>
              <w:rPr>
                <w:color w:val="000000" w:themeColor="text1"/>
                <w:sz w:val="24"/>
                <w:szCs w:val="24"/>
              </w:rPr>
            </w:pPr>
          </w:p>
        </w:tc>
        <w:tc>
          <w:tcPr>
            <w:tcW w:w="1227" w:type="dxa"/>
            <w:tcBorders>
              <w:top w:val="single" w:sz="4" w:space="0" w:color="auto"/>
            </w:tcBorders>
            <w:shd w:val="clear" w:color="auto" w:fill="FFFFFF"/>
            <w:vAlign w:val="bottom"/>
          </w:tcPr>
          <w:p w14:paraId="300B5F0D"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N</w:t>
            </w:r>
          </w:p>
        </w:tc>
        <w:tc>
          <w:tcPr>
            <w:tcW w:w="1228" w:type="dxa"/>
            <w:tcBorders>
              <w:top w:val="single" w:sz="4" w:space="0" w:color="auto"/>
            </w:tcBorders>
            <w:shd w:val="clear" w:color="auto" w:fill="FFFFFF"/>
            <w:vAlign w:val="bottom"/>
          </w:tcPr>
          <w:p w14:paraId="3F4A46B8"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Mean</w:t>
            </w:r>
          </w:p>
        </w:tc>
        <w:tc>
          <w:tcPr>
            <w:tcW w:w="1521" w:type="dxa"/>
            <w:tcBorders>
              <w:top w:val="single" w:sz="4" w:space="0" w:color="auto"/>
            </w:tcBorders>
            <w:shd w:val="clear" w:color="auto" w:fill="FFFFFF"/>
            <w:vAlign w:val="bottom"/>
          </w:tcPr>
          <w:p w14:paraId="1F87E83F"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Std. Deviation</w:t>
            </w:r>
          </w:p>
        </w:tc>
        <w:tc>
          <w:tcPr>
            <w:tcW w:w="2457" w:type="dxa"/>
            <w:gridSpan w:val="2"/>
            <w:tcBorders>
              <w:top w:val="single" w:sz="4" w:space="0" w:color="auto"/>
            </w:tcBorders>
            <w:shd w:val="clear" w:color="auto" w:fill="FFFFFF"/>
            <w:vAlign w:val="bottom"/>
          </w:tcPr>
          <w:p w14:paraId="3BE585D7"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Skewness</w:t>
            </w:r>
          </w:p>
        </w:tc>
        <w:tc>
          <w:tcPr>
            <w:tcW w:w="2461" w:type="dxa"/>
            <w:gridSpan w:val="2"/>
            <w:tcBorders>
              <w:top w:val="single" w:sz="4" w:space="0" w:color="auto"/>
              <w:right w:val="nil"/>
            </w:tcBorders>
            <w:shd w:val="clear" w:color="auto" w:fill="FFFFFF"/>
            <w:vAlign w:val="bottom"/>
          </w:tcPr>
          <w:p w14:paraId="6F4C517C"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Kurtosis</w:t>
            </w:r>
          </w:p>
        </w:tc>
      </w:tr>
      <w:tr w:rsidR="005B0C91" w:rsidRPr="00C8400E" w14:paraId="2D347976" w14:textId="77777777" w:rsidTr="00972632">
        <w:trPr>
          <w:gridAfter w:val="1"/>
          <w:wAfter w:w="6" w:type="dxa"/>
          <w:cantSplit/>
          <w:trHeight w:val="117"/>
        </w:trPr>
        <w:tc>
          <w:tcPr>
            <w:tcW w:w="1816" w:type="dxa"/>
            <w:vMerge/>
            <w:tcBorders>
              <w:left w:val="nil"/>
              <w:bottom w:val="single" w:sz="4" w:space="0" w:color="auto"/>
            </w:tcBorders>
            <w:shd w:val="clear" w:color="auto" w:fill="FFFFFF"/>
            <w:vAlign w:val="bottom"/>
          </w:tcPr>
          <w:p w14:paraId="4C52866E" w14:textId="77777777" w:rsidR="005B0C91" w:rsidRPr="00C8400E" w:rsidRDefault="005B0C91" w:rsidP="00665C41">
            <w:pPr>
              <w:spacing w:line="360" w:lineRule="auto"/>
              <w:jc w:val="center"/>
              <w:rPr>
                <w:color w:val="000000" w:themeColor="text1"/>
                <w:sz w:val="24"/>
                <w:szCs w:val="24"/>
              </w:rPr>
            </w:pPr>
          </w:p>
        </w:tc>
        <w:tc>
          <w:tcPr>
            <w:tcW w:w="1227" w:type="dxa"/>
            <w:tcBorders>
              <w:bottom w:val="single" w:sz="4" w:space="0" w:color="auto"/>
            </w:tcBorders>
            <w:shd w:val="clear" w:color="auto" w:fill="FFFFFF"/>
            <w:vAlign w:val="bottom"/>
          </w:tcPr>
          <w:p w14:paraId="14FC1AF5"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Statistic</w:t>
            </w:r>
          </w:p>
        </w:tc>
        <w:tc>
          <w:tcPr>
            <w:tcW w:w="1228" w:type="dxa"/>
            <w:tcBorders>
              <w:bottom w:val="single" w:sz="4" w:space="0" w:color="auto"/>
            </w:tcBorders>
            <w:shd w:val="clear" w:color="auto" w:fill="FFFFFF"/>
            <w:vAlign w:val="bottom"/>
          </w:tcPr>
          <w:p w14:paraId="26A2D92F"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Statistic</w:t>
            </w:r>
          </w:p>
        </w:tc>
        <w:tc>
          <w:tcPr>
            <w:tcW w:w="1521" w:type="dxa"/>
            <w:tcBorders>
              <w:bottom w:val="single" w:sz="4" w:space="0" w:color="auto"/>
            </w:tcBorders>
            <w:shd w:val="clear" w:color="auto" w:fill="FFFFFF"/>
            <w:vAlign w:val="bottom"/>
          </w:tcPr>
          <w:p w14:paraId="5072B20C"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Statistic</w:t>
            </w:r>
          </w:p>
        </w:tc>
        <w:tc>
          <w:tcPr>
            <w:tcW w:w="1228" w:type="dxa"/>
            <w:tcBorders>
              <w:bottom w:val="single" w:sz="4" w:space="0" w:color="auto"/>
            </w:tcBorders>
            <w:shd w:val="clear" w:color="auto" w:fill="FFFFFF"/>
            <w:vAlign w:val="bottom"/>
          </w:tcPr>
          <w:p w14:paraId="5B254542"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Statistic</w:t>
            </w:r>
          </w:p>
        </w:tc>
        <w:tc>
          <w:tcPr>
            <w:tcW w:w="1229" w:type="dxa"/>
            <w:tcBorders>
              <w:bottom w:val="single" w:sz="4" w:space="0" w:color="auto"/>
            </w:tcBorders>
            <w:shd w:val="clear" w:color="auto" w:fill="FFFFFF"/>
            <w:vAlign w:val="bottom"/>
          </w:tcPr>
          <w:p w14:paraId="3FDED915"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Std. Error</w:t>
            </w:r>
          </w:p>
        </w:tc>
        <w:tc>
          <w:tcPr>
            <w:tcW w:w="1228" w:type="dxa"/>
            <w:tcBorders>
              <w:bottom w:val="single" w:sz="4" w:space="0" w:color="auto"/>
            </w:tcBorders>
            <w:shd w:val="clear" w:color="auto" w:fill="FFFFFF"/>
            <w:vAlign w:val="bottom"/>
          </w:tcPr>
          <w:p w14:paraId="633AC7E1"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Statistic</w:t>
            </w:r>
          </w:p>
        </w:tc>
        <w:tc>
          <w:tcPr>
            <w:tcW w:w="1233" w:type="dxa"/>
            <w:tcBorders>
              <w:bottom w:val="single" w:sz="4" w:space="0" w:color="auto"/>
              <w:right w:val="nil"/>
            </w:tcBorders>
            <w:shd w:val="clear" w:color="auto" w:fill="FFFFFF"/>
            <w:vAlign w:val="bottom"/>
          </w:tcPr>
          <w:p w14:paraId="6112E6FE"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Std. Error</w:t>
            </w:r>
          </w:p>
        </w:tc>
      </w:tr>
      <w:tr w:rsidR="005B0C91" w:rsidRPr="00C8400E" w14:paraId="1A231A51" w14:textId="77777777" w:rsidTr="00972632">
        <w:trPr>
          <w:gridAfter w:val="1"/>
          <w:wAfter w:w="6" w:type="dxa"/>
          <w:cantSplit/>
          <w:trHeight w:val="478"/>
        </w:trPr>
        <w:tc>
          <w:tcPr>
            <w:tcW w:w="1816" w:type="dxa"/>
            <w:tcBorders>
              <w:top w:val="single" w:sz="4" w:space="0" w:color="auto"/>
              <w:left w:val="nil"/>
              <w:bottom w:val="nil"/>
            </w:tcBorders>
            <w:shd w:val="clear" w:color="auto" w:fill="FFFFFF"/>
          </w:tcPr>
          <w:p w14:paraId="51247FE1"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PFP</w:t>
            </w:r>
          </w:p>
        </w:tc>
        <w:tc>
          <w:tcPr>
            <w:tcW w:w="1227" w:type="dxa"/>
            <w:tcBorders>
              <w:top w:val="single" w:sz="4" w:space="0" w:color="auto"/>
              <w:bottom w:val="nil"/>
            </w:tcBorders>
            <w:shd w:val="clear" w:color="auto" w:fill="FFFFFF"/>
          </w:tcPr>
          <w:p w14:paraId="004AB6AE"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216</w:t>
            </w:r>
          </w:p>
        </w:tc>
        <w:tc>
          <w:tcPr>
            <w:tcW w:w="1228" w:type="dxa"/>
            <w:tcBorders>
              <w:top w:val="single" w:sz="4" w:space="0" w:color="auto"/>
              <w:bottom w:val="nil"/>
            </w:tcBorders>
            <w:shd w:val="clear" w:color="auto" w:fill="FFFFFF"/>
          </w:tcPr>
          <w:p w14:paraId="4D4EDFD1"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4.6134</w:t>
            </w:r>
          </w:p>
        </w:tc>
        <w:tc>
          <w:tcPr>
            <w:tcW w:w="1521" w:type="dxa"/>
            <w:tcBorders>
              <w:top w:val="single" w:sz="4" w:space="0" w:color="auto"/>
              <w:bottom w:val="nil"/>
            </w:tcBorders>
            <w:shd w:val="clear" w:color="auto" w:fill="FFFFFF"/>
          </w:tcPr>
          <w:p w14:paraId="65ED2E04"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1.03219</w:t>
            </w:r>
          </w:p>
        </w:tc>
        <w:tc>
          <w:tcPr>
            <w:tcW w:w="1228" w:type="dxa"/>
            <w:tcBorders>
              <w:top w:val="single" w:sz="4" w:space="0" w:color="auto"/>
              <w:bottom w:val="nil"/>
            </w:tcBorders>
            <w:shd w:val="clear" w:color="auto" w:fill="FFFFFF"/>
          </w:tcPr>
          <w:p w14:paraId="570B368E"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-.596</w:t>
            </w:r>
          </w:p>
        </w:tc>
        <w:tc>
          <w:tcPr>
            <w:tcW w:w="1229" w:type="dxa"/>
            <w:tcBorders>
              <w:top w:val="single" w:sz="4" w:space="0" w:color="auto"/>
              <w:bottom w:val="nil"/>
            </w:tcBorders>
            <w:shd w:val="clear" w:color="auto" w:fill="FFFFFF"/>
          </w:tcPr>
          <w:p w14:paraId="6438BD06"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.166</w:t>
            </w:r>
          </w:p>
        </w:tc>
        <w:tc>
          <w:tcPr>
            <w:tcW w:w="1228" w:type="dxa"/>
            <w:tcBorders>
              <w:top w:val="single" w:sz="4" w:space="0" w:color="auto"/>
              <w:bottom w:val="nil"/>
            </w:tcBorders>
            <w:shd w:val="clear" w:color="auto" w:fill="FFFFFF"/>
          </w:tcPr>
          <w:p w14:paraId="6FB88E68"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-1.175</w:t>
            </w:r>
          </w:p>
        </w:tc>
        <w:tc>
          <w:tcPr>
            <w:tcW w:w="1233" w:type="dxa"/>
            <w:tcBorders>
              <w:top w:val="single" w:sz="4" w:space="0" w:color="auto"/>
              <w:bottom w:val="nil"/>
              <w:right w:val="nil"/>
            </w:tcBorders>
            <w:shd w:val="clear" w:color="auto" w:fill="FFFFFF"/>
          </w:tcPr>
          <w:p w14:paraId="163C15F5"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.330</w:t>
            </w:r>
          </w:p>
        </w:tc>
      </w:tr>
      <w:tr w:rsidR="005B0C91" w:rsidRPr="00C8400E" w14:paraId="02FD92B5" w14:textId="77777777" w:rsidTr="00972632">
        <w:trPr>
          <w:gridAfter w:val="1"/>
          <w:wAfter w:w="6" w:type="dxa"/>
          <w:cantSplit/>
          <w:trHeight w:val="478"/>
        </w:trPr>
        <w:tc>
          <w:tcPr>
            <w:tcW w:w="1816" w:type="dxa"/>
            <w:tcBorders>
              <w:top w:val="nil"/>
              <w:left w:val="nil"/>
              <w:bottom w:val="nil"/>
            </w:tcBorders>
            <w:shd w:val="clear" w:color="auto" w:fill="FFFFFF"/>
          </w:tcPr>
          <w:p w14:paraId="4FB565C0"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TI</w:t>
            </w:r>
          </w:p>
        </w:tc>
        <w:tc>
          <w:tcPr>
            <w:tcW w:w="1227" w:type="dxa"/>
            <w:tcBorders>
              <w:top w:val="nil"/>
              <w:bottom w:val="nil"/>
            </w:tcBorders>
            <w:shd w:val="clear" w:color="auto" w:fill="FFFFFF"/>
          </w:tcPr>
          <w:p w14:paraId="7D0D45CC"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216</w:t>
            </w:r>
          </w:p>
        </w:tc>
        <w:tc>
          <w:tcPr>
            <w:tcW w:w="1228" w:type="dxa"/>
            <w:tcBorders>
              <w:top w:val="nil"/>
              <w:bottom w:val="nil"/>
            </w:tcBorders>
            <w:shd w:val="clear" w:color="auto" w:fill="FFFFFF"/>
          </w:tcPr>
          <w:p w14:paraId="013B9528"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4.6587</w:t>
            </w:r>
          </w:p>
        </w:tc>
        <w:tc>
          <w:tcPr>
            <w:tcW w:w="1521" w:type="dxa"/>
            <w:tcBorders>
              <w:top w:val="nil"/>
              <w:bottom w:val="nil"/>
            </w:tcBorders>
            <w:shd w:val="clear" w:color="auto" w:fill="FFFFFF"/>
          </w:tcPr>
          <w:p w14:paraId="65D5BE53"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1.10894</w:t>
            </w:r>
          </w:p>
        </w:tc>
        <w:tc>
          <w:tcPr>
            <w:tcW w:w="1228" w:type="dxa"/>
            <w:tcBorders>
              <w:top w:val="nil"/>
              <w:bottom w:val="nil"/>
            </w:tcBorders>
            <w:shd w:val="clear" w:color="auto" w:fill="FFFFFF"/>
          </w:tcPr>
          <w:p w14:paraId="53F36918"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-.735</w:t>
            </w:r>
          </w:p>
        </w:tc>
        <w:tc>
          <w:tcPr>
            <w:tcW w:w="1229" w:type="dxa"/>
            <w:tcBorders>
              <w:top w:val="nil"/>
              <w:bottom w:val="nil"/>
            </w:tcBorders>
            <w:shd w:val="clear" w:color="auto" w:fill="FFFFFF"/>
          </w:tcPr>
          <w:p w14:paraId="3C139516"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.166</w:t>
            </w:r>
          </w:p>
        </w:tc>
        <w:tc>
          <w:tcPr>
            <w:tcW w:w="1228" w:type="dxa"/>
            <w:tcBorders>
              <w:top w:val="nil"/>
              <w:bottom w:val="nil"/>
            </w:tcBorders>
            <w:shd w:val="clear" w:color="auto" w:fill="FFFFFF"/>
          </w:tcPr>
          <w:p w14:paraId="564B3EE3"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-.873</w:t>
            </w:r>
          </w:p>
        </w:tc>
        <w:tc>
          <w:tcPr>
            <w:tcW w:w="1233" w:type="dxa"/>
            <w:tcBorders>
              <w:top w:val="nil"/>
              <w:bottom w:val="nil"/>
              <w:right w:val="nil"/>
            </w:tcBorders>
            <w:shd w:val="clear" w:color="auto" w:fill="FFFFFF"/>
          </w:tcPr>
          <w:p w14:paraId="1FB878C3"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.330</w:t>
            </w:r>
          </w:p>
        </w:tc>
      </w:tr>
      <w:tr w:rsidR="005B0C91" w:rsidRPr="00C8400E" w14:paraId="1E6EE150" w14:textId="77777777" w:rsidTr="00972632">
        <w:trPr>
          <w:gridAfter w:val="1"/>
          <w:wAfter w:w="6" w:type="dxa"/>
          <w:cantSplit/>
          <w:trHeight w:val="459"/>
        </w:trPr>
        <w:tc>
          <w:tcPr>
            <w:tcW w:w="1816" w:type="dxa"/>
            <w:tcBorders>
              <w:top w:val="nil"/>
              <w:left w:val="nil"/>
              <w:bottom w:val="nil"/>
            </w:tcBorders>
            <w:shd w:val="clear" w:color="auto" w:fill="FFFFFF"/>
          </w:tcPr>
          <w:p w14:paraId="54F1D044"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IPU</w:t>
            </w:r>
          </w:p>
        </w:tc>
        <w:tc>
          <w:tcPr>
            <w:tcW w:w="1227" w:type="dxa"/>
            <w:tcBorders>
              <w:top w:val="nil"/>
              <w:bottom w:val="nil"/>
            </w:tcBorders>
            <w:shd w:val="clear" w:color="auto" w:fill="FFFFFF"/>
          </w:tcPr>
          <w:p w14:paraId="5BCFA87B"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216</w:t>
            </w:r>
          </w:p>
        </w:tc>
        <w:tc>
          <w:tcPr>
            <w:tcW w:w="1228" w:type="dxa"/>
            <w:tcBorders>
              <w:top w:val="nil"/>
              <w:bottom w:val="nil"/>
            </w:tcBorders>
            <w:shd w:val="clear" w:color="auto" w:fill="FFFFFF"/>
          </w:tcPr>
          <w:p w14:paraId="487F571E"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4.6335</w:t>
            </w:r>
          </w:p>
        </w:tc>
        <w:tc>
          <w:tcPr>
            <w:tcW w:w="1521" w:type="dxa"/>
            <w:tcBorders>
              <w:top w:val="nil"/>
              <w:bottom w:val="nil"/>
            </w:tcBorders>
            <w:shd w:val="clear" w:color="auto" w:fill="FFFFFF"/>
          </w:tcPr>
          <w:p w14:paraId="583DEAF8"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1.01440</w:t>
            </w:r>
          </w:p>
        </w:tc>
        <w:tc>
          <w:tcPr>
            <w:tcW w:w="1228" w:type="dxa"/>
            <w:tcBorders>
              <w:top w:val="nil"/>
              <w:bottom w:val="nil"/>
            </w:tcBorders>
            <w:shd w:val="clear" w:color="auto" w:fill="FFFFFF"/>
          </w:tcPr>
          <w:p w14:paraId="5A6C1A76"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-.544</w:t>
            </w:r>
          </w:p>
        </w:tc>
        <w:tc>
          <w:tcPr>
            <w:tcW w:w="1229" w:type="dxa"/>
            <w:tcBorders>
              <w:top w:val="nil"/>
              <w:bottom w:val="nil"/>
            </w:tcBorders>
            <w:shd w:val="clear" w:color="auto" w:fill="FFFFFF"/>
          </w:tcPr>
          <w:p w14:paraId="00401011"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.166</w:t>
            </w:r>
          </w:p>
        </w:tc>
        <w:tc>
          <w:tcPr>
            <w:tcW w:w="1228" w:type="dxa"/>
            <w:tcBorders>
              <w:top w:val="nil"/>
              <w:bottom w:val="nil"/>
            </w:tcBorders>
            <w:shd w:val="clear" w:color="auto" w:fill="FFFFFF"/>
          </w:tcPr>
          <w:p w14:paraId="34B4FE92"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-.917</w:t>
            </w:r>
          </w:p>
        </w:tc>
        <w:tc>
          <w:tcPr>
            <w:tcW w:w="1233" w:type="dxa"/>
            <w:tcBorders>
              <w:top w:val="nil"/>
              <w:bottom w:val="nil"/>
              <w:right w:val="nil"/>
            </w:tcBorders>
            <w:shd w:val="clear" w:color="auto" w:fill="FFFFFF"/>
          </w:tcPr>
          <w:p w14:paraId="1E96E8D4"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.330</w:t>
            </w:r>
          </w:p>
        </w:tc>
      </w:tr>
      <w:tr w:rsidR="005B0C91" w:rsidRPr="00C8400E" w14:paraId="5876FA6E" w14:textId="77777777" w:rsidTr="00972632">
        <w:trPr>
          <w:gridAfter w:val="1"/>
          <w:wAfter w:w="6" w:type="dxa"/>
          <w:cantSplit/>
          <w:trHeight w:val="478"/>
        </w:trPr>
        <w:tc>
          <w:tcPr>
            <w:tcW w:w="1816" w:type="dxa"/>
            <w:tcBorders>
              <w:top w:val="nil"/>
              <w:left w:val="nil"/>
              <w:bottom w:val="nil"/>
            </w:tcBorders>
            <w:shd w:val="clear" w:color="auto" w:fill="FFFFFF"/>
          </w:tcPr>
          <w:p w14:paraId="1EC67ACE"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PPT</w:t>
            </w:r>
          </w:p>
        </w:tc>
        <w:tc>
          <w:tcPr>
            <w:tcW w:w="1227" w:type="dxa"/>
            <w:tcBorders>
              <w:top w:val="nil"/>
              <w:bottom w:val="nil"/>
            </w:tcBorders>
            <w:shd w:val="clear" w:color="auto" w:fill="FFFFFF"/>
          </w:tcPr>
          <w:p w14:paraId="3F61E1EA"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216</w:t>
            </w:r>
          </w:p>
        </w:tc>
        <w:tc>
          <w:tcPr>
            <w:tcW w:w="1228" w:type="dxa"/>
            <w:tcBorders>
              <w:top w:val="nil"/>
              <w:bottom w:val="nil"/>
            </w:tcBorders>
            <w:shd w:val="clear" w:color="auto" w:fill="FFFFFF"/>
          </w:tcPr>
          <w:p w14:paraId="2924A6E0"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4.6667</w:t>
            </w:r>
          </w:p>
        </w:tc>
        <w:tc>
          <w:tcPr>
            <w:tcW w:w="1521" w:type="dxa"/>
            <w:tcBorders>
              <w:top w:val="nil"/>
              <w:bottom w:val="nil"/>
            </w:tcBorders>
            <w:shd w:val="clear" w:color="auto" w:fill="FFFFFF"/>
          </w:tcPr>
          <w:p w14:paraId="7E22A32E"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1.00181</w:t>
            </w:r>
          </w:p>
        </w:tc>
        <w:tc>
          <w:tcPr>
            <w:tcW w:w="1228" w:type="dxa"/>
            <w:tcBorders>
              <w:top w:val="nil"/>
              <w:bottom w:val="nil"/>
            </w:tcBorders>
            <w:shd w:val="clear" w:color="auto" w:fill="FFFFFF"/>
          </w:tcPr>
          <w:p w14:paraId="11DB2AAD"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-.725</w:t>
            </w:r>
          </w:p>
        </w:tc>
        <w:tc>
          <w:tcPr>
            <w:tcW w:w="1229" w:type="dxa"/>
            <w:tcBorders>
              <w:top w:val="nil"/>
              <w:bottom w:val="nil"/>
            </w:tcBorders>
            <w:shd w:val="clear" w:color="auto" w:fill="FFFFFF"/>
          </w:tcPr>
          <w:p w14:paraId="2000F834"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.166</w:t>
            </w:r>
          </w:p>
        </w:tc>
        <w:tc>
          <w:tcPr>
            <w:tcW w:w="1228" w:type="dxa"/>
            <w:tcBorders>
              <w:top w:val="nil"/>
              <w:bottom w:val="nil"/>
            </w:tcBorders>
            <w:shd w:val="clear" w:color="auto" w:fill="FFFFFF"/>
          </w:tcPr>
          <w:p w14:paraId="603EB60F"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-.762</w:t>
            </w:r>
          </w:p>
        </w:tc>
        <w:tc>
          <w:tcPr>
            <w:tcW w:w="1233" w:type="dxa"/>
            <w:tcBorders>
              <w:top w:val="nil"/>
              <w:bottom w:val="nil"/>
              <w:right w:val="nil"/>
            </w:tcBorders>
            <w:shd w:val="clear" w:color="auto" w:fill="FFFFFF"/>
          </w:tcPr>
          <w:p w14:paraId="60DB4F1D"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.330</w:t>
            </w:r>
          </w:p>
        </w:tc>
      </w:tr>
      <w:tr w:rsidR="005B0C91" w:rsidRPr="00C8400E" w14:paraId="17C0C625" w14:textId="77777777" w:rsidTr="00972632">
        <w:trPr>
          <w:gridAfter w:val="1"/>
          <w:wAfter w:w="6" w:type="dxa"/>
          <w:cantSplit/>
          <w:trHeight w:val="478"/>
        </w:trPr>
        <w:tc>
          <w:tcPr>
            <w:tcW w:w="1816" w:type="dxa"/>
            <w:tcBorders>
              <w:top w:val="nil"/>
              <w:left w:val="nil"/>
              <w:bottom w:val="nil"/>
            </w:tcBorders>
            <w:shd w:val="clear" w:color="auto" w:fill="FFFFFF"/>
          </w:tcPr>
          <w:p w14:paraId="67722134"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MSPD</w:t>
            </w:r>
          </w:p>
        </w:tc>
        <w:tc>
          <w:tcPr>
            <w:tcW w:w="1227" w:type="dxa"/>
            <w:tcBorders>
              <w:top w:val="nil"/>
              <w:bottom w:val="nil"/>
            </w:tcBorders>
            <w:shd w:val="clear" w:color="auto" w:fill="FFFFFF"/>
          </w:tcPr>
          <w:p w14:paraId="2070C087"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216</w:t>
            </w:r>
          </w:p>
        </w:tc>
        <w:tc>
          <w:tcPr>
            <w:tcW w:w="1228" w:type="dxa"/>
            <w:tcBorders>
              <w:top w:val="nil"/>
              <w:bottom w:val="nil"/>
            </w:tcBorders>
            <w:shd w:val="clear" w:color="auto" w:fill="FFFFFF"/>
          </w:tcPr>
          <w:p w14:paraId="2096BF74"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4.6914</w:t>
            </w:r>
          </w:p>
        </w:tc>
        <w:tc>
          <w:tcPr>
            <w:tcW w:w="1521" w:type="dxa"/>
            <w:tcBorders>
              <w:top w:val="nil"/>
              <w:bottom w:val="nil"/>
            </w:tcBorders>
            <w:shd w:val="clear" w:color="auto" w:fill="FFFFFF"/>
          </w:tcPr>
          <w:p w14:paraId="523B98C3"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1.09893</w:t>
            </w:r>
          </w:p>
        </w:tc>
        <w:tc>
          <w:tcPr>
            <w:tcW w:w="1228" w:type="dxa"/>
            <w:tcBorders>
              <w:top w:val="nil"/>
              <w:bottom w:val="nil"/>
            </w:tcBorders>
            <w:shd w:val="clear" w:color="auto" w:fill="FFFFFF"/>
          </w:tcPr>
          <w:p w14:paraId="53603F97"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-1.055</w:t>
            </w:r>
          </w:p>
        </w:tc>
        <w:tc>
          <w:tcPr>
            <w:tcW w:w="1229" w:type="dxa"/>
            <w:tcBorders>
              <w:top w:val="nil"/>
              <w:bottom w:val="nil"/>
            </w:tcBorders>
            <w:shd w:val="clear" w:color="auto" w:fill="FFFFFF"/>
          </w:tcPr>
          <w:p w14:paraId="2E745A06"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.166</w:t>
            </w:r>
          </w:p>
        </w:tc>
        <w:tc>
          <w:tcPr>
            <w:tcW w:w="1228" w:type="dxa"/>
            <w:tcBorders>
              <w:top w:val="nil"/>
              <w:bottom w:val="nil"/>
            </w:tcBorders>
            <w:shd w:val="clear" w:color="auto" w:fill="FFFFFF"/>
          </w:tcPr>
          <w:p w14:paraId="40AE6DAC"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-.028</w:t>
            </w:r>
          </w:p>
        </w:tc>
        <w:tc>
          <w:tcPr>
            <w:tcW w:w="1233" w:type="dxa"/>
            <w:tcBorders>
              <w:top w:val="nil"/>
              <w:bottom w:val="nil"/>
              <w:right w:val="nil"/>
            </w:tcBorders>
            <w:shd w:val="clear" w:color="auto" w:fill="FFFFFF"/>
          </w:tcPr>
          <w:p w14:paraId="7EB242FC"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.330</w:t>
            </w:r>
          </w:p>
        </w:tc>
      </w:tr>
      <w:tr w:rsidR="005B0C91" w:rsidRPr="00C8400E" w14:paraId="37AB5678" w14:textId="77777777" w:rsidTr="00972632">
        <w:trPr>
          <w:gridAfter w:val="1"/>
          <w:wAfter w:w="6" w:type="dxa"/>
          <w:cantSplit/>
          <w:trHeight w:val="478"/>
        </w:trPr>
        <w:tc>
          <w:tcPr>
            <w:tcW w:w="1816" w:type="dxa"/>
            <w:tcBorders>
              <w:top w:val="nil"/>
              <w:left w:val="nil"/>
              <w:bottom w:val="nil"/>
            </w:tcBorders>
            <w:shd w:val="clear" w:color="auto" w:fill="FFFFFF"/>
          </w:tcPr>
          <w:p w14:paraId="597E3203"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MPTI</w:t>
            </w:r>
          </w:p>
        </w:tc>
        <w:tc>
          <w:tcPr>
            <w:tcW w:w="1227" w:type="dxa"/>
            <w:tcBorders>
              <w:top w:val="nil"/>
              <w:bottom w:val="nil"/>
            </w:tcBorders>
            <w:shd w:val="clear" w:color="auto" w:fill="FFFFFF"/>
          </w:tcPr>
          <w:p w14:paraId="59517C3F"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216</w:t>
            </w:r>
          </w:p>
        </w:tc>
        <w:tc>
          <w:tcPr>
            <w:tcW w:w="1228" w:type="dxa"/>
            <w:tcBorders>
              <w:top w:val="nil"/>
              <w:bottom w:val="nil"/>
            </w:tcBorders>
            <w:shd w:val="clear" w:color="auto" w:fill="FFFFFF"/>
          </w:tcPr>
          <w:p w14:paraId="261870F4"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4.6219</w:t>
            </w:r>
          </w:p>
        </w:tc>
        <w:tc>
          <w:tcPr>
            <w:tcW w:w="1521" w:type="dxa"/>
            <w:tcBorders>
              <w:top w:val="nil"/>
              <w:bottom w:val="nil"/>
            </w:tcBorders>
            <w:shd w:val="clear" w:color="auto" w:fill="FFFFFF"/>
          </w:tcPr>
          <w:p w14:paraId="12B201FB"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1.07042</w:t>
            </w:r>
          </w:p>
        </w:tc>
        <w:tc>
          <w:tcPr>
            <w:tcW w:w="1228" w:type="dxa"/>
            <w:tcBorders>
              <w:top w:val="nil"/>
              <w:bottom w:val="nil"/>
            </w:tcBorders>
            <w:shd w:val="clear" w:color="auto" w:fill="FFFFFF"/>
          </w:tcPr>
          <w:p w14:paraId="5202BCA5"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-.873</w:t>
            </w:r>
          </w:p>
        </w:tc>
        <w:tc>
          <w:tcPr>
            <w:tcW w:w="1229" w:type="dxa"/>
            <w:tcBorders>
              <w:top w:val="nil"/>
              <w:bottom w:val="nil"/>
            </w:tcBorders>
            <w:shd w:val="clear" w:color="auto" w:fill="FFFFFF"/>
          </w:tcPr>
          <w:p w14:paraId="4E0BE433"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.166</w:t>
            </w:r>
          </w:p>
        </w:tc>
        <w:tc>
          <w:tcPr>
            <w:tcW w:w="1228" w:type="dxa"/>
            <w:tcBorders>
              <w:top w:val="nil"/>
              <w:bottom w:val="nil"/>
            </w:tcBorders>
            <w:shd w:val="clear" w:color="auto" w:fill="FFFFFF"/>
          </w:tcPr>
          <w:p w14:paraId="393E65B3"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-.298</w:t>
            </w:r>
          </w:p>
        </w:tc>
        <w:tc>
          <w:tcPr>
            <w:tcW w:w="1233" w:type="dxa"/>
            <w:tcBorders>
              <w:top w:val="nil"/>
              <w:bottom w:val="nil"/>
              <w:right w:val="nil"/>
            </w:tcBorders>
            <w:shd w:val="clear" w:color="auto" w:fill="FFFFFF"/>
          </w:tcPr>
          <w:p w14:paraId="29D05075"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.330</w:t>
            </w:r>
          </w:p>
        </w:tc>
      </w:tr>
      <w:tr w:rsidR="005B0C91" w:rsidRPr="00C8400E" w14:paraId="57BD2029" w14:textId="77777777" w:rsidTr="00972632">
        <w:trPr>
          <w:gridAfter w:val="1"/>
          <w:wAfter w:w="6" w:type="dxa"/>
          <w:cantSplit/>
          <w:trHeight w:val="459"/>
        </w:trPr>
        <w:tc>
          <w:tcPr>
            <w:tcW w:w="1816" w:type="dxa"/>
            <w:tcBorders>
              <w:top w:val="nil"/>
              <w:left w:val="nil"/>
              <w:bottom w:val="nil"/>
            </w:tcBorders>
            <w:shd w:val="clear" w:color="auto" w:fill="FFFFFF"/>
          </w:tcPr>
          <w:p w14:paraId="43211BC0"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DMTI</w:t>
            </w:r>
          </w:p>
        </w:tc>
        <w:tc>
          <w:tcPr>
            <w:tcW w:w="1227" w:type="dxa"/>
            <w:tcBorders>
              <w:top w:val="nil"/>
              <w:bottom w:val="nil"/>
            </w:tcBorders>
            <w:shd w:val="clear" w:color="auto" w:fill="FFFFFF"/>
          </w:tcPr>
          <w:p w14:paraId="68326CA4"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216</w:t>
            </w:r>
          </w:p>
        </w:tc>
        <w:tc>
          <w:tcPr>
            <w:tcW w:w="1228" w:type="dxa"/>
            <w:tcBorders>
              <w:top w:val="nil"/>
              <w:bottom w:val="nil"/>
            </w:tcBorders>
            <w:shd w:val="clear" w:color="auto" w:fill="FFFFFF"/>
          </w:tcPr>
          <w:p w14:paraId="717EABE3"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4.6127</w:t>
            </w:r>
          </w:p>
        </w:tc>
        <w:tc>
          <w:tcPr>
            <w:tcW w:w="1521" w:type="dxa"/>
            <w:tcBorders>
              <w:top w:val="nil"/>
              <w:bottom w:val="nil"/>
            </w:tcBorders>
            <w:shd w:val="clear" w:color="auto" w:fill="FFFFFF"/>
          </w:tcPr>
          <w:p w14:paraId="23951B47"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1.08676</w:t>
            </w:r>
          </w:p>
        </w:tc>
        <w:tc>
          <w:tcPr>
            <w:tcW w:w="1228" w:type="dxa"/>
            <w:tcBorders>
              <w:top w:val="nil"/>
              <w:bottom w:val="nil"/>
            </w:tcBorders>
            <w:shd w:val="clear" w:color="auto" w:fill="FFFFFF"/>
          </w:tcPr>
          <w:p w14:paraId="2A44375B"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-.830</w:t>
            </w:r>
          </w:p>
        </w:tc>
        <w:tc>
          <w:tcPr>
            <w:tcW w:w="1229" w:type="dxa"/>
            <w:tcBorders>
              <w:top w:val="nil"/>
              <w:bottom w:val="nil"/>
            </w:tcBorders>
            <w:shd w:val="clear" w:color="auto" w:fill="FFFFFF"/>
          </w:tcPr>
          <w:p w14:paraId="160C5941"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.166</w:t>
            </w:r>
          </w:p>
        </w:tc>
        <w:tc>
          <w:tcPr>
            <w:tcW w:w="1228" w:type="dxa"/>
            <w:tcBorders>
              <w:top w:val="nil"/>
              <w:bottom w:val="nil"/>
            </w:tcBorders>
            <w:shd w:val="clear" w:color="auto" w:fill="FFFFFF"/>
          </w:tcPr>
          <w:p w14:paraId="72C8D91E"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-.575</w:t>
            </w:r>
          </w:p>
        </w:tc>
        <w:tc>
          <w:tcPr>
            <w:tcW w:w="1233" w:type="dxa"/>
            <w:tcBorders>
              <w:top w:val="nil"/>
              <w:bottom w:val="nil"/>
              <w:right w:val="nil"/>
            </w:tcBorders>
            <w:shd w:val="clear" w:color="auto" w:fill="FFFFFF"/>
          </w:tcPr>
          <w:p w14:paraId="1E3E512E"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.330</w:t>
            </w:r>
          </w:p>
        </w:tc>
      </w:tr>
      <w:tr w:rsidR="005B0C91" w:rsidRPr="00C8400E" w14:paraId="68EC5226" w14:textId="77777777" w:rsidTr="00972632">
        <w:trPr>
          <w:gridAfter w:val="1"/>
          <w:wAfter w:w="6" w:type="dxa"/>
          <w:cantSplit/>
          <w:trHeight w:val="478"/>
        </w:trPr>
        <w:tc>
          <w:tcPr>
            <w:tcW w:w="1816" w:type="dxa"/>
            <w:tcBorders>
              <w:top w:val="nil"/>
              <w:left w:val="nil"/>
              <w:bottom w:val="nil"/>
            </w:tcBorders>
            <w:shd w:val="clear" w:color="auto" w:fill="FFFFFF"/>
          </w:tcPr>
          <w:p w14:paraId="0D87A58E"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MF</w:t>
            </w:r>
          </w:p>
        </w:tc>
        <w:tc>
          <w:tcPr>
            <w:tcW w:w="1227" w:type="dxa"/>
            <w:tcBorders>
              <w:top w:val="nil"/>
              <w:bottom w:val="nil"/>
            </w:tcBorders>
            <w:shd w:val="clear" w:color="auto" w:fill="FFFFFF"/>
          </w:tcPr>
          <w:p w14:paraId="27E6F834"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216</w:t>
            </w:r>
          </w:p>
        </w:tc>
        <w:tc>
          <w:tcPr>
            <w:tcW w:w="1228" w:type="dxa"/>
            <w:tcBorders>
              <w:top w:val="nil"/>
              <w:bottom w:val="nil"/>
            </w:tcBorders>
            <w:shd w:val="clear" w:color="auto" w:fill="FFFFFF"/>
          </w:tcPr>
          <w:p w14:paraId="62CC9E88"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4.6704</w:t>
            </w:r>
          </w:p>
        </w:tc>
        <w:tc>
          <w:tcPr>
            <w:tcW w:w="1521" w:type="dxa"/>
            <w:tcBorders>
              <w:top w:val="nil"/>
              <w:bottom w:val="nil"/>
            </w:tcBorders>
            <w:shd w:val="clear" w:color="auto" w:fill="FFFFFF"/>
          </w:tcPr>
          <w:p w14:paraId="5EEAB7B9"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.98067</w:t>
            </w:r>
          </w:p>
        </w:tc>
        <w:tc>
          <w:tcPr>
            <w:tcW w:w="1228" w:type="dxa"/>
            <w:tcBorders>
              <w:top w:val="nil"/>
              <w:bottom w:val="nil"/>
            </w:tcBorders>
            <w:shd w:val="clear" w:color="auto" w:fill="FFFFFF"/>
          </w:tcPr>
          <w:p w14:paraId="6D9718C2"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-.797</w:t>
            </w:r>
          </w:p>
        </w:tc>
        <w:tc>
          <w:tcPr>
            <w:tcW w:w="1229" w:type="dxa"/>
            <w:tcBorders>
              <w:top w:val="nil"/>
              <w:bottom w:val="nil"/>
            </w:tcBorders>
            <w:shd w:val="clear" w:color="auto" w:fill="FFFFFF"/>
          </w:tcPr>
          <w:p w14:paraId="589DC189"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.166</w:t>
            </w:r>
          </w:p>
        </w:tc>
        <w:tc>
          <w:tcPr>
            <w:tcW w:w="1228" w:type="dxa"/>
            <w:tcBorders>
              <w:top w:val="nil"/>
              <w:bottom w:val="nil"/>
            </w:tcBorders>
            <w:shd w:val="clear" w:color="auto" w:fill="FFFFFF"/>
          </w:tcPr>
          <w:p w14:paraId="371696BD"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-.680</w:t>
            </w:r>
          </w:p>
        </w:tc>
        <w:tc>
          <w:tcPr>
            <w:tcW w:w="1233" w:type="dxa"/>
            <w:tcBorders>
              <w:top w:val="nil"/>
              <w:bottom w:val="nil"/>
              <w:right w:val="nil"/>
            </w:tcBorders>
            <w:shd w:val="clear" w:color="auto" w:fill="FFFFFF"/>
          </w:tcPr>
          <w:p w14:paraId="78A18EB3"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.330</w:t>
            </w:r>
          </w:p>
        </w:tc>
      </w:tr>
      <w:tr w:rsidR="005B0C91" w:rsidRPr="00C8400E" w14:paraId="50BCA1DB" w14:textId="77777777" w:rsidTr="00972632">
        <w:trPr>
          <w:gridAfter w:val="1"/>
          <w:wAfter w:w="6" w:type="dxa"/>
          <w:cantSplit/>
          <w:trHeight w:val="478"/>
        </w:trPr>
        <w:tc>
          <w:tcPr>
            <w:tcW w:w="1816" w:type="dxa"/>
            <w:tcBorders>
              <w:top w:val="nil"/>
              <w:left w:val="nil"/>
              <w:bottom w:val="nil"/>
            </w:tcBorders>
            <w:shd w:val="clear" w:color="auto" w:fill="FFFFFF"/>
          </w:tcPr>
          <w:p w14:paraId="4D187603"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LS</w:t>
            </w:r>
          </w:p>
        </w:tc>
        <w:tc>
          <w:tcPr>
            <w:tcW w:w="1227" w:type="dxa"/>
            <w:tcBorders>
              <w:top w:val="nil"/>
              <w:bottom w:val="nil"/>
            </w:tcBorders>
            <w:shd w:val="clear" w:color="auto" w:fill="FFFFFF"/>
          </w:tcPr>
          <w:p w14:paraId="3E7434BF"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216</w:t>
            </w:r>
          </w:p>
        </w:tc>
        <w:tc>
          <w:tcPr>
            <w:tcW w:w="1228" w:type="dxa"/>
            <w:tcBorders>
              <w:top w:val="nil"/>
              <w:bottom w:val="nil"/>
            </w:tcBorders>
            <w:shd w:val="clear" w:color="auto" w:fill="FFFFFF"/>
          </w:tcPr>
          <w:p w14:paraId="0B184D32"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4.6348</w:t>
            </w:r>
          </w:p>
        </w:tc>
        <w:tc>
          <w:tcPr>
            <w:tcW w:w="1521" w:type="dxa"/>
            <w:tcBorders>
              <w:top w:val="nil"/>
              <w:bottom w:val="nil"/>
            </w:tcBorders>
            <w:shd w:val="clear" w:color="auto" w:fill="FFFFFF"/>
          </w:tcPr>
          <w:p w14:paraId="3E56276B"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.96912</w:t>
            </w:r>
          </w:p>
        </w:tc>
        <w:tc>
          <w:tcPr>
            <w:tcW w:w="1228" w:type="dxa"/>
            <w:tcBorders>
              <w:top w:val="nil"/>
              <w:bottom w:val="nil"/>
            </w:tcBorders>
            <w:shd w:val="clear" w:color="auto" w:fill="FFFFFF"/>
          </w:tcPr>
          <w:p w14:paraId="0A330CD1"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-.635</w:t>
            </w:r>
          </w:p>
        </w:tc>
        <w:tc>
          <w:tcPr>
            <w:tcW w:w="1229" w:type="dxa"/>
            <w:tcBorders>
              <w:top w:val="nil"/>
              <w:bottom w:val="nil"/>
            </w:tcBorders>
            <w:shd w:val="clear" w:color="auto" w:fill="FFFFFF"/>
          </w:tcPr>
          <w:p w14:paraId="637F5257"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.166</w:t>
            </w:r>
          </w:p>
        </w:tc>
        <w:tc>
          <w:tcPr>
            <w:tcW w:w="1228" w:type="dxa"/>
            <w:tcBorders>
              <w:top w:val="nil"/>
              <w:bottom w:val="nil"/>
            </w:tcBorders>
            <w:shd w:val="clear" w:color="auto" w:fill="FFFFFF"/>
          </w:tcPr>
          <w:p w14:paraId="2686B816"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-1.084</w:t>
            </w:r>
          </w:p>
        </w:tc>
        <w:tc>
          <w:tcPr>
            <w:tcW w:w="1233" w:type="dxa"/>
            <w:tcBorders>
              <w:top w:val="nil"/>
              <w:bottom w:val="nil"/>
              <w:right w:val="nil"/>
            </w:tcBorders>
            <w:shd w:val="clear" w:color="auto" w:fill="FFFFFF"/>
          </w:tcPr>
          <w:p w14:paraId="1950EDB9"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.330</w:t>
            </w:r>
          </w:p>
        </w:tc>
      </w:tr>
      <w:tr w:rsidR="005B0C91" w:rsidRPr="00C8400E" w14:paraId="283C75E8" w14:textId="77777777" w:rsidTr="00972632">
        <w:trPr>
          <w:gridAfter w:val="1"/>
          <w:wAfter w:w="6" w:type="dxa"/>
          <w:cantSplit/>
          <w:trHeight w:val="459"/>
        </w:trPr>
        <w:tc>
          <w:tcPr>
            <w:tcW w:w="1816" w:type="dxa"/>
            <w:tcBorders>
              <w:top w:val="nil"/>
              <w:left w:val="nil"/>
            </w:tcBorders>
            <w:shd w:val="clear" w:color="auto" w:fill="FFFFFF"/>
          </w:tcPr>
          <w:p w14:paraId="6F9A2B9E"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DV</w:t>
            </w:r>
          </w:p>
        </w:tc>
        <w:tc>
          <w:tcPr>
            <w:tcW w:w="1227" w:type="dxa"/>
            <w:tcBorders>
              <w:top w:val="nil"/>
            </w:tcBorders>
            <w:shd w:val="clear" w:color="auto" w:fill="FFFFFF"/>
          </w:tcPr>
          <w:p w14:paraId="08883D2B"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216</w:t>
            </w:r>
          </w:p>
        </w:tc>
        <w:tc>
          <w:tcPr>
            <w:tcW w:w="1228" w:type="dxa"/>
            <w:tcBorders>
              <w:top w:val="nil"/>
            </w:tcBorders>
            <w:shd w:val="clear" w:color="auto" w:fill="FFFFFF"/>
          </w:tcPr>
          <w:p w14:paraId="6D9F5C55"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4.6440</w:t>
            </w:r>
          </w:p>
        </w:tc>
        <w:tc>
          <w:tcPr>
            <w:tcW w:w="1521" w:type="dxa"/>
            <w:tcBorders>
              <w:top w:val="nil"/>
            </w:tcBorders>
            <w:shd w:val="clear" w:color="auto" w:fill="FFFFFF"/>
          </w:tcPr>
          <w:p w14:paraId="15A60E2F"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.98625</w:t>
            </w:r>
          </w:p>
        </w:tc>
        <w:tc>
          <w:tcPr>
            <w:tcW w:w="1228" w:type="dxa"/>
            <w:tcBorders>
              <w:top w:val="nil"/>
            </w:tcBorders>
            <w:shd w:val="clear" w:color="auto" w:fill="FFFFFF"/>
          </w:tcPr>
          <w:p w14:paraId="1E7AEABB"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-.559</w:t>
            </w:r>
          </w:p>
        </w:tc>
        <w:tc>
          <w:tcPr>
            <w:tcW w:w="1229" w:type="dxa"/>
            <w:tcBorders>
              <w:top w:val="nil"/>
            </w:tcBorders>
            <w:shd w:val="clear" w:color="auto" w:fill="FFFFFF"/>
          </w:tcPr>
          <w:p w14:paraId="6C8BD09D"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.166</w:t>
            </w:r>
          </w:p>
        </w:tc>
        <w:tc>
          <w:tcPr>
            <w:tcW w:w="1228" w:type="dxa"/>
            <w:tcBorders>
              <w:top w:val="nil"/>
            </w:tcBorders>
            <w:shd w:val="clear" w:color="auto" w:fill="FFFFFF"/>
          </w:tcPr>
          <w:p w14:paraId="4ACEF838"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-1.371</w:t>
            </w:r>
          </w:p>
        </w:tc>
        <w:tc>
          <w:tcPr>
            <w:tcW w:w="1233" w:type="dxa"/>
            <w:tcBorders>
              <w:top w:val="nil"/>
              <w:right w:val="nil"/>
            </w:tcBorders>
            <w:shd w:val="clear" w:color="auto" w:fill="FFFFFF"/>
          </w:tcPr>
          <w:p w14:paraId="01154674"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.330</w:t>
            </w:r>
          </w:p>
        </w:tc>
      </w:tr>
      <w:tr w:rsidR="005B0C91" w:rsidRPr="00C8400E" w14:paraId="7131D934" w14:textId="77777777" w:rsidTr="00972632">
        <w:trPr>
          <w:gridAfter w:val="1"/>
          <w:wAfter w:w="6" w:type="dxa"/>
          <w:cantSplit/>
          <w:trHeight w:val="814"/>
        </w:trPr>
        <w:tc>
          <w:tcPr>
            <w:tcW w:w="1816" w:type="dxa"/>
            <w:tcBorders>
              <w:top w:val="nil"/>
              <w:left w:val="nil"/>
              <w:bottom w:val="single" w:sz="4" w:space="0" w:color="auto"/>
            </w:tcBorders>
            <w:shd w:val="clear" w:color="auto" w:fill="FFFFFF"/>
          </w:tcPr>
          <w:p w14:paraId="32840DBD"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Valid N (listwise)</w:t>
            </w:r>
          </w:p>
        </w:tc>
        <w:tc>
          <w:tcPr>
            <w:tcW w:w="1227" w:type="dxa"/>
            <w:tcBorders>
              <w:top w:val="nil"/>
              <w:bottom w:val="single" w:sz="4" w:space="0" w:color="auto"/>
            </w:tcBorders>
            <w:shd w:val="clear" w:color="auto" w:fill="FFFFFF"/>
          </w:tcPr>
          <w:p w14:paraId="0F0FE371" w14:textId="77777777" w:rsidR="005B0C91" w:rsidRPr="00C8400E" w:rsidRDefault="005B0C91" w:rsidP="00665C41">
            <w:pPr>
              <w:spacing w:line="360" w:lineRule="auto"/>
              <w:jc w:val="center"/>
              <w:rPr>
                <w:color w:val="000000" w:themeColor="text1"/>
                <w:sz w:val="24"/>
                <w:szCs w:val="24"/>
              </w:rPr>
            </w:pPr>
            <w:r w:rsidRPr="00C8400E">
              <w:rPr>
                <w:color w:val="000000" w:themeColor="text1"/>
                <w:sz w:val="24"/>
                <w:szCs w:val="24"/>
              </w:rPr>
              <w:t>216</w:t>
            </w:r>
          </w:p>
        </w:tc>
        <w:tc>
          <w:tcPr>
            <w:tcW w:w="1228" w:type="dxa"/>
            <w:tcBorders>
              <w:top w:val="nil"/>
              <w:bottom w:val="single" w:sz="4" w:space="0" w:color="auto"/>
            </w:tcBorders>
            <w:shd w:val="clear" w:color="auto" w:fill="FFFFFF"/>
            <w:vAlign w:val="center"/>
          </w:tcPr>
          <w:p w14:paraId="6F9524BA" w14:textId="77777777" w:rsidR="005B0C91" w:rsidRPr="00C8400E" w:rsidRDefault="005B0C91" w:rsidP="00665C41">
            <w:pPr>
              <w:spacing w:line="360" w:lineRule="auto"/>
              <w:jc w:val="center"/>
              <w:rPr>
                <w:color w:val="000000" w:themeColor="text1"/>
                <w:sz w:val="24"/>
                <w:szCs w:val="24"/>
              </w:rPr>
            </w:pPr>
          </w:p>
        </w:tc>
        <w:tc>
          <w:tcPr>
            <w:tcW w:w="1521" w:type="dxa"/>
            <w:tcBorders>
              <w:top w:val="nil"/>
              <w:bottom w:val="single" w:sz="4" w:space="0" w:color="auto"/>
            </w:tcBorders>
            <w:shd w:val="clear" w:color="auto" w:fill="FFFFFF"/>
            <w:vAlign w:val="center"/>
          </w:tcPr>
          <w:p w14:paraId="47AEDE61" w14:textId="77777777" w:rsidR="005B0C91" w:rsidRPr="00C8400E" w:rsidRDefault="005B0C91" w:rsidP="00665C41">
            <w:pPr>
              <w:spacing w:line="360" w:lineRule="auto"/>
              <w:jc w:val="center"/>
              <w:rPr>
                <w:color w:val="000000" w:themeColor="text1"/>
                <w:sz w:val="24"/>
                <w:szCs w:val="24"/>
              </w:rPr>
            </w:pPr>
          </w:p>
        </w:tc>
        <w:tc>
          <w:tcPr>
            <w:tcW w:w="1228" w:type="dxa"/>
            <w:tcBorders>
              <w:top w:val="nil"/>
              <w:bottom w:val="single" w:sz="4" w:space="0" w:color="auto"/>
            </w:tcBorders>
            <w:shd w:val="clear" w:color="auto" w:fill="FFFFFF"/>
            <w:vAlign w:val="center"/>
          </w:tcPr>
          <w:p w14:paraId="1A961990" w14:textId="77777777" w:rsidR="005B0C91" w:rsidRPr="00C8400E" w:rsidRDefault="005B0C91" w:rsidP="00665C41">
            <w:pPr>
              <w:spacing w:line="360" w:lineRule="auto"/>
              <w:jc w:val="center"/>
              <w:rPr>
                <w:color w:val="000000" w:themeColor="text1"/>
                <w:sz w:val="24"/>
                <w:szCs w:val="24"/>
              </w:rPr>
            </w:pPr>
          </w:p>
        </w:tc>
        <w:tc>
          <w:tcPr>
            <w:tcW w:w="1229" w:type="dxa"/>
            <w:tcBorders>
              <w:top w:val="nil"/>
              <w:bottom w:val="single" w:sz="4" w:space="0" w:color="auto"/>
            </w:tcBorders>
            <w:shd w:val="clear" w:color="auto" w:fill="FFFFFF"/>
            <w:vAlign w:val="center"/>
          </w:tcPr>
          <w:p w14:paraId="0B5F797D" w14:textId="77777777" w:rsidR="005B0C91" w:rsidRPr="00C8400E" w:rsidRDefault="005B0C91" w:rsidP="00665C41">
            <w:pPr>
              <w:spacing w:line="360" w:lineRule="auto"/>
              <w:jc w:val="center"/>
              <w:rPr>
                <w:color w:val="000000" w:themeColor="text1"/>
                <w:sz w:val="24"/>
                <w:szCs w:val="24"/>
              </w:rPr>
            </w:pPr>
          </w:p>
        </w:tc>
        <w:tc>
          <w:tcPr>
            <w:tcW w:w="1228" w:type="dxa"/>
            <w:tcBorders>
              <w:top w:val="nil"/>
              <w:bottom w:val="single" w:sz="4" w:space="0" w:color="auto"/>
            </w:tcBorders>
            <w:shd w:val="clear" w:color="auto" w:fill="FFFFFF"/>
            <w:vAlign w:val="center"/>
          </w:tcPr>
          <w:p w14:paraId="68C47185" w14:textId="77777777" w:rsidR="005B0C91" w:rsidRPr="00C8400E" w:rsidRDefault="005B0C91" w:rsidP="00665C41">
            <w:pPr>
              <w:spacing w:line="360" w:lineRule="auto"/>
              <w:jc w:val="center"/>
              <w:rPr>
                <w:color w:val="000000" w:themeColor="text1"/>
                <w:sz w:val="24"/>
                <w:szCs w:val="24"/>
              </w:rPr>
            </w:pPr>
          </w:p>
        </w:tc>
        <w:tc>
          <w:tcPr>
            <w:tcW w:w="1233" w:type="dxa"/>
            <w:tcBorders>
              <w:top w:val="nil"/>
              <w:bottom w:val="single" w:sz="4" w:space="0" w:color="auto"/>
              <w:right w:val="nil"/>
            </w:tcBorders>
            <w:shd w:val="clear" w:color="auto" w:fill="FFFFFF"/>
            <w:vAlign w:val="center"/>
          </w:tcPr>
          <w:p w14:paraId="5343F599" w14:textId="77777777" w:rsidR="005B0C91" w:rsidRPr="00C8400E" w:rsidRDefault="005B0C91" w:rsidP="00665C41">
            <w:pPr>
              <w:spacing w:line="360" w:lineRule="auto"/>
              <w:jc w:val="center"/>
              <w:rPr>
                <w:color w:val="000000" w:themeColor="text1"/>
                <w:sz w:val="24"/>
                <w:szCs w:val="24"/>
              </w:rPr>
            </w:pPr>
          </w:p>
        </w:tc>
      </w:tr>
    </w:tbl>
    <w:p w14:paraId="2FF787CC" w14:textId="46215DC6" w:rsidR="00972632" w:rsidRPr="00972632" w:rsidRDefault="00972632" w:rsidP="00972632">
      <w:pPr>
        <w:spacing w:after="0" w:line="480" w:lineRule="auto"/>
        <w:rPr>
          <w:sz w:val="24"/>
          <w:szCs w:val="24"/>
          <w:lang w:val="en-GB"/>
        </w:rPr>
      </w:pPr>
      <w:r>
        <w:rPr>
          <w:sz w:val="24"/>
          <w:szCs w:val="24"/>
          <w:lang w:val="en-GB"/>
        </w:rPr>
        <w:t>Source: Survey Data (2025)</w:t>
      </w:r>
    </w:p>
    <w:p w14:paraId="0DC39093" w14:textId="6197BF27" w:rsidR="00E00B62" w:rsidRPr="00E00B62" w:rsidRDefault="00E00B62" w:rsidP="00DE79BF">
      <w:pPr>
        <w:spacing w:before="240" w:after="240"/>
        <w:rPr>
          <w:sz w:val="24"/>
          <w:szCs w:val="24"/>
        </w:rPr>
      </w:pPr>
      <w:r w:rsidRPr="00E00B62">
        <w:rPr>
          <w:sz w:val="24"/>
          <w:szCs w:val="24"/>
        </w:rPr>
        <w:t xml:space="preserve">Table </w:t>
      </w:r>
      <w:r w:rsidR="008A1315">
        <w:rPr>
          <w:sz w:val="24"/>
          <w:szCs w:val="24"/>
        </w:rPr>
        <w:t>2</w:t>
      </w:r>
      <w:r w:rsidRPr="00E00B62">
        <w:rPr>
          <w:sz w:val="24"/>
          <w:szCs w:val="24"/>
        </w:rPr>
        <w:t xml:space="preserve"> presents the descriptive statistics for the study variables based on 216 valid responses. The analysis </w:t>
      </w:r>
      <w:proofErr w:type="spellStart"/>
      <w:r w:rsidRPr="00E00B62">
        <w:rPr>
          <w:sz w:val="24"/>
          <w:szCs w:val="24"/>
        </w:rPr>
        <w:t>summarises</w:t>
      </w:r>
      <w:proofErr w:type="spellEnd"/>
      <w:r w:rsidRPr="00E00B62">
        <w:rPr>
          <w:sz w:val="24"/>
          <w:szCs w:val="24"/>
        </w:rPr>
        <w:t xml:space="preserve"> the respondents' perceptions of the independent variables, mediating variable, and dependent variable using the mean, standard deviation, skewness, and kurtosis values.</w:t>
      </w:r>
    </w:p>
    <w:p w14:paraId="727DF80B" w14:textId="00942C92" w:rsidR="00E00B62" w:rsidRDefault="00E00B62" w:rsidP="00DE79BF">
      <w:pPr>
        <w:spacing w:before="240" w:after="240"/>
        <w:rPr>
          <w:sz w:val="24"/>
          <w:szCs w:val="24"/>
        </w:rPr>
      </w:pPr>
      <w:r w:rsidRPr="00E00B62">
        <w:rPr>
          <w:sz w:val="24"/>
          <w:szCs w:val="24"/>
        </w:rPr>
        <w:t xml:space="preserve">The mean scores for all constructs ranged from 4.6134 to 4.6914, indicating that respondents generally expressed </w:t>
      </w:r>
      <w:proofErr w:type="spellStart"/>
      <w:r w:rsidRPr="00E00B62">
        <w:rPr>
          <w:sz w:val="24"/>
          <w:szCs w:val="24"/>
        </w:rPr>
        <w:t>favourable</w:t>
      </w:r>
      <w:proofErr w:type="spellEnd"/>
      <w:r w:rsidRPr="00E00B62">
        <w:rPr>
          <w:sz w:val="24"/>
          <w:szCs w:val="24"/>
        </w:rPr>
        <w:t xml:space="preserve"> views towards the technology strategy dimensions, leadership style, and sustainable manufacturing performance examined in this study. </w:t>
      </w:r>
      <w:r w:rsidR="00191B06" w:rsidRPr="00191B06">
        <w:rPr>
          <w:sz w:val="24"/>
          <w:szCs w:val="24"/>
        </w:rPr>
        <w:t xml:space="preserve">The high mean scores may </w:t>
      </w:r>
      <w:r w:rsidR="00191B06">
        <w:rPr>
          <w:sz w:val="24"/>
          <w:szCs w:val="24"/>
        </w:rPr>
        <w:t xml:space="preserve">also </w:t>
      </w:r>
      <w:r w:rsidR="00191B06" w:rsidRPr="00191B06">
        <w:rPr>
          <w:sz w:val="24"/>
          <w:szCs w:val="24"/>
        </w:rPr>
        <w:t xml:space="preserve">reflect respondents’ positive perceptions towards Industry 4.0 adoption and sustainability initiatives within their </w:t>
      </w:r>
      <w:proofErr w:type="spellStart"/>
      <w:r w:rsidR="00191B06" w:rsidRPr="00191B06">
        <w:rPr>
          <w:sz w:val="24"/>
          <w:szCs w:val="24"/>
        </w:rPr>
        <w:t>organisations</w:t>
      </w:r>
      <w:proofErr w:type="spellEnd"/>
      <w:r w:rsidR="00191B06" w:rsidRPr="00191B06">
        <w:rPr>
          <w:sz w:val="24"/>
          <w:szCs w:val="24"/>
        </w:rPr>
        <w:t>.</w:t>
      </w:r>
      <w:r w:rsidR="00191B06">
        <w:rPr>
          <w:sz w:val="24"/>
          <w:szCs w:val="24"/>
        </w:rPr>
        <w:t xml:space="preserve"> </w:t>
      </w:r>
      <w:r w:rsidRPr="00E00B62">
        <w:rPr>
          <w:sz w:val="24"/>
          <w:szCs w:val="24"/>
        </w:rPr>
        <w:t xml:space="preserve">Among the constructs, Manufacturing System and Process Design Technologies (MSPD) recorded the highest mean score (M = 4.6914, SD = 1.09893), followed by </w:t>
      </w:r>
      <w:proofErr w:type="spellStart"/>
      <w:r w:rsidRPr="00E00B62">
        <w:rPr>
          <w:sz w:val="24"/>
          <w:szCs w:val="24"/>
        </w:rPr>
        <w:t>Microfactories</w:t>
      </w:r>
      <w:proofErr w:type="spellEnd"/>
      <w:r w:rsidRPr="00E00B62">
        <w:rPr>
          <w:sz w:val="24"/>
          <w:szCs w:val="24"/>
        </w:rPr>
        <w:t xml:space="preserve"> (MF) (M = 4.6704, SD = 0.98067), Product and Process Technology (PPT) (M = 4.6667, SD = 1.00181), and Technological Investments (TI) (M = 4.6587, SD = 1.10894). Sustainable Manufacturing Performance (SMP), the dependent variable, also recorded a relatively high mean score (M = 4.6440, SD = 0.98625), reflecting respondents' positive assessment of their </w:t>
      </w:r>
      <w:proofErr w:type="spellStart"/>
      <w:r w:rsidRPr="00E00B62">
        <w:rPr>
          <w:sz w:val="24"/>
          <w:szCs w:val="24"/>
        </w:rPr>
        <w:t>organisations'</w:t>
      </w:r>
      <w:proofErr w:type="spellEnd"/>
      <w:r w:rsidRPr="00E00B62">
        <w:rPr>
          <w:sz w:val="24"/>
          <w:szCs w:val="24"/>
        </w:rPr>
        <w:t xml:space="preserve"> sustainability performance. Overall, the consistently high mean values suggest that the sampled manufacturing </w:t>
      </w:r>
      <w:r w:rsidRPr="00E00B62">
        <w:rPr>
          <w:sz w:val="24"/>
          <w:szCs w:val="24"/>
        </w:rPr>
        <w:lastRenderedPageBreak/>
        <w:t>firms have embraced technology strategy initiatives and leadership practices that support sustainable manufacturing.</w:t>
      </w:r>
    </w:p>
    <w:p w14:paraId="1043338A" w14:textId="77777777" w:rsidR="00DE79BF" w:rsidRPr="00E00B62" w:rsidRDefault="00DE79BF" w:rsidP="00DE79BF">
      <w:pPr>
        <w:spacing w:before="240" w:after="240"/>
        <w:rPr>
          <w:sz w:val="24"/>
          <w:szCs w:val="24"/>
        </w:rPr>
      </w:pPr>
    </w:p>
    <w:p w14:paraId="7E10D7DB" w14:textId="158D26D8" w:rsidR="008A1315" w:rsidRPr="00E00B62" w:rsidRDefault="00E00B62" w:rsidP="00DE79BF">
      <w:pPr>
        <w:spacing w:before="240" w:after="240"/>
        <w:rPr>
          <w:sz w:val="24"/>
          <w:szCs w:val="24"/>
        </w:rPr>
      </w:pPr>
      <w:r w:rsidRPr="00E00B62">
        <w:rPr>
          <w:sz w:val="24"/>
          <w:szCs w:val="24"/>
        </w:rPr>
        <w:t xml:space="preserve">The standard deviation values ranged from 0.96912 to 1.10894, indicating a moderate level of variation in respondents' answers. While most respondents shared similar perceptions, some differences were evident across </w:t>
      </w:r>
      <w:proofErr w:type="spellStart"/>
      <w:r w:rsidRPr="00E00B62">
        <w:rPr>
          <w:sz w:val="24"/>
          <w:szCs w:val="24"/>
        </w:rPr>
        <w:t>organisations</w:t>
      </w:r>
      <w:proofErr w:type="spellEnd"/>
      <w:r w:rsidRPr="00E00B62">
        <w:rPr>
          <w:sz w:val="24"/>
          <w:szCs w:val="24"/>
        </w:rPr>
        <w:t xml:space="preserve">, which is reasonable given the diversity in </w:t>
      </w:r>
      <w:proofErr w:type="spellStart"/>
      <w:r w:rsidRPr="00E00B62">
        <w:rPr>
          <w:sz w:val="24"/>
          <w:szCs w:val="24"/>
        </w:rPr>
        <w:t>organisational</w:t>
      </w:r>
      <w:proofErr w:type="spellEnd"/>
      <w:r w:rsidRPr="00E00B62">
        <w:rPr>
          <w:sz w:val="24"/>
          <w:szCs w:val="24"/>
        </w:rPr>
        <w:t xml:space="preserve"> size, technological capability, and operational practices among Malaysian manufacturing firms.</w:t>
      </w:r>
    </w:p>
    <w:p w14:paraId="184AA34D" w14:textId="6317E09E" w:rsidR="008A1315" w:rsidRPr="00E00B62" w:rsidRDefault="00E00B62" w:rsidP="00DE79BF">
      <w:pPr>
        <w:spacing w:before="240" w:after="240"/>
        <w:rPr>
          <w:sz w:val="24"/>
          <w:szCs w:val="24"/>
        </w:rPr>
      </w:pPr>
      <w:r w:rsidRPr="00E00B62">
        <w:rPr>
          <w:sz w:val="24"/>
          <w:szCs w:val="24"/>
        </w:rPr>
        <w:t>The distribution of the data was further examined using skewness and kurtosis statistics. Skewness values ranged from -1.055 to -0.544, whereas kurtosis values ranged from -1.371 to -0.028. These values fall within the recommended ranges for normality, indicating that the data are approximately normally distributed. Consequently, the dataset satisfies the assumptions required for subsequent parametric analyses.</w:t>
      </w:r>
    </w:p>
    <w:p w14:paraId="4797F15C" w14:textId="2610F76D" w:rsidR="009C3CA5" w:rsidRPr="005B0C91" w:rsidRDefault="00E00B62" w:rsidP="00DE79BF">
      <w:pPr>
        <w:spacing w:before="240" w:after="240"/>
        <w:rPr>
          <w:sz w:val="24"/>
          <w:szCs w:val="24"/>
        </w:rPr>
      </w:pPr>
      <w:r w:rsidRPr="00E00B62">
        <w:rPr>
          <w:sz w:val="24"/>
          <w:szCs w:val="24"/>
        </w:rPr>
        <w:t xml:space="preserve">Taken together, the descriptive statistics demonstrate that respondents reported </w:t>
      </w:r>
      <w:proofErr w:type="spellStart"/>
      <w:r w:rsidRPr="00E00B62">
        <w:rPr>
          <w:sz w:val="24"/>
          <w:szCs w:val="24"/>
        </w:rPr>
        <w:t>favourable</w:t>
      </w:r>
      <w:proofErr w:type="spellEnd"/>
      <w:r w:rsidRPr="00E00B62">
        <w:rPr>
          <w:sz w:val="24"/>
          <w:szCs w:val="24"/>
        </w:rPr>
        <w:t xml:space="preserve"> perceptions across all study constructs. The relatively high mean scores, moderate variability, and acceptable normality values indicate that the data are suitable for further statistical analyses to examine the relationships between technology strategy, leadership style, and sustainable manufacturing performance.</w:t>
      </w:r>
    </w:p>
    <w:p w14:paraId="5056E886" w14:textId="77777777" w:rsidR="009C3CA5" w:rsidRPr="005B0C91" w:rsidRDefault="009C3CA5" w:rsidP="00615012">
      <w:pPr>
        <w:spacing w:after="0"/>
        <w:rPr>
          <w:sz w:val="24"/>
          <w:szCs w:val="24"/>
        </w:rPr>
      </w:pPr>
    </w:p>
    <w:p w14:paraId="21923C6D" w14:textId="159F70E4" w:rsidR="00040D4E" w:rsidRPr="00DE79BF" w:rsidRDefault="00DE79BF" w:rsidP="00040D4E">
      <w:pPr>
        <w:spacing w:after="0"/>
        <w:rPr>
          <w:b/>
          <w:bCs/>
          <w:sz w:val="28"/>
          <w:szCs w:val="28"/>
        </w:rPr>
      </w:pPr>
      <w:r w:rsidRPr="00DE79BF">
        <w:rPr>
          <w:b/>
          <w:bCs/>
          <w:sz w:val="28"/>
          <w:szCs w:val="28"/>
        </w:rPr>
        <w:t>5.2 GENDER</w:t>
      </w:r>
    </w:p>
    <w:p w14:paraId="786CADC9" w14:textId="77777777" w:rsidR="00040D4E" w:rsidRPr="005B0C91" w:rsidRDefault="00040D4E" w:rsidP="00040D4E">
      <w:pPr>
        <w:spacing w:after="0"/>
        <w:rPr>
          <w:b/>
          <w:bCs/>
          <w:sz w:val="24"/>
          <w:szCs w:val="24"/>
        </w:rPr>
      </w:pPr>
    </w:p>
    <w:p w14:paraId="5B72B722" w14:textId="69A2B2E2" w:rsidR="009C3CA5" w:rsidRPr="00DE79BF" w:rsidRDefault="009C3CA5" w:rsidP="009C3CA5">
      <w:pPr>
        <w:pStyle w:val="Caption"/>
        <w:keepNext/>
        <w:rPr>
          <w:color w:val="auto"/>
          <w:sz w:val="24"/>
          <w:szCs w:val="24"/>
        </w:rPr>
      </w:pPr>
      <w:r w:rsidRPr="00DE79BF">
        <w:rPr>
          <w:color w:val="auto"/>
          <w:sz w:val="24"/>
          <w:szCs w:val="24"/>
        </w:rPr>
        <w:t xml:space="preserve">Table </w:t>
      </w:r>
      <w:r w:rsidRPr="00DE79BF">
        <w:rPr>
          <w:color w:val="auto"/>
          <w:sz w:val="24"/>
          <w:szCs w:val="24"/>
        </w:rPr>
        <w:fldChar w:fldCharType="begin"/>
      </w:r>
      <w:r w:rsidRPr="00DE79BF">
        <w:rPr>
          <w:color w:val="auto"/>
          <w:sz w:val="24"/>
          <w:szCs w:val="24"/>
        </w:rPr>
        <w:instrText xml:space="preserve"> SEQ Table \* ARABIC </w:instrText>
      </w:r>
      <w:r w:rsidRPr="00DE79BF">
        <w:rPr>
          <w:color w:val="auto"/>
          <w:sz w:val="24"/>
          <w:szCs w:val="24"/>
        </w:rPr>
        <w:fldChar w:fldCharType="separate"/>
      </w:r>
      <w:r w:rsidR="00605047">
        <w:rPr>
          <w:noProof/>
          <w:color w:val="auto"/>
          <w:sz w:val="24"/>
          <w:szCs w:val="24"/>
        </w:rPr>
        <w:t>3</w:t>
      </w:r>
      <w:r w:rsidRPr="00DE79BF">
        <w:rPr>
          <w:color w:val="auto"/>
          <w:sz w:val="24"/>
          <w:szCs w:val="24"/>
        </w:rPr>
        <w:fldChar w:fldCharType="end"/>
      </w:r>
      <w:r w:rsidRPr="00DE79BF">
        <w:rPr>
          <w:color w:val="auto"/>
          <w:sz w:val="24"/>
          <w:szCs w:val="24"/>
        </w:rPr>
        <w:t xml:space="preserve"> Gender</w:t>
      </w:r>
    </w:p>
    <w:tbl>
      <w:tblPr>
        <w:tblW w:w="9511" w:type="dxa"/>
        <w:tblLayout w:type="fixed"/>
        <w:tblCellMar>
          <w:left w:w="0" w:type="dxa"/>
          <w:right w:w="0" w:type="dxa"/>
        </w:tblCellMar>
        <w:tblLook w:val="0000" w:firstRow="0" w:lastRow="0" w:firstColumn="0" w:lastColumn="0" w:noHBand="0" w:noVBand="0"/>
      </w:tblPr>
      <w:tblGrid>
        <w:gridCol w:w="2730"/>
        <w:gridCol w:w="3463"/>
        <w:gridCol w:w="3318"/>
      </w:tblGrid>
      <w:tr w:rsidR="00040D4E" w:rsidRPr="005B0C91" w14:paraId="4BC769E2" w14:textId="77777777" w:rsidTr="00355FEE">
        <w:trPr>
          <w:cantSplit/>
          <w:trHeight w:val="470"/>
        </w:trPr>
        <w:tc>
          <w:tcPr>
            <w:tcW w:w="9511" w:type="dxa"/>
            <w:gridSpan w:val="3"/>
            <w:tcBorders>
              <w:top w:val="nil"/>
              <w:left w:val="nil"/>
              <w:bottom w:val="nil"/>
              <w:right w:val="nil"/>
            </w:tcBorders>
            <w:shd w:val="clear" w:color="auto" w:fill="FFFFFF"/>
            <w:vAlign w:val="center"/>
          </w:tcPr>
          <w:p w14:paraId="28AB3971" w14:textId="77777777" w:rsidR="00040D4E" w:rsidRPr="005B0C91" w:rsidRDefault="00040D4E" w:rsidP="00355FEE">
            <w:pPr>
              <w:spacing w:line="360" w:lineRule="auto"/>
              <w:jc w:val="center"/>
              <w:rPr>
                <w:sz w:val="24"/>
                <w:szCs w:val="24"/>
              </w:rPr>
            </w:pPr>
            <w:r w:rsidRPr="005B0C91">
              <w:rPr>
                <w:sz w:val="24"/>
                <w:szCs w:val="24"/>
              </w:rPr>
              <w:t>Gender</w:t>
            </w:r>
          </w:p>
        </w:tc>
      </w:tr>
      <w:tr w:rsidR="00040D4E" w:rsidRPr="005B0C91" w14:paraId="57FD7E76" w14:textId="77777777" w:rsidTr="00972632">
        <w:trPr>
          <w:cantSplit/>
          <w:trHeight w:val="470"/>
        </w:trPr>
        <w:tc>
          <w:tcPr>
            <w:tcW w:w="2730" w:type="dxa"/>
            <w:tcBorders>
              <w:top w:val="single" w:sz="8" w:space="0" w:color="000000"/>
              <w:left w:val="nil"/>
              <w:bottom w:val="single" w:sz="8" w:space="0" w:color="000000"/>
              <w:right w:val="nil"/>
            </w:tcBorders>
            <w:shd w:val="clear" w:color="auto" w:fill="FFFFFF"/>
            <w:vAlign w:val="bottom"/>
          </w:tcPr>
          <w:p w14:paraId="3C35F388" w14:textId="77777777" w:rsidR="00040D4E" w:rsidRPr="005B0C91" w:rsidRDefault="00040D4E" w:rsidP="00355FEE">
            <w:pPr>
              <w:spacing w:line="360" w:lineRule="auto"/>
              <w:rPr>
                <w:sz w:val="24"/>
                <w:szCs w:val="24"/>
              </w:rPr>
            </w:pPr>
          </w:p>
        </w:tc>
        <w:tc>
          <w:tcPr>
            <w:tcW w:w="3463" w:type="dxa"/>
            <w:tcBorders>
              <w:top w:val="single" w:sz="8" w:space="0" w:color="000000"/>
              <w:left w:val="nil"/>
              <w:bottom w:val="single" w:sz="8" w:space="0" w:color="000000"/>
              <w:right w:val="nil"/>
            </w:tcBorders>
            <w:shd w:val="clear" w:color="auto" w:fill="FFFFFF"/>
            <w:vAlign w:val="bottom"/>
          </w:tcPr>
          <w:p w14:paraId="7CCC8444" w14:textId="77777777" w:rsidR="00040D4E" w:rsidRPr="005B0C91" w:rsidRDefault="00040D4E" w:rsidP="00355FEE">
            <w:pPr>
              <w:spacing w:line="360" w:lineRule="auto"/>
              <w:rPr>
                <w:sz w:val="24"/>
                <w:szCs w:val="24"/>
              </w:rPr>
            </w:pPr>
            <w:r w:rsidRPr="005B0C91">
              <w:rPr>
                <w:sz w:val="24"/>
                <w:szCs w:val="24"/>
              </w:rPr>
              <w:t>N</w:t>
            </w:r>
          </w:p>
        </w:tc>
        <w:tc>
          <w:tcPr>
            <w:tcW w:w="3318" w:type="dxa"/>
            <w:tcBorders>
              <w:top w:val="single" w:sz="8" w:space="0" w:color="000000"/>
              <w:left w:val="nil"/>
              <w:bottom w:val="single" w:sz="8" w:space="0" w:color="000000"/>
              <w:right w:val="nil"/>
            </w:tcBorders>
            <w:shd w:val="clear" w:color="auto" w:fill="FFFFFF"/>
            <w:vAlign w:val="bottom"/>
          </w:tcPr>
          <w:p w14:paraId="4CFB1911" w14:textId="77777777" w:rsidR="00040D4E" w:rsidRPr="005B0C91" w:rsidRDefault="00040D4E" w:rsidP="00355FEE">
            <w:pPr>
              <w:spacing w:line="360" w:lineRule="auto"/>
              <w:rPr>
                <w:sz w:val="24"/>
                <w:szCs w:val="24"/>
              </w:rPr>
            </w:pPr>
            <w:r w:rsidRPr="005B0C91">
              <w:rPr>
                <w:sz w:val="24"/>
                <w:szCs w:val="24"/>
              </w:rPr>
              <w:t>%</w:t>
            </w:r>
          </w:p>
        </w:tc>
      </w:tr>
      <w:tr w:rsidR="00040D4E" w:rsidRPr="005B0C91" w14:paraId="662B0BEF" w14:textId="77777777" w:rsidTr="00972632">
        <w:trPr>
          <w:cantSplit/>
          <w:trHeight w:val="470"/>
        </w:trPr>
        <w:tc>
          <w:tcPr>
            <w:tcW w:w="2730" w:type="dxa"/>
            <w:tcBorders>
              <w:top w:val="single" w:sz="8" w:space="0" w:color="000000"/>
              <w:left w:val="nil"/>
              <w:bottom w:val="nil"/>
              <w:right w:val="nil"/>
            </w:tcBorders>
            <w:shd w:val="clear" w:color="auto" w:fill="FFFFFF"/>
          </w:tcPr>
          <w:p w14:paraId="32E9542D" w14:textId="77777777" w:rsidR="00040D4E" w:rsidRPr="005B0C91" w:rsidRDefault="00040D4E" w:rsidP="00355FEE">
            <w:pPr>
              <w:spacing w:line="360" w:lineRule="auto"/>
              <w:rPr>
                <w:sz w:val="24"/>
                <w:szCs w:val="24"/>
              </w:rPr>
            </w:pPr>
            <w:r w:rsidRPr="005B0C91">
              <w:rPr>
                <w:sz w:val="24"/>
                <w:szCs w:val="24"/>
              </w:rPr>
              <w:t>Female</w:t>
            </w:r>
          </w:p>
        </w:tc>
        <w:tc>
          <w:tcPr>
            <w:tcW w:w="3463" w:type="dxa"/>
            <w:tcBorders>
              <w:top w:val="single" w:sz="8" w:space="0" w:color="000000"/>
              <w:left w:val="nil"/>
              <w:bottom w:val="nil"/>
              <w:right w:val="nil"/>
            </w:tcBorders>
            <w:shd w:val="clear" w:color="auto" w:fill="FFFFFF"/>
            <w:vAlign w:val="center"/>
          </w:tcPr>
          <w:p w14:paraId="3C4F1DFC" w14:textId="77777777" w:rsidR="00040D4E" w:rsidRPr="005B0C91" w:rsidRDefault="00040D4E" w:rsidP="00355FEE">
            <w:pPr>
              <w:spacing w:line="360" w:lineRule="auto"/>
              <w:rPr>
                <w:sz w:val="24"/>
                <w:szCs w:val="24"/>
              </w:rPr>
            </w:pPr>
            <w:r w:rsidRPr="005B0C91">
              <w:rPr>
                <w:sz w:val="24"/>
                <w:szCs w:val="24"/>
              </w:rPr>
              <w:t>69</w:t>
            </w:r>
          </w:p>
        </w:tc>
        <w:tc>
          <w:tcPr>
            <w:tcW w:w="3318" w:type="dxa"/>
            <w:tcBorders>
              <w:top w:val="single" w:sz="8" w:space="0" w:color="000000"/>
              <w:left w:val="nil"/>
              <w:bottom w:val="nil"/>
              <w:right w:val="nil"/>
            </w:tcBorders>
            <w:shd w:val="clear" w:color="auto" w:fill="FFFFFF"/>
            <w:vAlign w:val="center"/>
          </w:tcPr>
          <w:p w14:paraId="423E2C01" w14:textId="77777777" w:rsidR="00040D4E" w:rsidRPr="005B0C91" w:rsidRDefault="00040D4E" w:rsidP="00355FEE">
            <w:pPr>
              <w:spacing w:line="360" w:lineRule="auto"/>
              <w:rPr>
                <w:sz w:val="24"/>
                <w:szCs w:val="24"/>
              </w:rPr>
            </w:pPr>
            <w:r w:rsidRPr="005B0C91">
              <w:rPr>
                <w:sz w:val="24"/>
                <w:szCs w:val="24"/>
              </w:rPr>
              <w:t>31.9%</w:t>
            </w:r>
          </w:p>
        </w:tc>
      </w:tr>
      <w:tr w:rsidR="00040D4E" w:rsidRPr="005B0C91" w14:paraId="4555CCCA" w14:textId="77777777" w:rsidTr="00972632">
        <w:trPr>
          <w:cantSplit/>
          <w:trHeight w:val="470"/>
        </w:trPr>
        <w:tc>
          <w:tcPr>
            <w:tcW w:w="2730" w:type="dxa"/>
            <w:tcBorders>
              <w:top w:val="nil"/>
              <w:left w:val="nil"/>
              <w:bottom w:val="single" w:sz="8" w:space="0" w:color="000000"/>
              <w:right w:val="nil"/>
            </w:tcBorders>
            <w:shd w:val="clear" w:color="auto" w:fill="FFFFFF"/>
          </w:tcPr>
          <w:p w14:paraId="1C75CD68" w14:textId="77777777" w:rsidR="00040D4E" w:rsidRPr="005B0C91" w:rsidRDefault="00040D4E" w:rsidP="00355FEE">
            <w:pPr>
              <w:spacing w:line="360" w:lineRule="auto"/>
              <w:rPr>
                <w:sz w:val="24"/>
                <w:szCs w:val="24"/>
              </w:rPr>
            </w:pPr>
            <w:r w:rsidRPr="005B0C91">
              <w:rPr>
                <w:sz w:val="24"/>
                <w:szCs w:val="24"/>
              </w:rPr>
              <w:t>Male</w:t>
            </w:r>
          </w:p>
        </w:tc>
        <w:tc>
          <w:tcPr>
            <w:tcW w:w="3463" w:type="dxa"/>
            <w:tcBorders>
              <w:top w:val="nil"/>
              <w:left w:val="nil"/>
              <w:bottom w:val="single" w:sz="8" w:space="0" w:color="000000"/>
              <w:right w:val="nil"/>
            </w:tcBorders>
            <w:shd w:val="clear" w:color="auto" w:fill="FFFFFF"/>
            <w:vAlign w:val="center"/>
          </w:tcPr>
          <w:p w14:paraId="6E55D2BD" w14:textId="77777777" w:rsidR="00040D4E" w:rsidRPr="005B0C91" w:rsidRDefault="00040D4E" w:rsidP="00355FEE">
            <w:pPr>
              <w:spacing w:line="360" w:lineRule="auto"/>
              <w:rPr>
                <w:sz w:val="24"/>
                <w:szCs w:val="24"/>
              </w:rPr>
            </w:pPr>
            <w:r w:rsidRPr="005B0C91">
              <w:rPr>
                <w:sz w:val="24"/>
                <w:szCs w:val="24"/>
              </w:rPr>
              <w:t>147</w:t>
            </w:r>
          </w:p>
        </w:tc>
        <w:tc>
          <w:tcPr>
            <w:tcW w:w="3318" w:type="dxa"/>
            <w:tcBorders>
              <w:top w:val="nil"/>
              <w:left w:val="nil"/>
              <w:bottom w:val="single" w:sz="8" w:space="0" w:color="000000"/>
              <w:right w:val="nil"/>
            </w:tcBorders>
            <w:shd w:val="clear" w:color="auto" w:fill="FFFFFF"/>
            <w:vAlign w:val="center"/>
          </w:tcPr>
          <w:p w14:paraId="6D829332" w14:textId="77777777" w:rsidR="00040D4E" w:rsidRPr="005B0C91" w:rsidRDefault="00040D4E" w:rsidP="00355FEE">
            <w:pPr>
              <w:spacing w:line="360" w:lineRule="auto"/>
              <w:rPr>
                <w:sz w:val="24"/>
                <w:szCs w:val="24"/>
              </w:rPr>
            </w:pPr>
            <w:r w:rsidRPr="005B0C91">
              <w:rPr>
                <w:sz w:val="24"/>
                <w:szCs w:val="24"/>
              </w:rPr>
              <w:t>68.1%</w:t>
            </w:r>
          </w:p>
        </w:tc>
      </w:tr>
    </w:tbl>
    <w:p w14:paraId="0190BCE4" w14:textId="4C5C4926" w:rsidR="00040D4E" w:rsidRPr="00972632" w:rsidRDefault="00972632" w:rsidP="00972632">
      <w:pPr>
        <w:spacing w:after="0" w:line="480" w:lineRule="auto"/>
        <w:rPr>
          <w:sz w:val="24"/>
          <w:szCs w:val="24"/>
          <w:lang w:val="en-GB"/>
        </w:rPr>
      </w:pPr>
      <w:r>
        <w:rPr>
          <w:sz w:val="24"/>
          <w:szCs w:val="24"/>
          <w:lang w:val="en-GB"/>
        </w:rPr>
        <w:t>Source: Survey Data (2025)</w:t>
      </w:r>
    </w:p>
    <w:p w14:paraId="0224D574" w14:textId="77777777" w:rsidR="00040D4E" w:rsidRPr="005B0C91" w:rsidRDefault="00040D4E" w:rsidP="00DE79BF">
      <w:pPr>
        <w:spacing w:before="240" w:after="240"/>
        <w:rPr>
          <w:sz w:val="24"/>
          <w:szCs w:val="24"/>
        </w:rPr>
      </w:pPr>
      <w:r w:rsidRPr="005B0C91">
        <w:rPr>
          <w:sz w:val="24"/>
          <w:szCs w:val="24"/>
        </w:rPr>
        <w:t>The gender distribution of respondents indicates that the majority of participants were male. Specifically, out of 216 respondents, 68.1% (n = 147) were male, while 31.9% (n = 69) were female. This reflects the continued male dominance within the manufacturing sector, which is commonly associated with technical, operational, and engineering-related roles. However, the presence of female respondents also indicates increasing gender diversity in managerial and technical positions within Malaysian manufacturing firms.</w:t>
      </w:r>
    </w:p>
    <w:p w14:paraId="5A1D7950" w14:textId="7C5402DC" w:rsidR="00040D4E" w:rsidRPr="005B0C91" w:rsidRDefault="00040D4E" w:rsidP="00040D4E">
      <w:pPr>
        <w:spacing w:after="0"/>
        <w:rPr>
          <w:sz w:val="24"/>
          <w:szCs w:val="24"/>
        </w:rPr>
      </w:pPr>
    </w:p>
    <w:p w14:paraId="308D4B5E" w14:textId="77777777" w:rsidR="009C3CA5" w:rsidRPr="005B0C91" w:rsidRDefault="009C3CA5" w:rsidP="00040D4E">
      <w:pPr>
        <w:spacing w:after="0"/>
        <w:rPr>
          <w:sz w:val="24"/>
          <w:szCs w:val="24"/>
        </w:rPr>
      </w:pPr>
    </w:p>
    <w:p w14:paraId="37C3D86B" w14:textId="313129A7" w:rsidR="00040D4E" w:rsidRPr="00DE79BF" w:rsidRDefault="00DE79BF" w:rsidP="00040D4E">
      <w:pPr>
        <w:spacing w:after="0"/>
        <w:rPr>
          <w:b/>
          <w:bCs/>
          <w:sz w:val="28"/>
          <w:szCs w:val="28"/>
        </w:rPr>
      </w:pPr>
      <w:r w:rsidRPr="00DE79BF">
        <w:rPr>
          <w:b/>
          <w:bCs/>
          <w:sz w:val="28"/>
          <w:szCs w:val="28"/>
        </w:rPr>
        <w:t>5.3 NATURE OF THE COMPANY</w:t>
      </w:r>
    </w:p>
    <w:p w14:paraId="71C14DD8" w14:textId="77777777" w:rsidR="009C3CA5" w:rsidRPr="005B0C91" w:rsidRDefault="009C3CA5" w:rsidP="00040D4E">
      <w:pPr>
        <w:spacing w:after="0"/>
        <w:rPr>
          <w:b/>
          <w:bCs/>
          <w:sz w:val="24"/>
          <w:szCs w:val="24"/>
        </w:rPr>
      </w:pPr>
    </w:p>
    <w:p w14:paraId="1CB8813D" w14:textId="4C7E15DC" w:rsidR="009C3CA5" w:rsidRPr="00DE79BF" w:rsidRDefault="009C3CA5" w:rsidP="009C3CA5">
      <w:pPr>
        <w:pStyle w:val="Caption"/>
        <w:keepNext/>
        <w:rPr>
          <w:color w:val="auto"/>
          <w:sz w:val="24"/>
          <w:szCs w:val="24"/>
        </w:rPr>
      </w:pPr>
      <w:r w:rsidRPr="00DE79BF">
        <w:rPr>
          <w:color w:val="auto"/>
          <w:sz w:val="24"/>
          <w:szCs w:val="24"/>
        </w:rPr>
        <w:t xml:space="preserve">Table </w:t>
      </w:r>
      <w:r w:rsidRPr="00DE79BF">
        <w:rPr>
          <w:color w:val="auto"/>
          <w:sz w:val="24"/>
          <w:szCs w:val="24"/>
        </w:rPr>
        <w:fldChar w:fldCharType="begin"/>
      </w:r>
      <w:r w:rsidRPr="00DE79BF">
        <w:rPr>
          <w:color w:val="auto"/>
          <w:sz w:val="24"/>
          <w:szCs w:val="24"/>
        </w:rPr>
        <w:instrText xml:space="preserve"> SEQ Table \* ARABIC </w:instrText>
      </w:r>
      <w:r w:rsidRPr="00DE79BF">
        <w:rPr>
          <w:color w:val="auto"/>
          <w:sz w:val="24"/>
          <w:szCs w:val="24"/>
        </w:rPr>
        <w:fldChar w:fldCharType="separate"/>
      </w:r>
      <w:r w:rsidR="00605047">
        <w:rPr>
          <w:noProof/>
          <w:color w:val="auto"/>
          <w:sz w:val="24"/>
          <w:szCs w:val="24"/>
        </w:rPr>
        <w:t>4</w:t>
      </w:r>
      <w:r w:rsidRPr="00DE79BF">
        <w:rPr>
          <w:color w:val="auto"/>
          <w:sz w:val="24"/>
          <w:szCs w:val="24"/>
        </w:rPr>
        <w:fldChar w:fldCharType="end"/>
      </w:r>
      <w:r w:rsidRPr="00DE79BF">
        <w:rPr>
          <w:color w:val="auto"/>
          <w:sz w:val="24"/>
          <w:szCs w:val="24"/>
        </w:rPr>
        <w:t xml:space="preserve"> Nature of the Company</w:t>
      </w:r>
    </w:p>
    <w:tbl>
      <w:tblPr>
        <w:tblW w:w="9674" w:type="dxa"/>
        <w:tblLayout w:type="fixed"/>
        <w:tblCellMar>
          <w:left w:w="0" w:type="dxa"/>
          <w:right w:w="0" w:type="dxa"/>
        </w:tblCellMar>
        <w:tblLook w:val="0000" w:firstRow="0" w:lastRow="0" w:firstColumn="0" w:lastColumn="0" w:noHBand="0" w:noVBand="0"/>
      </w:tblPr>
      <w:tblGrid>
        <w:gridCol w:w="5238"/>
        <w:gridCol w:w="2266"/>
        <w:gridCol w:w="2170"/>
      </w:tblGrid>
      <w:tr w:rsidR="00040D4E" w:rsidRPr="005B0C91" w14:paraId="2A96BB1B" w14:textId="77777777" w:rsidTr="00355FEE">
        <w:trPr>
          <w:cantSplit/>
          <w:trHeight w:val="488"/>
        </w:trPr>
        <w:tc>
          <w:tcPr>
            <w:tcW w:w="5238" w:type="dxa"/>
            <w:tcBorders>
              <w:top w:val="single" w:sz="8" w:space="0" w:color="000000"/>
              <w:left w:val="nil"/>
              <w:bottom w:val="single" w:sz="8" w:space="0" w:color="000000"/>
              <w:right w:val="nil"/>
            </w:tcBorders>
            <w:shd w:val="clear" w:color="auto" w:fill="FFFFFF"/>
            <w:vAlign w:val="bottom"/>
          </w:tcPr>
          <w:p w14:paraId="00359E11" w14:textId="77777777" w:rsidR="00040D4E" w:rsidRPr="005B0C91" w:rsidRDefault="00040D4E" w:rsidP="00355FEE">
            <w:pPr>
              <w:spacing w:line="360" w:lineRule="auto"/>
              <w:rPr>
                <w:sz w:val="24"/>
                <w:szCs w:val="24"/>
              </w:rPr>
            </w:pPr>
          </w:p>
        </w:tc>
        <w:tc>
          <w:tcPr>
            <w:tcW w:w="2266" w:type="dxa"/>
            <w:tcBorders>
              <w:top w:val="single" w:sz="8" w:space="0" w:color="000000"/>
              <w:left w:val="nil"/>
              <w:bottom w:val="single" w:sz="8" w:space="0" w:color="000000"/>
              <w:right w:val="nil"/>
            </w:tcBorders>
            <w:shd w:val="clear" w:color="auto" w:fill="FFFFFF"/>
            <w:vAlign w:val="bottom"/>
          </w:tcPr>
          <w:p w14:paraId="23FD9099" w14:textId="77777777" w:rsidR="00040D4E" w:rsidRPr="005B0C91" w:rsidRDefault="00040D4E" w:rsidP="00355FEE">
            <w:pPr>
              <w:spacing w:line="360" w:lineRule="auto"/>
              <w:rPr>
                <w:sz w:val="24"/>
                <w:szCs w:val="24"/>
              </w:rPr>
            </w:pPr>
            <w:r w:rsidRPr="005B0C91">
              <w:rPr>
                <w:sz w:val="24"/>
                <w:szCs w:val="24"/>
              </w:rPr>
              <w:t>N</w:t>
            </w:r>
          </w:p>
        </w:tc>
        <w:tc>
          <w:tcPr>
            <w:tcW w:w="2170" w:type="dxa"/>
            <w:tcBorders>
              <w:top w:val="single" w:sz="8" w:space="0" w:color="000000"/>
              <w:left w:val="nil"/>
              <w:bottom w:val="single" w:sz="8" w:space="0" w:color="000000"/>
              <w:right w:val="nil"/>
            </w:tcBorders>
            <w:shd w:val="clear" w:color="auto" w:fill="FFFFFF"/>
            <w:vAlign w:val="bottom"/>
          </w:tcPr>
          <w:p w14:paraId="51A10DAE" w14:textId="77777777" w:rsidR="00040D4E" w:rsidRPr="005B0C91" w:rsidRDefault="00040D4E" w:rsidP="00355FEE">
            <w:pPr>
              <w:spacing w:line="360" w:lineRule="auto"/>
              <w:rPr>
                <w:sz w:val="24"/>
                <w:szCs w:val="24"/>
              </w:rPr>
            </w:pPr>
            <w:r w:rsidRPr="005B0C91">
              <w:rPr>
                <w:sz w:val="24"/>
                <w:szCs w:val="24"/>
              </w:rPr>
              <w:t>%</w:t>
            </w:r>
          </w:p>
        </w:tc>
      </w:tr>
      <w:tr w:rsidR="00040D4E" w:rsidRPr="005B0C91" w14:paraId="48D340BD" w14:textId="77777777" w:rsidTr="00355FEE">
        <w:trPr>
          <w:cantSplit/>
          <w:trHeight w:val="488"/>
        </w:trPr>
        <w:tc>
          <w:tcPr>
            <w:tcW w:w="5238" w:type="dxa"/>
            <w:tcBorders>
              <w:top w:val="single" w:sz="8" w:space="0" w:color="000000"/>
              <w:left w:val="nil"/>
              <w:bottom w:val="nil"/>
              <w:right w:val="nil"/>
            </w:tcBorders>
            <w:shd w:val="clear" w:color="auto" w:fill="FFFFFF"/>
          </w:tcPr>
          <w:p w14:paraId="7394CE0D" w14:textId="77777777" w:rsidR="00040D4E" w:rsidRPr="005B0C91" w:rsidRDefault="00040D4E" w:rsidP="00355FEE">
            <w:pPr>
              <w:spacing w:line="360" w:lineRule="auto"/>
              <w:rPr>
                <w:sz w:val="24"/>
                <w:szCs w:val="24"/>
              </w:rPr>
            </w:pPr>
            <w:r w:rsidRPr="005B0C91">
              <w:rPr>
                <w:sz w:val="24"/>
                <w:szCs w:val="24"/>
              </w:rPr>
              <w:t>Joint Venture</w:t>
            </w:r>
          </w:p>
        </w:tc>
        <w:tc>
          <w:tcPr>
            <w:tcW w:w="2266" w:type="dxa"/>
            <w:tcBorders>
              <w:top w:val="single" w:sz="8" w:space="0" w:color="000000"/>
              <w:left w:val="nil"/>
              <w:bottom w:val="nil"/>
              <w:right w:val="nil"/>
            </w:tcBorders>
            <w:shd w:val="clear" w:color="auto" w:fill="FFFFFF"/>
          </w:tcPr>
          <w:p w14:paraId="2EB1C15C" w14:textId="77777777" w:rsidR="00040D4E" w:rsidRPr="005B0C91" w:rsidRDefault="00040D4E" w:rsidP="00355FEE">
            <w:pPr>
              <w:spacing w:line="360" w:lineRule="auto"/>
              <w:rPr>
                <w:sz w:val="24"/>
                <w:szCs w:val="24"/>
              </w:rPr>
            </w:pPr>
            <w:r w:rsidRPr="005B0C91">
              <w:rPr>
                <w:sz w:val="24"/>
                <w:szCs w:val="24"/>
              </w:rPr>
              <w:t>20</w:t>
            </w:r>
          </w:p>
        </w:tc>
        <w:tc>
          <w:tcPr>
            <w:tcW w:w="2170" w:type="dxa"/>
            <w:tcBorders>
              <w:top w:val="single" w:sz="8" w:space="0" w:color="000000"/>
              <w:left w:val="nil"/>
              <w:bottom w:val="nil"/>
              <w:right w:val="nil"/>
            </w:tcBorders>
            <w:shd w:val="clear" w:color="auto" w:fill="FFFFFF"/>
          </w:tcPr>
          <w:p w14:paraId="7453AAFA" w14:textId="77777777" w:rsidR="00040D4E" w:rsidRPr="005B0C91" w:rsidRDefault="00040D4E" w:rsidP="00355FEE">
            <w:pPr>
              <w:spacing w:line="360" w:lineRule="auto"/>
              <w:rPr>
                <w:sz w:val="24"/>
                <w:szCs w:val="24"/>
              </w:rPr>
            </w:pPr>
            <w:r w:rsidRPr="005B0C91">
              <w:rPr>
                <w:sz w:val="24"/>
                <w:szCs w:val="24"/>
              </w:rPr>
              <w:t>9.3%</w:t>
            </w:r>
          </w:p>
        </w:tc>
      </w:tr>
      <w:tr w:rsidR="00040D4E" w:rsidRPr="005B0C91" w14:paraId="75CC4DD2" w14:textId="77777777" w:rsidTr="00355FEE">
        <w:trPr>
          <w:cantSplit/>
          <w:trHeight w:val="488"/>
        </w:trPr>
        <w:tc>
          <w:tcPr>
            <w:tcW w:w="5238" w:type="dxa"/>
            <w:tcBorders>
              <w:top w:val="nil"/>
              <w:left w:val="nil"/>
              <w:bottom w:val="nil"/>
              <w:right w:val="nil"/>
            </w:tcBorders>
            <w:shd w:val="clear" w:color="auto" w:fill="FFFFFF"/>
          </w:tcPr>
          <w:p w14:paraId="6B677FAE" w14:textId="77777777" w:rsidR="00040D4E" w:rsidRPr="005B0C91" w:rsidRDefault="00040D4E" w:rsidP="00355FEE">
            <w:pPr>
              <w:spacing w:line="360" w:lineRule="auto"/>
              <w:rPr>
                <w:sz w:val="24"/>
                <w:szCs w:val="24"/>
              </w:rPr>
            </w:pPr>
            <w:r w:rsidRPr="005B0C91">
              <w:rPr>
                <w:sz w:val="24"/>
                <w:szCs w:val="24"/>
              </w:rPr>
              <w:t>Locally-owned</w:t>
            </w:r>
          </w:p>
        </w:tc>
        <w:tc>
          <w:tcPr>
            <w:tcW w:w="2266" w:type="dxa"/>
            <w:tcBorders>
              <w:top w:val="nil"/>
              <w:left w:val="nil"/>
              <w:bottom w:val="nil"/>
              <w:right w:val="nil"/>
            </w:tcBorders>
            <w:shd w:val="clear" w:color="auto" w:fill="FFFFFF"/>
          </w:tcPr>
          <w:p w14:paraId="7C9A1B10" w14:textId="77777777" w:rsidR="00040D4E" w:rsidRPr="005B0C91" w:rsidRDefault="00040D4E" w:rsidP="00355FEE">
            <w:pPr>
              <w:spacing w:line="360" w:lineRule="auto"/>
              <w:rPr>
                <w:sz w:val="24"/>
                <w:szCs w:val="24"/>
              </w:rPr>
            </w:pPr>
            <w:r w:rsidRPr="005B0C91">
              <w:rPr>
                <w:sz w:val="24"/>
                <w:szCs w:val="24"/>
              </w:rPr>
              <w:t>195</w:t>
            </w:r>
          </w:p>
        </w:tc>
        <w:tc>
          <w:tcPr>
            <w:tcW w:w="2170" w:type="dxa"/>
            <w:tcBorders>
              <w:top w:val="nil"/>
              <w:left w:val="nil"/>
              <w:bottom w:val="nil"/>
              <w:right w:val="nil"/>
            </w:tcBorders>
            <w:shd w:val="clear" w:color="auto" w:fill="FFFFFF"/>
          </w:tcPr>
          <w:p w14:paraId="3F0D2189" w14:textId="77777777" w:rsidR="00040D4E" w:rsidRPr="005B0C91" w:rsidRDefault="00040D4E" w:rsidP="00355FEE">
            <w:pPr>
              <w:spacing w:line="360" w:lineRule="auto"/>
              <w:rPr>
                <w:sz w:val="24"/>
                <w:szCs w:val="24"/>
              </w:rPr>
            </w:pPr>
            <w:r w:rsidRPr="005B0C91">
              <w:rPr>
                <w:sz w:val="24"/>
                <w:szCs w:val="24"/>
              </w:rPr>
              <w:t>90.3%</w:t>
            </w:r>
          </w:p>
        </w:tc>
      </w:tr>
      <w:tr w:rsidR="00040D4E" w:rsidRPr="005B0C91" w14:paraId="578EB12F" w14:textId="77777777" w:rsidTr="00355FEE">
        <w:trPr>
          <w:cantSplit/>
          <w:trHeight w:val="809"/>
        </w:trPr>
        <w:tc>
          <w:tcPr>
            <w:tcW w:w="5238" w:type="dxa"/>
            <w:tcBorders>
              <w:top w:val="nil"/>
              <w:left w:val="nil"/>
              <w:bottom w:val="single" w:sz="8" w:space="0" w:color="000000"/>
              <w:right w:val="nil"/>
            </w:tcBorders>
            <w:shd w:val="clear" w:color="auto" w:fill="FFFFFF"/>
          </w:tcPr>
          <w:p w14:paraId="39D27550" w14:textId="77777777" w:rsidR="00040D4E" w:rsidRPr="005B0C91" w:rsidRDefault="00040D4E" w:rsidP="00355FEE">
            <w:pPr>
              <w:spacing w:line="360" w:lineRule="auto"/>
              <w:rPr>
                <w:sz w:val="24"/>
                <w:szCs w:val="24"/>
              </w:rPr>
            </w:pPr>
            <w:r w:rsidRPr="005B0C91">
              <w:rPr>
                <w:sz w:val="24"/>
                <w:szCs w:val="24"/>
              </w:rPr>
              <w:lastRenderedPageBreak/>
              <w:t>Multinational Corporation Subsidiary (MNC)</w:t>
            </w:r>
          </w:p>
        </w:tc>
        <w:tc>
          <w:tcPr>
            <w:tcW w:w="2266" w:type="dxa"/>
            <w:tcBorders>
              <w:top w:val="nil"/>
              <w:left w:val="nil"/>
              <w:bottom w:val="single" w:sz="8" w:space="0" w:color="000000"/>
              <w:right w:val="nil"/>
            </w:tcBorders>
            <w:shd w:val="clear" w:color="auto" w:fill="FFFFFF"/>
          </w:tcPr>
          <w:p w14:paraId="59EB5A00" w14:textId="77777777" w:rsidR="00040D4E" w:rsidRPr="005B0C91" w:rsidRDefault="00040D4E" w:rsidP="00355FEE">
            <w:pPr>
              <w:spacing w:line="360" w:lineRule="auto"/>
              <w:rPr>
                <w:sz w:val="24"/>
                <w:szCs w:val="24"/>
              </w:rPr>
            </w:pPr>
            <w:r w:rsidRPr="005B0C91">
              <w:rPr>
                <w:sz w:val="24"/>
                <w:szCs w:val="24"/>
              </w:rPr>
              <w:t>1</w:t>
            </w:r>
          </w:p>
        </w:tc>
        <w:tc>
          <w:tcPr>
            <w:tcW w:w="2170" w:type="dxa"/>
            <w:tcBorders>
              <w:top w:val="nil"/>
              <w:left w:val="nil"/>
              <w:bottom w:val="single" w:sz="8" w:space="0" w:color="000000"/>
              <w:right w:val="nil"/>
            </w:tcBorders>
            <w:shd w:val="clear" w:color="auto" w:fill="FFFFFF"/>
          </w:tcPr>
          <w:p w14:paraId="34E886F8" w14:textId="77777777" w:rsidR="00040D4E" w:rsidRPr="005B0C91" w:rsidRDefault="00040D4E" w:rsidP="00355FEE">
            <w:pPr>
              <w:spacing w:line="360" w:lineRule="auto"/>
              <w:rPr>
                <w:sz w:val="24"/>
                <w:szCs w:val="24"/>
              </w:rPr>
            </w:pPr>
            <w:r w:rsidRPr="005B0C91">
              <w:rPr>
                <w:sz w:val="24"/>
                <w:szCs w:val="24"/>
              </w:rPr>
              <w:t>0.5%</w:t>
            </w:r>
          </w:p>
        </w:tc>
      </w:tr>
    </w:tbl>
    <w:p w14:paraId="07BC9689" w14:textId="467DEBD6" w:rsidR="00040D4E" w:rsidRPr="00972632" w:rsidRDefault="00972632" w:rsidP="00972632">
      <w:pPr>
        <w:spacing w:after="0" w:line="480" w:lineRule="auto"/>
        <w:rPr>
          <w:sz w:val="24"/>
          <w:szCs w:val="24"/>
          <w:lang w:val="en-GB"/>
        </w:rPr>
      </w:pPr>
      <w:r>
        <w:rPr>
          <w:sz w:val="24"/>
          <w:szCs w:val="24"/>
          <w:lang w:val="en-GB"/>
        </w:rPr>
        <w:t>Source: Survey Data (2025)</w:t>
      </w:r>
    </w:p>
    <w:p w14:paraId="6F524FFE" w14:textId="77777777" w:rsidR="00040D4E" w:rsidRPr="005B0C91" w:rsidRDefault="00040D4E" w:rsidP="00DE79BF">
      <w:pPr>
        <w:spacing w:before="240" w:after="240"/>
        <w:rPr>
          <w:sz w:val="24"/>
          <w:szCs w:val="24"/>
        </w:rPr>
      </w:pPr>
      <w:r w:rsidRPr="005B0C91">
        <w:rPr>
          <w:sz w:val="24"/>
          <w:szCs w:val="24"/>
        </w:rPr>
        <w:t>The analysis of the nature of companies involved in this study shows that the sample is predominantly composed of locally owned firms. A total of 90.3% (n = 195) of the respondents represented locally owned manufacturing companies. This was followed by joint venture firms, which accounted for 9.3% (n = 20), while multinational corporation (MNC) subsidiaries represented only a small proportion of the sample at 0.5% (n = 1). This distribution suggests that the findings of this study are largely reflective of domestic manufacturing operations in Malaysia, with limited representation from foreign-owned or multinational manufacturing entities.</w:t>
      </w:r>
    </w:p>
    <w:p w14:paraId="44A73D67" w14:textId="77777777" w:rsidR="00040D4E" w:rsidRPr="00DE79BF" w:rsidRDefault="00040D4E" w:rsidP="00615012">
      <w:pPr>
        <w:spacing w:after="0"/>
        <w:rPr>
          <w:sz w:val="28"/>
          <w:szCs w:val="28"/>
        </w:rPr>
      </w:pPr>
    </w:p>
    <w:p w14:paraId="55B4337F" w14:textId="05D78647" w:rsidR="001E0406" w:rsidRPr="00DE79BF" w:rsidRDefault="00DE79BF" w:rsidP="00B65AC7">
      <w:pPr>
        <w:spacing w:after="0" w:line="480" w:lineRule="auto"/>
        <w:rPr>
          <w:b/>
          <w:bCs/>
          <w:sz w:val="28"/>
          <w:szCs w:val="28"/>
          <w:lang w:val="en-GB"/>
        </w:rPr>
      </w:pPr>
      <w:r w:rsidRPr="00DE79BF">
        <w:rPr>
          <w:b/>
          <w:bCs/>
          <w:sz w:val="28"/>
          <w:szCs w:val="28"/>
          <w:lang w:val="en-GB"/>
        </w:rPr>
        <w:t>5.4 RELIABILITY AND VALIDITY</w:t>
      </w:r>
    </w:p>
    <w:p w14:paraId="029AAD32" w14:textId="4CC9ADCC" w:rsidR="009C3CA5" w:rsidRPr="005B0C91" w:rsidRDefault="009C3CA5" w:rsidP="009C3CA5">
      <w:pPr>
        <w:pStyle w:val="Caption"/>
        <w:keepNext/>
        <w:rPr>
          <w:color w:val="auto"/>
          <w:sz w:val="24"/>
          <w:szCs w:val="24"/>
        </w:rPr>
      </w:pPr>
      <w:r w:rsidRPr="005B0C91">
        <w:rPr>
          <w:color w:val="auto"/>
          <w:sz w:val="24"/>
          <w:szCs w:val="24"/>
        </w:rPr>
        <w:t xml:space="preserve">Table </w:t>
      </w:r>
      <w:r w:rsidRPr="005B0C91">
        <w:rPr>
          <w:color w:val="auto"/>
          <w:sz w:val="24"/>
          <w:szCs w:val="24"/>
        </w:rPr>
        <w:fldChar w:fldCharType="begin"/>
      </w:r>
      <w:r w:rsidRPr="005B0C91">
        <w:rPr>
          <w:color w:val="auto"/>
          <w:sz w:val="24"/>
          <w:szCs w:val="24"/>
        </w:rPr>
        <w:instrText xml:space="preserve"> SEQ Table \* ARABIC </w:instrText>
      </w:r>
      <w:r w:rsidRPr="005B0C91">
        <w:rPr>
          <w:color w:val="auto"/>
          <w:sz w:val="24"/>
          <w:szCs w:val="24"/>
        </w:rPr>
        <w:fldChar w:fldCharType="separate"/>
      </w:r>
      <w:r w:rsidR="00605047">
        <w:rPr>
          <w:noProof/>
          <w:color w:val="auto"/>
          <w:sz w:val="24"/>
          <w:szCs w:val="24"/>
        </w:rPr>
        <w:t>5</w:t>
      </w:r>
      <w:r w:rsidRPr="005B0C91">
        <w:rPr>
          <w:color w:val="auto"/>
          <w:sz w:val="24"/>
          <w:szCs w:val="24"/>
        </w:rPr>
        <w:fldChar w:fldCharType="end"/>
      </w:r>
      <w:r w:rsidRPr="005B0C91">
        <w:rPr>
          <w:color w:val="auto"/>
          <w:sz w:val="24"/>
          <w:szCs w:val="24"/>
        </w:rPr>
        <w:t xml:space="preserve"> Reliability and Validity</w:t>
      </w:r>
    </w:p>
    <w:tbl>
      <w:tblPr>
        <w:tblW w:w="10442" w:type="dxa"/>
        <w:tblCellSpacing w:w="15" w:type="dxa"/>
        <w:tblCellMar>
          <w:top w:w="15" w:type="dxa"/>
          <w:left w:w="15" w:type="dxa"/>
          <w:bottom w:w="15" w:type="dxa"/>
          <w:right w:w="15" w:type="dxa"/>
        </w:tblCellMar>
        <w:tblLook w:val="04A0" w:firstRow="1" w:lastRow="0" w:firstColumn="1" w:lastColumn="0" w:noHBand="0" w:noVBand="1"/>
      </w:tblPr>
      <w:tblGrid>
        <w:gridCol w:w="6772"/>
        <w:gridCol w:w="2049"/>
        <w:gridCol w:w="1621"/>
      </w:tblGrid>
      <w:tr w:rsidR="005B0C91" w:rsidRPr="005B0C91" w14:paraId="22F88C48" w14:textId="77777777" w:rsidTr="005B0C91">
        <w:trPr>
          <w:trHeight w:val="438"/>
          <w:tblHeader/>
          <w:tblCellSpacing w:w="15" w:type="dxa"/>
        </w:trPr>
        <w:tc>
          <w:tcPr>
            <w:tcW w:w="0" w:type="auto"/>
            <w:tcBorders>
              <w:top w:val="single" w:sz="4" w:space="0" w:color="auto"/>
              <w:bottom w:val="single" w:sz="4" w:space="0" w:color="auto"/>
            </w:tcBorders>
            <w:vAlign w:val="center"/>
            <w:hideMark/>
          </w:tcPr>
          <w:p w14:paraId="196040DB" w14:textId="77777777" w:rsidR="005B0C91" w:rsidRPr="005B0C91" w:rsidRDefault="005B0C91" w:rsidP="00665C41">
            <w:pPr>
              <w:spacing w:line="360" w:lineRule="auto"/>
              <w:jc w:val="center"/>
              <w:rPr>
                <w:b/>
                <w:bCs/>
                <w:color w:val="000000" w:themeColor="text1"/>
                <w:sz w:val="24"/>
                <w:szCs w:val="24"/>
              </w:rPr>
            </w:pPr>
            <w:r w:rsidRPr="005B0C91">
              <w:rPr>
                <w:b/>
                <w:bCs/>
                <w:color w:val="000000" w:themeColor="text1"/>
                <w:sz w:val="24"/>
                <w:szCs w:val="24"/>
              </w:rPr>
              <w:t>Construct</w:t>
            </w:r>
          </w:p>
        </w:tc>
        <w:tc>
          <w:tcPr>
            <w:tcW w:w="0" w:type="auto"/>
            <w:tcBorders>
              <w:top w:val="single" w:sz="4" w:space="0" w:color="auto"/>
              <w:bottom w:val="single" w:sz="4" w:space="0" w:color="auto"/>
            </w:tcBorders>
            <w:vAlign w:val="center"/>
            <w:hideMark/>
          </w:tcPr>
          <w:p w14:paraId="1CA4D7FE" w14:textId="77777777" w:rsidR="005B0C91" w:rsidRPr="005B0C91" w:rsidRDefault="005B0C91" w:rsidP="00665C41">
            <w:pPr>
              <w:spacing w:line="360" w:lineRule="auto"/>
              <w:jc w:val="center"/>
              <w:rPr>
                <w:b/>
                <w:bCs/>
                <w:color w:val="000000" w:themeColor="text1"/>
                <w:sz w:val="24"/>
                <w:szCs w:val="24"/>
              </w:rPr>
            </w:pPr>
            <w:r w:rsidRPr="005B0C91">
              <w:rPr>
                <w:b/>
                <w:bCs/>
                <w:color w:val="000000" w:themeColor="text1"/>
                <w:sz w:val="24"/>
                <w:szCs w:val="24"/>
              </w:rPr>
              <w:t>Cronbach’s Alpha</w:t>
            </w:r>
          </w:p>
        </w:tc>
        <w:tc>
          <w:tcPr>
            <w:tcW w:w="0" w:type="auto"/>
            <w:tcBorders>
              <w:top w:val="single" w:sz="4" w:space="0" w:color="auto"/>
              <w:bottom w:val="single" w:sz="4" w:space="0" w:color="auto"/>
            </w:tcBorders>
            <w:vAlign w:val="center"/>
            <w:hideMark/>
          </w:tcPr>
          <w:p w14:paraId="7AFEFB38" w14:textId="77777777" w:rsidR="005B0C91" w:rsidRPr="005B0C91" w:rsidRDefault="005B0C91" w:rsidP="00665C41">
            <w:pPr>
              <w:spacing w:line="360" w:lineRule="auto"/>
              <w:jc w:val="center"/>
              <w:rPr>
                <w:b/>
                <w:bCs/>
                <w:color w:val="000000" w:themeColor="text1"/>
                <w:sz w:val="24"/>
                <w:szCs w:val="24"/>
              </w:rPr>
            </w:pPr>
            <w:r w:rsidRPr="005B0C91">
              <w:rPr>
                <w:b/>
                <w:bCs/>
                <w:color w:val="000000" w:themeColor="text1"/>
                <w:sz w:val="24"/>
                <w:szCs w:val="24"/>
              </w:rPr>
              <w:t>Interpretation</w:t>
            </w:r>
          </w:p>
        </w:tc>
      </w:tr>
      <w:tr w:rsidR="005B0C91" w:rsidRPr="005B0C91" w14:paraId="0BC91D9C" w14:textId="77777777" w:rsidTr="005B0C91">
        <w:trPr>
          <w:trHeight w:val="422"/>
          <w:tblCellSpacing w:w="15" w:type="dxa"/>
        </w:trPr>
        <w:tc>
          <w:tcPr>
            <w:tcW w:w="0" w:type="auto"/>
            <w:vAlign w:val="center"/>
            <w:hideMark/>
          </w:tcPr>
          <w:p w14:paraId="342A603A" w14:textId="77777777" w:rsidR="005B0C91" w:rsidRPr="005B0C91" w:rsidRDefault="005B0C91" w:rsidP="00665C41">
            <w:pPr>
              <w:spacing w:line="360" w:lineRule="auto"/>
              <w:jc w:val="center"/>
              <w:rPr>
                <w:color w:val="000000" w:themeColor="text1"/>
                <w:sz w:val="24"/>
                <w:szCs w:val="24"/>
              </w:rPr>
            </w:pPr>
            <w:r w:rsidRPr="005B0C91">
              <w:rPr>
                <w:color w:val="000000" w:themeColor="text1"/>
                <w:sz w:val="24"/>
                <w:szCs w:val="24"/>
              </w:rPr>
              <w:t>Pioneer-Follower Posture (PFP)</w:t>
            </w:r>
          </w:p>
        </w:tc>
        <w:tc>
          <w:tcPr>
            <w:tcW w:w="0" w:type="auto"/>
            <w:vAlign w:val="center"/>
            <w:hideMark/>
          </w:tcPr>
          <w:p w14:paraId="58BA6224" w14:textId="77777777" w:rsidR="005B0C91" w:rsidRPr="005B0C91" w:rsidRDefault="005B0C91" w:rsidP="00665C41">
            <w:pPr>
              <w:spacing w:line="360" w:lineRule="auto"/>
              <w:jc w:val="center"/>
              <w:rPr>
                <w:color w:val="000000" w:themeColor="text1"/>
                <w:sz w:val="24"/>
                <w:szCs w:val="24"/>
              </w:rPr>
            </w:pPr>
            <w:r w:rsidRPr="005B0C91">
              <w:rPr>
                <w:color w:val="000000" w:themeColor="text1"/>
                <w:sz w:val="24"/>
                <w:szCs w:val="24"/>
              </w:rPr>
              <w:t>0.867</w:t>
            </w:r>
          </w:p>
        </w:tc>
        <w:tc>
          <w:tcPr>
            <w:tcW w:w="0" w:type="auto"/>
            <w:vAlign w:val="center"/>
            <w:hideMark/>
          </w:tcPr>
          <w:p w14:paraId="0153ED74" w14:textId="77777777" w:rsidR="005B0C91" w:rsidRPr="005B0C91" w:rsidRDefault="005B0C91" w:rsidP="00665C41">
            <w:pPr>
              <w:spacing w:line="360" w:lineRule="auto"/>
              <w:jc w:val="center"/>
              <w:rPr>
                <w:color w:val="000000" w:themeColor="text1"/>
                <w:sz w:val="24"/>
                <w:szCs w:val="24"/>
              </w:rPr>
            </w:pPr>
            <w:r w:rsidRPr="005B0C91">
              <w:rPr>
                <w:color w:val="000000" w:themeColor="text1"/>
                <w:sz w:val="24"/>
                <w:szCs w:val="24"/>
              </w:rPr>
              <w:t>Good</w:t>
            </w:r>
          </w:p>
        </w:tc>
      </w:tr>
      <w:tr w:rsidR="005B0C91" w:rsidRPr="005B0C91" w14:paraId="62AD0535" w14:textId="77777777" w:rsidTr="005B0C91">
        <w:trPr>
          <w:trHeight w:val="422"/>
          <w:tblCellSpacing w:w="15" w:type="dxa"/>
        </w:trPr>
        <w:tc>
          <w:tcPr>
            <w:tcW w:w="0" w:type="auto"/>
            <w:vAlign w:val="center"/>
            <w:hideMark/>
          </w:tcPr>
          <w:p w14:paraId="3D81B26E" w14:textId="77777777" w:rsidR="005B0C91" w:rsidRPr="005B0C91" w:rsidRDefault="005B0C91" w:rsidP="00665C41">
            <w:pPr>
              <w:spacing w:line="360" w:lineRule="auto"/>
              <w:jc w:val="center"/>
              <w:rPr>
                <w:color w:val="000000" w:themeColor="text1"/>
                <w:sz w:val="24"/>
                <w:szCs w:val="24"/>
              </w:rPr>
            </w:pPr>
            <w:r w:rsidRPr="005B0C91">
              <w:rPr>
                <w:color w:val="000000" w:themeColor="text1"/>
                <w:sz w:val="24"/>
                <w:szCs w:val="24"/>
              </w:rPr>
              <w:t>Technological Investments (TI)</w:t>
            </w:r>
          </w:p>
        </w:tc>
        <w:tc>
          <w:tcPr>
            <w:tcW w:w="0" w:type="auto"/>
            <w:vAlign w:val="center"/>
            <w:hideMark/>
          </w:tcPr>
          <w:p w14:paraId="33A6F340" w14:textId="77777777" w:rsidR="005B0C91" w:rsidRPr="005B0C91" w:rsidRDefault="005B0C91" w:rsidP="00665C41">
            <w:pPr>
              <w:spacing w:line="360" w:lineRule="auto"/>
              <w:jc w:val="center"/>
              <w:rPr>
                <w:color w:val="000000" w:themeColor="text1"/>
                <w:sz w:val="24"/>
                <w:szCs w:val="24"/>
              </w:rPr>
            </w:pPr>
            <w:r w:rsidRPr="005B0C91">
              <w:rPr>
                <w:color w:val="000000" w:themeColor="text1"/>
                <w:sz w:val="24"/>
                <w:szCs w:val="24"/>
              </w:rPr>
              <w:t>0.866</w:t>
            </w:r>
          </w:p>
        </w:tc>
        <w:tc>
          <w:tcPr>
            <w:tcW w:w="0" w:type="auto"/>
            <w:vAlign w:val="center"/>
            <w:hideMark/>
          </w:tcPr>
          <w:p w14:paraId="26CEB2C5" w14:textId="77777777" w:rsidR="005B0C91" w:rsidRPr="005B0C91" w:rsidRDefault="005B0C91" w:rsidP="00665C41">
            <w:pPr>
              <w:spacing w:line="360" w:lineRule="auto"/>
              <w:jc w:val="center"/>
              <w:rPr>
                <w:color w:val="000000" w:themeColor="text1"/>
                <w:sz w:val="24"/>
                <w:szCs w:val="24"/>
              </w:rPr>
            </w:pPr>
            <w:r w:rsidRPr="005B0C91">
              <w:rPr>
                <w:color w:val="000000" w:themeColor="text1"/>
                <w:sz w:val="24"/>
                <w:szCs w:val="24"/>
              </w:rPr>
              <w:t>Good</w:t>
            </w:r>
          </w:p>
        </w:tc>
      </w:tr>
      <w:tr w:rsidR="005B0C91" w:rsidRPr="005B0C91" w14:paraId="7C32B7F0" w14:textId="77777777" w:rsidTr="005B0C91">
        <w:trPr>
          <w:trHeight w:val="422"/>
          <w:tblCellSpacing w:w="15" w:type="dxa"/>
        </w:trPr>
        <w:tc>
          <w:tcPr>
            <w:tcW w:w="0" w:type="auto"/>
            <w:vAlign w:val="center"/>
            <w:hideMark/>
          </w:tcPr>
          <w:p w14:paraId="22ADB3B3" w14:textId="77777777" w:rsidR="005B0C91" w:rsidRPr="005B0C91" w:rsidRDefault="005B0C91" w:rsidP="00665C41">
            <w:pPr>
              <w:spacing w:line="360" w:lineRule="auto"/>
              <w:jc w:val="center"/>
              <w:rPr>
                <w:color w:val="000000" w:themeColor="text1"/>
                <w:sz w:val="24"/>
                <w:szCs w:val="24"/>
              </w:rPr>
            </w:pPr>
            <w:r w:rsidRPr="005B0C91">
              <w:rPr>
                <w:color w:val="000000" w:themeColor="text1"/>
                <w:sz w:val="24"/>
                <w:szCs w:val="24"/>
              </w:rPr>
              <w:t>Intensity of Product Upgrades (IPU)</w:t>
            </w:r>
          </w:p>
        </w:tc>
        <w:tc>
          <w:tcPr>
            <w:tcW w:w="0" w:type="auto"/>
            <w:vAlign w:val="center"/>
            <w:hideMark/>
          </w:tcPr>
          <w:p w14:paraId="7CD38DA6" w14:textId="77777777" w:rsidR="005B0C91" w:rsidRPr="005B0C91" w:rsidRDefault="005B0C91" w:rsidP="00665C41">
            <w:pPr>
              <w:spacing w:line="360" w:lineRule="auto"/>
              <w:jc w:val="center"/>
              <w:rPr>
                <w:color w:val="000000" w:themeColor="text1"/>
                <w:sz w:val="24"/>
                <w:szCs w:val="24"/>
              </w:rPr>
            </w:pPr>
            <w:r w:rsidRPr="005B0C91">
              <w:rPr>
                <w:color w:val="000000" w:themeColor="text1"/>
                <w:sz w:val="24"/>
                <w:szCs w:val="24"/>
              </w:rPr>
              <w:t>0.824</w:t>
            </w:r>
          </w:p>
        </w:tc>
        <w:tc>
          <w:tcPr>
            <w:tcW w:w="0" w:type="auto"/>
            <w:vAlign w:val="center"/>
            <w:hideMark/>
          </w:tcPr>
          <w:p w14:paraId="5AEE1F46" w14:textId="77777777" w:rsidR="005B0C91" w:rsidRPr="005B0C91" w:rsidRDefault="005B0C91" w:rsidP="00665C41">
            <w:pPr>
              <w:spacing w:line="360" w:lineRule="auto"/>
              <w:jc w:val="center"/>
              <w:rPr>
                <w:color w:val="000000" w:themeColor="text1"/>
                <w:sz w:val="24"/>
                <w:szCs w:val="24"/>
              </w:rPr>
            </w:pPr>
            <w:r w:rsidRPr="005B0C91">
              <w:rPr>
                <w:color w:val="000000" w:themeColor="text1"/>
                <w:sz w:val="24"/>
                <w:szCs w:val="24"/>
              </w:rPr>
              <w:t>Good</w:t>
            </w:r>
          </w:p>
        </w:tc>
      </w:tr>
      <w:tr w:rsidR="005B0C91" w:rsidRPr="005B0C91" w14:paraId="622FFDEF" w14:textId="77777777" w:rsidTr="005B0C91">
        <w:trPr>
          <w:trHeight w:val="422"/>
          <w:tblCellSpacing w:w="15" w:type="dxa"/>
        </w:trPr>
        <w:tc>
          <w:tcPr>
            <w:tcW w:w="0" w:type="auto"/>
            <w:vAlign w:val="center"/>
            <w:hideMark/>
          </w:tcPr>
          <w:p w14:paraId="40C76787" w14:textId="77777777" w:rsidR="005B0C91" w:rsidRPr="005B0C91" w:rsidRDefault="005B0C91" w:rsidP="00665C41">
            <w:pPr>
              <w:spacing w:line="360" w:lineRule="auto"/>
              <w:jc w:val="center"/>
              <w:rPr>
                <w:color w:val="000000" w:themeColor="text1"/>
                <w:sz w:val="24"/>
                <w:szCs w:val="24"/>
              </w:rPr>
            </w:pPr>
            <w:r w:rsidRPr="005B0C91">
              <w:rPr>
                <w:color w:val="000000" w:themeColor="text1"/>
                <w:sz w:val="24"/>
                <w:szCs w:val="24"/>
              </w:rPr>
              <w:t>Product and Process Technology (PPT)</w:t>
            </w:r>
          </w:p>
        </w:tc>
        <w:tc>
          <w:tcPr>
            <w:tcW w:w="0" w:type="auto"/>
            <w:vAlign w:val="center"/>
            <w:hideMark/>
          </w:tcPr>
          <w:p w14:paraId="3CDB6AE7" w14:textId="77777777" w:rsidR="005B0C91" w:rsidRPr="005B0C91" w:rsidRDefault="005B0C91" w:rsidP="00665C41">
            <w:pPr>
              <w:spacing w:line="360" w:lineRule="auto"/>
              <w:jc w:val="center"/>
              <w:rPr>
                <w:color w:val="000000" w:themeColor="text1"/>
                <w:sz w:val="24"/>
                <w:szCs w:val="24"/>
              </w:rPr>
            </w:pPr>
            <w:r w:rsidRPr="005B0C91">
              <w:rPr>
                <w:color w:val="000000" w:themeColor="text1"/>
                <w:sz w:val="24"/>
                <w:szCs w:val="24"/>
              </w:rPr>
              <w:t>0.820</w:t>
            </w:r>
          </w:p>
        </w:tc>
        <w:tc>
          <w:tcPr>
            <w:tcW w:w="0" w:type="auto"/>
            <w:vAlign w:val="center"/>
            <w:hideMark/>
          </w:tcPr>
          <w:p w14:paraId="48A0F6FC" w14:textId="77777777" w:rsidR="005B0C91" w:rsidRPr="005B0C91" w:rsidRDefault="005B0C91" w:rsidP="00665C41">
            <w:pPr>
              <w:spacing w:line="360" w:lineRule="auto"/>
              <w:jc w:val="center"/>
              <w:rPr>
                <w:color w:val="000000" w:themeColor="text1"/>
                <w:sz w:val="24"/>
                <w:szCs w:val="24"/>
              </w:rPr>
            </w:pPr>
            <w:r w:rsidRPr="005B0C91">
              <w:rPr>
                <w:color w:val="000000" w:themeColor="text1"/>
                <w:sz w:val="24"/>
                <w:szCs w:val="24"/>
              </w:rPr>
              <w:t>Good</w:t>
            </w:r>
          </w:p>
        </w:tc>
      </w:tr>
      <w:tr w:rsidR="005B0C91" w:rsidRPr="005B0C91" w14:paraId="5EE1FA37" w14:textId="77777777" w:rsidTr="005B0C91">
        <w:trPr>
          <w:trHeight w:val="407"/>
          <w:tblCellSpacing w:w="15" w:type="dxa"/>
        </w:trPr>
        <w:tc>
          <w:tcPr>
            <w:tcW w:w="0" w:type="auto"/>
            <w:vAlign w:val="center"/>
            <w:hideMark/>
          </w:tcPr>
          <w:p w14:paraId="662D923D" w14:textId="77777777" w:rsidR="005B0C91" w:rsidRPr="005B0C91" w:rsidRDefault="005B0C91" w:rsidP="00665C41">
            <w:pPr>
              <w:spacing w:line="360" w:lineRule="auto"/>
              <w:jc w:val="center"/>
              <w:rPr>
                <w:color w:val="000000" w:themeColor="text1"/>
                <w:sz w:val="24"/>
                <w:szCs w:val="24"/>
              </w:rPr>
            </w:pPr>
            <w:r w:rsidRPr="005B0C91">
              <w:rPr>
                <w:color w:val="000000" w:themeColor="text1"/>
                <w:sz w:val="24"/>
                <w:szCs w:val="24"/>
              </w:rPr>
              <w:t>Manufacturing System and Process Design Technologies (MSPD)</w:t>
            </w:r>
          </w:p>
        </w:tc>
        <w:tc>
          <w:tcPr>
            <w:tcW w:w="0" w:type="auto"/>
            <w:vAlign w:val="center"/>
            <w:hideMark/>
          </w:tcPr>
          <w:p w14:paraId="7D5014E2" w14:textId="77777777" w:rsidR="005B0C91" w:rsidRPr="005B0C91" w:rsidRDefault="005B0C91" w:rsidP="00665C41">
            <w:pPr>
              <w:spacing w:line="360" w:lineRule="auto"/>
              <w:jc w:val="center"/>
              <w:rPr>
                <w:color w:val="000000" w:themeColor="text1"/>
                <w:sz w:val="24"/>
                <w:szCs w:val="24"/>
              </w:rPr>
            </w:pPr>
            <w:r w:rsidRPr="005B0C91">
              <w:rPr>
                <w:color w:val="000000" w:themeColor="text1"/>
                <w:sz w:val="24"/>
                <w:szCs w:val="24"/>
              </w:rPr>
              <w:t>0.698</w:t>
            </w:r>
          </w:p>
        </w:tc>
        <w:tc>
          <w:tcPr>
            <w:tcW w:w="0" w:type="auto"/>
            <w:vAlign w:val="center"/>
            <w:hideMark/>
          </w:tcPr>
          <w:p w14:paraId="043E236F" w14:textId="77777777" w:rsidR="005B0C91" w:rsidRPr="005B0C91" w:rsidRDefault="005B0C91" w:rsidP="00665C41">
            <w:pPr>
              <w:spacing w:line="360" w:lineRule="auto"/>
              <w:jc w:val="center"/>
              <w:rPr>
                <w:color w:val="000000" w:themeColor="text1"/>
                <w:sz w:val="24"/>
                <w:szCs w:val="24"/>
              </w:rPr>
            </w:pPr>
            <w:r w:rsidRPr="005B0C91">
              <w:rPr>
                <w:color w:val="000000" w:themeColor="text1"/>
                <w:sz w:val="24"/>
                <w:szCs w:val="24"/>
              </w:rPr>
              <w:t>Acceptable</w:t>
            </w:r>
          </w:p>
        </w:tc>
      </w:tr>
      <w:tr w:rsidR="005B0C91" w:rsidRPr="005B0C91" w14:paraId="5656998D" w14:textId="77777777" w:rsidTr="005B0C91">
        <w:trPr>
          <w:trHeight w:val="422"/>
          <w:tblCellSpacing w:w="15" w:type="dxa"/>
        </w:trPr>
        <w:tc>
          <w:tcPr>
            <w:tcW w:w="0" w:type="auto"/>
            <w:vAlign w:val="center"/>
            <w:hideMark/>
          </w:tcPr>
          <w:p w14:paraId="1E490638" w14:textId="0AA6C18F" w:rsidR="005B0C91" w:rsidRPr="005B0C91" w:rsidRDefault="002A2EB1" w:rsidP="00665C41">
            <w:pPr>
              <w:spacing w:line="360" w:lineRule="auto"/>
              <w:jc w:val="center"/>
              <w:rPr>
                <w:color w:val="000000" w:themeColor="text1"/>
                <w:sz w:val="24"/>
                <w:szCs w:val="24"/>
              </w:rPr>
            </w:pPr>
            <w:r>
              <w:rPr>
                <w:color w:val="000000" w:themeColor="text1"/>
                <w:sz w:val="24"/>
                <w:szCs w:val="24"/>
              </w:rPr>
              <w:t>Manufacturing Process Technology Innovations (MPTI)</w:t>
            </w:r>
            <w:r w:rsidR="005B0C91" w:rsidRPr="005B0C91">
              <w:rPr>
                <w:color w:val="000000" w:themeColor="text1"/>
                <w:sz w:val="24"/>
                <w:szCs w:val="24"/>
              </w:rPr>
              <w:t xml:space="preserve"> (MPTI)</w:t>
            </w:r>
          </w:p>
        </w:tc>
        <w:tc>
          <w:tcPr>
            <w:tcW w:w="0" w:type="auto"/>
            <w:vAlign w:val="center"/>
            <w:hideMark/>
          </w:tcPr>
          <w:p w14:paraId="72805DF2" w14:textId="77777777" w:rsidR="005B0C91" w:rsidRPr="005B0C91" w:rsidRDefault="005B0C91" w:rsidP="00665C41">
            <w:pPr>
              <w:spacing w:line="360" w:lineRule="auto"/>
              <w:jc w:val="center"/>
              <w:rPr>
                <w:color w:val="000000" w:themeColor="text1"/>
                <w:sz w:val="24"/>
                <w:szCs w:val="24"/>
              </w:rPr>
            </w:pPr>
            <w:r w:rsidRPr="005B0C91">
              <w:rPr>
                <w:color w:val="000000" w:themeColor="text1"/>
                <w:sz w:val="24"/>
                <w:szCs w:val="24"/>
              </w:rPr>
              <w:t>0.669</w:t>
            </w:r>
          </w:p>
        </w:tc>
        <w:tc>
          <w:tcPr>
            <w:tcW w:w="0" w:type="auto"/>
            <w:vAlign w:val="center"/>
            <w:hideMark/>
          </w:tcPr>
          <w:p w14:paraId="41A0F151" w14:textId="77777777" w:rsidR="005B0C91" w:rsidRPr="005B0C91" w:rsidRDefault="005B0C91" w:rsidP="00665C41">
            <w:pPr>
              <w:spacing w:line="360" w:lineRule="auto"/>
              <w:jc w:val="center"/>
              <w:rPr>
                <w:color w:val="000000" w:themeColor="text1"/>
                <w:sz w:val="24"/>
                <w:szCs w:val="24"/>
              </w:rPr>
            </w:pPr>
            <w:r w:rsidRPr="005B0C91">
              <w:rPr>
                <w:color w:val="000000" w:themeColor="text1"/>
                <w:sz w:val="24"/>
                <w:szCs w:val="24"/>
              </w:rPr>
              <w:t>Acceptable</w:t>
            </w:r>
          </w:p>
        </w:tc>
      </w:tr>
      <w:tr w:rsidR="005B0C91" w:rsidRPr="005B0C91" w14:paraId="01482B7E" w14:textId="77777777" w:rsidTr="005B0C91">
        <w:trPr>
          <w:trHeight w:val="422"/>
          <w:tblCellSpacing w:w="15" w:type="dxa"/>
        </w:trPr>
        <w:tc>
          <w:tcPr>
            <w:tcW w:w="0" w:type="auto"/>
            <w:vAlign w:val="center"/>
            <w:hideMark/>
          </w:tcPr>
          <w:p w14:paraId="534D89FE" w14:textId="77777777" w:rsidR="005B0C91" w:rsidRPr="005B0C91" w:rsidRDefault="005B0C91" w:rsidP="00665C41">
            <w:pPr>
              <w:spacing w:line="360" w:lineRule="auto"/>
              <w:jc w:val="center"/>
              <w:rPr>
                <w:color w:val="000000" w:themeColor="text1"/>
                <w:sz w:val="24"/>
                <w:szCs w:val="24"/>
              </w:rPr>
            </w:pPr>
            <w:r w:rsidRPr="005B0C91">
              <w:rPr>
                <w:color w:val="000000" w:themeColor="text1"/>
                <w:sz w:val="24"/>
                <w:szCs w:val="24"/>
              </w:rPr>
              <w:t>Digital Manufacturing Technologies Integration (DMTI)</w:t>
            </w:r>
          </w:p>
        </w:tc>
        <w:tc>
          <w:tcPr>
            <w:tcW w:w="0" w:type="auto"/>
            <w:vAlign w:val="center"/>
            <w:hideMark/>
          </w:tcPr>
          <w:p w14:paraId="60B3B1F5" w14:textId="77777777" w:rsidR="005B0C91" w:rsidRPr="005B0C91" w:rsidRDefault="005B0C91" w:rsidP="00665C41">
            <w:pPr>
              <w:spacing w:line="360" w:lineRule="auto"/>
              <w:jc w:val="center"/>
              <w:rPr>
                <w:color w:val="000000" w:themeColor="text1"/>
                <w:sz w:val="24"/>
                <w:szCs w:val="24"/>
              </w:rPr>
            </w:pPr>
            <w:r w:rsidRPr="005B0C91">
              <w:rPr>
                <w:color w:val="000000" w:themeColor="text1"/>
                <w:sz w:val="24"/>
                <w:szCs w:val="24"/>
              </w:rPr>
              <w:t>0.709</w:t>
            </w:r>
          </w:p>
        </w:tc>
        <w:tc>
          <w:tcPr>
            <w:tcW w:w="0" w:type="auto"/>
            <w:vAlign w:val="center"/>
            <w:hideMark/>
          </w:tcPr>
          <w:p w14:paraId="68BEF84A" w14:textId="77777777" w:rsidR="005B0C91" w:rsidRPr="005B0C91" w:rsidRDefault="005B0C91" w:rsidP="00665C41">
            <w:pPr>
              <w:spacing w:line="360" w:lineRule="auto"/>
              <w:jc w:val="center"/>
              <w:rPr>
                <w:color w:val="000000" w:themeColor="text1"/>
                <w:sz w:val="24"/>
                <w:szCs w:val="24"/>
              </w:rPr>
            </w:pPr>
            <w:r w:rsidRPr="005B0C91">
              <w:rPr>
                <w:color w:val="000000" w:themeColor="text1"/>
                <w:sz w:val="24"/>
                <w:szCs w:val="24"/>
              </w:rPr>
              <w:t>Acceptable</w:t>
            </w:r>
          </w:p>
        </w:tc>
      </w:tr>
      <w:tr w:rsidR="005B0C91" w:rsidRPr="005B0C91" w14:paraId="78840428" w14:textId="77777777" w:rsidTr="005B0C91">
        <w:trPr>
          <w:trHeight w:val="422"/>
          <w:tblCellSpacing w:w="15" w:type="dxa"/>
        </w:trPr>
        <w:tc>
          <w:tcPr>
            <w:tcW w:w="0" w:type="auto"/>
            <w:vAlign w:val="center"/>
            <w:hideMark/>
          </w:tcPr>
          <w:p w14:paraId="48B936DF" w14:textId="77777777" w:rsidR="005B0C91" w:rsidRPr="005B0C91" w:rsidRDefault="005B0C91" w:rsidP="00665C41">
            <w:pPr>
              <w:spacing w:line="360" w:lineRule="auto"/>
              <w:jc w:val="center"/>
              <w:rPr>
                <w:color w:val="000000" w:themeColor="text1"/>
                <w:sz w:val="24"/>
                <w:szCs w:val="24"/>
              </w:rPr>
            </w:pPr>
            <w:proofErr w:type="spellStart"/>
            <w:r w:rsidRPr="005B0C91">
              <w:rPr>
                <w:color w:val="000000" w:themeColor="text1"/>
                <w:sz w:val="24"/>
                <w:szCs w:val="24"/>
              </w:rPr>
              <w:t>Microfactories</w:t>
            </w:r>
            <w:proofErr w:type="spellEnd"/>
            <w:r w:rsidRPr="005B0C91">
              <w:rPr>
                <w:color w:val="000000" w:themeColor="text1"/>
                <w:sz w:val="24"/>
                <w:szCs w:val="24"/>
              </w:rPr>
              <w:t xml:space="preserve"> (MF)</w:t>
            </w:r>
          </w:p>
        </w:tc>
        <w:tc>
          <w:tcPr>
            <w:tcW w:w="0" w:type="auto"/>
            <w:vAlign w:val="center"/>
            <w:hideMark/>
          </w:tcPr>
          <w:p w14:paraId="047AE867" w14:textId="77777777" w:rsidR="005B0C91" w:rsidRPr="005B0C91" w:rsidRDefault="005B0C91" w:rsidP="00665C41">
            <w:pPr>
              <w:spacing w:line="360" w:lineRule="auto"/>
              <w:jc w:val="center"/>
              <w:rPr>
                <w:color w:val="000000" w:themeColor="text1"/>
                <w:sz w:val="24"/>
                <w:szCs w:val="24"/>
              </w:rPr>
            </w:pPr>
            <w:r w:rsidRPr="005B0C91">
              <w:rPr>
                <w:color w:val="000000" w:themeColor="text1"/>
                <w:sz w:val="24"/>
                <w:szCs w:val="24"/>
              </w:rPr>
              <w:t>0.781</w:t>
            </w:r>
          </w:p>
        </w:tc>
        <w:tc>
          <w:tcPr>
            <w:tcW w:w="0" w:type="auto"/>
            <w:vAlign w:val="center"/>
            <w:hideMark/>
          </w:tcPr>
          <w:p w14:paraId="7A3258C2" w14:textId="77777777" w:rsidR="005B0C91" w:rsidRPr="005B0C91" w:rsidRDefault="005B0C91" w:rsidP="00665C41">
            <w:pPr>
              <w:spacing w:line="360" w:lineRule="auto"/>
              <w:jc w:val="center"/>
              <w:rPr>
                <w:color w:val="000000" w:themeColor="text1"/>
                <w:sz w:val="24"/>
                <w:szCs w:val="24"/>
              </w:rPr>
            </w:pPr>
            <w:r w:rsidRPr="005B0C91">
              <w:rPr>
                <w:color w:val="000000" w:themeColor="text1"/>
                <w:sz w:val="24"/>
                <w:szCs w:val="24"/>
              </w:rPr>
              <w:t>Acceptable</w:t>
            </w:r>
          </w:p>
        </w:tc>
      </w:tr>
      <w:tr w:rsidR="005B0C91" w:rsidRPr="005B0C91" w14:paraId="4ECD2169" w14:textId="77777777" w:rsidTr="005B0C91">
        <w:trPr>
          <w:trHeight w:val="422"/>
          <w:tblCellSpacing w:w="15" w:type="dxa"/>
        </w:trPr>
        <w:tc>
          <w:tcPr>
            <w:tcW w:w="0" w:type="auto"/>
            <w:vAlign w:val="center"/>
            <w:hideMark/>
          </w:tcPr>
          <w:p w14:paraId="7BA07221" w14:textId="77777777" w:rsidR="005B0C91" w:rsidRPr="005B0C91" w:rsidRDefault="005B0C91" w:rsidP="00665C41">
            <w:pPr>
              <w:spacing w:line="360" w:lineRule="auto"/>
              <w:jc w:val="center"/>
              <w:rPr>
                <w:color w:val="000000" w:themeColor="text1"/>
                <w:sz w:val="24"/>
                <w:szCs w:val="24"/>
              </w:rPr>
            </w:pPr>
            <w:r w:rsidRPr="005B0C91">
              <w:rPr>
                <w:color w:val="000000" w:themeColor="text1"/>
                <w:sz w:val="24"/>
                <w:szCs w:val="24"/>
              </w:rPr>
              <w:t>Leadership Style (LS)</w:t>
            </w:r>
          </w:p>
        </w:tc>
        <w:tc>
          <w:tcPr>
            <w:tcW w:w="0" w:type="auto"/>
            <w:vAlign w:val="center"/>
            <w:hideMark/>
          </w:tcPr>
          <w:p w14:paraId="55476914" w14:textId="77777777" w:rsidR="005B0C91" w:rsidRPr="005B0C91" w:rsidRDefault="005B0C91" w:rsidP="00665C41">
            <w:pPr>
              <w:spacing w:line="360" w:lineRule="auto"/>
              <w:jc w:val="center"/>
              <w:rPr>
                <w:color w:val="000000" w:themeColor="text1"/>
                <w:sz w:val="24"/>
                <w:szCs w:val="24"/>
              </w:rPr>
            </w:pPr>
            <w:r w:rsidRPr="005B0C91">
              <w:rPr>
                <w:color w:val="000000" w:themeColor="text1"/>
                <w:sz w:val="24"/>
                <w:szCs w:val="24"/>
              </w:rPr>
              <w:t>0.866</w:t>
            </w:r>
          </w:p>
        </w:tc>
        <w:tc>
          <w:tcPr>
            <w:tcW w:w="0" w:type="auto"/>
            <w:vAlign w:val="center"/>
            <w:hideMark/>
          </w:tcPr>
          <w:p w14:paraId="2F96FF4E" w14:textId="77777777" w:rsidR="005B0C91" w:rsidRPr="005B0C91" w:rsidRDefault="005B0C91" w:rsidP="00665C41">
            <w:pPr>
              <w:spacing w:line="360" w:lineRule="auto"/>
              <w:jc w:val="center"/>
              <w:rPr>
                <w:color w:val="000000" w:themeColor="text1"/>
                <w:sz w:val="24"/>
                <w:szCs w:val="24"/>
              </w:rPr>
            </w:pPr>
            <w:r w:rsidRPr="005B0C91">
              <w:rPr>
                <w:color w:val="000000" w:themeColor="text1"/>
                <w:sz w:val="24"/>
                <w:szCs w:val="24"/>
              </w:rPr>
              <w:t>Good</w:t>
            </w:r>
          </w:p>
        </w:tc>
      </w:tr>
      <w:tr w:rsidR="005B0C91" w:rsidRPr="005B0C91" w14:paraId="667F3680" w14:textId="77777777" w:rsidTr="005B0C91">
        <w:trPr>
          <w:trHeight w:val="422"/>
          <w:tblCellSpacing w:w="15" w:type="dxa"/>
        </w:trPr>
        <w:tc>
          <w:tcPr>
            <w:tcW w:w="0" w:type="auto"/>
            <w:tcBorders>
              <w:bottom w:val="single" w:sz="4" w:space="0" w:color="auto"/>
            </w:tcBorders>
            <w:vAlign w:val="center"/>
            <w:hideMark/>
          </w:tcPr>
          <w:p w14:paraId="2E879D53" w14:textId="77777777" w:rsidR="005B0C91" w:rsidRPr="005B0C91" w:rsidRDefault="005B0C91" w:rsidP="00665C41">
            <w:pPr>
              <w:spacing w:line="360" w:lineRule="auto"/>
              <w:jc w:val="center"/>
              <w:rPr>
                <w:color w:val="000000" w:themeColor="text1"/>
                <w:sz w:val="24"/>
                <w:szCs w:val="24"/>
              </w:rPr>
            </w:pPr>
            <w:r w:rsidRPr="005B0C91">
              <w:rPr>
                <w:color w:val="000000" w:themeColor="text1"/>
                <w:sz w:val="24"/>
                <w:szCs w:val="24"/>
              </w:rPr>
              <w:t>Sustainable Manufacturing Performance (SMP/DV)</w:t>
            </w:r>
          </w:p>
        </w:tc>
        <w:tc>
          <w:tcPr>
            <w:tcW w:w="0" w:type="auto"/>
            <w:tcBorders>
              <w:bottom w:val="single" w:sz="4" w:space="0" w:color="auto"/>
            </w:tcBorders>
            <w:vAlign w:val="center"/>
            <w:hideMark/>
          </w:tcPr>
          <w:p w14:paraId="23AB4D60" w14:textId="77777777" w:rsidR="005B0C91" w:rsidRPr="005B0C91" w:rsidRDefault="005B0C91" w:rsidP="00665C41">
            <w:pPr>
              <w:spacing w:line="360" w:lineRule="auto"/>
              <w:jc w:val="center"/>
              <w:rPr>
                <w:color w:val="000000" w:themeColor="text1"/>
                <w:sz w:val="24"/>
                <w:szCs w:val="24"/>
              </w:rPr>
            </w:pPr>
            <w:r w:rsidRPr="005B0C91">
              <w:rPr>
                <w:color w:val="000000" w:themeColor="text1"/>
                <w:sz w:val="24"/>
                <w:szCs w:val="24"/>
              </w:rPr>
              <w:t>0.942</w:t>
            </w:r>
          </w:p>
        </w:tc>
        <w:tc>
          <w:tcPr>
            <w:tcW w:w="0" w:type="auto"/>
            <w:tcBorders>
              <w:bottom w:val="single" w:sz="4" w:space="0" w:color="auto"/>
            </w:tcBorders>
            <w:vAlign w:val="center"/>
            <w:hideMark/>
          </w:tcPr>
          <w:p w14:paraId="7DC415A4" w14:textId="77777777" w:rsidR="005B0C91" w:rsidRPr="005B0C91" w:rsidRDefault="005B0C91" w:rsidP="00665C41">
            <w:pPr>
              <w:spacing w:line="360" w:lineRule="auto"/>
              <w:jc w:val="center"/>
              <w:rPr>
                <w:color w:val="000000" w:themeColor="text1"/>
                <w:sz w:val="24"/>
                <w:szCs w:val="24"/>
              </w:rPr>
            </w:pPr>
            <w:r w:rsidRPr="005B0C91">
              <w:rPr>
                <w:color w:val="000000" w:themeColor="text1"/>
                <w:sz w:val="24"/>
                <w:szCs w:val="24"/>
              </w:rPr>
              <w:t>Excellent</w:t>
            </w:r>
          </w:p>
        </w:tc>
      </w:tr>
    </w:tbl>
    <w:p w14:paraId="76338D2C" w14:textId="1B054753" w:rsidR="00040D4E" w:rsidRPr="005B0C91" w:rsidRDefault="00972632" w:rsidP="00B65AC7">
      <w:pPr>
        <w:spacing w:after="0" w:line="480" w:lineRule="auto"/>
        <w:rPr>
          <w:sz w:val="24"/>
          <w:szCs w:val="24"/>
          <w:lang w:val="en-GB"/>
        </w:rPr>
      </w:pPr>
      <w:r>
        <w:rPr>
          <w:sz w:val="24"/>
          <w:szCs w:val="24"/>
          <w:lang w:val="en-GB"/>
        </w:rPr>
        <w:t>Source: Survey Data (2025)</w:t>
      </w:r>
    </w:p>
    <w:p w14:paraId="2C56E12C" w14:textId="028BF4EC" w:rsidR="005B0C91" w:rsidRPr="005B0C91" w:rsidRDefault="005B0C91" w:rsidP="00DE79BF">
      <w:pPr>
        <w:spacing w:before="240" w:after="240"/>
        <w:rPr>
          <w:sz w:val="24"/>
          <w:szCs w:val="24"/>
        </w:rPr>
      </w:pPr>
      <w:r w:rsidRPr="005B0C91">
        <w:rPr>
          <w:sz w:val="24"/>
          <w:szCs w:val="24"/>
        </w:rPr>
        <w:t>The reliability of the measurement instrument was assessed using Cronbach's alpha to determine the internal consistency of the constructs. Cronbach's alpha is one of the most widely used reliability measures, with values of 0.70 or higher generally indicating good reliability, while values between 0.60 and 0.69 are considered acceptable, particularly for exploratory research (Hair et al., 2019).</w:t>
      </w:r>
    </w:p>
    <w:p w14:paraId="22907D4A" w14:textId="6F054351" w:rsidR="005B0C91" w:rsidRPr="005B0C91" w:rsidRDefault="005B0C91" w:rsidP="00DE79BF">
      <w:pPr>
        <w:spacing w:before="240" w:after="240"/>
        <w:rPr>
          <w:sz w:val="24"/>
          <w:szCs w:val="24"/>
        </w:rPr>
      </w:pPr>
      <w:r w:rsidRPr="005B0C91">
        <w:rPr>
          <w:sz w:val="24"/>
          <w:szCs w:val="24"/>
        </w:rPr>
        <w:t xml:space="preserve">As shown in Table </w:t>
      </w:r>
      <w:r w:rsidR="00E00B62">
        <w:rPr>
          <w:sz w:val="24"/>
          <w:szCs w:val="24"/>
        </w:rPr>
        <w:t>5</w:t>
      </w:r>
      <w:r w:rsidRPr="005B0C91">
        <w:rPr>
          <w:sz w:val="24"/>
          <w:szCs w:val="24"/>
        </w:rPr>
        <w:t xml:space="preserve">, the Cronbach's alpha values ranged from 0.669 to 0.942, indicating acceptable to excellent internal consistency across all constructs. Sustainable Manufacturing Performance (SMP) recorded the highest reliability coefficient (α = 0.942), demonstrating excellent internal consistency among its measurement items. </w:t>
      </w:r>
      <w:r w:rsidRPr="005B0C91">
        <w:rPr>
          <w:sz w:val="24"/>
          <w:szCs w:val="24"/>
        </w:rPr>
        <w:lastRenderedPageBreak/>
        <w:t>Pioneer–Follower Posture (PFP) (α = 0.867), Technological Investments (TI) (α = 0.866), Leadership Style (LS) (α = 0.866), Intensity of Product Upgrades (IPU) (α = 0.824), and Product and Process Technology (PPT) (α = 0.820) all exceeded the recommended threshold of 0.70, indicating good reliability.</w:t>
      </w:r>
    </w:p>
    <w:p w14:paraId="1127D78C" w14:textId="7A296C0B" w:rsidR="005B0C91" w:rsidRPr="005B0C91" w:rsidRDefault="005B0C91" w:rsidP="00DE79BF">
      <w:pPr>
        <w:spacing w:before="240" w:after="240"/>
        <w:rPr>
          <w:sz w:val="24"/>
          <w:szCs w:val="24"/>
        </w:rPr>
      </w:pPr>
      <w:r w:rsidRPr="005B0C91">
        <w:rPr>
          <w:sz w:val="24"/>
          <w:szCs w:val="24"/>
        </w:rPr>
        <w:t xml:space="preserve">Manufacturing System and Process Design Technologies (MSPD) (α = 0.698), </w:t>
      </w:r>
      <w:r w:rsidR="002A2EB1">
        <w:rPr>
          <w:sz w:val="24"/>
          <w:szCs w:val="24"/>
        </w:rPr>
        <w:t>Manufacturing Process Technology Innovations (MPTI)</w:t>
      </w:r>
      <w:r w:rsidRPr="005B0C91">
        <w:rPr>
          <w:sz w:val="24"/>
          <w:szCs w:val="24"/>
        </w:rPr>
        <w:t xml:space="preserve"> (MPTI) (α = 0.669), Digital Manufacturing Technologies Integration (DMTI) (α = 0.709), and </w:t>
      </w:r>
      <w:proofErr w:type="spellStart"/>
      <w:r w:rsidRPr="005B0C91">
        <w:rPr>
          <w:sz w:val="24"/>
          <w:szCs w:val="24"/>
        </w:rPr>
        <w:t>Microfactories</w:t>
      </w:r>
      <w:proofErr w:type="spellEnd"/>
      <w:r w:rsidRPr="005B0C91">
        <w:rPr>
          <w:sz w:val="24"/>
          <w:szCs w:val="24"/>
        </w:rPr>
        <w:t xml:space="preserve"> (MF) (α = 0.781) also demonstrated acceptable levels of internal consistency. Although the Cronbach's alpha values for MSPD and MPTI were slightly below the conventional threshold of 0.70, they exceeded the minimum acceptable value of 0.60, suggesting that the constructs remain sufficiently reliable for analysis.</w:t>
      </w:r>
    </w:p>
    <w:p w14:paraId="6E1E39A8" w14:textId="77777777" w:rsidR="005B0C91" w:rsidRPr="005B0C91" w:rsidRDefault="005B0C91" w:rsidP="00DE79BF">
      <w:pPr>
        <w:spacing w:before="240" w:after="240"/>
        <w:rPr>
          <w:sz w:val="24"/>
          <w:szCs w:val="24"/>
        </w:rPr>
      </w:pPr>
      <w:r w:rsidRPr="005B0C91">
        <w:rPr>
          <w:sz w:val="24"/>
          <w:szCs w:val="24"/>
        </w:rPr>
        <w:t>Overall, the reliability analysis indicates that all constructs achieved acceptable to excellent levels of internal consistency. Therefore, the measurement instrument is considered reliable and suitable for subsequent statistical analyses, including correlation and multiple regression analyses.</w:t>
      </w:r>
    </w:p>
    <w:p w14:paraId="6B4EBC84" w14:textId="77777777" w:rsidR="00040D4E" w:rsidRPr="005B0C91" w:rsidRDefault="00040D4E" w:rsidP="00B65AC7">
      <w:pPr>
        <w:spacing w:after="0" w:line="480" w:lineRule="auto"/>
        <w:rPr>
          <w:sz w:val="24"/>
          <w:szCs w:val="24"/>
          <w:lang w:val="en-GB"/>
        </w:rPr>
      </w:pPr>
    </w:p>
    <w:p w14:paraId="191E6C8F" w14:textId="4458A620" w:rsidR="009552E8" w:rsidRPr="00DE79BF" w:rsidRDefault="00DE79BF" w:rsidP="009552E8">
      <w:pPr>
        <w:spacing w:line="480" w:lineRule="auto"/>
        <w:rPr>
          <w:b/>
          <w:bCs/>
          <w:sz w:val="28"/>
          <w:szCs w:val="28"/>
        </w:rPr>
      </w:pPr>
      <w:r w:rsidRPr="00DE79BF">
        <w:rPr>
          <w:b/>
          <w:bCs/>
          <w:sz w:val="28"/>
          <w:szCs w:val="28"/>
          <w:lang w:val="en-GB"/>
        </w:rPr>
        <w:t>5.5</w:t>
      </w:r>
      <w:r w:rsidRPr="00DE79BF">
        <w:rPr>
          <w:sz w:val="28"/>
          <w:szCs w:val="28"/>
          <w:lang w:val="en-GB"/>
        </w:rPr>
        <w:t xml:space="preserve"> </w:t>
      </w:r>
      <w:r w:rsidRPr="00DE79BF">
        <w:rPr>
          <w:b/>
          <w:bCs/>
          <w:sz w:val="28"/>
          <w:szCs w:val="28"/>
        </w:rPr>
        <w:t>COEFFICIENTS (PATH ANALYSIS RESULTS)</w:t>
      </w:r>
    </w:p>
    <w:p w14:paraId="0C6247EE" w14:textId="2B891561" w:rsidR="009C3CA5" w:rsidRPr="00DE79BF" w:rsidRDefault="009C3CA5" w:rsidP="009C3CA5">
      <w:pPr>
        <w:pStyle w:val="Caption"/>
        <w:keepNext/>
        <w:rPr>
          <w:color w:val="auto"/>
          <w:sz w:val="24"/>
          <w:szCs w:val="24"/>
        </w:rPr>
      </w:pPr>
      <w:r w:rsidRPr="00DE79BF">
        <w:rPr>
          <w:color w:val="auto"/>
          <w:sz w:val="24"/>
          <w:szCs w:val="24"/>
        </w:rPr>
        <w:t xml:space="preserve">Table </w:t>
      </w:r>
      <w:r w:rsidRPr="00DE79BF">
        <w:rPr>
          <w:color w:val="auto"/>
          <w:sz w:val="24"/>
          <w:szCs w:val="24"/>
        </w:rPr>
        <w:fldChar w:fldCharType="begin"/>
      </w:r>
      <w:r w:rsidRPr="00DE79BF">
        <w:rPr>
          <w:color w:val="auto"/>
          <w:sz w:val="24"/>
          <w:szCs w:val="24"/>
        </w:rPr>
        <w:instrText xml:space="preserve"> SEQ Table \* ARABIC </w:instrText>
      </w:r>
      <w:r w:rsidRPr="00DE79BF">
        <w:rPr>
          <w:color w:val="auto"/>
          <w:sz w:val="24"/>
          <w:szCs w:val="24"/>
        </w:rPr>
        <w:fldChar w:fldCharType="separate"/>
      </w:r>
      <w:r w:rsidR="00605047">
        <w:rPr>
          <w:noProof/>
          <w:color w:val="auto"/>
          <w:sz w:val="24"/>
          <w:szCs w:val="24"/>
        </w:rPr>
        <w:t>6</w:t>
      </w:r>
      <w:r w:rsidRPr="00DE79BF">
        <w:rPr>
          <w:color w:val="auto"/>
          <w:sz w:val="24"/>
          <w:szCs w:val="24"/>
        </w:rPr>
        <w:fldChar w:fldCharType="end"/>
      </w:r>
      <w:r w:rsidRPr="00DE79BF">
        <w:rPr>
          <w:color w:val="auto"/>
          <w:sz w:val="24"/>
          <w:szCs w:val="24"/>
        </w:rPr>
        <w:t xml:space="preserve"> Coefficients</w:t>
      </w:r>
    </w:p>
    <w:tbl>
      <w:tblPr>
        <w:tblW w:w="10800" w:type="dxa"/>
        <w:tblLayout w:type="fixed"/>
        <w:tblCellMar>
          <w:left w:w="0" w:type="dxa"/>
          <w:right w:w="0" w:type="dxa"/>
        </w:tblCellMar>
        <w:tblLook w:val="0000" w:firstRow="0" w:lastRow="0" w:firstColumn="0" w:lastColumn="0" w:noHBand="0" w:noVBand="0"/>
      </w:tblPr>
      <w:tblGrid>
        <w:gridCol w:w="368"/>
        <w:gridCol w:w="797"/>
        <w:gridCol w:w="990"/>
        <w:gridCol w:w="1080"/>
        <w:gridCol w:w="1080"/>
        <w:gridCol w:w="810"/>
        <w:gridCol w:w="990"/>
        <w:gridCol w:w="1260"/>
        <w:gridCol w:w="1260"/>
        <w:gridCol w:w="1170"/>
        <w:gridCol w:w="995"/>
      </w:tblGrid>
      <w:tr w:rsidR="00E00B62" w:rsidRPr="00C8400E" w14:paraId="01DDDA34" w14:textId="77777777" w:rsidTr="00E00B62">
        <w:trPr>
          <w:cantSplit/>
          <w:trHeight w:val="10"/>
        </w:trPr>
        <w:tc>
          <w:tcPr>
            <w:tcW w:w="10800" w:type="dxa"/>
            <w:gridSpan w:val="11"/>
            <w:tcBorders>
              <w:bottom w:val="single" w:sz="4" w:space="0" w:color="auto"/>
            </w:tcBorders>
            <w:shd w:val="clear" w:color="auto" w:fill="FFFFFF"/>
            <w:vAlign w:val="center"/>
          </w:tcPr>
          <w:p w14:paraId="444E108D" w14:textId="77777777" w:rsidR="00E00B62" w:rsidRPr="00C8400E" w:rsidRDefault="00E00B62" w:rsidP="00665C41">
            <w:pPr>
              <w:autoSpaceDE w:val="0"/>
              <w:autoSpaceDN w:val="0"/>
              <w:adjustRightInd w:val="0"/>
              <w:spacing w:after="0" w:line="360" w:lineRule="auto"/>
              <w:ind w:left="60" w:right="60"/>
              <w:jc w:val="center"/>
              <w:rPr>
                <w:b/>
                <w:bCs/>
                <w:color w:val="000000" w:themeColor="text1"/>
                <w:sz w:val="24"/>
                <w:szCs w:val="24"/>
              </w:rPr>
            </w:pPr>
            <w:proofErr w:type="spellStart"/>
            <w:r w:rsidRPr="00C8400E">
              <w:rPr>
                <w:b/>
                <w:bCs/>
                <w:color w:val="000000" w:themeColor="text1"/>
                <w:sz w:val="24"/>
                <w:szCs w:val="24"/>
              </w:rPr>
              <w:t>Coefficients</w:t>
            </w:r>
            <w:r w:rsidRPr="00C8400E">
              <w:rPr>
                <w:b/>
                <w:bCs/>
                <w:color w:val="000000" w:themeColor="text1"/>
                <w:sz w:val="24"/>
                <w:szCs w:val="24"/>
                <w:vertAlign w:val="superscript"/>
              </w:rPr>
              <w:t>a</w:t>
            </w:r>
            <w:proofErr w:type="spellEnd"/>
          </w:p>
        </w:tc>
      </w:tr>
      <w:tr w:rsidR="00E00B62" w:rsidRPr="00C8400E" w14:paraId="526248AB" w14:textId="77777777" w:rsidTr="00E00B62">
        <w:trPr>
          <w:cantSplit/>
          <w:trHeight w:val="23"/>
        </w:trPr>
        <w:tc>
          <w:tcPr>
            <w:tcW w:w="1165" w:type="dxa"/>
            <w:gridSpan w:val="2"/>
            <w:vMerge w:val="restart"/>
            <w:tcBorders>
              <w:top w:val="single" w:sz="4" w:space="0" w:color="auto"/>
              <w:bottom w:val="single" w:sz="4" w:space="0" w:color="auto"/>
            </w:tcBorders>
            <w:shd w:val="clear" w:color="auto" w:fill="FFFFFF"/>
            <w:vAlign w:val="center"/>
          </w:tcPr>
          <w:p w14:paraId="37089C5D"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Model</w:t>
            </w:r>
          </w:p>
        </w:tc>
        <w:tc>
          <w:tcPr>
            <w:tcW w:w="2070" w:type="dxa"/>
            <w:gridSpan w:val="2"/>
            <w:tcBorders>
              <w:top w:val="single" w:sz="4" w:space="0" w:color="auto"/>
              <w:bottom w:val="single" w:sz="4" w:space="0" w:color="auto"/>
            </w:tcBorders>
            <w:shd w:val="clear" w:color="auto" w:fill="FFFFFF"/>
            <w:vAlign w:val="center"/>
          </w:tcPr>
          <w:p w14:paraId="60635A5A"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Unstandardized Coefficients</w:t>
            </w:r>
          </w:p>
        </w:tc>
        <w:tc>
          <w:tcPr>
            <w:tcW w:w="1080" w:type="dxa"/>
            <w:tcBorders>
              <w:top w:val="single" w:sz="4" w:space="0" w:color="auto"/>
              <w:bottom w:val="single" w:sz="4" w:space="0" w:color="auto"/>
            </w:tcBorders>
            <w:shd w:val="clear" w:color="auto" w:fill="FFFFFF"/>
            <w:vAlign w:val="center"/>
          </w:tcPr>
          <w:p w14:paraId="5E8E12DF"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Standardized Coefficients</w:t>
            </w:r>
          </w:p>
        </w:tc>
        <w:tc>
          <w:tcPr>
            <w:tcW w:w="810" w:type="dxa"/>
            <w:vMerge w:val="restart"/>
            <w:tcBorders>
              <w:top w:val="single" w:sz="4" w:space="0" w:color="auto"/>
              <w:bottom w:val="single" w:sz="4" w:space="0" w:color="auto"/>
            </w:tcBorders>
            <w:shd w:val="clear" w:color="auto" w:fill="FFFFFF"/>
            <w:vAlign w:val="center"/>
          </w:tcPr>
          <w:p w14:paraId="0B76EF99"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t</w:t>
            </w:r>
          </w:p>
        </w:tc>
        <w:tc>
          <w:tcPr>
            <w:tcW w:w="990" w:type="dxa"/>
            <w:vMerge w:val="restart"/>
            <w:tcBorders>
              <w:top w:val="single" w:sz="4" w:space="0" w:color="auto"/>
              <w:bottom w:val="single" w:sz="4" w:space="0" w:color="auto"/>
            </w:tcBorders>
            <w:shd w:val="clear" w:color="auto" w:fill="FFFFFF"/>
            <w:vAlign w:val="center"/>
          </w:tcPr>
          <w:p w14:paraId="6CD27A59"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Sig.</w:t>
            </w:r>
          </w:p>
        </w:tc>
        <w:tc>
          <w:tcPr>
            <w:tcW w:w="2520" w:type="dxa"/>
            <w:gridSpan w:val="2"/>
            <w:tcBorders>
              <w:top w:val="single" w:sz="4" w:space="0" w:color="auto"/>
              <w:bottom w:val="single" w:sz="4" w:space="0" w:color="auto"/>
            </w:tcBorders>
            <w:shd w:val="clear" w:color="auto" w:fill="FFFFFF"/>
            <w:vAlign w:val="center"/>
          </w:tcPr>
          <w:p w14:paraId="61ACAA42"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95.0% Confidence Interval for B</w:t>
            </w:r>
          </w:p>
        </w:tc>
        <w:tc>
          <w:tcPr>
            <w:tcW w:w="2165" w:type="dxa"/>
            <w:gridSpan w:val="2"/>
            <w:tcBorders>
              <w:top w:val="single" w:sz="4" w:space="0" w:color="auto"/>
              <w:bottom w:val="single" w:sz="4" w:space="0" w:color="auto"/>
            </w:tcBorders>
            <w:shd w:val="clear" w:color="auto" w:fill="FFFFFF"/>
            <w:vAlign w:val="center"/>
          </w:tcPr>
          <w:p w14:paraId="380C7E9E"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Collinearity Statistics</w:t>
            </w:r>
          </w:p>
        </w:tc>
      </w:tr>
      <w:tr w:rsidR="00E00B62" w:rsidRPr="00C8400E" w14:paraId="69ABE453" w14:textId="77777777" w:rsidTr="00E00B62">
        <w:trPr>
          <w:cantSplit/>
          <w:trHeight w:val="27"/>
        </w:trPr>
        <w:tc>
          <w:tcPr>
            <w:tcW w:w="1165" w:type="dxa"/>
            <w:gridSpan w:val="2"/>
            <w:vMerge/>
            <w:tcBorders>
              <w:top w:val="single" w:sz="4" w:space="0" w:color="auto"/>
              <w:bottom w:val="single" w:sz="4" w:space="0" w:color="auto"/>
            </w:tcBorders>
            <w:shd w:val="clear" w:color="auto" w:fill="FFFFFF"/>
            <w:vAlign w:val="center"/>
          </w:tcPr>
          <w:p w14:paraId="1F8A96B9" w14:textId="77777777" w:rsidR="00E00B62" w:rsidRPr="00C8400E" w:rsidRDefault="00E00B62" w:rsidP="00665C41">
            <w:pPr>
              <w:autoSpaceDE w:val="0"/>
              <w:autoSpaceDN w:val="0"/>
              <w:adjustRightInd w:val="0"/>
              <w:spacing w:after="0" w:line="360" w:lineRule="auto"/>
              <w:jc w:val="center"/>
              <w:rPr>
                <w:color w:val="000000" w:themeColor="text1"/>
                <w:sz w:val="24"/>
                <w:szCs w:val="24"/>
              </w:rPr>
            </w:pPr>
          </w:p>
        </w:tc>
        <w:tc>
          <w:tcPr>
            <w:tcW w:w="990" w:type="dxa"/>
            <w:tcBorders>
              <w:top w:val="single" w:sz="4" w:space="0" w:color="auto"/>
              <w:bottom w:val="single" w:sz="4" w:space="0" w:color="auto"/>
            </w:tcBorders>
            <w:shd w:val="clear" w:color="auto" w:fill="FFFFFF"/>
            <w:vAlign w:val="center"/>
          </w:tcPr>
          <w:p w14:paraId="22C4FF71"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B</w:t>
            </w:r>
          </w:p>
        </w:tc>
        <w:tc>
          <w:tcPr>
            <w:tcW w:w="1080" w:type="dxa"/>
            <w:tcBorders>
              <w:top w:val="single" w:sz="4" w:space="0" w:color="auto"/>
              <w:bottom w:val="single" w:sz="4" w:space="0" w:color="auto"/>
            </w:tcBorders>
            <w:shd w:val="clear" w:color="auto" w:fill="FFFFFF"/>
            <w:vAlign w:val="center"/>
          </w:tcPr>
          <w:p w14:paraId="7A88496B"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Std. Error</w:t>
            </w:r>
          </w:p>
        </w:tc>
        <w:tc>
          <w:tcPr>
            <w:tcW w:w="1080" w:type="dxa"/>
            <w:tcBorders>
              <w:top w:val="single" w:sz="4" w:space="0" w:color="auto"/>
              <w:bottom w:val="single" w:sz="4" w:space="0" w:color="auto"/>
            </w:tcBorders>
            <w:shd w:val="clear" w:color="auto" w:fill="FFFFFF"/>
            <w:vAlign w:val="center"/>
          </w:tcPr>
          <w:p w14:paraId="597596FD"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Beta</w:t>
            </w:r>
          </w:p>
        </w:tc>
        <w:tc>
          <w:tcPr>
            <w:tcW w:w="810" w:type="dxa"/>
            <w:vMerge/>
            <w:tcBorders>
              <w:top w:val="single" w:sz="4" w:space="0" w:color="auto"/>
              <w:bottom w:val="single" w:sz="4" w:space="0" w:color="auto"/>
            </w:tcBorders>
            <w:shd w:val="clear" w:color="auto" w:fill="FFFFFF"/>
            <w:vAlign w:val="center"/>
          </w:tcPr>
          <w:p w14:paraId="0F2E5156" w14:textId="77777777" w:rsidR="00E00B62" w:rsidRPr="00C8400E" w:rsidRDefault="00E00B62" w:rsidP="00665C41">
            <w:pPr>
              <w:autoSpaceDE w:val="0"/>
              <w:autoSpaceDN w:val="0"/>
              <w:adjustRightInd w:val="0"/>
              <w:spacing w:after="0" w:line="360" w:lineRule="auto"/>
              <w:jc w:val="center"/>
              <w:rPr>
                <w:color w:val="000000" w:themeColor="text1"/>
                <w:sz w:val="24"/>
                <w:szCs w:val="24"/>
              </w:rPr>
            </w:pPr>
          </w:p>
        </w:tc>
        <w:tc>
          <w:tcPr>
            <w:tcW w:w="990" w:type="dxa"/>
            <w:vMerge/>
            <w:tcBorders>
              <w:top w:val="single" w:sz="4" w:space="0" w:color="auto"/>
              <w:bottom w:val="single" w:sz="4" w:space="0" w:color="auto"/>
            </w:tcBorders>
            <w:shd w:val="clear" w:color="auto" w:fill="FFFFFF"/>
            <w:vAlign w:val="center"/>
          </w:tcPr>
          <w:p w14:paraId="7EF31985" w14:textId="77777777" w:rsidR="00E00B62" w:rsidRPr="00C8400E" w:rsidRDefault="00E00B62" w:rsidP="00665C41">
            <w:pPr>
              <w:autoSpaceDE w:val="0"/>
              <w:autoSpaceDN w:val="0"/>
              <w:adjustRightInd w:val="0"/>
              <w:spacing w:after="0" w:line="360" w:lineRule="auto"/>
              <w:jc w:val="center"/>
              <w:rPr>
                <w:color w:val="000000" w:themeColor="text1"/>
                <w:sz w:val="24"/>
                <w:szCs w:val="24"/>
              </w:rPr>
            </w:pPr>
          </w:p>
        </w:tc>
        <w:tc>
          <w:tcPr>
            <w:tcW w:w="1260" w:type="dxa"/>
            <w:tcBorders>
              <w:top w:val="single" w:sz="4" w:space="0" w:color="auto"/>
              <w:bottom w:val="single" w:sz="4" w:space="0" w:color="auto"/>
            </w:tcBorders>
            <w:shd w:val="clear" w:color="auto" w:fill="FFFFFF"/>
            <w:vAlign w:val="center"/>
          </w:tcPr>
          <w:p w14:paraId="4F26F5E2"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Lower Bound</w:t>
            </w:r>
          </w:p>
        </w:tc>
        <w:tc>
          <w:tcPr>
            <w:tcW w:w="1260" w:type="dxa"/>
            <w:tcBorders>
              <w:top w:val="single" w:sz="4" w:space="0" w:color="auto"/>
              <w:bottom w:val="single" w:sz="4" w:space="0" w:color="auto"/>
            </w:tcBorders>
            <w:shd w:val="clear" w:color="auto" w:fill="FFFFFF"/>
            <w:vAlign w:val="center"/>
          </w:tcPr>
          <w:p w14:paraId="24B3AE9A"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Upper Bound</w:t>
            </w:r>
          </w:p>
        </w:tc>
        <w:tc>
          <w:tcPr>
            <w:tcW w:w="1170" w:type="dxa"/>
            <w:tcBorders>
              <w:top w:val="single" w:sz="4" w:space="0" w:color="auto"/>
              <w:bottom w:val="single" w:sz="4" w:space="0" w:color="auto"/>
            </w:tcBorders>
            <w:shd w:val="clear" w:color="auto" w:fill="FFFFFF"/>
            <w:vAlign w:val="center"/>
          </w:tcPr>
          <w:p w14:paraId="1C3E1912"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Tolerance</w:t>
            </w:r>
          </w:p>
        </w:tc>
        <w:tc>
          <w:tcPr>
            <w:tcW w:w="995" w:type="dxa"/>
            <w:tcBorders>
              <w:top w:val="single" w:sz="4" w:space="0" w:color="auto"/>
              <w:bottom w:val="single" w:sz="4" w:space="0" w:color="auto"/>
            </w:tcBorders>
            <w:shd w:val="clear" w:color="auto" w:fill="FFFFFF"/>
            <w:vAlign w:val="center"/>
          </w:tcPr>
          <w:p w14:paraId="15549A30"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VIF</w:t>
            </w:r>
          </w:p>
        </w:tc>
      </w:tr>
      <w:tr w:rsidR="00E00B62" w:rsidRPr="00C8400E" w14:paraId="4BDF4F8B" w14:textId="77777777" w:rsidTr="00E00B62">
        <w:trPr>
          <w:cantSplit/>
          <w:trHeight w:val="23"/>
        </w:trPr>
        <w:tc>
          <w:tcPr>
            <w:tcW w:w="368" w:type="dxa"/>
            <w:vMerge w:val="restart"/>
            <w:tcBorders>
              <w:top w:val="single" w:sz="4" w:space="0" w:color="auto"/>
            </w:tcBorders>
            <w:shd w:val="clear" w:color="auto" w:fill="FFFFFF"/>
            <w:vAlign w:val="center"/>
          </w:tcPr>
          <w:p w14:paraId="02632989"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1</w:t>
            </w:r>
          </w:p>
        </w:tc>
        <w:tc>
          <w:tcPr>
            <w:tcW w:w="797" w:type="dxa"/>
            <w:tcBorders>
              <w:top w:val="single" w:sz="4" w:space="0" w:color="auto"/>
            </w:tcBorders>
            <w:shd w:val="clear" w:color="auto" w:fill="FFFFFF"/>
            <w:vAlign w:val="center"/>
          </w:tcPr>
          <w:p w14:paraId="313D1708"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(Constant)</w:t>
            </w:r>
          </w:p>
        </w:tc>
        <w:tc>
          <w:tcPr>
            <w:tcW w:w="990" w:type="dxa"/>
            <w:tcBorders>
              <w:top w:val="single" w:sz="4" w:space="0" w:color="auto"/>
            </w:tcBorders>
            <w:shd w:val="clear" w:color="auto" w:fill="FFFFFF"/>
            <w:vAlign w:val="center"/>
          </w:tcPr>
          <w:p w14:paraId="0FA95279"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.087</w:t>
            </w:r>
          </w:p>
        </w:tc>
        <w:tc>
          <w:tcPr>
            <w:tcW w:w="1080" w:type="dxa"/>
            <w:tcBorders>
              <w:top w:val="single" w:sz="4" w:space="0" w:color="auto"/>
            </w:tcBorders>
            <w:shd w:val="clear" w:color="auto" w:fill="FFFFFF"/>
            <w:vAlign w:val="center"/>
          </w:tcPr>
          <w:p w14:paraId="6DCD97CA"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.107</w:t>
            </w:r>
          </w:p>
        </w:tc>
        <w:tc>
          <w:tcPr>
            <w:tcW w:w="1080" w:type="dxa"/>
            <w:tcBorders>
              <w:top w:val="single" w:sz="4" w:space="0" w:color="auto"/>
            </w:tcBorders>
            <w:shd w:val="clear" w:color="auto" w:fill="FFFFFF"/>
            <w:vAlign w:val="center"/>
          </w:tcPr>
          <w:p w14:paraId="03450431" w14:textId="77777777" w:rsidR="00E00B62" w:rsidRPr="00C8400E" w:rsidRDefault="00E00B62" w:rsidP="00665C41">
            <w:pPr>
              <w:autoSpaceDE w:val="0"/>
              <w:autoSpaceDN w:val="0"/>
              <w:adjustRightInd w:val="0"/>
              <w:spacing w:after="0" w:line="360" w:lineRule="auto"/>
              <w:jc w:val="center"/>
              <w:rPr>
                <w:color w:val="000000" w:themeColor="text1"/>
                <w:sz w:val="24"/>
                <w:szCs w:val="24"/>
              </w:rPr>
            </w:pPr>
          </w:p>
        </w:tc>
        <w:tc>
          <w:tcPr>
            <w:tcW w:w="810" w:type="dxa"/>
            <w:tcBorders>
              <w:top w:val="single" w:sz="4" w:space="0" w:color="auto"/>
            </w:tcBorders>
            <w:shd w:val="clear" w:color="auto" w:fill="FFFFFF"/>
            <w:vAlign w:val="center"/>
          </w:tcPr>
          <w:p w14:paraId="09BE7D2F"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.814</w:t>
            </w:r>
          </w:p>
        </w:tc>
        <w:tc>
          <w:tcPr>
            <w:tcW w:w="990" w:type="dxa"/>
            <w:tcBorders>
              <w:top w:val="single" w:sz="4" w:space="0" w:color="auto"/>
            </w:tcBorders>
            <w:shd w:val="clear" w:color="auto" w:fill="FFFFFF"/>
            <w:vAlign w:val="center"/>
          </w:tcPr>
          <w:p w14:paraId="6BD51C16"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.417</w:t>
            </w:r>
          </w:p>
        </w:tc>
        <w:tc>
          <w:tcPr>
            <w:tcW w:w="1260" w:type="dxa"/>
            <w:tcBorders>
              <w:top w:val="single" w:sz="4" w:space="0" w:color="auto"/>
            </w:tcBorders>
            <w:shd w:val="clear" w:color="auto" w:fill="FFFFFF"/>
            <w:vAlign w:val="center"/>
          </w:tcPr>
          <w:p w14:paraId="69A368AC"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-.124</w:t>
            </w:r>
          </w:p>
        </w:tc>
        <w:tc>
          <w:tcPr>
            <w:tcW w:w="1260" w:type="dxa"/>
            <w:tcBorders>
              <w:top w:val="single" w:sz="4" w:space="0" w:color="auto"/>
            </w:tcBorders>
            <w:shd w:val="clear" w:color="auto" w:fill="FFFFFF"/>
            <w:vAlign w:val="center"/>
          </w:tcPr>
          <w:p w14:paraId="3CF386BF"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.299</w:t>
            </w:r>
          </w:p>
        </w:tc>
        <w:tc>
          <w:tcPr>
            <w:tcW w:w="1170" w:type="dxa"/>
            <w:tcBorders>
              <w:top w:val="single" w:sz="4" w:space="0" w:color="auto"/>
            </w:tcBorders>
            <w:shd w:val="clear" w:color="auto" w:fill="FFFFFF"/>
            <w:vAlign w:val="center"/>
          </w:tcPr>
          <w:p w14:paraId="65851551" w14:textId="77777777" w:rsidR="00E00B62" w:rsidRPr="00C8400E" w:rsidRDefault="00E00B62" w:rsidP="00665C41">
            <w:pPr>
              <w:autoSpaceDE w:val="0"/>
              <w:autoSpaceDN w:val="0"/>
              <w:adjustRightInd w:val="0"/>
              <w:spacing w:after="0" w:line="360" w:lineRule="auto"/>
              <w:jc w:val="center"/>
              <w:rPr>
                <w:color w:val="000000" w:themeColor="text1"/>
                <w:sz w:val="24"/>
                <w:szCs w:val="24"/>
              </w:rPr>
            </w:pPr>
          </w:p>
        </w:tc>
        <w:tc>
          <w:tcPr>
            <w:tcW w:w="995" w:type="dxa"/>
            <w:tcBorders>
              <w:top w:val="single" w:sz="4" w:space="0" w:color="auto"/>
            </w:tcBorders>
            <w:shd w:val="clear" w:color="auto" w:fill="FFFFFF"/>
            <w:vAlign w:val="center"/>
          </w:tcPr>
          <w:p w14:paraId="3D8FACA7" w14:textId="77777777" w:rsidR="00E00B62" w:rsidRPr="00C8400E" w:rsidRDefault="00E00B62" w:rsidP="00665C41">
            <w:pPr>
              <w:autoSpaceDE w:val="0"/>
              <w:autoSpaceDN w:val="0"/>
              <w:adjustRightInd w:val="0"/>
              <w:spacing w:after="0" w:line="360" w:lineRule="auto"/>
              <w:jc w:val="center"/>
              <w:rPr>
                <w:color w:val="000000" w:themeColor="text1"/>
                <w:sz w:val="24"/>
                <w:szCs w:val="24"/>
              </w:rPr>
            </w:pPr>
          </w:p>
        </w:tc>
      </w:tr>
      <w:tr w:rsidR="00E00B62" w:rsidRPr="00C8400E" w14:paraId="23AD21D3" w14:textId="77777777" w:rsidTr="00E00B62">
        <w:trPr>
          <w:cantSplit/>
          <w:trHeight w:val="4"/>
        </w:trPr>
        <w:tc>
          <w:tcPr>
            <w:tcW w:w="368" w:type="dxa"/>
            <w:vMerge/>
            <w:shd w:val="clear" w:color="auto" w:fill="FFFFFF"/>
            <w:vAlign w:val="center"/>
          </w:tcPr>
          <w:p w14:paraId="50FB6F45" w14:textId="77777777" w:rsidR="00E00B62" w:rsidRPr="00C8400E" w:rsidRDefault="00E00B62" w:rsidP="00665C41">
            <w:pPr>
              <w:autoSpaceDE w:val="0"/>
              <w:autoSpaceDN w:val="0"/>
              <w:adjustRightInd w:val="0"/>
              <w:spacing w:after="0" w:line="360" w:lineRule="auto"/>
              <w:jc w:val="center"/>
              <w:rPr>
                <w:color w:val="000000" w:themeColor="text1"/>
                <w:sz w:val="24"/>
                <w:szCs w:val="24"/>
              </w:rPr>
            </w:pPr>
          </w:p>
        </w:tc>
        <w:tc>
          <w:tcPr>
            <w:tcW w:w="797" w:type="dxa"/>
            <w:shd w:val="clear" w:color="auto" w:fill="FFFFFF"/>
            <w:vAlign w:val="center"/>
          </w:tcPr>
          <w:p w14:paraId="58E899DC"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PFP</w:t>
            </w:r>
          </w:p>
        </w:tc>
        <w:tc>
          <w:tcPr>
            <w:tcW w:w="990" w:type="dxa"/>
            <w:shd w:val="clear" w:color="auto" w:fill="FFFFFF"/>
            <w:vAlign w:val="center"/>
          </w:tcPr>
          <w:p w14:paraId="6E63670F"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.096</w:t>
            </w:r>
          </w:p>
        </w:tc>
        <w:tc>
          <w:tcPr>
            <w:tcW w:w="1080" w:type="dxa"/>
            <w:shd w:val="clear" w:color="auto" w:fill="FFFFFF"/>
            <w:vAlign w:val="center"/>
          </w:tcPr>
          <w:p w14:paraId="767597FE"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.059</w:t>
            </w:r>
          </w:p>
        </w:tc>
        <w:tc>
          <w:tcPr>
            <w:tcW w:w="1080" w:type="dxa"/>
            <w:shd w:val="clear" w:color="auto" w:fill="FFFFFF"/>
            <w:vAlign w:val="center"/>
          </w:tcPr>
          <w:p w14:paraId="1854DAB2"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.101</w:t>
            </w:r>
          </w:p>
        </w:tc>
        <w:tc>
          <w:tcPr>
            <w:tcW w:w="810" w:type="dxa"/>
            <w:shd w:val="clear" w:color="auto" w:fill="FFFFFF"/>
            <w:vAlign w:val="center"/>
          </w:tcPr>
          <w:p w14:paraId="0A56960A"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1.641</w:t>
            </w:r>
          </w:p>
        </w:tc>
        <w:tc>
          <w:tcPr>
            <w:tcW w:w="990" w:type="dxa"/>
            <w:shd w:val="clear" w:color="auto" w:fill="FFFFFF"/>
            <w:vAlign w:val="center"/>
          </w:tcPr>
          <w:p w14:paraId="36C6BA07"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.102</w:t>
            </w:r>
          </w:p>
        </w:tc>
        <w:tc>
          <w:tcPr>
            <w:tcW w:w="1260" w:type="dxa"/>
            <w:shd w:val="clear" w:color="auto" w:fill="FFFFFF"/>
            <w:vAlign w:val="center"/>
          </w:tcPr>
          <w:p w14:paraId="00DB6175"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-.019</w:t>
            </w:r>
          </w:p>
        </w:tc>
        <w:tc>
          <w:tcPr>
            <w:tcW w:w="1260" w:type="dxa"/>
            <w:shd w:val="clear" w:color="auto" w:fill="FFFFFF"/>
            <w:vAlign w:val="center"/>
          </w:tcPr>
          <w:p w14:paraId="7B3680D8"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.212</w:t>
            </w:r>
          </w:p>
        </w:tc>
        <w:tc>
          <w:tcPr>
            <w:tcW w:w="1170" w:type="dxa"/>
            <w:shd w:val="clear" w:color="auto" w:fill="FFFFFF"/>
            <w:vAlign w:val="center"/>
          </w:tcPr>
          <w:p w14:paraId="74F9D946"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.111</w:t>
            </w:r>
          </w:p>
        </w:tc>
        <w:tc>
          <w:tcPr>
            <w:tcW w:w="995" w:type="dxa"/>
            <w:shd w:val="clear" w:color="auto" w:fill="FFFFFF"/>
            <w:vAlign w:val="center"/>
          </w:tcPr>
          <w:p w14:paraId="30115315"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8.974</w:t>
            </w:r>
          </w:p>
        </w:tc>
      </w:tr>
      <w:tr w:rsidR="00E00B62" w:rsidRPr="00C8400E" w14:paraId="697FF281" w14:textId="77777777" w:rsidTr="00E00B62">
        <w:trPr>
          <w:cantSplit/>
          <w:trHeight w:val="4"/>
        </w:trPr>
        <w:tc>
          <w:tcPr>
            <w:tcW w:w="368" w:type="dxa"/>
            <w:vMerge/>
            <w:shd w:val="clear" w:color="auto" w:fill="FFFFFF"/>
            <w:vAlign w:val="center"/>
          </w:tcPr>
          <w:p w14:paraId="43F76349" w14:textId="77777777" w:rsidR="00E00B62" w:rsidRPr="00C8400E" w:rsidRDefault="00E00B62" w:rsidP="00665C41">
            <w:pPr>
              <w:autoSpaceDE w:val="0"/>
              <w:autoSpaceDN w:val="0"/>
              <w:adjustRightInd w:val="0"/>
              <w:spacing w:after="0" w:line="360" w:lineRule="auto"/>
              <w:jc w:val="center"/>
              <w:rPr>
                <w:color w:val="000000" w:themeColor="text1"/>
                <w:sz w:val="24"/>
                <w:szCs w:val="24"/>
              </w:rPr>
            </w:pPr>
          </w:p>
        </w:tc>
        <w:tc>
          <w:tcPr>
            <w:tcW w:w="797" w:type="dxa"/>
            <w:shd w:val="clear" w:color="auto" w:fill="FFFFFF"/>
            <w:vAlign w:val="center"/>
          </w:tcPr>
          <w:p w14:paraId="04A8B3E0"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TI</w:t>
            </w:r>
          </w:p>
        </w:tc>
        <w:tc>
          <w:tcPr>
            <w:tcW w:w="990" w:type="dxa"/>
            <w:shd w:val="clear" w:color="auto" w:fill="FFFFFF"/>
            <w:vAlign w:val="center"/>
          </w:tcPr>
          <w:p w14:paraId="57094F5F"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.214</w:t>
            </w:r>
          </w:p>
        </w:tc>
        <w:tc>
          <w:tcPr>
            <w:tcW w:w="1080" w:type="dxa"/>
            <w:shd w:val="clear" w:color="auto" w:fill="FFFFFF"/>
            <w:vAlign w:val="center"/>
          </w:tcPr>
          <w:p w14:paraId="1B36D5CB"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.049</w:t>
            </w:r>
          </w:p>
        </w:tc>
        <w:tc>
          <w:tcPr>
            <w:tcW w:w="1080" w:type="dxa"/>
            <w:shd w:val="clear" w:color="auto" w:fill="FFFFFF"/>
            <w:vAlign w:val="center"/>
          </w:tcPr>
          <w:p w14:paraId="21B47DE7"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.240</w:t>
            </w:r>
          </w:p>
        </w:tc>
        <w:tc>
          <w:tcPr>
            <w:tcW w:w="810" w:type="dxa"/>
            <w:shd w:val="clear" w:color="auto" w:fill="FFFFFF"/>
            <w:vAlign w:val="center"/>
          </w:tcPr>
          <w:p w14:paraId="244EC064"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4.356</w:t>
            </w:r>
          </w:p>
        </w:tc>
        <w:tc>
          <w:tcPr>
            <w:tcW w:w="990" w:type="dxa"/>
            <w:shd w:val="clear" w:color="auto" w:fill="FFFFFF"/>
            <w:vAlign w:val="center"/>
          </w:tcPr>
          <w:p w14:paraId="7C377C04"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&lt;.001</w:t>
            </w:r>
          </w:p>
        </w:tc>
        <w:tc>
          <w:tcPr>
            <w:tcW w:w="1260" w:type="dxa"/>
            <w:shd w:val="clear" w:color="auto" w:fill="FFFFFF"/>
            <w:vAlign w:val="center"/>
          </w:tcPr>
          <w:p w14:paraId="779D8E6D"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.117</w:t>
            </w:r>
          </w:p>
        </w:tc>
        <w:tc>
          <w:tcPr>
            <w:tcW w:w="1260" w:type="dxa"/>
            <w:shd w:val="clear" w:color="auto" w:fill="FFFFFF"/>
            <w:vAlign w:val="center"/>
          </w:tcPr>
          <w:p w14:paraId="726DD7DE"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.311</w:t>
            </w:r>
          </w:p>
        </w:tc>
        <w:tc>
          <w:tcPr>
            <w:tcW w:w="1170" w:type="dxa"/>
            <w:shd w:val="clear" w:color="auto" w:fill="FFFFFF"/>
            <w:vAlign w:val="center"/>
          </w:tcPr>
          <w:p w14:paraId="7AFF4B9E"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.139</w:t>
            </w:r>
          </w:p>
        </w:tc>
        <w:tc>
          <w:tcPr>
            <w:tcW w:w="995" w:type="dxa"/>
            <w:shd w:val="clear" w:color="auto" w:fill="FFFFFF"/>
            <w:vAlign w:val="center"/>
          </w:tcPr>
          <w:p w14:paraId="2F04E2DD"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7.217</w:t>
            </w:r>
          </w:p>
        </w:tc>
      </w:tr>
      <w:tr w:rsidR="00E00B62" w:rsidRPr="00C8400E" w14:paraId="6B26D294" w14:textId="77777777" w:rsidTr="00E00B62">
        <w:trPr>
          <w:cantSplit/>
          <w:trHeight w:val="4"/>
        </w:trPr>
        <w:tc>
          <w:tcPr>
            <w:tcW w:w="368" w:type="dxa"/>
            <w:vMerge/>
            <w:shd w:val="clear" w:color="auto" w:fill="FFFFFF"/>
            <w:vAlign w:val="center"/>
          </w:tcPr>
          <w:p w14:paraId="6C871DDF" w14:textId="77777777" w:rsidR="00E00B62" w:rsidRPr="00C8400E" w:rsidRDefault="00E00B62" w:rsidP="00665C41">
            <w:pPr>
              <w:autoSpaceDE w:val="0"/>
              <w:autoSpaceDN w:val="0"/>
              <w:adjustRightInd w:val="0"/>
              <w:spacing w:after="0" w:line="360" w:lineRule="auto"/>
              <w:jc w:val="center"/>
              <w:rPr>
                <w:color w:val="000000" w:themeColor="text1"/>
                <w:sz w:val="24"/>
                <w:szCs w:val="24"/>
              </w:rPr>
            </w:pPr>
          </w:p>
        </w:tc>
        <w:tc>
          <w:tcPr>
            <w:tcW w:w="797" w:type="dxa"/>
            <w:shd w:val="clear" w:color="auto" w:fill="FFFFFF"/>
            <w:vAlign w:val="center"/>
          </w:tcPr>
          <w:p w14:paraId="1691DA24"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IPU</w:t>
            </w:r>
          </w:p>
        </w:tc>
        <w:tc>
          <w:tcPr>
            <w:tcW w:w="990" w:type="dxa"/>
            <w:shd w:val="clear" w:color="auto" w:fill="FFFFFF"/>
            <w:vAlign w:val="center"/>
          </w:tcPr>
          <w:p w14:paraId="746A60BB"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-.023</w:t>
            </w:r>
          </w:p>
        </w:tc>
        <w:tc>
          <w:tcPr>
            <w:tcW w:w="1080" w:type="dxa"/>
            <w:shd w:val="clear" w:color="auto" w:fill="FFFFFF"/>
            <w:vAlign w:val="center"/>
          </w:tcPr>
          <w:p w14:paraId="300DD4FB"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.046</w:t>
            </w:r>
          </w:p>
        </w:tc>
        <w:tc>
          <w:tcPr>
            <w:tcW w:w="1080" w:type="dxa"/>
            <w:shd w:val="clear" w:color="auto" w:fill="FFFFFF"/>
            <w:vAlign w:val="center"/>
          </w:tcPr>
          <w:p w14:paraId="1DB05C28"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-.023</w:t>
            </w:r>
          </w:p>
        </w:tc>
        <w:tc>
          <w:tcPr>
            <w:tcW w:w="810" w:type="dxa"/>
            <w:shd w:val="clear" w:color="auto" w:fill="FFFFFF"/>
            <w:vAlign w:val="center"/>
          </w:tcPr>
          <w:p w14:paraId="11CC1C23"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-.491</w:t>
            </w:r>
          </w:p>
        </w:tc>
        <w:tc>
          <w:tcPr>
            <w:tcW w:w="990" w:type="dxa"/>
            <w:shd w:val="clear" w:color="auto" w:fill="FFFFFF"/>
            <w:vAlign w:val="center"/>
          </w:tcPr>
          <w:p w14:paraId="5E6027A1"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.624</w:t>
            </w:r>
          </w:p>
        </w:tc>
        <w:tc>
          <w:tcPr>
            <w:tcW w:w="1260" w:type="dxa"/>
            <w:shd w:val="clear" w:color="auto" w:fill="FFFFFF"/>
            <w:vAlign w:val="center"/>
          </w:tcPr>
          <w:p w14:paraId="29DD3F2E"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-.114</w:t>
            </w:r>
          </w:p>
        </w:tc>
        <w:tc>
          <w:tcPr>
            <w:tcW w:w="1260" w:type="dxa"/>
            <w:shd w:val="clear" w:color="auto" w:fill="FFFFFF"/>
            <w:vAlign w:val="center"/>
          </w:tcPr>
          <w:p w14:paraId="27CD8C92"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.069</w:t>
            </w:r>
          </w:p>
        </w:tc>
        <w:tc>
          <w:tcPr>
            <w:tcW w:w="1170" w:type="dxa"/>
            <w:shd w:val="clear" w:color="auto" w:fill="FFFFFF"/>
            <w:vAlign w:val="center"/>
          </w:tcPr>
          <w:p w14:paraId="1396941C"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.186</w:t>
            </w:r>
          </w:p>
        </w:tc>
        <w:tc>
          <w:tcPr>
            <w:tcW w:w="995" w:type="dxa"/>
            <w:shd w:val="clear" w:color="auto" w:fill="FFFFFF"/>
            <w:vAlign w:val="center"/>
          </w:tcPr>
          <w:p w14:paraId="12BCAC33"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5.374</w:t>
            </w:r>
          </w:p>
        </w:tc>
      </w:tr>
      <w:tr w:rsidR="00E00B62" w:rsidRPr="00C8400E" w14:paraId="30CBBB9C" w14:textId="77777777" w:rsidTr="00E00B62">
        <w:trPr>
          <w:cantSplit/>
          <w:trHeight w:val="4"/>
        </w:trPr>
        <w:tc>
          <w:tcPr>
            <w:tcW w:w="368" w:type="dxa"/>
            <w:vMerge/>
            <w:shd w:val="clear" w:color="auto" w:fill="FFFFFF"/>
            <w:vAlign w:val="center"/>
          </w:tcPr>
          <w:p w14:paraId="4B695E7E" w14:textId="77777777" w:rsidR="00E00B62" w:rsidRPr="00C8400E" w:rsidRDefault="00E00B62" w:rsidP="00665C41">
            <w:pPr>
              <w:autoSpaceDE w:val="0"/>
              <w:autoSpaceDN w:val="0"/>
              <w:adjustRightInd w:val="0"/>
              <w:spacing w:after="0" w:line="360" w:lineRule="auto"/>
              <w:jc w:val="center"/>
              <w:rPr>
                <w:color w:val="000000" w:themeColor="text1"/>
                <w:sz w:val="24"/>
                <w:szCs w:val="24"/>
              </w:rPr>
            </w:pPr>
          </w:p>
        </w:tc>
        <w:tc>
          <w:tcPr>
            <w:tcW w:w="797" w:type="dxa"/>
            <w:shd w:val="clear" w:color="auto" w:fill="FFFFFF"/>
            <w:vAlign w:val="center"/>
          </w:tcPr>
          <w:p w14:paraId="245AE2D0"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PPT</w:t>
            </w:r>
          </w:p>
        </w:tc>
        <w:tc>
          <w:tcPr>
            <w:tcW w:w="990" w:type="dxa"/>
            <w:shd w:val="clear" w:color="auto" w:fill="FFFFFF"/>
            <w:vAlign w:val="center"/>
          </w:tcPr>
          <w:p w14:paraId="4DBC13A3"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.002</w:t>
            </w:r>
          </w:p>
        </w:tc>
        <w:tc>
          <w:tcPr>
            <w:tcW w:w="1080" w:type="dxa"/>
            <w:shd w:val="clear" w:color="auto" w:fill="FFFFFF"/>
            <w:vAlign w:val="center"/>
          </w:tcPr>
          <w:p w14:paraId="434A3865"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.048</w:t>
            </w:r>
          </w:p>
        </w:tc>
        <w:tc>
          <w:tcPr>
            <w:tcW w:w="1080" w:type="dxa"/>
            <w:shd w:val="clear" w:color="auto" w:fill="FFFFFF"/>
            <w:vAlign w:val="center"/>
          </w:tcPr>
          <w:p w14:paraId="11624EEA"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.002</w:t>
            </w:r>
          </w:p>
        </w:tc>
        <w:tc>
          <w:tcPr>
            <w:tcW w:w="810" w:type="dxa"/>
            <w:shd w:val="clear" w:color="auto" w:fill="FFFFFF"/>
            <w:vAlign w:val="center"/>
          </w:tcPr>
          <w:p w14:paraId="037A20C8"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.038</w:t>
            </w:r>
          </w:p>
        </w:tc>
        <w:tc>
          <w:tcPr>
            <w:tcW w:w="990" w:type="dxa"/>
            <w:shd w:val="clear" w:color="auto" w:fill="FFFFFF"/>
            <w:vAlign w:val="center"/>
          </w:tcPr>
          <w:p w14:paraId="7F484DDA"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.970</w:t>
            </w:r>
          </w:p>
        </w:tc>
        <w:tc>
          <w:tcPr>
            <w:tcW w:w="1260" w:type="dxa"/>
            <w:shd w:val="clear" w:color="auto" w:fill="FFFFFF"/>
            <w:vAlign w:val="center"/>
          </w:tcPr>
          <w:p w14:paraId="13DFA30D"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-.093</w:t>
            </w:r>
          </w:p>
        </w:tc>
        <w:tc>
          <w:tcPr>
            <w:tcW w:w="1260" w:type="dxa"/>
            <w:shd w:val="clear" w:color="auto" w:fill="FFFFFF"/>
            <w:vAlign w:val="center"/>
          </w:tcPr>
          <w:p w14:paraId="057EF122"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.096</w:t>
            </w:r>
          </w:p>
        </w:tc>
        <w:tc>
          <w:tcPr>
            <w:tcW w:w="1170" w:type="dxa"/>
            <w:shd w:val="clear" w:color="auto" w:fill="FFFFFF"/>
            <w:vAlign w:val="center"/>
          </w:tcPr>
          <w:p w14:paraId="71F55CCC"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.179</w:t>
            </w:r>
          </w:p>
        </w:tc>
        <w:tc>
          <w:tcPr>
            <w:tcW w:w="995" w:type="dxa"/>
            <w:shd w:val="clear" w:color="auto" w:fill="FFFFFF"/>
            <w:vAlign w:val="center"/>
          </w:tcPr>
          <w:p w14:paraId="6CF5E7D5"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5.602</w:t>
            </w:r>
          </w:p>
        </w:tc>
      </w:tr>
      <w:tr w:rsidR="00E00B62" w:rsidRPr="00C8400E" w14:paraId="51CE5DEF" w14:textId="77777777" w:rsidTr="00E00B62">
        <w:trPr>
          <w:cantSplit/>
          <w:trHeight w:val="4"/>
        </w:trPr>
        <w:tc>
          <w:tcPr>
            <w:tcW w:w="368" w:type="dxa"/>
            <w:vMerge/>
            <w:shd w:val="clear" w:color="auto" w:fill="FFFFFF"/>
            <w:vAlign w:val="center"/>
          </w:tcPr>
          <w:p w14:paraId="12E91270" w14:textId="77777777" w:rsidR="00E00B62" w:rsidRPr="00C8400E" w:rsidRDefault="00E00B62" w:rsidP="00665C41">
            <w:pPr>
              <w:autoSpaceDE w:val="0"/>
              <w:autoSpaceDN w:val="0"/>
              <w:adjustRightInd w:val="0"/>
              <w:spacing w:after="0" w:line="360" w:lineRule="auto"/>
              <w:jc w:val="center"/>
              <w:rPr>
                <w:color w:val="000000" w:themeColor="text1"/>
                <w:sz w:val="24"/>
                <w:szCs w:val="24"/>
              </w:rPr>
            </w:pPr>
          </w:p>
        </w:tc>
        <w:tc>
          <w:tcPr>
            <w:tcW w:w="797" w:type="dxa"/>
            <w:shd w:val="clear" w:color="auto" w:fill="FFFFFF"/>
            <w:vAlign w:val="center"/>
          </w:tcPr>
          <w:p w14:paraId="12750019"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MSPD</w:t>
            </w:r>
          </w:p>
        </w:tc>
        <w:tc>
          <w:tcPr>
            <w:tcW w:w="990" w:type="dxa"/>
            <w:shd w:val="clear" w:color="auto" w:fill="FFFFFF"/>
            <w:vAlign w:val="center"/>
          </w:tcPr>
          <w:p w14:paraId="2D917568"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.077</w:t>
            </w:r>
          </w:p>
        </w:tc>
        <w:tc>
          <w:tcPr>
            <w:tcW w:w="1080" w:type="dxa"/>
            <w:shd w:val="clear" w:color="auto" w:fill="FFFFFF"/>
            <w:vAlign w:val="center"/>
          </w:tcPr>
          <w:p w14:paraId="4051E4B5"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.036</w:t>
            </w:r>
          </w:p>
        </w:tc>
        <w:tc>
          <w:tcPr>
            <w:tcW w:w="1080" w:type="dxa"/>
            <w:shd w:val="clear" w:color="auto" w:fill="FFFFFF"/>
            <w:vAlign w:val="center"/>
          </w:tcPr>
          <w:p w14:paraId="20BFCA00"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.086</w:t>
            </w:r>
          </w:p>
        </w:tc>
        <w:tc>
          <w:tcPr>
            <w:tcW w:w="810" w:type="dxa"/>
            <w:shd w:val="clear" w:color="auto" w:fill="FFFFFF"/>
            <w:vAlign w:val="center"/>
          </w:tcPr>
          <w:p w14:paraId="78B51818"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2.162</w:t>
            </w:r>
          </w:p>
        </w:tc>
        <w:tc>
          <w:tcPr>
            <w:tcW w:w="990" w:type="dxa"/>
            <w:shd w:val="clear" w:color="auto" w:fill="FFFFFF"/>
            <w:vAlign w:val="center"/>
          </w:tcPr>
          <w:p w14:paraId="566A5677"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.032</w:t>
            </w:r>
          </w:p>
        </w:tc>
        <w:tc>
          <w:tcPr>
            <w:tcW w:w="1260" w:type="dxa"/>
            <w:shd w:val="clear" w:color="auto" w:fill="FFFFFF"/>
            <w:vAlign w:val="center"/>
          </w:tcPr>
          <w:p w14:paraId="4883F5E9"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.007</w:t>
            </w:r>
          </w:p>
        </w:tc>
        <w:tc>
          <w:tcPr>
            <w:tcW w:w="1260" w:type="dxa"/>
            <w:shd w:val="clear" w:color="auto" w:fill="FFFFFF"/>
            <w:vAlign w:val="center"/>
          </w:tcPr>
          <w:p w14:paraId="097DCDF4"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.147</w:t>
            </w:r>
          </w:p>
        </w:tc>
        <w:tc>
          <w:tcPr>
            <w:tcW w:w="1170" w:type="dxa"/>
            <w:shd w:val="clear" w:color="auto" w:fill="FFFFFF"/>
            <w:vAlign w:val="center"/>
          </w:tcPr>
          <w:p w14:paraId="3A52C91B"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.267</w:t>
            </w:r>
          </w:p>
        </w:tc>
        <w:tc>
          <w:tcPr>
            <w:tcW w:w="995" w:type="dxa"/>
            <w:shd w:val="clear" w:color="auto" w:fill="FFFFFF"/>
            <w:vAlign w:val="center"/>
          </w:tcPr>
          <w:p w14:paraId="14F9E4E2"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3.743</w:t>
            </w:r>
          </w:p>
        </w:tc>
      </w:tr>
      <w:tr w:rsidR="00E00B62" w:rsidRPr="00C8400E" w14:paraId="55A0D498" w14:textId="77777777" w:rsidTr="00E00B62">
        <w:trPr>
          <w:cantSplit/>
          <w:trHeight w:val="4"/>
        </w:trPr>
        <w:tc>
          <w:tcPr>
            <w:tcW w:w="368" w:type="dxa"/>
            <w:vMerge/>
            <w:shd w:val="clear" w:color="auto" w:fill="FFFFFF"/>
            <w:vAlign w:val="center"/>
          </w:tcPr>
          <w:p w14:paraId="74F67DA0" w14:textId="77777777" w:rsidR="00E00B62" w:rsidRPr="00C8400E" w:rsidRDefault="00E00B62" w:rsidP="00665C41">
            <w:pPr>
              <w:autoSpaceDE w:val="0"/>
              <w:autoSpaceDN w:val="0"/>
              <w:adjustRightInd w:val="0"/>
              <w:spacing w:after="0" w:line="360" w:lineRule="auto"/>
              <w:jc w:val="center"/>
              <w:rPr>
                <w:color w:val="000000" w:themeColor="text1"/>
                <w:sz w:val="24"/>
                <w:szCs w:val="24"/>
              </w:rPr>
            </w:pPr>
          </w:p>
        </w:tc>
        <w:tc>
          <w:tcPr>
            <w:tcW w:w="797" w:type="dxa"/>
            <w:shd w:val="clear" w:color="auto" w:fill="FFFFFF"/>
            <w:vAlign w:val="center"/>
          </w:tcPr>
          <w:p w14:paraId="2F3E613B"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MPTI</w:t>
            </w:r>
          </w:p>
        </w:tc>
        <w:tc>
          <w:tcPr>
            <w:tcW w:w="990" w:type="dxa"/>
            <w:shd w:val="clear" w:color="auto" w:fill="FFFFFF"/>
            <w:vAlign w:val="center"/>
          </w:tcPr>
          <w:p w14:paraId="0724E2E3"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.103</w:t>
            </w:r>
          </w:p>
        </w:tc>
        <w:tc>
          <w:tcPr>
            <w:tcW w:w="1080" w:type="dxa"/>
            <w:shd w:val="clear" w:color="auto" w:fill="FFFFFF"/>
            <w:vAlign w:val="center"/>
          </w:tcPr>
          <w:p w14:paraId="2D20D8C3"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.033</w:t>
            </w:r>
          </w:p>
        </w:tc>
        <w:tc>
          <w:tcPr>
            <w:tcW w:w="1080" w:type="dxa"/>
            <w:shd w:val="clear" w:color="auto" w:fill="FFFFFF"/>
            <w:vAlign w:val="center"/>
          </w:tcPr>
          <w:p w14:paraId="60287074"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.112</w:t>
            </w:r>
          </w:p>
        </w:tc>
        <w:tc>
          <w:tcPr>
            <w:tcW w:w="810" w:type="dxa"/>
            <w:shd w:val="clear" w:color="auto" w:fill="FFFFFF"/>
            <w:vAlign w:val="center"/>
          </w:tcPr>
          <w:p w14:paraId="0A6EF427"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3.085</w:t>
            </w:r>
          </w:p>
        </w:tc>
        <w:tc>
          <w:tcPr>
            <w:tcW w:w="990" w:type="dxa"/>
            <w:shd w:val="clear" w:color="auto" w:fill="FFFFFF"/>
            <w:vAlign w:val="center"/>
          </w:tcPr>
          <w:p w14:paraId="5D991FC2"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.002</w:t>
            </w:r>
          </w:p>
        </w:tc>
        <w:tc>
          <w:tcPr>
            <w:tcW w:w="1260" w:type="dxa"/>
            <w:shd w:val="clear" w:color="auto" w:fill="FFFFFF"/>
            <w:vAlign w:val="center"/>
          </w:tcPr>
          <w:p w14:paraId="56643A07"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.037</w:t>
            </w:r>
          </w:p>
        </w:tc>
        <w:tc>
          <w:tcPr>
            <w:tcW w:w="1260" w:type="dxa"/>
            <w:shd w:val="clear" w:color="auto" w:fill="FFFFFF"/>
            <w:vAlign w:val="center"/>
          </w:tcPr>
          <w:p w14:paraId="5E13159A"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.169</w:t>
            </w:r>
          </w:p>
        </w:tc>
        <w:tc>
          <w:tcPr>
            <w:tcW w:w="1170" w:type="dxa"/>
            <w:shd w:val="clear" w:color="auto" w:fill="FFFFFF"/>
            <w:vAlign w:val="center"/>
          </w:tcPr>
          <w:p w14:paraId="1D30A6D7"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.320</w:t>
            </w:r>
          </w:p>
        </w:tc>
        <w:tc>
          <w:tcPr>
            <w:tcW w:w="995" w:type="dxa"/>
            <w:shd w:val="clear" w:color="auto" w:fill="FFFFFF"/>
            <w:vAlign w:val="center"/>
          </w:tcPr>
          <w:p w14:paraId="6E7D3D2D"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3.126</w:t>
            </w:r>
          </w:p>
        </w:tc>
      </w:tr>
      <w:tr w:rsidR="00E00B62" w:rsidRPr="00C8400E" w14:paraId="1F30B2AF" w14:textId="77777777" w:rsidTr="00E00B62">
        <w:trPr>
          <w:cantSplit/>
          <w:trHeight w:val="4"/>
        </w:trPr>
        <w:tc>
          <w:tcPr>
            <w:tcW w:w="368" w:type="dxa"/>
            <w:vMerge/>
            <w:shd w:val="clear" w:color="auto" w:fill="FFFFFF"/>
            <w:vAlign w:val="center"/>
          </w:tcPr>
          <w:p w14:paraId="16089EC4" w14:textId="77777777" w:rsidR="00E00B62" w:rsidRPr="00C8400E" w:rsidRDefault="00E00B62" w:rsidP="00665C41">
            <w:pPr>
              <w:autoSpaceDE w:val="0"/>
              <w:autoSpaceDN w:val="0"/>
              <w:adjustRightInd w:val="0"/>
              <w:spacing w:after="0" w:line="360" w:lineRule="auto"/>
              <w:jc w:val="center"/>
              <w:rPr>
                <w:color w:val="000000" w:themeColor="text1"/>
                <w:sz w:val="24"/>
                <w:szCs w:val="24"/>
              </w:rPr>
            </w:pPr>
          </w:p>
        </w:tc>
        <w:tc>
          <w:tcPr>
            <w:tcW w:w="797" w:type="dxa"/>
            <w:shd w:val="clear" w:color="auto" w:fill="FFFFFF"/>
            <w:vAlign w:val="center"/>
          </w:tcPr>
          <w:p w14:paraId="63BF8CFC"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DMTI</w:t>
            </w:r>
          </w:p>
        </w:tc>
        <w:tc>
          <w:tcPr>
            <w:tcW w:w="990" w:type="dxa"/>
            <w:shd w:val="clear" w:color="auto" w:fill="FFFFFF"/>
            <w:vAlign w:val="center"/>
          </w:tcPr>
          <w:p w14:paraId="469079D6"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.108</w:t>
            </w:r>
          </w:p>
        </w:tc>
        <w:tc>
          <w:tcPr>
            <w:tcW w:w="1080" w:type="dxa"/>
            <w:shd w:val="clear" w:color="auto" w:fill="FFFFFF"/>
            <w:vAlign w:val="center"/>
          </w:tcPr>
          <w:p w14:paraId="2F9EDBDD"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.038</w:t>
            </w:r>
          </w:p>
        </w:tc>
        <w:tc>
          <w:tcPr>
            <w:tcW w:w="1080" w:type="dxa"/>
            <w:shd w:val="clear" w:color="auto" w:fill="FFFFFF"/>
            <w:vAlign w:val="center"/>
          </w:tcPr>
          <w:p w14:paraId="7C656DF2"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.120</w:t>
            </w:r>
          </w:p>
        </w:tc>
        <w:tc>
          <w:tcPr>
            <w:tcW w:w="810" w:type="dxa"/>
            <w:shd w:val="clear" w:color="auto" w:fill="FFFFFF"/>
            <w:vAlign w:val="center"/>
          </w:tcPr>
          <w:p w14:paraId="5A37D3C0"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2.881</w:t>
            </w:r>
          </w:p>
        </w:tc>
        <w:tc>
          <w:tcPr>
            <w:tcW w:w="990" w:type="dxa"/>
            <w:shd w:val="clear" w:color="auto" w:fill="FFFFFF"/>
            <w:vAlign w:val="center"/>
          </w:tcPr>
          <w:p w14:paraId="2AC349E3"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.004</w:t>
            </w:r>
          </w:p>
        </w:tc>
        <w:tc>
          <w:tcPr>
            <w:tcW w:w="1260" w:type="dxa"/>
            <w:shd w:val="clear" w:color="auto" w:fill="FFFFFF"/>
            <w:vAlign w:val="center"/>
          </w:tcPr>
          <w:p w14:paraId="20F65AD7"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.034</w:t>
            </w:r>
          </w:p>
        </w:tc>
        <w:tc>
          <w:tcPr>
            <w:tcW w:w="1260" w:type="dxa"/>
            <w:shd w:val="clear" w:color="auto" w:fill="FFFFFF"/>
            <w:vAlign w:val="center"/>
          </w:tcPr>
          <w:p w14:paraId="2607A7A0"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.183</w:t>
            </w:r>
          </w:p>
        </w:tc>
        <w:tc>
          <w:tcPr>
            <w:tcW w:w="1170" w:type="dxa"/>
            <w:shd w:val="clear" w:color="auto" w:fill="FFFFFF"/>
            <w:vAlign w:val="center"/>
          </w:tcPr>
          <w:p w14:paraId="0EB65D79"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.245</w:t>
            </w:r>
          </w:p>
        </w:tc>
        <w:tc>
          <w:tcPr>
            <w:tcW w:w="995" w:type="dxa"/>
            <w:shd w:val="clear" w:color="auto" w:fill="FFFFFF"/>
            <w:vAlign w:val="center"/>
          </w:tcPr>
          <w:p w14:paraId="052CB537"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4.077</w:t>
            </w:r>
          </w:p>
        </w:tc>
      </w:tr>
      <w:tr w:rsidR="00E00B62" w:rsidRPr="00C8400E" w14:paraId="5E8E34F6" w14:textId="77777777" w:rsidTr="00E00B62">
        <w:trPr>
          <w:cantSplit/>
          <w:trHeight w:val="4"/>
        </w:trPr>
        <w:tc>
          <w:tcPr>
            <w:tcW w:w="368" w:type="dxa"/>
            <w:vMerge/>
            <w:shd w:val="clear" w:color="auto" w:fill="FFFFFF"/>
            <w:vAlign w:val="center"/>
          </w:tcPr>
          <w:p w14:paraId="2A43A3CA" w14:textId="77777777" w:rsidR="00E00B62" w:rsidRPr="00C8400E" w:rsidRDefault="00E00B62" w:rsidP="00665C41">
            <w:pPr>
              <w:autoSpaceDE w:val="0"/>
              <w:autoSpaceDN w:val="0"/>
              <w:adjustRightInd w:val="0"/>
              <w:spacing w:after="0" w:line="360" w:lineRule="auto"/>
              <w:jc w:val="center"/>
              <w:rPr>
                <w:color w:val="000000" w:themeColor="text1"/>
                <w:sz w:val="24"/>
                <w:szCs w:val="24"/>
              </w:rPr>
            </w:pPr>
          </w:p>
        </w:tc>
        <w:tc>
          <w:tcPr>
            <w:tcW w:w="797" w:type="dxa"/>
            <w:shd w:val="clear" w:color="auto" w:fill="FFFFFF"/>
            <w:vAlign w:val="center"/>
          </w:tcPr>
          <w:p w14:paraId="7FEF4968"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MF</w:t>
            </w:r>
          </w:p>
        </w:tc>
        <w:tc>
          <w:tcPr>
            <w:tcW w:w="990" w:type="dxa"/>
            <w:shd w:val="clear" w:color="auto" w:fill="FFFFFF"/>
            <w:vAlign w:val="center"/>
          </w:tcPr>
          <w:p w14:paraId="19E0107F"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.157</w:t>
            </w:r>
          </w:p>
        </w:tc>
        <w:tc>
          <w:tcPr>
            <w:tcW w:w="1080" w:type="dxa"/>
            <w:shd w:val="clear" w:color="auto" w:fill="FFFFFF"/>
            <w:vAlign w:val="center"/>
          </w:tcPr>
          <w:p w14:paraId="43E59966"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.050</w:t>
            </w:r>
          </w:p>
        </w:tc>
        <w:tc>
          <w:tcPr>
            <w:tcW w:w="1080" w:type="dxa"/>
            <w:shd w:val="clear" w:color="auto" w:fill="FFFFFF"/>
            <w:vAlign w:val="center"/>
          </w:tcPr>
          <w:p w14:paraId="5A3ABFE9"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.156</w:t>
            </w:r>
          </w:p>
        </w:tc>
        <w:tc>
          <w:tcPr>
            <w:tcW w:w="810" w:type="dxa"/>
            <w:shd w:val="clear" w:color="auto" w:fill="FFFFFF"/>
            <w:vAlign w:val="center"/>
          </w:tcPr>
          <w:p w14:paraId="1AE13007"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3.139</w:t>
            </w:r>
          </w:p>
        </w:tc>
        <w:tc>
          <w:tcPr>
            <w:tcW w:w="990" w:type="dxa"/>
            <w:shd w:val="clear" w:color="auto" w:fill="FFFFFF"/>
            <w:vAlign w:val="center"/>
          </w:tcPr>
          <w:p w14:paraId="4BFC42FA"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.002</w:t>
            </w:r>
          </w:p>
        </w:tc>
        <w:tc>
          <w:tcPr>
            <w:tcW w:w="1260" w:type="dxa"/>
            <w:shd w:val="clear" w:color="auto" w:fill="FFFFFF"/>
            <w:vAlign w:val="center"/>
          </w:tcPr>
          <w:p w14:paraId="27A240C5"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.058</w:t>
            </w:r>
          </w:p>
        </w:tc>
        <w:tc>
          <w:tcPr>
            <w:tcW w:w="1260" w:type="dxa"/>
            <w:shd w:val="clear" w:color="auto" w:fill="FFFFFF"/>
            <w:vAlign w:val="center"/>
          </w:tcPr>
          <w:p w14:paraId="169B9824"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.256</w:t>
            </w:r>
          </w:p>
        </w:tc>
        <w:tc>
          <w:tcPr>
            <w:tcW w:w="1170" w:type="dxa"/>
            <w:shd w:val="clear" w:color="auto" w:fill="FFFFFF"/>
            <w:vAlign w:val="center"/>
          </w:tcPr>
          <w:p w14:paraId="6A2856FF"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.170</w:t>
            </w:r>
          </w:p>
        </w:tc>
        <w:tc>
          <w:tcPr>
            <w:tcW w:w="995" w:type="dxa"/>
            <w:shd w:val="clear" w:color="auto" w:fill="FFFFFF"/>
            <w:vAlign w:val="center"/>
          </w:tcPr>
          <w:p w14:paraId="289E5E23"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5.884</w:t>
            </w:r>
          </w:p>
        </w:tc>
      </w:tr>
      <w:tr w:rsidR="00E00B62" w:rsidRPr="00C8400E" w14:paraId="6AA64B76" w14:textId="77777777" w:rsidTr="00E00B62">
        <w:trPr>
          <w:cantSplit/>
          <w:trHeight w:val="4"/>
        </w:trPr>
        <w:tc>
          <w:tcPr>
            <w:tcW w:w="368" w:type="dxa"/>
            <w:vMerge/>
            <w:shd w:val="clear" w:color="auto" w:fill="FFFFFF"/>
            <w:vAlign w:val="center"/>
          </w:tcPr>
          <w:p w14:paraId="1092AFD1" w14:textId="77777777" w:rsidR="00E00B62" w:rsidRPr="00C8400E" w:rsidRDefault="00E00B62" w:rsidP="00665C41">
            <w:pPr>
              <w:autoSpaceDE w:val="0"/>
              <w:autoSpaceDN w:val="0"/>
              <w:adjustRightInd w:val="0"/>
              <w:spacing w:after="0" w:line="360" w:lineRule="auto"/>
              <w:jc w:val="center"/>
              <w:rPr>
                <w:color w:val="000000" w:themeColor="text1"/>
                <w:sz w:val="24"/>
                <w:szCs w:val="24"/>
              </w:rPr>
            </w:pPr>
          </w:p>
        </w:tc>
        <w:tc>
          <w:tcPr>
            <w:tcW w:w="797" w:type="dxa"/>
            <w:tcBorders>
              <w:bottom w:val="single" w:sz="4" w:space="0" w:color="auto"/>
            </w:tcBorders>
            <w:shd w:val="clear" w:color="auto" w:fill="FFFFFF"/>
            <w:vAlign w:val="center"/>
          </w:tcPr>
          <w:p w14:paraId="666F8E5C"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LS</w:t>
            </w:r>
          </w:p>
        </w:tc>
        <w:tc>
          <w:tcPr>
            <w:tcW w:w="990" w:type="dxa"/>
            <w:tcBorders>
              <w:bottom w:val="single" w:sz="4" w:space="0" w:color="auto"/>
            </w:tcBorders>
            <w:shd w:val="clear" w:color="auto" w:fill="FFFFFF"/>
            <w:vAlign w:val="center"/>
          </w:tcPr>
          <w:p w14:paraId="60B54A6B"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.246</w:t>
            </w:r>
          </w:p>
        </w:tc>
        <w:tc>
          <w:tcPr>
            <w:tcW w:w="1080" w:type="dxa"/>
            <w:tcBorders>
              <w:bottom w:val="single" w:sz="4" w:space="0" w:color="auto"/>
            </w:tcBorders>
            <w:shd w:val="clear" w:color="auto" w:fill="FFFFFF"/>
            <w:vAlign w:val="center"/>
          </w:tcPr>
          <w:p w14:paraId="25F4D366"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.058</w:t>
            </w:r>
          </w:p>
        </w:tc>
        <w:tc>
          <w:tcPr>
            <w:tcW w:w="1080" w:type="dxa"/>
            <w:tcBorders>
              <w:bottom w:val="single" w:sz="4" w:space="0" w:color="auto"/>
            </w:tcBorders>
            <w:shd w:val="clear" w:color="auto" w:fill="FFFFFF"/>
            <w:vAlign w:val="center"/>
          </w:tcPr>
          <w:p w14:paraId="3C5EB271"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.241</w:t>
            </w:r>
          </w:p>
        </w:tc>
        <w:tc>
          <w:tcPr>
            <w:tcW w:w="810" w:type="dxa"/>
            <w:tcBorders>
              <w:bottom w:val="single" w:sz="4" w:space="0" w:color="auto"/>
            </w:tcBorders>
            <w:shd w:val="clear" w:color="auto" w:fill="FFFFFF"/>
            <w:vAlign w:val="center"/>
          </w:tcPr>
          <w:p w14:paraId="17F07058"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4.201</w:t>
            </w:r>
          </w:p>
        </w:tc>
        <w:tc>
          <w:tcPr>
            <w:tcW w:w="990" w:type="dxa"/>
            <w:tcBorders>
              <w:bottom w:val="single" w:sz="4" w:space="0" w:color="auto"/>
            </w:tcBorders>
            <w:shd w:val="clear" w:color="auto" w:fill="FFFFFF"/>
            <w:vAlign w:val="center"/>
          </w:tcPr>
          <w:p w14:paraId="7E12AAE5"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&lt;.001</w:t>
            </w:r>
          </w:p>
        </w:tc>
        <w:tc>
          <w:tcPr>
            <w:tcW w:w="1260" w:type="dxa"/>
            <w:tcBorders>
              <w:bottom w:val="single" w:sz="4" w:space="0" w:color="auto"/>
            </w:tcBorders>
            <w:shd w:val="clear" w:color="auto" w:fill="FFFFFF"/>
            <w:vAlign w:val="center"/>
          </w:tcPr>
          <w:p w14:paraId="2D33059C"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.130</w:t>
            </w:r>
          </w:p>
        </w:tc>
        <w:tc>
          <w:tcPr>
            <w:tcW w:w="1260" w:type="dxa"/>
            <w:tcBorders>
              <w:bottom w:val="single" w:sz="4" w:space="0" w:color="auto"/>
            </w:tcBorders>
            <w:shd w:val="clear" w:color="auto" w:fill="FFFFFF"/>
            <w:vAlign w:val="center"/>
          </w:tcPr>
          <w:p w14:paraId="196AF33D"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.361</w:t>
            </w:r>
          </w:p>
        </w:tc>
        <w:tc>
          <w:tcPr>
            <w:tcW w:w="1170" w:type="dxa"/>
            <w:tcBorders>
              <w:bottom w:val="single" w:sz="4" w:space="0" w:color="auto"/>
            </w:tcBorders>
            <w:shd w:val="clear" w:color="auto" w:fill="FFFFFF"/>
            <w:vAlign w:val="center"/>
          </w:tcPr>
          <w:p w14:paraId="37021C2A"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.128</w:t>
            </w:r>
          </w:p>
        </w:tc>
        <w:tc>
          <w:tcPr>
            <w:tcW w:w="995" w:type="dxa"/>
            <w:tcBorders>
              <w:bottom w:val="single" w:sz="4" w:space="0" w:color="auto"/>
            </w:tcBorders>
            <w:shd w:val="clear" w:color="auto" w:fill="FFFFFF"/>
            <w:vAlign w:val="center"/>
          </w:tcPr>
          <w:p w14:paraId="66FF4927"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7.829</w:t>
            </w:r>
          </w:p>
        </w:tc>
      </w:tr>
      <w:tr w:rsidR="00E00B62" w:rsidRPr="00C8400E" w14:paraId="76872398" w14:textId="77777777" w:rsidTr="00E00B62">
        <w:trPr>
          <w:cantSplit/>
          <w:trHeight w:val="10"/>
        </w:trPr>
        <w:tc>
          <w:tcPr>
            <w:tcW w:w="10800" w:type="dxa"/>
            <w:gridSpan w:val="11"/>
            <w:shd w:val="clear" w:color="auto" w:fill="FFFFFF"/>
            <w:vAlign w:val="center"/>
          </w:tcPr>
          <w:p w14:paraId="08A9D619" w14:textId="77777777" w:rsidR="00E00B62" w:rsidRPr="00C8400E" w:rsidRDefault="00E00B62" w:rsidP="00665C41">
            <w:pPr>
              <w:autoSpaceDE w:val="0"/>
              <w:autoSpaceDN w:val="0"/>
              <w:adjustRightInd w:val="0"/>
              <w:spacing w:after="0" w:line="360" w:lineRule="auto"/>
              <w:ind w:left="60" w:right="60"/>
              <w:jc w:val="center"/>
              <w:rPr>
                <w:color w:val="000000" w:themeColor="text1"/>
                <w:sz w:val="24"/>
                <w:szCs w:val="24"/>
              </w:rPr>
            </w:pPr>
            <w:r w:rsidRPr="00C8400E">
              <w:rPr>
                <w:color w:val="000000" w:themeColor="text1"/>
                <w:sz w:val="24"/>
                <w:szCs w:val="24"/>
              </w:rPr>
              <w:t>a. Dependent Variable: DV</w:t>
            </w:r>
          </w:p>
        </w:tc>
      </w:tr>
    </w:tbl>
    <w:p w14:paraId="44B0EB0A" w14:textId="4EEDE29E" w:rsidR="00972632" w:rsidRDefault="00972632" w:rsidP="00972632">
      <w:pPr>
        <w:spacing w:after="0" w:line="480" w:lineRule="auto"/>
        <w:rPr>
          <w:sz w:val="24"/>
          <w:szCs w:val="24"/>
          <w:lang w:val="en-GB"/>
        </w:rPr>
      </w:pPr>
      <w:r>
        <w:rPr>
          <w:sz w:val="24"/>
          <w:szCs w:val="24"/>
          <w:lang w:val="en-GB"/>
        </w:rPr>
        <w:t xml:space="preserve">      </w:t>
      </w:r>
      <w:r>
        <w:rPr>
          <w:sz w:val="24"/>
          <w:szCs w:val="24"/>
          <w:lang w:val="en-GB"/>
        </w:rPr>
        <w:t>Source: Survey Data (2025)</w:t>
      </w:r>
    </w:p>
    <w:p w14:paraId="05A44027" w14:textId="77777777" w:rsidR="00547D60" w:rsidRPr="005B0C91" w:rsidRDefault="00547D60" w:rsidP="009552E8">
      <w:pPr>
        <w:spacing w:line="480" w:lineRule="auto"/>
        <w:rPr>
          <w:b/>
          <w:bCs/>
          <w:sz w:val="24"/>
          <w:szCs w:val="24"/>
        </w:rPr>
      </w:pPr>
    </w:p>
    <w:p w14:paraId="14922E2B" w14:textId="5DEA44C0" w:rsidR="008A1315" w:rsidRPr="008A1315" w:rsidRDefault="008A1315" w:rsidP="00DE79BF">
      <w:pPr>
        <w:spacing w:before="240" w:after="240"/>
        <w:rPr>
          <w:sz w:val="24"/>
          <w:szCs w:val="24"/>
        </w:rPr>
      </w:pPr>
      <w:r w:rsidRPr="008A1315">
        <w:rPr>
          <w:sz w:val="24"/>
          <w:szCs w:val="24"/>
        </w:rPr>
        <w:lastRenderedPageBreak/>
        <w:t xml:space="preserve">Table </w:t>
      </w:r>
      <w:r>
        <w:rPr>
          <w:sz w:val="24"/>
          <w:szCs w:val="24"/>
        </w:rPr>
        <w:t xml:space="preserve">6 </w:t>
      </w:r>
      <w:r w:rsidRPr="008A1315">
        <w:rPr>
          <w:sz w:val="24"/>
          <w:szCs w:val="24"/>
        </w:rPr>
        <w:t>presents the regression results showing the effects of the independent variables and mediating variable on Sustainable Manufacturing Performance (SMP). The regression coefficients explain the direction and strength of each variable’s relationship with SMP while considering the influence of all other variables in the model.</w:t>
      </w:r>
    </w:p>
    <w:p w14:paraId="5E2F79CF" w14:textId="37F475E9" w:rsidR="008A1315" w:rsidRPr="008A1315" w:rsidRDefault="008A1315" w:rsidP="00DE79BF">
      <w:pPr>
        <w:spacing w:before="240" w:after="240"/>
        <w:rPr>
          <w:sz w:val="24"/>
          <w:szCs w:val="24"/>
        </w:rPr>
      </w:pPr>
      <w:r w:rsidRPr="008A1315">
        <w:rPr>
          <w:sz w:val="24"/>
          <w:szCs w:val="24"/>
        </w:rPr>
        <w:t xml:space="preserve">The findings show that Leadership Style (LS) had the strongest positive influence on SMP (β = 0.241, t = 4.201, p &lt; 0.001). This indicates that </w:t>
      </w:r>
      <w:proofErr w:type="spellStart"/>
      <w:r w:rsidRPr="008A1315">
        <w:rPr>
          <w:sz w:val="24"/>
          <w:szCs w:val="24"/>
        </w:rPr>
        <w:t>organisations</w:t>
      </w:r>
      <w:proofErr w:type="spellEnd"/>
      <w:r w:rsidRPr="008A1315">
        <w:rPr>
          <w:sz w:val="24"/>
          <w:szCs w:val="24"/>
        </w:rPr>
        <w:t xml:space="preserve"> with effective leadership practices are more likely to achieve better sustainable manufacturing performance. Similarly, Technological Investments (TI) also had a significant positive effect on SMP (β = 0.240, t = 4.356, p &lt; 0.001), suggesting that investment in technology plays an important role in supporting sustainability improvements within manufacturing </w:t>
      </w:r>
      <w:proofErr w:type="spellStart"/>
      <w:r w:rsidRPr="008A1315">
        <w:rPr>
          <w:sz w:val="24"/>
          <w:szCs w:val="24"/>
        </w:rPr>
        <w:t>organisations</w:t>
      </w:r>
      <w:proofErr w:type="spellEnd"/>
      <w:r w:rsidRPr="008A1315">
        <w:rPr>
          <w:sz w:val="24"/>
          <w:szCs w:val="24"/>
        </w:rPr>
        <w:t>.</w:t>
      </w:r>
    </w:p>
    <w:p w14:paraId="44710CC5" w14:textId="2D24A91B" w:rsidR="008A1315" w:rsidRPr="008A1315" w:rsidRDefault="008A1315" w:rsidP="00DE79BF">
      <w:pPr>
        <w:spacing w:before="240" w:after="240"/>
        <w:rPr>
          <w:sz w:val="24"/>
          <w:szCs w:val="24"/>
        </w:rPr>
      </w:pPr>
      <w:r w:rsidRPr="008A1315">
        <w:rPr>
          <w:sz w:val="24"/>
          <w:szCs w:val="24"/>
        </w:rPr>
        <w:t xml:space="preserve">Among the technology strategy dimensions, several variables were found to significantly contribute to SMP. Manufacturing System and Process Design Technologies (MSPD) showed a significant positive relationship with SMP (β = 0.086, t = 2.162, p = 0.032). In addition, </w:t>
      </w:r>
      <w:r w:rsidR="002A2EB1">
        <w:rPr>
          <w:sz w:val="24"/>
          <w:szCs w:val="24"/>
        </w:rPr>
        <w:t>Manufacturing Process Technology Innovations (MPTI)</w:t>
      </w:r>
      <w:r w:rsidRPr="008A1315">
        <w:rPr>
          <w:sz w:val="24"/>
          <w:szCs w:val="24"/>
        </w:rPr>
        <w:t xml:space="preserve"> (MPTI) (β = 0.112, t = 3.085, p = 0.002), Digital Manufacturing Technologies Integration (DMTI) (β = 0.120, t = 2.881, p = 0.004), and </w:t>
      </w:r>
      <w:proofErr w:type="spellStart"/>
      <w:r w:rsidRPr="008A1315">
        <w:rPr>
          <w:sz w:val="24"/>
          <w:szCs w:val="24"/>
        </w:rPr>
        <w:t>Microfactories</w:t>
      </w:r>
      <w:proofErr w:type="spellEnd"/>
      <w:r w:rsidRPr="008A1315">
        <w:rPr>
          <w:sz w:val="24"/>
          <w:szCs w:val="24"/>
        </w:rPr>
        <w:t xml:space="preserve"> (MF) (β = 0.156, t = 3.139, p = 0.002) were also significant predictors of SMP. This suggests that adopting advanced manufacturing technologies and integrating digital and flexible production approaches can support </w:t>
      </w:r>
      <w:proofErr w:type="spellStart"/>
      <w:r w:rsidRPr="008A1315">
        <w:rPr>
          <w:sz w:val="24"/>
          <w:szCs w:val="24"/>
        </w:rPr>
        <w:t>organisations</w:t>
      </w:r>
      <w:proofErr w:type="spellEnd"/>
      <w:r w:rsidRPr="008A1315">
        <w:rPr>
          <w:sz w:val="24"/>
          <w:szCs w:val="24"/>
        </w:rPr>
        <w:t xml:space="preserve"> in improving their sustainability performance.</w:t>
      </w:r>
    </w:p>
    <w:p w14:paraId="69A3DD2D" w14:textId="385C2C4F" w:rsidR="008A1315" w:rsidRPr="008A1315" w:rsidRDefault="008A1315" w:rsidP="00DE79BF">
      <w:pPr>
        <w:spacing w:before="240" w:after="240"/>
        <w:rPr>
          <w:sz w:val="24"/>
          <w:szCs w:val="24"/>
        </w:rPr>
      </w:pPr>
      <w:r w:rsidRPr="008A1315">
        <w:rPr>
          <w:sz w:val="24"/>
          <w:szCs w:val="24"/>
        </w:rPr>
        <w:t>However, not all technology strategy dimensions showed significant effects on SMP. Pioneer–Follower Posture (PFP) had a positive but insignificant relationship with SMP (β = 0.101, t = 1.641, p = 0.102), indicating that being a technology pioneer or follower alone may not directly influence sustainability performance. Similarly, Intensity of Product Upgrades (IPU) showed a negative and insignificant relationship (β = –0.023, t = –0.491, p = 0.624), while Product and Process Technology (PPT) had no significant effect on SMP (β = 0.002, t = 0.038, p = 0.970). These results indicate that these factors did not significantly explain variations in SMP when other variables in the model were considered simultaneously.</w:t>
      </w:r>
    </w:p>
    <w:p w14:paraId="5967B94D" w14:textId="77777777" w:rsidR="008A1315" w:rsidRPr="008A1315" w:rsidRDefault="008A1315" w:rsidP="00DE79BF">
      <w:pPr>
        <w:spacing w:before="240" w:after="240"/>
        <w:rPr>
          <w:sz w:val="24"/>
          <w:szCs w:val="24"/>
        </w:rPr>
      </w:pPr>
      <w:r w:rsidRPr="008A1315">
        <w:rPr>
          <w:sz w:val="24"/>
          <w:szCs w:val="24"/>
        </w:rPr>
        <w:t>The collinearity analysis showed tolerance values ranging from 0.111 to 0.320 and VIF values ranging from 3.126 to 8.974. Since all VIF values were below the recommended threshold of 10, multicollinearity was not considered a serious concern. Therefore, the regression coefficients can be interpreted with confidence.</w:t>
      </w:r>
    </w:p>
    <w:p w14:paraId="4C827E5C" w14:textId="77777777" w:rsidR="009C3CA5" w:rsidRPr="005B0C91" w:rsidRDefault="009C3CA5" w:rsidP="009552E8">
      <w:pPr>
        <w:spacing w:after="0"/>
        <w:rPr>
          <w:sz w:val="24"/>
          <w:szCs w:val="24"/>
        </w:rPr>
      </w:pPr>
    </w:p>
    <w:p w14:paraId="4834619C" w14:textId="77777777" w:rsidR="00547D60" w:rsidRPr="005B0C91" w:rsidRDefault="00547D60" w:rsidP="009552E8">
      <w:pPr>
        <w:spacing w:after="0"/>
        <w:rPr>
          <w:sz w:val="24"/>
          <w:szCs w:val="24"/>
        </w:rPr>
      </w:pPr>
    </w:p>
    <w:p w14:paraId="53A6B93A" w14:textId="7BD98A6B" w:rsidR="00547D60" w:rsidRPr="00DE79BF" w:rsidRDefault="00DE79BF" w:rsidP="009552E8">
      <w:pPr>
        <w:spacing w:after="0"/>
        <w:rPr>
          <w:b/>
          <w:bCs/>
          <w:sz w:val="28"/>
          <w:szCs w:val="28"/>
        </w:rPr>
      </w:pPr>
      <w:r w:rsidRPr="00DE79BF">
        <w:rPr>
          <w:b/>
          <w:bCs/>
          <w:sz w:val="28"/>
          <w:szCs w:val="28"/>
        </w:rPr>
        <w:t>5.6 SUMMARY OF HYPOTHESIS</w:t>
      </w:r>
    </w:p>
    <w:p w14:paraId="33A23E46" w14:textId="77777777" w:rsidR="0071081F" w:rsidRPr="00DE79BF" w:rsidRDefault="0071081F" w:rsidP="009552E8">
      <w:pPr>
        <w:spacing w:after="0"/>
        <w:rPr>
          <w:b/>
          <w:bCs/>
          <w:sz w:val="28"/>
          <w:szCs w:val="28"/>
        </w:rPr>
      </w:pPr>
    </w:p>
    <w:p w14:paraId="7DA7519B" w14:textId="4F428D99" w:rsidR="0071081F" w:rsidRPr="00DE79BF" w:rsidRDefault="00DE79BF" w:rsidP="009552E8">
      <w:pPr>
        <w:spacing w:after="0"/>
        <w:rPr>
          <w:b/>
          <w:bCs/>
          <w:sz w:val="28"/>
          <w:szCs w:val="28"/>
        </w:rPr>
      </w:pPr>
      <w:r w:rsidRPr="00DE79BF">
        <w:rPr>
          <w:b/>
          <w:bCs/>
          <w:sz w:val="28"/>
          <w:szCs w:val="28"/>
        </w:rPr>
        <w:t>5.6.1 SUMMARY OF DIRECT EFFECT HYPOTHESIS TESTING</w:t>
      </w:r>
    </w:p>
    <w:p w14:paraId="7B4E8FC3" w14:textId="77777777" w:rsidR="00547D60" w:rsidRPr="005B0C91" w:rsidRDefault="00547D60" w:rsidP="009552E8">
      <w:pPr>
        <w:spacing w:after="0"/>
        <w:rPr>
          <w:sz w:val="24"/>
          <w:szCs w:val="24"/>
        </w:rPr>
      </w:pPr>
    </w:p>
    <w:p w14:paraId="16C34772" w14:textId="330EB0C4" w:rsidR="009C3CA5" w:rsidRPr="00DE79BF" w:rsidRDefault="009C3CA5" w:rsidP="009C3CA5">
      <w:pPr>
        <w:pStyle w:val="Caption"/>
        <w:keepNext/>
        <w:rPr>
          <w:color w:val="auto"/>
          <w:sz w:val="24"/>
          <w:szCs w:val="24"/>
        </w:rPr>
      </w:pPr>
      <w:r w:rsidRPr="00DE79BF">
        <w:rPr>
          <w:color w:val="auto"/>
          <w:sz w:val="24"/>
          <w:szCs w:val="24"/>
        </w:rPr>
        <w:t xml:space="preserve">Table </w:t>
      </w:r>
      <w:r w:rsidRPr="00DE79BF">
        <w:rPr>
          <w:color w:val="auto"/>
          <w:sz w:val="24"/>
          <w:szCs w:val="24"/>
        </w:rPr>
        <w:fldChar w:fldCharType="begin"/>
      </w:r>
      <w:r w:rsidRPr="00DE79BF">
        <w:rPr>
          <w:color w:val="auto"/>
          <w:sz w:val="24"/>
          <w:szCs w:val="24"/>
        </w:rPr>
        <w:instrText xml:space="preserve"> SEQ Table \* ARABIC </w:instrText>
      </w:r>
      <w:r w:rsidRPr="00DE79BF">
        <w:rPr>
          <w:color w:val="auto"/>
          <w:sz w:val="24"/>
          <w:szCs w:val="24"/>
        </w:rPr>
        <w:fldChar w:fldCharType="separate"/>
      </w:r>
      <w:r w:rsidR="00605047">
        <w:rPr>
          <w:noProof/>
          <w:color w:val="auto"/>
          <w:sz w:val="24"/>
          <w:szCs w:val="24"/>
        </w:rPr>
        <w:t>7</w:t>
      </w:r>
      <w:r w:rsidRPr="00DE79BF">
        <w:rPr>
          <w:color w:val="auto"/>
          <w:sz w:val="24"/>
          <w:szCs w:val="24"/>
        </w:rPr>
        <w:fldChar w:fldCharType="end"/>
      </w:r>
      <w:r w:rsidRPr="00DE79BF">
        <w:rPr>
          <w:color w:val="auto"/>
          <w:sz w:val="24"/>
          <w:szCs w:val="24"/>
        </w:rPr>
        <w:t xml:space="preserve"> Summary of Hypothesis Testing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10"/>
        <w:gridCol w:w="6427"/>
        <w:gridCol w:w="633"/>
        <w:gridCol w:w="673"/>
        <w:gridCol w:w="771"/>
        <w:gridCol w:w="982"/>
      </w:tblGrid>
      <w:tr w:rsidR="0071081F" w:rsidRPr="0071081F" w14:paraId="0021FDC9" w14:textId="77777777" w:rsidTr="0071081F">
        <w:trPr>
          <w:tblHeader/>
          <w:tblCellSpacing w:w="15" w:type="dxa"/>
        </w:trPr>
        <w:tc>
          <w:tcPr>
            <w:tcW w:w="0" w:type="auto"/>
            <w:tcBorders>
              <w:top w:val="single" w:sz="4" w:space="0" w:color="auto"/>
              <w:bottom w:val="single" w:sz="4" w:space="0" w:color="auto"/>
            </w:tcBorders>
            <w:vAlign w:val="center"/>
            <w:hideMark/>
          </w:tcPr>
          <w:p w14:paraId="674961FB" w14:textId="77777777" w:rsidR="0071081F" w:rsidRPr="0071081F" w:rsidRDefault="0071081F" w:rsidP="0071081F">
            <w:pPr>
              <w:spacing w:after="0"/>
              <w:rPr>
                <w:b/>
                <w:bCs/>
                <w:sz w:val="24"/>
                <w:szCs w:val="24"/>
              </w:rPr>
            </w:pPr>
            <w:r w:rsidRPr="0071081F">
              <w:rPr>
                <w:b/>
                <w:bCs/>
                <w:sz w:val="24"/>
                <w:szCs w:val="24"/>
              </w:rPr>
              <w:t>Hypothesis</w:t>
            </w:r>
          </w:p>
        </w:tc>
        <w:tc>
          <w:tcPr>
            <w:tcW w:w="0" w:type="auto"/>
            <w:tcBorders>
              <w:top w:val="single" w:sz="4" w:space="0" w:color="auto"/>
              <w:bottom w:val="single" w:sz="4" w:space="0" w:color="auto"/>
            </w:tcBorders>
            <w:vAlign w:val="center"/>
            <w:hideMark/>
          </w:tcPr>
          <w:p w14:paraId="0540B573" w14:textId="77777777" w:rsidR="0071081F" w:rsidRPr="0071081F" w:rsidRDefault="0071081F" w:rsidP="0071081F">
            <w:pPr>
              <w:spacing w:after="0"/>
              <w:rPr>
                <w:b/>
                <w:bCs/>
                <w:sz w:val="24"/>
                <w:szCs w:val="24"/>
              </w:rPr>
            </w:pPr>
            <w:r w:rsidRPr="0071081F">
              <w:rPr>
                <w:b/>
                <w:bCs/>
                <w:sz w:val="24"/>
                <w:szCs w:val="24"/>
              </w:rPr>
              <w:t>Relationship</w:t>
            </w:r>
          </w:p>
        </w:tc>
        <w:tc>
          <w:tcPr>
            <w:tcW w:w="0" w:type="auto"/>
            <w:tcBorders>
              <w:top w:val="single" w:sz="4" w:space="0" w:color="auto"/>
              <w:bottom w:val="single" w:sz="4" w:space="0" w:color="auto"/>
            </w:tcBorders>
            <w:vAlign w:val="center"/>
            <w:hideMark/>
          </w:tcPr>
          <w:p w14:paraId="1E7DB966" w14:textId="77777777" w:rsidR="0071081F" w:rsidRPr="0071081F" w:rsidRDefault="0071081F" w:rsidP="0071081F">
            <w:pPr>
              <w:spacing w:after="0"/>
              <w:rPr>
                <w:b/>
                <w:bCs/>
                <w:sz w:val="24"/>
                <w:szCs w:val="24"/>
              </w:rPr>
            </w:pPr>
            <w:r w:rsidRPr="0071081F">
              <w:rPr>
                <w:b/>
                <w:bCs/>
                <w:sz w:val="24"/>
                <w:szCs w:val="24"/>
              </w:rPr>
              <w:t>β</w:t>
            </w:r>
          </w:p>
        </w:tc>
        <w:tc>
          <w:tcPr>
            <w:tcW w:w="0" w:type="auto"/>
            <w:tcBorders>
              <w:top w:val="single" w:sz="4" w:space="0" w:color="auto"/>
              <w:bottom w:val="single" w:sz="4" w:space="0" w:color="auto"/>
            </w:tcBorders>
            <w:vAlign w:val="center"/>
            <w:hideMark/>
          </w:tcPr>
          <w:p w14:paraId="583E2F82" w14:textId="77777777" w:rsidR="0071081F" w:rsidRPr="0071081F" w:rsidRDefault="0071081F" w:rsidP="0071081F">
            <w:pPr>
              <w:spacing w:after="0"/>
              <w:rPr>
                <w:b/>
                <w:bCs/>
                <w:sz w:val="24"/>
                <w:szCs w:val="24"/>
              </w:rPr>
            </w:pPr>
            <w:r w:rsidRPr="0071081F">
              <w:rPr>
                <w:b/>
                <w:bCs/>
                <w:sz w:val="24"/>
                <w:szCs w:val="24"/>
              </w:rPr>
              <w:t>t-value</w:t>
            </w:r>
          </w:p>
        </w:tc>
        <w:tc>
          <w:tcPr>
            <w:tcW w:w="0" w:type="auto"/>
            <w:tcBorders>
              <w:top w:val="single" w:sz="4" w:space="0" w:color="auto"/>
              <w:bottom w:val="single" w:sz="4" w:space="0" w:color="auto"/>
            </w:tcBorders>
            <w:vAlign w:val="center"/>
            <w:hideMark/>
          </w:tcPr>
          <w:p w14:paraId="64B16391" w14:textId="77777777" w:rsidR="0071081F" w:rsidRPr="0071081F" w:rsidRDefault="0071081F" w:rsidP="0071081F">
            <w:pPr>
              <w:spacing w:after="0"/>
              <w:rPr>
                <w:b/>
                <w:bCs/>
                <w:sz w:val="24"/>
                <w:szCs w:val="24"/>
              </w:rPr>
            </w:pPr>
            <w:r w:rsidRPr="0071081F">
              <w:rPr>
                <w:b/>
                <w:bCs/>
                <w:sz w:val="24"/>
                <w:szCs w:val="24"/>
              </w:rPr>
              <w:t>p-value</w:t>
            </w:r>
          </w:p>
        </w:tc>
        <w:tc>
          <w:tcPr>
            <w:tcW w:w="0" w:type="auto"/>
            <w:tcBorders>
              <w:top w:val="single" w:sz="4" w:space="0" w:color="auto"/>
              <w:bottom w:val="single" w:sz="4" w:space="0" w:color="auto"/>
            </w:tcBorders>
            <w:vAlign w:val="center"/>
            <w:hideMark/>
          </w:tcPr>
          <w:p w14:paraId="0445AD9C" w14:textId="77777777" w:rsidR="0071081F" w:rsidRPr="0071081F" w:rsidRDefault="0071081F" w:rsidP="0071081F">
            <w:pPr>
              <w:spacing w:after="0"/>
              <w:rPr>
                <w:b/>
                <w:bCs/>
                <w:sz w:val="24"/>
                <w:szCs w:val="24"/>
              </w:rPr>
            </w:pPr>
            <w:r w:rsidRPr="0071081F">
              <w:rPr>
                <w:b/>
                <w:bCs/>
                <w:sz w:val="24"/>
                <w:szCs w:val="24"/>
              </w:rPr>
              <w:t>Result</w:t>
            </w:r>
          </w:p>
        </w:tc>
      </w:tr>
      <w:tr w:rsidR="0071081F" w:rsidRPr="0071081F" w14:paraId="7C6A210F" w14:textId="77777777">
        <w:trPr>
          <w:tblCellSpacing w:w="15" w:type="dxa"/>
        </w:trPr>
        <w:tc>
          <w:tcPr>
            <w:tcW w:w="0" w:type="auto"/>
            <w:vAlign w:val="center"/>
            <w:hideMark/>
          </w:tcPr>
          <w:p w14:paraId="3311BFC4" w14:textId="77777777" w:rsidR="0071081F" w:rsidRPr="0071081F" w:rsidRDefault="0071081F" w:rsidP="0071081F">
            <w:pPr>
              <w:spacing w:after="0"/>
              <w:rPr>
                <w:sz w:val="24"/>
                <w:szCs w:val="24"/>
              </w:rPr>
            </w:pPr>
            <w:r w:rsidRPr="0071081F">
              <w:rPr>
                <w:sz w:val="24"/>
                <w:szCs w:val="24"/>
              </w:rPr>
              <w:t>H1</w:t>
            </w:r>
          </w:p>
        </w:tc>
        <w:tc>
          <w:tcPr>
            <w:tcW w:w="0" w:type="auto"/>
            <w:vAlign w:val="center"/>
            <w:hideMark/>
          </w:tcPr>
          <w:p w14:paraId="4AF6A170" w14:textId="77777777" w:rsidR="0071081F" w:rsidRPr="0071081F" w:rsidRDefault="0071081F" w:rsidP="0071081F">
            <w:pPr>
              <w:spacing w:after="0"/>
              <w:rPr>
                <w:sz w:val="24"/>
                <w:szCs w:val="24"/>
              </w:rPr>
            </w:pPr>
            <w:r w:rsidRPr="0071081F">
              <w:rPr>
                <w:sz w:val="24"/>
                <w:szCs w:val="24"/>
              </w:rPr>
              <w:t>Pioneer–Follower Posture (PFP) significantly influences Sustainable Manufacturing Performance (SMP).</w:t>
            </w:r>
          </w:p>
        </w:tc>
        <w:tc>
          <w:tcPr>
            <w:tcW w:w="0" w:type="auto"/>
            <w:vAlign w:val="center"/>
            <w:hideMark/>
          </w:tcPr>
          <w:p w14:paraId="729C28BD" w14:textId="77777777" w:rsidR="0071081F" w:rsidRPr="0071081F" w:rsidRDefault="0071081F" w:rsidP="0071081F">
            <w:pPr>
              <w:spacing w:after="0"/>
              <w:rPr>
                <w:sz w:val="24"/>
                <w:szCs w:val="24"/>
              </w:rPr>
            </w:pPr>
            <w:r w:rsidRPr="0071081F">
              <w:rPr>
                <w:sz w:val="24"/>
                <w:szCs w:val="24"/>
              </w:rPr>
              <w:t>0.101</w:t>
            </w:r>
          </w:p>
        </w:tc>
        <w:tc>
          <w:tcPr>
            <w:tcW w:w="0" w:type="auto"/>
            <w:vAlign w:val="center"/>
            <w:hideMark/>
          </w:tcPr>
          <w:p w14:paraId="6BD3DFCE" w14:textId="77777777" w:rsidR="0071081F" w:rsidRPr="0071081F" w:rsidRDefault="0071081F" w:rsidP="0071081F">
            <w:pPr>
              <w:spacing w:after="0"/>
              <w:rPr>
                <w:sz w:val="24"/>
                <w:szCs w:val="24"/>
              </w:rPr>
            </w:pPr>
            <w:r w:rsidRPr="0071081F">
              <w:rPr>
                <w:sz w:val="24"/>
                <w:szCs w:val="24"/>
              </w:rPr>
              <w:t>1.641</w:t>
            </w:r>
          </w:p>
        </w:tc>
        <w:tc>
          <w:tcPr>
            <w:tcW w:w="0" w:type="auto"/>
            <w:vAlign w:val="center"/>
            <w:hideMark/>
          </w:tcPr>
          <w:p w14:paraId="3A3DD97F" w14:textId="77777777" w:rsidR="0071081F" w:rsidRPr="0071081F" w:rsidRDefault="0071081F" w:rsidP="0071081F">
            <w:pPr>
              <w:spacing w:after="0"/>
              <w:rPr>
                <w:sz w:val="24"/>
                <w:szCs w:val="24"/>
              </w:rPr>
            </w:pPr>
            <w:r w:rsidRPr="0071081F">
              <w:rPr>
                <w:sz w:val="24"/>
                <w:szCs w:val="24"/>
              </w:rPr>
              <w:t>0.102</w:t>
            </w:r>
          </w:p>
        </w:tc>
        <w:tc>
          <w:tcPr>
            <w:tcW w:w="0" w:type="auto"/>
            <w:vAlign w:val="center"/>
            <w:hideMark/>
          </w:tcPr>
          <w:p w14:paraId="71CDBA1F" w14:textId="77777777" w:rsidR="0071081F" w:rsidRPr="0071081F" w:rsidRDefault="0071081F" w:rsidP="0071081F">
            <w:pPr>
              <w:spacing w:after="0"/>
              <w:rPr>
                <w:sz w:val="24"/>
                <w:szCs w:val="24"/>
              </w:rPr>
            </w:pPr>
            <w:r w:rsidRPr="0071081F">
              <w:rPr>
                <w:sz w:val="24"/>
                <w:szCs w:val="24"/>
              </w:rPr>
              <w:t>Rejected</w:t>
            </w:r>
          </w:p>
        </w:tc>
      </w:tr>
      <w:tr w:rsidR="0071081F" w:rsidRPr="0071081F" w14:paraId="3D5BBE11" w14:textId="77777777">
        <w:trPr>
          <w:tblCellSpacing w:w="15" w:type="dxa"/>
        </w:trPr>
        <w:tc>
          <w:tcPr>
            <w:tcW w:w="0" w:type="auto"/>
            <w:vAlign w:val="center"/>
            <w:hideMark/>
          </w:tcPr>
          <w:p w14:paraId="0E832893" w14:textId="77777777" w:rsidR="0071081F" w:rsidRPr="0071081F" w:rsidRDefault="0071081F" w:rsidP="0071081F">
            <w:pPr>
              <w:spacing w:after="0"/>
              <w:rPr>
                <w:sz w:val="24"/>
                <w:szCs w:val="24"/>
              </w:rPr>
            </w:pPr>
            <w:r w:rsidRPr="0071081F">
              <w:rPr>
                <w:sz w:val="24"/>
                <w:szCs w:val="24"/>
              </w:rPr>
              <w:t>H2</w:t>
            </w:r>
          </w:p>
        </w:tc>
        <w:tc>
          <w:tcPr>
            <w:tcW w:w="0" w:type="auto"/>
            <w:vAlign w:val="center"/>
            <w:hideMark/>
          </w:tcPr>
          <w:p w14:paraId="58B84713" w14:textId="77777777" w:rsidR="0071081F" w:rsidRPr="0071081F" w:rsidRDefault="0071081F" w:rsidP="0071081F">
            <w:pPr>
              <w:spacing w:after="0"/>
              <w:rPr>
                <w:sz w:val="24"/>
                <w:szCs w:val="24"/>
              </w:rPr>
            </w:pPr>
            <w:r w:rsidRPr="0071081F">
              <w:rPr>
                <w:sz w:val="24"/>
                <w:szCs w:val="24"/>
              </w:rPr>
              <w:t>Technological Investments (TI) significantly influences Sustainable Manufacturing Performance (SMP).</w:t>
            </w:r>
          </w:p>
        </w:tc>
        <w:tc>
          <w:tcPr>
            <w:tcW w:w="0" w:type="auto"/>
            <w:vAlign w:val="center"/>
            <w:hideMark/>
          </w:tcPr>
          <w:p w14:paraId="308B7C2B" w14:textId="77777777" w:rsidR="0071081F" w:rsidRPr="0071081F" w:rsidRDefault="0071081F" w:rsidP="0071081F">
            <w:pPr>
              <w:spacing w:after="0"/>
              <w:rPr>
                <w:sz w:val="24"/>
                <w:szCs w:val="24"/>
              </w:rPr>
            </w:pPr>
            <w:r w:rsidRPr="0071081F">
              <w:rPr>
                <w:sz w:val="24"/>
                <w:szCs w:val="24"/>
              </w:rPr>
              <w:t>0.240</w:t>
            </w:r>
          </w:p>
        </w:tc>
        <w:tc>
          <w:tcPr>
            <w:tcW w:w="0" w:type="auto"/>
            <w:vAlign w:val="center"/>
            <w:hideMark/>
          </w:tcPr>
          <w:p w14:paraId="72275669" w14:textId="77777777" w:rsidR="0071081F" w:rsidRPr="0071081F" w:rsidRDefault="0071081F" w:rsidP="0071081F">
            <w:pPr>
              <w:spacing w:after="0"/>
              <w:rPr>
                <w:sz w:val="24"/>
                <w:szCs w:val="24"/>
              </w:rPr>
            </w:pPr>
            <w:r w:rsidRPr="0071081F">
              <w:rPr>
                <w:sz w:val="24"/>
                <w:szCs w:val="24"/>
              </w:rPr>
              <w:t>4.356</w:t>
            </w:r>
          </w:p>
        </w:tc>
        <w:tc>
          <w:tcPr>
            <w:tcW w:w="0" w:type="auto"/>
            <w:vAlign w:val="center"/>
            <w:hideMark/>
          </w:tcPr>
          <w:p w14:paraId="6A2ADD59" w14:textId="77777777" w:rsidR="0071081F" w:rsidRPr="0071081F" w:rsidRDefault="0071081F" w:rsidP="0071081F">
            <w:pPr>
              <w:spacing w:after="0"/>
              <w:rPr>
                <w:sz w:val="24"/>
                <w:szCs w:val="24"/>
              </w:rPr>
            </w:pPr>
            <w:r w:rsidRPr="0071081F">
              <w:rPr>
                <w:sz w:val="24"/>
                <w:szCs w:val="24"/>
              </w:rPr>
              <w:t>&lt;0.001</w:t>
            </w:r>
          </w:p>
        </w:tc>
        <w:tc>
          <w:tcPr>
            <w:tcW w:w="0" w:type="auto"/>
            <w:vAlign w:val="center"/>
            <w:hideMark/>
          </w:tcPr>
          <w:p w14:paraId="097A8C0E" w14:textId="77777777" w:rsidR="0071081F" w:rsidRPr="0071081F" w:rsidRDefault="0071081F" w:rsidP="0071081F">
            <w:pPr>
              <w:spacing w:after="0"/>
              <w:rPr>
                <w:sz w:val="24"/>
                <w:szCs w:val="24"/>
              </w:rPr>
            </w:pPr>
            <w:r w:rsidRPr="0071081F">
              <w:rPr>
                <w:sz w:val="24"/>
                <w:szCs w:val="24"/>
              </w:rPr>
              <w:t>Accepted</w:t>
            </w:r>
          </w:p>
        </w:tc>
      </w:tr>
      <w:tr w:rsidR="0071081F" w:rsidRPr="0071081F" w14:paraId="2A0C4E27" w14:textId="77777777">
        <w:trPr>
          <w:tblCellSpacing w:w="15" w:type="dxa"/>
        </w:trPr>
        <w:tc>
          <w:tcPr>
            <w:tcW w:w="0" w:type="auto"/>
            <w:vAlign w:val="center"/>
            <w:hideMark/>
          </w:tcPr>
          <w:p w14:paraId="039768DF" w14:textId="77777777" w:rsidR="0071081F" w:rsidRPr="0071081F" w:rsidRDefault="0071081F" w:rsidP="0071081F">
            <w:pPr>
              <w:spacing w:after="0"/>
              <w:rPr>
                <w:sz w:val="24"/>
                <w:szCs w:val="24"/>
              </w:rPr>
            </w:pPr>
            <w:r w:rsidRPr="0071081F">
              <w:rPr>
                <w:sz w:val="24"/>
                <w:szCs w:val="24"/>
              </w:rPr>
              <w:t>H3</w:t>
            </w:r>
          </w:p>
        </w:tc>
        <w:tc>
          <w:tcPr>
            <w:tcW w:w="0" w:type="auto"/>
            <w:vAlign w:val="center"/>
            <w:hideMark/>
          </w:tcPr>
          <w:p w14:paraId="629EEC8E" w14:textId="77777777" w:rsidR="0071081F" w:rsidRPr="0071081F" w:rsidRDefault="0071081F" w:rsidP="0071081F">
            <w:pPr>
              <w:spacing w:after="0"/>
              <w:rPr>
                <w:sz w:val="24"/>
                <w:szCs w:val="24"/>
              </w:rPr>
            </w:pPr>
            <w:r w:rsidRPr="0071081F">
              <w:rPr>
                <w:sz w:val="24"/>
                <w:szCs w:val="24"/>
              </w:rPr>
              <w:t>Intensity of Product Upgrades (IPU) significantly influences Sustainable Manufacturing Performance (SMP).</w:t>
            </w:r>
          </w:p>
        </w:tc>
        <w:tc>
          <w:tcPr>
            <w:tcW w:w="0" w:type="auto"/>
            <w:vAlign w:val="center"/>
            <w:hideMark/>
          </w:tcPr>
          <w:p w14:paraId="05E5F09C" w14:textId="77777777" w:rsidR="0071081F" w:rsidRPr="0071081F" w:rsidRDefault="0071081F" w:rsidP="0071081F">
            <w:pPr>
              <w:spacing w:after="0"/>
              <w:rPr>
                <w:sz w:val="24"/>
                <w:szCs w:val="24"/>
              </w:rPr>
            </w:pPr>
            <w:r w:rsidRPr="0071081F">
              <w:rPr>
                <w:sz w:val="24"/>
                <w:szCs w:val="24"/>
              </w:rPr>
              <w:t>-0.023</w:t>
            </w:r>
          </w:p>
        </w:tc>
        <w:tc>
          <w:tcPr>
            <w:tcW w:w="0" w:type="auto"/>
            <w:vAlign w:val="center"/>
            <w:hideMark/>
          </w:tcPr>
          <w:p w14:paraId="614C4F29" w14:textId="77777777" w:rsidR="0071081F" w:rsidRPr="0071081F" w:rsidRDefault="0071081F" w:rsidP="0071081F">
            <w:pPr>
              <w:spacing w:after="0"/>
              <w:rPr>
                <w:sz w:val="24"/>
                <w:szCs w:val="24"/>
              </w:rPr>
            </w:pPr>
            <w:r w:rsidRPr="0071081F">
              <w:rPr>
                <w:sz w:val="24"/>
                <w:szCs w:val="24"/>
              </w:rPr>
              <w:t>-0.491</w:t>
            </w:r>
          </w:p>
        </w:tc>
        <w:tc>
          <w:tcPr>
            <w:tcW w:w="0" w:type="auto"/>
            <w:vAlign w:val="center"/>
            <w:hideMark/>
          </w:tcPr>
          <w:p w14:paraId="4785C477" w14:textId="77777777" w:rsidR="0071081F" w:rsidRPr="0071081F" w:rsidRDefault="0071081F" w:rsidP="0071081F">
            <w:pPr>
              <w:spacing w:after="0"/>
              <w:rPr>
                <w:sz w:val="24"/>
                <w:szCs w:val="24"/>
              </w:rPr>
            </w:pPr>
            <w:r w:rsidRPr="0071081F">
              <w:rPr>
                <w:sz w:val="24"/>
                <w:szCs w:val="24"/>
              </w:rPr>
              <w:t>0.624</w:t>
            </w:r>
          </w:p>
        </w:tc>
        <w:tc>
          <w:tcPr>
            <w:tcW w:w="0" w:type="auto"/>
            <w:vAlign w:val="center"/>
            <w:hideMark/>
          </w:tcPr>
          <w:p w14:paraId="71CEEAA2" w14:textId="77777777" w:rsidR="0071081F" w:rsidRPr="0071081F" w:rsidRDefault="0071081F" w:rsidP="0071081F">
            <w:pPr>
              <w:spacing w:after="0"/>
              <w:rPr>
                <w:sz w:val="24"/>
                <w:szCs w:val="24"/>
              </w:rPr>
            </w:pPr>
            <w:r w:rsidRPr="0071081F">
              <w:rPr>
                <w:sz w:val="24"/>
                <w:szCs w:val="24"/>
              </w:rPr>
              <w:t>Rejected</w:t>
            </w:r>
          </w:p>
        </w:tc>
      </w:tr>
      <w:tr w:rsidR="0071081F" w:rsidRPr="0071081F" w14:paraId="394EE693" w14:textId="77777777">
        <w:trPr>
          <w:tblCellSpacing w:w="15" w:type="dxa"/>
        </w:trPr>
        <w:tc>
          <w:tcPr>
            <w:tcW w:w="0" w:type="auto"/>
            <w:vAlign w:val="center"/>
            <w:hideMark/>
          </w:tcPr>
          <w:p w14:paraId="351EE70A" w14:textId="77777777" w:rsidR="0071081F" w:rsidRPr="0071081F" w:rsidRDefault="0071081F" w:rsidP="0071081F">
            <w:pPr>
              <w:spacing w:after="0"/>
              <w:rPr>
                <w:sz w:val="24"/>
                <w:szCs w:val="24"/>
              </w:rPr>
            </w:pPr>
            <w:r w:rsidRPr="0071081F">
              <w:rPr>
                <w:sz w:val="24"/>
                <w:szCs w:val="24"/>
              </w:rPr>
              <w:t>H4</w:t>
            </w:r>
          </w:p>
        </w:tc>
        <w:tc>
          <w:tcPr>
            <w:tcW w:w="0" w:type="auto"/>
            <w:vAlign w:val="center"/>
            <w:hideMark/>
          </w:tcPr>
          <w:p w14:paraId="7D923F4C" w14:textId="77777777" w:rsidR="0071081F" w:rsidRPr="0071081F" w:rsidRDefault="0071081F" w:rsidP="0071081F">
            <w:pPr>
              <w:spacing w:after="0"/>
              <w:rPr>
                <w:sz w:val="24"/>
                <w:szCs w:val="24"/>
              </w:rPr>
            </w:pPr>
            <w:r w:rsidRPr="0071081F">
              <w:rPr>
                <w:sz w:val="24"/>
                <w:szCs w:val="24"/>
              </w:rPr>
              <w:t xml:space="preserve">Product and Process Technology (PPT) significantly </w:t>
            </w:r>
            <w:proofErr w:type="gramStart"/>
            <w:r w:rsidRPr="0071081F">
              <w:rPr>
                <w:sz w:val="24"/>
                <w:szCs w:val="24"/>
              </w:rPr>
              <w:t>influences</w:t>
            </w:r>
            <w:proofErr w:type="gramEnd"/>
            <w:r w:rsidRPr="0071081F">
              <w:rPr>
                <w:sz w:val="24"/>
                <w:szCs w:val="24"/>
              </w:rPr>
              <w:t xml:space="preserve"> Sustainable Manufacturing Performance (SMP).</w:t>
            </w:r>
          </w:p>
        </w:tc>
        <w:tc>
          <w:tcPr>
            <w:tcW w:w="0" w:type="auto"/>
            <w:vAlign w:val="center"/>
            <w:hideMark/>
          </w:tcPr>
          <w:p w14:paraId="6E93508D" w14:textId="77777777" w:rsidR="0071081F" w:rsidRPr="0071081F" w:rsidRDefault="0071081F" w:rsidP="0071081F">
            <w:pPr>
              <w:spacing w:after="0"/>
              <w:rPr>
                <w:sz w:val="24"/>
                <w:szCs w:val="24"/>
              </w:rPr>
            </w:pPr>
            <w:r w:rsidRPr="0071081F">
              <w:rPr>
                <w:sz w:val="24"/>
                <w:szCs w:val="24"/>
              </w:rPr>
              <w:t>0.002</w:t>
            </w:r>
          </w:p>
        </w:tc>
        <w:tc>
          <w:tcPr>
            <w:tcW w:w="0" w:type="auto"/>
            <w:vAlign w:val="center"/>
            <w:hideMark/>
          </w:tcPr>
          <w:p w14:paraId="24861A80" w14:textId="77777777" w:rsidR="0071081F" w:rsidRPr="0071081F" w:rsidRDefault="0071081F" w:rsidP="0071081F">
            <w:pPr>
              <w:spacing w:after="0"/>
              <w:rPr>
                <w:sz w:val="24"/>
                <w:szCs w:val="24"/>
              </w:rPr>
            </w:pPr>
            <w:r w:rsidRPr="0071081F">
              <w:rPr>
                <w:sz w:val="24"/>
                <w:szCs w:val="24"/>
              </w:rPr>
              <w:t>0.038</w:t>
            </w:r>
          </w:p>
        </w:tc>
        <w:tc>
          <w:tcPr>
            <w:tcW w:w="0" w:type="auto"/>
            <w:vAlign w:val="center"/>
            <w:hideMark/>
          </w:tcPr>
          <w:p w14:paraId="47B35BEB" w14:textId="77777777" w:rsidR="0071081F" w:rsidRPr="0071081F" w:rsidRDefault="0071081F" w:rsidP="0071081F">
            <w:pPr>
              <w:spacing w:after="0"/>
              <w:rPr>
                <w:sz w:val="24"/>
                <w:szCs w:val="24"/>
              </w:rPr>
            </w:pPr>
            <w:r w:rsidRPr="0071081F">
              <w:rPr>
                <w:sz w:val="24"/>
                <w:szCs w:val="24"/>
              </w:rPr>
              <w:t>0.970</w:t>
            </w:r>
          </w:p>
        </w:tc>
        <w:tc>
          <w:tcPr>
            <w:tcW w:w="0" w:type="auto"/>
            <w:vAlign w:val="center"/>
            <w:hideMark/>
          </w:tcPr>
          <w:p w14:paraId="46DA21C9" w14:textId="77777777" w:rsidR="0071081F" w:rsidRPr="0071081F" w:rsidRDefault="0071081F" w:rsidP="0071081F">
            <w:pPr>
              <w:spacing w:after="0"/>
              <w:rPr>
                <w:sz w:val="24"/>
                <w:szCs w:val="24"/>
              </w:rPr>
            </w:pPr>
            <w:r w:rsidRPr="0071081F">
              <w:rPr>
                <w:sz w:val="24"/>
                <w:szCs w:val="24"/>
              </w:rPr>
              <w:t>Rejected</w:t>
            </w:r>
          </w:p>
        </w:tc>
      </w:tr>
      <w:tr w:rsidR="0071081F" w:rsidRPr="0071081F" w14:paraId="3311DA08" w14:textId="77777777">
        <w:trPr>
          <w:tblCellSpacing w:w="15" w:type="dxa"/>
        </w:trPr>
        <w:tc>
          <w:tcPr>
            <w:tcW w:w="0" w:type="auto"/>
            <w:vAlign w:val="center"/>
            <w:hideMark/>
          </w:tcPr>
          <w:p w14:paraId="22F064FA" w14:textId="77777777" w:rsidR="0071081F" w:rsidRPr="0071081F" w:rsidRDefault="0071081F" w:rsidP="0071081F">
            <w:pPr>
              <w:spacing w:after="0"/>
              <w:rPr>
                <w:sz w:val="24"/>
                <w:szCs w:val="24"/>
              </w:rPr>
            </w:pPr>
            <w:r w:rsidRPr="0071081F">
              <w:rPr>
                <w:sz w:val="24"/>
                <w:szCs w:val="24"/>
              </w:rPr>
              <w:t>H5</w:t>
            </w:r>
          </w:p>
        </w:tc>
        <w:tc>
          <w:tcPr>
            <w:tcW w:w="0" w:type="auto"/>
            <w:vAlign w:val="center"/>
            <w:hideMark/>
          </w:tcPr>
          <w:p w14:paraId="7B5EA0E9" w14:textId="77777777" w:rsidR="0071081F" w:rsidRPr="0071081F" w:rsidRDefault="0071081F" w:rsidP="0071081F">
            <w:pPr>
              <w:spacing w:after="0"/>
              <w:rPr>
                <w:sz w:val="24"/>
                <w:szCs w:val="24"/>
              </w:rPr>
            </w:pPr>
            <w:r w:rsidRPr="0071081F">
              <w:rPr>
                <w:sz w:val="24"/>
                <w:szCs w:val="24"/>
              </w:rPr>
              <w:t xml:space="preserve">Manufacturing System and Process Design Technologies (MSPD) significantly </w:t>
            </w:r>
            <w:proofErr w:type="gramStart"/>
            <w:r w:rsidRPr="0071081F">
              <w:rPr>
                <w:sz w:val="24"/>
                <w:szCs w:val="24"/>
              </w:rPr>
              <w:t>influences</w:t>
            </w:r>
            <w:proofErr w:type="gramEnd"/>
            <w:r w:rsidRPr="0071081F">
              <w:rPr>
                <w:sz w:val="24"/>
                <w:szCs w:val="24"/>
              </w:rPr>
              <w:t xml:space="preserve"> Sustainable Manufacturing Performance (SMP).</w:t>
            </w:r>
          </w:p>
        </w:tc>
        <w:tc>
          <w:tcPr>
            <w:tcW w:w="0" w:type="auto"/>
            <w:vAlign w:val="center"/>
            <w:hideMark/>
          </w:tcPr>
          <w:p w14:paraId="784FFF88" w14:textId="77777777" w:rsidR="0071081F" w:rsidRPr="0071081F" w:rsidRDefault="0071081F" w:rsidP="0071081F">
            <w:pPr>
              <w:spacing w:after="0"/>
              <w:rPr>
                <w:sz w:val="24"/>
                <w:szCs w:val="24"/>
              </w:rPr>
            </w:pPr>
            <w:r w:rsidRPr="0071081F">
              <w:rPr>
                <w:sz w:val="24"/>
                <w:szCs w:val="24"/>
              </w:rPr>
              <w:t>0.086</w:t>
            </w:r>
          </w:p>
        </w:tc>
        <w:tc>
          <w:tcPr>
            <w:tcW w:w="0" w:type="auto"/>
            <w:vAlign w:val="center"/>
            <w:hideMark/>
          </w:tcPr>
          <w:p w14:paraId="300AEC09" w14:textId="77777777" w:rsidR="0071081F" w:rsidRPr="0071081F" w:rsidRDefault="0071081F" w:rsidP="0071081F">
            <w:pPr>
              <w:spacing w:after="0"/>
              <w:rPr>
                <w:sz w:val="24"/>
                <w:szCs w:val="24"/>
              </w:rPr>
            </w:pPr>
            <w:r w:rsidRPr="0071081F">
              <w:rPr>
                <w:sz w:val="24"/>
                <w:szCs w:val="24"/>
              </w:rPr>
              <w:t>2.162</w:t>
            </w:r>
          </w:p>
        </w:tc>
        <w:tc>
          <w:tcPr>
            <w:tcW w:w="0" w:type="auto"/>
            <w:vAlign w:val="center"/>
            <w:hideMark/>
          </w:tcPr>
          <w:p w14:paraId="2E0DD0D7" w14:textId="77777777" w:rsidR="0071081F" w:rsidRPr="0071081F" w:rsidRDefault="0071081F" w:rsidP="0071081F">
            <w:pPr>
              <w:spacing w:after="0"/>
              <w:rPr>
                <w:sz w:val="24"/>
                <w:szCs w:val="24"/>
              </w:rPr>
            </w:pPr>
            <w:r w:rsidRPr="0071081F">
              <w:rPr>
                <w:sz w:val="24"/>
                <w:szCs w:val="24"/>
              </w:rPr>
              <w:t>0.032</w:t>
            </w:r>
          </w:p>
        </w:tc>
        <w:tc>
          <w:tcPr>
            <w:tcW w:w="0" w:type="auto"/>
            <w:vAlign w:val="center"/>
            <w:hideMark/>
          </w:tcPr>
          <w:p w14:paraId="63118B17" w14:textId="77777777" w:rsidR="0071081F" w:rsidRPr="0071081F" w:rsidRDefault="0071081F" w:rsidP="0071081F">
            <w:pPr>
              <w:spacing w:after="0"/>
              <w:rPr>
                <w:sz w:val="24"/>
                <w:szCs w:val="24"/>
              </w:rPr>
            </w:pPr>
            <w:r w:rsidRPr="0071081F">
              <w:rPr>
                <w:sz w:val="24"/>
                <w:szCs w:val="24"/>
              </w:rPr>
              <w:t>Accepted</w:t>
            </w:r>
          </w:p>
        </w:tc>
      </w:tr>
      <w:tr w:rsidR="0071081F" w:rsidRPr="0071081F" w14:paraId="37D2A5B1" w14:textId="77777777">
        <w:trPr>
          <w:tblCellSpacing w:w="15" w:type="dxa"/>
        </w:trPr>
        <w:tc>
          <w:tcPr>
            <w:tcW w:w="0" w:type="auto"/>
            <w:vAlign w:val="center"/>
            <w:hideMark/>
          </w:tcPr>
          <w:p w14:paraId="4EE6353B" w14:textId="77777777" w:rsidR="0071081F" w:rsidRPr="0071081F" w:rsidRDefault="0071081F" w:rsidP="0071081F">
            <w:pPr>
              <w:spacing w:after="0"/>
              <w:rPr>
                <w:sz w:val="24"/>
                <w:szCs w:val="24"/>
              </w:rPr>
            </w:pPr>
            <w:r w:rsidRPr="0071081F">
              <w:rPr>
                <w:sz w:val="24"/>
                <w:szCs w:val="24"/>
              </w:rPr>
              <w:lastRenderedPageBreak/>
              <w:t>H6</w:t>
            </w:r>
          </w:p>
        </w:tc>
        <w:tc>
          <w:tcPr>
            <w:tcW w:w="0" w:type="auto"/>
            <w:vAlign w:val="center"/>
            <w:hideMark/>
          </w:tcPr>
          <w:p w14:paraId="7094E77B" w14:textId="77777777" w:rsidR="0071081F" w:rsidRPr="0071081F" w:rsidRDefault="0071081F" w:rsidP="0071081F">
            <w:pPr>
              <w:spacing w:after="0"/>
              <w:rPr>
                <w:sz w:val="24"/>
                <w:szCs w:val="24"/>
              </w:rPr>
            </w:pPr>
            <w:r w:rsidRPr="0071081F">
              <w:rPr>
                <w:sz w:val="24"/>
                <w:szCs w:val="24"/>
              </w:rPr>
              <w:t>Manufacturing Process Technology Innovations (MPTI) significantly influences Sustainable Manufacturing Performance (SMP).</w:t>
            </w:r>
          </w:p>
        </w:tc>
        <w:tc>
          <w:tcPr>
            <w:tcW w:w="0" w:type="auto"/>
            <w:vAlign w:val="center"/>
            <w:hideMark/>
          </w:tcPr>
          <w:p w14:paraId="1B814BBA" w14:textId="77777777" w:rsidR="0071081F" w:rsidRPr="0071081F" w:rsidRDefault="0071081F" w:rsidP="0071081F">
            <w:pPr>
              <w:spacing w:after="0"/>
              <w:rPr>
                <w:sz w:val="24"/>
                <w:szCs w:val="24"/>
              </w:rPr>
            </w:pPr>
            <w:r w:rsidRPr="0071081F">
              <w:rPr>
                <w:sz w:val="24"/>
                <w:szCs w:val="24"/>
              </w:rPr>
              <w:t>0.112</w:t>
            </w:r>
          </w:p>
        </w:tc>
        <w:tc>
          <w:tcPr>
            <w:tcW w:w="0" w:type="auto"/>
            <w:vAlign w:val="center"/>
            <w:hideMark/>
          </w:tcPr>
          <w:p w14:paraId="4A42E3BB" w14:textId="77777777" w:rsidR="0071081F" w:rsidRPr="0071081F" w:rsidRDefault="0071081F" w:rsidP="0071081F">
            <w:pPr>
              <w:spacing w:after="0"/>
              <w:rPr>
                <w:sz w:val="24"/>
                <w:szCs w:val="24"/>
              </w:rPr>
            </w:pPr>
            <w:r w:rsidRPr="0071081F">
              <w:rPr>
                <w:sz w:val="24"/>
                <w:szCs w:val="24"/>
              </w:rPr>
              <w:t>3.085</w:t>
            </w:r>
          </w:p>
        </w:tc>
        <w:tc>
          <w:tcPr>
            <w:tcW w:w="0" w:type="auto"/>
            <w:vAlign w:val="center"/>
            <w:hideMark/>
          </w:tcPr>
          <w:p w14:paraId="03274984" w14:textId="77777777" w:rsidR="0071081F" w:rsidRPr="0071081F" w:rsidRDefault="0071081F" w:rsidP="0071081F">
            <w:pPr>
              <w:spacing w:after="0"/>
              <w:rPr>
                <w:sz w:val="24"/>
                <w:szCs w:val="24"/>
              </w:rPr>
            </w:pPr>
            <w:r w:rsidRPr="0071081F">
              <w:rPr>
                <w:sz w:val="24"/>
                <w:szCs w:val="24"/>
              </w:rPr>
              <w:t>0.002</w:t>
            </w:r>
          </w:p>
        </w:tc>
        <w:tc>
          <w:tcPr>
            <w:tcW w:w="0" w:type="auto"/>
            <w:vAlign w:val="center"/>
            <w:hideMark/>
          </w:tcPr>
          <w:p w14:paraId="153BF27F" w14:textId="77777777" w:rsidR="0071081F" w:rsidRPr="0071081F" w:rsidRDefault="0071081F" w:rsidP="0071081F">
            <w:pPr>
              <w:spacing w:after="0"/>
              <w:rPr>
                <w:sz w:val="24"/>
                <w:szCs w:val="24"/>
              </w:rPr>
            </w:pPr>
            <w:r w:rsidRPr="0071081F">
              <w:rPr>
                <w:sz w:val="24"/>
                <w:szCs w:val="24"/>
              </w:rPr>
              <w:t>Accepted</w:t>
            </w:r>
          </w:p>
        </w:tc>
      </w:tr>
      <w:tr w:rsidR="0071081F" w:rsidRPr="0071081F" w14:paraId="47C552A0" w14:textId="77777777">
        <w:trPr>
          <w:tblCellSpacing w:w="15" w:type="dxa"/>
        </w:trPr>
        <w:tc>
          <w:tcPr>
            <w:tcW w:w="0" w:type="auto"/>
            <w:vAlign w:val="center"/>
            <w:hideMark/>
          </w:tcPr>
          <w:p w14:paraId="272B4095" w14:textId="77777777" w:rsidR="0071081F" w:rsidRPr="0071081F" w:rsidRDefault="0071081F" w:rsidP="0071081F">
            <w:pPr>
              <w:spacing w:after="0"/>
              <w:rPr>
                <w:sz w:val="24"/>
                <w:szCs w:val="24"/>
              </w:rPr>
            </w:pPr>
            <w:r w:rsidRPr="0071081F">
              <w:rPr>
                <w:sz w:val="24"/>
                <w:szCs w:val="24"/>
              </w:rPr>
              <w:t>H7</w:t>
            </w:r>
          </w:p>
        </w:tc>
        <w:tc>
          <w:tcPr>
            <w:tcW w:w="0" w:type="auto"/>
            <w:vAlign w:val="center"/>
            <w:hideMark/>
          </w:tcPr>
          <w:p w14:paraId="41596055" w14:textId="77777777" w:rsidR="0071081F" w:rsidRPr="0071081F" w:rsidRDefault="0071081F" w:rsidP="0071081F">
            <w:pPr>
              <w:spacing w:after="0"/>
              <w:rPr>
                <w:sz w:val="24"/>
                <w:szCs w:val="24"/>
              </w:rPr>
            </w:pPr>
            <w:r w:rsidRPr="0071081F">
              <w:rPr>
                <w:sz w:val="24"/>
                <w:szCs w:val="24"/>
              </w:rPr>
              <w:t>Digital Manufacturing Technology Integration (DMTI) significantly influences Sustainable Manufacturing Performance (SMP).</w:t>
            </w:r>
          </w:p>
        </w:tc>
        <w:tc>
          <w:tcPr>
            <w:tcW w:w="0" w:type="auto"/>
            <w:vAlign w:val="center"/>
            <w:hideMark/>
          </w:tcPr>
          <w:p w14:paraId="1CD16C4E" w14:textId="77777777" w:rsidR="0071081F" w:rsidRPr="0071081F" w:rsidRDefault="0071081F" w:rsidP="0071081F">
            <w:pPr>
              <w:spacing w:after="0"/>
              <w:rPr>
                <w:sz w:val="24"/>
                <w:szCs w:val="24"/>
              </w:rPr>
            </w:pPr>
            <w:r w:rsidRPr="0071081F">
              <w:rPr>
                <w:sz w:val="24"/>
                <w:szCs w:val="24"/>
              </w:rPr>
              <w:t>0.120</w:t>
            </w:r>
          </w:p>
        </w:tc>
        <w:tc>
          <w:tcPr>
            <w:tcW w:w="0" w:type="auto"/>
            <w:vAlign w:val="center"/>
            <w:hideMark/>
          </w:tcPr>
          <w:p w14:paraId="2934B47E" w14:textId="77777777" w:rsidR="0071081F" w:rsidRPr="0071081F" w:rsidRDefault="0071081F" w:rsidP="0071081F">
            <w:pPr>
              <w:spacing w:after="0"/>
              <w:rPr>
                <w:sz w:val="24"/>
                <w:szCs w:val="24"/>
              </w:rPr>
            </w:pPr>
            <w:r w:rsidRPr="0071081F">
              <w:rPr>
                <w:sz w:val="24"/>
                <w:szCs w:val="24"/>
              </w:rPr>
              <w:t>2.881</w:t>
            </w:r>
          </w:p>
        </w:tc>
        <w:tc>
          <w:tcPr>
            <w:tcW w:w="0" w:type="auto"/>
            <w:vAlign w:val="center"/>
            <w:hideMark/>
          </w:tcPr>
          <w:p w14:paraId="65FD1C8A" w14:textId="77777777" w:rsidR="0071081F" w:rsidRPr="0071081F" w:rsidRDefault="0071081F" w:rsidP="0071081F">
            <w:pPr>
              <w:spacing w:after="0"/>
              <w:rPr>
                <w:sz w:val="24"/>
                <w:szCs w:val="24"/>
              </w:rPr>
            </w:pPr>
            <w:r w:rsidRPr="0071081F">
              <w:rPr>
                <w:sz w:val="24"/>
                <w:szCs w:val="24"/>
              </w:rPr>
              <w:t>0.004</w:t>
            </w:r>
          </w:p>
        </w:tc>
        <w:tc>
          <w:tcPr>
            <w:tcW w:w="0" w:type="auto"/>
            <w:vAlign w:val="center"/>
            <w:hideMark/>
          </w:tcPr>
          <w:p w14:paraId="3A3CC103" w14:textId="77777777" w:rsidR="0071081F" w:rsidRPr="0071081F" w:rsidRDefault="0071081F" w:rsidP="0071081F">
            <w:pPr>
              <w:spacing w:after="0"/>
              <w:rPr>
                <w:sz w:val="24"/>
                <w:szCs w:val="24"/>
              </w:rPr>
            </w:pPr>
            <w:r w:rsidRPr="0071081F">
              <w:rPr>
                <w:sz w:val="24"/>
                <w:szCs w:val="24"/>
              </w:rPr>
              <w:t>Accepted</w:t>
            </w:r>
          </w:p>
        </w:tc>
      </w:tr>
      <w:tr w:rsidR="0071081F" w:rsidRPr="0071081F" w14:paraId="7795BF5C" w14:textId="77777777">
        <w:trPr>
          <w:tblCellSpacing w:w="15" w:type="dxa"/>
        </w:trPr>
        <w:tc>
          <w:tcPr>
            <w:tcW w:w="0" w:type="auto"/>
            <w:vAlign w:val="center"/>
            <w:hideMark/>
          </w:tcPr>
          <w:p w14:paraId="77FFA95A" w14:textId="77777777" w:rsidR="0071081F" w:rsidRPr="0071081F" w:rsidRDefault="0071081F" w:rsidP="0071081F">
            <w:pPr>
              <w:spacing w:after="0"/>
              <w:rPr>
                <w:sz w:val="24"/>
                <w:szCs w:val="24"/>
              </w:rPr>
            </w:pPr>
            <w:r w:rsidRPr="0071081F">
              <w:rPr>
                <w:sz w:val="24"/>
                <w:szCs w:val="24"/>
              </w:rPr>
              <w:t>H8</w:t>
            </w:r>
          </w:p>
        </w:tc>
        <w:tc>
          <w:tcPr>
            <w:tcW w:w="0" w:type="auto"/>
            <w:vAlign w:val="center"/>
            <w:hideMark/>
          </w:tcPr>
          <w:p w14:paraId="2610CABF" w14:textId="77777777" w:rsidR="0071081F" w:rsidRPr="0071081F" w:rsidRDefault="0071081F" w:rsidP="0071081F">
            <w:pPr>
              <w:spacing w:after="0"/>
              <w:rPr>
                <w:sz w:val="24"/>
                <w:szCs w:val="24"/>
              </w:rPr>
            </w:pPr>
            <w:proofErr w:type="spellStart"/>
            <w:r w:rsidRPr="0071081F">
              <w:rPr>
                <w:sz w:val="24"/>
                <w:szCs w:val="24"/>
              </w:rPr>
              <w:t>Microfactories</w:t>
            </w:r>
            <w:proofErr w:type="spellEnd"/>
            <w:r w:rsidRPr="0071081F">
              <w:rPr>
                <w:sz w:val="24"/>
                <w:szCs w:val="24"/>
              </w:rPr>
              <w:t xml:space="preserve"> (MF) significantly influences Sustainable Manufacturing Performance (SMP).</w:t>
            </w:r>
          </w:p>
        </w:tc>
        <w:tc>
          <w:tcPr>
            <w:tcW w:w="0" w:type="auto"/>
            <w:vAlign w:val="center"/>
            <w:hideMark/>
          </w:tcPr>
          <w:p w14:paraId="6D3ECE56" w14:textId="77777777" w:rsidR="0071081F" w:rsidRPr="0071081F" w:rsidRDefault="0071081F" w:rsidP="0071081F">
            <w:pPr>
              <w:spacing w:after="0"/>
              <w:rPr>
                <w:sz w:val="24"/>
                <w:szCs w:val="24"/>
              </w:rPr>
            </w:pPr>
            <w:r w:rsidRPr="0071081F">
              <w:rPr>
                <w:sz w:val="24"/>
                <w:szCs w:val="24"/>
              </w:rPr>
              <w:t>0.156</w:t>
            </w:r>
          </w:p>
        </w:tc>
        <w:tc>
          <w:tcPr>
            <w:tcW w:w="0" w:type="auto"/>
            <w:vAlign w:val="center"/>
            <w:hideMark/>
          </w:tcPr>
          <w:p w14:paraId="1D7EA7FD" w14:textId="77777777" w:rsidR="0071081F" w:rsidRPr="0071081F" w:rsidRDefault="0071081F" w:rsidP="0071081F">
            <w:pPr>
              <w:spacing w:after="0"/>
              <w:rPr>
                <w:sz w:val="24"/>
                <w:szCs w:val="24"/>
              </w:rPr>
            </w:pPr>
            <w:r w:rsidRPr="0071081F">
              <w:rPr>
                <w:sz w:val="24"/>
                <w:szCs w:val="24"/>
              </w:rPr>
              <w:t>3.139</w:t>
            </w:r>
          </w:p>
        </w:tc>
        <w:tc>
          <w:tcPr>
            <w:tcW w:w="0" w:type="auto"/>
            <w:vAlign w:val="center"/>
            <w:hideMark/>
          </w:tcPr>
          <w:p w14:paraId="1EFF5A5F" w14:textId="77777777" w:rsidR="0071081F" w:rsidRPr="0071081F" w:rsidRDefault="0071081F" w:rsidP="0071081F">
            <w:pPr>
              <w:spacing w:after="0"/>
              <w:rPr>
                <w:sz w:val="24"/>
                <w:szCs w:val="24"/>
              </w:rPr>
            </w:pPr>
            <w:r w:rsidRPr="0071081F">
              <w:rPr>
                <w:sz w:val="24"/>
                <w:szCs w:val="24"/>
              </w:rPr>
              <w:t>0.002</w:t>
            </w:r>
          </w:p>
        </w:tc>
        <w:tc>
          <w:tcPr>
            <w:tcW w:w="0" w:type="auto"/>
            <w:vAlign w:val="center"/>
            <w:hideMark/>
          </w:tcPr>
          <w:p w14:paraId="453AB099" w14:textId="77777777" w:rsidR="0071081F" w:rsidRPr="0071081F" w:rsidRDefault="0071081F" w:rsidP="0071081F">
            <w:pPr>
              <w:spacing w:after="0"/>
              <w:rPr>
                <w:sz w:val="24"/>
                <w:szCs w:val="24"/>
              </w:rPr>
            </w:pPr>
            <w:r w:rsidRPr="0071081F">
              <w:rPr>
                <w:sz w:val="24"/>
                <w:szCs w:val="24"/>
              </w:rPr>
              <w:t>Accepted</w:t>
            </w:r>
          </w:p>
        </w:tc>
      </w:tr>
      <w:tr w:rsidR="0071081F" w:rsidRPr="0071081F" w14:paraId="7350329D" w14:textId="77777777" w:rsidTr="0071081F">
        <w:trPr>
          <w:tblCellSpacing w:w="15" w:type="dxa"/>
        </w:trPr>
        <w:tc>
          <w:tcPr>
            <w:tcW w:w="0" w:type="auto"/>
            <w:tcBorders>
              <w:bottom w:val="single" w:sz="4" w:space="0" w:color="auto"/>
            </w:tcBorders>
            <w:vAlign w:val="center"/>
            <w:hideMark/>
          </w:tcPr>
          <w:p w14:paraId="46DB2E33" w14:textId="77777777" w:rsidR="0071081F" w:rsidRPr="0071081F" w:rsidRDefault="0071081F" w:rsidP="0071081F">
            <w:pPr>
              <w:spacing w:after="0"/>
              <w:rPr>
                <w:sz w:val="24"/>
                <w:szCs w:val="24"/>
              </w:rPr>
            </w:pPr>
            <w:r w:rsidRPr="0071081F">
              <w:rPr>
                <w:sz w:val="24"/>
                <w:szCs w:val="24"/>
              </w:rPr>
              <w:t>H9</w:t>
            </w:r>
          </w:p>
        </w:tc>
        <w:tc>
          <w:tcPr>
            <w:tcW w:w="0" w:type="auto"/>
            <w:tcBorders>
              <w:bottom w:val="single" w:sz="4" w:space="0" w:color="auto"/>
            </w:tcBorders>
            <w:vAlign w:val="center"/>
            <w:hideMark/>
          </w:tcPr>
          <w:p w14:paraId="61882514" w14:textId="77777777" w:rsidR="0071081F" w:rsidRPr="0071081F" w:rsidRDefault="0071081F" w:rsidP="0071081F">
            <w:pPr>
              <w:spacing w:after="0"/>
              <w:rPr>
                <w:sz w:val="24"/>
                <w:szCs w:val="24"/>
              </w:rPr>
            </w:pPr>
            <w:r w:rsidRPr="0071081F">
              <w:rPr>
                <w:sz w:val="24"/>
                <w:szCs w:val="24"/>
              </w:rPr>
              <w:t>Leadership Style (LS) significantly influences Sustainable Manufacturing Performance (SMP).</w:t>
            </w:r>
          </w:p>
        </w:tc>
        <w:tc>
          <w:tcPr>
            <w:tcW w:w="0" w:type="auto"/>
            <w:tcBorders>
              <w:bottom w:val="single" w:sz="4" w:space="0" w:color="auto"/>
            </w:tcBorders>
            <w:vAlign w:val="center"/>
            <w:hideMark/>
          </w:tcPr>
          <w:p w14:paraId="3F036634" w14:textId="77777777" w:rsidR="0071081F" w:rsidRPr="0071081F" w:rsidRDefault="0071081F" w:rsidP="0071081F">
            <w:pPr>
              <w:spacing w:after="0"/>
              <w:rPr>
                <w:sz w:val="24"/>
                <w:szCs w:val="24"/>
              </w:rPr>
            </w:pPr>
            <w:r w:rsidRPr="0071081F">
              <w:rPr>
                <w:sz w:val="24"/>
                <w:szCs w:val="24"/>
              </w:rPr>
              <w:t>0.241</w:t>
            </w:r>
          </w:p>
        </w:tc>
        <w:tc>
          <w:tcPr>
            <w:tcW w:w="0" w:type="auto"/>
            <w:tcBorders>
              <w:bottom w:val="single" w:sz="4" w:space="0" w:color="auto"/>
            </w:tcBorders>
            <w:vAlign w:val="center"/>
            <w:hideMark/>
          </w:tcPr>
          <w:p w14:paraId="0074AEFD" w14:textId="77777777" w:rsidR="0071081F" w:rsidRPr="0071081F" w:rsidRDefault="0071081F" w:rsidP="0071081F">
            <w:pPr>
              <w:spacing w:after="0"/>
              <w:rPr>
                <w:sz w:val="24"/>
                <w:szCs w:val="24"/>
              </w:rPr>
            </w:pPr>
            <w:r w:rsidRPr="0071081F">
              <w:rPr>
                <w:sz w:val="24"/>
                <w:szCs w:val="24"/>
              </w:rPr>
              <w:t>4.201</w:t>
            </w:r>
          </w:p>
        </w:tc>
        <w:tc>
          <w:tcPr>
            <w:tcW w:w="0" w:type="auto"/>
            <w:tcBorders>
              <w:bottom w:val="single" w:sz="4" w:space="0" w:color="auto"/>
            </w:tcBorders>
            <w:vAlign w:val="center"/>
            <w:hideMark/>
          </w:tcPr>
          <w:p w14:paraId="1769C813" w14:textId="77777777" w:rsidR="0071081F" w:rsidRPr="0071081F" w:rsidRDefault="0071081F" w:rsidP="0071081F">
            <w:pPr>
              <w:spacing w:after="0"/>
              <w:rPr>
                <w:sz w:val="24"/>
                <w:szCs w:val="24"/>
              </w:rPr>
            </w:pPr>
            <w:r w:rsidRPr="0071081F">
              <w:rPr>
                <w:sz w:val="24"/>
                <w:szCs w:val="24"/>
              </w:rPr>
              <w:t>&lt;0.001</w:t>
            </w:r>
          </w:p>
        </w:tc>
        <w:tc>
          <w:tcPr>
            <w:tcW w:w="0" w:type="auto"/>
            <w:tcBorders>
              <w:bottom w:val="single" w:sz="4" w:space="0" w:color="auto"/>
            </w:tcBorders>
            <w:vAlign w:val="center"/>
            <w:hideMark/>
          </w:tcPr>
          <w:p w14:paraId="502D422A" w14:textId="77777777" w:rsidR="0071081F" w:rsidRPr="0071081F" w:rsidRDefault="0071081F" w:rsidP="0071081F">
            <w:pPr>
              <w:spacing w:after="0"/>
              <w:rPr>
                <w:sz w:val="24"/>
                <w:szCs w:val="24"/>
              </w:rPr>
            </w:pPr>
            <w:r w:rsidRPr="0071081F">
              <w:rPr>
                <w:sz w:val="24"/>
                <w:szCs w:val="24"/>
              </w:rPr>
              <w:t>Accepted</w:t>
            </w:r>
          </w:p>
        </w:tc>
      </w:tr>
    </w:tbl>
    <w:p w14:paraId="1172277C" w14:textId="64810530" w:rsidR="00547D60" w:rsidRPr="00972632" w:rsidRDefault="00972632" w:rsidP="00972632">
      <w:pPr>
        <w:spacing w:after="0" w:line="480" w:lineRule="auto"/>
        <w:rPr>
          <w:sz w:val="24"/>
          <w:szCs w:val="24"/>
          <w:lang w:val="en-GB"/>
        </w:rPr>
      </w:pPr>
      <w:r>
        <w:rPr>
          <w:sz w:val="24"/>
          <w:szCs w:val="24"/>
          <w:lang w:val="en-GB"/>
        </w:rPr>
        <w:t>Source: Survey Data (2025)</w:t>
      </w:r>
    </w:p>
    <w:p w14:paraId="58274761" w14:textId="2D4A5E29" w:rsidR="0071081F" w:rsidRPr="0071081F" w:rsidRDefault="0071081F" w:rsidP="00DE79BF">
      <w:pPr>
        <w:spacing w:before="240" w:after="240"/>
        <w:rPr>
          <w:sz w:val="24"/>
          <w:szCs w:val="24"/>
        </w:rPr>
      </w:pPr>
      <w:r w:rsidRPr="0071081F">
        <w:rPr>
          <w:sz w:val="24"/>
          <w:szCs w:val="24"/>
        </w:rPr>
        <w:t xml:space="preserve">Table </w:t>
      </w:r>
      <w:r>
        <w:rPr>
          <w:sz w:val="24"/>
          <w:szCs w:val="24"/>
        </w:rPr>
        <w:t>7</w:t>
      </w:r>
      <w:r w:rsidRPr="0071081F">
        <w:rPr>
          <w:sz w:val="24"/>
          <w:szCs w:val="24"/>
        </w:rPr>
        <w:t xml:space="preserve"> </w:t>
      </w:r>
      <w:proofErr w:type="spellStart"/>
      <w:r w:rsidRPr="0071081F">
        <w:rPr>
          <w:sz w:val="24"/>
          <w:szCs w:val="24"/>
        </w:rPr>
        <w:t>summarises</w:t>
      </w:r>
      <w:proofErr w:type="spellEnd"/>
      <w:r w:rsidRPr="0071081F">
        <w:rPr>
          <w:sz w:val="24"/>
          <w:szCs w:val="24"/>
        </w:rPr>
        <w:t xml:space="preserve"> the results of the direct effect hypotheses examining the relationships between technology strategy dimensions, Leadership Style, and Sustainable Manufacturing Performance (SMP). The findings indicate that five hypotheses were supported, while four hypotheses were rejected.</w:t>
      </w:r>
    </w:p>
    <w:p w14:paraId="33BFE965" w14:textId="6FA5235B" w:rsidR="0071081F" w:rsidRPr="0071081F" w:rsidRDefault="0071081F" w:rsidP="00DE79BF">
      <w:pPr>
        <w:spacing w:before="240" w:after="240"/>
        <w:rPr>
          <w:sz w:val="24"/>
          <w:szCs w:val="24"/>
        </w:rPr>
      </w:pPr>
      <w:r w:rsidRPr="0071081F">
        <w:rPr>
          <w:sz w:val="24"/>
          <w:szCs w:val="24"/>
        </w:rPr>
        <w:t>Among the significant predictors, Leadership Style (LS) demonstrated the strongest positive effect on SMP (β = 0.241, p &lt; 0.001), indicating that effective leadership practices contribute significantly towards improving sustainable manufacturing outcomes. Technological Investments (TI) also showed a significant positive influence on SMP (β = 0.240, p &lt; 0.001), highlighting the importance of investing in technological capabilities to support sustainability initiatives.</w:t>
      </w:r>
    </w:p>
    <w:p w14:paraId="4394AE02" w14:textId="477BB395" w:rsidR="0071081F" w:rsidRPr="0071081F" w:rsidRDefault="0071081F" w:rsidP="00DE79BF">
      <w:pPr>
        <w:spacing w:before="240" w:after="240"/>
        <w:rPr>
          <w:sz w:val="24"/>
          <w:szCs w:val="24"/>
        </w:rPr>
      </w:pPr>
      <w:r w:rsidRPr="0071081F">
        <w:rPr>
          <w:sz w:val="24"/>
          <w:szCs w:val="24"/>
        </w:rPr>
        <w:t xml:space="preserve">Other significant technology strategy dimensions included </w:t>
      </w:r>
      <w:proofErr w:type="spellStart"/>
      <w:r w:rsidRPr="0071081F">
        <w:rPr>
          <w:sz w:val="24"/>
          <w:szCs w:val="24"/>
        </w:rPr>
        <w:t>Microfactories</w:t>
      </w:r>
      <w:proofErr w:type="spellEnd"/>
      <w:r w:rsidRPr="0071081F">
        <w:rPr>
          <w:sz w:val="24"/>
          <w:szCs w:val="24"/>
        </w:rPr>
        <w:t xml:space="preserve"> (MF), Digital Manufacturing Technology Integration (DMTI), Manufacturing Process Technology Innovations (MPTI), and Manufacturing System and Process Design Technologies (MSPD). These findings suggest that adopting advanced manufacturing technologies and improving technological integration can enhance sustainable manufacturing performance.</w:t>
      </w:r>
    </w:p>
    <w:p w14:paraId="759FF606" w14:textId="77777777" w:rsidR="0071081F" w:rsidRPr="0071081F" w:rsidRDefault="0071081F" w:rsidP="00DE79BF">
      <w:pPr>
        <w:spacing w:before="240" w:after="240"/>
        <w:rPr>
          <w:sz w:val="24"/>
          <w:szCs w:val="24"/>
        </w:rPr>
      </w:pPr>
      <w:r w:rsidRPr="0071081F">
        <w:rPr>
          <w:sz w:val="24"/>
          <w:szCs w:val="24"/>
        </w:rPr>
        <w:t>However, Pioneer–Follower Posture (PFP), Intensity of Product Upgrades (IPU), and Product and Process Technology (PPT) did not demonstrate significant relationships with SMP. Although PFP showed a positive coefficient, the effect was not statistically significant. Similarly, IPU and PPT did not provide significant explanatory contributions after considering the combined influence of other variables in the model.</w:t>
      </w:r>
    </w:p>
    <w:p w14:paraId="46FDA607" w14:textId="2EC3CD58" w:rsidR="00040D4E" w:rsidRDefault="00040D4E" w:rsidP="00B65AC7">
      <w:pPr>
        <w:spacing w:after="0" w:line="480" w:lineRule="auto"/>
        <w:rPr>
          <w:sz w:val="24"/>
          <w:szCs w:val="24"/>
          <w:lang w:val="en-GB"/>
        </w:rPr>
      </w:pPr>
    </w:p>
    <w:p w14:paraId="412E9BA6" w14:textId="486BBBBD" w:rsidR="0071081F" w:rsidRPr="00DE79BF" w:rsidRDefault="00DE79BF" w:rsidP="00DE79BF">
      <w:pPr>
        <w:spacing w:after="0" w:line="480" w:lineRule="auto"/>
        <w:jc w:val="left"/>
        <w:rPr>
          <w:b/>
          <w:bCs/>
          <w:sz w:val="28"/>
          <w:szCs w:val="28"/>
          <w:lang w:val="en-GB"/>
        </w:rPr>
      </w:pPr>
      <w:r w:rsidRPr="00DE79BF">
        <w:rPr>
          <w:b/>
          <w:bCs/>
          <w:sz w:val="28"/>
          <w:szCs w:val="28"/>
        </w:rPr>
        <w:t>5.6.2 SUMMARY OF MEDIATION HYPOTHESIS TESTING USING HAYES PROCESS MACRO MODEL 4</w:t>
      </w:r>
    </w:p>
    <w:p w14:paraId="52767FC1" w14:textId="7542A8F6" w:rsidR="00605047" w:rsidRPr="00605047" w:rsidRDefault="00605047" w:rsidP="00605047">
      <w:pPr>
        <w:pStyle w:val="Caption"/>
        <w:keepNext/>
        <w:rPr>
          <w:color w:val="auto"/>
          <w:sz w:val="24"/>
          <w:szCs w:val="24"/>
        </w:rPr>
      </w:pPr>
      <w:r w:rsidRPr="00605047">
        <w:rPr>
          <w:color w:val="auto"/>
          <w:sz w:val="24"/>
          <w:szCs w:val="24"/>
        </w:rPr>
        <w:t xml:space="preserve">Table </w:t>
      </w:r>
      <w:r w:rsidRPr="00605047">
        <w:rPr>
          <w:color w:val="auto"/>
          <w:sz w:val="24"/>
          <w:szCs w:val="24"/>
        </w:rPr>
        <w:fldChar w:fldCharType="begin"/>
      </w:r>
      <w:r w:rsidRPr="00605047">
        <w:rPr>
          <w:color w:val="auto"/>
          <w:sz w:val="24"/>
          <w:szCs w:val="24"/>
        </w:rPr>
        <w:instrText xml:space="preserve"> SEQ Table \* ARABIC </w:instrText>
      </w:r>
      <w:r w:rsidRPr="00605047">
        <w:rPr>
          <w:color w:val="auto"/>
          <w:sz w:val="24"/>
          <w:szCs w:val="24"/>
        </w:rPr>
        <w:fldChar w:fldCharType="separate"/>
      </w:r>
      <w:r w:rsidRPr="00605047">
        <w:rPr>
          <w:noProof/>
          <w:color w:val="auto"/>
          <w:sz w:val="24"/>
          <w:szCs w:val="24"/>
        </w:rPr>
        <w:t>8</w:t>
      </w:r>
      <w:r w:rsidRPr="00605047">
        <w:rPr>
          <w:color w:val="auto"/>
          <w:sz w:val="24"/>
          <w:szCs w:val="24"/>
        </w:rPr>
        <w:fldChar w:fldCharType="end"/>
      </w:r>
      <w:r w:rsidRPr="00605047">
        <w:rPr>
          <w:color w:val="auto"/>
          <w:sz w:val="24"/>
          <w:szCs w:val="24"/>
        </w:rPr>
        <w:t xml:space="preserve"> Mediation Hypothesis </w:t>
      </w:r>
      <w:proofErr w:type="gramStart"/>
      <w:r w:rsidRPr="00605047">
        <w:rPr>
          <w:color w:val="auto"/>
          <w:sz w:val="24"/>
          <w:szCs w:val="24"/>
        </w:rPr>
        <w:t>Summary(</w:t>
      </w:r>
      <w:proofErr w:type="gramEnd"/>
      <w:r w:rsidRPr="00605047">
        <w:rPr>
          <w:color w:val="auto"/>
          <w:sz w:val="24"/>
          <w:szCs w:val="24"/>
        </w:rPr>
        <w:t>HAYES Process Model 4)</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09"/>
        <w:gridCol w:w="3534"/>
        <w:gridCol w:w="1560"/>
        <w:gridCol w:w="894"/>
        <w:gridCol w:w="2314"/>
        <w:gridCol w:w="1062"/>
      </w:tblGrid>
      <w:tr w:rsidR="0071081F" w:rsidRPr="0071081F" w14:paraId="5D0020AE" w14:textId="77777777" w:rsidTr="0071081F">
        <w:trPr>
          <w:tblHeader/>
          <w:tblCellSpacing w:w="15" w:type="dxa"/>
        </w:trPr>
        <w:tc>
          <w:tcPr>
            <w:tcW w:w="0" w:type="auto"/>
            <w:tcBorders>
              <w:top w:val="single" w:sz="4" w:space="0" w:color="auto"/>
              <w:bottom w:val="single" w:sz="4" w:space="0" w:color="auto"/>
            </w:tcBorders>
            <w:vAlign w:val="center"/>
            <w:hideMark/>
          </w:tcPr>
          <w:p w14:paraId="47B7A6D7" w14:textId="77777777" w:rsidR="0071081F" w:rsidRPr="0071081F" w:rsidRDefault="0071081F" w:rsidP="0071081F">
            <w:pPr>
              <w:spacing w:after="0" w:line="480" w:lineRule="auto"/>
              <w:rPr>
                <w:b/>
                <w:bCs/>
                <w:sz w:val="24"/>
                <w:szCs w:val="24"/>
              </w:rPr>
            </w:pPr>
            <w:r w:rsidRPr="0071081F">
              <w:rPr>
                <w:b/>
                <w:bCs/>
                <w:sz w:val="24"/>
                <w:szCs w:val="24"/>
              </w:rPr>
              <w:t>Hypothesis</w:t>
            </w:r>
          </w:p>
        </w:tc>
        <w:tc>
          <w:tcPr>
            <w:tcW w:w="0" w:type="auto"/>
            <w:tcBorders>
              <w:top w:val="single" w:sz="4" w:space="0" w:color="auto"/>
              <w:bottom w:val="single" w:sz="4" w:space="0" w:color="auto"/>
            </w:tcBorders>
            <w:vAlign w:val="center"/>
            <w:hideMark/>
          </w:tcPr>
          <w:p w14:paraId="6B885959" w14:textId="77777777" w:rsidR="0071081F" w:rsidRPr="0071081F" w:rsidRDefault="0071081F" w:rsidP="0071081F">
            <w:pPr>
              <w:spacing w:after="0" w:line="480" w:lineRule="auto"/>
              <w:rPr>
                <w:b/>
                <w:bCs/>
                <w:sz w:val="24"/>
                <w:szCs w:val="24"/>
              </w:rPr>
            </w:pPr>
            <w:r w:rsidRPr="0071081F">
              <w:rPr>
                <w:b/>
                <w:bCs/>
                <w:sz w:val="24"/>
                <w:szCs w:val="24"/>
              </w:rPr>
              <w:t>Mediation Relationship</w:t>
            </w:r>
          </w:p>
        </w:tc>
        <w:tc>
          <w:tcPr>
            <w:tcW w:w="0" w:type="auto"/>
            <w:tcBorders>
              <w:top w:val="single" w:sz="4" w:space="0" w:color="auto"/>
              <w:bottom w:val="single" w:sz="4" w:space="0" w:color="auto"/>
            </w:tcBorders>
            <w:vAlign w:val="center"/>
            <w:hideMark/>
          </w:tcPr>
          <w:p w14:paraId="68D8A3F7" w14:textId="77777777" w:rsidR="0071081F" w:rsidRPr="0071081F" w:rsidRDefault="0071081F" w:rsidP="0071081F">
            <w:pPr>
              <w:spacing w:after="0" w:line="480" w:lineRule="auto"/>
              <w:rPr>
                <w:b/>
                <w:bCs/>
                <w:sz w:val="24"/>
                <w:szCs w:val="24"/>
              </w:rPr>
            </w:pPr>
            <w:r w:rsidRPr="0071081F">
              <w:rPr>
                <w:b/>
                <w:bCs/>
                <w:sz w:val="24"/>
                <w:szCs w:val="24"/>
              </w:rPr>
              <w:t>Indirect Effect</w:t>
            </w:r>
          </w:p>
        </w:tc>
        <w:tc>
          <w:tcPr>
            <w:tcW w:w="0" w:type="auto"/>
            <w:tcBorders>
              <w:top w:val="single" w:sz="4" w:space="0" w:color="auto"/>
              <w:bottom w:val="single" w:sz="4" w:space="0" w:color="auto"/>
            </w:tcBorders>
            <w:vAlign w:val="center"/>
            <w:hideMark/>
          </w:tcPr>
          <w:p w14:paraId="5A1725A7" w14:textId="77777777" w:rsidR="0071081F" w:rsidRPr="0071081F" w:rsidRDefault="0071081F" w:rsidP="0071081F">
            <w:pPr>
              <w:spacing w:after="0" w:line="480" w:lineRule="auto"/>
              <w:rPr>
                <w:b/>
                <w:bCs/>
                <w:sz w:val="24"/>
                <w:szCs w:val="24"/>
              </w:rPr>
            </w:pPr>
            <w:r w:rsidRPr="0071081F">
              <w:rPr>
                <w:b/>
                <w:bCs/>
                <w:sz w:val="24"/>
                <w:szCs w:val="24"/>
              </w:rPr>
              <w:t>Boot SE</w:t>
            </w:r>
          </w:p>
        </w:tc>
        <w:tc>
          <w:tcPr>
            <w:tcW w:w="0" w:type="auto"/>
            <w:tcBorders>
              <w:top w:val="single" w:sz="4" w:space="0" w:color="auto"/>
              <w:bottom w:val="single" w:sz="4" w:space="0" w:color="auto"/>
            </w:tcBorders>
            <w:vAlign w:val="center"/>
            <w:hideMark/>
          </w:tcPr>
          <w:p w14:paraId="450C593A" w14:textId="77777777" w:rsidR="0071081F" w:rsidRPr="0071081F" w:rsidRDefault="0071081F" w:rsidP="0071081F">
            <w:pPr>
              <w:spacing w:after="0" w:line="480" w:lineRule="auto"/>
              <w:rPr>
                <w:b/>
                <w:bCs/>
                <w:sz w:val="24"/>
                <w:szCs w:val="24"/>
              </w:rPr>
            </w:pPr>
            <w:r w:rsidRPr="0071081F">
              <w:rPr>
                <w:b/>
                <w:bCs/>
                <w:sz w:val="24"/>
                <w:szCs w:val="24"/>
              </w:rPr>
              <w:t>95% Bootstrapped CI</w:t>
            </w:r>
          </w:p>
        </w:tc>
        <w:tc>
          <w:tcPr>
            <w:tcW w:w="0" w:type="auto"/>
            <w:tcBorders>
              <w:top w:val="single" w:sz="4" w:space="0" w:color="auto"/>
              <w:bottom w:val="single" w:sz="4" w:space="0" w:color="auto"/>
            </w:tcBorders>
            <w:vAlign w:val="center"/>
            <w:hideMark/>
          </w:tcPr>
          <w:p w14:paraId="05C7CC95" w14:textId="77777777" w:rsidR="0071081F" w:rsidRPr="0071081F" w:rsidRDefault="0071081F" w:rsidP="0071081F">
            <w:pPr>
              <w:spacing w:after="0" w:line="480" w:lineRule="auto"/>
              <w:rPr>
                <w:b/>
                <w:bCs/>
                <w:sz w:val="24"/>
                <w:szCs w:val="24"/>
              </w:rPr>
            </w:pPr>
            <w:r w:rsidRPr="0071081F">
              <w:rPr>
                <w:b/>
                <w:bCs/>
                <w:sz w:val="24"/>
                <w:szCs w:val="24"/>
              </w:rPr>
              <w:t>Result</w:t>
            </w:r>
          </w:p>
        </w:tc>
      </w:tr>
      <w:tr w:rsidR="0071081F" w:rsidRPr="0071081F" w14:paraId="370C961F" w14:textId="77777777">
        <w:trPr>
          <w:tblCellSpacing w:w="15" w:type="dxa"/>
        </w:trPr>
        <w:tc>
          <w:tcPr>
            <w:tcW w:w="0" w:type="auto"/>
            <w:vAlign w:val="center"/>
            <w:hideMark/>
          </w:tcPr>
          <w:p w14:paraId="68F2A806" w14:textId="77777777" w:rsidR="0071081F" w:rsidRPr="0071081F" w:rsidRDefault="0071081F" w:rsidP="0071081F">
            <w:pPr>
              <w:spacing w:after="0" w:line="480" w:lineRule="auto"/>
              <w:rPr>
                <w:sz w:val="24"/>
                <w:szCs w:val="24"/>
              </w:rPr>
            </w:pPr>
            <w:r w:rsidRPr="0071081F">
              <w:rPr>
                <w:sz w:val="24"/>
                <w:szCs w:val="24"/>
              </w:rPr>
              <w:t>H9a</w:t>
            </w:r>
          </w:p>
        </w:tc>
        <w:tc>
          <w:tcPr>
            <w:tcW w:w="0" w:type="auto"/>
            <w:vAlign w:val="center"/>
            <w:hideMark/>
          </w:tcPr>
          <w:p w14:paraId="4024CED6" w14:textId="77777777" w:rsidR="0071081F" w:rsidRPr="0071081F" w:rsidRDefault="0071081F" w:rsidP="0071081F">
            <w:pPr>
              <w:spacing w:after="0" w:line="480" w:lineRule="auto"/>
              <w:rPr>
                <w:sz w:val="24"/>
                <w:szCs w:val="24"/>
              </w:rPr>
            </w:pPr>
            <w:r w:rsidRPr="0071081F">
              <w:rPr>
                <w:sz w:val="24"/>
                <w:szCs w:val="24"/>
              </w:rPr>
              <w:t>PFP → Leadership Style → SMP</w:t>
            </w:r>
          </w:p>
        </w:tc>
        <w:tc>
          <w:tcPr>
            <w:tcW w:w="0" w:type="auto"/>
            <w:vAlign w:val="center"/>
            <w:hideMark/>
          </w:tcPr>
          <w:p w14:paraId="5F1FCDB8" w14:textId="77777777" w:rsidR="0071081F" w:rsidRPr="0071081F" w:rsidRDefault="0071081F" w:rsidP="0071081F">
            <w:pPr>
              <w:spacing w:after="0" w:line="480" w:lineRule="auto"/>
              <w:rPr>
                <w:sz w:val="24"/>
                <w:szCs w:val="24"/>
              </w:rPr>
            </w:pPr>
            <w:r w:rsidRPr="0071081F">
              <w:rPr>
                <w:sz w:val="24"/>
                <w:szCs w:val="24"/>
              </w:rPr>
              <w:t>0.4381</w:t>
            </w:r>
          </w:p>
        </w:tc>
        <w:tc>
          <w:tcPr>
            <w:tcW w:w="0" w:type="auto"/>
            <w:vAlign w:val="center"/>
            <w:hideMark/>
          </w:tcPr>
          <w:p w14:paraId="6223EDD9" w14:textId="77777777" w:rsidR="0071081F" w:rsidRPr="0071081F" w:rsidRDefault="0071081F" w:rsidP="0071081F">
            <w:pPr>
              <w:spacing w:after="0" w:line="480" w:lineRule="auto"/>
              <w:rPr>
                <w:sz w:val="24"/>
                <w:szCs w:val="24"/>
              </w:rPr>
            </w:pPr>
            <w:r w:rsidRPr="0071081F">
              <w:rPr>
                <w:sz w:val="24"/>
                <w:szCs w:val="24"/>
              </w:rPr>
              <w:t>0.0656</w:t>
            </w:r>
          </w:p>
        </w:tc>
        <w:tc>
          <w:tcPr>
            <w:tcW w:w="0" w:type="auto"/>
            <w:vAlign w:val="center"/>
            <w:hideMark/>
          </w:tcPr>
          <w:p w14:paraId="17688E27" w14:textId="77777777" w:rsidR="0071081F" w:rsidRPr="0071081F" w:rsidRDefault="0071081F" w:rsidP="0071081F">
            <w:pPr>
              <w:spacing w:after="0" w:line="480" w:lineRule="auto"/>
              <w:rPr>
                <w:sz w:val="24"/>
                <w:szCs w:val="24"/>
              </w:rPr>
            </w:pPr>
            <w:r w:rsidRPr="0071081F">
              <w:rPr>
                <w:sz w:val="24"/>
                <w:szCs w:val="24"/>
              </w:rPr>
              <w:t>[0.3163, 0.5729]</w:t>
            </w:r>
          </w:p>
        </w:tc>
        <w:tc>
          <w:tcPr>
            <w:tcW w:w="0" w:type="auto"/>
            <w:vAlign w:val="center"/>
            <w:hideMark/>
          </w:tcPr>
          <w:p w14:paraId="21222C5C" w14:textId="77777777" w:rsidR="0071081F" w:rsidRPr="0071081F" w:rsidRDefault="0071081F" w:rsidP="0071081F">
            <w:pPr>
              <w:spacing w:after="0" w:line="480" w:lineRule="auto"/>
              <w:rPr>
                <w:sz w:val="24"/>
                <w:szCs w:val="24"/>
              </w:rPr>
            </w:pPr>
            <w:r w:rsidRPr="0071081F">
              <w:rPr>
                <w:sz w:val="24"/>
                <w:szCs w:val="24"/>
              </w:rPr>
              <w:t>Supported</w:t>
            </w:r>
          </w:p>
        </w:tc>
      </w:tr>
      <w:tr w:rsidR="0071081F" w:rsidRPr="0071081F" w14:paraId="6413A9DA" w14:textId="77777777">
        <w:trPr>
          <w:tblCellSpacing w:w="15" w:type="dxa"/>
        </w:trPr>
        <w:tc>
          <w:tcPr>
            <w:tcW w:w="0" w:type="auto"/>
            <w:vAlign w:val="center"/>
            <w:hideMark/>
          </w:tcPr>
          <w:p w14:paraId="78E7EEC9" w14:textId="77777777" w:rsidR="0071081F" w:rsidRPr="0071081F" w:rsidRDefault="0071081F" w:rsidP="0071081F">
            <w:pPr>
              <w:spacing w:after="0" w:line="480" w:lineRule="auto"/>
              <w:rPr>
                <w:sz w:val="24"/>
                <w:szCs w:val="24"/>
              </w:rPr>
            </w:pPr>
            <w:r w:rsidRPr="0071081F">
              <w:rPr>
                <w:sz w:val="24"/>
                <w:szCs w:val="24"/>
              </w:rPr>
              <w:t>H9b</w:t>
            </w:r>
          </w:p>
        </w:tc>
        <w:tc>
          <w:tcPr>
            <w:tcW w:w="0" w:type="auto"/>
            <w:vAlign w:val="center"/>
            <w:hideMark/>
          </w:tcPr>
          <w:p w14:paraId="74C098D1" w14:textId="77777777" w:rsidR="0071081F" w:rsidRPr="0071081F" w:rsidRDefault="0071081F" w:rsidP="0071081F">
            <w:pPr>
              <w:spacing w:after="0" w:line="480" w:lineRule="auto"/>
              <w:rPr>
                <w:sz w:val="24"/>
                <w:szCs w:val="24"/>
              </w:rPr>
            </w:pPr>
            <w:r w:rsidRPr="0071081F">
              <w:rPr>
                <w:sz w:val="24"/>
                <w:szCs w:val="24"/>
              </w:rPr>
              <w:t>TI → Leadership Style → SMP</w:t>
            </w:r>
          </w:p>
        </w:tc>
        <w:tc>
          <w:tcPr>
            <w:tcW w:w="0" w:type="auto"/>
            <w:vAlign w:val="center"/>
            <w:hideMark/>
          </w:tcPr>
          <w:p w14:paraId="1BB37740" w14:textId="77777777" w:rsidR="0071081F" w:rsidRPr="0071081F" w:rsidRDefault="0071081F" w:rsidP="0071081F">
            <w:pPr>
              <w:spacing w:after="0" w:line="480" w:lineRule="auto"/>
              <w:rPr>
                <w:sz w:val="24"/>
                <w:szCs w:val="24"/>
              </w:rPr>
            </w:pPr>
            <w:r w:rsidRPr="0071081F">
              <w:rPr>
                <w:sz w:val="24"/>
                <w:szCs w:val="24"/>
              </w:rPr>
              <w:t>0.3887</w:t>
            </w:r>
          </w:p>
        </w:tc>
        <w:tc>
          <w:tcPr>
            <w:tcW w:w="0" w:type="auto"/>
            <w:vAlign w:val="center"/>
            <w:hideMark/>
          </w:tcPr>
          <w:p w14:paraId="4EF28653" w14:textId="77777777" w:rsidR="0071081F" w:rsidRPr="0071081F" w:rsidRDefault="0071081F" w:rsidP="0071081F">
            <w:pPr>
              <w:spacing w:after="0" w:line="480" w:lineRule="auto"/>
              <w:rPr>
                <w:sz w:val="24"/>
                <w:szCs w:val="24"/>
              </w:rPr>
            </w:pPr>
            <w:r w:rsidRPr="0071081F">
              <w:rPr>
                <w:sz w:val="24"/>
                <w:szCs w:val="24"/>
              </w:rPr>
              <w:t>0.0475</w:t>
            </w:r>
          </w:p>
        </w:tc>
        <w:tc>
          <w:tcPr>
            <w:tcW w:w="0" w:type="auto"/>
            <w:vAlign w:val="center"/>
            <w:hideMark/>
          </w:tcPr>
          <w:p w14:paraId="49180135" w14:textId="77777777" w:rsidR="0071081F" w:rsidRPr="0071081F" w:rsidRDefault="0071081F" w:rsidP="0071081F">
            <w:pPr>
              <w:spacing w:after="0" w:line="480" w:lineRule="auto"/>
              <w:rPr>
                <w:sz w:val="24"/>
                <w:szCs w:val="24"/>
              </w:rPr>
            </w:pPr>
            <w:r w:rsidRPr="0071081F">
              <w:rPr>
                <w:sz w:val="24"/>
                <w:szCs w:val="24"/>
              </w:rPr>
              <w:t>[0.3026, 0.4939]</w:t>
            </w:r>
          </w:p>
        </w:tc>
        <w:tc>
          <w:tcPr>
            <w:tcW w:w="0" w:type="auto"/>
            <w:vAlign w:val="center"/>
            <w:hideMark/>
          </w:tcPr>
          <w:p w14:paraId="38F32D0A" w14:textId="77777777" w:rsidR="0071081F" w:rsidRPr="0071081F" w:rsidRDefault="0071081F" w:rsidP="0071081F">
            <w:pPr>
              <w:spacing w:after="0" w:line="480" w:lineRule="auto"/>
              <w:rPr>
                <w:sz w:val="24"/>
                <w:szCs w:val="24"/>
              </w:rPr>
            </w:pPr>
            <w:r w:rsidRPr="0071081F">
              <w:rPr>
                <w:sz w:val="24"/>
                <w:szCs w:val="24"/>
              </w:rPr>
              <w:t>Supported</w:t>
            </w:r>
          </w:p>
        </w:tc>
      </w:tr>
      <w:tr w:rsidR="0071081F" w:rsidRPr="0071081F" w14:paraId="7AA93444" w14:textId="77777777">
        <w:trPr>
          <w:tblCellSpacing w:w="15" w:type="dxa"/>
        </w:trPr>
        <w:tc>
          <w:tcPr>
            <w:tcW w:w="0" w:type="auto"/>
            <w:vAlign w:val="center"/>
            <w:hideMark/>
          </w:tcPr>
          <w:p w14:paraId="61680C80" w14:textId="77777777" w:rsidR="0071081F" w:rsidRPr="0071081F" w:rsidRDefault="0071081F" w:rsidP="0071081F">
            <w:pPr>
              <w:spacing w:after="0" w:line="480" w:lineRule="auto"/>
              <w:rPr>
                <w:sz w:val="24"/>
                <w:szCs w:val="24"/>
              </w:rPr>
            </w:pPr>
            <w:r w:rsidRPr="0071081F">
              <w:rPr>
                <w:sz w:val="24"/>
                <w:szCs w:val="24"/>
              </w:rPr>
              <w:lastRenderedPageBreak/>
              <w:t>H9c</w:t>
            </w:r>
          </w:p>
        </w:tc>
        <w:tc>
          <w:tcPr>
            <w:tcW w:w="0" w:type="auto"/>
            <w:vAlign w:val="center"/>
            <w:hideMark/>
          </w:tcPr>
          <w:p w14:paraId="6FB47173" w14:textId="77777777" w:rsidR="0071081F" w:rsidRPr="0071081F" w:rsidRDefault="0071081F" w:rsidP="0071081F">
            <w:pPr>
              <w:spacing w:after="0" w:line="480" w:lineRule="auto"/>
              <w:rPr>
                <w:sz w:val="24"/>
                <w:szCs w:val="24"/>
              </w:rPr>
            </w:pPr>
            <w:r w:rsidRPr="0071081F">
              <w:rPr>
                <w:sz w:val="24"/>
                <w:szCs w:val="24"/>
              </w:rPr>
              <w:t>IPU → Leadership Style → SMP</w:t>
            </w:r>
          </w:p>
        </w:tc>
        <w:tc>
          <w:tcPr>
            <w:tcW w:w="0" w:type="auto"/>
            <w:vAlign w:val="center"/>
            <w:hideMark/>
          </w:tcPr>
          <w:p w14:paraId="787138A4" w14:textId="77777777" w:rsidR="0071081F" w:rsidRPr="0071081F" w:rsidRDefault="0071081F" w:rsidP="0071081F">
            <w:pPr>
              <w:spacing w:after="0" w:line="480" w:lineRule="auto"/>
              <w:rPr>
                <w:sz w:val="24"/>
                <w:szCs w:val="24"/>
              </w:rPr>
            </w:pPr>
            <w:r w:rsidRPr="0071081F">
              <w:rPr>
                <w:sz w:val="24"/>
                <w:szCs w:val="24"/>
              </w:rPr>
              <w:t>0.5999</w:t>
            </w:r>
          </w:p>
        </w:tc>
        <w:tc>
          <w:tcPr>
            <w:tcW w:w="0" w:type="auto"/>
            <w:vAlign w:val="center"/>
            <w:hideMark/>
          </w:tcPr>
          <w:p w14:paraId="2A96F320" w14:textId="77777777" w:rsidR="0071081F" w:rsidRPr="0071081F" w:rsidRDefault="0071081F" w:rsidP="0071081F">
            <w:pPr>
              <w:spacing w:after="0" w:line="480" w:lineRule="auto"/>
              <w:rPr>
                <w:sz w:val="24"/>
                <w:szCs w:val="24"/>
              </w:rPr>
            </w:pPr>
            <w:r w:rsidRPr="0071081F">
              <w:rPr>
                <w:sz w:val="24"/>
                <w:szCs w:val="24"/>
              </w:rPr>
              <w:t>0.0653</w:t>
            </w:r>
          </w:p>
        </w:tc>
        <w:tc>
          <w:tcPr>
            <w:tcW w:w="0" w:type="auto"/>
            <w:vAlign w:val="center"/>
            <w:hideMark/>
          </w:tcPr>
          <w:p w14:paraId="7BF9DCBA" w14:textId="77777777" w:rsidR="0071081F" w:rsidRPr="0071081F" w:rsidRDefault="0071081F" w:rsidP="0071081F">
            <w:pPr>
              <w:spacing w:after="0" w:line="480" w:lineRule="auto"/>
              <w:rPr>
                <w:sz w:val="24"/>
                <w:szCs w:val="24"/>
              </w:rPr>
            </w:pPr>
            <w:r w:rsidRPr="0071081F">
              <w:rPr>
                <w:sz w:val="24"/>
                <w:szCs w:val="24"/>
              </w:rPr>
              <w:t>[0.4844, 0.7392]</w:t>
            </w:r>
          </w:p>
        </w:tc>
        <w:tc>
          <w:tcPr>
            <w:tcW w:w="0" w:type="auto"/>
            <w:vAlign w:val="center"/>
            <w:hideMark/>
          </w:tcPr>
          <w:p w14:paraId="3B95BE10" w14:textId="77777777" w:rsidR="0071081F" w:rsidRPr="0071081F" w:rsidRDefault="0071081F" w:rsidP="0071081F">
            <w:pPr>
              <w:spacing w:after="0" w:line="480" w:lineRule="auto"/>
              <w:rPr>
                <w:sz w:val="24"/>
                <w:szCs w:val="24"/>
              </w:rPr>
            </w:pPr>
            <w:r w:rsidRPr="0071081F">
              <w:rPr>
                <w:sz w:val="24"/>
                <w:szCs w:val="24"/>
              </w:rPr>
              <w:t>Supported</w:t>
            </w:r>
          </w:p>
        </w:tc>
      </w:tr>
      <w:tr w:rsidR="0071081F" w:rsidRPr="0071081F" w14:paraId="43693CC2" w14:textId="77777777">
        <w:trPr>
          <w:tblCellSpacing w:w="15" w:type="dxa"/>
        </w:trPr>
        <w:tc>
          <w:tcPr>
            <w:tcW w:w="0" w:type="auto"/>
            <w:vAlign w:val="center"/>
            <w:hideMark/>
          </w:tcPr>
          <w:p w14:paraId="48470758" w14:textId="77777777" w:rsidR="0071081F" w:rsidRPr="0071081F" w:rsidRDefault="0071081F" w:rsidP="0071081F">
            <w:pPr>
              <w:spacing w:after="0" w:line="480" w:lineRule="auto"/>
              <w:rPr>
                <w:sz w:val="24"/>
                <w:szCs w:val="24"/>
              </w:rPr>
            </w:pPr>
            <w:r w:rsidRPr="0071081F">
              <w:rPr>
                <w:sz w:val="24"/>
                <w:szCs w:val="24"/>
              </w:rPr>
              <w:t>H9d</w:t>
            </w:r>
          </w:p>
        </w:tc>
        <w:tc>
          <w:tcPr>
            <w:tcW w:w="0" w:type="auto"/>
            <w:vAlign w:val="center"/>
            <w:hideMark/>
          </w:tcPr>
          <w:p w14:paraId="67F19182" w14:textId="77777777" w:rsidR="0071081F" w:rsidRPr="0071081F" w:rsidRDefault="0071081F" w:rsidP="0071081F">
            <w:pPr>
              <w:spacing w:after="0" w:line="480" w:lineRule="auto"/>
              <w:rPr>
                <w:sz w:val="24"/>
                <w:szCs w:val="24"/>
              </w:rPr>
            </w:pPr>
            <w:r w:rsidRPr="0071081F">
              <w:rPr>
                <w:sz w:val="24"/>
                <w:szCs w:val="24"/>
              </w:rPr>
              <w:t>PPT → Leadership Style → SMP</w:t>
            </w:r>
          </w:p>
        </w:tc>
        <w:tc>
          <w:tcPr>
            <w:tcW w:w="0" w:type="auto"/>
            <w:vAlign w:val="center"/>
            <w:hideMark/>
          </w:tcPr>
          <w:p w14:paraId="39682090" w14:textId="77777777" w:rsidR="0071081F" w:rsidRPr="0071081F" w:rsidRDefault="0071081F" w:rsidP="0071081F">
            <w:pPr>
              <w:spacing w:after="0" w:line="480" w:lineRule="auto"/>
              <w:rPr>
                <w:sz w:val="24"/>
                <w:szCs w:val="24"/>
              </w:rPr>
            </w:pPr>
            <w:r w:rsidRPr="0071081F">
              <w:rPr>
                <w:sz w:val="24"/>
                <w:szCs w:val="24"/>
              </w:rPr>
              <w:t>0.5471</w:t>
            </w:r>
          </w:p>
        </w:tc>
        <w:tc>
          <w:tcPr>
            <w:tcW w:w="0" w:type="auto"/>
            <w:vAlign w:val="center"/>
            <w:hideMark/>
          </w:tcPr>
          <w:p w14:paraId="6AB60336" w14:textId="77777777" w:rsidR="0071081F" w:rsidRPr="0071081F" w:rsidRDefault="0071081F" w:rsidP="0071081F">
            <w:pPr>
              <w:spacing w:after="0" w:line="480" w:lineRule="auto"/>
              <w:rPr>
                <w:sz w:val="24"/>
                <w:szCs w:val="24"/>
              </w:rPr>
            </w:pPr>
            <w:r w:rsidRPr="0071081F">
              <w:rPr>
                <w:sz w:val="24"/>
                <w:szCs w:val="24"/>
              </w:rPr>
              <w:t>0.0591</w:t>
            </w:r>
          </w:p>
        </w:tc>
        <w:tc>
          <w:tcPr>
            <w:tcW w:w="0" w:type="auto"/>
            <w:vAlign w:val="center"/>
            <w:hideMark/>
          </w:tcPr>
          <w:p w14:paraId="63A612B8" w14:textId="77777777" w:rsidR="0071081F" w:rsidRPr="0071081F" w:rsidRDefault="0071081F" w:rsidP="0071081F">
            <w:pPr>
              <w:spacing w:after="0" w:line="480" w:lineRule="auto"/>
              <w:rPr>
                <w:sz w:val="24"/>
                <w:szCs w:val="24"/>
              </w:rPr>
            </w:pPr>
            <w:r w:rsidRPr="0071081F">
              <w:rPr>
                <w:sz w:val="24"/>
                <w:szCs w:val="24"/>
              </w:rPr>
              <w:t>[0.4374, 0.6720]</w:t>
            </w:r>
          </w:p>
        </w:tc>
        <w:tc>
          <w:tcPr>
            <w:tcW w:w="0" w:type="auto"/>
            <w:vAlign w:val="center"/>
            <w:hideMark/>
          </w:tcPr>
          <w:p w14:paraId="75291075" w14:textId="77777777" w:rsidR="0071081F" w:rsidRPr="0071081F" w:rsidRDefault="0071081F" w:rsidP="0071081F">
            <w:pPr>
              <w:spacing w:after="0" w:line="480" w:lineRule="auto"/>
              <w:rPr>
                <w:sz w:val="24"/>
                <w:szCs w:val="24"/>
              </w:rPr>
            </w:pPr>
            <w:r w:rsidRPr="0071081F">
              <w:rPr>
                <w:sz w:val="24"/>
                <w:szCs w:val="24"/>
              </w:rPr>
              <w:t>Supported</w:t>
            </w:r>
          </w:p>
        </w:tc>
      </w:tr>
      <w:tr w:rsidR="0071081F" w:rsidRPr="0071081F" w14:paraId="53C6DB65" w14:textId="77777777">
        <w:trPr>
          <w:tblCellSpacing w:w="15" w:type="dxa"/>
        </w:trPr>
        <w:tc>
          <w:tcPr>
            <w:tcW w:w="0" w:type="auto"/>
            <w:vAlign w:val="center"/>
            <w:hideMark/>
          </w:tcPr>
          <w:p w14:paraId="374CB9D1" w14:textId="77777777" w:rsidR="0071081F" w:rsidRPr="0071081F" w:rsidRDefault="0071081F" w:rsidP="0071081F">
            <w:pPr>
              <w:spacing w:after="0" w:line="480" w:lineRule="auto"/>
              <w:rPr>
                <w:sz w:val="24"/>
                <w:szCs w:val="24"/>
              </w:rPr>
            </w:pPr>
            <w:r w:rsidRPr="0071081F">
              <w:rPr>
                <w:sz w:val="24"/>
                <w:szCs w:val="24"/>
              </w:rPr>
              <w:t>H9e</w:t>
            </w:r>
          </w:p>
        </w:tc>
        <w:tc>
          <w:tcPr>
            <w:tcW w:w="0" w:type="auto"/>
            <w:vAlign w:val="center"/>
            <w:hideMark/>
          </w:tcPr>
          <w:p w14:paraId="15814A84" w14:textId="77777777" w:rsidR="0071081F" w:rsidRPr="0071081F" w:rsidRDefault="0071081F" w:rsidP="0071081F">
            <w:pPr>
              <w:spacing w:after="0" w:line="480" w:lineRule="auto"/>
              <w:rPr>
                <w:sz w:val="24"/>
                <w:szCs w:val="24"/>
              </w:rPr>
            </w:pPr>
            <w:r w:rsidRPr="0071081F">
              <w:rPr>
                <w:sz w:val="24"/>
                <w:szCs w:val="24"/>
              </w:rPr>
              <w:t>MSPD → Leadership Style → SMP</w:t>
            </w:r>
          </w:p>
        </w:tc>
        <w:tc>
          <w:tcPr>
            <w:tcW w:w="0" w:type="auto"/>
            <w:vAlign w:val="center"/>
            <w:hideMark/>
          </w:tcPr>
          <w:p w14:paraId="1C14574A" w14:textId="77777777" w:rsidR="0071081F" w:rsidRPr="0071081F" w:rsidRDefault="0071081F" w:rsidP="0071081F">
            <w:pPr>
              <w:spacing w:after="0" w:line="480" w:lineRule="auto"/>
              <w:rPr>
                <w:sz w:val="24"/>
                <w:szCs w:val="24"/>
              </w:rPr>
            </w:pPr>
            <w:r w:rsidRPr="0071081F">
              <w:rPr>
                <w:sz w:val="24"/>
                <w:szCs w:val="24"/>
              </w:rPr>
              <w:t>0.4911</w:t>
            </w:r>
          </w:p>
        </w:tc>
        <w:tc>
          <w:tcPr>
            <w:tcW w:w="0" w:type="auto"/>
            <w:vAlign w:val="center"/>
            <w:hideMark/>
          </w:tcPr>
          <w:p w14:paraId="5365613D" w14:textId="77777777" w:rsidR="0071081F" w:rsidRPr="0071081F" w:rsidRDefault="0071081F" w:rsidP="0071081F">
            <w:pPr>
              <w:spacing w:after="0" w:line="480" w:lineRule="auto"/>
              <w:rPr>
                <w:sz w:val="24"/>
                <w:szCs w:val="24"/>
              </w:rPr>
            </w:pPr>
            <w:r w:rsidRPr="0071081F">
              <w:rPr>
                <w:sz w:val="24"/>
                <w:szCs w:val="24"/>
              </w:rPr>
              <w:t>0.0519</w:t>
            </w:r>
          </w:p>
        </w:tc>
        <w:tc>
          <w:tcPr>
            <w:tcW w:w="0" w:type="auto"/>
            <w:vAlign w:val="center"/>
            <w:hideMark/>
          </w:tcPr>
          <w:p w14:paraId="73503334" w14:textId="77777777" w:rsidR="0071081F" w:rsidRPr="0071081F" w:rsidRDefault="0071081F" w:rsidP="0071081F">
            <w:pPr>
              <w:spacing w:after="0" w:line="480" w:lineRule="auto"/>
              <w:rPr>
                <w:sz w:val="24"/>
                <w:szCs w:val="24"/>
              </w:rPr>
            </w:pPr>
            <w:r w:rsidRPr="0071081F">
              <w:rPr>
                <w:sz w:val="24"/>
                <w:szCs w:val="24"/>
              </w:rPr>
              <w:t>[0.4033, 0.6065]</w:t>
            </w:r>
          </w:p>
        </w:tc>
        <w:tc>
          <w:tcPr>
            <w:tcW w:w="0" w:type="auto"/>
            <w:vAlign w:val="center"/>
            <w:hideMark/>
          </w:tcPr>
          <w:p w14:paraId="66C94E1F" w14:textId="77777777" w:rsidR="0071081F" w:rsidRPr="0071081F" w:rsidRDefault="0071081F" w:rsidP="0071081F">
            <w:pPr>
              <w:spacing w:after="0" w:line="480" w:lineRule="auto"/>
              <w:rPr>
                <w:sz w:val="24"/>
                <w:szCs w:val="24"/>
              </w:rPr>
            </w:pPr>
            <w:r w:rsidRPr="0071081F">
              <w:rPr>
                <w:sz w:val="24"/>
                <w:szCs w:val="24"/>
              </w:rPr>
              <w:t>Supported</w:t>
            </w:r>
          </w:p>
        </w:tc>
      </w:tr>
      <w:tr w:rsidR="0071081F" w:rsidRPr="0071081F" w14:paraId="6D276C14" w14:textId="77777777">
        <w:trPr>
          <w:tblCellSpacing w:w="15" w:type="dxa"/>
        </w:trPr>
        <w:tc>
          <w:tcPr>
            <w:tcW w:w="0" w:type="auto"/>
            <w:vAlign w:val="center"/>
            <w:hideMark/>
          </w:tcPr>
          <w:p w14:paraId="0EDB8D42" w14:textId="77777777" w:rsidR="0071081F" w:rsidRPr="0071081F" w:rsidRDefault="0071081F" w:rsidP="0071081F">
            <w:pPr>
              <w:spacing w:after="0" w:line="480" w:lineRule="auto"/>
              <w:rPr>
                <w:sz w:val="24"/>
                <w:szCs w:val="24"/>
              </w:rPr>
            </w:pPr>
            <w:r w:rsidRPr="0071081F">
              <w:rPr>
                <w:sz w:val="24"/>
                <w:szCs w:val="24"/>
              </w:rPr>
              <w:t>H9f</w:t>
            </w:r>
          </w:p>
        </w:tc>
        <w:tc>
          <w:tcPr>
            <w:tcW w:w="0" w:type="auto"/>
            <w:vAlign w:val="center"/>
            <w:hideMark/>
          </w:tcPr>
          <w:p w14:paraId="17C6CF1B" w14:textId="77777777" w:rsidR="0071081F" w:rsidRPr="0071081F" w:rsidRDefault="0071081F" w:rsidP="0071081F">
            <w:pPr>
              <w:spacing w:after="0" w:line="480" w:lineRule="auto"/>
              <w:rPr>
                <w:sz w:val="24"/>
                <w:szCs w:val="24"/>
              </w:rPr>
            </w:pPr>
            <w:r w:rsidRPr="0071081F">
              <w:rPr>
                <w:sz w:val="24"/>
                <w:szCs w:val="24"/>
              </w:rPr>
              <w:t>MPTI → Leadership Style → SMP</w:t>
            </w:r>
          </w:p>
        </w:tc>
        <w:tc>
          <w:tcPr>
            <w:tcW w:w="0" w:type="auto"/>
            <w:vAlign w:val="center"/>
            <w:hideMark/>
          </w:tcPr>
          <w:p w14:paraId="41040624" w14:textId="77777777" w:rsidR="0071081F" w:rsidRPr="0071081F" w:rsidRDefault="0071081F" w:rsidP="0071081F">
            <w:pPr>
              <w:spacing w:after="0" w:line="480" w:lineRule="auto"/>
              <w:rPr>
                <w:sz w:val="24"/>
                <w:szCs w:val="24"/>
              </w:rPr>
            </w:pPr>
            <w:r w:rsidRPr="0071081F">
              <w:rPr>
                <w:sz w:val="24"/>
                <w:szCs w:val="24"/>
              </w:rPr>
              <w:t>0.5214</w:t>
            </w:r>
          </w:p>
        </w:tc>
        <w:tc>
          <w:tcPr>
            <w:tcW w:w="0" w:type="auto"/>
            <w:vAlign w:val="center"/>
            <w:hideMark/>
          </w:tcPr>
          <w:p w14:paraId="526C69EB" w14:textId="77777777" w:rsidR="0071081F" w:rsidRPr="0071081F" w:rsidRDefault="0071081F" w:rsidP="0071081F">
            <w:pPr>
              <w:spacing w:after="0" w:line="480" w:lineRule="auto"/>
              <w:rPr>
                <w:sz w:val="24"/>
                <w:szCs w:val="24"/>
              </w:rPr>
            </w:pPr>
            <w:r w:rsidRPr="0071081F">
              <w:rPr>
                <w:sz w:val="24"/>
                <w:szCs w:val="24"/>
              </w:rPr>
              <w:t>0.0502</w:t>
            </w:r>
          </w:p>
        </w:tc>
        <w:tc>
          <w:tcPr>
            <w:tcW w:w="0" w:type="auto"/>
            <w:vAlign w:val="center"/>
            <w:hideMark/>
          </w:tcPr>
          <w:p w14:paraId="24284A38" w14:textId="77777777" w:rsidR="0071081F" w:rsidRPr="0071081F" w:rsidRDefault="0071081F" w:rsidP="0071081F">
            <w:pPr>
              <w:spacing w:after="0" w:line="480" w:lineRule="auto"/>
              <w:rPr>
                <w:sz w:val="24"/>
                <w:szCs w:val="24"/>
              </w:rPr>
            </w:pPr>
            <w:r w:rsidRPr="0071081F">
              <w:rPr>
                <w:sz w:val="24"/>
                <w:szCs w:val="24"/>
              </w:rPr>
              <w:t>[0.4298, 0.6266]</w:t>
            </w:r>
          </w:p>
        </w:tc>
        <w:tc>
          <w:tcPr>
            <w:tcW w:w="0" w:type="auto"/>
            <w:vAlign w:val="center"/>
            <w:hideMark/>
          </w:tcPr>
          <w:p w14:paraId="38B404C3" w14:textId="77777777" w:rsidR="0071081F" w:rsidRPr="0071081F" w:rsidRDefault="0071081F" w:rsidP="0071081F">
            <w:pPr>
              <w:spacing w:after="0" w:line="480" w:lineRule="auto"/>
              <w:rPr>
                <w:sz w:val="24"/>
                <w:szCs w:val="24"/>
              </w:rPr>
            </w:pPr>
            <w:r w:rsidRPr="0071081F">
              <w:rPr>
                <w:sz w:val="24"/>
                <w:szCs w:val="24"/>
              </w:rPr>
              <w:t>Supported</w:t>
            </w:r>
          </w:p>
        </w:tc>
      </w:tr>
      <w:tr w:rsidR="0071081F" w:rsidRPr="0071081F" w14:paraId="55ADCCC6" w14:textId="77777777">
        <w:trPr>
          <w:tblCellSpacing w:w="15" w:type="dxa"/>
        </w:trPr>
        <w:tc>
          <w:tcPr>
            <w:tcW w:w="0" w:type="auto"/>
            <w:vAlign w:val="center"/>
            <w:hideMark/>
          </w:tcPr>
          <w:p w14:paraId="1C6A20CC" w14:textId="77777777" w:rsidR="0071081F" w:rsidRPr="0071081F" w:rsidRDefault="0071081F" w:rsidP="0071081F">
            <w:pPr>
              <w:spacing w:after="0" w:line="480" w:lineRule="auto"/>
              <w:rPr>
                <w:sz w:val="24"/>
                <w:szCs w:val="24"/>
              </w:rPr>
            </w:pPr>
            <w:r w:rsidRPr="0071081F">
              <w:rPr>
                <w:sz w:val="24"/>
                <w:szCs w:val="24"/>
              </w:rPr>
              <w:t>H9g</w:t>
            </w:r>
          </w:p>
        </w:tc>
        <w:tc>
          <w:tcPr>
            <w:tcW w:w="0" w:type="auto"/>
            <w:vAlign w:val="center"/>
            <w:hideMark/>
          </w:tcPr>
          <w:p w14:paraId="2E78EA62" w14:textId="77777777" w:rsidR="0071081F" w:rsidRPr="0071081F" w:rsidRDefault="0071081F" w:rsidP="0071081F">
            <w:pPr>
              <w:spacing w:after="0" w:line="480" w:lineRule="auto"/>
              <w:rPr>
                <w:sz w:val="24"/>
                <w:szCs w:val="24"/>
              </w:rPr>
            </w:pPr>
            <w:r w:rsidRPr="0071081F">
              <w:rPr>
                <w:sz w:val="24"/>
                <w:szCs w:val="24"/>
              </w:rPr>
              <w:t>DMTI → Leadership Style → SMP</w:t>
            </w:r>
          </w:p>
        </w:tc>
        <w:tc>
          <w:tcPr>
            <w:tcW w:w="0" w:type="auto"/>
            <w:vAlign w:val="center"/>
            <w:hideMark/>
          </w:tcPr>
          <w:p w14:paraId="6FC474E2" w14:textId="77777777" w:rsidR="0071081F" w:rsidRPr="0071081F" w:rsidRDefault="0071081F" w:rsidP="0071081F">
            <w:pPr>
              <w:spacing w:after="0" w:line="480" w:lineRule="auto"/>
              <w:rPr>
                <w:sz w:val="24"/>
                <w:szCs w:val="24"/>
              </w:rPr>
            </w:pPr>
            <w:r w:rsidRPr="0071081F">
              <w:rPr>
                <w:sz w:val="24"/>
                <w:szCs w:val="24"/>
              </w:rPr>
              <w:t>0.4954</w:t>
            </w:r>
          </w:p>
        </w:tc>
        <w:tc>
          <w:tcPr>
            <w:tcW w:w="0" w:type="auto"/>
            <w:vAlign w:val="center"/>
            <w:hideMark/>
          </w:tcPr>
          <w:p w14:paraId="5EC506A6" w14:textId="77777777" w:rsidR="0071081F" w:rsidRPr="0071081F" w:rsidRDefault="0071081F" w:rsidP="0071081F">
            <w:pPr>
              <w:spacing w:after="0" w:line="480" w:lineRule="auto"/>
              <w:rPr>
                <w:sz w:val="24"/>
                <w:szCs w:val="24"/>
              </w:rPr>
            </w:pPr>
            <w:r w:rsidRPr="0071081F">
              <w:rPr>
                <w:sz w:val="24"/>
                <w:szCs w:val="24"/>
              </w:rPr>
              <w:t>0.0503</w:t>
            </w:r>
          </w:p>
        </w:tc>
        <w:tc>
          <w:tcPr>
            <w:tcW w:w="0" w:type="auto"/>
            <w:vAlign w:val="center"/>
            <w:hideMark/>
          </w:tcPr>
          <w:p w14:paraId="479CF495" w14:textId="77777777" w:rsidR="0071081F" w:rsidRPr="0071081F" w:rsidRDefault="0071081F" w:rsidP="0071081F">
            <w:pPr>
              <w:spacing w:after="0" w:line="480" w:lineRule="auto"/>
              <w:rPr>
                <w:sz w:val="24"/>
                <w:szCs w:val="24"/>
              </w:rPr>
            </w:pPr>
            <w:r w:rsidRPr="0071081F">
              <w:rPr>
                <w:sz w:val="24"/>
                <w:szCs w:val="24"/>
              </w:rPr>
              <w:t>[0.4074, 0.5993]</w:t>
            </w:r>
          </w:p>
        </w:tc>
        <w:tc>
          <w:tcPr>
            <w:tcW w:w="0" w:type="auto"/>
            <w:vAlign w:val="center"/>
            <w:hideMark/>
          </w:tcPr>
          <w:p w14:paraId="6B5FCFA5" w14:textId="77777777" w:rsidR="0071081F" w:rsidRPr="0071081F" w:rsidRDefault="0071081F" w:rsidP="0071081F">
            <w:pPr>
              <w:spacing w:after="0" w:line="480" w:lineRule="auto"/>
              <w:rPr>
                <w:sz w:val="24"/>
                <w:szCs w:val="24"/>
              </w:rPr>
            </w:pPr>
            <w:r w:rsidRPr="0071081F">
              <w:rPr>
                <w:sz w:val="24"/>
                <w:szCs w:val="24"/>
              </w:rPr>
              <w:t>Supported</w:t>
            </w:r>
          </w:p>
        </w:tc>
      </w:tr>
      <w:tr w:rsidR="0071081F" w:rsidRPr="0071081F" w14:paraId="5D83FDD0" w14:textId="77777777" w:rsidTr="0071081F">
        <w:trPr>
          <w:tblCellSpacing w:w="15" w:type="dxa"/>
        </w:trPr>
        <w:tc>
          <w:tcPr>
            <w:tcW w:w="0" w:type="auto"/>
            <w:tcBorders>
              <w:bottom w:val="single" w:sz="4" w:space="0" w:color="auto"/>
            </w:tcBorders>
            <w:vAlign w:val="center"/>
            <w:hideMark/>
          </w:tcPr>
          <w:p w14:paraId="0795AE10" w14:textId="77777777" w:rsidR="0071081F" w:rsidRPr="0071081F" w:rsidRDefault="0071081F" w:rsidP="0071081F">
            <w:pPr>
              <w:spacing w:after="0" w:line="480" w:lineRule="auto"/>
              <w:rPr>
                <w:sz w:val="24"/>
                <w:szCs w:val="24"/>
              </w:rPr>
            </w:pPr>
            <w:r w:rsidRPr="0071081F">
              <w:rPr>
                <w:sz w:val="24"/>
                <w:szCs w:val="24"/>
              </w:rPr>
              <w:t>H9h</w:t>
            </w:r>
          </w:p>
        </w:tc>
        <w:tc>
          <w:tcPr>
            <w:tcW w:w="0" w:type="auto"/>
            <w:tcBorders>
              <w:bottom w:val="single" w:sz="4" w:space="0" w:color="auto"/>
            </w:tcBorders>
            <w:vAlign w:val="center"/>
            <w:hideMark/>
          </w:tcPr>
          <w:p w14:paraId="14433F08" w14:textId="77777777" w:rsidR="0071081F" w:rsidRPr="0071081F" w:rsidRDefault="0071081F" w:rsidP="0071081F">
            <w:pPr>
              <w:spacing w:after="0" w:line="480" w:lineRule="auto"/>
              <w:rPr>
                <w:sz w:val="24"/>
                <w:szCs w:val="24"/>
              </w:rPr>
            </w:pPr>
            <w:r w:rsidRPr="0071081F">
              <w:rPr>
                <w:sz w:val="24"/>
                <w:szCs w:val="24"/>
              </w:rPr>
              <w:t>MF → Leadership Style → SMP</w:t>
            </w:r>
          </w:p>
        </w:tc>
        <w:tc>
          <w:tcPr>
            <w:tcW w:w="0" w:type="auto"/>
            <w:tcBorders>
              <w:bottom w:val="single" w:sz="4" w:space="0" w:color="auto"/>
            </w:tcBorders>
            <w:vAlign w:val="center"/>
            <w:hideMark/>
          </w:tcPr>
          <w:p w14:paraId="72D5D79E" w14:textId="77777777" w:rsidR="0071081F" w:rsidRPr="0071081F" w:rsidRDefault="0071081F" w:rsidP="0071081F">
            <w:pPr>
              <w:spacing w:after="0" w:line="480" w:lineRule="auto"/>
              <w:rPr>
                <w:sz w:val="24"/>
                <w:szCs w:val="24"/>
              </w:rPr>
            </w:pPr>
            <w:r w:rsidRPr="0071081F">
              <w:rPr>
                <w:sz w:val="24"/>
                <w:szCs w:val="24"/>
              </w:rPr>
              <w:t>0.5183</w:t>
            </w:r>
          </w:p>
        </w:tc>
        <w:tc>
          <w:tcPr>
            <w:tcW w:w="0" w:type="auto"/>
            <w:tcBorders>
              <w:bottom w:val="single" w:sz="4" w:space="0" w:color="auto"/>
            </w:tcBorders>
            <w:vAlign w:val="center"/>
            <w:hideMark/>
          </w:tcPr>
          <w:p w14:paraId="10BDADB4" w14:textId="77777777" w:rsidR="0071081F" w:rsidRPr="0071081F" w:rsidRDefault="0071081F" w:rsidP="0071081F">
            <w:pPr>
              <w:spacing w:after="0" w:line="480" w:lineRule="auto"/>
              <w:rPr>
                <w:sz w:val="24"/>
                <w:szCs w:val="24"/>
              </w:rPr>
            </w:pPr>
            <w:r w:rsidRPr="0071081F">
              <w:rPr>
                <w:sz w:val="24"/>
                <w:szCs w:val="24"/>
              </w:rPr>
              <w:t>0.0538</w:t>
            </w:r>
          </w:p>
        </w:tc>
        <w:tc>
          <w:tcPr>
            <w:tcW w:w="0" w:type="auto"/>
            <w:tcBorders>
              <w:bottom w:val="single" w:sz="4" w:space="0" w:color="auto"/>
            </w:tcBorders>
            <w:vAlign w:val="center"/>
            <w:hideMark/>
          </w:tcPr>
          <w:p w14:paraId="57BD9C0B" w14:textId="77777777" w:rsidR="0071081F" w:rsidRPr="0071081F" w:rsidRDefault="0071081F" w:rsidP="0071081F">
            <w:pPr>
              <w:spacing w:after="0" w:line="480" w:lineRule="auto"/>
              <w:rPr>
                <w:sz w:val="24"/>
                <w:szCs w:val="24"/>
              </w:rPr>
            </w:pPr>
            <w:r w:rsidRPr="0071081F">
              <w:rPr>
                <w:sz w:val="24"/>
                <w:szCs w:val="24"/>
              </w:rPr>
              <w:t>[0.4152, 0.6287]</w:t>
            </w:r>
          </w:p>
        </w:tc>
        <w:tc>
          <w:tcPr>
            <w:tcW w:w="0" w:type="auto"/>
            <w:tcBorders>
              <w:bottom w:val="single" w:sz="4" w:space="0" w:color="auto"/>
            </w:tcBorders>
            <w:vAlign w:val="center"/>
            <w:hideMark/>
          </w:tcPr>
          <w:p w14:paraId="2018410B" w14:textId="77777777" w:rsidR="0071081F" w:rsidRPr="0071081F" w:rsidRDefault="0071081F" w:rsidP="0071081F">
            <w:pPr>
              <w:spacing w:after="0" w:line="480" w:lineRule="auto"/>
              <w:rPr>
                <w:sz w:val="24"/>
                <w:szCs w:val="24"/>
              </w:rPr>
            </w:pPr>
            <w:r w:rsidRPr="0071081F">
              <w:rPr>
                <w:sz w:val="24"/>
                <w:szCs w:val="24"/>
              </w:rPr>
              <w:t>Supported</w:t>
            </w:r>
          </w:p>
        </w:tc>
      </w:tr>
    </w:tbl>
    <w:p w14:paraId="0A4CA681" w14:textId="19A4B99B" w:rsidR="0071081F" w:rsidRDefault="00972632" w:rsidP="00B65AC7">
      <w:pPr>
        <w:spacing w:after="0" w:line="480" w:lineRule="auto"/>
        <w:rPr>
          <w:sz w:val="24"/>
          <w:szCs w:val="24"/>
          <w:lang w:val="en-GB"/>
        </w:rPr>
      </w:pPr>
      <w:r>
        <w:rPr>
          <w:sz w:val="24"/>
          <w:szCs w:val="24"/>
          <w:lang w:val="en-GB"/>
        </w:rPr>
        <w:t>Source: Survey Data (2025)</w:t>
      </w:r>
    </w:p>
    <w:p w14:paraId="116735B2" w14:textId="63D4E2C2" w:rsidR="0071081F" w:rsidRPr="0071081F" w:rsidRDefault="0071081F" w:rsidP="00DE79BF">
      <w:pPr>
        <w:spacing w:before="240" w:after="240"/>
        <w:rPr>
          <w:sz w:val="24"/>
          <w:szCs w:val="24"/>
        </w:rPr>
      </w:pPr>
      <w:r w:rsidRPr="0071081F">
        <w:rPr>
          <w:sz w:val="24"/>
          <w:szCs w:val="24"/>
        </w:rPr>
        <w:t xml:space="preserve">Table </w:t>
      </w:r>
      <w:r w:rsidR="003C0C38">
        <w:rPr>
          <w:sz w:val="24"/>
          <w:szCs w:val="24"/>
        </w:rPr>
        <w:t>8</w:t>
      </w:r>
      <w:r w:rsidRPr="0071081F">
        <w:rPr>
          <w:sz w:val="24"/>
          <w:szCs w:val="24"/>
        </w:rPr>
        <w:t xml:space="preserve"> presents the mediation analysis results obtained using Hayes PROCESS Macro Model 4 in SPSS. The analysis was conducted to examine whether Leadership Style mediates the relationship between technology strategy dimensions and Sustainable Manufacturing Performance.</w:t>
      </w:r>
    </w:p>
    <w:p w14:paraId="6DE5E368" w14:textId="790C09E9" w:rsidR="0071081F" w:rsidRPr="0071081F" w:rsidRDefault="0071081F" w:rsidP="00DE79BF">
      <w:pPr>
        <w:spacing w:before="240" w:after="240"/>
        <w:rPr>
          <w:sz w:val="24"/>
          <w:szCs w:val="24"/>
        </w:rPr>
      </w:pPr>
      <w:r w:rsidRPr="0071081F">
        <w:rPr>
          <w:sz w:val="24"/>
          <w:szCs w:val="24"/>
        </w:rPr>
        <w:t>The findings show that all mediation hypotheses (H9a–H9h) were supported. The indirect effects of all technology strategy dimensions on SMP through Leadership Style were statistically significant, as the bootstrapped confidence intervals did not include zero.</w:t>
      </w:r>
    </w:p>
    <w:p w14:paraId="36C41F85" w14:textId="5DE51CE3" w:rsidR="0071081F" w:rsidRPr="0071081F" w:rsidRDefault="0071081F" w:rsidP="00DE79BF">
      <w:pPr>
        <w:spacing w:before="240" w:after="240"/>
        <w:rPr>
          <w:sz w:val="24"/>
          <w:szCs w:val="24"/>
        </w:rPr>
      </w:pPr>
      <w:r w:rsidRPr="0071081F">
        <w:rPr>
          <w:sz w:val="24"/>
          <w:szCs w:val="24"/>
        </w:rPr>
        <w:t xml:space="preserve">These findings demonstrate that Leadership Style serves as an important mechanism in transforming technology strategies into improved sustainable manufacturing outcomes. Although technology strategy dimensions provide </w:t>
      </w:r>
      <w:proofErr w:type="spellStart"/>
      <w:r w:rsidRPr="0071081F">
        <w:rPr>
          <w:sz w:val="24"/>
          <w:szCs w:val="24"/>
        </w:rPr>
        <w:t>organisations</w:t>
      </w:r>
      <w:proofErr w:type="spellEnd"/>
      <w:r w:rsidRPr="0071081F">
        <w:rPr>
          <w:sz w:val="24"/>
          <w:szCs w:val="24"/>
        </w:rPr>
        <w:t xml:space="preserve"> with technological capabilities, effective leadership is required to successfully implement these strategies, manage </w:t>
      </w:r>
      <w:proofErr w:type="spellStart"/>
      <w:r w:rsidRPr="0071081F">
        <w:rPr>
          <w:sz w:val="24"/>
          <w:szCs w:val="24"/>
        </w:rPr>
        <w:t>organisational</w:t>
      </w:r>
      <w:proofErr w:type="spellEnd"/>
      <w:r w:rsidRPr="0071081F">
        <w:rPr>
          <w:sz w:val="24"/>
          <w:szCs w:val="24"/>
        </w:rPr>
        <w:t xml:space="preserve"> changes, and ensure that technological initiatives contribute towards sustainability performance.</w:t>
      </w:r>
    </w:p>
    <w:p w14:paraId="7D1B74C5" w14:textId="77777777" w:rsidR="0071081F" w:rsidRPr="0071081F" w:rsidRDefault="0071081F" w:rsidP="00DE79BF">
      <w:pPr>
        <w:spacing w:before="240" w:after="240"/>
        <w:rPr>
          <w:sz w:val="24"/>
          <w:szCs w:val="24"/>
        </w:rPr>
      </w:pPr>
      <w:r w:rsidRPr="0071081F">
        <w:rPr>
          <w:sz w:val="24"/>
          <w:szCs w:val="24"/>
        </w:rPr>
        <w:t>Overall, the results confirm that Leadership Style not only directly improves sustainable manufacturing performance but also strengthens the relationship between technology strategies and sustainability outcomes.</w:t>
      </w:r>
    </w:p>
    <w:p w14:paraId="2C1C1EA2" w14:textId="77777777" w:rsidR="0071081F" w:rsidRPr="005B0C91" w:rsidRDefault="0071081F" w:rsidP="00B65AC7">
      <w:pPr>
        <w:spacing w:after="0" w:line="480" w:lineRule="auto"/>
        <w:rPr>
          <w:sz w:val="24"/>
          <w:szCs w:val="24"/>
          <w:lang w:val="en-GB"/>
        </w:rPr>
      </w:pPr>
    </w:p>
    <w:p w14:paraId="7D286620" w14:textId="7D26FCB2" w:rsidR="001E0406" w:rsidRPr="005B0C91" w:rsidRDefault="001E0406" w:rsidP="00B65AC7">
      <w:pPr>
        <w:pStyle w:val="Heading1"/>
        <w:numPr>
          <w:ilvl w:val="0"/>
          <w:numId w:val="4"/>
        </w:numPr>
        <w:spacing w:before="0" w:after="0"/>
        <w:rPr>
          <w:sz w:val="24"/>
          <w:szCs w:val="24"/>
        </w:rPr>
      </w:pPr>
      <w:r w:rsidRPr="00DE79BF">
        <w:rPr>
          <w:sz w:val="28"/>
        </w:rPr>
        <w:t xml:space="preserve">CONCLUSION </w:t>
      </w:r>
    </w:p>
    <w:p w14:paraId="11E2D569" w14:textId="77777777" w:rsidR="001E0406" w:rsidRPr="005B0C91" w:rsidRDefault="001E0406" w:rsidP="001E0406">
      <w:pPr>
        <w:spacing w:after="0"/>
        <w:rPr>
          <w:sz w:val="24"/>
          <w:szCs w:val="24"/>
          <w:lang w:val="en-GB"/>
        </w:rPr>
      </w:pPr>
    </w:p>
    <w:p w14:paraId="0D00609A" w14:textId="77777777" w:rsidR="003869CB" w:rsidRPr="003869CB" w:rsidRDefault="003869CB" w:rsidP="003869CB">
      <w:pPr>
        <w:spacing w:before="240" w:after="240"/>
        <w:rPr>
          <w:sz w:val="24"/>
          <w:szCs w:val="24"/>
        </w:rPr>
      </w:pPr>
      <w:r w:rsidRPr="003869CB">
        <w:rPr>
          <w:sz w:val="24"/>
          <w:szCs w:val="24"/>
        </w:rPr>
        <w:t>This study examined the relationship between technology strategy dimensions, leadership style, and sustainable manufacturing performance (SMP) among Malaysian manufacturing firms. Based on the Resource-Based View (RBV), the study investigated how technological resources and leadership capabilities contribute to economic, environmental, and social sustainability outcomes.</w:t>
      </w:r>
    </w:p>
    <w:p w14:paraId="6286BE0C" w14:textId="77777777" w:rsidR="003869CB" w:rsidRPr="003869CB" w:rsidRDefault="003869CB" w:rsidP="003869CB">
      <w:pPr>
        <w:spacing w:before="240" w:after="240"/>
        <w:rPr>
          <w:sz w:val="24"/>
          <w:szCs w:val="24"/>
        </w:rPr>
      </w:pPr>
      <w:r w:rsidRPr="003869CB">
        <w:rPr>
          <w:sz w:val="24"/>
          <w:szCs w:val="24"/>
        </w:rPr>
        <w:t xml:space="preserve">The findings reveal that technology strategy dimensions do not influence sustainable manufacturing performance equally. Technological Investments, Manufacturing System and Process Design Technologies, Manufacturing Process Technology Innovations, Digital Manufacturing Technology Integration, and </w:t>
      </w:r>
      <w:proofErr w:type="spellStart"/>
      <w:r w:rsidRPr="003869CB">
        <w:rPr>
          <w:sz w:val="24"/>
          <w:szCs w:val="24"/>
        </w:rPr>
        <w:t>Microfactories</w:t>
      </w:r>
      <w:proofErr w:type="spellEnd"/>
      <w:r w:rsidRPr="003869CB">
        <w:rPr>
          <w:sz w:val="24"/>
          <w:szCs w:val="24"/>
        </w:rPr>
        <w:t xml:space="preserve"> demonstrate significant direct effects on SMP. These findings highlight that investments in advanced technologies, process improvements, digital capabilities, and flexible manufacturing approaches can support sustainability by improving efficiency, </w:t>
      </w:r>
      <w:proofErr w:type="spellStart"/>
      <w:r w:rsidRPr="003869CB">
        <w:rPr>
          <w:sz w:val="24"/>
          <w:szCs w:val="24"/>
        </w:rPr>
        <w:t>optimising</w:t>
      </w:r>
      <w:proofErr w:type="spellEnd"/>
      <w:r w:rsidRPr="003869CB">
        <w:rPr>
          <w:sz w:val="24"/>
          <w:szCs w:val="24"/>
        </w:rPr>
        <w:t xml:space="preserve"> resources, and strengthening operational performance.</w:t>
      </w:r>
    </w:p>
    <w:p w14:paraId="6635C4D9" w14:textId="77777777" w:rsidR="003869CB" w:rsidRPr="003869CB" w:rsidRDefault="003869CB" w:rsidP="003869CB">
      <w:pPr>
        <w:spacing w:before="240" w:after="240"/>
        <w:rPr>
          <w:sz w:val="24"/>
          <w:szCs w:val="24"/>
        </w:rPr>
      </w:pPr>
      <w:r w:rsidRPr="003869CB">
        <w:rPr>
          <w:sz w:val="24"/>
          <w:szCs w:val="24"/>
        </w:rPr>
        <w:lastRenderedPageBreak/>
        <w:t xml:space="preserve">In contrast, Pioneer–Follower Posture, Intensity of Product Upgrades, and Product and Process Technology do not show significant direct effects on SMP. This suggests that technological adoption or strategic positioning alone may not be sufficient to achieve sustainability outcomes. Instead, these technologies require effective implementation, </w:t>
      </w:r>
      <w:proofErr w:type="spellStart"/>
      <w:r w:rsidRPr="003869CB">
        <w:rPr>
          <w:sz w:val="24"/>
          <w:szCs w:val="24"/>
        </w:rPr>
        <w:t>organisational</w:t>
      </w:r>
      <w:proofErr w:type="spellEnd"/>
      <w:r w:rsidRPr="003869CB">
        <w:rPr>
          <w:sz w:val="24"/>
          <w:szCs w:val="24"/>
        </w:rPr>
        <w:t xml:space="preserve"> alignment, and managerial support to generate meaningful improvements.</w:t>
      </w:r>
    </w:p>
    <w:p w14:paraId="37CDA7A7" w14:textId="77777777" w:rsidR="003869CB" w:rsidRPr="003869CB" w:rsidRDefault="003869CB" w:rsidP="003869CB">
      <w:pPr>
        <w:spacing w:before="240" w:after="240"/>
        <w:rPr>
          <w:sz w:val="24"/>
          <w:szCs w:val="24"/>
        </w:rPr>
      </w:pPr>
      <w:r w:rsidRPr="003869CB">
        <w:rPr>
          <w:sz w:val="24"/>
          <w:szCs w:val="24"/>
        </w:rPr>
        <w:t xml:space="preserve">The mediation analysis further confirms the important role of Leadership Style in the relationship between technology strategy and SMP. All technology strategy dimensions demonstrate significant indirect effects through Leadership Style, indicating that leadership acts as a critical mechanism in converting technological resources into sustainability outcomes. Therefore, effective leadership is essential in guiding technology implementation, managing </w:t>
      </w:r>
      <w:proofErr w:type="spellStart"/>
      <w:r w:rsidRPr="003869CB">
        <w:rPr>
          <w:sz w:val="24"/>
          <w:szCs w:val="24"/>
        </w:rPr>
        <w:t>organisational</w:t>
      </w:r>
      <w:proofErr w:type="spellEnd"/>
      <w:r w:rsidRPr="003869CB">
        <w:rPr>
          <w:sz w:val="24"/>
          <w:szCs w:val="24"/>
        </w:rPr>
        <w:t xml:space="preserve"> change, and ensuring that technology initiatives support sustainability objectives.</w:t>
      </w:r>
    </w:p>
    <w:p w14:paraId="67A57DF1" w14:textId="77777777" w:rsidR="003869CB" w:rsidRPr="003869CB" w:rsidRDefault="003869CB" w:rsidP="003869CB">
      <w:pPr>
        <w:spacing w:before="240" w:after="240"/>
        <w:rPr>
          <w:sz w:val="24"/>
          <w:szCs w:val="24"/>
        </w:rPr>
      </w:pPr>
      <w:r w:rsidRPr="003869CB">
        <w:rPr>
          <w:sz w:val="24"/>
          <w:szCs w:val="24"/>
        </w:rPr>
        <w:t>The study contributes to the Resource-Based View by demonstrating that technological resources create greater value when combined with managerial capabilities. Sustainable manufacturing performance is not achieved through technology adoption alone, but through the effective integration of technology strategy and leadership capability.</w:t>
      </w:r>
    </w:p>
    <w:p w14:paraId="52DD834E" w14:textId="77777777" w:rsidR="003869CB" w:rsidRPr="003869CB" w:rsidRDefault="003869CB" w:rsidP="003869CB">
      <w:pPr>
        <w:spacing w:before="240" w:after="240"/>
        <w:rPr>
          <w:sz w:val="24"/>
          <w:szCs w:val="24"/>
        </w:rPr>
      </w:pPr>
      <w:r w:rsidRPr="003869CB">
        <w:rPr>
          <w:sz w:val="24"/>
          <w:szCs w:val="24"/>
        </w:rPr>
        <w:t xml:space="preserve">Based on these findings, manufacturing firms should adopt a balanced approach by investing in appropriate technologies while simultaneously strengthening leadership capabilities. Managers should develop transformational and digital leadership practices to </w:t>
      </w:r>
      <w:proofErr w:type="spellStart"/>
      <w:r w:rsidRPr="003869CB">
        <w:rPr>
          <w:sz w:val="24"/>
          <w:szCs w:val="24"/>
        </w:rPr>
        <w:t>maximise</w:t>
      </w:r>
      <w:proofErr w:type="spellEnd"/>
      <w:r w:rsidRPr="003869CB">
        <w:rPr>
          <w:sz w:val="24"/>
          <w:szCs w:val="24"/>
        </w:rPr>
        <w:t xml:space="preserve"> the benefits of Industry 4.0 technologies and align technological initiatives with sustainability goals. Policymakers may also support manufacturing transformation through technology adoption </w:t>
      </w:r>
      <w:proofErr w:type="spellStart"/>
      <w:r w:rsidRPr="003869CB">
        <w:rPr>
          <w:sz w:val="24"/>
          <w:szCs w:val="24"/>
        </w:rPr>
        <w:t>programmes</w:t>
      </w:r>
      <w:proofErr w:type="spellEnd"/>
      <w:r w:rsidRPr="003869CB">
        <w:rPr>
          <w:sz w:val="24"/>
          <w:szCs w:val="24"/>
        </w:rPr>
        <w:t>, sustainability initiatives, and leadership development opportunities.</w:t>
      </w:r>
    </w:p>
    <w:p w14:paraId="170331BD" w14:textId="6AD216BF" w:rsidR="003869CB" w:rsidRPr="003869CB" w:rsidRDefault="003869CB" w:rsidP="003869CB">
      <w:pPr>
        <w:spacing w:before="240" w:after="240"/>
        <w:rPr>
          <w:sz w:val="24"/>
          <w:szCs w:val="24"/>
        </w:rPr>
      </w:pPr>
      <w:r w:rsidRPr="003869CB">
        <w:rPr>
          <w:sz w:val="24"/>
          <w:szCs w:val="24"/>
        </w:rPr>
        <w:t>Future research</w:t>
      </w:r>
      <w:r w:rsidR="00441421">
        <w:rPr>
          <w:sz w:val="24"/>
          <w:szCs w:val="24"/>
        </w:rPr>
        <w:t>ers</w:t>
      </w:r>
      <w:r w:rsidRPr="003869CB">
        <w:rPr>
          <w:sz w:val="24"/>
          <w:szCs w:val="24"/>
        </w:rPr>
        <w:t xml:space="preserve"> may extend this study by examining additional </w:t>
      </w:r>
      <w:proofErr w:type="spellStart"/>
      <w:r w:rsidRPr="003869CB">
        <w:rPr>
          <w:sz w:val="24"/>
          <w:szCs w:val="24"/>
        </w:rPr>
        <w:t>organisational</w:t>
      </w:r>
      <w:proofErr w:type="spellEnd"/>
      <w:r w:rsidRPr="003869CB">
        <w:rPr>
          <w:sz w:val="24"/>
          <w:szCs w:val="24"/>
        </w:rPr>
        <w:t xml:space="preserve"> factors, such as </w:t>
      </w:r>
      <w:proofErr w:type="spellStart"/>
      <w:r w:rsidRPr="003869CB">
        <w:rPr>
          <w:sz w:val="24"/>
          <w:szCs w:val="24"/>
        </w:rPr>
        <w:t>organisational</w:t>
      </w:r>
      <w:proofErr w:type="spellEnd"/>
      <w:r w:rsidRPr="003869CB">
        <w:rPr>
          <w:sz w:val="24"/>
          <w:szCs w:val="24"/>
        </w:rPr>
        <w:t xml:space="preserve"> culture, employee capability, and digital readiness, which may further explain how technology strategies contribute to sustainability performance. Future studies may also consider longitudinal approaches or different industrial contexts to provide broader insights into sustainable manufacturing transformation.</w:t>
      </w:r>
    </w:p>
    <w:p w14:paraId="59981771" w14:textId="681957B3" w:rsidR="00B16D6E" w:rsidRPr="003869CB" w:rsidRDefault="00B16D6E" w:rsidP="003869CB">
      <w:pPr>
        <w:spacing w:after="160"/>
        <w:rPr>
          <w:sz w:val="24"/>
          <w:szCs w:val="24"/>
        </w:rPr>
      </w:pPr>
    </w:p>
    <w:p w14:paraId="3D7CED53" w14:textId="77777777" w:rsidR="006505D6" w:rsidRPr="005B0C91" w:rsidRDefault="006505D6" w:rsidP="001E0406">
      <w:pPr>
        <w:spacing w:after="0"/>
        <w:rPr>
          <w:b/>
          <w:sz w:val="24"/>
          <w:szCs w:val="24"/>
          <w:lang w:val="en-GB"/>
        </w:rPr>
      </w:pPr>
    </w:p>
    <w:p w14:paraId="4D1216B8" w14:textId="77777777" w:rsidR="001E0406" w:rsidRDefault="001E0406" w:rsidP="001E0406">
      <w:pPr>
        <w:pStyle w:val="Heading1"/>
        <w:spacing w:before="0" w:after="0"/>
        <w:rPr>
          <w:b w:val="0"/>
          <w:sz w:val="28"/>
        </w:rPr>
      </w:pPr>
      <w:r w:rsidRPr="00DE79BF">
        <w:rPr>
          <w:sz w:val="28"/>
        </w:rPr>
        <w:t>REFERENCES</w:t>
      </w:r>
      <w:r w:rsidRPr="00DE79BF">
        <w:rPr>
          <w:b w:val="0"/>
          <w:sz w:val="28"/>
        </w:rPr>
        <w:t xml:space="preserve"> </w:t>
      </w:r>
    </w:p>
    <w:p w14:paraId="4A4CA314" w14:textId="77777777" w:rsidR="00EE27F4" w:rsidRPr="00EE27F4" w:rsidRDefault="00EE27F4" w:rsidP="00EE27F4">
      <w:pPr>
        <w:rPr>
          <w:lang w:val="en-GB"/>
        </w:rPr>
      </w:pPr>
    </w:p>
    <w:p w14:paraId="583A56F4" w14:textId="77777777" w:rsidR="00EE27F4" w:rsidRPr="00EE27F4" w:rsidRDefault="00EE27F4" w:rsidP="00EE27F4">
      <w:pPr>
        <w:pStyle w:val="NormalWeb"/>
        <w:numPr>
          <w:ilvl w:val="0"/>
          <w:numId w:val="18"/>
        </w:numPr>
        <w:spacing w:before="0" w:beforeAutospacing="0" w:after="0" w:afterAutospacing="0"/>
        <w:jc w:val="both"/>
        <w:rPr>
          <w:color w:val="000000"/>
          <w:lang w:val="en-US"/>
        </w:rPr>
      </w:pPr>
      <w:r w:rsidRPr="00EE27F4">
        <w:rPr>
          <w:color w:val="000000"/>
          <w:lang w:val="en-US"/>
        </w:rPr>
        <w:t xml:space="preserve">Wernerfelt, B. (1984). A resource-based view of the firm. </w:t>
      </w:r>
      <w:r w:rsidRPr="00EE27F4">
        <w:rPr>
          <w:i/>
          <w:iCs/>
          <w:color w:val="000000"/>
          <w:lang w:val="en-US"/>
        </w:rPr>
        <w:t>Strategic Management Journal, 5</w:t>
      </w:r>
      <w:r w:rsidRPr="00EE27F4">
        <w:rPr>
          <w:color w:val="000000"/>
          <w:lang w:val="en-US"/>
        </w:rPr>
        <w:t>(2), 171–180.</w:t>
      </w:r>
    </w:p>
    <w:p w14:paraId="5126B2E5" w14:textId="77777777" w:rsidR="00EE27F4" w:rsidRPr="00EE27F4" w:rsidRDefault="00EE27F4" w:rsidP="00EE27F4">
      <w:pPr>
        <w:pStyle w:val="NormalWeb"/>
        <w:numPr>
          <w:ilvl w:val="0"/>
          <w:numId w:val="18"/>
        </w:numPr>
        <w:spacing w:before="0" w:beforeAutospacing="0" w:after="0" w:afterAutospacing="0"/>
        <w:jc w:val="both"/>
        <w:rPr>
          <w:color w:val="000000"/>
          <w:lang w:val="en-US"/>
        </w:rPr>
      </w:pPr>
      <w:r w:rsidRPr="00EE27F4">
        <w:rPr>
          <w:color w:val="000000"/>
          <w:lang w:val="en-US"/>
        </w:rPr>
        <w:t xml:space="preserve">Barney, J. (1991). Firm resources and sustained competitive advantage. </w:t>
      </w:r>
      <w:r w:rsidRPr="00EE27F4">
        <w:rPr>
          <w:i/>
          <w:iCs/>
          <w:color w:val="000000"/>
          <w:lang w:val="en-US"/>
        </w:rPr>
        <w:t>Journal of Management, 17</w:t>
      </w:r>
      <w:r w:rsidRPr="00EE27F4">
        <w:rPr>
          <w:color w:val="000000"/>
          <w:lang w:val="en-US"/>
        </w:rPr>
        <w:t>(1), 99–120.</w:t>
      </w:r>
    </w:p>
    <w:p w14:paraId="54A9D661" w14:textId="77777777" w:rsidR="00EE27F4" w:rsidRPr="00EE27F4" w:rsidRDefault="00EE27F4" w:rsidP="00EE27F4">
      <w:pPr>
        <w:pStyle w:val="NormalWeb"/>
        <w:numPr>
          <w:ilvl w:val="0"/>
          <w:numId w:val="18"/>
        </w:numPr>
        <w:spacing w:before="0" w:beforeAutospacing="0" w:after="0" w:afterAutospacing="0"/>
        <w:jc w:val="both"/>
        <w:rPr>
          <w:color w:val="000000"/>
          <w:lang w:val="en-US"/>
        </w:rPr>
      </w:pPr>
      <w:r w:rsidRPr="00EE27F4">
        <w:rPr>
          <w:color w:val="000000"/>
          <w:lang w:val="en-US"/>
        </w:rPr>
        <w:t xml:space="preserve">Tornatzky, L. G., &amp; Fleischer, M. (1990). </w:t>
      </w:r>
      <w:r w:rsidRPr="00EE27F4">
        <w:rPr>
          <w:i/>
          <w:iCs/>
          <w:color w:val="000000"/>
          <w:lang w:val="en-US"/>
        </w:rPr>
        <w:t>The processes of technological innovation.</w:t>
      </w:r>
      <w:r w:rsidRPr="00EE27F4">
        <w:rPr>
          <w:color w:val="000000"/>
          <w:lang w:val="en-US"/>
        </w:rPr>
        <w:t xml:space="preserve"> Lexington Books.</w:t>
      </w:r>
    </w:p>
    <w:p w14:paraId="12922341" w14:textId="77777777" w:rsidR="00EE27F4" w:rsidRPr="00EE27F4" w:rsidRDefault="00EE27F4" w:rsidP="00EE27F4">
      <w:pPr>
        <w:pStyle w:val="NormalWeb"/>
        <w:numPr>
          <w:ilvl w:val="0"/>
          <w:numId w:val="18"/>
        </w:numPr>
        <w:spacing w:before="0" w:beforeAutospacing="0" w:after="0" w:afterAutospacing="0"/>
        <w:jc w:val="both"/>
        <w:rPr>
          <w:color w:val="000000"/>
          <w:lang w:val="en-US"/>
        </w:rPr>
      </w:pPr>
      <w:r w:rsidRPr="00EE27F4">
        <w:rPr>
          <w:color w:val="000000"/>
          <w:lang w:val="en-US"/>
        </w:rPr>
        <w:t xml:space="preserve">Luthra, S., Kumar, V., Kumar, S., &amp; Haleem, A. (2016). Barriers to implement green manufacturing: An interpretive structural modelling approach. </w:t>
      </w:r>
      <w:r w:rsidRPr="00EE27F4">
        <w:rPr>
          <w:i/>
          <w:iCs/>
          <w:color w:val="000000"/>
          <w:lang w:val="en-US"/>
        </w:rPr>
        <w:t>Journal of Cleaner Production, 137</w:t>
      </w:r>
      <w:r w:rsidRPr="00EE27F4">
        <w:rPr>
          <w:color w:val="000000"/>
          <w:lang w:val="en-US"/>
        </w:rPr>
        <w:t>, 61–74.</w:t>
      </w:r>
    </w:p>
    <w:p w14:paraId="0B5F2A31" w14:textId="77777777" w:rsidR="00EE27F4" w:rsidRPr="00EE27F4" w:rsidRDefault="00EE27F4" w:rsidP="00EE27F4">
      <w:pPr>
        <w:pStyle w:val="NormalWeb"/>
        <w:numPr>
          <w:ilvl w:val="0"/>
          <w:numId w:val="18"/>
        </w:numPr>
        <w:spacing w:before="0" w:beforeAutospacing="0" w:after="0" w:afterAutospacing="0"/>
        <w:jc w:val="both"/>
        <w:rPr>
          <w:color w:val="000000"/>
          <w:lang w:val="en-US"/>
        </w:rPr>
      </w:pPr>
      <w:r w:rsidRPr="00EE27F4">
        <w:rPr>
          <w:color w:val="000000"/>
          <w:lang w:val="en-US"/>
        </w:rPr>
        <w:t xml:space="preserve">Vial, G. (2019). Understanding digital transformation: A review and a research agenda. </w:t>
      </w:r>
      <w:r w:rsidRPr="00EE27F4">
        <w:rPr>
          <w:i/>
          <w:iCs/>
          <w:color w:val="000000"/>
          <w:lang w:val="en-US"/>
        </w:rPr>
        <w:t>The Journal of Strategic Information Systems, 28</w:t>
      </w:r>
      <w:r w:rsidRPr="00EE27F4">
        <w:rPr>
          <w:color w:val="000000"/>
          <w:lang w:val="en-US"/>
        </w:rPr>
        <w:t>(2), 118–144.</w:t>
      </w:r>
    </w:p>
    <w:p w14:paraId="5CE24868" w14:textId="77777777" w:rsidR="00EE27F4" w:rsidRPr="00EE27F4" w:rsidRDefault="00EE27F4" w:rsidP="00EE27F4">
      <w:pPr>
        <w:pStyle w:val="NormalWeb"/>
        <w:numPr>
          <w:ilvl w:val="0"/>
          <w:numId w:val="18"/>
        </w:numPr>
        <w:spacing w:before="0" w:beforeAutospacing="0" w:after="0" w:afterAutospacing="0"/>
        <w:jc w:val="both"/>
        <w:rPr>
          <w:color w:val="000000"/>
          <w:lang w:val="en-US"/>
        </w:rPr>
      </w:pPr>
      <w:proofErr w:type="spellStart"/>
      <w:r w:rsidRPr="00EE27F4">
        <w:rPr>
          <w:color w:val="000000"/>
          <w:lang w:val="en-US"/>
        </w:rPr>
        <w:t>Jagadisen</w:t>
      </w:r>
      <w:proofErr w:type="spellEnd"/>
      <w:r w:rsidRPr="00EE27F4">
        <w:rPr>
          <w:color w:val="000000"/>
          <w:lang w:val="en-US"/>
        </w:rPr>
        <w:t xml:space="preserve">, M. S., </w:t>
      </w:r>
      <w:proofErr w:type="spellStart"/>
      <w:r w:rsidRPr="00EE27F4">
        <w:rPr>
          <w:color w:val="000000"/>
          <w:lang w:val="en-US"/>
        </w:rPr>
        <w:t>Salamzadeh</w:t>
      </w:r>
      <w:proofErr w:type="spellEnd"/>
      <w:r w:rsidRPr="00EE27F4">
        <w:rPr>
          <w:color w:val="000000"/>
          <w:lang w:val="en-US"/>
        </w:rPr>
        <w:t xml:space="preserve">, Y., Farzad, F. S., </w:t>
      </w:r>
      <w:proofErr w:type="spellStart"/>
      <w:r w:rsidRPr="00EE27F4">
        <w:rPr>
          <w:color w:val="000000"/>
          <w:lang w:val="en-US"/>
        </w:rPr>
        <w:t>Salamzadeh</w:t>
      </w:r>
      <w:proofErr w:type="spellEnd"/>
      <w:r w:rsidRPr="00EE27F4">
        <w:rPr>
          <w:color w:val="000000"/>
          <w:lang w:val="en-US"/>
        </w:rPr>
        <w:t xml:space="preserve">, A., &amp; Palalić, R. (2022). Digital leadership and </w:t>
      </w:r>
      <w:proofErr w:type="spellStart"/>
      <w:r w:rsidRPr="00EE27F4">
        <w:rPr>
          <w:color w:val="000000"/>
          <w:lang w:val="en-US"/>
        </w:rPr>
        <w:t>organisational</w:t>
      </w:r>
      <w:proofErr w:type="spellEnd"/>
      <w:r w:rsidRPr="00EE27F4">
        <w:rPr>
          <w:color w:val="000000"/>
          <w:lang w:val="en-US"/>
        </w:rPr>
        <w:t xml:space="preserve"> capabilities in manufacturing industry: A study in Malaysian context. </w:t>
      </w:r>
      <w:r w:rsidRPr="00EE27F4">
        <w:rPr>
          <w:i/>
          <w:iCs/>
          <w:color w:val="000000"/>
          <w:lang w:val="en-US"/>
        </w:rPr>
        <w:t>Periodicals of Engineering and Natural Sciences, 10</w:t>
      </w:r>
      <w:r w:rsidRPr="00EE27F4">
        <w:rPr>
          <w:color w:val="000000"/>
          <w:lang w:val="en-US"/>
        </w:rPr>
        <w:t>(1), 195–211.</w:t>
      </w:r>
    </w:p>
    <w:p w14:paraId="700096DE" w14:textId="77777777" w:rsidR="00EE27F4" w:rsidRPr="00EE27F4" w:rsidRDefault="00EE27F4" w:rsidP="00EE27F4">
      <w:pPr>
        <w:pStyle w:val="NormalWeb"/>
        <w:numPr>
          <w:ilvl w:val="0"/>
          <w:numId w:val="18"/>
        </w:numPr>
        <w:spacing w:before="0" w:beforeAutospacing="0" w:after="0" w:afterAutospacing="0"/>
        <w:jc w:val="both"/>
        <w:rPr>
          <w:color w:val="000000"/>
          <w:lang w:val="en-US"/>
        </w:rPr>
      </w:pPr>
      <w:r w:rsidRPr="00EE27F4">
        <w:rPr>
          <w:color w:val="000000"/>
          <w:lang w:val="en-US"/>
        </w:rPr>
        <w:t xml:space="preserve">Bass, B. M., &amp; Avolio, B. J. (1994). </w:t>
      </w:r>
      <w:r w:rsidRPr="00EE27F4">
        <w:rPr>
          <w:i/>
          <w:iCs/>
          <w:color w:val="000000"/>
          <w:lang w:val="en-US"/>
        </w:rPr>
        <w:t>Improving organizational effectiveness through transformational leadership.</w:t>
      </w:r>
      <w:r w:rsidRPr="00EE27F4">
        <w:rPr>
          <w:color w:val="000000"/>
          <w:lang w:val="en-US"/>
        </w:rPr>
        <w:t xml:space="preserve"> Sage Publications.</w:t>
      </w:r>
    </w:p>
    <w:p w14:paraId="61A8C1BA" w14:textId="77777777" w:rsidR="00EE27F4" w:rsidRPr="00EE27F4" w:rsidRDefault="00EE27F4" w:rsidP="00EE27F4">
      <w:pPr>
        <w:pStyle w:val="NormalWeb"/>
        <w:numPr>
          <w:ilvl w:val="0"/>
          <w:numId w:val="18"/>
        </w:numPr>
        <w:spacing w:before="0" w:beforeAutospacing="0" w:after="0" w:afterAutospacing="0"/>
        <w:jc w:val="both"/>
        <w:rPr>
          <w:color w:val="000000"/>
          <w:lang w:val="en-US"/>
        </w:rPr>
      </w:pPr>
      <w:r w:rsidRPr="00EE27F4">
        <w:rPr>
          <w:color w:val="000000"/>
          <w:lang w:val="en-US"/>
        </w:rPr>
        <w:t xml:space="preserve">Northouse, P. G. (2021). </w:t>
      </w:r>
      <w:r w:rsidRPr="00EE27F4">
        <w:rPr>
          <w:i/>
          <w:iCs/>
          <w:color w:val="000000"/>
          <w:lang w:val="en-US"/>
        </w:rPr>
        <w:t>Leadership: Theory and practice</w:t>
      </w:r>
      <w:r w:rsidRPr="00EE27F4">
        <w:rPr>
          <w:color w:val="000000"/>
          <w:lang w:val="en-US"/>
        </w:rPr>
        <w:t xml:space="preserve"> (9th ed.). Sage Publications.</w:t>
      </w:r>
    </w:p>
    <w:p w14:paraId="221CD8CF" w14:textId="77777777" w:rsidR="00EE27F4" w:rsidRPr="00EE27F4" w:rsidRDefault="00EE27F4" w:rsidP="00EE27F4">
      <w:pPr>
        <w:pStyle w:val="NormalWeb"/>
        <w:numPr>
          <w:ilvl w:val="0"/>
          <w:numId w:val="18"/>
        </w:numPr>
        <w:spacing w:before="0" w:beforeAutospacing="0" w:after="0" w:afterAutospacing="0"/>
        <w:jc w:val="both"/>
        <w:rPr>
          <w:color w:val="000000"/>
          <w:lang w:val="en-US"/>
        </w:rPr>
      </w:pPr>
      <w:r w:rsidRPr="00EE27F4">
        <w:rPr>
          <w:color w:val="000000"/>
          <w:lang w:val="en-US"/>
        </w:rPr>
        <w:t xml:space="preserve">Elkington, J. (1997). </w:t>
      </w:r>
      <w:r w:rsidRPr="00EE27F4">
        <w:rPr>
          <w:i/>
          <w:iCs/>
          <w:color w:val="000000"/>
          <w:lang w:val="en-US"/>
        </w:rPr>
        <w:t>Cannibals with forks: The triple bottom line of 21st century business.</w:t>
      </w:r>
      <w:r w:rsidRPr="00EE27F4">
        <w:rPr>
          <w:color w:val="000000"/>
          <w:lang w:val="en-US"/>
        </w:rPr>
        <w:t xml:space="preserve"> Capstone Publishing.</w:t>
      </w:r>
    </w:p>
    <w:p w14:paraId="47B647AE" w14:textId="77777777" w:rsidR="00EE27F4" w:rsidRPr="00EE27F4" w:rsidRDefault="00EE27F4" w:rsidP="00EE27F4">
      <w:pPr>
        <w:pStyle w:val="NormalWeb"/>
        <w:numPr>
          <w:ilvl w:val="0"/>
          <w:numId w:val="18"/>
        </w:numPr>
        <w:spacing w:before="0" w:beforeAutospacing="0" w:after="0" w:afterAutospacing="0"/>
        <w:jc w:val="both"/>
        <w:rPr>
          <w:color w:val="000000"/>
          <w:lang w:val="en-US"/>
        </w:rPr>
      </w:pPr>
      <w:r w:rsidRPr="00EE27F4">
        <w:rPr>
          <w:color w:val="000000"/>
          <w:lang w:val="en-US"/>
        </w:rPr>
        <w:t xml:space="preserve">Porter, M. E., &amp; Kramer, M. R. (2011). Creating shared value. </w:t>
      </w:r>
      <w:r w:rsidRPr="00EE27F4">
        <w:rPr>
          <w:i/>
          <w:iCs/>
          <w:color w:val="000000"/>
          <w:lang w:val="en-US"/>
        </w:rPr>
        <w:t>Harvard Business Review, 89</w:t>
      </w:r>
      <w:r w:rsidRPr="00EE27F4">
        <w:rPr>
          <w:color w:val="000000"/>
          <w:lang w:val="en-US"/>
        </w:rPr>
        <w:t>(1/2), 62–77.</w:t>
      </w:r>
    </w:p>
    <w:p w14:paraId="36E8A6D1" w14:textId="77777777" w:rsidR="00EE27F4" w:rsidRPr="00EE27F4" w:rsidRDefault="00EE27F4" w:rsidP="00EE27F4">
      <w:pPr>
        <w:pStyle w:val="NormalWeb"/>
        <w:numPr>
          <w:ilvl w:val="0"/>
          <w:numId w:val="18"/>
        </w:numPr>
        <w:spacing w:before="0" w:beforeAutospacing="0" w:after="0" w:afterAutospacing="0"/>
        <w:jc w:val="both"/>
        <w:rPr>
          <w:color w:val="000000"/>
          <w:lang w:val="en-US"/>
        </w:rPr>
      </w:pPr>
      <w:r w:rsidRPr="00EE27F4">
        <w:rPr>
          <w:color w:val="000000"/>
          <w:lang w:val="en-US"/>
        </w:rPr>
        <w:lastRenderedPageBreak/>
        <w:t xml:space="preserve">Müller, J. M., Kiel, D., &amp; Voigt, K. I. (2018). What drives the implementation of Industry 4.0? </w:t>
      </w:r>
      <w:r w:rsidRPr="00EE27F4">
        <w:rPr>
          <w:i/>
          <w:iCs/>
          <w:color w:val="000000"/>
          <w:lang w:val="en-US"/>
        </w:rPr>
        <w:t>Business Strategy and the Environment, 27</w:t>
      </w:r>
      <w:r w:rsidRPr="00EE27F4">
        <w:rPr>
          <w:color w:val="000000"/>
          <w:lang w:val="en-US"/>
        </w:rPr>
        <w:t>(5), 621–632.</w:t>
      </w:r>
    </w:p>
    <w:p w14:paraId="16547A24" w14:textId="77777777" w:rsidR="00EE27F4" w:rsidRPr="00EE27F4" w:rsidRDefault="00EE27F4" w:rsidP="00EE27F4">
      <w:pPr>
        <w:pStyle w:val="NormalWeb"/>
        <w:numPr>
          <w:ilvl w:val="0"/>
          <w:numId w:val="18"/>
        </w:numPr>
        <w:spacing w:before="0" w:beforeAutospacing="0" w:after="0" w:afterAutospacing="0"/>
        <w:jc w:val="both"/>
        <w:rPr>
          <w:color w:val="000000"/>
          <w:lang w:val="en-US"/>
        </w:rPr>
      </w:pPr>
      <w:r w:rsidRPr="00EE27F4">
        <w:rPr>
          <w:color w:val="000000"/>
          <w:lang w:val="en-US"/>
        </w:rPr>
        <w:t xml:space="preserve">Frank, A. G., </w:t>
      </w:r>
      <w:proofErr w:type="spellStart"/>
      <w:r w:rsidRPr="00EE27F4">
        <w:rPr>
          <w:color w:val="000000"/>
          <w:lang w:val="en-US"/>
        </w:rPr>
        <w:t>Dalenogare</w:t>
      </w:r>
      <w:proofErr w:type="spellEnd"/>
      <w:r w:rsidRPr="00EE27F4">
        <w:rPr>
          <w:color w:val="000000"/>
          <w:lang w:val="en-US"/>
        </w:rPr>
        <w:t xml:space="preserve">, L. S., &amp; Ayala, N. F. (2019). Industry 4.0 technologies: Implementation patterns in manufacturing companies. </w:t>
      </w:r>
      <w:r w:rsidRPr="00EE27F4">
        <w:rPr>
          <w:i/>
          <w:iCs/>
          <w:color w:val="000000"/>
          <w:lang w:val="en-US"/>
        </w:rPr>
        <w:t>International Journal of Production Economics, 210</w:t>
      </w:r>
      <w:r w:rsidRPr="00EE27F4">
        <w:rPr>
          <w:color w:val="000000"/>
          <w:lang w:val="en-US"/>
        </w:rPr>
        <w:t>, 15–26.</w:t>
      </w:r>
    </w:p>
    <w:p w14:paraId="41DE853B" w14:textId="77777777" w:rsidR="00EE27F4" w:rsidRPr="00EE27F4" w:rsidRDefault="00EE27F4" w:rsidP="00EE27F4">
      <w:pPr>
        <w:pStyle w:val="NormalWeb"/>
        <w:numPr>
          <w:ilvl w:val="0"/>
          <w:numId w:val="18"/>
        </w:numPr>
        <w:spacing w:before="0" w:beforeAutospacing="0" w:after="0" w:afterAutospacing="0"/>
        <w:jc w:val="both"/>
        <w:rPr>
          <w:color w:val="000000"/>
          <w:lang w:val="en-US"/>
        </w:rPr>
      </w:pPr>
      <w:r w:rsidRPr="00EE27F4">
        <w:rPr>
          <w:color w:val="000000"/>
          <w:lang w:val="en-US"/>
        </w:rPr>
        <w:t xml:space="preserve">Wang, S., Wan, J., Li, D., &amp; Zhang, C. (2016). Implementing smart factory of Industry 4.0: An outlook. </w:t>
      </w:r>
      <w:r w:rsidRPr="00EE27F4">
        <w:rPr>
          <w:i/>
          <w:iCs/>
          <w:color w:val="000000"/>
          <w:lang w:val="en-US"/>
        </w:rPr>
        <w:t>International Journal of Distributed Sensor Networks, 12</w:t>
      </w:r>
      <w:r w:rsidRPr="00EE27F4">
        <w:rPr>
          <w:color w:val="000000"/>
          <w:lang w:val="en-US"/>
        </w:rPr>
        <w:t>(1).</w:t>
      </w:r>
    </w:p>
    <w:p w14:paraId="10A9ED39" w14:textId="77777777" w:rsidR="00EE27F4" w:rsidRPr="00EE27F4" w:rsidRDefault="00EE27F4" w:rsidP="00EE27F4">
      <w:pPr>
        <w:pStyle w:val="NormalWeb"/>
        <w:numPr>
          <w:ilvl w:val="0"/>
          <w:numId w:val="18"/>
        </w:numPr>
        <w:spacing w:before="0" w:beforeAutospacing="0" w:after="0" w:afterAutospacing="0"/>
        <w:jc w:val="both"/>
        <w:rPr>
          <w:color w:val="000000"/>
          <w:lang w:val="en-US"/>
        </w:rPr>
      </w:pPr>
      <w:r w:rsidRPr="00EE27F4">
        <w:rPr>
          <w:color w:val="000000"/>
          <w:lang w:val="en-US"/>
        </w:rPr>
        <w:t xml:space="preserve">Lu, Y. (2017). Industry 4.0: A survey on technologies, applications and open research issues. </w:t>
      </w:r>
      <w:r w:rsidRPr="00EE27F4">
        <w:rPr>
          <w:i/>
          <w:iCs/>
          <w:color w:val="000000"/>
          <w:lang w:val="en-US"/>
        </w:rPr>
        <w:t>Journal of Industrial Information Integration, 6</w:t>
      </w:r>
      <w:r w:rsidRPr="00EE27F4">
        <w:rPr>
          <w:color w:val="000000"/>
          <w:lang w:val="en-US"/>
        </w:rPr>
        <w:t>, 1–10.</w:t>
      </w:r>
    </w:p>
    <w:p w14:paraId="61FE4D71" w14:textId="77777777" w:rsidR="00EE27F4" w:rsidRPr="00EE27F4" w:rsidRDefault="00EE27F4" w:rsidP="00EE27F4">
      <w:pPr>
        <w:pStyle w:val="NormalWeb"/>
        <w:numPr>
          <w:ilvl w:val="0"/>
          <w:numId w:val="18"/>
        </w:numPr>
        <w:spacing w:before="0" w:beforeAutospacing="0" w:after="0" w:afterAutospacing="0"/>
        <w:jc w:val="both"/>
        <w:rPr>
          <w:color w:val="000000"/>
          <w:lang w:val="en-US"/>
        </w:rPr>
      </w:pPr>
      <w:r w:rsidRPr="00EE27F4">
        <w:rPr>
          <w:color w:val="000000"/>
          <w:lang w:val="en-US"/>
        </w:rPr>
        <w:t xml:space="preserve">Kusiak, A. (2018). Smart manufacturing. </w:t>
      </w:r>
      <w:r w:rsidRPr="00EE27F4">
        <w:rPr>
          <w:i/>
          <w:iCs/>
          <w:color w:val="000000"/>
          <w:lang w:val="en-US"/>
        </w:rPr>
        <w:t>International Journal of Production Research, 56</w:t>
      </w:r>
      <w:r w:rsidRPr="00EE27F4">
        <w:rPr>
          <w:color w:val="000000"/>
          <w:lang w:val="en-US"/>
        </w:rPr>
        <w:t>(1–2), 508–517.</w:t>
      </w:r>
    </w:p>
    <w:p w14:paraId="73EDC88E" w14:textId="77777777" w:rsidR="00EE27F4" w:rsidRPr="00EE27F4" w:rsidRDefault="00EE27F4" w:rsidP="00EE27F4">
      <w:pPr>
        <w:pStyle w:val="NormalWeb"/>
        <w:numPr>
          <w:ilvl w:val="0"/>
          <w:numId w:val="18"/>
        </w:numPr>
        <w:spacing w:before="0" w:beforeAutospacing="0" w:after="0" w:afterAutospacing="0"/>
        <w:jc w:val="both"/>
        <w:rPr>
          <w:color w:val="000000"/>
          <w:lang w:val="en-US"/>
        </w:rPr>
      </w:pPr>
      <w:r w:rsidRPr="00EE27F4">
        <w:rPr>
          <w:color w:val="000000"/>
          <w:lang w:val="en-US"/>
        </w:rPr>
        <w:t xml:space="preserve">Buer, S. V., </w:t>
      </w:r>
      <w:proofErr w:type="spellStart"/>
      <w:r w:rsidRPr="00EE27F4">
        <w:rPr>
          <w:color w:val="000000"/>
          <w:lang w:val="en-US"/>
        </w:rPr>
        <w:t>Strandhagen</w:t>
      </w:r>
      <w:proofErr w:type="spellEnd"/>
      <w:r w:rsidRPr="00EE27F4">
        <w:rPr>
          <w:color w:val="000000"/>
          <w:lang w:val="en-US"/>
        </w:rPr>
        <w:t xml:space="preserve">, J. O., &amp; Chan, F. T. S. (2018). The link between Industry 4.0 and lean manufacturing: Mapping current research and establishing a research agenda. </w:t>
      </w:r>
      <w:r w:rsidRPr="00EE27F4">
        <w:rPr>
          <w:i/>
          <w:iCs/>
          <w:color w:val="000000"/>
          <w:lang w:val="en-US"/>
        </w:rPr>
        <w:t>International Journal of Production Research.</w:t>
      </w:r>
    </w:p>
    <w:p w14:paraId="0433EDFE" w14:textId="77777777" w:rsidR="00EE27F4" w:rsidRPr="00EE27F4" w:rsidRDefault="00EE27F4" w:rsidP="00EE27F4">
      <w:pPr>
        <w:pStyle w:val="NormalWeb"/>
        <w:numPr>
          <w:ilvl w:val="0"/>
          <w:numId w:val="18"/>
        </w:numPr>
        <w:spacing w:before="0" w:beforeAutospacing="0" w:after="0" w:afterAutospacing="0"/>
        <w:jc w:val="both"/>
        <w:rPr>
          <w:color w:val="000000"/>
          <w:lang w:val="en-US"/>
        </w:rPr>
      </w:pPr>
      <w:r w:rsidRPr="00EE27F4">
        <w:rPr>
          <w:color w:val="000000"/>
          <w:lang w:val="en-US"/>
        </w:rPr>
        <w:t xml:space="preserve">Kiel, D., Müller, J. M., Arnold, C., &amp; Voigt, K. I. (2017). Sustainable industrial value creation: Benefits and challenges of Industry 4.0. </w:t>
      </w:r>
      <w:r w:rsidRPr="00EE27F4">
        <w:rPr>
          <w:i/>
          <w:iCs/>
          <w:color w:val="000000"/>
          <w:lang w:val="en-US"/>
        </w:rPr>
        <w:t>International Journal of Innovation Management.</w:t>
      </w:r>
    </w:p>
    <w:p w14:paraId="573DED3B" w14:textId="77777777" w:rsidR="00EE27F4" w:rsidRPr="00EE27F4" w:rsidRDefault="00EE27F4" w:rsidP="00EE27F4">
      <w:pPr>
        <w:pStyle w:val="NormalWeb"/>
        <w:numPr>
          <w:ilvl w:val="0"/>
          <w:numId w:val="18"/>
        </w:numPr>
        <w:spacing w:before="0" w:beforeAutospacing="0" w:after="0" w:afterAutospacing="0"/>
        <w:jc w:val="both"/>
        <w:rPr>
          <w:color w:val="000000"/>
          <w:lang w:val="en-US"/>
        </w:rPr>
      </w:pPr>
      <w:r w:rsidRPr="00EE27F4">
        <w:rPr>
          <w:color w:val="000000"/>
          <w:lang w:val="en-US"/>
        </w:rPr>
        <w:t xml:space="preserve">Lieberman, M. B., &amp; Montgomery, D. B. (1998). First-mover (dis)advantages: Retrospective and link with the resource-based view. </w:t>
      </w:r>
      <w:r w:rsidRPr="00EE27F4">
        <w:rPr>
          <w:i/>
          <w:iCs/>
          <w:color w:val="000000"/>
          <w:lang w:val="en-US"/>
        </w:rPr>
        <w:t>Strategic Management Journal, 19</w:t>
      </w:r>
      <w:r w:rsidRPr="00EE27F4">
        <w:rPr>
          <w:color w:val="000000"/>
          <w:lang w:val="en-US"/>
        </w:rPr>
        <w:t>(12), 1111–1125.</w:t>
      </w:r>
    </w:p>
    <w:p w14:paraId="7DC2E6F7" w14:textId="77777777" w:rsidR="00EE27F4" w:rsidRPr="00EE27F4" w:rsidRDefault="00EE27F4" w:rsidP="00EE27F4">
      <w:pPr>
        <w:pStyle w:val="NormalWeb"/>
        <w:numPr>
          <w:ilvl w:val="0"/>
          <w:numId w:val="18"/>
        </w:numPr>
        <w:spacing w:before="0" w:beforeAutospacing="0" w:after="0" w:afterAutospacing="0"/>
        <w:jc w:val="both"/>
        <w:rPr>
          <w:color w:val="000000"/>
          <w:lang w:val="en-US"/>
        </w:rPr>
      </w:pPr>
      <w:r w:rsidRPr="00EE27F4">
        <w:rPr>
          <w:color w:val="000000"/>
          <w:lang w:val="en-US"/>
        </w:rPr>
        <w:t xml:space="preserve">Zahra, S. A., &amp; Covin, J. G. (1993). Business strategy, technology policy and firm performance. </w:t>
      </w:r>
      <w:r w:rsidRPr="00EE27F4">
        <w:rPr>
          <w:i/>
          <w:iCs/>
          <w:color w:val="000000"/>
          <w:lang w:val="en-US"/>
        </w:rPr>
        <w:t>Strategic Management Journal, 14</w:t>
      </w:r>
      <w:r w:rsidRPr="00EE27F4">
        <w:rPr>
          <w:color w:val="000000"/>
          <w:lang w:val="en-US"/>
        </w:rPr>
        <w:t>(6), 451–478.</w:t>
      </w:r>
    </w:p>
    <w:p w14:paraId="39239F92" w14:textId="77777777" w:rsidR="00EE27F4" w:rsidRPr="00EE27F4" w:rsidRDefault="00EE27F4" w:rsidP="00EE27F4">
      <w:pPr>
        <w:pStyle w:val="NormalWeb"/>
        <w:numPr>
          <w:ilvl w:val="0"/>
          <w:numId w:val="18"/>
        </w:numPr>
        <w:spacing w:before="0" w:beforeAutospacing="0" w:after="0" w:afterAutospacing="0"/>
        <w:jc w:val="both"/>
        <w:rPr>
          <w:color w:val="000000"/>
          <w:lang w:val="en-US"/>
        </w:rPr>
      </w:pPr>
      <w:r w:rsidRPr="00EE27F4">
        <w:rPr>
          <w:color w:val="000000"/>
          <w:lang w:val="en-US"/>
        </w:rPr>
        <w:t xml:space="preserve">Hitt, L. M., Wu, D. J., &amp; Zhou, X. (1997). Investment in enterprise resource planning: Business impact and productivity measures. </w:t>
      </w:r>
      <w:r w:rsidRPr="00EE27F4">
        <w:rPr>
          <w:i/>
          <w:iCs/>
          <w:color w:val="000000"/>
          <w:lang w:val="en-US"/>
        </w:rPr>
        <w:t>Journal of Management Information Systems.</w:t>
      </w:r>
    </w:p>
    <w:p w14:paraId="26AD7809" w14:textId="77777777" w:rsidR="00EE27F4" w:rsidRPr="00EE27F4" w:rsidRDefault="00EE27F4" w:rsidP="00EE27F4">
      <w:pPr>
        <w:pStyle w:val="NormalWeb"/>
        <w:numPr>
          <w:ilvl w:val="0"/>
          <w:numId w:val="18"/>
        </w:numPr>
        <w:spacing w:before="0" w:beforeAutospacing="0" w:after="0" w:afterAutospacing="0"/>
        <w:jc w:val="both"/>
        <w:rPr>
          <w:color w:val="000000"/>
          <w:lang w:val="en-US"/>
        </w:rPr>
      </w:pPr>
      <w:r w:rsidRPr="00EE27F4">
        <w:rPr>
          <w:color w:val="000000"/>
          <w:lang w:val="en-US"/>
        </w:rPr>
        <w:t xml:space="preserve">Gunasekaran, A., Subramanian, N., &amp; Rahman, S. (2015). Green supply chain management: A review and research directions. </w:t>
      </w:r>
      <w:r w:rsidRPr="00EE27F4">
        <w:rPr>
          <w:i/>
          <w:iCs/>
          <w:color w:val="000000"/>
          <w:lang w:val="en-US"/>
        </w:rPr>
        <w:t>International Journal of Production Economics.</w:t>
      </w:r>
    </w:p>
    <w:p w14:paraId="67E2BC7F" w14:textId="77777777" w:rsidR="00EE27F4" w:rsidRPr="00EE27F4" w:rsidRDefault="00EE27F4" w:rsidP="00EE27F4">
      <w:pPr>
        <w:pStyle w:val="NormalWeb"/>
        <w:numPr>
          <w:ilvl w:val="0"/>
          <w:numId w:val="18"/>
        </w:numPr>
        <w:spacing w:before="0" w:beforeAutospacing="0" w:after="0" w:afterAutospacing="0"/>
        <w:jc w:val="both"/>
        <w:rPr>
          <w:color w:val="000000"/>
          <w:lang w:val="en-US"/>
        </w:rPr>
      </w:pPr>
      <w:r w:rsidRPr="00EE27F4">
        <w:rPr>
          <w:color w:val="000000"/>
          <w:lang w:val="en-US"/>
        </w:rPr>
        <w:t xml:space="preserve">Teece, D. J., Pisano, G., &amp; </w:t>
      </w:r>
      <w:proofErr w:type="spellStart"/>
      <w:r w:rsidRPr="00EE27F4">
        <w:rPr>
          <w:color w:val="000000"/>
          <w:lang w:val="en-US"/>
        </w:rPr>
        <w:t>Shuen</w:t>
      </w:r>
      <w:proofErr w:type="spellEnd"/>
      <w:r w:rsidRPr="00EE27F4">
        <w:rPr>
          <w:color w:val="000000"/>
          <w:lang w:val="en-US"/>
        </w:rPr>
        <w:t xml:space="preserve">, A. (1997). Dynamic capabilities and strategic management. </w:t>
      </w:r>
      <w:r w:rsidRPr="00EE27F4">
        <w:rPr>
          <w:i/>
          <w:iCs/>
          <w:color w:val="000000"/>
          <w:lang w:val="en-US"/>
        </w:rPr>
        <w:t>Strategic Management Journal, 18</w:t>
      </w:r>
      <w:r w:rsidRPr="00EE27F4">
        <w:rPr>
          <w:color w:val="000000"/>
          <w:lang w:val="en-US"/>
        </w:rPr>
        <w:t>(7), 509–533.</w:t>
      </w:r>
    </w:p>
    <w:p w14:paraId="00663C11" w14:textId="77777777" w:rsidR="00EE27F4" w:rsidRPr="00EE27F4" w:rsidRDefault="00EE27F4" w:rsidP="00EE27F4">
      <w:pPr>
        <w:pStyle w:val="NormalWeb"/>
        <w:numPr>
          <w:ilvl w:val="0"/>
          <w:numId w:val="18"/>
        </w:numPr>
        <w:spacing w:before="0" w:beforeAutospacing="0" w:after="0" w:afterAutospacing="0"/>
        <w:jc w:val="both"/>
        <w:rPr>
          <w:color w:val="000000"/>
          <w:lang w:val="en-US"/>
        </w:rPr>
      </w:pPr>
      <w:proofErr w:type="spellStart"/>
      <w:r w:rsidRPr="00EE27F4">
        <w:rPr>
          <w:color w:val="000000"/>
          <w:lang w:val="en-US"/>
        </w:rPr>
        <w:t>Calantone</w:t>
      </w:r>
      <w:proofErr w:type="spellEnd"/>
      <w:r w:rsidRPr="00EE27F4">
        <w:rPr>
          <w:color w:val="000000"/>
          <w:lang w:val="en-US"/>
        </w:rPr>
        <w:t xml:space="preserve">, R., Schmidt, J., &amp; Song, M. (1996). Controllable factors of new product success: A cross-national comparison. </w:t>
      </w:r>
      <w:r w:rsidRPr="00EE27F4">
        <w:rPr>
          <w:i/>
          <w:iCs/>
          <w:color w:val="000000"/>
          <w:lang w:val="en-US"/>
        </w:rPr>
        <w:t>Journal of Product Innovation Management.</w:t>
      </w:r>
    </w:p>
    <w:p w14:paraId="6D1B092D" w14:textId="77777777" w:rsidR="00EE27F4" w:rsidRPr="00EE27F4" w:rsidRDefault="00EE27F4" w:rsidP="00EE27F4">
      <w:pPr>
        <w:pStyle w:val="NormalWeb"/>
        <w:numPr>
          <w:ilvl w:val="0"/>
          <w:numId w:val="18"/>
        </w:numPr>
        <w:spacing w:before="0" w:beforeAutospacing="0" w:after="0" w:afterAutospacing="0"/>
        <w:jc w:val="both"/>
        <w:rPr>
          <w:color w:val="000000"/>
          <w:lang w:val="en-US"/>
        </w:rPr>
      </w:pPr>
      <w:r w:rsidRPr="00EE27F4">
        <w:rPr>
          <w:color w:val="000000"/>
          <w:lang w:val="en-US"/>
        </w:rPr>
        <w:t xml:space="preserve">Ahsan, M., Nasir, S., &amp; Abbas, Q. (2023). Product innovation and sustainability outcomes. </w:t>
      </w:r>
      <w:r w:rsidRPr="00EE27F4">
        <w:rPr>
          <w:i/>
          <w:iCs/>
          <w:color w:val="000000"/>
          <w:lang w:val="en-US"/>
        </w:rPr>
        <w:t>Sustainable Production and Consumption.</w:t>
      </w:r>
    </w:p>
    <w:p w14:paraId="413BFB9C" w14:textId="77777777" w:rsidR="00EE27F4" w:rsidRPr="00EE27F4" w:rsidRDefault="00EE27F4" w:rsidP="00EE27F4">
      <w:pPr>
        <w:pStyle w:val="NormalWeb"/>
        <w:numPr>
          <w:ilvl w:val="0"/>
          <w:numId w:val="18"/>
        </w:numPr>
        <w:spacing w:before="0" w:beforeAutospacing="0" w:after="0" w:afterAutospacing="0"/>
        <w:jc w:val="both"/>
        <w:rPr>
          <w:color w:val="000000"/>
          <w:lang w:val="en-US"/>
        </w:rPr>
      </w:pPr>
      <w:r w:rsidRPr="00EE27F4">
        <w:rPr>
          <w:color w:val="000000"/>
          <w:lang w:val="en-US"/>
        </w:rPr>
        <w:t xml:space="preserve">Hayes, R. H., &amp; Wheelwright, S. C. (1984). </w:t>
      </w:r>
      <w:r w:rsidRPr="00EE27F4">
        <w:rPr>
          <w:i/>
          <w:iCs/>
          <w:color w:val="000000"/>
          <w:lang w:val="en-US"/>
        </w:rPr>
        <w:t>Restoring our competitive edge: Competing through manufacturing.</w:t>
      </w:r>
      <w:r w:rsidRPr="00EE27F4">
        <w:rPr>
          <w:color w:val="000000"/>
          <w:lang w:val="en-US"/>
        </w:rPr>
        <w:t xml:space="preserve"> Wiley.</w:t>
      </w:r>
    </w:p>
    <w:p w14:paraId="35306611" w14:textId="77777777" w:rsidR="00EE27F4" w:rsidRPr="00EE27F4" w:rsidRDefault="00EE27F4" w:rsidP="00EE27F4">
      <w:pPr>
        <w:pStyle w:val="NormalWeb"/>
        <w:numPr>
          <w:ilvl w:val="0"/>
          <w:numId w:val="18"/>
        </w:numPr>
        <w:spacing w:before="0" w:beforeAutospacing="0" w:after="0" w:afterAutospacing="0"/>
        <w:jc w:val="both"/>
        <w:rPr>
          <w:color w:val="000000"/>
          <w:lang w:val="en-US"/>
        </w:rPr>
      </w:pPr>
      <w:r w:rsidRPr="00EE27F4">
        <w:rPr>
          <w:color w:val="000000"/>
          <w:lang w:val="en-US"/>
        </w:rPr>
        <w:t xml:space="preserve">Duflou, J. R., Sutherland, J. W., Dornfeld, D., Herrmann, C., </w:t>
      </w:r>
      <w:proofErr w:type="spellStart"/>
      <w:r w:rsidRPr="00EE27F4">
        <w:rPr>
          <w:color w:val="000000"/>
          <w:lang w:val="en-US"/>
        </w:rPr>
        <w:t>Jeswiet</w:t>
      </w:r>
      <w:proofErr w:type="spellEnd"/>
      <w:r w:rsidRPr="00EE27F4">
        <w:rPr>
          <w:color w:val="000000"/>
          <w:lang w:val="en-US"/>
        </w:rPr>
        <w:t xml:space="preserve">, J., Kara, S., Hauschild, M., &amp; </w:t>
      </w:r>
      <w:proofErr w:type="spellStart"/>
      <w:r w:rsidRPr="00EE27F4">
        <w:rPr>
          <w:color w:val="000000"/>
          <w:lang w:val="en-US"/>
        </w:rPr>
        <w:t>Kellens</w:t>
      </w:r>
      <w:proofErr w:type="spellEnd"/>
      <w:r w:rsidRPr="00EE27F4">
        <w:rPr>
          <w:color w:val="000000"/>
          <w:lang w:val="en-US"/>
        </w:rPr>
        <w:t xml:space="preserve">, K. (2012). Towards energy and resource efficient manufacturing: A processes and systems approach. </w:t>
      </w:r>
      <w:r w:rsidRPr="00EE27F4">
        <w:rPr>
          <w:i/>
          <w:iCs/>
          <w:color w:val="000000"/>
          <w:lang w:val="en-US"/>
        </w:rPr>
        <w:t>CIRP Annals, 61</w:t>
      </w:r>
      <w:r w:rsidRPr="00EE27F4">
        <w:rPr>
          <w:color w:val="000000"/>
          <w:lang w:val="en-US"/>
        </w:rPr>
        <w:t>(2), 587–609.</w:t>
      </w:r>
    </w:p>
    <w:p w14:paraId="1CC85E37" w14:textId="77777777" w:rsidR="00EE27F4" w:rsidRPr="00EE27F4" w:rsidRDefault="00EE27F4" w:rsidP="00EE27F4">
      <w:pPr>
        <w:pStyle w:val="NormalWeb"/>
        <w:numPr>
          <w:ilvl w:val="0"/>
          <w:numId w:val="18"/>
        </w:numPr>
        <w:spacing w:before="0" w:beforeAutospacing="0" w:after="0" w:afterAutospacing="0"/>
        <w:jc w:val="both"/>
        <w:rPr>
          <w:color w:val="000000"/>
          <w:lang w:val="en-US"/>
        </w:rPr>
      </w:pPr>
      <w:r w:rsidRPr="00EE27F4">
        <w:rPr>
          <w:color w:val="000000"/>
          <w:lang w:val="en-US"/>
        </w:rPr>
        <w:t xml:space="preserve">Ford, S., &amp; </w:t>
      </w:r>
      <w:proofErr w:type="spellStart"/>
      <w:r w:rsidRPr="00EE27F4">
        <w:rPr>
          <w:color w:val="000000"/>
          <w:lang w:val="en-US"/>
        </w:rPr>
        <w:t>Despeisse</w:t>
      </w:r>
      <w:proofErr w:type="spellEnd"/>
      <w:r w:rsidRPr="00EE27F4">
        <w:rPr>
          <w:color w:val="000000"/>
          <w:lang w:val="en-US"/>
        </w:rPr>
        <w:t xml:space="preserve">, M. (2016). Additive manufacturing and sustainability: An exploratory study of the advantages and challenges. </w:t>
      </w:r>
      <w:r w:rsidRPr="00EE27F4">
        <w:rPr>
          <w:i/>
          <w:iCs/>
          <w:color w:val="000000"/>
          <w:lang w:val="en-US"/>
        </w:rPr>
        <w:t>Journal of Cleaner Production, 137</w:t>
      </w:r>
      <w:r w:rsidRPr="00EE27F4">
        <w:rPr>
          <w:color w:val="000000"/>
          <w:lang w:val="en-US"/>
        </w:rPr>
        <w:t>, 1573–1587.</w:t>
      </w:r>
    </w:p>
    <w:p w14:paraId="4DD314C2" w14:textId="77777777" w:rsidR="00EE27F4" w:rsidRPr="00EE27F4" w:rsidRDefault="00EE27F4" w:rsidP="00EE27F4">
      <w:pPr>
        <w:pStyle w:val="NormalWeb"/>
        <w:numPr>
          <w:ilvl w:val="0"/>
          <w:numId w:val="18"/>
        </w:numPr>
        <w:spacing w:before="0" w:beforeAutospacing="0" w:after="0" w:afterAutospacing="0"/>
        <w:jc w:val="both"/>
        <w:rPr>
          <w:color w:val="000000"/>
          <w:lang w:val="en-US"/>
        </w:rPr>
      </w:pPr>
      <w:proofErr w:type="spellStart"/>
      <w:r w:rsidRPr="00EE27F4">
        <w:rPr>
          <w:color w:val="000000"/>
          <w:lang w:val="en-US"/>
        </w:rPr>
        <w:t>Moktadir</w:t>
      </w:r>
      <w:proofErr w:type="spellEnd"/>
      <w:r w:rsidRPr="00EE27F4">
        <w:rPr>
          <w:color w:val="000000"/>
          <w:lang w:val="en-US"/>
        </w:rPr>
        <w:t xml:space="preserve">, M. A., Ali, S. M., &amp; Rahman, T. (2020). Green manufacturing adoption. </w:t>
      </w:r>
      <w:r w:rsidRPr="00EE27F4">
        <w:rPr>
          <w:i/>
          <w:iCs/>
          <w:color w:val="000000"/>
          <w:lang w:val="en-US"/>
        </w:rPr>
        <w:t>Journal of Cleaner Production.</w:t>
      </w:r>
    </w:p>
    <w:p w14:paraId="35D039D5" w14:textId="77777777" w:rsidR="00EE27F4" w:rsidRPr="00EE27F4" w:rsidRDefault="00EE27F4" w:rsidP="00EE27F4">
      <w:pPr>
        <w:pStyle w:val="NormalWeb"/>
        <w:numPr>
          <w:ilvl w:val="0"/>
          <w:numId w:val="18"/>
        </w:numPr>
        <w:spacing w:before="0" w:beforeAutospacing="0" w:after="0" w:afterAutospacing="0"/>
        <w:jc w:val="both"/>
        <w:rPr>
          <w:color w:val="000000"/>
          <w:lang w:val="en-US"/>
        </w:rPr>
      </w:pPr>
      <w:r w:rsidRPr="00EE27F4">
        <w:rPr>
          <w:color w:val="000000"/>
          <w:lang w:val="en-US"/>
        </w:rPr>
        <w:t xml:space="preserve">Dangelico, R. M., &amp; Pujari, D. (2010). Mainstreaming green product innovation: Why and how companies integrate environmental sustainability. </w:t>
      </w:r>
      <w:r w:rsidRPr="00EE27F4">
        <w:rPr>
          <w:i/>
          <w:iCs/>
          <w:color w:val="000000"/>
          <w:lang w:val="en-US"/>
        </w:rPr>
        <w:t>Business Strategy and the Environment, 19</w:t>
      </w:r>
      <w:r w:rsidRPr="00EE27F4">
        <w:rPr>
          <w:color w:val="000000"/>
          <w:lang w:val="en-US"/>
        </w:rPr>
        <w:t>(5), 471–486.</w:t>
      </w:r>
    </w:p>
    <w:p w14:paraId="104774AD" w14:textId="77777777" w:rsidR="00EE27F4" w:rsidRPr="00EE27F4" w:rsidRDefault="00EE27F4" w:rsidP="00EE27F4">
      <w:pPr>
        <w:pStyle w:val="NormalWeb"/>
        <w:numPr>
          <w:ilvl w:val="0"/>
          <w:numId w:val="18"/>
        </w:numPr>
        <w:spacing w:before="0" w:beforeAutospacing="0" w:after="0" w:afterAutospacing="0"/>
        <w:jc w:val="both"/>
        <w:rPr>
          <w:color w:val="000000"/>
          <w:lang w:val="en-US"/>
        </w:rPr>
      </w:pPr>
      <w:r w:rsidRPr="00EE27F4">
        <w:rPr>
          <w:color w:val="000000"/>
          <w:lang w:val="en-US"/>
        </w:rPr>
        <w:t xml:space="preserve">Chowdhury, M. M. H., Paul, S. K., &amp; Kaisar, S. (2023). Environmental sustainability in manufacturing. </w:t>
      </w:r>
      <w:r w:rsidRPr="00EE27F4">
        <w:rPr>
          <w:i/>
          <w:iCs/>
          <w:color w:val="000000"/>
          <w:lang w:val="en-US"/>
        </w:rPr>
        <w:t>Resources, Conservation &amp; Recycling.</w:t>
      </w:r>
    </w:p>
    <w:p w14:paraId="2053D197" w14:textId="77777777" w:rsidR="00EE27F4" w:rsidRPr="00EE27F4" w:rsidRDefault="00EE27F4" w:rsidP="00EE27F4">
      <w:pPr>
        <w:pStyle w:val="NormalWeb"/>
        <w:numPr>
          <w:ilvl w:val="0"/>
          <w:numId w:val="18"/>
        </w:numPr>
        <w:spacing w:before="0" w:beforeAutospacing="0" w:after="0" w:afterAutospacing="0"/>
        <w:jc w:val="both"/>
        <w:rPr>
          <w:color w:val="000000"/>
          <w:lang w:val="en-US"/>
        </w:rPr>
      </w:pPr>
      <w:r w:rsidRPr="00EE27F4">
        <w:rPr>
          <w:color w:val="000000"/>
          <w:lang w:val="en-US"/>
        </w:rPr>
        <w:t xml:space="preserve">Carter, C. R., &amp; Rogers, D. S. (2008). A framework of sustainable supply chain management: Moving toward new theory. </w:t>
      </w:r>
      <w:r w:rsidRPr="00EE27F4">
        <w:rPr>
          <w:i/>
          <w:iCs/>
          <w:color w:val="000000"/>
          <w:lang w:val="en-US"/>
        </w:rPr>
        <w:t>International Journal of Physical Distribution &amp; Logistics Management, 38</w:t>
      </w:r>
      <w:r w:rsidRPr="00EE27F4">
        <w:rPr>
          <w:color w:val="000000"/>
          <w:lang w:val="en-US"/>
        </w:rPr>
        <w:t>(5), 360–387.</w:t>
      </w:r>
    </w:p>
    <w:p w14:paraId="4A9C3EEF" w14:textId="77777777" w:rsidR="00EE27F4" w:rsidRPr="00EE27F4" w:rsidRDefault="00EE27F4" w:rsidP="00EE27F4">
      <w:pPr>
        <w:pStyle w:val="NormalWeb"/>
        <w:numPr>
          <w:ilvl w:val="0"/>
          <w:numId w:val="18"/>
        </w:numPr>
        <w:spacing w:before="0" w:beforeAutospacing="0" w:after="0" w:afterAutospacing="0"/>
        <w:jc w:val="both"/>
        <w:rPr>
          <w:color w:val="000000"/>
          <w:lang w:val="en-US"/>
        </w:rPr>
      </w:pPr>
      <w:r w:rsidRPr="00EE27F4">
        <w:rPr>
          <w:color w:val="000000"/>
          <w:lang w:val="en-US"/>
        </w:rPr>
        <w:t xml:space="preserve">Govindan, K., </w:t>
      </w:r>
      <w:proofErr w:type="spellStart"/>
      <w:r w:rsidRPr="00EE27F4">
        <w:rPr>
          <w:color w:val="000000"/>
          <w:lang w:val="en-US"/>
        </w:rPr>
        <w:t>Diabat</w:t>
      </w:r>
      <w:proofErr w:type="spellEnd"/>
      <w:r w:rsidRPr="00EE27F4">
        <w:rPr>
          <w:color w:val="000000"/>
          <w:lang w:val="en-US"/>
        </w:rPr>
        <w:t xml:space="preserve">, A., &amp; Shankar, K. M. (2015). Analyzing the drivers of green manufacturing with fuzzy approach. </w:t>
      </w:r>
      <w:r w:rsidRPr="00EE27F4">
        <w:rPr>
          <w:i/>
          <w:iCs/>
          <w:color w:val="000000"/>
          <w:lang w:val="en-US"/>
        </w:rPr>
        <w:t>Journal of Cleaner Production.</w:t>
      </w:r>
    </w:p>
    <w:p w14:paraId="67272FB0" w14:textId="77777777" w:rsidR="00EE27F4" w:rsidRPr="00EE27F4" w:rsidRDefault="00EE27F4" w:rsidP="00EE27F4">
      <w:pPr>
        <w:pStyle w:val="NormalWeb"/>
        <w:numPr>
          <w:ilvl w:val="0"/>
          <w:numId w:val="18"/>
        </w:numPr>
        <w:spacing w:before="0" w:beforeAutospacing="0" w:after="0" w:afterAutospacing="0"/>
        <w:jc w:val="both"/>
        <w:rPr>
          <w:color w:val="000000"/>
          <w:lang w:val="en-US"/>
        </w:rPr>
      </w:pPr>
      <w:r w:rsidRPr="00EE27F4">
        <w:rPr>
          <w:color w:val="000000"/>
          <w:lang w:val="en-US"/>
        </w:rPr>
        <w:t xml:space="preserve">Bag, S., &amp; Pretorius, J. H. C. (2022). Leadership and sustainability integration in manufacturing. </w:t>
      </w:r>
      <w:r w:rsidRPr="00EE27F4">
        <w:rPr>
          <w:i/>
          <w:iCs/>
          <w:color w:val="000000"/>
          <w:lang w:val="en-US"/>
        </w:rPr>
        <w:t>Business Strategy and the Environment.</w:t>
      </w:r>
    </w:p>
    <w:p w14:paraId="655D5D1C" w14:textId="77777777" w:rsidR="00EE27F4" w:rsidRPr="00EE27F4" w:rsidRDefault="00EE27F4" w:rsidP="00EE27F4">
      <w:pPr>
        <w:pStyle w:val="NormalWeb"/>
        <w:numPr>
          <w:ilvl w:val="0"/>
          <w:numId w:val="18"/>
        </w:numPr>
        <w:spacing w:before="0" w:beforeAutospacing="0" w:after="0" w:afterAutospacing="0"/>
        <w:jc w:val="both"/>
        <w:rPr>
          <w:color w:val="000000"/>
          <w:lang w:val="en-US"/>
        </w:rPr>
      </w:pPr>
      <w:r w:rsidRPr="00EE27F4">
        <w:rPr>
          <w:color w:val="000000"/>
          <w:lang w:val="en-US"/>
        </w:rPr>
        <w:t xml:space="preserve">Tortorella, G. L., Giglio, R., &amp; Sawhney, R. (2023). Industry 4.0 and operations performance. </w:t>
      </w:r>
      <w:r w:rsidRPr="00EE27F4">
        <w:rPr>
          <w:i/>
          <w:iCs/>
          <w:color w:val="000000"/>
          <w:lang w:val="en-US"/>
        </w:rPr>
        <w:t>International Journal of Production Research.</w:t>
      </w:r>
    </w:p>
    <w:p w14:paraId="49C9E3C6" w14:textId="77777777" w:rsidR="00EE27F4" w:rsidRPr="00EE27F4" w:rsidRDefault="00EE27F4" w:rsidP="00EE27F4">
      <w:pPr>
        <w:pStyle w:val="NormalWeb"/>
        <w:numPr>
          <w:ilvl w:val="0"/>
          <w:numId w:val="18"/>
        </w:numPr>
        <w:spacing w:before="0" w:beforeAutospacing="0" w:after="0" w:afterAutospacing="0"/>
        <w:jc w:val="both"/>
        <w:rPr>
          <w:color w:val="000000"/>
          <w:lang w:val="en-US"/>
        </w:rPr>
      </w:pPr>
      <w:proofErr w:type="spellStart"/>
      <w:r w:rsidRPr="00EE27F4">
        <w:rPr>
          <w:color w:val="000000"/>
          <w:lang w:val="en-US"/>
        </w:rPr>
        <w:lastRenderedPageBreak/>
        <w:t>Mourtzis</w:t>
      </w:r>
      <w:proofErr w:type="spellEnd"/>
      <w:r w:rsidRPr="00EE27F4">
        <w:rPr>
          <w:color w:val="000000"/>
          <w:lang w:val="en-US"/>
        </w:rPr>
        <w:t xml:space="preserve">, D. (2022). Digital manufacturing systems and Industry 4.0. </w:t>
      </w:r>
      <w:r w:rsidRPr="00EE27F4">
        <w:rPr>
          <w:i/>
          <w:iCs/>
          <w:color w:val="000000"/>
          <w:lang w:val="en-US"/>
        </w:rPr>
        <w:t>Robotics and Computer-Integrated Manufacturing.</w:t>
      </w:r>
    </w:p>
    <w:p w14:paraId="6133EC48" w14:textId="77777777" w:rsidR="00EE27F4" w:rsidRPr="00EE27F4" w:rsidRDefault="00EE27F4" w:rsidP="00EE27F4">
      <w:pPr>
        <w:pStyle w:val="NormalWeb"/>
        <w:numPr>
          <w:ilvl w:val="0"/>
          <w:numId w:val="18"/>
        </w:numPr>
        <w:spacing w:before="0" w:beforeAutospacing="0" w:after="0" w:afterAutospacing="0"/>
        <w:jc w:val="both"/>
        <w:rPr>
          <w:color w:val="000000"/>
          <w:lang w:val="en-US"/>
        </w:rPr>
      </w:pPr>
      <w:r w:rsidRPr="00EE27F4">
        <w:rPr>
          <w:color w:val="000000"/>
          <w:lang w:val="en-US"/>
        </w:rPr>
        <w:t>Olan, F., Liu, S., &amp; Sukumar, A. (2022). Digital transformation in industry: Digital twins and new business models. Springer.</w:t>
      </w:r>
    </w:p>
    <w:p w14:paraId="1FFC7FB1" w14:textId="77777777" w:rsidR="00EE27F4" w:rsidRPr="00EE27F4" w:rsidRDefault="00EE27F4" w:rsidP="00EE27F4">
      <w:pPr>
        <w:pStyle w:val="NormalWeb"/>
        <w:numPr>
          <w:ilvl w:val="0"/>
          <w:numId w:val="18"/>
        </w:numPr>
        <w:spacing w:before="0" w:beforeAutospacing="0" w:after="0" w:afterAutospacing="0"/>
        <w:jc w:val="both"/>
        <w:rPr>
          <w:color w:val="000000"/>
          <w:lang w:val="en-US"/>
        </w:rPr>
      </w:pPr>
      <w:r w:rsidRPr="00EE27F4">
        <w:rPr>
          <w:color w:val="000000"/>
          <w:lang w:val="en-US"/>
        </w:rPr>
        <w:t xml:space="preserve">Hermann, M., Pentek, T., &amp; Otto, B. (2019). Design principles for Industrie 4.0 scenarios. </w:t>
      </w:r>
      <w:r w:rsidRPr="00EE27F4">
        <w:rPr>
          <w:i/>
          <w:iCs/>
          <w:color w:val="000000"/>
          <w:lang w:val="en-US"/>
        </w:rPr>
        <w:t>Proceedings of the 49th Hawaii International Conference on System Sciences.</w:t>
      </w:r>
    </w:p>
    <w:p w14:paraId="34BB749B" w14:textId="77777777" w:rsidR="00EE27F4" w:rsidRPr="00EE27F4" w:rsidRDefault="00EE27F4" w:rsidP="00EE27F4">
      <w:pPr>
        <w:pStyle w:val="NormalWeb"/>
        <w:numPr>
          <w:ilvl w:val="0"/>
          <w:numId w:val="18"/>
        </w:numPr>
        <w:spacing w:before="0" w:beforeAutospacing="0" w:after="0" w:afterAutospacing="0"/>
        <w:jc w:val="both"/>
        <w:rPr>
          <w:color w:val="000000"/>
          <w:lang w:val="en-US"/>
        </w:rPr>
      </w:pPr>
      <w:r w:rsidRPr="00EE27F4">
        <w:rPr>
          <w:color w:val="000000"/>
          <w:lang w:val="en-US"/>
        </w:rPr>
        <w:t xml:space="preserve">Javaid, M., Haleem, A., Singh, R. P., &amp; Suman, R. (2022). </w:t>
      </w:r>
      <w:proofErr w:type="spellStart"/>
      <w:r w:rsidRPr="00EE27F4">
        <w:rPr>
          <w:color w:val="000000"/>
          <w:lang w:val="en-US"/>
        </w:rPr>
        <w:t>Microfactories</w:t>
      </w:r>
      <w:proofErr w:type="spellEnd"/>
      <w:r w:rsidRPr="00EE27F4">
        <w:rPr>
          <w:color w:val="000000"/>
          <w:lang w:val="en-US"/>
        </w:rPr>
        <w:t xml:space="preserve"> and sustainable manufacturing transformation. </w:t>
      </w:r>
      <w:r w:rsidRPr="00EE27F4">
        <w:rPr>
          <w:i/>
          <w:iCs/>
          <w:color w:val="000000"/>
          <w:lang w:val="en-US"/>
        </w:rPr>
        <w:t>Journal of Cleaner Production.</w:t>
      </w:r>
    </w:p>
    <w:p w14:paraId="167526D8" w14:textId="77777777" w:rsidR="00EE27F4" w:rsidRPr="00EE27F4" w:rsidRDefault="00EE27F4" w:rsidP="00EE27F4">
      <w:pPr>
        <w:pStyle w:val="NormalWeb"/>
        <w:numPr>
          <w:ilvl w:val="0"/>
          <w:numId w:val="18"/>
        </w:numPr>
        <w:spacing w:before="0" w:beforeAutospacing="0" w:after="0" w:afterAutospacing="0"/>
        <w:jc w:val="both"/>
        <w:rPr>
          <w:color w:val="000000"/>
          <w:lang w:val="en-US"/>
        </w:rPr>
      </w:pPr>
      <w:r w:rsidRPr="00EE27F4">
        <w:rPr>
          <w:color w:val="000000"/>
          <w:lang w:val="en-US"/>
        </w:rPr>
        <w:t xml:space="preserve">Hair, J. F., Black, W. C., Babin, B. J., &amp; Anderson, R. E. (2019). </w:t>
      </w:r>
      <w:r w:rsidRPr="00EE27F4">
        <w:rPr>
          <w:i/>
          <w:iCs/>
          <w:color w:val="000000"/>
          <w:lang w:val="en-US"/>
        </w:rPr>
        <w:t>Multivariate data analysis</w:t>
      </w:r>
      <w:r w:rsidRPr="00EE27F4">
        <w:rPr>
          <w:color w:val="000000"/>
          <w:lang w:val="en-US"/>
        </w:rPr>
        <w:t xml:space="preserve"> (8th ed.). Cengage Learning.</w:t>
      </w:r>
    </w:p>
    <w:p w14:paraId="275FD95A" w14:textId="77777777" w:rsidR="00EE27F4" w:rsidRPr="00EE27F4" w:rsidRDefault="00EE27F4" w:rsidP="00EE27F4">
      <w:pPr>
        <w:pStyle w:val="NormalWeb"/>
        <w:numPr>
          <w:ilvl w:val="0"/>
          <w:numId w:val="18"/>
        </w:numPr>
        <w:spacing w:before="0" w:beforeAutospacing="0" w:after="0" w:afterAutospacing="0"/>
        <w:jc w:val="both"/>
        <w:rPr>
          <w:color w:val="000000"/>
          <w:lang w:val="en-US"/>
        </w:rPr>
      </w:pPr>
      <w:r w:rsidRPr="00EE27F4">
        <w:rPr>
          <w:color w:val="000000"/>
          <w:lang w:val="en-US"/>
        </w:rPr>
        <w:t xml:space="preserve">Joshi, A., Kale, S., Chandel, S., &amp; Pal, D. K. (2015). Likert scale: Explored and explained. </w:t>
      </w:r>
      <w:r w:rsidRPr="00EE27F4">
        <w:rPr>
          <w:i/>
          <w:iCs/>
          <w:color w:val="000000"/>
          <w:lang w:val="en-US"/>
        </w:rPr>
        <w:t>British Journal of Applied Science &amp; Technology, 7</w:t>
      </w:r>
      <w:r w:rsidRPr="00EE27F4">
        <w:rPr>
          <w:color w:val="000000"/>
          <w:lang w:val="en-US"/>
        </w:rPr>
        <w:t>(4), 396–403.</w:t>
      </w:r>
    </w:p>
    <w:p w14:paraId="232223F8" w14:textId="77777777" w:rsidR="00EE27F4" w:rsidRPr="00EE27F4" w:rsidRDefault="00EE27F4" w:rsidP="00EE27F4">
      <w:pPr>
        <w:pStyle w:val="NormalWeb"/>
        <w:numPr>
          <w:ilvl w:val="0"/>
          <w:numId w:val="18"/>
        </w:numPr>
        <w:spacing w:before="0" w:beforeAutospacing="0" w:after="0" w:afterAutospacing="0"/>
        <w:jc w:val="both"/>
        <w:rPr>
          <w:color w:val="000000"/>
          <w:lang w:val="en-US"/>
        </w:rPr>
      </w:pPr>
      <w:r w:rsidRPr="00EE27F4">
        <w:rPr>
          <w:color w:val="000000"/>
          <w:lang w:val="en-US"/>
        </w:rPr>
        <w:t xml:space="preserve">Hayes, A. F. (2018). </w:t>
      </w:r>
      <w:r w:rsidRPr="00EE27F4">
        <w:rPr>
          <w:i/>
          <w:iCs/>
          <w:color w:val="000000"/>
          <w:lang w:val="en-US"/>
        </w:rPr>
        <w:t>Introduction to mediation, moderation, and conditional process analysis: A regression-based approach</w:t>
      </w:r>
      <w:r w:rsidRPr="00EE27F4">
        <w:rPr>
          <w:color w:val="000000"/>
          <w:lang w:val="en-US"/>
        </w:rPr>
        <w:t xml:space="preserve"> (2nd ed.). Guilford Press.</w:t>
      </w:r>
    </w:p>
    <w:p w14:paraId="34D428A7" w14:textId="0CC3693E" w:rsidR="001E0406" w:rsidRPr="005B0C91" w:rsidRDefault="001E0406" w:rsidP="00EE27F4">
      <w:pPr>
        <w:pStyle w:val="NormalWeb"/>
        <w:spacing w:before="0" w:beforeAutospacing="0" w:after="0" w:afterAutospacing="0"/>
        <w:ind w:left="360" w:hanging="360"/>
        <w:jc w:val="both"/>
        <w:rPr>
          <w:color w:val="000000"/>
        </w:rPr>
      </w:pPr>
    </w:p>
    <w:sectPr w:rsidR="001E0406" w:rsidRPr="005B0C91" w:rsidSect="00EE27F4">
      <w:footerReference w:type="default" r:id="rId10"/>
      <w:headerReference w:type="first" r:id="rId11"/>
      <w:pgSz w:w="11906" w:h="16838"/>
      <w:pgMar w:top="1094" w:right="605" w:bottom="605" w:left="605"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06CED" w14:textId="77777777" w:rsidR="005C5119" w:rsidRDefault="005C5119" w:rsidP="00050ECA">
      <w:pPr>
        <w:spacing w:after="0"/>
      </w:pPr>
      <w:r>
        <w:separator/>
      </w:r>
    </w:p>
  </w:endnote>
  <w:endnote w:type="continuationSeparator" w:id="0">
    <w:p w14:paraId="60C81842" w14:textId="77777777" w:rsidR="005C5119" w:rsidRDefault="005C5119" w:rsidP="00050E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w:altName w:val="Times New Roman"/>
    <w:panose1 w:val="00000000000000000000"/>
    <w:charset w:val="4D"/>
    <w:family w:val="roman"/>
    <w:notTrueType/>
    <w:pitch w:val="default"/>
    <w:sig w:usb0="84A67A8C" w:usb1="1E248F85" w:usb2="38B00E00" w:usb3="00404000" w:csb0="C0FAFFB7" w:csb1="E803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3372353"/>
      <w:docPartObj>
        <w:docPartGallery w:val="Page Numbers (Bottom of Page)"/>
        <w:docPartUnique/>
      </w:docPartObj>
    </w:sdtPr>
    <w:sdtEndPr>
      <w:rPr>
        <w:noProof/>
      </w:rPr>
    </w:sdtEndPr>
    <w:sdtContent>
      <w:p w14:paraId="4865098B" w14:textId="08F2BB09" w:rsidR="00EE27F4" w:rsidRDefault="00EE27F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20359B" w14:textId="77777777" w:rsidR="009B64B1" w:rsidRDefault="009B6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1DDA8" w14:textId="77777777" w:rsidR="005C5119" w:rsidRDefault="005C5119" w:rsidP="00050ECA">
      <w:pPr>
        <w:spacing w:after="0"/>
      </w:pPr>
      <w:r>
        <w:separator/>
      </w:r>
    </w:p>
  </w:footnote>
  <w:footnote w:type="continuationSeparator" w:id="0">
    <w:p w14:paraId="550E46E4" w14:textId="77777777" w:rsidR="005C5119" w:rsidRDefault="005C5119" w:rsidP="00050EC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EF5E1" w14:textId="77777777" w:rsidR="00924412" w:rsidRPr="008D5BBF" w:rsidRDefault="00924412" w:rsidP="00924412">
    <w:pPr>
      <w:pStyle w:val="Header"/>
    </w:pPr>
  </w:p>
  <w:p w14:paraId="10C79C73" w14:textId="77777777" w:rsidR="00924412" w:rsidRDefault="009244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C41B7"/>
    <w:multiLevelType w:val="hybridMultilevel"/>
    <w:tmpl w:val="7402F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905C60"/>
    <w:multiLevelType w:val="hybridMultilevel"/>
    <w:tmpl w:val="2A624268"/>
    <w:lvl w:ilvl="0" w:tplc="0409000F">
      <w:start w:val="1"/>
      <w:numFmt w:val="decimal"/>
      <w:lvlText w:val="%1."/>
      <w:lvlJc w:val="left"/>
      <w:pPr>
        <w:ind w:left="894" w:hanging="360"/>
      </w:pPr>
    </w:lvl>
    <w:lvl w:ilvl="1" w:tplc="04090019" w:tentative="1">
      <w:start w:val="1"/>
      <w:numFmt w:val="lowerLetter"/>
      <w:lvlText w:val="%2."/>
      <w:lvlJc w:val="left"/>
      <w:pPr>
        <w:ind w:left="1614" w:hanging="360"/>
      </w:pPr>
    </w:lvl>
    <w:lvl w:ilvl="2" w:tplc="0409001B" w:tentative="1">
      <w:start w:val="1"/>
      <w:numFmt w:val="lowerRoman"/>
      <w:lvlText w:val="%3."/>
      <w:lvlJc w:val="right"/>
      <w:pPr>
        <w:ind w:left="2334" w:hanging="180"/>
      </w:pPr>
    </w:lvl>
    <w:lvl w:ilvl="3" w:tplc="0409000F" w:tentative="1">
      <w:start w:val="1"/>
      <w:numFmt w:val="decimal"/>
      <w:lvlText w:val="%4."/>
      <w:lvlJc w:val="left"/>
      <w:pPr>
        <w:ind w:left="3054" w:hanging="360"/>
      </w:pPr>
    </w:lvl>
    <w:lvl w:ilvl="4" w:tplc="04090019" w:tentative="1">
      <w:start w:val="1"/>
      <w:numFmt w:val="lowerLetter"/>
      <w:lvlText w:val="%5."/>
      <w:lvlJc w:val="left"/>
      <w:pPr>
        <w:ind w:left="3774" w:hanging="360"/>
      </w:pPr>
    </w:lvl>
    <w:lvl w:ilvl="5" w:tplc="0409001B" w:tentative="1">
      <w:start w:val="1"/>
      <w:numFmt w:val="lowerRoman"/>
      <w:lvlText w:val="%6."/>
      <w:lvlJc w:val="right"/>
      <w:pPr>
        <w:ind w:left="4494" w:hanging="180"/>
      </w:pPr>
    </w:lvl>
    <w:lvl w:ilvl="6" w:tplc="0409000F" w:tentative="1">
      <w:start w:val="1"/>
      <w:numFmt w:val="decimal"/>
      <w:lvlText w:val="%7."/>
      <w:lvlJc w:val="left"/>
      <w:pPr>
        <w:ind w:left="5214" w:hanging="360"/>
      </w:pPr>
    </w:lvl>
    <w:lvl w:ilvl="7" w:tplc="04090019" w:tentative="1">
      <w:start w:val="1"/>
      <w:numFmt w:val="lowerLetter"/>
      <w:lvlText w:val="%8."/>
      <w:lvlJc w:val="left"/>
      <w:pPr>
        <w:ind w:left="5934" w:hanging="360"/>
      </w:pPr>
    </w:lvl>
    <w:lvl w:ilvl="8" w:tplc="0409001B" w:tentative="1">
      <w:start w:val="1"/>
      <w:numFmt w:val="lowerRoman"/>
      <w:lvlText w:val="%9."/>
      <w:lvlJc w:val="right"/>
      <w:pPr>
        <w:ind w:left="6654" w:hanging="180"/>
      </w:pPr>
    </w:lvl>
  </w:abstractNum>
  <w:abstractNum w:abstractNumId="2" w15:restartNumberingAfterBreak="0">
    <w:nsid w:val="1A893AF2"/>
    <w:multiLevelType w:val="hybridMultilevel"/>
    <w:tmpl w:val="042A196A"/>
    <w:lvl w:ilvl="0" w:tplc="4B1C05B2">
      <w:start w:val="1"/>
      <w:numFmt w:val="decimal"/>
      <w:lvlText w:val="2.%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712B98"/>
    <w:multiLevelType w:val="hybridMultilevel"/>
    <w:tmpl w:val="2A1496DC"/>
    <w:lvl w:ilvl="0" w:tplc="294EFAC0">
      <w:start w:val="1"/>
      <w:numFmt w:val="upperLetter"/>
      <w:lvlText w:val="%1."/>
      <w:lvlJc w:val="left"/>
      <w:pPr>
        <w:ind w:left="720" w:hanging="360"/>
      </w:pPr>
      <w:rPr>
        <w:rFonts w:ascii="Cambria" w:hAnsi="Cambria" w:hint="default"/>
        <w:i/>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21ED31EE"/>
    <w:multiLevelType w:val="multilevel"/>
    <w:tmpl w:val="019AB460"/>
    <w:lvl w:ilvl="0">
      <w:start w:val="1"/>
      <w:numFmt w:val="decimal"/>
      <w:lvlText w:val="%1."/>
      <w:lvlJc w:val="left"/>
      <w:pPr>
        <w:ind w:left="360" w:hanging="360"/>
      </w:pPr>
      <w:rPr>
        <w:rFonts w:hint="default"/>
        <w:b/>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28126C90"/>
    <w:multiLevelType w:val="hybridMultilevel"/>
    <w:tmpl w:val="219828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D535B6"/>
    <w:multiLevelType w:val="hybridMultilevel"/>
    <w:tmpl w:val="48623C24"/>
    <w:lvl w:ilvl="0" w:tplc="4F42292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C4A5C19"/>
    <w:multiLevelType w:val="hybridMultilevel"/>
    <w:tmpl w:val="D012DA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D781E82"/>
    <w:multiLevelType w:val="multilevel"/>
    <w:tmpl w:val="31607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6B5DDC"/>
    <w:multiLevelType w:val="hybridMultilevel"/>
    <w:tmpl w:val="7674BE92"/>
    <w:lvl w:ilvl="0" w:tplc="0409000F">
      <w:start w:val="1"/>
      <w:numFmt w:val="decimal"/>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0A81E53"/>
    <w:multiLevelType w:val="hybridMultilevel"/>
    <w:tmpl w:val="379020E8"/>
    <w:lvl w:ilvl="0" w:tplc="1A988F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FE182C"/>
    <w:multiLevelType w:val="hybridMultilevel"/>
    <w:tmpl w:val="028888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BC460F"/>
    <w:multiLevelType w:val="hybridMultilevel"/>
    <w:tmpl w:val="AF9EBA2E"/>
    <w:lvl w:ilvl="0" w:tplc="04090013">
      <w:start w:val="1"/>
      <w:numFmt w:val="upperRoman"/>
      <w:lvlText w:val="%1."/>
      <w:lvlJc w:val="right"/>
      <w:pPr>
        <w:ind w:left="720" w:hanging="360"/>
      </w:pPr>
    </w:lvl>
    <w:lvl w:ilvl="1" w:tplc="18F0F914">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1D6FFA"/>
    <w:multiLevelType w:val="hybridMultilevel"/>
    <w:tmpl w:val="2A1A7B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A310FD1"/>
    <w:multiLevelType w:val="hybridMultilevel"/>
    <w:tmpl w:val="5B983CAC"/>
    <w:lvl w:ilvl="0" w:tplc="0809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902665F"/>
    <w:multiLevelType w:val="hybridMultilevel"/>
    <w:tmpl w:val="A0F689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7D2A6E"/>
    <w:multiLevelType w:val="multilevel"/>
    <w:tmpl w:val="3FEA652E"/>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713678"/>
    <w:multiLevelType w:val="multilevel"/>
    <w:tmpl w:val="B014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2146506">
    <w:abstractNumId w:val="1"/>
  </w:num>
  <w:num w:numId="2" w16cid:durableId="2033142105">
    <w:abstractNumId w:val="15"/>
  </w:num>
  <w:num w:numId="3" w16cid:durableId="1422992118">
    <w:abstractNumId w:val="13"/>
  </w:num>
  <w:num w:numId="4" w16cid:durableId="538976172">
    <w:abstractNumId w:val="4"/>
  </w:num>
  <w:num w:numId="5" w16cid:durableId="461460121">
    <w:abstractNumId w:val="2"/>
  </w:num>
  <w:num w:numId="6" w16cid:durableId="1787654577">
    <w:abstractNumId w:val="14"/>
  </w:num>
  <w:num w:numId="7" w16cid:durableId="1747871941">
    <w:abstractNumId w:val="3"/>
  </w:num>
  <w:num w:numId="8" w16cid:durableId="303052149">
    <w:abstractNumId w:val="0"/>
  </w:num>
  <w:num w:numId="9" w16cid:durableId="452596300">
    <w:abstractNumId w:val="5"/>
  </w:num>
  <w:num w:numId="10" w16cid:durableId="1134982729">
    <w:abstractNumId w:val="17"/>
  </w:num>
  <w:num w:numId="11" w16cid:durableId="49811804">
    <w:abstractNumId w:val="16"/>
  </w:num>
  <w:num w:numId="12" w16cid:durableId="1420523159">
    <w:abstractNumId w:val="12"/>
  </w:num>
  <w:num w:numId="13" w16cid:durableId="1679693675">
    <w:abstractNumId w:val="10"/>
  </w:num>
  <w:num w:numId="14" w16cid:durableId="441802062">
    <w:abstractNumId w:val="11"/>
  </w:num>
  <w:num w:numId="15" w16cid:durableId="749274446">
    <w:abstractNumId w:val="7"/>
  </w:num>
  <w:num w:numId="16" w16cid:durableId="1940603368">
    <w:abstractNumId w:val="6"/>
  </w:num>
  <w:num w:numId="17" w16cid:durableId="306782634">
    <w:abstractNumId w:val="9"/>
  </w:num>
  <w:num w:numId="18" w16cid:durableId="18268218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406"/>
    <w:rsid w:val="00036658"/>
    <w:rsid w:val="00040D4E"/>
    <w:rsid w:val="00050ECA"/>
    <w:rsid w:val="00066531"/>
    <w:rsid w:val="000A729E"/>
    <w:rsid w:val="000B46D2"/>
    <w:rsid w:val="000B7E95"/>
    <w:rsid w:val="000C0680"/>
    <w:rsid w:val="001068C9"/>
    <w:rsid w:val="00110DD1"/>
    <w:rsid w:val="00112B21"/>
    <w:rsid w:val="00116F5D"/>
    <w:rsid w:val="00124E4E"/>
    <w:rsid w:val="001423A6"/>
    <w:rsid w:val="00155EFB"/>
    <w:rsid w:val="00174F1A"/>
    <w:rsid w:val="00184C8D"/>
    <w:rsid w:val="00187E4E"/>
    <w:rsid w:val="00191B06"/>
    <w:rsid w:val="0019251F"/>
    <w:rsid w:val="001A528F"/>
    <w:rsid w:val="001C6F68"/>
    <w:rsid w:val="001D6C9F"/>
    <w:rsid w:val="001E0406"/>
    <w:rsid w:val="0020120A"/>
    <w:rsid w:val="002430B7"/>
    <w:rsid w:val="00250111"/>
    <w:rsid w:val="00253727"/>
    <w:rsid w:val="0025726B"/>
    <w:rsid w:val="00291156"/>
    <w:rsid w:val="002A0113"/>
    <w:rsid w:val="002A2EB1"/>
    <w:rsid w:val="002A72D8"/>
    <w:rsid w:val="002E2B51"/>
    <w:rsid w:val="002F2D73"/>
    <w:rsid w:val="00304707"/>
    <w:rsid w:val="003056B2"/>
    <w:rsid w:val="00324D1B"/>
    <w:rsid w:val="00371F6C"/>
    <w:rsid w:val="003869CB"/>
    <w:rsid w:val="003A20C6"/>
    <w:rsid w:val="003B50D8"/>
    <w:rsid w:val="003C0C38"/>
    <w:rsid w:val="003D214D"/>
    <w:rsid w:val="003F432B"/>
    <w:rsid w:val="003F6E28"/>
    <w:rsid w:val="00404301"/>
    <w:rsid w:val="00434435"/>
    <w:rsid w:val="00434FAB"/>
    <w:rsid w:val="0043506D"/>
    <w:rsid w:val="00441421"/>
    <w:rsid w:val="00445EE1"/>
    <w:rsid w:val="00452036"/>
    <w:rsid w:val="00452D14"/>
    <w:rsid w:val="004744AD"/>
    <w:rsid w:val="004B4805"/>
    <w:rsid w:val="004C57A5"/>
    <w:rsid w:val="00532D5B"/>
    <w:rsid w:val="00547D60"/>
    <w:rsid w:val="00573F7D"/>
    <w:rsid w:val="00585FC9"/>
    <w:rsid w:val="005A1B22"/>
    <w:rsid w:val="005B0C91"/>
    <w:rsid w:val="005C5119"/>
    <w:rsid w:val="005D6609"/>
    <w:rsid w:val="00605047"/>
    <w:rsid w:val="00615012"/>
    <w:rsid w:val="00620A8C"/>
    <w:rsid w:val="006505D6"/>
    <w:rsid w:val="00657206"/>
    <w:rsid w:val="00675DDF"/>
    <w:rsid w:val="00693CF7"/>
    <w:rsid w:val="006A18AE"/>
    <w:rsid w:val="006D0EE6"/>
    <w:rsid w:val="006E2148"/>
    <w:rsid w:val="006F5591"/>
    <w:rsid w:val="00710767"/>
    <w:rsid w:val="0071081F"/>
    <w:rsid w:val="00720633"/>
    <w:rsid w:val="00726C68"/>
    <w:rsid w:val="00731945"/>
    <w:rsid w:val="00737A86"/>
    <w:rsid w:val="007467BC"/>
    <w:rsid w:val="00747A44"/>
    <w:rsid w:val="00762251"/>
    <w:rsid w:val="00783060"/>
    <w:rsid w:val="00783BF2"/>
    <w:rsid w:val="007C2EA3"/>
    <w:rsid w:val="008143C5"/>
    <w:rsid w:val="00823EF3"/>
    <w:rsid w:val="00824BF7"/>
    <w:rsid w:val="00825DA6"/>
    <w:rsid w:val="00836AA2"/>
    <w:rsid w:val="00846C19"/>
    <w:rsid w:val="00873583"/>
    <w:rsid w:val="0087708D"/>
    <w:rsid w:val="0088214B"/>
    <w:rsid w:val="00893B88"/>
    <w:rsid w:val="008A1315"/>
    <w:rsid w:val="008F5B6C"/>
    <w:rsid w:val="00924412"/>
    <w:rsid w:val="009552E8"/>
    <w:rsid w:val="00964977"/>
    <w:rsid w:val="00972632"/>
    <w:rsid w:val="009858C7"/>
    <w:rsid w:val="0099209B"/>
    <w:rsid w:val="00992CDC"/>
    <w:rsid w:val="009B64B1"/>
    <w:rsid w:val="009C2AE2"/>
    <w:rsid w:val="009C3CA5"/>
    <w:rsid w:val="009D6393"/>
    <w:rsid w:val="009D63D2"/>
    <w:rsid w:val="009E592F"/>
    <w:rsid w:val="00A06B55"/>
    <w:rsid w:val="00A123DE"/>
    <w:rsid w:val="00A269FA"/>
    <w:rsid w:val="00A42794"/>
    <w:rsid w:val="00A5100C"/>
    <w:rsid w:val="00A76DB2"/>
    <w:rsid w:val="00A85FAC"/>
    <w:rsid w:val="00A902AC"/>
    <w:rsid w:val="00AA09CB"/>
    <w:rsid w:val="00AF176A"/>
    <w:rsid w:val="00B02BD6"/>
    <w:rsid w:val="00B05447"/>
    <w:rsid w:val="00B1292A"/>
    <w:rsid w:val="00B16D6E"/>
    <w:rsid w:val="00B308CA"/>
    <w:rsid w:val="00B31BDC"/>
    <w:rsid w:val="00B35354"/>
    <w:rsid w:val="00B35E9A"/>
    <w:rsid w:val="00B65AC7"/>
    <w:rsid w:val="00B74E1A"/>
    <w:rsid w:val="00B855BC"/>
    <w:rsid w:val="00B856FA"/>
    <w:rsid w:val="00B97422"/>
    <w:rsid w:val="00BC6593"/>
    <w:rsid w:val="00C00DC5"/>
    <w:rsid w:val="00C9218F"/>
    <w:rsid w:val="00C9272B"/>
    <w:rsid w:val="00CA3CC3"/>
    <w:rsid w:val="00CC7364"/>
    <w:rsid w:val="00CE4614"/>
    <w:rsid w:val="00CE4734"/>
    <w:rsid w:val="00D17DD3"/>
    <w:rsid w:val="00D245D6"/>
    <w:rsid w:val="00D46D39"/>
    <w:rsid w:val="00DA56E5"/>
    <w:rsid w:val="00DB190A"/>
    <w:rsid w:val="00DD2B83"/>
    <w:rsid w:val="00DD6020"/>
    <w:rsid w:val="00DE02A4"/>
    <w:rsid w:val="00DE79BF"/>
    <w:rsid w:val="00DF0CCC"/>
    <w:rsid w:val="00E00B62"/>
    <w:rsid w:val="00E250E8"/>
    <w:rsid w:val="00E27D1E"/>
    <w:rsid w:val="00E36C0F"/>
    <w:rsid w:val="00E66CA9"/>
    <w:rsid w:val="00E8737C"/>
    <w:rsid w:val="00E9050B"/>
    <w:rsid w:val="00E96551"/>
    <w:rsid w:val="00EA3B44"/>
    <w:rsid w:val="00EE27F4"/>
    <w:rsid w:val="00EE3079"/>
    <w:rsid w:val="00F24DE1"/>
    <w:rsid w:val="00F52592"/>
    <w:rsid w:val="00F61DA9"/>
    <w:rsid w:val="00FB5C89"/>
    <w:rsid w:val="00FC12E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864C1"/>
  <w15:chartTrackingRefBased/>
  <w15:docId w15:val="{F5C023C2-8ADF-4244-A49F-CF201329D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406"/>
    <w:pPr>
      <w:spacing w:after="120" w:line="240" w:lineRule="auto"/>
      <w:jc w:val="both"/>
    </w:pPr>
    <w:rPr>
      <w:rFonts w:ascii="Times New Roman" w:eastAsia="Times New Roman" w:hAnsi="Times New Roman" w:cs="Times New Roman"/>
      <w:sz w:val="20"/>
      <w:lang w:val="en-US" w:bidi="en-US"/>
    </w:rPr>
  </w:style>
  <w:style w:type="paragraph" w:styleId="Heading1">
    <w:name w:val="heading 1"/>
    <w:basedOn w:val="Normal"/>
    <w:next w:val="Normal"/>
    <w:link w:val="Heading1Char"/>
    <w:uiPriority w:val="9"/>
    <w:qFormat/>
    <w:rsid w:val="001E0406"/>
    <w:pPr>
      <w:keepNext/>
      <w:keepLines/>
      <w:spacing w:before="240"/>
      <w:jc w:val="left"/>
      <w:outlineLvl w:val="0"/>
    </w:pPr>
    <w:rPr>
      <w:b/>
      <w:bCs/>
      <w:sz w:val="22"/>
      <w:szCs w:val="28"/>
      <w:lang w:val="en-GB"/>
    </w:rPr>
  </w:style>
  <w:style w:type="paragraph" w:styleId="Heading2">
    <w:name w:val="heading 2"/>
    <w:basedOn w:val="Normal"/>
    <w:next w:val="Normal"/>
    <w:link w:val="Heading2Char"/>
    <w:uiPriority w:val="99"/>
    <w:unhideWhenUsed/>
    <w:qFormat/>
    <w:rsid w:val="001E04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9"/>
    <w:unhideWhenUsed/>
    <w:qFormat/>
    <w:rsid w:val="001E040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040D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0D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0D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0D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0D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0D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E0406"/>
    <w:rPr>
      <w:color w:val="0000FF"/>
      <w:u w:val="single"/>
    </w:rPr>
  </w:style>
  <w:style w:type="paragraph" w:styleId="ListParagraph">
    <w:name w:val="List Paragraph"/>
    <w:basedOn w:val="Normal"/>
    <w:uiPriority w:val="34"/>
    <w:qFormat/>
    <w:rsid w:val="001E0406"/>
    <w:pPr>
      <w:ind w:left="720"/>
      <w:contextualSpacing/>
    </w:pPr>
  </w:style>
  <w:style w:type="paragraph" w:customStyle="1" w:styleId="TFReferencesSection">
    <w:name w:val="TF_References_Section"/>
    <w:basedOn w:val="Normal"/>
    <w:rsid w:val="001E0406"/>
    <w:pPr>
      <w:spacing w:after="0" w:line="150" w:lineRule="exact"/>
      <w:ind w:left="346" w:hanging="346"/>
    </w:pPr>
    <w:rPr>
      <w:rFonts w:ascii="Times" w:hAnsi="Times"/>
      <w:sz w:val="15"/>
      <w:szCs w:val="20"/>
      <w:lang w:bidi="ar-SA"/>
    </w:rPr>
  </w:style>
  <w:style w:type="character" w:customStyle="1" w:styleId="Heading1Char">
    <w:name w:val="Heading 1 Char"/>
    <w:basedOn w:val="DefaultParagraphFont"/>
    <w:link w:val="Heading1"/>
    <w:uiPriority w:val="9"/>
    <w:rsid w:val="001E0406"/>
    <w:rPr>
      <w:rFonts w:ascii="Times New Roman" w:eastAsia="Times New Roman" w:hAnsi="Times New Roman" w:cs="Times New Roman"/>
      <w:b/>
      <w:bCs/>
      <w:szCs w:val="28"/>
      <w:lang w:val="en-GB" w:bidi="en-US"/>
    </w:rPr>
  </w:style>
  <w:style w:type="character" w:customStyle="1" w:styleId="Heading2Char">
    <w:name w:val="Heading 2 Char"/>
    <w:basedOn w:val="DefaultParagraphFont"/>
    <w:link w:val="Heading2"/>
    <w:uiPriority w:val="99"/>
    <w:rsid w:val="001E0406"/>
    <w:rPr>
      <w:rFonts w:asciiTheme="majorHAnsi" w:eastAsiaTheme="majorEastAsia" w:hAnsiTheme="majorHAnsi" w:cstheme="majorBidi"/>
      <w:b/>
      <w:bCs/>
      <w:color w:val="4472C4" w:themeColor="accent1"/>
      <w:sz w:val="26"/>
      <w:szCs w:val="26"/>
      <w:lang w:val="en-US" w:bidi="en-US"/>
    </w:rPr>
  </w:style>
  <w:style w:type="character" w:customStyle="1" w:styleId="Heading3Char">
    <w:name w:val="Heading 3 Char"/>
    <w:basedOn w:val="DefaultParagraphFont"/>
    <w:link w:val="Heading3"/>
    <w:uiPriority w:val="99"/>
    <w:rsid w:val="001E0406"/>
    <w:rPr>
      <w:rFonts w:asciiTheme="majorHAnsi" w:eastAsiaTheme="majorEastAsia" w:hAnsiTheme="majorHAnsi" w:cstheme="majorBidi"/>
      <w:b/>
      <w:bCs/>
      <w:color w:val="4472C4" w:themeColor="accent1"/>
      <w:sz w:val="20"/>
      <w:lang w:val="en-US" w:bidi="en-US"/>
    </w:rPr>
  </w:style>
  <w:style w:type="paragraph" w:customStyle="1" w:styleId="IEEEAffiliation">
    <w:name w:val="IEEE Affiliation"/>
    <w:basedOn w:val="Normal"/>
    <w:rsid w:val="001E0406"/>
    <w:pPr>
      <w:spacing w:after="0"/>
      <w:jc w:val="center"/>
    </w:pPr>
    <w:rPr>
      <w:szCs w:val="20"/>
      <w:lang w:bidi="ar-SA"/>
    </w:rPr>
  </w:style>
  <w:style w:type="paragraph" w:customStyle="1" w:styleId="IEEEAbstract">
    <w:name w:val="IEEE Abstract"/>
    <w:basedOn w:val="Normal"/>
    <w:rsid w:val="001E0406"/>
    <w:pPr>
      <w:spacing w:line="200" w:lineRule="exact"/>
      <w:ind w:firstLine="288"/>
      <w:jc w:val="left"/>
    </w:pPr>
    <w:rPr>
      <w:rFonts w:ascii="Times New  Roman" w:hAnsi="Times New  Roman"/>
      <w:b/>
      <w:sz w:val="18"/>
      <w:szCs w:val="20"/>
      <w:lang w:bidi="ar-SA"/>
    </w:rPr>
  </w:style>
  <w:style w:type="paragraph" w:styleId="NormalWeb">
    <w:name w:val="Normal (Web)"/>
    <w:basedOn w:val="Normal"/>
    <w:uiPriority w:val="99"/>
    <w:unhideWhenUsed/>
    <w:rsid w:val="001E0406"/>
    <w:pPr>
      <w:spacing w:before="100" w:beforeAutospacing="1" w:after="100" w:afterAutospacing="1"/>
      <w:jc w:val="left"/>
    </w:pPr>
    <w:rPr>
      <w:sz w:val="24"/>
      <w:szCs w:val="24"/>
      <w:lang w:val="en-MY" w:eastAsia="en-MY" w:bidi="ar-SA"/>
    </w:rPr>
  </w:style>
  <w:style w:type="character" w:styleId="UnresolvedMention">
    <w:name w:val="Unresolved Mention"/>
    <w:basedOn w:val="DefaultParagraphFont"/>
    <w:uiPriority w:val="99"/>
    <w:semiHidden/>
    <w:unhideWhenUsed/>
    <w:rsid w:val="007C2EA3"/>
    <w:rPr>
      <w:color w:val="605E5C"/>
      <w:shd w:val="clear" w:color="auto" w:fill="E1DFDD"/>
    </w:rPr>
  </w:style>
  <w:style w:type="paragraph" w:styleId="Header">
    <w:name w:val="header"/>
    <w:aliases w:val="page-number"/>
    <w:basedOn w:val="Normal"/>
    <w:link w:val="HeaderChar"/>
    <w:uiPriority w:val="99"/>
    <w:unhideWhenUsed/>
    <w:rsid w:val="00050ECA"/>
    <w:pPr>
      <w:tabs>
        <w:tab w:val="center" w:pos="4513"/>
        <w:tab w:val="right" w:pos="9026"/>
      </w:tabs>
      <w:spacing w:after="0"/>
    </w:pPr>
  </w:style>
  <w:style w:type="character" w:customStyle="1" w:styleId="HeaderChar">
    <w:name w:val="Header Char"/>
    <w:aliases w:val="page-number Char"/>
    <w:basedOn w:val="DefaultParagraphFont"/>
    <w:link w:val="Header"/>
    <w:uiPriority w:val="99"/>
    <w:rsid w:val="00050ECA"/>
    <w:rPr>
      <w:rFonts w:ascii="Times New Roman" w:eastAsia="Times New Roman" w:hAnsi="Times New Roman" w:cs="Times New Roman"/>
      <w:sz w:val="20"/>
      <w:lang w:val="en-US" w:bidi="en-US"/>
    </w:rPr>
  </w:style>
  <w:style w:type="paragraph" w:styleId="Footer">
    <w:name w:val="footer"/>
    <w:basedOn w:val="Normal"/>
    <w:link w:val="FooterChar"/>
    <w:uiPriority w:val="99"/>
    <w:unhideWhenUsed/>
    <w:rsid w:val="00050ECA"/>
    <w:pPr>
      <w:tabs>
        <w:tab w:val="center" w:pos="4513"/>
        <w:tab w:val="right" w:pos="9026"/>
      </w:tabs>
      <w:spacing w:after="0"/>
    </w:pPr>
  </w:style>
  <w:style w:type="character" w:customStyle="1" w:styleId="FooterChar">
    <w:name w:val="Footer Char"/>
    <w:basedOn w:val="DefaultParagraphFont"/>
    <w:link w:val="Footer"/>
    <w:uiPriority w:val="99"/>
    <w:rsid w:val="00050ECA"/>
    <w:rPr>
      <w:rFonts w:ascii="Times New Roman" w:eastAsia="Times New Roman" w:hAnsi="Times New Roman" w:cs="Times New Roman"/>
      <w:sz w:val="20"/>
      <w:lang w:val="en-US" w:bidi="en-US"/>
    </w:rPr>
  </w:style>
  <w:style w:type="paragraph" w:styleId="NoSpacing">
    <w:name w:val="No Spacing"/>
    <w:aliases w:val="HEADING 2,table"/>
    <w:link w:val="NoSpacingChar"/>
    <w:uiPriority w:val="1"/>
    <w:qFormat/>
    <w:rsid w:val="00050ECA"/>
    <w:pPr>
      <w:spacing w:after="0" w:line="240" w:lineRule="auto"/>
    </w:pPr>
    <w:rPr>
      <w:rFonts w:ascii="Calibri" w:eastAsia="Calibri" w:hAnsi="Calibri" w:cs="Times New Roman"/>
      <w:lang w:val="en-US"/>
    </w:rPr>
  </w:style>
  <w:style w:type="character" w:customStyle="1" w:styleId="NoSpacingChar">
    <w:name w:val="No Spacing Char"/>
    <w:aliases w:val="HEADING 2 Char,table Char"/>
    <w:link w:val="NoSpacing"/>
    <w:uiPriority w:val="1"/>
    <w:qFormat/>
    <w:rsid w:val="00050ECA"/>
    <w:rPr>
      <w:rFonts w:ascii="Calibri" w:eastAsia="Calibri" w:hAnsi="Calibri" w:cs="Times New Roman"/>
      <w:lang w:val="en-US"/>
    </w:rPr>
  </w:style>
  <w:style w:type="paragraph" w:styleId="FootnoteText">
    <w:name w:val="footnote text"/>
    <w:basedOn w:val="Normal"/>
    <w:link w:val="FootnoteTextChar"/>
    <w:uiPriority w:val="99"/>
    <w:semiHidden/>
    <w:unhideWhenUsed/>
    <w:rsid w:val="00050ECA"/>
    <w:pPr>
      <w:spacing w:after="0"/>
    </w:pPr>
    <w:rPr>
      <w:szCs w:val="20"/>
    </w:rPr>
  </w:style>
  <w:style w:type="character" w:customStyle="1" w:styleId="FootnoteTextChar">
    <w:name w:val="Footnote Text Char"/>
    <w:basedOn w:val="DefaultParagraphFont"/>
    <w:link w:val="FootnoteText"/>
    <w:uiPriority w:val="99"/>
    <w:semiHidden/>
    <w:rsid w:val="00050ECA"/>
    <w:rPr>
      <w:rFonts w:ascii="Times New Roman" w:eastAsia="Times New Roman" w:hAnsi="Times New Roman" w:cs="Times New Roman"/>
      <w:sz w:val="20"/>
      <w:szCs w:val="20"/>
      <w:lang w:val="en-US" w:bidi="en-US"/>
    </w:rPr>
  </w:style>
  <w:style w:type="character" w:styleId="FootnoteReference">
    <w:name w:val="footnote reference"/>
    <w:basedOn w:val="DefaultParagraphFont"/>
    <w:uiPriority w:val="99"/>
    <w:semiHidden/>
    <w:unhideWhenUsed/>
    <w:rsid w:val="00050ECA"/>
    <w:rPr>
      <w:vertAlign w:val="superscript"/>
    </w:rPr>
  </w:style>
  <w:style w:type="paragraph" w:styleId="Caption">
    <w:name w:val="caption"/>
    <w:basedOn w:val="Normal"/>
    <w:next w:val="Normal"/>
    <w:uiPriority w:val="35"/>
    <w:unhideWhenUsed/>
    <w:qFormat/>
    <w:rsid w:val="008143C5"/>
    <w:pPr>
      <w:spacing w:after="200"/>
    </w:pPr>
    <w:rPr>
      <w:i/>
      <w:iCs/>
      <w:color w:val="44546A" w:themeColor="text2"/>
      <w:sz w:val="18"/>
      <w:szCs w:val="18"/>
    </w:rPr>
  </w:style>
  <w:style w:type="character" w:customStyle="1" w:styleId="Heading4Char">
    <w:name w:val="Heading 4 Char"/>
    <w:basedOn w:val="DefaultParagraphFont"/>
    <w:link w:val="Heading4"/>
    <w:uiPriority w:val="9"/>
    <w:semiHidden/>
    <w:rsid w:val="00040D4E"/>
    <w:rPr>
      <w:rFonts w:ascii="Times New Roman" w:eastAsiaTheme="majorEastAsia" w:hAnsi="Times New Roman" w:cstheme="majorBidi"/>
      <w:i/>
      <w:iCs/>
      <w:color w:val="2F5496" w:themeColor="accent1" w:themeShade="BF"/>
      <w:sz w:val="20"/>
      <w:lang w:val="en-US" w:bidi="en-US"/>
    </w:rPr>
  </w:style>
  <w:style w:type="character" w:customStyle="1" w:styleId="Heading5Char">
    <w:name w:val="Heading 5 Char"/>
    <w:basedOn w:val="DefaultParagraphFont"/>
    <w:link w:val="Heading5"/>
    <w:uiPriority w:val="9"/>
    <w:semiHidden/>
    <w:rsid w:val="00040D4E"/>
    <w:rPr>
      <w:rFonts w:ascii="Times New Roman" w:eastAsiaTheme="majorEastAsia" w:hAnsi="Times New Roman" w:cstheme="majorBidi"/>
      <w:color w:val="2F5496" w:themeColor="accent1" w:themeShade="BF"/>
      <w:sz w:val="20"/>
      <w:lang w:val="en-US" w:bidi="en-US"/>
    </w:rPr>
  </w:style>
  <w:style w:type="character" w:customStyle="1" w:styleId="Heading6Char">
    <w:name w:val="Heading 6 Char"/>
    <w:basedOn w:val="DefaultParagraphFont"/>
    <w:link w:val="Heading6"/>
    <w:uiPriority w:val="9"/>
    <w:semiHidden/>
    <w:rsid w:val="00040D4E"/>
    <w:rPr>
      <w:rFonts w:ascii="Times New Roman" w:eastAsiaTheme="majorEastAsia" w:hAnsi="Times New Roman" w:cstheme="majorBidi"/>
      <w:i/>
      <w:iCs/>
      <w:color w:val="595959" w:themeColor="text1" w:themeTint="A6"/>
      <w:sz w:val="20"/>
      <w:lang w:val="en-US" w:bidi="en-US"/>
    </w:rPr>
  </w:style>
  <w:style w:type="character" w:customStyle="1" w:styleId="Heading7Char">
    <w:name w:val="Heading 7 Char"/>
    <w:basedOn w:val="DefaultParagraphFont"/>
    <w:link w:val="Heading7"/>
    <w:uiPriority w:val="9"/>
    <w:semiHidden/>
    <w:rsid w:val="00040D4E"/>
    <w:rPr>
      <w:rFonts w:ascii="Times New Roman" w:eastAsiaTheme="majorEastAsia" w:hAnsi="Times New Roman" w:cstheme="majorBidi"/>
      <w:color w:val="595959" w:themeColor="text1" w:themeTint="A6"/>
      <w:sz w:val="20"/>
      <w:lang w:val="en-US" w:bidi="en-US"/>
    </w:rPr>
  </w:style>
  <w:style w:type="character" w:customStyle="1" w:styleId="Heading8Char">
    <w:name w:val="Heading 8 Char"/>
    <w:basedOn w:val="DefaultParagraphFont"/>
    <w:link w:val="Heading8"/>
    <w:uiPriority w:val="9"/>
    <w:semiHidden/>
    <w:rsid w:val="00040D4E"/>
    <w:rPr>
      <w:rFonts w:ascii="Times New Roman" w:eastAsiaTheme="majorEastAsia" w:hAnsi="Times New Roman" w:cstheme="majorBidi"/>
      <w:i/>
      <w:iCs/>
      <w:color w:val="272727" w:themeColor="text1" w:themeTint="D8"/>
      <w:sz w:val="20"/>
      <w:lang w:val="en-US" w:bidi="en-US"/>
    </w:rPr>
  </w:style>
  <w:style w:type="character" w:customStyle="1" w:styleId="Heading9Char">
    <w:name w:val="Heading 9 Char"/>
    <w:basedOn w:val="DefaultParagraphFont"/>
    <w:link w:val="Heading9"/>
    <w:uiPriority w:val="9"/>
    <w:semiHidden/>
    <w:rsid w:val="00040D4E"/>
    <w:rPr>
      <w:rFonts w:ascii="Times New Roman" w:eastAsiaTheme="majorEastAsia" w:hAnsi="Times New Roman" w:cstheme="majorBidi"/>
      <w:color w:val="272727" w:themeColor="text1" w:themeTint="D8"/>
      <w:sz w:val="20"/>
      <w:lang w:val="en-US" w:bidi="en-US"/>
    </w:rPr>
  </w:style>
  <w:style w:type="paragraph" w:styleId="Title">
    <w:name w:val="Title"/>
    <w:basedOn w:val="Normal"/>
    <w:next w:val="Normal"/>
    <w:link w:val="TitleChar"/>
    <w:uiPriority w:val="10"/>
    <w:qFormat/>
    <w:rsid w:val="00040D4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0D4E"/>
    <w:rPr>
      <w:rFonts w:asciiTheme="majorHAnsi" w:eastAsiaTheme="majorEastAsia" w:hAnsiTheme="majorHAnsi" w:cstheme="majorBidi"/>
      <w:spacing w:val="-10"/>
      <w:kern w:val="28"/>
      <w:sz w:val="56"/>
      <w:szCs w:val="56"/>
      <w:lang w:val="en-US" w:bidi="en-US"/>
    </w:rPr>
  </w:style>
  <w:style w:type="paragraph" w:styleId="Subtitle">
    <w:name w:val="Subtitle"/>
    <w:basedOn w:val="Normal"/>
    <w:next w:val="Normal"/>
    <w:link w:val="SubtitleChar"/>
    <w:uiPriority w:val="11"/>
    <w:qFormat/>
    <w:rsid w:val="00040D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0D4E"/>
    <w:rPr>
      <w:rFonts w:ascii="Times New Roman" w:eastAsiaTheme="majorEastAsia" w:hAnsi="Times New Roman" w:cstheme="majorBidi"/>
      <w:color w:val="595959" w:themeColor="text1" w:themeTint="A6"/>
      <w:spacing w:val="15"/>
      <w:sz w:val="28"/>
      <w:szCs w:val="28"/>
      <w:lang w:val="en-US" w:bidi="en-US"/>
    </w:rPr>
  </w:style>
  <w:style w:type="paragraph" w:styleId="Quote">
    <w:name w:val="Quote"/>
    <w:basedOn w:val="Normal"/>
    <w:next w:val="Normal"/>
    <w:link w:val="QuoteChar"/>
    <w:uiPriority w:val="29"/>
    <w:qFormat/>
    <w:rsid w:val="00040D4E"/>
    <w:pPr>
      <w:spacing w:before="160"/>
      <w:jc w:val="center"/>
    </w:pPr>
    <w:rPr>
      <w:i/>
      <w:iCs/>
      <w:color w:val="404040" w:themeColor="text1" w:themeTint="BF"/>
    </w:rPr>
  </w:style>
  <w:style w:type="character" w:customStyle="1" w:styleId="QuoteChar">
    <w:name w:val="Quote Char"/>
    <w:basedOn w:val="DefaultParagraphFont"/>
    <w:link w:val="Quote"/>
    <w:uiPriority w:val="29"/>
    <w:rsid w:val="00040D4E"/>
    <w:rPr>
      <w:rFonts w:ascii="Times New Roman" w:eastAsia="Times New Roman" w:hAnsi="Times New Roman" w:cs="Times New Roman"/>
      <w:i/>
      <w:iCs/>
      <w:color w:val="404040" w:themeColor="text1" w:themeTint="BF"/>
      <w:sz w:val="20"/>
      <w:lang w:val="en-US" w:bidi="en-US"/>
    </w:rPr>
  </w:style>
  <w:style w:type="character" w:styleId="IntenseEmphasis">
    <w:name w:val="Intense Emphasis"/>
    <w:basedOn w:val="DefaultParagraphFont"/>
    <w:uiPriority w:val="21"/>
    <w:qFormat/>
    <w:rsid w:val="00040D4E"/>
    <w:rPr>
      <w:i/>
      <w:iCs/>
      <w:color w:val="2F5496" w:themeColor="accent1" w:themeShade="BF"/>
    </w:rPr>
  </w:style>
  <w:style w:type="paragraph" w:styleId="IntenseQuote">
    <w:name w:val="Intense Quote"/>
    <w:basedOn w:val="Normal"/>
    <w:next w:val="Normal"/>
    <w:link w:val="IntenseQuoteChar"/>
    <w:uiPriority w:val="30"/>
    <w:qFormat/>
    <w:rsid w:val="00040D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0D4E"/>
    <w:rPr>
      <w:rFonts w:ascii="Times New Roman" w:eastAsia="Times New Roman" w:hAnsi="Times New Roman" w:cs="Times New Roman"/>
      <w:i/>
      <w:iCs/>
      <w:color w:val="2F5496" w:themeColor="accent1" w:themeShade="BF"/>
      <w:sz w:val="20"/>
      <w:lang w:val="en-US" w:bidi="en-US"/>
    </w:rPr>
  </w:style>
  <w:style w:type="character" w:styleId="IntenseReference">
    <w:name w:val="Intense Reference"/>
    <w:basedOn w:val="DefaultParagraphFont"/>
    <w:uiPriority w:val="32"/>
    <w:qFormat/>
    <w:rsid w:val="00040D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C7BA4-9115-4EF5-B1C2-588388C02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6387</Words>
  <Characters>36408</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Ummi Naiemah Saraih</dc:creator>
  <cp:keywords/>
  <dc:description/>
  <cp:lastModifiedBy>thivyashaliniworkbased@gmail.com</cp:lastModifiedBy>
  <cp:revision>2</cp:revision>
  <cp:lastPrinted>2026-04-30T15:46:00Z</cp:lastPrinted>
  <dcterms:created xsi:type="dcterms:W3CDTF">2026-07-07T16:31:00Z</dcterms:created>
  <dcterms:modified xsi:type="dcterms:W3CDTF">2026-07-07T16:31:00Z</dcterms:modified>
</cp:coreProperties>
</file>