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0" w:before="157.5" w:after="157.5" w:lineRule="auto"/>
        <w:jc w:val="left"/>
      </w:pPr>
      <w:bookmarkStart w:id="0" w:name="policy_lag_and_innovation_speed_w_41d80e"/>
      <w:r>
        <w:rPr>
          <w:rFonts w:eastAsia="source serif 4" w:cs="source serif 4" w:ascii="source serif 4" w:hAnsi="source serif 4"/>
          <w:b/>
          <w:color w:val="000000"/>
          <w:sz w:val="39"/>
        </w:rPr>
        <w:t xml:space="preserve">Policy Lag and Innovation Speed: Why Education Governance Cannot Keep Up with Technological Change</w:t>
      </w:r>
      <w:bookmarkEnd w:id="0"/>
    </w:p>
    <w:p>
      <w:pPr>
        <w:spacing w:line="360" w:before="315" w:after="105" w:lineRule="auto"/>
        <w:ind w:left="-30"/>
        <w:jc w:val="left"/>
      </w:pPr>
      <w:bookmarkStart w:id="1" w:name="abstract"/>
      <w:r>
        <w:rPr>
          <w:rFonts w:eastAsia="source serif 4" w:cs="source serif 4" w:ascii="source serif 4" w:hAnsi="source serif 4"/>
          <w:b/>
          <w:color w:val="000000"/>
          <w:sz w:val="24"/>
        </w:rPr>
        <w:t xml:space="preserve">Abstract</w:t>
      </w:r>
      <w:bookmarkEnd w:id="1"/>
    </w:p>
    <w:p>
      <w:pPr>
        <w:spacing w:line="360" w:after="210" w:lineRule="auto"/>
      </w:pPr>
      <w:r>
        <w:rPr>
          <w:rFonts w:eastAsia="source serif 4" w:cs="source serif 4" w:ascii="source serif 4" w:hAnsi="source serif 4"/>
          <w:color w:val="000000"/>
        </w:rPr>
        <w:t xml:space="preserve">Education governance is increasingly misaligned with the speed, complexity, and commercial momentum of technological change. While digital platforms, algorithmic systems, learning analytics, automated assessment, and generative artificial intelligence are entering schools at accelerating rates, policy systems remain comparatively slow, procedural, fragmented, and reactive.[cite:18][cite:56][cite:65] This mismatch has produced a governance gap in which schools are asked to innovate before robust rules, public safeguards, institutional competencies, and ethical frameworks are fully in place.[cite:18][cite:54][cite:60] The problem is not simply weak leadership or insufficient political will. It is rooted in the design of education systems themselves: public education is built to provide continuity, legality, public trust, and equity under conditions of scrutiny, whereas technological markets reward speed, novelty, scale, and iterative disruption.[cite:21][cite:56][cite:60]</w:t>
      </w:r>
    </w:p>
    <w:p>
      <w:pPr>
        <w:spacing w:line="360" w:after="210" w:lineRule="auto"/>
      </w:pPr>
      <w:r>
        <w:rPr>
          <w:rFonts w:eastAsia="source serif 4" w:cs="source serif 4" w:ascii="source serif 4" w:hAnsi="source serif 4"/>
          <w:color w:val="000000"/>
        </w:rPr>
        <w:t xml:space="preserve">This manuscript argues that policy lag is a structural condition of contemporary education governance. It emerges from the interaction of slow policy cycles, fragmented authority, evidence uncertainty, procurement dependency, platform opacity, uneven institutional capacity, and unresolved disagreements about the aims of schooling in a technologically saturated era.[cite:18][cite:27][cite:65] The current wave of AI adoption makes these tensions more visible, but the issue is broader than AI alone. Similar patterns appeared in earlier waves of learning management systems, one-to-one device initiatives, data dashboards, remote learning infrastructure, biometric monitoring, and online testing systems.[cite:27][cite:58][cite:60] The manuscript therefore develops a comprehensive argument about why education governance struggles to keep pace with innovation and what more adaptive forms of governance might look like.</w:t>
      </w:r>
    </w:p>
    <w:p>
      <w:pPr>
        <w:spacing w:line="360" w:after="210" w:lineRule="auto"/>
      </w:pPr>
      <w:r>
        <w:rPr>
          <w:rFonts w:eastAsia="source serif 4" w:cs="source serif 4" w:ascii="source serif 4" w:hAnsi="source serif 4"/>
          <w:color w:val="000000"/>
        </w:rPr>
        <w:t xml:space="preserve">The analysis proceeds in five stages. First, it clarifies the concept of policy lag and explains why it recurs in public education. Second, it examines the institutional features of schooling that slow response to technological change. Third, it explores how AI magnifies existing governance weaknesses. Fourth, it identifies the consequences of lag for equity, professional autonomy, student safety, and democratic legitimacy. Finally, it proposes an adaptive governance model that combines principle-based regulation, iterative review, public transparency, professional capacity-building, and structured experimentation.[cite:18][cite:52][cite:60] The central conclusion is that effective governance in the age of rapid innovation must treat policy not as a static product but as a continuous institutional learning process.[cite:54][cite:56][cite:58]</w:t>
      </w:r>
    </w:p>
    <w:p>
      <w:pPr>
        <w:spacing w:line="360" w:before="315" w:after="105" w:lineRule="auto"/>
        <w:ind w:left="-30"/>
        <w:jc w:val="left"/>
      </w:pPr>
      <w:bookmarkStart w:id="2" w:name="introduction"/>
      <w:r>
        <w:rPr>
          <w:rFonts w:eastAsia="source serif 4" w:cs="source serif 4" w:ascii="source serif 4" w:hAnsi="source serif 4"/>
          <w:b/>
          <w:color w:val="000000"/>
          <w:sz w:val="24"/>
        </w:rPr>
        <w:t xml:space="preserve">Introduction</w:t>
      </w:r>
      <w:bookmarkEnd w:id="2"/>
    </w:p>
    <w:p>
      <w:pPr>
        <w:spacing w:line="360" w:after="210" w:lineRule="auto"/>
      </w:pPr>
      <w:r>
        <w:rPr>
          <w:rFonts w:eastAsia="source serif 4" w:cs="source serif 4" w:ascii="source serif 4" w:hAnsi="source serif 4"/>
          <w:color w:val="000000"/>
        </w:rPr>
        <w:t xml:space="preserve">Education has always changed more slowly than the technologies that promise to transform it. New tools routinely arrive with narratives of efficiency, personalization, modernization, and future-readiness, but public education systems must absorb those tools within structures of law, accountability, public funding, labor regulation, and ethical duty to children.[cite:18][cite:27][cite:58] This creates persistent tension between the speed of innovation and the speed of governance. In the current moment, that tension has become unusually intense because generative AI, predictive systems, and data-rich digital ecosystems are evolving rapidly while schools and governments are still debating how such technologies should be defined, evaluated, taught, and constrained.[cite:18][cite:56][cite:65]</w:t>
      </w:r>
    </w:p>
    <w:p>
      <w:pPr>
        <w:spacing w:line="360" w:after="210" w:lineRule="auto"/>
      </w:pPr>
      <w:r>
        <w:rPr>
          <w:rFonts w:eastAsia="source serif 4" w:cs="source serif 4" w:ascii="source serif 4" w:hAnsi="source serif 4"/>
          <w:color w:val="000000"/>
        </w:rPr>
        <w:t xml:space="preserve">The resulting policy lag is visible across multiple jurisdictions. States, ministries, districts, and school networks are developing guidance, toolkits, and model policies, yet many remain in early or uneven stages of implementation, often relying on local discretion rather than coherent systemwide governance.[cite:18][cite:52][cite:54] Some systems have moved toward formal frameworks, such as the Australian Framework for Generative AI in Schools, while others remain dependent on advisory guidance or institution-specific templates that vary widely in scope and enforceability.[cite:58][cite:60] This unevenness does not merely reflect different policy preferences. It reveals a deeper institutional difficulty: the machinery of educational governance is not optimized for technologies that evolve between policy cycles and blur boundaries among pedagogy, administration, data extraction, surveillance, and commercial influence.[cite:21][cite:56][cite:62]</w:t>
      </w:r>
    </w:p>
    <w:p>
      <w:pPr>
        <w:spacing w:line="360" w:after="210" w:lineRule="auto"/>
      </w:pPr>
      <w:r>
        <w:rPr>
          <w:rFonts w:eastAsia="source serif 4" w:cs="source serif 4" w:ascii="source serif 4" w:hAnsi="source serif 4"/>
          <w:color w:val="000000"/>
        </w:rPr>
        <w:t xml:space="preserve">This manuscript takes the position that policy lag in education should be understood as a governance design problem rather than a temporary implementation gap. The common response to new technology is to call for faster guidance, better training, or more decisive leadership. Those responses are important, but they are incomplete unless they address the underlying reasons educational institutions repeatedly fall behind innovation. Why do schools and governing bodies struggle to establish timely guardrails? Why do policies often arrive only after classroom use is already widespread? Why do reforms frequently focus on acceptable use and compliance while leaving deeper questions of purpose, equity, and institutional power unresolved?[cite:18][cite:54][cite:65]</w:t>
      </w:r>
    </w:p>
    <w:p>
      <w:pPr>
        <w:spacing w:line="360" w:after="210" w:lineRule="auto"/>
      </w:pPr>
      <w:r>
        <w:rPr>
          <w:rFonts w:eastAsia="source serif 4" w:cs="source serif 4" w:ascii="source serif 4" w:hAnsi="source serif 4"/>
          <w:color w:val="000000"/>
        </w:rPr>
        <w:t xml:space="preserve">The argument developed here is that education governance is caught between incompatible temporalities. Innovation markets reward speed, experimentation, and product diffusion. Public education requires legitimacy, consultation, due process, safety, and equity. These logics are not easily reconciled. When new technologies appear, schools face pressure to adopt them quickly to remain relevant, but policy systems cannot move at the same tempo without risking shallow deliberation, inconsistent implementation, or capture by commercial actors.[cite:21][cite:56][cite:60] Policy lag is therefore not an accidental failure on the margins of reform. It is a predictable output of a system trying to govern fast-moving private technologies through slow-moving public institutions.[cite:18][cite:27][cite:58]</w:t>
      </w:r>
    </w:p>
    <w:p>
      <w:pPr>
        <w:spacing w:line="360" w:after="210" w:lineRule="auto"/>
      </w:pPr>
      <w:r>
        <w:rPr>
          <w:rFonts w:eastAsia="source serif 4" w:cs="source serif 4" w:ascii="source serif 4" w:hAnsi="source serif 4"/>
          <w:color w:val="000000"/>
        </w:rPr>
        <w:t xml:space="preserve">Understanding this problem matters for at least four reasons. First, weak governance leaves students, teachers, and families exposed to risks related to privacy, bias, misinformation, academic integrity, and uneven quality assurance.[cite:18][cite:53][cite:62] Second, governance gaps widen inequality because better-resourced schools can build internal expertise while less-resourced ones are left to improvise.[cite:18][cite:27][cite:56] Third, policy lag places excessive decision-making burdens on teachers and school leaders, who may be expected to judge complex technical and ethical questions without adequate support.[cite:52][cite:58][cite:64] Fourth, fragmented responses undermine public trust, especially when stakeholders perceive that technologies are being introduced before educational purposes and protections are clearly defined.[cite:54][cite:60][cite:61]</w:t>
      </w:r>
    </w:p>
    <w:p>
      <w:pPr>
        <w:spacing w:line="360" w:after="210" w:lineRule="auto"/>
      </w:pPr>
      <w:r>
        <w:rPr>
          <w:rFonts w:eastAsia="source serif 4" w:cs="source serif 4" w:ascii="source serif 4" w:hAnsi="source serif 4"/>
          <w:color w:val="000000"/>
        </w:rPr>
        <w:t xml:space="preserve">A long-form analysis is particularly useful here because the public conversation often reduces the issue to narrow debates about classroom cheating, device management, or whether AI should be “allowed.” Those debates matter, but they obscure the broader governance problem. The central challenge is not simply whether schools use technology; it is how public institutions decide what counts as legitimate, equitable, safe, and educationally valuable innovation under conditions of uncertainty and rapid change.[cite:18][cite:56][cite:65] That challenge requires sustained attention to institutional structure, political economy, educational purpose, and democratic accountability.</w:t>
      </w:r>
    </w:p>
    <w:p>
      <w:pPr>
        <w:spacing w:line="360" w:before="315" w:after="105" w:lineRule="auto"/>
        <w:ind w:left="-30"/>
        <w:jc w:val="left"/>
      </w:pPr>
      <w:bookmarkStart w:id="3" w:name="policy_lag_as_a_structural_condition"/>
      <w:r>
        <w:rPr>
          <w:rFonts w:eastAsia="source serif 4" w:cs="source serif 4" w:ascii="source serif 4" w:hAnsi="source serif 4"/>
          <w:b/>
          <w:color w:val="000000"/>
          <w:sz w:val="24"/>
        </w:rPr>
        <w:t xml:space="preserve">Policy Lag as a Structural Condition</w:t>
      </w:r>
      <w:bookmarkEnd w:id="3"/>
    </w:p>
    <w:p>
      <w:pPr>
        <w:spacing w:line="360" w:after="210" w:lineRule="auto"/>
      </w:pPr>
      <w:r>
        <w:rPr>
          <w:rFonts w:eastAsia="source serif 4" w:cs="source serif 4" w:ascii="source serif 4" w:hAnsi="source serif 4"/>
          <w:color w:val="000000"/>
        </w:rPr>
        <w:t xml:space="preserve">Policy lag can be defined as the delay between the emergence or widespread uptake of a technology and the establishment of governance mechanisms adequate to regulate, guide, evaluate, and revise its use in practice. In education, this lag may appear in formal law, regulatory guidance, procurement standards, curriculum frameworks, professional norms, safeguarding practices, and institutional readiness.[cite:18][cite:52][cite:58] Policy lag is often interpreted as a sign of poor responsiveness, but such an interpretation is too narrow because it overlooks the structural reasons public systems move cautiously.</w:t>
      </w:r>
    </w:p>
    <w:p>
      <w:pPr>
        <w:spacing w:line="360" w:after="210" w:lineRule="auto"/>
      </w:pPr>
      <w:r>
        <w:rPr>
          <w:rFonts w:eastAsia="source serif 4" w:cs="source serif 4" w:ascii="source serif 4" w:hAnsi="source serif 4"/>
          <w:color w:val="000000"/>
        </w:rPr>
        <w:t xml:space="preserve">One reason policy lag persists is that education is not simply a technical domain. It is a moral, civic, and developmental institution. Schools do not only deliver information; they shape opportunity, socialization, identity, and public trust. Consequently, policy decisions about technology in education carry consequences that extend beyond operational efficiency. They affect how student work is defined, how data are collected, how authority is distributed, how learning is assessed, and what kinds of relationships remain central to schooling.[cite:56][cite:60][cite:62] Governance cannot move with pure market speed because it must consider not only whether a tool functions but whether its use is socially and educationally justified.[cite:21][cite:54][cite:58]</w:t>
      </w:r>
    </w:p>
    <w:p>
      <w:pPr>
        <w:spacing w:line="360" w:after="210" w:lineRule="auto"/>
      </w:pPr>
      <w:r>
        <w:rPr>
          <w:rFonts w:eastAsia="source serif 4" w:cs="source serif 4" w:ascii="source serif 4" w:hAnsi="source serif 4"/>
          <w:color w:val="000000"/>
        </w:rPr>
        <w:t xml:space="preserve">A second reason is institutional layering. Education governance involves multiple overlapping actors: ministries, legislatures, regulators, local authorities, accrediting bodies, district offices, professional associations, school boards, school leaders, vendors, and classroom educators. No single actor controls the entire pathway from innovation to classroom use. Responsibility is distributed, often ambiguously, across levels of authority that operate on different timelines and with different priorities.[cite:18][cite:54][cite:65] This distribution can protect democratic participation and local context-sensitivity, but it also slows coordinated action and creates spaces where practice moves ahead of policy.[cite:56][cite:58]</w:t>
      </w:r>
    </w:p>
    <w:p>
      <w:pPr>
        <w:spacing w:line="360" w:after="210" w:lineRule="auto"/>
      </w:pPr>
      <w:r>
        <w:rPr>
          <w:rFonts w:eastAsia="source serif 4" w:cs="source serif 4" w:ascii="source serif 4" w:hAnsi="source serif 4"/>
          <w:color w:val="000000"/>
        </w:rPr>
        <w:t xml:space="preserve">A third reason is that policy systems are built around precedent. New technologies rarely fit neatly into old categories. Generative AI, for example, is simultaneously a literacy tool, a content generator, a feedback mechanism, a productivity assistant, a data processor, and a potential source of misinformation or bias.[cite:18][cite:53][cite:62] Existing policies on plagiarism, software procurement, accessibility, copyright, and safeguarding each cover part of the problem but not the whole. Policymakers must therefore decide whether to adapt old rules, create new ones, or combine both approaches. This interpretive work takes time, and the technology continues to evolve while the classification debate remains unsettled.[cite:56][cite:58][cite:65]</w:t>
      </w:r>
    </w:p>
    <w:p>
      <w:pPr>
        <w:spacing w:line="360" w:after="210" w:lineRule="auto"/>
      </w:pPr>
      <w:r>
        <w:rPr>
          <w:rFonts w:eastAsia="source serif 4" w:cs="source serif 4" w:ascii="source serif 4" w:hAnsi="source serif 4"/>
          <w:color w:val="000000"/>
        </w:rPr>
        <w:t xml:space="preserve">The term policy lag should therefore be treated carefully. It is not only delay in the bureaucratic sense. It is a condition produced by institutional friction among law, evidence, pedagogy, commerce, public values, and technical change. The more rapidly these spheres interact, the more likely governance is to fall behind. The problem intensifies when innovation is framed publicly as inevitable, because inevitability narratives narrow the space for critical deliberation and convert governance into a downstream activity.[cite:21][cite:52][cite:61]</w:t>
      </w:r>
    </w:p>
    <w:p>
      <w:pPr>
        <w:spacing w:line="360" w:before="315" w:after="105" w:lineRule="auto"/>
        <w:ind w:left="-30"/>
        <w:jc w:val="left"/>
      </w:pPr>
      <w:bookmarkStart w:id="4" w:name="the_temporal_mismatch_between_inn_201782"/>
      <w:r>
        <w:rPr>
          <w:rFonts w:eastAsia="source serif 4" w:cs="source serif 4" w:ascii="source serif 4" w:hAnsi="source serif 4"/>
          <w:b/>
          <w:color w:val="000000"/>
          <w:sz w:val="24"/>
        </w:rPr>
        <w:t xml:space="preserve">The Temporal Mismatch Between Innovation and Governance</w:t>
      </w:r>
      <w:bookmarkEnd w:id="4"/>
    </w:p>
    <w:p>
      <w:pPr>
        <w:spacing w:line="360" w:after="210" w:lineRule="auto"/>
      </w:pPr>
      <w:r>
        <w:rPr>
          <w:rFonts w:eastAsia="source serif 4" w:cs="source serif 4" w:ascii="source serif 4" w:hAnsi="source serif 4"/>
          <w:color w:val="000000"/>
        </w:rPr>
        <w:t xml:space="preserve">The most fundamental reason education governance cannot keep pace with technological change is temporal mismatch. Technology companies iterate on short cycles. Product features are updated continuously, often without school calendars, legislative timetables, or teacher training cycles in mind. AI systems may improve, degrade, or shift behavior after model updates that users do not fully see.[cite:18][cite:52][cite:65] In contrast, formal policy processes often require consultation periods, legal review, stakeholder engagement, interdepartmental coordination, budget allocation, and approval through committees or boards.[cite:21][cite:54][cite:60]</w:t>
      </w:r>
    </w:p>
    <w:p>
      <w:pPr>
        <w:spacing w:line="360" w:after="210" w:lineRule="auto"/>
      </w:pPr>
      <w:r>
        <w:rPr>
          <w:rFonts w:eastAsia="source serif 4" w:cs="source serif 4" w:ascii="source serif 4" w:hAnsi="source serif 4"/>
          <w:color w:val="000000"/>
        </w:rPr>
        <w:t xml:space="preserve">This mismatch has practical consequences. By the time a district adopts an AI guidance document, a tool may already be widely used in classrooms. By the time a ministry updates procurement requirements, teachers may have established informal workflows around consumer-grade tools. By the time legislation addresses a specific category of risk, the technology may have moved into adjacent functions not anticipated by the original language.[cite:18][cite:56][cite:65] In other words, governance often regulates retrospectively while innovation operates prospectively.</w:t>
      </w:r>
    </w:p>
    <w:p>
      <w:pPr>
        <w:spacing w:line="360" w:after="210" w:lineRule="auto"/>
      </w:pPr>
      <w:r>
        <w:rPr>
          <w:rFonts w:eastAsia="source serif 4" w:cs="source serif 4" w:ascii="source serif 4" w:hAnsi="source serif 4"/>
          <w:color w:val="000000"/>
        </w:rPr>
        <w:t xml:space="preserve">Temporal mismatch also creates pressure for shallow policy. Under urgency, institutions may issue broad statements emphasizing responsible use, professional judgment, and student safety without establishing detailed procedures for evaluation, transparency, appeals, or oversight.[cite:52][cite:58][cite:60] Such guidance can be useful as a first step, but it often leaves key implementation questions unresolved: Which tools are permitted? What data may be uploaded? How should teachers disclose AI use? How are vendors audited? What constitutes acceptable assistance versus academic misconduct? What rights do students have to contest automated outputs?[cite:53][cite:56][cite:62]</w:t>
      </w:r>
    </w:p>
    <w:p>
      <w:pPr>
        <w:spacing w:line="360" w:after="210" w:lineRule="auto"/>
      </w:pPr>
      <w:r>
        <w:rPr>
          <w:rFonts w:eastAsia="source serif 4" w:cs="source serif 4" w:ascii="source serif 4" w:hAnsi="source serif 4"/>
          <w:color w:val="000000"/>
        </w:rPr>
        <w:t xml:space="preserve">The deeper issue is not simply slowness. It is that governance and innovation are operating according to different conceptions of time. Innovation assumes perpetual update. Governance assumes the relative durability of policy once enacted. When technologies are fluid and policy seeks stability, every policy risks being outdated on arrival unless the system builds revision into its design.[cite:54][cite:58][cite:60] This is why static policies increasingly fail in dynamic technological environments.</w:t>
      </w:r>
    </w:p>
    <w:p>
      <w:pPr>
        <w:spacing w:line="360" w:before="315" w:after="105" w:lineRule="auto"/>
        <w:ind w:left="-30"/>
        <w:jc w:val="left"/>
      </w:pPr>
      <w:bookmarkStart w:id="5" w:name="fragmented_authority_and_the_patc_e5b617"/>
      <w:r>
        <w:rPr>
          <w:rFonts w:eastAsia="source serif 4" w:cs="source serif 4" w:ascii="source serif 4" w:hAnsi="source serif 4"/>
          <w:b/>
          <w:color w:val="000000"/>
          <w:sz w:val="24"/>
        </w:rPr>
        <w:t xml:space="preserve">Fragmented Authority and the Patchwork Problem</w:t>
      </w:r>
      <w:bookmarkEnd w:id="5"/>
    </w:p>
    <w:p>
      <w:pPr>
        <w:spacing w:line="360" w:after="210" w:lineRule="auto"/>
      </w:pPr>
      <w:r>
        <w:rPr>
          <w:rFonts w:eastAsia="source serif 4" w:cs="source serif 4" w:ascii="source serif 4" w:hAnsi="source serif 4"/>
          <w:color w:val="000000"/>
        </w:rPr>
        <w:t xml:space="preserve">Education governance is fragmented both vertically and horizontally. Vertically, responsibility is distributed across national, state, provincial, district, and school levels. Horizontally, responsibility is shared across departments handling curriculum, data protection, safeguarding, procurement, assessment, professional learning, and special education.[cite:18][cite:56][cite:65] Fragmentation is not inherently negative because it can preserve local responsiveness and democratic pluralism. However, it complicates coherent technology governance because no single unit may have full authority or expertise across the relevant issues.</w:t>
      </w:r>
    </w:p>
    <w:p>
      <w:pPr>
        <w:spacing w:line="360" w:after="210" w:lineRule="auto"/>
      </w:pPr>
      <w:r>
        <w:rPr>
          <w:rFonts w:eastAsia="source serif 4" w:cs="source serif 4" w:ascii="source serif 4" w:hAnsi="source serif 4"/>
          <w:color w:val="000000"/>
        </w:rPr>
        <w:t xml:space="preserve">The patchwork problem emerges when multiple institutions issue partial guidance that does not align. One body may focus on privacy, another on acceptable use, another on curriculum integration, and another on procurement standards. Schools then receive overlapping but incomplete directions that leave leaders to reconcile inconsistencies locally.[cite:52][cite:53][cite:58] This can generate wide variation in practice even within the same system. Some schools may prohibit certain tools entirely, others may permit them under teacher discretion, and others may actively encourage adoption without robust review.[cite:18][cite:54][cite:64]</w:t>
      </w:r>
    </w:p>
    <w:p>
      <w:pPr>
        <w:spacing w:line="360" w:after="210" w:lineRule="auto"/>
      </w:pPr>
      <w:r>
        <w:rPr>
          <w:rFonts w:eastAsia="source serif 4" w:cs="source serif 4" w:ascii="source serif 4" w:hAnsi="source serif 4"/>
          <w:color w:val="000000"/>
        </w:rPr>
        <w:t xml:space="preserve">Patchwork governance also complicates accountability. When something goes wrong—such as unauthorized data disclosure, biased automated output, or misuse of AI-generated content—it may be unclear who bears responsibility. Was the vendor insufficiently transparent? Did the district fail to provide guidance? Did the school misuse the tool? Did the teacher act outside policy? Fragmented systems can diffuse accountability so broadly that no actor feels clearly answerable, even though the risk was structurally produced.[cite:52][cite:56][cite:65]</w:t>
      </w:r>
    </w:p>
    <w:p>
      <w:pPr>
        <w:spacing w:line="360" w:after="210" w:lineRule="auto"/>
      </w:pPr>
      <w:r>
        <w:rPr>
          <w:rFonts w:eastAsia="source serif 4" w:cs="source serif 4" w:ascii="source serif 4" w:hAnsi="source serif 4"/>
          <w:color w:val="000000"/>
        </w:rPr>
        <w:t xml:space="preserve">This diffusion problem is especially acute in international and hybrid educational settings, where schools may operate across multiple regulatory cultures and rely on globally distributed vendors. Although governance principles can travel, legal obligations and institutional capacities vary, making standardized policy difficult.[cite:60][cite:62][cite:61] The result is not just inconsistency but inequality: students in different schools experience different levels of protection and support depending on local governance strength rather than educational need.</w:t>
      </w:r>
    </w:p>
    <w:p>
      <w:pPr>
        <w:spacing w:line="360" w:before="315" w:after="105" w:lineRule="auto"/>
        <w:ind w:left="-30"/>
        <w:jc w:val="left"/>
      </w:pPr>
      <w:bookmarkStart w:id="6" w:name="evidence_delay_and_uncertainty"/>
      <w:r>
        <w:rPr>
          <w:rFonts w:eastAsia="source serif 4" w:cs="source serif 4" w:ascii="source serif 4" w:hAnsi="source serif 4"/>
          <w:b/>
          <w:color w:val="000000"/>
          <w:sz w:val="24"/>
        </w:rPr>
        <w:t xml:space="preserve">Evidence Delay and Uncertainty</w:t>
      </w:r>
      <w:bookmarkEnd w:id="6"/>
    </w:p>
    <w:p>
      <w:pPr>
        <w:spacing w:line="360" w:after="210" w:lineRule="auto"/>
      </w:pPr>
      <w:r>
        <w:rPr>
          <w:rFonts w:eastAsia="source serif 4" w:cs="source serif 4" w:ascii="source serif 4" w:hAnsi="source serif 4"/>
          <w:color w:val="000000"/>
        </w:rPr>
        <w:t xml:space="preserve">Policymakers often confront new technologies before the research base is mature. This is particularly true when the technology changes quickly and when its classroom effects depend on context, teacher skill, curriculum design, and student population. Generative AI illustrates this well. Public discussion frequently moves faster than peer-reviewed educational research, and many claims about personalization, workload reduction, equity, or risk remain provisional.[cite:18][cite:57][cite:64] Education systems are therefore asked to govern under conditions of epistemic uncertainty.</w:t>
      </w:r>
    </w:p>
    <w:p>
      <w:pPr>
        <w:spacing w:line="360" w:after="210" w:lineRule="auto"/>
      </w:pPr>
      <w:r>
        <w:rPr>
          <w:rFonts w:eastAsia="source serif 4" w:cs="source serif 4" w:ascii="source serif 4" w:hAnsi="source serif 4"/>
          <w:color w:val="000000"/>
        </w:rPr>
        <w:t xml:space="preserve">Evidence delay matters because public institutions are expected to justify decisions. Restrictive policies may be criticized for stifling innovation. Permissive policies may be criticized for exposing students to untested systems. In the absence of strong evidence, policymakers often rely on analogies, expert opinion, or interim guidance rather than robust long-term outcomes data.[cite:18][cite:54][cite:58] This does not make policy impossible, but it increases contestation and slows consensus.</w:t>
      </w:r>
    </w:p>
    <w:p>
      <w:pPr>
        <w:spacing w:line="360" w:after="210" w:lineRule="auto"/>
      </w:pPr>
      <w:r>
        <w:rPr>
          <w:rFonts w:eastAsia="source serif 4" w:cs="source serif 4" w:ascii="source serif 4" w:hAnsi="source serif 4"/>
          <w:color w:val="000000"/>
        </w:rPr>
        <w:t xml:space="preserve">Uncertainty is not only about efficacy. It is also about harms. Some technological risks do not appear immediately or distribute evenly. Bias in algorithmic outputs may affect some students more than others. Data retention policies may produce long-term privacy issues not visible during initial deployment. Automation may gradually reshape teacher work, assessment norms, or student dependence in ways that are hard to measure early.[cite:53][cite:56][cite:62] Governance therefore confronts a classic asymmetry: benefits are often visible and marketable in the short term, while harms may be delayed, cumulative, or socially uneven.</w:t>
      </w:r>
    </w:p>
    <w:p>
      <w:pPr>
        <w:spacing w:line="360" w:after="210" w:lineRule="auto"/>
      </w:pPr>
      <w:r>
        <w:rPr>
          <w:rFonts w:eastAsia="source serif 4" w:cs="source serif 4" w:ascii="source serif 4" w:hAnsi="source serif 4"/>
          <w:color w:val="000000"/>
        </w:rPr>
        <w:t xml:space="preserve">This asymmetry encourages reactive governance. Systems wait until misuse, controversy, or public pressure makes action unavoidable. At that point, policy often focuses on damage control rather than proactive design.[cite:18][cite:54][cite:65] Yet because public education carries duties toward minors and vulnerable groups, waiting for harm before acting can be ethically inadequate. The absence of complete evidence cannot justify the absence of governance.</w:t>
      </w:r>
    </w:p>
    <w:p>
      <w:pPr>
        <w:spacing w:line="360" w:before="315" w:after="105" w:lineRule="auto"/>
        <w:ind w:left="-30"/>
        <w:jc w:val="left"/>
      </w:pPr>
      <w:bookmarkStart w:id="7" w:name="procurement_vendors_and_commercial_tempo"/>
      <w:r>
        <w:rPr>
          <w:rFonts w:eastAsia="source serif 4" w:cs="source serif 4" w:ascii="source serif 4" w:hAnsi="source serif 4"/>
          <w:b/>
          <w:color w:val="000000"/>
          <w:sz w:val="24"/>
        </w:rPr>
        <w:t xml:space="preserve">Procurement, Vendors, and Commercial Tempo</w:t>
      </w:r>
      <w:bookmarkEnd w:id="7"/>
    </w:p>
    <w:p>
      <w:pPr>
        <w:spacing w:line="360" w:after="210" w:lineRule="auto"/>
      </w:pPr>
      <w:r>
        <w:rPr>
          <w:rFonts w:eastAsia="source serif 4" w:cs="source serif 4" w:ascii="source serif 4" w:hAnsi="source serif 4"/>
          <w:color w:val="000000"/>
        </w:rPr>
        <w:t xml:space="preserve">A major source of policy lag lies in the political economy of educational technology. Schools rarely build major platforms themselves. They rely on vendors for software, infrastructure, analytics, AI tools, content delivery, and support services. Vendors, in turn, operate according to competitive market dynamics that prioritize innovation narratives, rapid feature release, and product expansion.[cite:27][cite:52][cite:65] This commercial tempo differs sharply from the evaluative tempo of public institutions.</w:t>
      </w:r>
    </w:p>
    <w:p>
      <w:pPr>
        <w:spacing w:line="360" w:after="210" w:lineRule="auto"/>
      </w:pPr>
      <w:r>
        <w:rPr>
          <w:rFonts w:eastAsia="source serif 4" w:cs="source serif 4" w:ascii="source serif 4" w:hAnsi="source serif 4"/>
          <w:color w:val="000000"/>
        </w:rPr>
        <w:t xml:space="preserve">Vendor-driven innovation can outpace governance in several ways. First, schools may adopt tools through pilots, free trials, teacher-level experimentation, or urgent procurement decisions before full policy review has occurred.[cite:18][cite:64][cite:65] Second, vendor documentation may not fully disclose training data practices, model limitations, bias mitigation methods, or secondary data use, making informed governance difficult.[cite:52][cite:53][cite:62] Third, the language of transformation can pressure schools to act quickly lest they appear outdated or uncompetitive.</w:t>
      </w:r>
    </w:p>
    <w:p>
      <w:pPr>
        <w:spacing w:line="360" w:after="210" w:lineRule="auto"/>
      </w:pPr>
      <w:r>
        <w:rPr>
          <w:rFonts w:eastAsia="source serif 4" w:cs="source serif 4" w:ascii="source serif 4" w:hAnsi="source serif 4"/>
          <w:color w:val="000000"/>
        </w:rPr>
        <w:t xml:space="preserve">Transparency is therefore central. Some 2026 policy discussions highlight vendor transparency as an area still insufficiently addressed in education governance.[cite:65] Without strong disclosure requirements, schools may lack the information needed to evaluate risk, accessibility, explainability, and compliance. Procurement becomes a weak substitute for governance when purchasing teams are forced to infer policy adequacy from marketing materials or contractual assurances alone.[cite:52][cite:58][cite:65]</w:t>
      </w:r>
    </w:p>
    <w:p>
      <w:pPr>
        <w:spacing w:line="360" w:after="210" w:lineRule="auto"/>
      </w:pPr>
      <w:r>
        <w:rPr>
          <w:rFonts w:eastAsia="source serif 4" w:cs="source serif 4" w:ascii="source serif 4" w:hAnsi="source serif 4"/>
          <w:color w:val="000000"/>
        </w:rPr>
        <w:t xml:space="preserve">Commercial tempo also affects policy imagination. If technologies are introduced mainly as products to be acquired, governance may focus narrowly on whether they are permissible rather than whether they alter the distribution of power, expertise, labor, and data within schooling. This narrows the debate to implementation rather than educational purpose.[cite:21][cite:52][cite:61] In that sense, commercial framing itself contributes to policy lag by treating governance as a secondary wrapper around adoption rather than as a prior condition for legitimacy.</w:t>
      </w:r>
    </w:p>
    <w:p>
      <w:pPr>
        <w:spacing w:line="360" w:before="315" w:after="105" w:lineRule="auto"/>
        <w:ind w:left="-30"/>
        <w:jc w:val="left"/>
      </w:pPr>
      <w:bookmarkStart w:id="8" w:name="schools_as_high_trust_high_risk_i_d2d2ee"/>
      <w:r>
        <w:rPr>
          <w:rFonts w:eastAsia="source serif 4" w:cs="source serif 4" w:ascii="source serif 4" w:hAnsi="source serif 4"/>
          <w:b/>
          <w:color w:val="000000"/>
          <w:sz w:val="24"/>
        </w:rPr>
        <w:t xml:space="preserve">Schools as High-Trust, High-Risk Institutions</w:t>
      </w:r>
      <w:bookmarkEnd w:id="8"/>
    </w:p>
    <w:p>
      <w:pPr>
        <w:spacing w:line="360" w:after="210" w:lineRule="auto"/>
      </w:pPr>
      <w:r>
        <w:rPr>
          <w:rFonts w:eastAsia="source serif 4" w:cs="source serif 4" w:ascii="source serif 4" w:hAnsi="source serif 4"/>
          <w:color w:val="000000"/>
        </w:rPr>
        <w:t xml:space="preserve">Schools occupy a distinctive institutional position. They are places of care, compulsion, developmental vulnerability, and public trust. Students cannot meaningfully opt out of schooling in the same way consumers opt out of digital services, and minors often cannot provide fully informed consent to complex data practices.[cite:53][cite:60][cite:62] This makes technological governance in schools more ethically demanding than in many other sectors.</w:t>
      </w:r>
    </w:p>
    <w:p>
      <w:pPr>
        <w:spacing w:line="360" w:after="210" w:lineRule="auto"/>
      </w:pPr>
      <w:r>
        <w:rPr>
          <w:rFonts w:eastAsia="source serif 4" w:cs="source serif 4" w:ascii="source serif 4" w:hAnsi="source serif 4"/>
          <w:color w:val="000000"/>
        </w:rPr>
        <w:t xml:space="preserve">Because schools are high-trust institutions, governance failures carry reputational as well as practical consequences. Families expect educational technologies to support learning without compromising safety, dignity, or fairness. When systems are introduced without clear communication or when policies are inconsistent, trust erodes.[cite:54][cite:61][cite:62] That erosion matters because schools depend on relational legitimacy. Governance must therefore account not only for technical compliance but also for public intelligibility: stakeholders need to understand what tools are used, why they are used, and what protections exist.</w:t>
      </w:r>
    </w:p>
    <w:p>
      <w:pPr>
        <w:spacing w:line="360" w:after="210" w:lineRule="auto"/>
      </w:pPr>
      <w:r>
        <w:rPr>
          <w:rFonts w:eastAsia="source serif 4" w:cs="source serif 4" w:ascii="source serif 4" w:hAnsi="source serif 4"/>
          <w:color w:val="000000"/>
        </w:rPr>
        <w:t xml:space="preserve">Schools are also high-risk institutions because educational decisions can shape long-term outcomes. If biased tools influence feedback, placement, behavioral monitoring, or access to advanced learning opportunities, the effects can accumulate over time. If AI-generated misinformation circulates through assignments or school communications, it may distort learning itself. If teachers become overly dependent on automated planning or grading, professional judgment may erode in subtle ways.[cite:18][cite:53][cite:62] The stakes are therefore not limited to operational convenience. They extend to developmental justice.</w:t>
      </w:r>
    </w:p>
    <w:p>
      <w:pPr>
        <w:spacing w:line="360" w:after="210" w:lineRule="auto"/>
      </w:pPr>
      <w:r>
        <w:rPr>
          <w:rFonts w:eastAsia="source serif 4" w:cs="source serif 4" w:ascii="source serif 4" w:hAnsi="source serif 4"/>
          <w:color w:val="000000"/>
        </w:rPr>
        <w:t xml:space="preserve">This combination of trust and risk helps explain why educational governance cannot simply “move fast and break things.” A disruptive ethos may be tolerated in some commercial domains, but it is inappropriate where children’s rights, access, and wellbeing are at stake.[cite:21][cite:60][cite:62] The challenge is not whether schools should innovate, but how they can do so without adopting the risk norms of the markets that produce their tools.</w:t>
      </w:r>
    </w:p>
    <w:p>
      <w:pPr>
        <w:spacing w:line="360" w:before="315" w:after="105" w:lineRule="auto"/>
        <w:ind w:left="-30"/>
        <w:jc w:val="left"/>
      </w:pPr>
      <w:bookmarkStart w:id="9" w:name="why_ai_intensifies_the_governance_gap"/>
      <w:r>
        <w:rPr>
          <w:rFonts w:eastAsia="source serif 4" w:cs="source serif 4" w:ascii="source serif 4" w:hAnsi="source serif 4"/>
          <w:b/>
          <w:color w:val="000000"/>
          <w:sz w:val="24"/>
        </w:rPr>
        <w:t xml:space="preserve">Why AI Intensifies the Governance Gap</w:t>
      </w:r>
      <w:bookmarkEnd w:id="9"/>
    </w:p>
    <w:p>
      <w:pPr>
        <w:spacing w:line="360" w:after="210" w:lineRule="auto"/>
      </w:pPr>
      <w:r>
        <w:rPr>
          <w:rFonts w:eastAsia="source serif 4" w:cs="source serif 4" w:ascii="source serif 4" w:hAnsi="source serif 4"/>
          <w:color w:val="000000"/>
        </w:rPr>
        <w:t xml:space="preserve">Although policy lag predates AI, generative and predictive AI amplify the governance problem in several ways. First, AI systems blur boundaries between support and substitution. They can assist with brainstorming, feedback, drafting, translation, tutoring, analytics, and administrative workflows, but they can also substitute for human judgment in ways that are difficult to monitor.[cite:18][cite:53][cite:56] This makes simple permission-based governance inadequate. Schools need policies that address levels of reliance, disclosure, oversight, and contestability.</w:t>
      </w:r>
    </w:p>
    <w:p>
      <w:pPr>
        <w:spacing w:line="360" w:after="210" w:lineRule="auto"/>
      </w:pPr>
      <w:r>
        <w:rPr>
          <w:rFonts w:eastAsia="source serif 4" w:cs="source serif 4" w:ascii="source serif 4" w:hAnsi="source serif 4"/>
          <w:color w:val="000000"/>
        </w:rPr>
        <w:t xml:space="preserve">Second, AI produces epistemic uncertainty at scale. Users may not know when outputs are accurate, biased, fabricated, or overconfident. In education, this matters because false or misleading content can directly affect teaching, assessment, and student understanding.[cite:18][cite:53][cite:62] Governance must therefore consider not only whether AI is used but what forms of verification, attribution, and professional review are required.</w:t>
      </w:r>
    </w:p>
    <w:p>
      <w:pPr>
        <w:spacing w:line="360" w:after="210" w:lineRule="auto"/>
      </w:pPr>
      <w:r>
        <w:rPr>
          <w:rFonts w:eastAsia="source serif 4" w:cs="source serif 4" w:ascii="source serif 4" w:hAnsi="source serif 4"/>
          <w:color w:val="000000"/>
        </w:rPr>
        <w:t xml:space="preserve">Third, AI complicates authorship and academic integrity. Traditional plagiarism frameworks assume copying from identifiable human-made sources. AI-generated text and multimedia challenge those assumptions by enabling original-seeming outputs that may nonetheless bypass learning processes or obscure authorship.[cite:18][cite:54][cite:60] Schools must decide whether the issue is cheating, inappropriate assistance, undisclosed collaboration with a machine, or something else altogether. Each interpretation implies different policy responses.</w:t>
      </w:r>
    </w:p>
    <w:p>
      <w:pPr>
        <w:spacing w:line="360" w:after="210" w:lineRule="auto"/>
      </w:pPr>
      <w:r>
        <w:rPr>
          <w:rFonts w:eastAsia="source serif 4" w:cs="source serif 4" w:ascii="source serif 4" w:hAnsi="source serif 4"/>
          <w:color w:val="000000"/>
        </w:rPr>
        <w:t xml:space="preserve">Fourth, AI can embed bias in ways that are difficult for ordinary users to detect. Biased training data, skewed outputs, or inaccessible interface design can disadvantage particular student groups, including multilingual learners, students with disabilities, and those from marginalized communities.[cite:53][cite:56][cite:62] If schools lack technical auditing capacity, they may inadvertently normalize inequitable systems under the banner of innovation.</w:t>
      </w:r>
    </w:p>
    <w:p>
      <w:pPr>
        <w:spacing w:line="360" w:after="210" w:lineRule="auto"/>
      </w:pPr>
      <w:r>
        <w:rPr>
          <w:rFonts w:eastAsia="source serif 4" w:cs="source serif 4" w:ascii="source serif 4" w:hAnsi="source serif 4"/>
          <w:color w:val="000000"/>
        </w:rPr>
        <w:t xml:space="preserve">Finally, AI is symbolically powerful. It is framed as future-defining, workforce-critical, and pedagogically transformative. Such framing creates urgency and political pressure for adoption, even when governance remains incomplete.[cite:56][cite:57][cite:65] In this sense, AI intensifies policy lag not only because it is technically complex but because it arrives wrapped in narratives that shorten the perceived time available for careful institutional deliberation.</w:t>
      </w:r>
    </w:p>
    <w:p>
      <w:pPr>
        <w:spacing w:line="360" w:before="315" w:after="105" w:lineRule="auto"/>
        <w:ind w:left="-30"/>
        <w:jc w:val="left"/>
      </w:pPr>
      <w:bookmarkStart w:id="10" w:name="the_burden_on_teachers_and_school_3a2e3e"/>
      <w:r>
        <w:rPr>
          <w:rFonts w:eastAsia="source serif 4" w:cs="source serif 4" w:ascii="source serif 4" w:hAnsi="source serif 4"/>
          <w:b/>
          <w:color w:val="000000"/>
          <w:sz w:val="24"/>
        </w:rPr>
        <w:t xml:space="preserve">The Burden on Teachers and School Leaders</w:t>
      </w:r>
      <w:bookmarkEnd w:id="10"/>
    </w:p>
    <w:p>
      <w:pPr>
        <w:spacing w:line="360" w:after="210" w:lineRule="auto"/>
      </w:pPr>
      <w:r>
        <w:rPr>
          <w:rFonts w:eastAsia="source serif 4" w:cs="source serif 4" w:ascii="source serif 4" w:hAnsi="source serif 4"/>
          <w:color w:val="000000"/>
        </w:rPr>
        <w:t xml:space="preserve">When policy is weak or incomplete, governance responsibility shifts downward. Teachers and school leaders become front-line decision-makers for questions that are legal, ethical, pedagogical, and technical all at once. They must judge tool reliability, manage student use, protect privacy, interpret acceptable use, communicate with families, and often troubleshoot with minimal guidance.[cite:18][cite:52][cite:64] This burden is considerable, particularly in systems already marked by workload pressure.</w:t>
      </w:r>
    </w:p>
    <w:p>
      <w:pPr>
        <w:spacing w:line="360" w:after="210" w:lineRule="auto"/>
      </w:pPr>
      <w:r>
        <w:rPr>
          <w:rFonts w:eastAsia="source serif 4" w:cs="source serif 4" w:ascii="source serif 4" w:hAnsi="source serif 4"/>
          <w:color w:val="000000"/>
        </w:rPr>
        <w:t xml:space="preserve">For teachers, policy lag creates both professional opportunity and professional risk. On one hand, educators may experiment creatively with tools that save time or enrich instruction. On the other hand, they may be left personally exposed when rules are vague and expectations shift. A teacher who uses AI for feedback or lesson planning may later discover that the tool conflicts with local policy, data rules, or parental expectations.[cite:53][cite:58][cite:64] Ambiguity thus undermines professional confidence.</w:t>
      </w:r>
    </w:p>
    <w:p>
      <w:pPr>
        <w:spacing w:line="360" w:after="210" w:lineRule="auto"/>
      </w:pPr>
      <w:r>
        <w:rPr>
          <w:rFonts w:eastAsia="source serif 4" w:cs="source serif 4" w:ascii="source serif 4" w:hAnsi="source serif 4"/>
          <w:color w:val="000000"/>
        </w:rPr>
        <w:t xml:space="preserve">School leaders face a parallel problem. They are expected to lead innovation while safeguarding students and ensuring compliance. Yet many leaders lack dedicated technical teams or legal support. They may rely on model policies, vendor claims, peer networks, or ad hoc committees to make decisions under time pressure.[cite:52][cite:58][cite:64] In effect, policy lag converts leadership into local risk management.</w:t>
      </w:r>
    </w:p>
    <w:p>
      <w:pPr>
        <w:spacing w:line="360" w:after="210" w:lineRule="auto"/>
      </w:pPr>
      <w:r>
        <w:rPr>
          <w:rFonts w:eastAsia="source serif 4" w:cs="source serif 4" w:ascii="source serif 4" w:hAnsi="source serif 4"/>
          <w:color w:val="000000"/>
        </w:rPr>
        <w:t xml:space="preserve">This dynamic is especially problematic because it can normalize uneven governance quality. Schools with stronger leadership capacity, more affluent parent communities, or better access to expertise may develop sophisticated internal approaches. Others may default to blanket bans or unstructured permissiveness.[cite:18][cite:27][cite:56] The result is institutional inequality produced not by curriculum differences alone but by governance capacity gaps.</w:t>
      </w:r>
    </w:p>
    <w:p>
      <w:pPr>
        <w:spacing w:line="360" w:before="315" w:after="105" w:lineRule="auto"/>
        <w:ind w:left="-30"/>
        <w:jc w:val="left"/>
      </w:pPr>
      <w:bookmarkStart w:id="11" w:name="equity_and_the_uneven_geography_o_649e13"/>
      <w:r>
        <w:rPr>
          <w:rFonts w:eastAsia="source serif 4" w:cs="source serif 4" w:ascii="source serif 4" w:hAnsi="source serif 4"/>
          <w:b/>
          <w:color w:val="000000"/>
          <w:sz w:val="24"/>
        </w:rPr>
        <w:t xml:space="preserve">Equity and the Uneven Geography of Innovation</w:t>
      </w:r>
      <w:bookmarkEnd w:id="11"/>
    </w:p>
    <w:p>
      <w:pPr>
        <w:spacing w:line="360" w:after="210" w:lineRule="auto"/>
      </w:pPr>
      <w:r>
        <w:rPr>
          <w:rFonts w:eastAsia="source serif 4" w:cs="source serif 4" w:ascii="source serif 4" w:hAnsi="source serif 4"/>
          <w:color w:val="000000"/>
        </w:rPr>
        <w:t xml:space="preserve">Technological change does not enter all schools equally. Access to infrastructure, professional learning, technical support, reliable devices, and policy expertise varies widely across systems. Consequently, policy lag does not have uniform effects. Where internal capacity is high, schools may compensate for weak external guidance through local expertise and experimentation. Where capacity is low, the same lack of guidance produces confusion, risk, or exclusion.[cite:18][cite:27][cite:56]</w:t>
      </w:r>
    </w:p>
    <w:p>
      <w:pPr>
        <w:spacing w:line="360" w:after="210" w:lineRule="auto"/>
      </w:pPr>
      <w:r>
        <w:rPr>
          <w:rFonts w:eastAsia="source serif 4" w:cs="source serif 4" w:ascii="source serif 4" w:hAnsi="source serif 4"/>
          <w:color w:val="000000"/>
        </w:rPr>
        <w:t xml:space="preserve">Equity concerns arise in several dimensions. First, students in lower-resourced schools may have less access to beneficial innovations such as AI literacy programs, teacher-guided experimentation, or supported assistive uses.[cite:18][cite:56][cite:65] Second, they may simultaneously face greater exposure to poorly governed tools if low-cost or free platforms are adopted without adequate review. Third, marginalized student groups may bear disproportionate risk from inaccessible design, language bias, algorithmic stereotyping, or disciplinary misuse.</w:t>
      </w:r>
    </w:p>
    <w:p>
      <w:pPr>
        <w:spacing w:line="360" w:after="210" w:lineRule="auto"/>
      </w:pPr>
      <w:r>
        <w:rPr>
          <w:rFonts w:eastAsia="source serif 4" w:cs="source serif 4" w:ascii="source serif 4" w:hAnsi="source serif 4"/>
          <w:color w:val="000000"/>
        </w:rPr>
        <w:t xml:space="preserve">The policy problem here is not only access but differentiated protection. Equity-oriented governance must ensure that all students receive both opportunity and safeguards. Yet policy lag often means that protections emerge unevenly, following public attention rather than structural need.[cite:53][cite:60][cite:62] Systems may celebrate innovation grants or AI readiness initiatives while failing to address the governance conditions necessary for fair participation.</w:t>
      </w:r>
    </w:p>
    <w:p>
      <w:pPr>
        <w:spacing w:line="360" w:after="210" w:lineRule="auto"/>
      </w:pPr>
      <w:r>
        <w:rPr>
          <w:rFonts w:eastAsia="source serif 4" w:cs="source serif 4" w:ascii="source serif 4" w:hAnsi="source serif 4"/>
          <w:color w:val="000000"/>
        </w:rPr>
        <w:t xml:space="preserve">Equity also matters at the workforce level. Teachers in disadvantaged settings may receive less professional learning, fewer planning supports, and less time to evaluate tools critically. They may be expected to implement innovation with fewer institutional buffers.[cite:18][cite:64][cite:65] In this way, policy lag can intensify both student inequality and professional inequality.</w:t>
      </w:r>
    </w:p>
    <w:p>
      <w:pPr>
        <w:spacing w:line="360" w:before="315" w:after="105" w:lineRule="auto"/>
        <w:ind w:left="-30"/>
        <w:jc w:val="left"/>
      </w:pPr>
      <w:bookmarkStart w:id="12" w:name="governance_by_guidance_the_limits_5ff535"/>
      <w:r>
        <w:rPr>
          <w:rFonts w:eastAsia="source serif 4" w:cs="source serif 4" w:ascii="source serif 4" w:hAnsi="source serif 4"/>
          <w:b/>
          <w:color w:val="000000"/>
          <w:sz w:val="24"/>
        </w:rPr>
        <w:t xml:space="preserve">Governance by Guidance: The Limits of Soft Policy</w:t>
      </w:r>
      <w:bookmarkEnd w:id="12"/>
    </w:p>
    <w:p>
      <w:pPr>
        <w:spacing w:line="360" w:after="210" w:lineRule="auto"/>
      </w:pPr>
      <w:r>
        <w:rPr>
          <w:rFonts w:eastAsia="source serif 4" w:cs="source serif 4" w:ascii="source serif 4" w:hAnsi="source serif 4"/>
          <w:color w:val="000000"/>
        </w:rPr>
        <w:t xml:space="preserve">One notable response to rapid technological change has been the proliferation of guidance documents, toolkits, model policies, and frameworks. These resources play an important role, especially when formal legislation would take too long. They can clarify principles, raise awareness, and provide starting points for institutions navigating new tools.[cite:52][cite:53][cite:58] Yet guidance-based governance has limits.</w:t>
      </w:r>
    </w:p>
    <w:p>
      <w:pPr>
        <w:spacing w:line="360" w:after="210" w:lineRule="auto"/>
      </w:pPr>
      <w:r>
        <w:rPr>
          <w:rFonts w:eastAsia="source serif 4" w:cs="source serif 4" w:ascii="source serif 4" w:hAnsi="source serif 4"/>
          <w:color w:val="000000"/>
        </w:rPr>
        <w:t xml:space="preserve">Soft policy often lacks binding force, enforcement mechanisms, and clear accountability pathways. A school may possess an AI policy template or safeguarding guide without having the systems needed to implement it consistently. Staff may not read it closely, leaders may interpret it unevenly, and vendors may not be required to align with it contractually.[cite:52][cite:53][cite:58] Guidance can therefore create the appearance of readiness without the substance of governance.</w:t>
      </w:r>
    </w:p>
    <w:p>
      <w:pPr>
        <w:spacing w:line="360" w:after="210" w:lineRule="auto"/>
      </w:pPr>
      <w:r>
        <w:rPr>
          <w:rFonts w:eastAsia="source serif 4" w:cs="source serif 4" w:ascii="source serif 4" w:hAnsi="source serif 4"/>
          <w:color w:val="000000"/>
        </w:rPr>
        <w:t xml:space="preserve">There is also a risk of overgeneralization. Broad policy statements can become so principle-heavy and operationally thin that they offer little help in real decision contexts. For example, stating that AI should be used ethically, transparently, and safely is valuable, but leaders still need protocols for approvals, classroom disclosure, parental communication, incident reporting, and periodic review.[cite:52][cite:58][cite:60] Without operationalization, guidance remains aspirational.</w:t>
      </w:r>
    </w:p>
    <w:p>
      <w:pPr>
        <w:spacing w:line="360" w:after="210" w:lineRule="auto"/>
      </w:pPr>
      <w:r>
        <w:rPr>
          <w:rFonts w:eastAsia="source serif 4" w:cs="source serif 4" w:ascii="source serif 4" w:hAnsi="source serif 4"/>
          <w:color w:val="000000"/>
        </w:rPr>
        <w:t xml:space="preserve">This does not mean soft policy is futile. It means it must be nested within stronger governance architecture. Guidance should function as part of an adaptive system that includes procurement rules, training, audit requirements, review cycles, and mechanisms for stakeholder challenge.[cite:54][cite:56][cite:58] Otherwise, policy lag is merely repackaged as policy abundance.</w:t>
      </w:r>
    </w:p>
    <w:p>
      <w:pPr>
        <w:spacing w:line="360" w:before="315" w:after="105" w:lineRule="auto"/>
        <w:ind w:left="-30"/>
        <w:jc w:val="left"/>
      </w:pPr>
      <w:bookmarkStart w:id="13" w:name="comparative_signals_from_current_5f4a8f"/>
      <w:r>
        <w:rPr>
          <w:rFonts w:eastAsia="source serif 4" w:cs="source serif 4" w:ascii="source serif 4" w:hAnsi="source serif 4"/>
          <w:b/>
          <w:color w:val="000000"/>
          <w:sz w:val="24"/>
        </w:rPr>
        <w:t xml:space="preserve">Comparative Signals from Current Policy Trends</w:t>
      </w:r>
      <w:bookmarkEnd w:id="13"/>
    </w:p>
    <w:p>
      <w:pPr>
        <w:spacing w:line="360" w:after="210" w:lineRule="auto"/>
      </w:pPr>
      <w:r>
        <w:rPr>
          <w:rFonts w:eastAsia="source serif 4" w:cs="source serif 4" w:ascii="source serif 4" w:hAnsi="source serif 4"/>
          <w:color w:val="000000"/>
        </w:rPr>
        <w:t xml:space="preserve">Current policy developments provide useful evidence of both progress and limitation. Across the United States, policy activity has increased significantly, with numerous state bills and initiatives addressing AI literacy, responsible use guidance, task forces, prohibited uses, and safety concerns.[cite:56][cite:65] This suggests that policymakers are not ignoring the issue. On the contrary, many are actively trying to catch up.</w:t>
      </w:r>
    </w:p>
    <w:p>
      <w:pPr>
        <w:spacing w:line="360" w:after="210" w:lineRule="auto"/>
      </w:pPr>
      <w:r>
        <w:rPr>
          <w:rFonts w:eastAsia="source serif 4" w:cs="source serif 4" w:ascii="source serif 4" w:hAnsi="source serif 4"/>
          <w:color w:val="000000"/>
        </w:rPr>
        <w:t xml:space="preserve">At the same time, the form this activity takes confirms the structural argument advanced in this manuscript. Much of the movement involves guidance, capacity-building, or exploratory governance rather than settled regulatory frameworks.[cite:54][cite:56][cite:65] That is understandable given the novelty of the field, but it also means that many systems remain in transitional stages where classroom use can outpace institutional clarity.</w:t>
      </w:r>
    </w:p>
    <w:p>
      <w:pPr>
        <w:spacing w:line="360" w:after="210" w:lineRule="auto"/>
      </w:pPr>
      <w:r>
        <w:rPr>
          <w:rFonts w:eastAsia="source serif 4" w:cs="source serif 4" w:ascii="source serif 4" w:hAnsi="source serif 4"/>
          <w:color w:val="000000"/>
        </w:rPr>
        <w:t xml:space="preserve">Comparative frameworks, such as Australia’s national generative AI framework for schools, show the value of coordinated principle-setting across jurisdictions.[cite:60] They provide shared language for ethics, responsibility, and stakeholder roles. Yet even strong frameworks require local implementation capacity, periodic revision, and alignment with procurement, assessment, and professional learning systems. No framework eliminates the need for ongoing governance labor.[cite:58][cite:60][cite:62]</w:t>
      </w:r>
    </w:p>
    <w:p>
      <w:pPr>
        <w:spacing w:line="360" w:after="210" w:lineRule="auto"/>
      </w:pPr>
      <w:r>
        <w:rPr>
          <w:rFonts w:eastAsia="source serif 4" w:cs="source serif 4" w:ascii="source serif 4" w:hAnsi="source serif 4"/>
          <w:color w:val="000000"/>
        </w:rPr>
        <w:t xml:space="preserve">These comparative signals reinforce a key point: policy lag is not solved by producing more documents alone. It is addressed by building systems able to learn, revise, and coordinate across levels of governance. Current activity is promising precisely because it reveals movement toward that recognition, but the gap remains substantial.[cite:54][cite:56][cite:65]</w:t>
      </w:r>
    </w:p>
    <w:p>
      <w:pPr>
        <w:spacing w:line="360" w:before="315" w:after="105" w:lineRule="auto"/>
        <w:ind w:left="-30"/>
        <w:jc w:val="left"/>
      </w:pPr>
      <w:bookmarkStart w:id="14" w:name="beyond_compliance_the_question_of_eca801"/>
      <w:r>
        <w:rPr>
          <w:rFonts w:eastAsia="source serif 4" w:cs="source serif 4" w:ascii="source serif 4" w:hAnsi="source serif 4"/>
          <w:b/>
          <w:color w:val="000000"/>
          <w:sz w:val="24"/>
        </w:rPr>
        <w:t xml:space="preserve">Beyond Compliance: The Question of Educational Purpose</w:t>
      </w:r>
      <w:bookmarkEnd w:id="14"/>
    </w:p>
    <w:p>
      <w:pPr>
        <w:spacing w:line="360" w:after="210" w:lineRule="auto"/>
      </w:pPr>
      <w:r>
        <w:rPr>
          <w:rFonts w:eastAsia="source serif 4" w:cs="source serif 4" w:ascii="source serif 4" w:hAnsi="source serif 4"/>
          <w:color w:val="000000"/>
        </w:rPr>
        <w:t xml:space="preserve">A major weakness in technology governance debates is that they often emphasize risk management without sufficiently addressing educational purpose. Privacy, safety, and acceptable use are crucial, but governance must also ask what kinds of learning, teaching, and institutional relationships a technology supports. A tool may be lawful yet educationally distorting. It may reduce workload while narrowing intellectual challenge. It may personalize content while weakening collective learning or teacher judgment.[cite:58][cite:61][cite:62]</w:t>
      </w:r>
    </w:p>
    <w:p>
      <w:pPr>
        <w:spacing w:line="360" w:after="210" w:lineRule="auto"/>
      </w:pPr>
      <w:r>
        <w:rPr>
          <w:rFonts w:eastAsia="source serif 4" w:cs="source serif 4" w:ascii="source serif 4" w:hAnsi="source serif 4"/>
          <w:color w:val="000000"/>
        </w:rPr>
        <w:t xml:space="preserve">This matters because governance is not neutral. Every policy encodes assumptions about what schooling is for. If AI is governed mainly as a productivity tool, policies will prioritize efficiency and operational benefit. If it is governed as a literacy challenge, policies will emphasize critical understanding and disclosure. If it is governed as a risk vector, policies may prioritize restriction and control.[cite:56][cite:57][cite:60] These orientations shape not only what schools are allowed to do but what they are encouraged to value.</w:t>
      </w:r>
    </w:p>
    <w:p>
      <w:pPr>
        <w:spacing w:line="360" w:after="210" w:lineRule="auto"/>
      </w:pPr>
      <w:r>
        <w:rPr>
          <w:rFonts w:eastAsia="source serif 4" w:cs="source serif 4" w:ascii="source serif 4" w:hAnsi="source serif 4"/>
          <w:color w:val="000000"/>
        </w:rPr>
        <w:t xml:space="preserve">Educational purpose should therefore be central to governance design. Schools need explicit discussion of how technology relates to human teaching, student agency, developmental appropriateness, collaborative inquiry, and public values. Without such discussion, policy becomes narrowly instrumental and vulnerable to vendor agendas or short-term performance pressures.[cite:21][cite:57][cite:61] The question is not simply whether education governance can keep up with technology, but whether it can do so without surrendering its own normative foundations.</w:t>
      </w:r>
    </w:p>
    <w:p>
      <w:pPr>
        <w:spacing w:line="360" w:before="315" w:after="105" w:lineRule="auto"/>
        <w:ind w:left="-30"/>
        <w:jc w:val="left"/>
      </w:pPr>
      <w:bookmarkStart w:id="15" w:name="adaptive_governance_as_an_alternative"/>
      <w:r>
        <w:rPr>
          <w:rFonts w:eastAsia="source serif 4" w:cs="source serif 4" w:ascii="source serif 4" w:hAnsi="source serif 4"/>
          <w:b/>
          <w:color w:val="000000"/>
          <w:sz w:val="24"/>
        </w:rPr>
        <w:t xml:space="preserve">Adaptive Governance as an Alternative</w:t>
      </w:r>
      <w:bookmarkEnd w:id="15"/>
    </w:p>
    <w:p>
      <w:pPr>
        <w:spacing w:line="360" w:after="210" w:lineRule="auto"/>
      </w:pPr>
      <w:r>
        <w:rPr>
          <w:rFonts w:eastAsia="source serif 4" w:cs="source serif 4" w:ascii="source serif 4" w:hAnsi="source serif 4"/>
          <w:color w:val="000000"/>
        </w:rPr>
        <w:t xml:space="preserve">If static policy cannot keep pace with rapid innovation, what can? The answer proposed here is adaptive governance. Adaptive governance treats regulation, guidance, and institutional learning as ongoing processes rather than one-time acts. It assumes that policies will need revision, that technologies will evolve, and that uncertainty cannot be eliminated in advance.[cite:52][cite:54][cite:58] The aim is not to produce perfect foresight but to build durable public capacity for responsible adjustment.</w:t>
      </w:r>
    </w:p>
    <w:p>
      <w:pPr>
        <w:spacing w:line="360" w:after="210" w:lineRule="auto"/>
      </w:pPr>
      <w:r>
        <w:rPr>
          <w:rFonts w:eastAsia="source serif 4" w:cs="source serif 4" w:ascii="source serif 4" w:hAnsi="source serif 4"/>
          <w:color w:val="000000"/>
        </w:rPr>
        <w:t xml:space="preserve">Adaptive governance in education would have several core features. First, it would be principle-based. Instead of tying rules too narrowly to a specific product, it would organize governance around enduring values such as transparency, human oversight, accessibility, data minimization, fairness, contestability, and pedagogical integrity.[cite:53][cite:58][cite:60] Second, it would be cyclical. Policies would include scheduled review points, sunset clauses for provisional approvals, and mechanisms for rapid revision as new evidence or risks emerge.[cite:52][cite:54][cite:56]</w:t>
      </w:r>
    </w:p>
    <w:p>
      <w:pPr>
        <w:spacing w:line="360" w:after="210" w:lineRule="auto"/>
      </w:pPr>
      <w:r>
        <w:rPr>
          <w:rFonts w:eastAsia="source serif 4" w:cs="source serif 4" w:ascii="source serif 4" w:hAnsi="source serif 4"/>
          <w:color w:val="000000"/>
        </w:rPr>
        <w:t xml:space="preserve">Third, adaptive governance would integrate procurement and pedagogy. Schools would not treat tool adoption as separate from teaching and learning strategy. Vendor review would include questions about educational purpose, explainability, accessibility, bias, and staff capacity requirements.[cite:52][cite:58][cite:65] Fourth, it would distribute participation. Teachers, students, families, technical experts, disability advocates, and privacy specialists would all have roles in reviewing how technologies are used and with what effects.[cite:53][cite:60][cite:61]</w:t>
      </w:r>
    </w:p>
    <w:p>
      <w:pPr>
        <w:spacing w:line="360" w:after="210" w:lineRule="auto"/>
      </w:pPr>
      <w:r>
        <w:rPr>
          <w:rFonts w:eastAsia="source serif 4" w:cs="source serif 4" w:ascii="source serif 4" w:hAnsi="source serif 4"/>
          <w:color w:val="000000"/>
        </w:rPr>
        <w:t xml:space="preserve">Fifth, adaptive governance would invest in professional capacity. Governance cannot rely on documents alone. Educators need ongoing learning about tool limitations, verification practices, inclusive design, incident response, and ethical judgment.[cite:18][cite:56][cite:64] Finally, adaptive governance would support structured experimentation. Rather than banning or embracing tools wholesale, systems could establish monitored pilots with clear aims, documentation requirements, and review criteria before scaling.[cite:52][cite:54][cite:64]</w:t>
      </w:r>
    </w:p>
    <w:p>
      <w:pPr>
        <w:spacing w:line="360" w:before="315" w:after="105" w:lineRule="auto"/>
        <w:ind w:left="-30"/>
        <w:jc w:val="left"/>
      </w:pPr>
      <w:bookmarkStart w:id="16" w:name="building_institutional_capacity_f_8b6245"/>
      <w:r>
        <w:rPr>
          <w:rFonts w:eastAsia="source serif 4" w:cs="source serif 4" w:ascii="source serif 4" w:hAnsi="source serif 4"/>
          <w:b/>
          <w:color w:val="000000"/>
          <w:sz w:val="24"/>
        </w:rPr>
        <w:t xml:space="preserve">Building Institutional Capacity for Faster, Better Governance</w:t>
      </w:r>
      <w:bookmarkEnd w:id="16"/>
    </w:p>
    <w:p>
      <w:pPr>
        <w:spacing w:line="360" w:after="210" w:lineRule="auto"/>
      </w:pPr>
      <w:r>
        <w:rPr>
          <w:rFonts w:eastAsia="source serif 4" w:cs="source serif 4" w:ascii="source serif 4" w:hAnsi="source serif 4"/>
          <w:color w:val="000000"/>
        </w:rPr>
        <w:t xml:space="preserve">The phrase “keeping up” can be misleading if it implies copying the tempo of technology markets. Public education does not need to become as fast as commercial innovation in every respect. It needs to become better at recognizing which decisions require speed, which require deliberation, and how to connect the two without institutional paralysis.[cite:21][cite:54][cite:60] That is fundamentally a capacity problem.</w:t>
      </w:r>
    </w:p>
    <w:p>
      <w:pPr>
        <w:spacing w:line="360" w:after="210" w:lineRule="auto"/>
      </w:pPr>
      <w:r>
        <w:rPr>
          <w:rFonts w:eastAsia="source serif 4" w:cs="source serif 4" w:ascii="source serif 4" w:hAnsi="source serif 4"/>
          <w:color w:val="000000"/>
        </w:rPr>
        <w:t xml:space="preserve">Institutional capacity includes at least five dimensions. The first is legal and ethical literacy: schools need personnel who can interpret privacy, safeguarding, accessibility, and discrimination implications. The second is technical literacy: decision-makers must understand enough about systems to ask meaningful questions of vendors and staff. The third is pedagogical literacy: governance teams must evaluate whether a technology aligns with learning goals rather than assuming technical usefulness is educational usefulness. The fourth is organizational literacy: leaders must know how to embed governance into workflow, review cycles, and communication routines. The fifth is relational literacy: institutions need trust-building communication with families, students, and staff.[cite:52][cite:53][cite:61]</w:t>
      </w:r>
    </w:p>
    <w:p>
      <w:pPr>
        <w:spacing w:line="360" w:after="210" w:lineRule="auto"/>
      </w:pPr>
      <w:r>
        <w:rPr>
          <w:rFonts w:eastAsia="source serif 4" w:cs="source serif 4" w:ascii="source serif 4" w:hAnsi="source serif 4"/>
          <w:color w:val="000000"/>
        </w:rPr>
        <w:t xml:space="preserve">Building this capacity requires investment, not only policy language. It may involve cross-functional committees, regional support hubs, shared procurement frameworks, incident reporting systems, and common review templates. It may also require new roles or distributed leadership structures in schools, especially as AI and digital systems become more deeply embedded in instruction and administration.[cite:54][cite:56][cite:64] Without this capacity, policy documents remain fragile artifacts disconnected from practice.</w:t>
      </w:r>
    </w:p>
    <w:p>
      <w:pPr>
        <w:spacing w:line="360" w:after="210" w:lineRule="auto"/>
      </w:pPr>
      <w:r>
        <w:rPr>
          <w:rFonts w:eastAsia="source serif 4" w:cs="source serif 4" w:ascii="source serif 4" w:hAnsi="source serif 4"/>
          <w:color w:val="000000"/>
        </w:rPr>
        <w:t xml:space="preserve">Capacity-building is particularly important for equity. Stronger systems should not assume all schools can govern independently. Shared public infrastructure—model contracts, vetted tool lists, professional learning networks, review rubrics, and transparency standards—can reduce the burden on less-resourced schools and narrow governance inequality.[cite:56][cite:60][cite:65] In this sense, institutional capacity is not a local luxury. It is part of educational justice.</w:t>
      </w:r>
    </w:p>
    <w:p>
      <w:pPr>
        <w:spacing w:line="360" w:before="315" w:after="105" w:lineRule="auto"/>
        <w:ind w:left="-30"/>
        <w:jc w:val="left"/>
      </w:pPr>
      <w:bookmarkStart w:id="17" w:name="a_framework_for_policy_design"/>
      <w:r>
        <w:rPr>
          <w:rFonts w:eastAsia="source serif 4" w:cs="source serif 4" w:ascii="source serif 4" w:hAnsi="source serif 4"/>
          <w:b/>
          <w:color w:val="000000"/>
          <w:sz w:val="24"/>
        </w:rPr>
        <w:t xml:space="preserve">A Framework for Policy Design</w:t>
      </w:r>
      <w:bookmarkEnd w:id="17"/>
    </w:p>
    <w:p>
      <w:pPr>
        <w:spacing w:line="360" w:after="210" w:lineRule="auto"/>
      </w:pPr>
      <w:r>
        <w:rPr>
          <w:rFonts w:eastAsia="source serif 4" w:cs="source serif 4" w:ascii="source serif 4" w:hAnsi="source serif 4"/>
          <w:color w:val="000000"/>
        </w:rPr>
        <w:t xml:space="preserve">A practical governance framework for rapidly changing educational technologies can be organized around seven questions.</w:t>
      </w:r>
    </w:p>
    <w:p>
      <w:pPr>
        <w:numPr>
          <w:ilvl w:val="0"/>
          <w:numId w:val="1"/>
        </w:numPr>
        <w:spacing w:line="360" w:before="105" w:after="105" w:lineRule="auto"/>
      </w:pPr>
      <w:r>
        <w:rPr>
          <w:rFonts w:eastAsia="source serif 4" w:cs="source serif 4" w:ascii="source serif 4" w:hAnsi="source serif 4"/>
          <w:b/>
          <w:color w:val="000000"/>
          <w:sz w:val="21"/>
        </w:rPr>
        <w:t xml:space="preserve">Purpose:</w:t>
      </w:r>
      <w:r>
        <w:rPr>
          <w:rFonts w:eastAsia="source serif 4" w:cs="source serif 4" w:ascii="source serif 4" w:hAnsi="source serif 4"/>
          <w:color w:val="000000"/>
          <w:sz w:val="21"/>
        </w:rPr>
        <w:t xml:space="preserve"> What educational problem is the technology meant to address, and why is this the right intervention?[cite:58][cite:61]</w:t>
      </w:r>
    </w:p>
    <w:p>
      <w:pPr>
        <w:numPr>
          <w:ilvl w:val="0"/>
          <w:numId w:val="1"/>
        </w:numPr>
        <w:spacing w:line="360" w:before="105" w:after="105" w:lineRule="auto"/>
      </w:pPr>
      <w:r>
        <w:rPr>
          <w:rFonts w:eastAsia="source serif 4" w:cs="source serif 4" w:ascii="source serif 4" w:hAnsi="source serif 4"/>
          <w:b/>
          <w:color w:val="000000"/>
          <w:sz w:val="21"/>
        </w:rPr>
        <w:t xml:space="preserve">Evidence:</w:t>
      </w:r>
      <w:r>
        <w:rPr>
          <w:rFonts w:eastAsia="source serif 4" w:cs="source serif 4" w:ascii="source serif 4" w:hAnsi="source serif 4"/>
          <w:color w:val="000000"/>
          <w:sz w:val="21"/>
        </w:rPr>
        <w:t xml:space="preserve"> What is known and not yet known about its effectiveness, risks, and limitations in relevant school contexts?[cite:18][cite:57]</w:t>
      </w:r>
    </w:p>
    <w:p>
      <w:pPr>
        <w:numPr>
          <w:ilvl w:val="0"/>
          <w:numId w:val="1"/>
        </w:numPr>
        <w:spacing w:line="360" w:before="105" w:after="105" w:lineRule="auto"/>
      </w:pPr>
      <w:r>
        <w:rPr>
          <w:rFonts w:eastAsia="source serif 4" w:cs="source serif 4" w:ascii="source serif 4" w:hAnsi="source serif 4"/>
          <w:b/>
          <w:color w:val="000000"/>
          <w:sz w:val="21"/>
        </w:rPr>
        <w:t xml:space="preserve">Data:</w:t>
      </w:r>
      <w:r>
        <w:rPr>
          <w:rFonts w:eastAsia="source serif 4" w:cs="source serif 4" w:ascii="source serif 4" w:hAnsi="source serif 4"/>
          <w:color w:val="000000"/>
          <w:sz w:val="21"/>
        </w:rPr>
        <w:t xml:space="preserve"> What data are collected, processed, stored, shared, or used for model improvement, and under what protections?[cite:53][cite:62]</w:t>
      </w:r>
    </w:p>
    <w:p>
      <w:pPr>
        <w:numPr>
          <w:ilvl w:val="0"/>
          <w:numId w:val="1"/>
        </w:numPr>
        <w:spacing w:line="360" w:before="105" w:after="105" w:lineRule="auto"/>
      </w:pPr>
      <w:r>
        <w:rPr>
          <w:rFonts w:eastAsia="source serif 4" w:cs="source serif 4" w:ascii="source serif 4" w:hAnsi="source serif 4"/>
          <w:b/>
          <w:color w:val="000000"/>
          <w:sz w:val="21"/>
        </w:rPr>
        <w:t xml:space="preserve">Equity:</w:t>
      </w:r>
      <w:r>
        <w:rPr>
          <w:rFonts w:eastAsia="source serif 4" w:cs="source serif 4" w:ascii="source serif 4" w:hAnsi="source serif 4"/>
          <w:color w:val="000000"/>
          <w:sz w:val="21"/>
        </w:rPr>
        <w:t xml:space="preserve"> Which student groups may benefit, which may be harmed, and how will accessibility and fairness be assessed?[cite:53][cite:56]</w:t>
      </w:r>
    </w:p>
    <w:p>
      <w:pPr>
        <w:numPr>
          <w:ilvl w:val="0"/>
          <w:numId w:val="1"/>
        </w:numPr>
        <w:spacing w:line="360" w:before="105" w:after="105" w:lineRule="auto"/>
      </w:pPr>
      <w:r>
        <w:rPr>
          <w:rFonts w:eastAsia="source serif 4" w:cs="source serif 4" w:ascii="source serif 4" w:hAnsi="source serif 4"/>
          <w:b/>
          <w:color w:val="000000"/>
          <w:sz w:val="21"/>
        </w:rPr>
        <w:t xml:space="preserve">Oversight:</w:t>
      </w:r>
      <w:r>
        <w:rPr>
          <w:rFonts w:eastAsia="source serif 4" w:cs="source serif 4" w:ascii="source serif 4" w:hAnsi="source serif 4"/>
          <w:color w:val="000000"/>
          <w:sz w:val="21"/>
        </w:rPr>
        <w:t xml:space="preserve"> What human review, disclosure, and appeal processes exist for decisions influenced by the tool?[cite:52][cite:58]</w:t>
      </w:r>
    </w:p>
    <w:p>
      <w:pPr>
        <w:numPr>
          <w:ilvl w:val="0"/>
          <w:numId w:val="1"/>
        </w:numPr>
        <w:spacing w:line="360" w:before="105" w:after="105" w:lineRule="auto"/>
      </w:pPr>
      <w:r>
        <w:rPr>
          <w:rFonts w:eastAsia="source serif 4" w:cs="source serif 4" w:ascii="source serif 4" w:hAnsi="source serif 4"/>
          <w:b/>
          <w:color w:val="000000"/>
          <w:sz w:val="21"/>
        </w:rPr>
        <w:t xml:space="preserve">Capacity:</w:t>
      </w:r>
      <w:r>
        <w:rPr>
          <w:rFonts w:eastAsia="source serif 4" w:cs="source serif 4" w:ascii="source serif 4" w:hAnsi="source serif 4"/>
          <w:color w:val="000000"/>
          <w:sz w:val="21"/>
        </w:rPr>
        <w:t xml:space="preserve"> What training, staffing, and time are required for responsible implementation?[cite:52][cite:64]</w:t>
      </w:r>
    </w:p>
    <w:p>
      <w:pPr>
        <w:numPr>
          <w:ilvl w:val="0"/>
          <w:numId w:val="1"/>
        </w:numPr>
        <w:spacing w:line="360" w:before="105" w:after="105" w:lineRule="auto"/>
      </w:pPr>
      <w:r>
        <w:rPr>
          <w:rFonts w:eastAsia="source serif 4" w:cs="source serif 4" w:ascii="source serif 4" w:hAnsi="source serif 4"/>
          <w:b/>
          <w:color w:val="000000"/>
          <w:sz w:val="21"/>
        </w:rPr>
        <w:t xml:space="preserve">Revision:</w:t>
      </w:r>
      <w:r>
        <w:rPr>
          <w:rFonts w:eastAsia="source serif 4" w:cs="source serif 4" w:ascii="source serif 4" w:hAnsi="source serif 4"/>
          <w:color w:val="000000"/>
          <w:sz w:val="21"/>
        </w:rPr>
        <w:t xml:space="preserve"> When will the policy and the tool be reviewed, by whom, and according to what criteria?[cite:54][cite:60]</w:t>
      </w:r>
    </w:p>
    <w:p>
      <w:pPr>
        <w:spacing w:line="360" w:after="210" w:lineRule="auto"/>
      </w:pPr>
      <w:r>
        <w:rPr>
          <w:rFonts w:eastAsia="source serif 4" w:cs="source serif 4" w:ascii="source serif 4" w:hAnsi="source serif 4"/>
          <w:color w:val="000000"/>
        </w:rPr>
        <w:t xml:space="preserve">These questions are intentionally simple, but together they force institutions to connect technological adoption with public justification. They also shift governance from a reactive model—responding to controversy after adoption—to a prospective model in which approval itself depends on the quality of institutional preparation.[cite:52][cite:54][cite:58] Such a framework does not eliminate uncertainty, but it makes governance more transparent, participatory, and revisable.</w:t>
      </w:r>
    </w:p>
    <w:p>
      <w:pPr>
        <w:spacing w:line="360" w:before="315" w:after="105" w:lineRule="auto"/>
        <w:ind w:left="-30"/>
        <w:jc w:val="left"/>
      </w:pPr>
      <w:bookmarkStart w:id="18" w:name="discussion"/>
      <w:r>
        <w:rPr>
          <w:rFonts w:eastAsia="source serif 4" w:cs="source serif 4" w:ascii="source serif 4" w:hAnsi="source serif 4"/>
          <w:b/>
          <w:color w:val="000000"/>
          <w:sz w:val="24"/>
        </w:rPr>
        <w:t xml:space="preserve">Discussion</w:t>
      </w:r>
      <w:bookmarkEnd w:id="18"/>
    </w:p>
    <w:p>
      <w:pPr>
        <w:spacing w:line="360" w:after="210" w:lineRule="auto"/>
      </w:pPr>
      <w:r>
        <w:rPr>
          <w:rFonts w:eastAsia="source serif 4" w:cs="source serif 4" w:ascii="source serif 4" w:hAnsi="source serif 4"/>
          <w:color w:val="000000"/>
        </w:rPr>
        <w:t xml:space="preserve">The argument of this manuscript is not that education governance should abandon innovation or retreat into blanket prohibition. Nor is it that all policy delay is harmful. Some delay is necessary for consultation, evidence gathering, and democratic legitimacy.[cite:21][cite:60][cite:62] The problem arises when delay is unmanaged, when adoption proceeds in the meantime, and when systems lack the structures needed to revise policy as practice evolves.</w:t>
      </w:r>
    </w:p>
    <w:p>
      <w:pPr>
        <w:spacing w:line="360" w:after="210" w:lineRule="auto"/>
      </w:pPr>
      <w:r>
        <w:rPr>
          <w:rFonts w:eastAsia="source serif 4" w:cs="source serif 4" w:ascii="source serif 4" w:hAnsi="source serif 4"/>
          <w:color w:val="000000"/>
        </w:rPr>
        <w:t xml:space="preserve">Policy lag persists because public education and technological innovation are governed by different institutional logics. One values continuity, procedural legitimacy, equity, and duty of care. The other values speed, scale, differentiation, and market advantage.[cite:21][cite:56][cite:65] Schools must interact with both worlds, but they cannot simply inherit the tempo or risk culture of the latter without undermining their public mission.</w:t>
      </w:r>
    </w:p>
    <w:p>
      <w:pPr>
        <w:spacing w:line="360" w:after="210" w:lineRule="auto"/>
      </w:pPr>
      <w:r>
        <w:rPr>
          <w:rFonts w:eastAsia="source serif 4" w:cs="source serif 4" w:ascii="source serif 4" w:hAnsi="source serif 4"/>
          <w:color w:val="000000"/>
        </w:rPr>
        <w:t xml:space="preserve">This has important implications for how reform is framed. Calls for schools to “keep up” with technology often assume that faster adoption is inherently better and that policy’s role is to remove barriers. The analysis here suggests a different view. The task is not to accelerate schools indiscriminately, but to strengthen the quality of public decision-making under conditions of technological acceleration.[cite:54][cite:58][cite:61] In other words, governance itself must become a site of innovation.</w:t>
      </w:r>
    </w:p>
    <w:p>
      <w:pPr>
        <w:spacing w:line="360" w:after="210" w:lineRule="auto"/>
      </w:pPr>
      <w:r>
        <w:rPr>
          <w:rFonts w:eastAsia="source serif 4" w:cs="source serif 4" w:ascii="source serif 4" w:hAnsi="source serif 4"/>
          <w:color w:val="000000"/>
        </w:rPr>
        <w:t xml:space="preserve">That innovation should not imitate Silicon Valley rhetoric. It should take the form of more transparent public reasoning, shorter review cycles, better shared infrastructure, stronger procurement scrutiny, and richer stakeholder participation. The goal is not novelty for its own sake. It is institutional responsiveness compatible with equity, safety, and educational purpose.[cite:52][cite:56][cite:60] Only then can education systems govern emerging technologies in ways that preserve legitimacy while remaining flexible enough to respond to change.</w:t>
      </w:r>
    </w:p>
    <w:p>
      <w:pPr>
        <w:spacing w:line="360" w:before="315" w:after="105" w:lineRule="auto"/>
        <w:ind w:left="-30"/>
        <w:jc w:val="left"/>
      </w:pPr>
      <w:bookmarkStart w:id="19" w:name="conclusion"/>
      <w:r>
        <w:rPr>
          <w:rFonts w:eastAsia="source serif 4" w:cs="source serif 4" w:ascii="source serif 4" w:hAnsi="source serif 4"/>
          <w:b/>
          <w:color w:val="000000"/>
          <w:sz w:val="24"/>
        </w:rPr>
        <w:t xml:space="preserve">Conclusion</w:t>
      </w:r>
      <w:bookmarkEnd w:id="19"/>
    </w:p>
    <w:p>
      <w:pPr>
        <w:spacing w:line="360" w:after="210" w:lineRule="auto"/>
      </w:pPr>
      <w:r>
        <w:rPr>
          <w:rFonts w:eastAsia="source serif 4" w:cs="source serif 4" w:ascii="source serif 4" w:hAnsi="source serif 4"/>
          <w:color w:val="000000"/>
        </w:rPr>
        <w:t xml:space="preserve">Education governance cannot keep up with technological change in its current form because it was not designed for fast, opaque, commercially driven, continuously updating tools. Policy lag results from temporal mismatch, fragmented authority, evidence uncertainty, vendor-driven adoption, uneven capacity, and unresolved debates about the aims of schooling in a digital age.[cite:18][cite:27][cite:65] The present wave of AI makes this structural problem more visible, but the issue extends across the wider field of educational technology and digital governance.[cite:56][cite:58][cite:60]</w:t>
      </w:r>
    </w:p>
    <w:p>
      <w:pPr>
        <w:spacing w:line="360" w:after="210" w:lineRule="auto"/>
      </w:pPr>
      <w:r>
        <w:rPr>
          <w:rFonts w:eastAsia="source serif 4" w:cs="source serif 4" w:ascii="source serif 4" w:hAnsi="source serif 4"/>
          <w:color w:val="000000"/>
        </w:rPr>
        <w:t xml:space="preserve">A viable response requires more than faster memos or isolated guidance. It requires adaptive governance: principle-based, cyclical, transparent, participatory, and grounded in institutional capacity.[cite:52][cite:54][cite:58] Public education does not need to match the speed of markets in every respect. It needs governance systems that can learn, revise, and justify action without surrendering equity, human oversight, or democratic accountability. The future of educational innovation therefore depends not only on better technology, but on better public institutions for deciding what technology should do in schools, for whom, and under what conditions.[cite:53][cite:56][cite:61]</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ource serif 4">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900"/>
        </w:tabs>
        <w:ind w:left="54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2026-06-25T07:31:40.757Z</dcterms:created>
  <dcterms:modified xsi:type="dcterms:W3CDTF">2026-06-25T07:31:40.757Z</dcterms:modified>
</cp:coreProperties>
</file>