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9F296" w14:textId="77777777" w:rsidR="000B4301" w:rsidRDefault="00F47107">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Effects of Energy Conservation Campaign to the Daily Energy </w:t>
      </w:r>
    </w:p>
    <w:p w14:paraId="471C19D7" w14:textId="599D8C3C" w:rsidR="000B4301" w:rsidRDefault="00F47107">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Consumption in Adventist Medical Center College</w:t>
      </w:r>
      <w:r w:rsidR="001C5A79">
        <w:rPr>
          <w:rFonts w:ascii="Times New Roman" w:eastAsia="Times New Roman" w:hAnsi="Times New Roman" w:cs="Times New Roman"/>
          <w:b/>
          <w:bCs/>
          <w:sz w:val="32"/>
          <w:szCs w:val="32"/>
        </w:rPr>
        <w:t xml:space="preserve"> - </w:t>
      </w:r>
      <w:r>
        <w:rPr>
          <w:rFonts w:ascii="Times New Roman" w:eastAsia="Times New Roman" w:hAnsi="Times New Roman" w:cs="Times New Roman"/>
          <w:b/>
          <w:bCs/>
          <w:sz w:val="32"/>
          <w:szCs w:val="32"/>
        </w:rPr>
        <w:t xml:space="preserve">Academy </w:t>
      </w:r>
    </w:p>
    <w:p w14:paraId="1C183389" w14:textId="77777777" w:rsidR="000B4301" w:rsidRDefault="000B4301">
      <w:pPr>
        <w:rPr>
          <w:rFonts w:ascii="Times New Roman" w:eastAsia="Times New Roman" w:hAnsi="Times New Roman" w:cs="Times New Roman"/>
          <w:b/>
          <w:bCs/>
          <w:sz w:val="28"/>
          <w:szCs w:val="28"/>
        </w:rPr>
      </w:pPr>
    </w:p>
    <w:p w14:paraId="5E37EED2" w14:textId="32FA1BD6" w:rsidR="001C5A79" w:rsidRPr="001C5A79" w:rsidRDefault="00F47107" w:rsidP="001C5A7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Niña </w:t>
      </w:r>
      <w:proofErr w:type="spellStart"/>
      <w:r>
        <w:rPr>
          <w:rFonts w:ascii="Times New Roman" w:eastAsia="Times New Roman" w:hAnsi="Times New Roman" w:cs="Times New Roman"/>
          <w:b/>
          <w:bCs/>
          <w:sz w:val="24"/>
          <w:szCs w:val="24"/>
        </w:rPr>
        <w:t>Kerden</w:t>
      </w:r>
      <w:proofErr w:type="spellEnd"/>
      <w:r>
        <w:rPr>
          <w:rFonts w:ascii="Times New Roman" w:eastAsia="Times New Roman" w:hAnsi="Times New Roman" w:cs="Times New Roman"/>
          <w:b/>
          <w:bCs/>
          <w:sz w:val="24"/>
          <w:szCs w:val="24"/>
        </w:rPr>
        <w:t xml:space="preserve"> T. Calamba</w:t>
      </w:r>
      <w:r w:rsidR="001C5A79">
        <w:rPr>
          <w:rFonts w:ascii="Times New Roman" w:eastAsia="Times New Roman" w:hAnsi="Times New Roman" w:cs="Times New Roman"/>
          <w:b/>
          <w:bCs/>
          <w:sz w:val="24"/>
          <w:szCs w:val="24"/>
        </w:rPr>
        <w:t>¹</w:t>
      </w:r>
      <w:r>
        <w:rPr>
          <w:rFonts w:ascii="Times New Roman" w:eastAsia="Times New Roman" w:hAnsi="Times New Roman" w:cs="Times New Roman"/>
          <w:b/>
          <w:bCs/>
          <w:sz w:val="24"/>
          <w:szCs w:val="24"/>
        </w:rPr>
        <w:t>, Niña Christine Marie Malaya</w:t>
      </w:r>
      <w:r w:rsidR="001C5A79">
        <w:rPr>
          <w:rFonts w:ascii="Times New Roman" w:eastAsia="Times New Roman" w:hAnsi="Times New Roman" w:cs="Times New Roman"/>
          <w:b/>
          <w:bCs/>
          <w:sz w:val="24"/>
          <w:szCs w:val="24"/>
        </w:rPr>
        <w:t>²</w:t>
      </w:r>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Trixia</w:t>
      </w:r>
      <w:proofErr w:type="spellEnd"/>
      <w:r>
        <w:rPr>
          <w:rFonts w:ascii="Times New Roman" w:eastAsia="Times New Roman" w:hAnsi="Times New Roman" w:cs="Times New Roman"/>
          <w:b/>
          <w:bCs/>
          <w:sz w:val="24"/>
          <w:szCs w:val="24"/>
        </w:rPr>
        <w:t xml:space="preserve"> Ruby P. Paragas</w:t>
      </w:r>
      <w:r w:rsidR="001C5A79">
        <w:rPr>
          <w:rFonts w:ascii="Times New Roman" w:eastAsia="Times New Roman" w:hAnsi="Times New Roman" w:cs="Times New Roman"/>
          <w:b/>
          <w:bCs/>
          <w:sz w:val="24"/>
          <w:szCs w:val="24"/>
        </w:rPr>
        <w:t>³</w:t>
      </w:r>
      <w:r>
        <w:rPr>
          <w:rFonts w:ascii="Times New Roman" w:eastAsia="Times New Roman" w:hAnsi="Times New Roman" w:cs="Times New Roman"/>
          <w:b/>
          <w:bCs/>
          <w:sz w:val="24"/>
          <w:szCs w:val="24"/>
        </w:rPr>
        <w:t xml:space="preserve">, Jean Rose B. </w:t>
      </w:r>
      <w:proofErr w:type="spellStart"/>
      <w:r>
        <w:rPr>
          <w:rFonts w:ascii="Times New Roman" w:eastAsia="Times New Roman" w:hAnsi="Times New Roman" w:cs="Times New Roman"/>
          <w:b/>
          <w:bCs/>
          <w:sz w:val="24"/>
          <w:szCs w:val="24"/>
        </w:rPr>
        <w:t>Villastique</w:t>
      </w:r>
      <w:proofErr w:type="spellEnd"/>
      <w:r w:rsidR="001C5A79">
        <w:rPr>
          <w:rFonts w:ascii="Times New Roman" w:eastAsia="Times New Roman" w:hAnsi="Times New Roman" w:cs="Times New Roman"/>
          <w:b/>
          <w:bCs/>
          <w:sz w:val="24"/>
          <w:szCs w:val="24"/>
        </w:rPr>
        <w:t xml:space="preserve">⁴, </w:t>
      </w:r>
      <w:r w:rsidR="001C5A79" w:rsidRPr="001C5A79">
        <w:rPr>
          <w:rFonts w:ascii="Times New Roman" w:eastAsia="Times New Roman" w:hAnsi="Times New Roman" w:cs="Times New Roman"/>
          <w:b/>
          <w:bCs/>
          <w:sz w:val="24"/>
          <w:szCs w:val="24"/>
        </w:rPr>
        <w:t>Samson L. Mangin</w:t>
      </w:r>
      <w:r w:rsidR="001C5A79">
        <w:rPr>
          <w:rFonts w:ascii="Times New Roman" w:eastAsia="Times New Roman" w:hAnsi="Times New Roman" w:cs="Times New Roman"/>
          <w:b/>
          <w:sz w:val="24"/>
          <w:szCs w:val="24"/>
          <w:lang w:val="es-ES"/>
        </w:rPr>
        <w:t>⁵</w:t>
      </w:r>
      <w:r w:rsidR="001C5A79" w:rsidRPr="001C5A79">
        <w:rPr>
          <w:rFonts w:ascii="Times New Roman" w:eastAsia="Times New Roman" w:hAnsi="Times New Roman" w:cs="Times New Roman"/>
          <w:b/>
          <w:sz w:val="24"/>
          <w:szCs w:val="24"/>
          <w:lang w:val="es-ES"/>
        </w:rPr>
        <w:t xml:space="preserve">, </w:t>
      </w:r>
      <w:proofErr w:type="spellStart"/>
      <w:r w:rsidR="001C5A79" w:rsidRPr="001C5A79">
        <w:rPr>
          <w:rFonts w:ascii="Times New Roman" w:eastAsia="Times New Roman" w:hAnsi="Times New Roman" w:cs="Times New Roman"/>
          <w:b/>
          <w:bCs/>
          <w:sz w:val="24"/>
          <w:szCs w:val="24"/>
        </w:rPr>
        <w:t>Angieross</w:t>
      </w:r>
      <w:proofErr w:type="spellEnd"/>
      <w:r w:rsidR="001C5A79" w:rsidRPr="001C5A79">
        <w:rPr>
          <w:rFonts w:ascii="Times New Roman" w:eastAsia="Times New Roman" w:hAnsi="Times New Roman" w:cs="Times New Roman"/>
          <w:b/>
          <w:bCs/>
          <w:sz w:val="24"/>
          <w:szCs w:val="24"/>
        </w:rPr>
        <w:t xml:space="preserve"> Sharon R. Valenzuela</w:t>
      </w:r>
      <w:r w:rsidR="001C5A79">
        <w:rPr>
          <w:rFonts w:ascii="Times New Roman" w:eastAsia="Times New Roman" w:hAnsi="Times New Roman" w:cs="Times New Roman"/>
          <w:b/>
          <w:bCs/>
          <w:sz w:val="24"/>
          <w:szCs w:val="24"/>
        </w:rPr>
        <w:t>⁶</w:t>
      </w:r>
      <w:r w:rsidR="001C5A79" w:rsidRPr="001C5A79">
        <w:rPr>
          <w:rFonts w:ascii="Times New Roman" w:eastAsia="Times New Roman" w:hAnsi="Times New Roman" w:cs="Times New Roman"/>
          <w:b/>
          <w:bCs/>
          <w:sz w:val="24"/>
          <w:szCs w:val="24"/>
        </w:rPr>
        <w:t xml:space="preserve">, </w:t>
      </w:r>
    </w:p>
    <w:p w14:paraId="677DCDDB" w14:textId="400AB0D7" w:rsidR="000B4301" w:rsidRPr="001C5A79" w:rsidRDefault="001C5A79" w:rsidP="001C5A79">
      <w:pPr>
        <w:jc w:val="center"/>
        <w:rPr>
          <w:rFonts w:ascii="Times New Roman" w:eastAsia="Times New Roman" w:hAnsi="Times New Roman" w:cs="Times New Roman"/>
          <w:b/>
          <w:bCs/>
          <w:sz w:val="28"/>
          <w:szCs w:val="28"/>
        </w:rPr>
      </w:pPr>
      <w:r w:rsidRPr="001C5A79">
        <w:rPr>
          <w:rFonts w:ascii="Times New Roman" w:eastAsia="Times New Roman" w:hAnsi="Times New Roman" w:cs="Times New Roman"/>
          <w:b/>
          <w:bCs/>
          <w:sz w:val="24"/>
          <w:szCs w:val="24"/>
        </w:rPr>
        <w:t>Euler Yoland Guerrero</w:t>
      </w:r>
      <w:r>
        <w:rPr>
          <w:rFonts w:ascii="Times New Roman" w:eastAsia="Times New Roman" w:hAnsi="Times New Roman" w:cs="Times New Roman"/>
          <w:b/>
          <w:bCs/>
          <w:sz w:val="28"/>
          <w:szCs w:val="28"/>
        </w:rPr>
        <w:t>⁷</w:t>
      </w:r>
    </w:p>
    <w:p w14:paraId="0885028C" w14:textId="77777777" w:rsidR="001C5A79" w:rsidRDefault="001C5A79">
      <w:pPr>
        <w:jc w:val="center"/>
        <w:rPr>
          <w:rFonts w:ascii="Times New Roman" w:eastAsia="Times New Roman" w:hAnsi="Times New Roman" w:cs="Times New Roman"/>
          <w:i/>
          <w:iCs/>
          <w:sz w:val="24"/>
          <w:szCs w:val="24"/>
        </w:rPr>
      </w:pPr>
    </w:p>
    <w:p w14:paraId="71BF6CFA" w14:textId="053D7252" w:rsidR="001C5A79" w:rsidRDefault="001C5A79" w:rsidP="001C5A79">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¹²³⁴⁶Department of Senior High School, AMCC – Academy, Adventist Medical </w:t>
      </w:r>
    </w:p>
    <w:p w14:paraId="57C4B4E5" w14:textId="77777777" w:rsidR="001C5A79" w:rsidRDefault="001C5A79" w:rsidP="001C5A79">
      <w:pPr>
        <w:spacing w:line="240" w:lineRule="auto"/>
        <w:jc w:val="center"/>
        <w:rPr>
          <w:rFonts w:ascii="Times New Roman" w:eastAsia="Times New Roman" w:hAnsi="Times New Roman" w:cs="Times New Roman"/>
        </w:rPr>
      </w:pPr>
      <w:r>
        <w:rPr>
          <w:rFonts w:ascii="Times New Roman" w:eastAsia="Times New Roman" w:hAnsi="Times New Roman" w:cs="Times New Roman"/>
        </w:rPr>
        <w:t>Center College, Iligan City, Philippines</w:t>
      </w:r>
    </w:p>
    <w:p w14:paraId="305C9B9F" w14:textId="77777777" w:rsidR="001C5A79" w:rsidRPr="008F62F3" w:rsidRDefault="001C5A79" w:rsidP="001C5A79">
      <w:pPr>
        <w:spacing w:line="240" w:lineRule="auto"/>
        <w:jc w:val="center"/>
        <w:rPr>
          <w:rFonts w:ascii="Times New Roman" w:eastAsia="Times New Roman" w:hAnsi="Times New Roman" w:cs="Times New Roman"/>
          <w:sz w:val="10"/>
          <w:szCs w:val="10"/>
        </w:rPr>
      </w:pPr>
    </w:p>
    <w:p w14:paraId="6BCAE1D9" w14:textId="0284CF37" w:rsidR="001C5A79" w:rsidRDefault="001C5A79" w:rsidP="001C5A79">
      <w:pPr>
        <w:spacing w:line="240" w:lineRule="auto"/>
        <w:jc w:val="center"/>
        <w:rPr>
          <w:rFonts w:ascii="Times New Roman" w:eastAsia="Times New Roman" w:hAnsi="Times New Roman" w:cs="Times New Roman"/>
        </w:rPr>
      </w:pPr>
      <w:r>
        <w:rPr>
          <w:rFonts w:ascii="Times New Roman" w:eastAsia="Times New Roman" w:hAnsi="Times New Roman" w:cs="Times New Roman"/>
        </w:rPr>
        <w:t>⁵</w:t>
      </w:r>
      <w:r w:rsidRPr="00327872">
        <w:rPr>
          <w:rFonts w:ascii="Times New Roman" w:eastAsia="Times New Roman" w:hAnsi="Times New Roman" w:cs="Times New Roman"/>
        </w:rPr>
        <w:t>⁷</w:t>
      </w:r>
      <w:r>
        <w:rPr>
          <w:rFonts w:ascii="Times New Roman" w:eastAsia="Times New Roman" w:hAnsi="Times New Roman" w:cs="Times New Roman"/>
        </w:rPr>
        <w:t>Department of General Education, School of Applied Health and Sciences,</w:t>
      </w:r>
    </w:p>
    <w:p w14:paraId="61473FC9" w14:textId="77777777" w:rsidR="001C5A79" w:rsidRDefault="001C5A79" w:rsidP="001C5A79">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Adventist Medical Center College, Iligan City, Philippines </w:t>
      </w:r>
    </w:p>
    <w:p w14:paraId="5C9DB064" w14:textId="77777777" w:rsidR="000B4301" w:rsidRDefault="000B4301">
      <w:pPr>
        <w:jc w:val="center"/>
        <w:rPr>
          <w:rFonts w:ascii="Times New Roman" w:eastAsia="Times New Roman" w:hAnsi="Times New Roman" w:cs="Times New Roman"/>
          <w:sz w:val="24"/>
          <w:szCs w:val="24"/>
        </w:rPr>
      </w:pPr>
    </w:p>
    <w:p w14:paraId="2884CE43" w14:textId="77777777" w:rsidR="000B4301" w:rsidRDefault="00F47107">
      <w:pPr>
        <w:jc w:val="center"/>
        <w:rPr>
          <w:rFonts w:ascii="Times New Roman" w:eastAsia="Times New Roman" w:hAnsi="Times New Roman" w:cs="Times New Roman"/>
          <w:sz w:val="24"/>
          <w:szCs w:val="24"/>
        </w:rPr>
      </w:pPr>
      <w:hyperlink r:id="rId4">
        <w:r>
          <w:rPr>
            <w:rFonts w:ascii="Times New Roman" w:eastAsia="Times New Roman" w:hAnsi="Times New Roman" w:cs="Times New Roman"/>
            <w:color w:val="1155CC"/>
            <w:sz w:val="24"/>
            <w:szCs w:val="24"/>
            <w:u w:val="single"/>
          </w:rPr>
          <w:t>calamba.ninakerden@amcc.edu.ph</w:t>
        </w:r>
      </w:hyperlink>
    </w:p>
    <w:p w14:paraId="09E9A354" w14:textId="77777777" w:rsidR="000B4301" w:rsidRDefault="00F47107">
      <w:pPr>
        <w:jc w:val="center"/>
        <w:rPr>
          <w:rFonts w:ascii="Times New Roman" w:eastAsia="Times New Roman" w:hAnsi="Times New Roman" w:cs="Times New Roman"/>
          <w:sz w:val="24"/>
          <w:szCs w:val="24"/>
        </w:rPr>
      </w:pPr>
      <w:hyperlink r:id="rId5">
        <w:r>
          <w:rPr>
            <w:rFonts w:ascii="Times New Roman" w:eastAsia="Times New Roman" w:hAnsi="Times New Roman" w:cs="Times New Roman"/>
            <w:color w:val="1155CC"/>
            <w:sz w:val="24"/>
            <w:szCs w:val="24"/>
            <w:u w:val="single"/>
          </w:rPr>
          <w:t>malaya.ninachristinemarie@amcc.edu.ph</w:t>
        </w:r>
      </w:hyperlink>
    </w:p>
    <w:p w14:paraId="632B8FD3" w14:textId="77777777" w:rsidR="000B4301" w:rsidRDefault="00F47107">
      <w:pPr>
        <w:jc w:val="cente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paragas.trixiaruby@amcc.edu.ph</w:t>
        </w:r>
      </w:hyperlink>
    </w:p>
    <w:p w14:paraId="19398857" w14:textId="6C4A4C4D" w:rsidR="000B4301" w:rsidRDefault="001C5A79">
      <w:pPr>
        <w:jc w:val="center"/>
        <w:rPr>
          <w:rFonts w:ascii="Times New Roman" w:eastAsia="Times New Roman" w:hAnsi="Times New Roman" w:cs="Times New Roman"/>
          <w:color w:val="1155CC"/>
          <w:sz w:val="24"/>
          <w:szCs w:val="24"/>
          <w:u w:val="single"/>
        </w:rPr>
      </w:pPr>
      <w:hyperlink r:id="rId7" w:history="1">
        <w:r w:rsidRPr="00581776">
          <w:rPr>
            <w:rStyle w:val="Hyperlink"/>
            <w:rFonts w:ascii="Times New Roman" w:eastAsia="Times New Roman" w:hAnsi="Times New Roman" w:cs="Times New Roman"/>
            <w:sz w:val="24"/>
            <w:szCs w:val="24"/>
          </w:rPr>
          <w:t>villastique.jeanrose@amcc.edu.ph</w:t>
        </w:r>
      </w:hyperlink>
    </w:p>
    <w:p w14:paraId="7BD71771" w14:textId="77777777" w:rsidR="001C5A79" w:rsidRPr="001C5A79" w:rsidRDefault="001C5A79" w:rsidP="001C5A79">
      <w:pPr>
        <w:spacing w:line="240" w:lineRule="auto"/>
        <w:jc w:val="center"/>
        <w:rPr>
          <w:rFonts w:ascii="Times New Roman" w:eastAsia="Times New Roman" w:hAnsi="Times New Roman" w:cs="Times New Roman"/>
          <w:color w:val="3333FF"/>
          <w:sz w:val="24"/>
          <w:szCs w:val="24"/>
        </w:rPr>
      </w:pPr>
      <w:hyperlink r:id="rId8" w:history="1">
        <w:r w:rsidRPr="001C5A79">
          <w:rPr>
            <w:rStyle w:val="Hyperlink"/>
            <w:rFonts w:ascii="Times New Roman" w:eastAsia="Times New Roman" w:hAnsi="Times New Roman" w:cs="Times New Roman"/>
            <w:color w:val="3333FF"/>
            <w:sz w:val="24"/>
            <w:szCs w:val="24"/>
          </w:rPr>
          <w:t>mangin.samson@amcc.edu.ph</w:t>
        </w:r>
      </w:hyperlink>
    </w:p>
    <w:p w14:paraId="05AB54E6" w14:textId="77777777" w:rsidR="001C5A79" w:rsidRPr="001C5A79" w:rsidRDefault="001C5A79" w:rsidP="001C5A79">
      <w:pPr>
        <w:spacing w:line="240" w:lineRule="auto"/>
        <w:jc w:val="center"/>
        <w:rPr>
          <w:rFonts w:ascii="Times New Roman" w:eastAsia="Times New Roman" w:hAnsi="Times New Roman" w:cs="Times New Roman"/>
          <w:color w:val="3333FF"/>
          <w:sz w:val="24"/>
          <w:szCs w:val="24"/>
        </w:rPr>
      </w:pPr>
      <w:hyperlink r:id="rId9" w:history="1">
        <w:r w:rsidRPr="001C5A79">
          <w:rPr>
            <w:rStyle w:val="Hyperlink"/>
            <w:rFonts w:ascii="Times New Roman" w:eastAsia="Times New Roman" w:hAnsi="Times New Roman" w:cs="Times New Roman"/>
            <w:color w:val="3333FF"/>
            <w:sz w:val="24"/>
            <w:szCs w:val="24"/>
          </w:rPr>
          <w:t>valenzuela.angierosssharon@amcc.edu.ph</w:t>
        </w:r>
      </w:hyperlink>
    </w:p>
    <w:p w14:paraId="18E49F00" w14:textId="77777777" w:rsidR="001C5A79" w:rsidRPr="001C5A79" w:rsidRDefault="001C5A79" w:rsidP="001C5A79">
      <w:pPr>
        <w:spacing w:line="240" w:lineRule="auto"/>
        <w:jc w:val="center"/>
        <w:rPr>
          <w:rStyle w:val="Hyperlink"/>
          <w:rFonts w:ascii="Times New Roman" w:eastAsia="Times New Roman" w:hAnsi="Times New Roman" w:cs="Times New Roman"/>
          <w:color w:val="3333FF"/>
          <w:sz w:val="24"/>
          <w:szCs w:val="24"/>
        </w:rPr>
      </w:pPr>
      <w:hyperlink r:id="rId10" w:history="1">
        <w:r w:rsidRPr="001C5A79">
          <w:rPr>
            <w:rStyle w:val="Hyperlink"/>
            <w:rFonts w:ascii="Times New Roman" w:eastAsia="Times New Roman" w:hAnsi="Times New Roman" w:cs="Times New Roman"/>
            <w:color w:val="3333FF"/>
            <w:sz w:val="24"/>
            <w:szCs w:val="24"/>
          </w:rPr>
          <w:t>guerrero.euleryoland@amcc.edu.ph</w:t>
        </w:r>
      </w:hyperlink>
    </w:p>
    <w:p w14:paraId="4F3040A7" w14:textId="77777777" w:rsidR="000B4301" w:rsidRDefault="000B4301" w:rsidP="001C5A79">
      <w:pPr>
        <w:rPr>
          <w:rFonts w:ascii="Times New Roman" w:eastAsia="Times New Roman" w:hAnsi="Times New Roman" w:cs="Times New Roman"/>
          <w:i/>
          <w:iCs/>
          <w:sz w:val="28"/>
          <w:szCs w:val="28"/>
        </w:rPr>
      </w:pPr>
    </w:p>
    <w:p w14:paraId="092D38B6" w14:textId="77777777" w:rsidR="000B4301" w:rsidRDefault="00F4710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26E56321"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looked at how an energy conservation campaign affected daily electricity use at Adventist Medical Center College Academy in Iligan City. We collected electricity data for one month before (September 20</w:t>
      </w:r>
      <w:r>
        <w:rPr>
          <w:rFonts w:ascii="Times New Roman" w:eastAsia="Times New Roman" w:hAnsi="Times New Roman" w:cs="Times New Roman"/>
          <w:sz w:val="24"/>
          <w:szCs w:val="24"/>
        </w:rPr>
        <w:t>25) and one month after (October 2025) the campaign started, using a quantitative comparative research design. The campaign aimed to raise awareness and promote responsible energy use among students, teachers, and staff through announcements and posters. W</w:t>
      </w:r>
      <w:r>
        <w:rPr>
          <w:rFonts w:ascii="Times New Roman" w:eastAsia="Times New Roman" w:hAnsi="Times New Roman" w:cs="Times New Roman"/>
          <w:sz w:val="24"/>
          <w:szCs w:val="24"/>
        </w:rPr>
        <w:t>e used official electricity billing records measured in kilowatt-hours and peso values as our main data source. For the analysis, we computed mean consumption values and used a paired t-test to see if there was a significant difference between the two peri</w:t>
      </w:r>
      <w:r>
        <w:rPr>
          <w:rFonts w:ascii="Times New Roman" w:eastAsia="Times New Roman" w:hAnsi="Times New Roman" w:cs="Times New Roman"/>
          <w:sz w:val="24"/>
          <w:szCs w:val="24"/>
        </w:rPr>
        <w:t>ods. The results showed only slight reductions in electricity costs after the campaign: 0.00018% for the main campus and 0.0016% for school extensions. The paired t-test found no significant difference in electricity use before and after the campaign, so w</w:t>
      </w:r>
      <w:r>
        <w:rPr>
          <w:rFonts w:ascii="Times New Roman" w:eastAsia="Times New Roman" w:hAnsi="Times New Roman" w:cs="Times New Roman"/>
          <w:sz w:val="24"/>
          <w:szCs w:val="24"/>
        </w:rPr>
        <w:t>e accepted the null hypothesis. These findings suggest that the short length and limited reach of the campaign, plus outside factors like class suspensions and school events, lowered its effectiveness. While we did not see a significant drop in electricity</w:t>
      </w:r>
      <w:r>
        <w:rPr>
          <w:rFonts w:ascii="Times New Roman" w:eastAsia="Times New Roman" w:hAnsi="Times New Roman" w:cs="Times New Roman"/>
          <w:sz w:val="24"/>
          <w:szCs w:val="24"/>
        </w:rPr>
        <w:t xml:space="preserve"> consumption, the study points out the need for ongoing, well-integrated conservation efforts that mix behavior change, technology support, and continuous monitoring to achieve real energy savings in schools.</w:t>
      </w:r>
    </w:p>
    <w:p w14:paraId="4918A7A1" w14:textId="77777777" w:rsidR="000B4301" w:rsidRDefault="000B4301">
      <w:pPr>
        <w:spacing w:line="240" w:lineRule="auto"/>
        <w:jc w:val="both"/>
        <w:rPr>
          <w:rFonts w:ascii="Times New Roman" w:eastAsia="Times New Roman" w:hAnsi="Times New Roman" w:cs="Times New Roman"/>
          <w:sz w:val="24"/>
          <w:szCs w:val="24"/>
        </w:rPr>
      </w:pPr>
    </w:p>
    <w:p w14:paraId="51E39FA2" w14:textId="77777777" w:rsidR="000B4301" w:rsidRDefault="00F4710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Energy Conservation, Quantitative An</w:t>
      </w:r>
      <w:r>
        <w:rPr>
          <w:rFonts w:ascii="Times New Roman" w:eastAsia="Times New Roman" w:hAnsi="Times New Roman" w:cs="Times New Roman"/>
          <w:sz w:val="24"/>
          <w:szCs w:val="24"/>
        </w:rPr>
        <w:t>alysis, Institutional Electricity Consumption, Behavioral Change.</w:t>
      </w:r>
    </w:p>
    <w:p w14:paraId="246FE305" w14:textId="77777777" w:rsidR="000B4301" w:rsidRDefault="000B4301">
      <w:pPr>
        <w:spacing w:line="480" w:lineRule="auto"/>
        <w:jc w:val="both"/>
        <w:rPr>
          <w:rFonts w:ascii="Times New Roman" w:eastAsia="Times New Roman" w:hAnsi="Times New Roman" w:cs="Times New Roman"/>
          <w:sz w:val="24"/>
          <w:szCs w:val="24"/>
        </w:rPr>
      </w:pPr>
    </w:p>
    <w:p w14:paraId="3146CBB2" w14:textId="77777777" w:rsidR="001C5A79" w:rsidRDefault="001C5A79">
      <w:pPr>
        <w:rPr>
          <w:rFonts w:ascii="Times New Roman" w:eastAsia="Times New Roman" w:hAnsi="Times New Roman" w:cs="Times New Roman"/>
          <w:b/>
          <w:bCs/>
          <w:sz w:val="24"/>
          <w:szCs w:val="24"/>
        </w:rPr>
      </w:pPr>
    </w:p>
    <w:p w14:paraId="3D7B7291" w14:textId="77777777" w:rsidR="001C5A79" w:rsidRDefault="001C5A79">
      <w:pPr>
        <w:rPr>
          <w:rFonts w:ascii="Times New Roman" w:eastAsia="Times New Roman" w:hAnsi="Times New Roman" w:cs="Times New Roman"/>
          <w:b/>
          <w:bCs/>
          <w:sz w:val="24"/>
          <w:szCs w:val="24"/>
        </w:rPr>
      </w:pPr>
    </w:p>
    <w:p w14:paraId="7364F022" w14:textId="040135D9" w:rsidR="000B4301" w:rsidRDefault="00F47107">
      <w:pPr>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lastRenderedPageBreak/>
        <w:t xml:space="preserve">INTRODUCTION   </w:t>
      </w:r>
      <w:r>
        <w:rPr>
          <w:rFonts w:ascii="Times New Roman" w:eastAsia="Times New Roman" w:hAnsi="Times New Roman" w:cs="Times New Roman"/>
          <w:b/>
          <w:bCs/>
          <w:sz w:val="28"/>
          <w:szCs w:val="28"/>
        </w:rPr>
        <w:t xml:space="preserve"> </w:t>
      </w:r>
    </w:p>
    <w:p w14:paraId="025D46D6"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consumption is the measure of electrical energy that is utilized over a specific period. Electricity energy consumption refers to the use of electrical energy b</w:t>
      </w:r>
      <w:r>
        <w:rPr>
          <w:rFonts w:ascii="Times New Roman" w:eastAsia="Times New Roman" w:hAnsi="Times New Roman" w:cs="Times New Roman"/>
          <w:sz w:val="24"/>
          <w:szCs w:val="24"/>
        </w:rPr>
        <w:t>y society in numerous sectors such as residential, commercial, and transportation (Use of Electricity—U.S. Energy Information Administration (EIA), 2025). According to the International Energy Agency, electricity demand is expected to rise by 3.4% yearly t</w:t>
      </w:r>
      <w:r>
        <w:rPr>
          <w:rFonts w:ascii="Times New Roman" w:eastAsia="Times New Roman" w:hAnsi="Times New Roman" w:cs="Times New Roman"/>
          <w:sz w:val="24"/>
          <w:szCs w:val="24"/>
        </w:rPr>
        <w:t>hrough 2026, mainly driven by growth in emerging economies and electrification of sectors like transporting and heating (International Energy Agency, 2022). During this time, campaigns and syllabus developments focused on practical activities like energy a</w:t>
      </w:r>
      <w:r>
        <w:rPr>
          <w:rFonts w:ascii="Times New Roman" w:eastAsia="Times New Roman" w:hAnsi="Times New Roman" w:cs="Times New Roman"/>
          <w:sz w:val="24"/>
          <w:szCs w:val="24"/>
        </w:rPr>
        <w:t>udits and renewable energy projects (Leong &amp; Meng, 2020). Electricity plays a vital role in the daily activities of the school. As the demand for electricity continues to increase, issues such as high energy costs, resource depletion, and environmental pro</w:t>
      </w:r>
      <w:r>
        <w:rPr>
          <w:rFonts w:ascii="Times New Roman" w:eastAsia="Times New Roman" w:hAnsi="Times New Roman" w:cs="Times New Roman"/>
          <w:sz w:val="24"/>
          <w:szCs w:val="24"/>
        </w:rPr>
        <w:t>blems such as greenhouse gas emissions and climate change arise. Schools are also affected by the changes in electricity consumption. For instance, usage patterns often shift before and after certain events, such as the installation of energy-saving device</w:t>
      </w:r>
      <w:r>
        <w:rPr>
          <w:rFonts w:ascii="Times New Roman" w:eastAsia="Times New Roman" w:hAnsi="Times New Roman" w:cs="Times New Roman"/>
          <w:sz w:val="24"/>
          <w:szCs w:val="24"/>
        </w:rPr>
        <w:t>s or the implementation of conservation programs. This study aims to address this gap by conducting a comparative analysis of electricity consumption before and after; by doing so, it seeks to provide insights into energy-use behavior, identify factors tha</w:t>
      </w:r>
      <w:r>
        <w:rPr>
          <w:rFonts w:ascii="Times New Roman" w:eastAsia="Times New Roman" w:hAnsi="Times New Roman" w:cs="Times New Roman"/>
          <w:sz w:val="24"/>
          <w:szCs w:val="24"/>
        </w:rPr>
        <w:t xml:space="preserve">t influence changes in consumption patterns, and promote awareness on how schools can adopt more sustainable practices. </w:t>
      </w:r>
    </w:p>
    <w:p w14:paraId="4F73243B" w14:textId="77777777" w:rsidR="000B4301" w:rsidRDefault="000B4301">
      <w:pPr>
        <w:spacing w:line="240" w:lineRule="auto"/>
        <w:jc w:val="both"/>
        <w:rPr>
          <w:rFonts w:ascii="Times New Roman" w:eastAsia="Times New Roman" w:hAnsi="Times New Roman" w:cs="Times New Roman"/>
          <w:sz w:val="24"/>
          <w:szCs w:val="24"/>
        </w:rPr>
      </w:pPr>
    </w:p>
    <w:p w14:paraId="0F41D6E3"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study period, campaigns and syllabus developments focused on practical activities like energy audits and renewable energy p</w:t>
      </w:r>
      <w:r>
        <w:rPr>
          <w:rFonts w:ascii="Times New Roman" w:eastAsia="Times New Roman" w:hAnsi="Times New Roman" w:cs="Times New Roman"/>
          <w:sz w:val="24"/>
          <w:szCs w:val="24"/>
        </w:rPr>
        <w:t>rojects (Leong &amp; Meng, 2020). Energy-saving programs and operational modifications influenced electricity usage in schools throughout this period, resulting in reported savings of approximately 18-20% in 2022 and 2023 compared to 2021, thanks to the implem</w:t>
      </w:r>
      <w:r>
        <w:rPr>
          <w:rFonts w:ascii="Times New Roman" w:eastAsia="Times New Roman" w:hAnsi="Times New Roman" w:cs="Times New Roman"/>
          <w:sz w:val="24"/>
          <w:szCs w:val="24"/>
        </w:rPr>
        <w:t>entation of energy efficiency measures (Global Electricity Review 2025, n.d.).</w:t>
      </w:r>
    </w:p>
    <w:p w14:paraId="6BDD78B6" w14:textId="77777777" w:rsidR="000B4301" w:rsidRDefault="000B4301">
      <w:pPr>
        <w:spacing w:line="240" w:lineRule="auto"/>
        <w:jc w:val="both"/>
        <w:rPr>
          <w:rFonts w:ascii="Times New Roman" w:eastAsia="Times New Roman" w:hAnsi="Times New Roman" w:cs="Times New Roman"/>
          <w:sz w:val="24"/>
          <w:szCs w:val="24"/>
        </w:rPr>
      </w:pPr>
    </w:p>
    <w:p w14:paraId="2A6CCB70"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goal of this research is to determine the effectiveness of an energy conservation campaign in reducing electricity consumption. Beyond simply comparing numbers, thi</w:t>
      </w:r>
      <w:r>
        <w:rPr>
          <w:rFonts w:ascii="Times New Roman" w:eastAsia="Times New Roman" w:hAnsi="Times New Roman" w:cs="Times New Roman"/>
          <w:sz w:val="24"/>
          <w:szCs w:val="24"/>
        </w:rPr>
        <w:t xml:space="preserve">s study sought to capture how awareness, habits, and attitudes shifted after the campaign. In doing so, it aimed to describe not only whether electricity use went down, but also what specific changes in behavior contributed to that result. Ultimately, the </w:t>
      </w:r>
      <w:r>
        <w:rPr>
          <w:rFonts w:ascii="Times New Roman" w:eastAsia="Times New Roman" w:hAnsi="Times New Roman" w:cs="Times New Roman"/>
          <w:sz w:val="24"/>
          <w:szCs w:val="24"/>
        </w:rPr>
        <w:t xml:space="preserve">findings may inspire the school community to create more meaningful and sustainable conservation programs, benefiting both the institution and the environment. To better understand this process, the study is guided by three key frameworks: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Theory of Pl</w:t>
      </w:r>
      <w:r>
        <w:rPr>
          <w:rFonts w:ascii="Times New Roman" w:eastAsia="Times New Roman" w:hAnsi="Times New Roman" w:cs="Times New Roman"/>
          <w:sz w:val="24"/>
          <w:szCs w:val="24"/>
        </w:rPr>
        <w:t>anned Behavior (TPB), which explains how attitudes, social expectations, and perceived control influence decisions; Habit Theory, which explores how everyday routines shape energy use; and Technological Determinism, which suggests that changes in technolog</w:t>
      </w:r>
      <w:r>
        <w:rPr>
          <w:rFonts w:ascii="Times New Roman" w:eastAsia="Times New Roman" w:hAnsi="Times New Roman" w:cs="Times New Roman"/>
          <w:sz w:val="24"/>
          <w:szCs w:val="24"/>
        </w:rPr>
        <w:t>y or systems can lead to changes in human behavior. Together, these theories give a clear lens through which we can examine the relationship between a school-wide campaign and electricity consumption.</w:t>
      </w:r>
    </w:p>
    <w:p w14:paraId="2AC56221" w14:textId="77777777" w:rsidR="000B4301" w:rsidRDefault="000B4301">
      <w:pPr>
        <w:spacing w:line="480" w:lineRule="auto"/>
        <w:jc w:val="both"/>
        <w:rPr>
          <w:rFonts w:ascii="Times New Roman" w:eastAsia="Times New Roman" w:hAnsi="Times New Roman" w:cs="Times New Roman"/>
          <w:sz w:val="24"/>
          <w:szCs w:val="24"/>
        </w:rPr>
      </w:pPr>
    </w:p>
    <w:p w14:paraId="715248AD" w14:textId="77777777" w:rsidR="000B4301" w:rsidRDefault="00F4710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7CBB19FE"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used a quantitative comparative des</w:t>
      </w:r>
      <w:r>
        <w:rPr>
          <w:rFonts w:ascii="Times New Roman" w:eastAsia="Times New Roman" w:hAnsi="Times New Roman" w:cs="Times New Roman"/>
          <w:sz w:val="24"/>
          <w:szCs w:val="24"/>
        </w:rPr>
        <w:t xml:space="preserve">ign to investigate the differences before and after implementing an electricity management campaign at Adventist Medical Center College Academy. The quantitative comparative research design, a pre-experimental method, was chosen </w:t>
      </w:r>
      <w:r>
        <w:rPr>
          <w:rFonts w:ascii="Times New Roman" w:eastAsia="Times New Roman" w:hAnsi="Times New Roman" w:cs="Times New Roman"/>
          <w:sz w:val="24"/>
          <w:szCs w:val="24"/>
        </w:rPr>
        <w:lastRenderedPageBreak/>
        <w:t>to concentrate on understan</w:t>
      </w:r>
      <w:r>
        <w:rPr>
          <w:rFonts w:ascii="Times New Roman" w:eastAsia="Times New Roman" w:hAnsi="Times New Roman" w:cs="Times New Roman"/>
          <w:sz w:val="24"/>
          <w:szCs w:val="24"/>
        </w:rPr>
        <w:t>ding implementation. Quantitative research design is a structured, numerical approach to data collection and analysis that describes the characteristics of a phenomenon or population without delving into underlying causes (Singh, S., 2025). The quantitativ</w:t>
      </w:r>
      <w:r>
        <w:rPr>
          <w:rFonts w:ascii="Times New Roman" w:eastAsia="Times New Roman" w:hAnsi="Times New Roman" w:cs="Times New Roman"/>
          <w:sz w:val="24"/>
          <w:szCs w:val="24"/>
        </w:rPr>
        <w:t>e research design chosen was a descriptive comparative study. Comparative research examines two or more things to identify similarities and differences between sets of data.</w:t>
      </w:r>
    </w:p>
    <w:p w14:paraId="30E11CEF" w14:textId="77777777" w:rsidR="000B4301" w:rsidRDefault="000B4301">
      <w:pPr>
        <w:spacing w:line="240" w:lineRule="auto"/>
        <w:ind w:firstLine="720"/>
        <w:jc w:val="both"/>
        <w:rPr>
          <w:rFonts w:ascii="Times New Roman" w:eastAsia="Times New Roman" w:hAnsi="Times New Roman" w:cs="Times New Roman"/>
          <w:sz w:val="24"/>
          <w:szCs w:val="24"/>
        </w:rPr>
      </w:pPr>
    </w:p>
    <w:p w14:paraId="471FD9CF"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will collect data directly from the Business Affairs Office located in the Adventist Medical Center College Institution. Permission to access the school’s electricity consumption to view the data was secured by the Business Affairs Office. There</w:t>
      </w:r>
      <w:r>
        <w:rPr>
          <w:rFonts w:ascii="Times New Roman" w:eastAsia="Times New Roman" w:hAnsi="Times New Roman" w:cs="Times New Roman"/>
          <w:sz w:val="24"/>
          <w:szCs w:val="24"/>
        </w:rPr>
        <w:t>fore, students and employees participated in the campaign. In order to gather data to analyze the difference between the sets of data, the researchers conducted the campaign for 30 days and recorded data for 30 days before and after. All information will b</w:t>
      </w:r>
      <w:r>
        <w:rPr>
          <w:rFonts w:ascii="Times New Roman" w:eastAsia="Times New Roman" w:hAnsi="Times New Roman" w:cs="Times New Roman"/>
          <w:sz w:val="24"/>
          <w:szCs w:val="24"/>
        </w:rPr>
        <w:t>e treated with privacy and used only for academic purposes.</w:t>
      </w:r>
    </w:p>
    <w:p w14:paraId="2BF3C400" w14:textId="77777777" w:rsidR="000B4301" w:rsidRDefault="000B4301">
      <w:pPr>
        <w:spacing w:line="240" w:lineRule="auto"/>
        <w:ind w:firstLine="720"/>
        <w:jc w:val="both"/>
        <w:rPr>
          <w:rFonts w:ascii="Times New Roman" w:eastAsia="Times New Roman" w:hAnsi="Times New Roman" w:cs="Times New Roman"/>
          <w:sz w:val="24"/>
          <w:szCs w:val="24"/>
        </w:rPr>
      </w:pPr>
    </w:p>
    <w:p w14:paraId="41B2F9C2"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tools that will be used in this study will employ documentary analysis as the primary method of data collection. The research instrument used was a data collection sheet developed by the rese</w:t>
      </w:r>
      <w:r>
        <w:rPr>
          <w:rFonts w:ascii="Times New Roman" w:eastAsia="Times New Roman" w:hAnsi="Times New Roman" w:cs="Times New Roman"/>
          <w:sz w:val="24"/>
          <w:szCs w:val="24"/>
        </w:rPr>
        <w:t>archers to give the permission of the record of the billing. In order to get the electrical consumption records, the major data source was official electricity consumption records collected from the school's facilities. The records will be recorded daily i</w:t>
      </w:r>
      <w:r>
        <w:rPr>
          <w:rFonts w:ascii="Times New Roman" w:eastAsia="Times New Roman" w:hAnsi="Times New Roman" w:cs="Times New Roman"/>
          <w:sz w:val="24"/>
          <w:szCs w:val="24"/>
        </w:rPr>
        <w:t>n kilowatt-hours (kWh) and in pesos (₱) and will be used to track changes over time; two timeframes will be covered by 1 month before and after the campaign implementation. These records were verified for accuracy by analyzing them to utility billing state</w:t>
      </w:r>
      <w:r>
        <w:rPr>
          <w:rFonts w:ascii="Times New Roman" w:eastAsia="Times New Roman" w:hAnsi="Times New Roman" w:cs="Times New Roman"/>
          <w:sz w:val="24"/>
          <w:szCs w:val="24"/>
        </w:rPr>
        <w:t xml:space="preserve">ments and the school’s digital monitoring systems. To organize the data, a structured data collection sheet will be created. The following sheets of components are the data, daily electricity consumption, and campaign base. </w:t>
      </w:r>
    </w:p>
    <w:p w14:paraId="0A246571" w14:textId="77777777" w:rsidR="000B4301" w:rsidRDefault="000B4301">
      <w:pPr>
        <w:spacing w:line="480" w:lineRule="auto"/>
        <w:jc w:val="both"/>
        <w:rPr>
          <w:rFonts w:ascii="Times New Roman" w:eastAsia="Times New Roman" w:hAnsi="Times New Roman" w:cs="Times New Roman"/>
          <w:sz w:val="24"/>
          <w:szCs w:val="24"/>
        </w:rPr>
      </w:pPr>
    </w:p>
    <w:p w14:paraId="31544AFC" w14:textId="77777777" w:rsidR="000B4301" w:rsidRDefault="00F4710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 AND DISCUSSION:</w:t>
      </w:r>
    </w:p>
    <w:p w14:paraId="09CD8276"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lette</w:t>
      </w:r>
      <w:r>
        <w:rPr>
          <w:rFonts w:ascii="Times New Roman" w:eastAsia="Times New Roman" w:hAnsi="Times New Roman" w:cs="Times New Roman"/>
          <w:sz w:val="24"/>
          <w:szCs w:val="24"/>
        </w:rPr>
        <w:t>r of request to conduct the study was prepared. First, the researchers sent a letter from the Business Office and asked permission for the electrical billing records from the month of September (before implementing a campaign) to the month of October (afte</w:t>
      </w:r>
      <w:r>
        <w:rPr>
          <w:rFonts w:ascii="Times New Roman" w:eastAsia="Times New Roman" w:hAnsi="Times New Roman" w:cs="Times New Roman"/>
          <w:sz w:val="24"/>
          <w:szCs w:val="24"/>
        </w:rPr>
        <w:t>r implementing a campaign). Then the researchers implemented a campaign and observed it for the month of October, long enough to include all of a building's normal, cyclical energy usage patterns. It captures daily routines (morning and evening usage spike</w:t>
      </w:r>
      <w:r>
        <w:rPr>
          <w:rFonts w:ascii="Times New Roman" w:eastAsia="Times New Roman" w:hAnsi="Times New Roman" w:cs="Times New Roman"/>
          <w:sz w:val="24"/>
          <w:szCs w:val="24"/>
        </w:rPr>
        <w:t>s</w:t>
      </w:r>
      <w:proofErr w:type="gramStart"/>
      <w:r>
        <w:rPr>
          <w:rFonts w:ascii="Times New Roman" w:eastAsia="Times New Roman" w:hAnsi="Times New Roman" w:cs="Times New Roman"/>
          <w:sz w:val="24"/>
          <w:szCs w:val="24"/>
        </w:rPr>
        <w:t>),  weekly</w:t>
      </w:r>
      <w:proofErr w:type="gramEnd"/>
      <w:r>
        <w:rPr>
          <w:rFonts w:ascii="Times New Roman" w:eastAsia="Times New Roman" w:hAnsi="Times New Roman" w:cs="Times New Roman"/>
          <w:sz w:val="24"/>
          <w:szCs w:val="24"/>
        </w:rPr>
        <w:t xml:space="preserve"> patterns (lower weekend use of the school building), and any recurring monthly activities that might affect electricity consumption here at Adventist Medical Center College. All students and employees who use electricity in the main school </w:t>
      </w:r>
      <w:proofErr w:type="gramStart"/>
      <w:r>
        <w:rPr>
          <w:rFonts w:ascii="Times New Roman" w:eastAsia="Times New Roman" w:hAnsi="Times New Roman" w:cs="Times New Roman"/>
          <w:sz w:val="24"/>
          <w:szCs w:val="24"/>
        </w:rPr>
        <w:t>buil</w:t>
      </w:r>
      <w:r>
        <w:rPr>
          <w:rFonts w:ascii="Times New Roman" w:eastAsia="Times New Roman" w:hAnsi="Times New Roman" w:cs="Times New Roman"/>
          <w:sz w:val="24"/>
          <w:szCs w:val="24"/>
        </w:rPr>
        <w:t>ding  are</w:t>
      </w:r>
      <w:proofErr w:type="gramEnd"/>
      <w:r>
        <w:rPr>
          <w:rFonts w:ascii="Times New Roman" w:eastAsia="Times New Roman" w:hAnsi="Times New Roman" w:cs="Times New Roman"/>
          <w:sz w:val="24"/>
          <w:szCs w:val="24"/>
        </w:rPr>
        <w:t xml:space="preserve"> the participants of the electricity consumption campaign that involved the use of media posting or making a short announcement via bulletin/PA system that was observed for 1 month, and  their   permission to provide their consent was asked. After</w:t>
      </w:r>
      <w:r>
        <w:rPr>
          <w:rFonts w:ascii="Times New Roman" w:eastAsia="Times New Roman" w:hAnsi="Times New Roman" w:cs="Times New Roman"/>
          <w:sz w:val="24"/>
          <w:szCs w:val="24"/>
        </w:rPr>
        <w:t xml:space="preserve"> the campaign, the researchers got the result from the Business Office by asking for the records of electrical billings before and after the campaign. The proponent of the research was </w:t>
      </w:r>
      <w:proofErr w:type="gramStart"/>
      <w:r>
        <w:rPr>
          <w:rFonts w:ascii="Times New Roman" w:eastAsia="Times New Roman" w:hAnsi="Times New Roman" w:cs="Times New Roman"/>
          <w:sz w:val="24"/>
          <w:szCs w:val="24"/>
        </w:rPr>
        <w:t>comparing  the</w:t>
      </w:r>
      <w:proofErr w:type="gramEnd"/>
      <w:r>
        <w:rPr>
          <w:rFonts w:ascii="Times New Roman" w:eastAsia="Times New Roman" w:hAnsi="Times New Roman" w:cs="Times New Roman"/>
          <w:sz w:val="24"/>
          <w:szCs w:val="24"/>
        </w:rPr>
        <w:t xml:space="preserve"> monthly electricity consumption before and after the cam</w:t>
      </w:r>
      <w:r>
        <w:rPr>
          <w:rFonts w:ascii="Times New Roman" w:eastAsia="Times New Roman" w:hAnsi="Times New Roman" w:cs="Times New Roman"/>
          <w:sz w:val="24"/>
          <w:szCs w:val="24"/>
        </w:rPr>
        <w:t xml:space="preserve">paign. However, the privacy of each participant is ensured by this study, as all research data is kept private and confidential. All of the data was analyzed and organized for each electrical billing record. </w:t>
      </w:r>
    </w:p>
    <w:p w14:paraId="2C12A556" w14:textId="77777777" w:rsidR="000B4301" w:rsidRDefault="000B4301">
      <w:pPr>
        <w:spacing w:line="240" w:lineRule="auto"/>
        <w:jc w:val="both"/>
        <w:rPr>
          <w:rFonts w:ascii="Times New Roman" w:eastAsia="Times New Roman" w:hAnsi="Times New Roman" w:cs="Times New Roman"/>
          <w:sz w:val="24"/>
          <w:szCs w:val="24"/>
        </w:rPr>
      </w:pPr>
    </w:p>
    <w:p w14:paraId="625D9E1F"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of this study collected a suff</w:t>
      </w:r>
      <w:r>
        <w:rPr>
          <w:rFonts w:ascii="Times New Roman" w:eastAsia="Times New Roman" w:hAnsi="Times New Roman" w:cs="Times New Roman"/>
          <w:sz w:val="24"/>
          <w:szCs w:val="24"/>
        </w:rPr>
        <w:t xml:space="preserve">icient amount of data from before and after the implementation of the campaign and the records of electrical billing, which were then </w:t>
      </w:r>
      <w:r>
        <w:rPr>
          <w:rFonts w:ascii="Times New Roman" w:eastAsia="Times New Roman" w:hAnsi="Times New Roman" w:cs="Times New Roman"/>
          <w:sz w:val="24"/>
          <w:szCs w:val="24"/>
        </w:rPr>
        <w:lastRenderedPageBreak/>
        <w:t>organized and analyzed by the following statistical tool: Paired T-Test was used to analyze the mean difference of the ele</w:t>
      </w:r>
      <w:r>
        <w:rPr>
          <w:rFonts w:ascii="Times New Roman" w:eastAsia="Times New Roman" w:hAnsi="Times New Roman" w:cs="Times New Roman"/>
          <w:sz w:val="24"/>
          <w:szCs w:val="24"/>
        </w:rPr>
        <w:t>ctricity consumption (before and after) to compare whether the observed changes were statistically significant. Mean was employed to compare average consumption before and after. The data was successfully collected for the months of September and October 2</w:t>
      </w:r>
      <w:r>
        <w:rPr>
          <w:rFonts w:ascii="Times New Roman" w:eastAsia="Times New Roman" w:hAnsi="Times New Roman" w:cs="Times New Roman"/>
          <w:sz w:val="24"/>
          <w:szCs w:val="24"/>
        </w:rPr>
        <w:t xml:space="preserve">025. Various data were presented following their respective order in the statement of the problem. </w:t>
      </w:r>
    </w:p>
    <w:p w14:paraId="3C87E8D9" w14:textId="77777777" w:rsidR="000B4301" w:rsidRDefault="000B4301">
      <w:pPr>
        <w:spacing w:line="240" w:lineRule="auto"/>
        <w:jc w:val="both"/>
        <w:rPr>
          <w:rFonts w:ascii="Times New Roman" w:eastAsia="Times New Roman" w:hAnsi="Times New Roman" w:cs="Times New Roman"/>
          <w:sz w:val="24"/>
          <w:szCs w:val="24"/>
        </w:rPr>
      </w:pPr>
    </w:p>
    <w:p w14:paraId="44FCA1A7" w14:textId="77777777" w:rsidR="000B4301" w:rsidRDefault="00F47107">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 1: What is the average daily consumption of Adventist Medical Center College during a baseline period before and after the campaign's implementatio</w:t>
      </w:r>
      <w:r>
        <w:rPr>
          <w:rFonts w:ascii="Times New Roman" w:eastAsia="Times New Roman" w:hAnsi="Times New Roman" w:cs="Times New Roman"/>
          <w:b/>
          <w:bCs/>
          <w:sz w:val="24"/>
          <w:szCs w:val="24"/>
        </w:rPr>
        <w:t xml:space="preserve">n? </w:t>
      </w:r>
    </w:p>
    <w:p w14:paraId="2AD24ED3" w14:textId="77777777" w:rsidR="000B4301" w:rsidRDefault="00F47107">
      <w:pPr>
        <w:spacing w:line="480" w:lineRule="auto"/>
        <w:jc w:val="both"/>
      </w:pPr>
      <w:r>
        <w:rPr>
          <w:rFonts w:ascii="Times New Roman" w:eastAsia="Times New Roman" w:hAnsi="Times New Roman" w:cs="Times New Roman"/>
          <w:b/>
          <w:bCs/>
          <w:sz w:val="24"/>
          <w:szCs w:val="24"/>
        </w:rPr>
        <w:t xml:space="preserve">Table 1. </w:t>
      </w:r>
      <w:r>
        <w:rPr>
          <w:rFonts w:ascii="Times New Roman" w:eastAsia="Times New Roman" w:hAnsi="Times New Roman" w:cs="Times New Roman"/>
          <w:sz w:val="24"/>
          <w:szCs w:val="24"/>
        </w:rPr>
        <w:t>Average Daily Consumption</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B4301" w14:paraId="47CD0F82" w14:textId="77777777">
        <w:tc>
          <w:tcPr>
            <w:tcW w:w="3120" w:type="dxa"/>
            <w:shd w:val="clear" w:color="auto" w:fill="auto"/>
            <w:tcMar>
              <w:top w:w="100" w:type="dxa"/>
              <w:left w:w="100" w:type="dxa"/>
              <w:bottom w:w="100" w:type="dxa"/>
              <w:right w:w="100" w:type="dxa"/>
            </w:tcMar>
          </w:tcPr>
          <w:p w14:paraId="6126AF3F"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Month</w:t>
            </w:r>
          </w:p>
        </w:tc>
        <w:tc>
          <w:tcPr>
            <w:tcW w:w="3120" w:type="dxa"/>
            <w:shd w:val="clear" w:color="auto" w:fill="auto"/>
            <w:tcMar>
              <w:top w:w="100" w:type="dxa"/>
              <w:left w:w="100" w:type="dxa"/>
              <w:bottom w:w="100" w:type="dxa"/>
              <w:right w:w="100" w:type="dxa"/>
            </w:tcMar>
          </w:tcPr>
          <w:p w14:paraId="241DDF60"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Billing (Main Campus)</w:t>
            </w:r>
          </w:p>
        </w:tc>
        <w:tc>
          <w:tcPr>
            <w:tcW w:w="3120" w:type="dxa"/>
            <w:shd w:val="clear" w:color="auto" w:fill="auto"/>
            <w:tcMar>
              <w:top w:w="100" w:type="dxa"/>
              <w:left w:w="100" w:type="dxa"/>
              <w:bottom w:w="100" w:type="dxa"/>
              <w:right w:w="100" w:type="dxa"/>
            </w:tcMar>
          </w:tcPr>
          <w:p w14:paraId="290F3766"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Billing (Extensions)</w:t>
            </w:r>
          </w:p>
        </w:tc>
      </w:tr>
      <w:tr w:rsidR="000B4301" w14:paraId="744F52CE" w14:textId="77777777">
        <w:tc>
          <w:tcPr>
            <w:tcW w:w="3120" w:type="dxa"/>
            <w:shd w:val="clear" w:color="auto" w:fill="auto"/>
            <w:tcMar>
              <w:top w:w="100" w:type="dxa"/>
              <w:left w:w="100" w:type="dxa"/>
              <w:bottom w:w="100" w:type="dxa"/>
              <w:right w:w="100" w:type="dxa"/>
            </w:tcMar>
          </w:tcPr>
          <w:p w14:paraId="20D8C4B2"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(Before)</w:t>
            </w:r>
          </w:p>
        </w:tc>
        <w:tc>
          <w:tcPr>
            <w:tcW w:w="3120" w:type="dxa"/>
            <w:shd w:val="clear" w:color="auto" w:fill="auto"/>
            <w:tcMar>
              <w:top w:w="100" w:type="dxa"/>
              <w:left w:w="100" w:type="dxa"/>
              <w:bottom w:w="100" w:type="dxa"/>
              <w:right w:w="100" w:type="dxa"/>
            </w:tcMar>
          </w:tcPr>
          <w:p w14:paraId="36FEABAB"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₱212,963.38 Php</w:t>
            </w:r>
          </w:p>
        </w:tc>
        <w:tc>
          <w:tcPr>
            <w:tcW w:w="3120" w:type="dxa"/>
            <w:shd w:val="clear" w:color="auto" w:fill="auto"/>
            <w:tcMar>
              <w:top w:w="100" w:type="dxa"/>
              <w:left w:w="100" w:type="dxa"/>
              <w:bottom w:w="100" w:type="dxa"/>
              <w:right w:w="100" w:type="dxa"/>
            </w:tcMar>
          </w:tcPr>
          <w:p w14:paraId="630C9224"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₱526,133.43 Php</w:t>
            </w:r>
          </w:p>
        </w:tc>
      </w:tr>
      <w:tr w:rsidR="000B4301" w14:paraId="5DC1440A" w14:textId="77777777">
        <w:tc>
          <w:tcPr>
            <w:tcW w:w="3120" w:type="dxa"/>
            <w:shd w:val="clear" w:color="auto" w:fill="auto"/>
            <w:tcMar>
              <w:top w:w="100" w:type="dxa"/>
              <w:left w:w="100" w:type="dxa"/>
              <w:bottom w:w="100" w:type="dxa"/>
              <w:right w:w="100" w:type="dxa"/>
            </w:tcMar>
          </w:tcPr>
          <w:p w14:paraId="22289FF9"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(After)</w:t>
            </w:r>
          </w:p>
        </w:tc>
        <w:tc>
          <w:tcPr>
            <w:tcW w:w="3120" w:type="dxa"/>
            <w:shd w:val="clear" w:color="auto" w:fill="auto"/>
            <w:tcMar>
              <w:top w:w="100" w:type="dxa"/>
              <w:left w:w="100" w:type="dxa"/>
              <w:bottom w:w="100" w:type="dxa"/>
              <w:right w:w="100" w:type="dxa"/>
            </w:tcMar>
          </w:tcPr>
          <w:p w14:paraId="0B8DE61B"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₱213,039.65 Php</w:t>
            </w:r>
          </w:p>
        </w:tc>
        <w:tc>
          <w:tcPr>
            <w:tcW w:w="3120" w:type="dxa"/>
            <w:shd w:val="clear" w:color="auto" w:fill="auto"/>
            <w:tcMar>
              <w:top w:w="100" w:type="dxa"/>
              <w:left w:w="100" w:type="dxa"/>
              <w:bottom w:w="100" w:type="dxa"/>
              <w:right w:w="100" w:type="dxa"/>
            </w:tcMar>
          </w:tcPr>
          <w:p w14:paraId="5DC15AB2"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₱527,848.14 Php</w:t>
            </w:r>
          </w:p>
        </w:tc>
      </w:tr>
    </w:tbl>
    <w:p w14:paraId="5A5C2A9E" w14:textId="77777777" w:rsidR="000B4301" w:rsidRDefault="000B4301">
      <w:pPr>
        <w:spacing w:line="480" w:lineRule="auto"/>
        <w:rPr>
          <w:rFonts w:ascii="Times New Roman" w:eastAsia="Times New Roman" w:hAnsi="Times New Roman" w:cs="Times New Roman"/>
          <w:sz w:val="24"/>
          <w:szCs w:val="24"/>
        </w:rPr>
      </w:pPr>
    </w:p>
    <w:p w14:paraId="1CDBDA53" w14:textId="77777777" w:rsidR="000B4301" w:rsidRDefault="00F4710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month of September, the bill shows 212,963.38 Php for the school classrooms, laboratories, facilities, and staff, and 526,133.43 Php for the extension of the school, like the school farm, pharmacy, and dormitories that are connected to the main powe</w:t>
      </w:r>
      <w:r>
        <w:rPr>
          <w:rFonts w:ascii="Times New Roman" w:eastAsia="Times New Roman" w:hAnsi="Times New Roman" w:cs="Times New Roman"/>
          <w:sz w:val="24"/>
          <w:szCs w:val="24"/>
        </w:rPr>
        <w:t>r energy source. The same goes for the month of October: 213,039.65 Php for the school classrooms, laboratories, facilities, and staff rooms, and 527,848.14 Php for the extensions of the school.</w:t>
      </w:r>
    </w:p>
    <w:p w14:paraId="39535D59" w14:textId="77777777" w:rsidR="000B4301" w:rsidRDefault="000B4301">
      <w:pPr>
        <w:spacing w:line="240" w:lineRule="auto"/>
        <w:rPr>
          <w:rFonts w:ascii="Times New Roman" w:eastAsia="Times New Roman" w:hAnsi="Times New Roman" w:cs="Times New Roman"/>
          <w:sz w:val="24"/>
          <w:szCs w:val="24"/>
        </w:rPr>
      </w:pPr>
    </w:p>
    <w:p w14:paraId="4E30E5D7" w14:textId="77777777" w:rsidR="000B4301" w:rsidRDefault="00F47107">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Problem 2: What is the percentage reduction in electricity c</w:t>
      </w:r>
      <w:r>
        <w:rPr>
          <w:rFonts w:ascii="Times New Roman" w:eastAsia="Times New Roman" w:hAnsi="Times New Roman" w:cs="Times New Roman"/>
          <w:b/>
          <w:bCs/>
          <w:sz w:val="24"/>
          <w:szCs w:val="24"/>
        </w:rPr>
        <w:t>onsumption attributable to the campaign?</w:t>
      </w:r>
    </w:p>
    <w:p w14:paraId="44EE4006" w14:textId="77777777" w:rsidR="000B4301" w:rsidRDefault="00F471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xml:space="preserve"> Percentage Reduction </w:t>
      </w:r>
    </w:p>
    <w:tbl>
      <w:tblPr>
        <w:tblStyle w:val="a0"/>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2265"/>
        <w:gridCol w:w="2250"/>
        <w:gridCol w:w="2250"/>
      </w:tblGrid>
      <w:tr w:rsidR="000B4301" w14:paraId="1573EDFE" w14:textId="77777777">
        <w:tc>
          <w:tcPr>
            <w:tcW w:w="2265" w:type="dxa"/>
            <w:shd w:val="clear" w:color="auto" w:fill="auto"/>
            <w:tcMar>
              <w:top w:w="100" w:type="dxa"/>
              <w:left w:w="100" w:type="dxa"/>
              <w:bottom w:w="100" w:type="dxa"/>
              <w:right w:w="100" w:type="dxa"/>
            </w:tcMar>
          </w:tcPr>
          <w:p w14:paraId="031AF4A2"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(Before)</w:t>
            </w:r>
          </w:p>
        </w:tc>
        <w:tc>
          <w:tcPr>
            <w:tcW w:w="2265" w:type="dxa"/>
            <w:shd w:val="clear" w:color="auto" w:fill="auto"/>
            <w:tcMar>
              <w:top w:w="100" w:type="dxa"/>
              <w:left w:w="100" w:type="dxa"/>
              <w:bottom w:w="100" w:type="dxa"/>
              <w:right w:w="100" w:type="dxa"/>
            </w:tcMar>
          </w:tcPr>
          <w:p w14:paraId="3C27A525"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(After)</w:t>
            </w:r>
          </w:p>
        </w:tc>
        <w:tc>
          <w:tcPr>
            <w:tcW w:w="2250" w:type="dxa"/>
            <w:shd w:val="clear" w:color="auto" w:fill="auto"/>
            <w:tcMar>
              <w:top w:w="100" w:type="dxa"/>
              <w:left w:w="100" w:type="dxa"/>
              <w:bottom w:w="100" w:type="dxa"/>
              <w:right w:w="100" w:type="dxa"/>
            </w:tcMar>
          </w:tcPr>
          <w:p w14:paraId="57F7626C"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w:t>
            </w:r>
          </w:p>
        </w:tc>
        <w:tc>
          <w:tcPr>
            <w:tcW w:w="2250" w:type="dxa"/>
            <w:shd w:val="clear" w:color="auto" w:fill="auto"/>
            <w:tcMar>
              <w:top w:w="100" w:type="dxa"/>
              <w:left w:w="100" w:type="dxa"/>
              <w:bottom w:w="100" w:type="dxa"/>
              <w:right w:w="100" w:type="dxa"/>
            </w:tcMar>
          </w:tcPr>
          <w:p w14:paraId="48879BE1"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Percentage Reduction </w:t>
            </w:r>
          </w:p>
        </w:tc>
      </w:tr>
      <w:tr w:rsidR="000B4301" w14:paraId="2AA85646" w14:textId="77777777">
        <w:tc>
          <w:tcPr>
            <w:tcW w:w="2265" w:type="dxa"/>
            <w:shd w:val="clear" w:color="auto" w:fill="auto"/>
            <w:tcMar>
              <w:top w:w="100" w:type="dxa"/>
              <w:left w:w="100" w:type="dxa"/>
              <w:bottom w:w="100" w:type="dxa"/>
              <w:right w:w="100" w:type="dxa"/>
            </w:tcMar>
          </w:tcPr>
          <w:p w14:paraId="1B7DE84A"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₱213,039.65 </w:t>
            </w:r>
          </w:p>
        </w:tc>
        <w:tc>
          <w:tcPr>
            <w:tcW w:w="2265" w:type="dxa"/>
            <w:shd w:val="clear" w:color="auto" w:fill="auto"/>
            <w:tcMar>
              <w:top w:w="100" w:type="dxa"/>
              <w:left w:w="100" w:type="dxa"/>
              <w:bottom w:w="100" w:type="dxa"/>
              <w:right w:w="100" w:type="dxa"/>
            </w:tcMar>
          </w:tcPr>
          <w:p w14:paraId="48452F81"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₱212,963.38 </w:t>
            </w:r>
          </w:p>
        </w:tc>
        <w:tc>
          <w:tcPr>
            <w:tcW w:w="2250" w:type="dxa"/>
            <w:shd w:val="clear" w:color="auto" w:fill="auto"/>
            <w:tcMar>
              <w:top w:w="100" w:type="dxa"/>
              <w:left w:w="100" w:type="dxa"/>
              <w:bottom w:w="100" w:type="dxa"/>
              <w:right w:w="100" w:type="dxa"/>
            </w:tcMar>
          </w:tcPr>
          <w:p w14:paraId="213C52CA" w14:textId="77777777" w:rsidR="000B4301" w:rsidRDefault="00F47107">
            <w:pPr>
              <w:widowControl w:val="0"/>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₱76.22 </w:t>
            </w:r>
          </w:p>
        </w:tc>
        <w:tc>
          <w:tcPr>
            <w:tcW w:w="2250" w:type="dxa"/>
            <w:shd w:val="clear" w:color="auto" w:fill="auto"/>
            <w:tcMar>
              <w:top w:w="100" w:type="dxa"/>
              <w:left w:w="100" w:type="dxa"/>
              <w:bottom w:w="100" w:type="dxa"/>
              <w:right w:w="100" w:type="dxa"/>
            </w:tcMar>
          </w:tcPr>
          <w:p w14:paraId="2240CA94"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0.00018%</w:t>
            </w:r>
          </w:p>
        </w:tc>
      </w:tr>
      <w:tr w:rsidR="000B4301" w14:paraId="02B0A089" w14:textId="77777777">
        <w:tc>
          <w:tcPr>
            <w:tcW w:w="2265" w:type="dxa"/>
            <w:shd w:val="clear" w:color="auto" w:fill="auto"/>
            <w:tcMar>
              <w:top w:w="100" w:type="dxa"/>
              <w:left w:w="100" w:type="dxa"/>
              <w:bottom w:w="100" w:type="dxa"/>
              <w:right w:w="100" w:type="dxa"/>
            </w:tcMar>
          </w:tcPr>
          <w:p w14:paraId="17029259"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₱527,848.14 </w:t>
            </w:r>
          </w:p>
          <w:p w14:paraId="58B52EC8" w14:textId="77777777" w:rsidR="000B4301" w:rsidRDefault="000B4301">
            <w:pPr>
              <w:widowControl w:val="0"/>
              <w:spacing w:line="240" w:lineRule="auto"/>
              <w:rPr>
                <w:rFonts w:ascii="Times New Roman" w:eastAsia="Times New Roman" w:hAnsi="Times New Roman" w:cs="Times New Roman"/>
                <w:sz w:val="24"/>
                <w:szCs w:val="24"/>
              </w:rPr>
            </w:pPr>
          </w:p>
        </w:tc>
        <w:tc>
          <w:tcPr>
            <w:tcW w:w="2265" w:type="dxa"/>
            <w:shd w:val="clear" w:color="auto" w:fill="auto"/>
            <w:tcMar>
              <w:top w:w="100" w:type="dxa"/>
              <w:left w:w="100" w:type="dxa"/>
              <w:bottom w:w="100" w:type="dxa"/>
              <w:right w:w="100" w:type="dxa"/>
            </w:tcMar>
          </w:tcPr>
          <w:p w14:paraId="39D08F50" w14:textId="77777777" w:rsidR="000B4301" w:rsidRDefault="00F4710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₱526,133.43 </w:t>
            </w:r>
          </w:p>
        </w:tc>
        <w:tc>
          <w:tcPr>
            <w:tcW w:w="2250" w:type="dxa"/>
            <w:shd w:val="clear" w:color="auto" w:fill="auto"/>
            <w:tcMar>
              <w:top w:w="100" w:type="dxa"/>
              <w:left w:w="100" w:type="dxa"/>
              <w:bottom w:w="100" w:type="dxa"/>
              <w:right w:w="100" w:type="dxa"/>
            </w:tcMar>
          </w:tcPr>
          <w:p w14:paraId="1116D60B"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₱1,715.14 </w:t>
            </w:r>
          </w:p>
        </w:tc>
        <w:tc>
          <w:tcPr>
            <w:tcW w:w="2250" w:type="dxa"/>
            <w:shd w:val="clear" w:color="auto" w:fill="auto"/>
            <w:tcMar>
              <w:top w:w="100" w:type="dxa"/>
              <w:left w:w="100" w:type="dxa"/>
              <w:bottom w:w="100" w:type="dxa"/>
              <w:right w:w="100" w:type="dxa"/>
            </w:tcMar>
          </w:tcPr>
          <w:p w14:paraId="341E1FA4" w14:textId="77777777" w:rsidR="000B4301" w:rsidRDefault="00F47107">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0.0016%</w:t>
            </w:r>
          </w:p>
        </w:tc>
      </w:tr>
    </w:tbl>
    <w:p w14:paraId="4D0B65F6" w14:textId="77777777" w:rsidR="000B4301" w:rsidRDefault="000B4301">
      <w:pPr>
        <w:rPr>
          <w:rFonts w:ascii="Times New Roman" w:eastAsia="Times New Roman" w:hAnsi="Times New Roman" w:cs="Times New Roman"/>
          <w:sz w:val="24"/>
          <w:szCs w:val="24"/>
        </w:rPr>
      </w:pPr>
    </w:p>
    <w:p w14:paraId="49535F11" w14:textId="77777777" w:rsidR="000B4301" w:rsidRDefault="00F47107">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reduction percentage of the billing statement from the months of September and October. For the school classroom, laboratory, and faculty and staff usage, 76.22 Php was </w:t>
      </w:r>
      <w:r>
        <w:rPr>
          <w:rFonts w:ascii="Times New Roman" w:eastAsia="Times New Roman" w:hAnsi="Times New Roman" w:cs="Times New Roman"/>
          <w:sz w:val="24"/>
          <w:szCs w:val="24"/>
        </w:rPr>
        <w:lastRenderedPageBreak/>
        <w:t>reduced for the month of October with 0.00018 percent. 1,715.14 Php was reduced for</w:t>
      </w:r>
      <w:r>
        <w:rPr>
          <w:rFonts w:ascii="Times New Roman" w:eastAsia="Times New Roman" w:hAnsi="Times New Roman" w:cs="Times New Roman"/>
          <w:sz w:val="24"/>
          <w:szCs w:val="24"/>
        </w:rPr>
        <w:t xml:space="preserve"> the month of October with 0.0016 percent. Unfortunately, due to the suspension of classes, long weekends, and school events during these two months, it is impossible for the researchers to implement the campaign. Only 2 weeks from the month of October wer</w:t>
      </w:r>
      <w:r>
        <w:rPr>
          <w:rFonts w:ascii="Times New Roman" w:eastAsia="Times New Roman" w:hAnsi="Times New Roman" w:cs="Times New Roman"/>
          <w:sz w:val="24"/>
          <w:szCs w:val="24"/>
        </w:rPr>
        <w:t>e implemented with the energy consumption campaign.</w:t>
      </w:r>
    </w:p>
    <w:p w14:paraId="1E72F1B5" w14:textId="77777777" w:rsidR="000B4301" w:rsidRDefault="000B4301">
      <w:pPr>
        <w:spacing w:line="480" w:lineRule="auto"/>
        <w:rPr>
          <w:rFonts w:ascii="Times New Roman" w:eastAsia="Times New Roman" w:hAnsi="Times New Roman" w:cs="Times New Roman"/>
          <w:b/>
          <w:bCs/>
          <w:sz w:val="24"/>
          <w:szCs w:val="24"/>
        </w:rPr>
      </w:pPr>
    </w:p>
    <w:p w14:paraId="3AAF8120" w14:textId="77777777" w:rsidR="000B4301" w:rsidRDefault="00F47107">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Problem 3: Is there a statistically significant difference in electricity consumption between the “before” and “after” campaign period?</w:t>
      </w:r>
    </w:p>
    <w:p w14:paraId="79F97054" w14:textId="77777777" w:rsidR="000B4301" w:rsidRDefault="00F47107">
      <w:pPr>
        <w:spacing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 xml:space="preserve">Table 3. </w:t>
      </w:r>
      <w:r>
        <w:rPr>
          <w:rFonts w:ascii="Times New Roman" w:eastAsia="Times New Roman" w:hAnsi="Times New Roman" w:cs="Times New Roman"/>
          <w:sz w:val="24"/>
          <w:szCs w:val="24"/>
        </w:rPr>
        <w:t>Paired t-Test</w:t>
      </w:r>
    </w:p>
    <w:tbl>
      <w:tblPr>
        <w:tblStyle w:val="a1"/>
        <w:tblW w:w="72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800"/>
        <w:gridCol w:w="1800"/>
        <w:gridCol w:w="1800"/>
      </w:tblGrid>
      <w:tr w:rsidR="000B4301" w14:paraId="66A64BB4" w14:textId="77777777">
        <w:trPr>
          <w:jc w:val="center"/>
        </w:trPr>
        <w:tc>
          <w:tcPr>
            <w:tcW w:w="1800" w:type="dxa"/>
            <w:shd w:val="clear" w:color="auto" w:fill="auto"/>
            <w:tcMar>
              <w:top w:w="100" w:type="dxa"/>
              <w:left w:w="100" w:type="dxa"/>
              <w:bottom w:w="100" w:type="dxa"/>
              <w:right w:w="100" w:type="dxa"/>
            </w:tcMar>
          </w:tcPr>
          <w:p w14:paraId="71574032"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Comparison </w:t>
            </w:r>
          </w:p>
        </w:tc>
        <w:tc>
          <w:tcPr>
            <w:tcW w:w="1800" w:type="dxa"/>
            <w:shd w:val="clear" w:color="auto" w:fill="auto"/>
            <w:tcMar>
              <w:top w:w="100" w:type="dxa"/>
              <w:left w:w="100" w:type="dxa"/>
              <w:bottom w:w="100" w:type="dxa"/>
              <w:right w:w="100" w:type="dxa"/>
            </w:tcMar>
          </w:tcPr>
          <w:p w14:paraId="3B46BDC4"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t-computed</w:t>
            </w:r>
          </w:p>
        </w:tc>
        <w:tc>
          <w:tcPr>
            <w:tcW w:w="1800" w:type="dxa"/>
            <w:shd w:val="clear" w:color="auto" w:fill="auto"/>
            <w:tcMar>
              <w:top w:w="100" w:type="dxa"/>
              <w:left w:w="100" w:type="dxa"/>
              <w:bottom w:w="100" w:type="dxa"/>
              <w:right w:w="100" w:type="dxa"/>
            </w:tcMar>
          </w:tcPr>
          <w:p w14:paraId="23EAEEEF"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t-critical </w:t>
            </w:r>
          </w:p>
        </w:tc>
        <w:tc>
          <w:tcPr>
            <w:tcW w:w="1800" w:type="dxa"/>
            <w:shd w:val="clear" w:color="auto" w:fill="auto"/>
            <w:tcMar>
              <w:top w:w="100" w:type="dxa"/>
              <w:left w:w="100" w:type="dxa"/>
              <w:bottom w:w="100" w:type="dxa"/>
              <w:right w:w="100" w:type="dxa"/>
            </w:tcMar>
          </w:tcPr>
          <w:p w14:paraId="06DCFB6D"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Interpretation </w:t>
            </w:r>
          </w:p>
        </w:tc>
      </w:tr>
      <w:tr w:rsidR="000B4301" w14:paraId="7EFE4C14" w14:textId="77777777">
        <w:trPr>
          <w:jc w:val="center"/>
        </w:trPr>
        <w:tc>
          <w:tcPr>
            <w:tcW w:w="1800" w:type="dxa"/>
            <w:shd w:val="clear" w:color="auto" w:fill="auto"/>
            <w:tcMar>
              <w:top w:w="100" w:type="dxa"/>
              <w:left w:w="100" w:type="dxa"/>
              <w:bottom w:w="100" w:type="dxa"/>
              <w:right w:w="100" w:type="dxa"/>
            </w:tcMar>
          </w:tcPr>
          <w:p w14:paraId="14B320B2"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vs After </w:t>
            </w:r>
          </w:p>
        </w:tc>
        <w:tc>
          <w:tcPr>
            <w:tcW w:w="1800" w:type="dxa"/>
            <w:shd w:val="clear" w:color="auto" w:fill="auto"/>
            <w:tcMar>
              <w:top w:w="100" w:type="dxa"/>
              <w:left w:w="100" w:type="dxa"/>
              <w:bottom w:w="100" w:type="dxa"/>
              <w:right w:w="100" w:type="dxa"/>
            </w:tcMar>
          </w:tcPr>
          <w:p w14:paraId="36F9FA25"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c>
          <w:tcPr>
            <w:tcW w:w="1800" w:type="dxa"/>
            <w:shd w:val="clear" w:color="auto" w:fill="auto"/>
            <w:tcMar>
              <w:top w:w="100" w:type="dxa"/>
              <w:left w:w="100" w:type="dxa"/>
              <w:bottom w:w="100" w:type="dxa"/>
              <w:right w:w="100" w:type="dxa"/>
            </w:tcMar>
          </w:tcPr>
          <w:p w14:paraId="2EFE4119"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12.706</w:t>
            </w:r>
          </w:p>
        </w:tc>
        <w:tc>
          <w:tcPr>
            <w:tcW w:w="1800" w:type="dxa"/>
            <w:shd w:val="clear" w:color="auto" w:fill="auto"/>
            <w:tcMar>
              <w:top w:w="100" w:type="dxa"/>
              <w:left w:w="100" w:type="dxa"/>
              <w:bottom w:w="100" w:type="dxa"/>
              <w:right w:w="100" w:type="dxa"/>
            </w:tcMar>
          </w:tcPr>
          <w:p w14:paraId="6B1425E2" w14:textId="77777777" w:rsidR="000B4301" w:rsidRDefault="00F47107">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Significant </w:t>
            </w:r>
          </w:p>
        </w:tc>
      </w:tr>
    </w:tbl>
    <w:p w14:paraId="7CB99A91" w14:textId="77777777" w:rsidR="000B4301" w:rsidRDefault="000B4301">
      <w:pPr>
        <w:spacing w:line="480" w:lineRule="auto"/>
        <w:jc w:val="center"/>
        <w:rPr>
          <w:rFonts w:ascii="Times New Roman" w:eastAsia="Times New Roman" w:hAnsi="Times New Roman" w:cs="Times New Roman"/>
          <w:sz w:val="24"/>
          <w:szCs w:val="24"/>
        </w:rPr>
      </w:pPr>
    </w:p>
    <w:p w14:paraId="776B9DE4"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whether there was any significant difference between the electricity usage recorded prior to and following the execution of the energy conservation campaign, the pair</w:t>
      </w:r>
      <w:r>
        <w:rPr>
          <w:rFonts w:ascii="Times New Roman" w:eastAsia="Times New Roman" w:hAnsi="Times New Roman" w:cs="Times New Roman"/>
          <w:sz w:val="24"/>
          <w:szCs w:val="24"/>
        </w:rPr>
        <w:t>ed t-test was used. The paired data's estimated t-computed value of 0.32 is significantly less than the t-critical value of 12.706. This coefficient makes it possible to have no significant difference between two variables. In this instance, the t-computed</w:t>
      </w:r>
      <w:r>
        <w:rPr>
          <w:rFonts w:ascii="Times New Roman" w:eastAsia="Times New Roman" w:hAnsi="Times New Roman" w:cs="Times New Roman"/>
          <w:sz w:val="24"/>
          <w:szCs w:val="24"/>
        </w:rPr>
        <w:t xml:space="preserve"> of 0.32 exceeds the conventional threshold of significance set at 0.05. This suggests that the observed correlation between before and after the campaign is not statistically significant. In other terms, the null hypothesis failed to reject due to insuffi</w:t>
      </w:r>
      <w:r>
        <w:rPr>
          <w:rFonts w:ascii="Times New Roman" w:eastAsia="Times New Roman" w:hAnsi="Times New Roman" w:cs="Times New Roman"/>
          <w:sz w:val="24"/>
          <w:szCs w:val="24"/>
        </w:rPr>
        <w:t xml:space="preserve">cient evidence, which posits that there are no genuine effects between the months implemented by the campaign. </w:t>
      </w:r>
    </w:p>
    <w:p w14:paraId="76951F59" w14:textId="77777777" w:rsidR="000B4301" w:rsidRDefault="00F4710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CONCLUSIONS AND RECOMMENDATIONS</w:t>
      </w:r>
    </w:p>
    <w:p w14:paraId="51E08C59" w14:textId="77777777" w:rsidR="000B4301" w:rsidRDefault="00F4710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study, AMCC's energy-saving initiative did not considerably lower electricity consumption. Impo</w:t>
      </w:r>
      <w:r>
        <w:rPr>
          <w:rFonts w:ascii="Times New Roman" w:eastAsia="Times New Roman" w:hAnsi="Times New Roman" w:cs="Times New Roman"/>
          <w:sz w:val="24"/>
          <w:szCs w:val="24"/>
        </w:rPr>
        <w:t>rtant conclusions include the financial impact being negligible, with school buildings saving ₱76.22 (0.00018%) and school additions saving ₱1,715.14 (0.0016%). The differences in electricity use were not statistically significant, according to a paired t-</w:t>
      </w:r>
      <w:r>
        <w:rPr>
          <w:rFonts w:ascii="Times New Roman" w:eastAsia="Times New Roman" w:hAnsi="Times New Roman" w:cs="Times New Roman"/>
          <w:sz w:val="24"/>
          <w:szCs w:val="24"/>
        </w:rPr>
        <w:t>test, which revealed a t-computed value of 0.32, significantly below the t-critical value of 12.706. External disruptions, like extended weekends and class suspensions, reduced the campaign's impact and reach and hindered its efficacy. As a result, the fin</w:t>
      </w:r>
      <w:r>
        <w:rPr>
          <w:rFonts w:ascii="Times New Roman" w:eastAsia="Times New Roman" w:hAnsi="Times New Roman" w:cs="Times New Roman"/>
          <w:sz w:val="24"/>
          <w:szCs w:val="24"/>
        </w:rPr>
        <w:t>dings imply that short-term actions are not enough to change long-standing consumption patterns or satisfy a major institution's electrical needs.</w:t>
      </w:r>
    </w:p>
    <w:p w14:paraId="2E750547" w14:textId="77777777" w:rsidR="000B4301" w:rsidRDefault="000B4301">
      <w:pPr>
        <w:spacing w:line="240" w:lineRule="auto"/>
        <w:jc w:val="both"/>
        <w:rPr>
          <w:rFonts w:ascii="Times New Roman" w:eastAsia="Times New Roman" w:hAnsi="Times New Roman" w:cs="Times New Roman"/>
          <w:sz w:val="24"/>
          <w:szCs w:val="24"/>
        </w:rPr>
      </w:pPr>
    </w:p>
    <w:p w14:paraId="5A58518E" w14:textId="77777777" w:rsidR="000B4301" w:rsidRDefault="00F47107">
      <w:pPr>
        <w:spacing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Based on the conclusions regarding energy conservation, several recommendations are proposed for both institutional stakeholders and future campaigns. For institutional stakeholders, it is suggested that school administrators enforce mandatory practices su</w:t>
      </w:r>
      <w:r>
        <w:rPr>
          <w:rFonts w:ascii="Times New Roman" w:eastAsia="Times New Roman" w:hAnsi="Times New Roman" w:cs="Times New Roman"/>
          <w:sz w:val="24"/>
          <w:szCs w:val="24"/>
        </w:rPr>
        <w:t xml:space="preserve">ch as turning off lights, fans, and air-conditioning in unoccupied classrooms. Faculty members are encouraged to integrate energy literacy into their courses to promote responsible appliance use among students. </w:t>
      </w:r>
      <w:r>
        <w:rPr>
          <w:rFonts w:ascii="Times New Roman" w:eastAsia="Times New Roman" w:hAnsi="Times New Roman" w:cs="Times New Roman"/>
          <w:sz w:val="24"/>
          <w:szCs w:val="24"/>
        </w:rPr>
        <w:lastRenderedPageBreak/>
        <w:t>Additionally, students should be motivated to</w:t>
      </w:r>
      <w:r>
        <w:rPr>
          <w:rFonts w:ascii="Times New Roman" w:eastAsia="Times New Roman" w:hAnsi="Times New Roman" w:cs="Times New Roman"/>
          <w:sz w:val="24"/>
          <w:szCs w:val="24"/>
        </w:rPr>
        <w:t xml:space="preserve"> actively minimize "phantom load" by unplugging chargers and devices when not in use. For future campaigns and research, initiatives should have an extended duration of two to three months to facilitate behavioral change and establish clear data patterns. </w:t>
      </w:r>
      <w:r>
        <w:rPr>
          <w:rFonts w:ascii="Times New Roman" w:eastAsia="Times New Roman" w:hAnsi="Times New Roman" w:cs="Times New Roman"/>
          <w:sz w:val="24"/>
          <w:szCs w:val="24"/>
        </w:rPr>
        <w:t>Researchers should employ a variety of active strategies beyond passive media, including "energy patrols," real-time monitoring displays, and incentive-based competitions. A holistic approach that combines behavioral modifications with technological upgrad</w:t>
      </w:r>
      <w:r>
        <w:rPr>
          <w:rFonts w:ascii="Times New Roman" w:eastAsia="Times New Roman" w:hAnsi="Times New Roman" w:cs="Times New Roman"/>
          <w:sz w:val="24"/>
          <w:szCs w:val="24"/>
        </w:rPr>
        <w:t>es, such as motion sensors, along with regular monitoring, is essential for improving energy efficiency.</w:t>
      </w:r>
    </w:p>
    <w:p w14:paraId="093D897C" w14:textId="77777777" w:rsidR="000B4301" w:rsidRDefault="00F47107">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14:paraId="18D005CF" w14:textId="77777777" w:rsidR="000B4301" w:rsidRDefault="00F47107">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researchers sincerely thank the Adventist Medical Center College Academy (AMCC) administration and staff for their cooperation and e</w:t>
      </w:r>
      <w:r>
        <w:rPr>
          <w:rFonts w:ascii="Times New Roman" w:eastAsia="Times New Roman" w:hAnsi="Times New Roman" w:cs="Times New Roman"/>
          <w:sz w:val="24"/>
          <w:szCs w:val="24"/>
        </w:rPr>
        <w:t>ssential data for this study. We appreciate our research advisers and faculty for their guidance and feedback. Special thanks to the AMCC students and staff for their participation in the energy conservation campaign. We also acknowledge the support of our</w:t>
      </w:r>
      <w:r>
        <w:rPr>
          <w:rFonts w:ascii="Times New Roman" w:eastAsia="Times New Roman" w:hAnsi="Times New Roman" w:cs="Times New Roman"/>
          <w:sz w:val="24"/>
          <w:szCs w:val="24"/>
        </w:rPr>
        <w:t xml:space="preserve"> families and friends during this academic journey. Lastly, we express our gratitude to God for His wisdom and strength throughout this project. </w:t>
      </w:r>
    </w:p>
    <w:p w14:paraId="7F7B8CAB" w14:textId="77777777" w:rsidR="000B4301" w:rsidRDefault="000B4301">
      <w:pPr>
        <w:spacing w:before="240" w:after="240" w:line="240" w:lineRule="auto"/>
        <w:ind w:firstLine="720"/>
        <w:jc w:val="both"/>
        <w:rPr>
          <w:rFonts w:ascii="Times New Roman" w:eastAsia="Times New Roman" w:hAnsi="Times New Roman" w:cs="Times New Roman"/>
          <w:sz w:val="24"/>
          <w:szCs w:val="24"/>
        </w:rPr>
      </w:pPr>
    </w:p>
    <w:p w14:paraId="41D07E59" w14:textId="77777777" w:rsidR="000B4301" w:rsidRDefault="00F47107">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REFERENCES </w:t>
      </w:r>
    </w:p>
    <w:p w14:paraId="70AF5BD4" w14:textId="7003FFD4"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M., &amp; Khan, S. (2023). Insights from BRICS-T economies on the impact of human capital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renewable electricity consumption on environmental quality. Scientific Reports, 13(1),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1234. https://doi.org/10.1038/s41598-023-32134-1</w:t>
      </w:r>
    </w:p>
    <w:p w14:paraId="3FA8EDF6" w14:textId="38214940" w:rsidR="001C5A79"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Al-Masri, M., &amp; Ahmad, R. (2021). Internet of Things‐based smart electricity monitoring and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control system using usage</w:t>
      </w:r>
      <w:r>
        <w:rPr>
          <w:rFonts w:ascii="Times New Roman" w:eastAsia="Times New Roman" w:hAnsi="Times New Roman" w:cs="Times New Roman"/>
          <w:sz w:val="24"/>
          <w:szCs w:val="24"/>
        </w:rPr>
        <w:t xml:space="preserve"> data. International Journal of Distributed Sensor Networks,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17(5), 6544649. </w:t>
      </w:r>
      <w:hyperlink r:id="rId11" w:history="1">
        <w:r w:rsidR="001C5A79" w:rsidRPr="00581776">
          <w:rPr>
            <w:rStyle w:val="Hyperlink"/>
            <w:rFonts w:ascii="Times New Roman" w:eastAsia="Times New Roman" w:hAnsi="Times New Roman" w:cs="Times New Roman"/>
            <w:sz w:val="24"/>
            <w:szCs w:val="24"/>
          </w:rPr>
          <w:t>https://doi.org/10.1155/2021/6544649</w:t>
        </w:r>
      </w:hyperlink>
    </w:p>
    <w:p w14:paraId="0116E9C7" w14:textId="77777777" w:rsidR="001C5A79" w:rsidRDefault="001C5A79" w:rsidP="001C5A7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Ajzen, I. (1991). The theory of planned behavior. Organizational Behavior and Human Decision </w:t>
      </w:r>
      <w:r>
        <w:rPr>
          <w:rFonts w:ascii="Times New Roman" w:eastAsia="Times New Roman" w:hAnsi="Times New Roman" w:cs="Times New Roman"/>
          <w:sz w:val="24"/>
          <w:szCs w:val="24"/>
        </w:rPr>
        <w:tab/>
        <w:t>Processes, 50(2), 179–211.</w:t>
      </w:r>
    </w:p>
    <w:p w14:paraId="2CC44850" w14:textId="7193E871" w:rsidR="001C5A79" w:rsidRDefault="001C5A79" w:rsidP="001C5A7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Ahmed, M., &amp; Khan, S. (2023). Renewable electricity consumption and environmental quality. </w:t>
      </w:r>
      <w:r>
        <w:rPr>
          <w:rFonts w:ascii="Times New Roman" w:eastAsia="Times New Roman" w:hAnsi="Times New Roman" w:cs="Times New Roman"/>
          <w:sz w:val="24"/>
          <w:szCs w:val="24"/>
        </w:rPr>
        <w:tab/>
        <w:t>Energy Policy.</w:t>
      </w:r>
    </w:p>
    <w:p w14:paraId="73044AA4" w14:textId="78F23F49" w:rsidR="000B4301" w:rsidRDefault="001C5A79" w:rsidP="001C5A79">
      <w:pPr>
        <w:spacing w:before="240"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Basholli</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Avdylaj</w:t>
      </w:r>
      <w:proofErr w:type="spellEnd"/>
      <w:r>
        <w:rPr>
          <w:rFonts w:ascii="Times New Roman" w:eastAsia="Times New Roman" w:hAnsi="Times New Roman" w:cs="Times New Roman"/>
          <w:sz w:val="24"/>
          <w:szCs w:val="24"/>
        </w:rPr>
        <w:t xml:space="preserve">, L. (2023). Electricity quality assessment in buildings. Journal of Energy </w:t>
      </w:r>
      <w:r>
        <w:rPr>
          <w:rFonts w:ascii="Times New Roman" w:eastAsia="Times New Roman" w:hAnsi="Times New Roman" w:cs="Times New Roman"/>
          <w:sz w:val="24"/>
          <w:szCs w:val="24"/>
        </w:rPr>
        <w:tab/>
        <w:t>Systems.</w:t>
      </w:r>
    </w:p>
    <w:p w14:paraId="3A2D70C8" w14:textId="1BAA464C" w:rsidR="000B4301" w:rsidRDefault="00F47107" w:rsidP="001C5A79">
      <w:pPr>
        <w:spacing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Basholli</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Avdylaj</w:t>
      </w:r>
      <w:proofErr w:type="spellEnd"/>
      <w:r>
        <w:rPr>
          <w:rFonts w:ascii="Times New Roman" w:eastAsia="Times New Roman" w:hAnsi="Times New Roman" w:cs="Times New Roman"/>
          <w:sz w:val="24"/>
          <w:szCs w:val="24"/>
        </w:rPr>
        <w:t xml:space="preserve">, B. (2023). Monitoring and assessment of the quality of electricity in a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building. International Journal of Energy, 1</w:t>
      </w:r>
      <w:r>
        <w:rPr>
          <w:rFonts w:ascii="Times New Roman" w:eastAsia="Times New Roman" w:hAnsi="Times New Roman" w:cs="Times New Roman"/>
          <w:sz w:val="24"/>
          <w:szCs w:val="24"/>
        </w:rPr>
        <w:t>7(4), 203–215.</w:t>
      </w:r>
    </w:p>
    <w:p w14:paraId="1CCFC3FA" w14:textId="02A55493" w:rsidR="000B4301" w:rsidRDefault="00F47107" w:rsidP="001C5A79">
      <w:pPr>
        <w:spacing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Basholli</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Avdylaj</w:t>
      </w:r>
      <w:proofErr w:type="spellEnd"/>
      <w:r>
        <w:rPr>
          <w:rFonts w:ascii="Times New Roman" w:eastAsia="Times New Roman" w:hAnsi="Times New Roman" w:cs="Times New Roman"/>
          <w:sz w:val="24"/>
          <w:szCs w:val="24"/>
        </w:rPr>
        <w:t xml:space="preserve">, B. (2023). Monitoring and evaluation of the quality of electricity in a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building. International Journal of Energy, 17(2), 145–158.</w:t>
      </w:r>
    </w:p>
    <w:p w14:paraId="700BB69A" w14:textId="584FA622"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Bhattacharjee, D., Garg, N., &amp; </w:t>
      </w:r>
      <w:proofErr w:type="spellStart"/>
      <w:r>
        <w:rPr>
          <w:rFonts w:ascii="Times New Roman" w:eastAsia="Times New Roman" w:hAnsi="Times New Roman" w:cs="Times New Roman"/>
          <w:sz w:val="24"/>
          <w:szCs w:val="24"/>
        </w:rPr>
        <w:t>Kasiviswanathan</w:t>
      </w:r>
      <w:proofErr w:type="spellEnd"/>
      <w:r>
        <w:rPr>
          <w:rFonts w:ascii="Times New Roman" w:eastAsia="Times New Roman" w:hAnsi="Times New Roman" w:cs="Times New Roman"/>
          <w:sz w:val="24"/>
          <w:szCs w:val="24"/>
        </w:rPr>
        <w:t>, K. S. (2020). A data mining-based f</w:t>
      </w:r>
      <w:r>
        <w:rPr>
          <w:rFonts w:ascii="Times New Roman" w:eastAsia="Times New Roman" w:hAnsi="Times New Roman" w:cs="Times New Roman"/>
          <w:sz w:val="24"/>
          <w:szCs w:val="24"/>
        </w:rPr>
        <w:t xml:space="preserve">ramework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for identifying daily electricity usage patterns and anomaly detection in building electricity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consumption data. Energy and Buildings, 216, 109881.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https://doi.org/10.1016/j.enbuild.2020.109881</w:t>
      </w:r>
    </w:p>
    <w:p w14:paraId="3AB5AD8D" w14:textId="7FA0D671"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 Río, D. F., &amp; Greening, P. (2023). A review of a</w:t>
      </w:r>
      <w:r>
        <w:rPr>
          <w:rFonts w:ascii="Times New Roman" w:eastAsia="Times New Roman" w:hAnsi="Times New Roman" w:cs="Times New Roman"/>
          <w:sz w:val="24"/>
          <w:szCs w:val="24"/>
        </w:rPr>
        <w:t xml:space="preserve">nnual, monthly, and hourly electricity use in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buildings. Energy and Buildings, 301, 113464.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https://doi.org/10.1016/j.enbuild.2023.113464</w:t>
      </w:r>
    </w:p>
    <w:p w14:paraId="4F01503B" w14:textId="3438BC69"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Doğan, E., &amp; </w:t>
      </w:r>
      <w:proofErr w:type="spellStart"/>
      <w:r>
        <w:rPr>
          <w:rFonts w:ascii="Times New Roman" w:eastAsia="Times New Roman" w:hAnsi="Times New Roman" w:cs="Times New Roman"/>
          <w:sz w:val="24"/>
          <w:szCs w:val="24"/>
        </w:rPr>
        <w:t>Trikas</w:t>
      </w:r>
      <w:proofErr w:type="spellEnd"/>
      <w:r>
        <w:rPr>
          <w:rFonts w:ascii="Times New Roman" w:eastAsia="Times New Roman" w:hAnsi="Times New Roman" w:cs="Times New Roman"/>
          <w:sz w:val="24"/>
          <w:szCs w:val="24"/>
        </w:rPr>
        <w:t xml:space="preserve">, P. (2019). Daily electricity use and usage patterns in Turkey: A harmonic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analysis. Energy, 186,</w:t>
      </w:r>
      <w:r>
        <w:rPr>
          <w:rFonts w:ascii="Times New Roman" w:eastAsia="Times New Roman" w:hAnsi="Times New Roman" w:cs="Times New Roman"/>
          <w:sz w:val="24"/>
          <w:szCs w:val="24"/>
        </w:rPr>
        <w:t xml:space="preserve"> 115852. https://doi.org/10.1016/j.energy.2019.07.012</w:t>
      </w:r>
    </w:p>
    <w:p w14:paraId="5E08218D" w14:textId="438A85B8"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Ghadban, A., </w:t>
      </w:r>
      <w:proofErr w:type="spellStart"/>
      <w:r>
        <w:rPr>
          <w:rFonts w:ascii="Times New Roman" w:eastAsia="Times New Roman" w:hAnsi="Times New Roman" w:cs="Times New Roman"/>
          <w:sz w:val="24"/>
          <w:szCs w:val="24"/>
        </w:rPr>
        <w:t>Zerriffi</w:t>
      </w:r>
      <w:proofErr w:type="spellEnd"/>
      <w:r>
        <w:rPr>
          <w:rFonts w:ascii="Times New Roman" w:eastAsia="Times New Roman" w:hAnsi="Times New Roman" w:cs="Times New Roman"/>
          <w:sz w:val="24"/>
          <w:szCs w:val="24"/>
        </w:rPr>
        <w:t xml:space="preserve">, H., &amp; </w:t>
      </w:r>
      <w:proofErr w:type="spellStart"/>
      <w:r>
        <w:rPr>
          <w:rFonts w:ascii="Times New Roman" w:eastAsia="Times New Roman" w:hAnsi="Times New Roman" w:cs="Times New Roman"/>
          <w:sz w:val="24"/>
          <w:szCs w:val="24"/>
        </w:rPr>
        <w:t>Houweling</w:t>
      </w:r>
      <w:proofErr w:type="spellEnd"/>
      <w:r>
        <w:rPr>
          <w:rFonts w:ascii="Times New Roman" w:eastAsia="Times New Roman" w:hAnsi="Times New Roman" w:cs="Times New Roman"/>
          <w:sz w:val="24"/>
          <w:szCs w:val="24"/>
        </w:rPr>
        <w:t xml:space="preserve">, S. (2015). The effect of ambient temperature on electricity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consumption in residential buildings. Energy and Buildings, 87, 267–274.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https://doi.org/10.1016/j.en</w:t>
      </w:r>
      <w:r>
        <w:rPr>
          <w:rFonts w:ascii="Times New Roman" w:eastAsia="Times New Roman" w:hAnsi="Times New Roman" w:cs="Times New Roman"/>
          <w:sz w:val="24"/>
          <w:szCs w:val="24"/>
        </w:rPr>
        <w:t>build.2014.11.033</w:t>
      </w:r>
    </w:p>
    <w:p w14:paraId="791FD023" w14:textId="647A5137"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Grunewald, P., </w:t>
      </w:r>
      <w:proofErr w:type="spellStart"/>
      <w:r>
        <w:rPr>
          <w:rFonts w:ascii="Times New Roman" w:eastAsia="Times New Roman" w:hAnsi="Times New Roman" w:cs="Times New Roman"/>
          <w:sz w:val="24"/>
          <w:szCs w:val="24"/>
        </w:rPr>
        <w:t>Diakonova</w:t>
      </w:r>
      <w:proofErr w:type="spellEnd"/>
      <w:r>
        <w:rPr>
          <w:rFonts w:ascii="Times New Roman" w:eastAsia="Times New Roman" w:hAnsi="Times New Roman" w:cs="Times New Roman"/>
          <w:sz w:val="24"/>
          <w:szCs w:val="24"/>
        </w:rPr>
        <w:t xml:space="preserve">, M., &amp; Satre-Meloy, A. (2020). Daily life and demand: An analysis of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intra-day variations in residential electricity consumption. Energy Efficiency, 13(2), 433–</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458. https://doi.org/10.1007/s12053-019-09791-1</w:t>
      </w:r>
    </w:p>
    <w:p w14:paraId="6DDC501D" w14:textId="18865A01"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Hua</w:t>
      </w:r>
      <w:r>
        <w:rPr>
          <w:rFonts w:ascii="Times New Roman" w:eastAsia="Times New Roman" w:hAnsi="Times New Roman" w:cs="Times New Roman"/>
          <w:sz w:val="24"/>
          <w:szCs w:val="24"/>
        </w:rPr>
        <w:t xml:space="preserve">ng, X., &amp; Wu, J. (2021). Usage impact on data center electricity needs: A system dynamic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forecasting model. Applied Energy, 282, 116216.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https://doi.org/10.1016/j.apenergy.2021.116216</w:t>
      </w:r>
    </w:p>
    <w:p w14:paraId="1AE49FC1" w14:textId="6E8C542E"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Y., Wang, S., &amp; Chen, Y. (2022). Digital transformation and electricity consumption: Evidence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from the Broadband China pilot policy. Technological Forecasting and Social Change, 184,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121999. https://doi.org/10.1016/j.techfore.2022.121999</w:t>
      </w:r>
    </w:p>
    <w:p w14:paraId="30CE14DD" w14:textId="28375A34"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López, J., &amp; </w:t>
      </w:r>
      <w:r>
        <w:rPr>
          <w:rFonts w:ascii="Times New Roman" w:eastAsia="Times New Roman" w:hAnsi="Times New Roman" w:cs="Times New Roman"/>
          <w:sz w:val="24"/>
          <w:szCs w:val="24"/>
        </w:rPr>
        <w:t xml:space="preserve">Martínez, P. (2021). A study and assessment of the status of energy efficiency and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conservation at school buildings. Sustainability, 14(17), 10625.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https://doi.org/10.3390/su141710625</w:t>
      </w:r>
    </w:p>
    <w:p w14:paraId="2C4C75A8" w14:textId="6D59C715"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Nowak, A., &amp; Kowalski, J. (2022). Effectiveness of electricity-saving c</w:t>
      </w:r>
      <w:r>
        <w:rPr>
          <w:rFonts w:ascii="Times New Roman" w:eastAsia="Times New Roman" w:hAnsi="Times New Roman" w:cs="Times New Roman"/>
          <w:sz w:val="24"/>
          <w:szCs w:val="24"/>
        </w:rPr>
        <w:t xml:space="preserve">ommunication campaigns: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Neurophysiological approach. Energies, 15(4), 1263. https://doi.org/10.3390/en15041263</w:t>
      </w:r>
    </w:p>
    <w:p w14:paraId="2159D28D" w14:textId="1B2ECC21"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Sakti, A. W., &amp; Yamaguchi, Y. (2019). A review of annual, monthly, and hourly electricity use in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buildings. Applied Energy, 239, 1–25. https://d</w:t>
      </w:r>
      <w:r>
        <w:rPr>
          <w:rFonts w:ascii="Times New Roman" w:eastAsia="Times New Roman" w:hAnsi="Times New Roman" w:cs="Times New Roman"/>
          <w:sz w:val="24"/>
          <w:szCs w:val="24"/>
        </w:rPr>
        <w:t>oi.org/10.1016/j.apenergy.2019.03.217</w:t>
      </w:r>
    </w:p>
    <w:p w14:paraId="298AC9ED" w14:textId="51F410A1"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V., Ghosh, S., &amp; Rout, U. K. (2015). A review of electricity consumption and efficiency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 educational buildings. Renewable and Sustainable Energy Reviews, 41, 1242–1256.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https://doi.org/10.1016/j.rser.2014.08</w:t>
      </w:r>
      <w:r>
        <w:rPr>
          <w:rFonts w:ascii="Times New Roman" w:eastAsia="Times New Roman" w:hAnsi="Times New Roman" w:cs="Times New Roman"/>
          <w:sz w:val="24"/>
          <w:szCs w:val="24"/>
        </w:rPr>
        <w:t>.014</w:t>
      </w:r>
    </w:p>
    <w:p w14:paraId="31278E50" w14:textId="6CBE0C8B"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Singh, A., &amp; Verma, R. (2025). Forecasting renewable energy and electricity consumption using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evolutionary </w:t>
      </w:r>
      <w:proofErr w:type="spellStart"/>
      <w:r>
        <w:rPr>
          <w:rFonts w:ascii="Times New Roman" w:eastAsia="Times New Roman" w:hAnsi="Times New Roman" w:cs="Times New Roman"/>
          <w:sz w:val="24"/>
          <w:szCs w:val="24"/>
        </w:rPr>
        <w:t>hyperheuristic</w:t>
      </w:r>
      <w:proofErr w:type="spellEnd"/>
      <w:r>
        <w:rPr>
          <w:rFonts w:ascii="Times New Roman" w:eastAsia="Times New Roman" w:hAnsi="Times New Roman" w:cs="Times New Roman"/>
          <w:sz w:val="24"/>
          <w:szCs w:val="24"/>
        </w:rPr>
        <w:t xml:space="preserve"> algorithm. Scientific Reports, 15, 87013.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https://doi.org/10.1038/s41598-025-87013-8</w:t>
      </w:r>
    </w:p>
    <w:p w14:paraId="558B700C" w14:textId="5B6F120E"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Taye, G., &amp; Alemu, D. (2021). Energy effic</w:t>
      </w:r>
      <w:r>
        <w:rPr>
          <w:rFonts w:ascii="Times New Roman" w:eastAsia="Times New Roman" w:hAnsi="Times New Roman" w:cs="Times New Roman"/>
          <w:sz w:val="24"/>
          <w:szCs w:val="24"/>
        </w:rPr>
        <w:t xml:space="preserve">iency analysis and energy conservation measures for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Ethiopian universities: Introducing green campus initiative. IEEE Access, 9, 123456–</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123469. </w:t>
      </w:r>
      <w:hyperlink r:id="rId12" w:history="1">
        <w:r w:rsidR="001C5A79" w:rsidRPr="00581776">
          <w:rPr>
            <w:rStyle w:val="Hyperlink"/>
            <w:rFonts w:ascii="Times New Roman" w:eastAsia="Times New Roman" w:hAnsi="Times New Roman" w:cs="Times New Roman"/>
            <w:sz w:val="24"/>
            <w:szCs w:val="24"/>
          </w:rPr>
          <w:t>https://doi.org/10.1109/ACCESS.2021.9543461</w:t>
        </w:r>
      </w:hyperlink>
    </w:p>
    <w:p w14:paraId="61566628" w14:textId="73039D7F" w:rsidR="000B4301" w:rsidRDefault="001C5A79" w:rsidP="001C5A79">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Taye, A., &amp; Alemu, B. (2021). Green campus energy-saving initiatives. African Journal of Energy </w:t>
      </w:r>
      <w:r>
        <w:rPr>
          <w:rFonts w:ascii="Times New Roman" w:eastAsia="Times New Roman" w:hAnsi="Times New Roman" w:cs="Times New Roman"/>
          <w:sz w:val="24"/>
          <w:szCs w:val="24"/>
        </w:rPr>
        <w:tab/>
        <w:t>Studies.</w:t>
      </w:r>
    </w:p>
    <w:p w14:paraId="540D7A1D" w14:textId="432D3399" w:rsidR="000B4301" w:rsidRDefault="00F47107" w:rsidP="001C5A7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Zhou, D., Li, S., &amp; Wang, Y. (2022). Digitalization and electricity</w:t>
      </w:r>
      <w:r>
        <w:rPr>
          <w:rFonts w:ascii="Times New Roman" w:eastAsia="Times New Roman" w:hAnsi="Times New Roman" w:cs="Times New Roman"/>
          <w:sz w:val="24"/>
          <w:szCs w:val="24"/>
        </w:rPr>
        <w:t xml:space="preserve"> consumption: </w:t>
      </w:r>
      <w:proofErr w:type="gramStart"/>
      <w:r>
        <w:rPr>
          <w:rFonts w:ascii="Times New Roman" w:eastAsia="Times New Roman" w:hAnsi="Times New Roman" w:cs="Times New Roman"/>
          <w:sz w:val="24"/>
          <w:szCs w:val="24"/>
        </w:rPr>
        <w:t>Does</w:t>
      </w:r>
      <w:proofErr w:type="gramEnd"/>
      <w:r>
        <w:rPr>
          <w:rFonts w:ascii="Times New Roman" w:eastAsia="Times New Roman" w:hAnsi="Times New Roman" w:cs="Times New Roman"/>
          <w:sz w:val="24"/>
          <w:szCs w:val="24"/>
        </w:rPr>
        <w:t xml:space="preserve"> internet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development contribute to the reduction in electricity intensity in China? Energy Policy, </w:t>
      </w:r>
      <w:r w:rsidR="001C5A79">
        <w:rPr>
          <w:rFonts w:ascii="Times New Roman" w:eastAsia="Times New Roman" w:hAnsi="Times New Roman" w:cs="Times New Roman"/>
          <w:sz w:val="24"/>
          <w:szCs w:val="24"/>
        </w:rPr>
        <w:tab/>
      </w:r>
      <w:r>
        <w:rPr>
          <w:rFonts w:ascii="Times New Roman" w:eastAsia="Times New Roman" w:hAnsi="Times New Roman" w:cs="Times New Roman"/>
          <w:sz w:val="24"/>
          <w:szCs w:val="24"/>
        </w:rPr>
        <w:t>162, 112793. https://doi.org/10.1016/j.enpol.2022.112793</w:t>
      </w:r>
    </w:p>
    <w:p w14:paraId="24129E74" w14:textId="77777777" w:rsidR="000B4301" w:rsidRDefault="000B4301">
      <w:pPr>
        <w:spacing w:line="480" w:lineRule="auto"/>
        <w:jc w:val="both"/>
        <w:rPr>
          <w:rFonts w:ascii="Times New Roman" w:eastAsia="Times New Roman" w:hAnsi="Times New Roman" w:cs="Times New Roman"/>
          <w:sz w:val="24"/>
          <w:szCs w:val="24"/>
        </w:rPr>
      </w:pPr>
    </w:p>
    <w:sectPr w:rsidR="000B43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5CC3FBA-80AA-4C42-8B70-C1DCC5E999C1}"/>
  </w:font>
  <w:font w:name="Cambria">
    <w:panose1 w:val="02040503050406030204"/>
    <w:charset w:val="00"/>
    <w:family w:val="roman"/>
    <w:pitch w:val="variable"/>
    <w:sig w:usb0="E00006FF" w:usb1="420024FF" w:usb2="02000000" w:usb3="00000000" w:csb0="0000019F" w:csb1="00000000"/>
    <w:embedRegular r:id="rId2" w:fontKey="{6447542D-2214-4EA0-9E17-8AE37996AF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301"/>
    <w:rsid w:val="000B4301"/>
    <w:rsid w:val="001C5A79"/>
    <w:rsid w:val="004F1584"/>
    <w:rsid w:val="00F4710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14E33"/>
  <w15:docId w15:val="{265E96AC-89C1-4298-8139-193BC0EED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qFormat/>
    <w:rsid w:val="001C5A79"/>
    <w:rPr>
      <w:color w:val="0000FF" w:themeColor="hyperlink"/>
      <w:u w:val="single"/>
    </w:rPr>
  </w:style>
  <w:style w:type="character" w:styleId="UnresolvedMention">
    <w:name w:val="Unresolved Mention"/>
    <w:basedOn w:val="DefaultParagraphFont"/>
    <w:uiPriority w:val="99"/>
    <w:semiHidden/>
    <w:unhideWhenUsed/>
    <w:rsid w:val="001C5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mangin.samson@amcc.edu.ph"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villastique.jeanrose@amcc.edu.ph" TargetMode="External"/><Relationship Id="rId12" Type="http://schemas.openxmlformats.org/officeDocument/2006/relationships/hyperlink" Target="https://doi.org/10.1109/ACCESS.2021.954346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ragas.trixiaruby@amcc.edu.ph" TargetMode="External"/><Relationship Id="rId11" Type="http://schemas.openxmlformats.org/officeDocument/2006/relationships/hyperlink" Target="https://doi.org/10.1155/2021/6544649" TargetMode="External"/><Relationship Id="rId5" Type="http://schemas.openxmlformats.org/officeDocument/2006/relationships/hyperlink" Target="mailto:malaya.ninachristinemarie@amcc.edu.ph" TargetMode="External"/><Relationship Id="rId10" Type="http://schemas.openxmlformats.org/officeDocument/2006/relationships/hyperlink" Target="mailto:guerrero.euleryoland@amcc.edu.ph" TargetMode="External"/><Relationship Id="rId4" Type="http://schemas.openxmlformats.org/officeDocument/2006/relationships/hyperlink" Target="mailto:calamba.ninakerden@amcc.edu.ph" TargetMode="External"/><Relationship Id="rId9" Type="http://schemas.openxmlformats.org/officeDocument/2006/relationships/hyperlink" Target="mailto:valenzuela.angierosssharon@amcc.edu.p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2980</Words>
  <Characters>16988</Characters>
  <Application>Microsoft Office Word</Application>
  <DocSecurity>0</DocSecurity>
  <Lines>141</Lines>
  <Paragraphs>39</Paragraphs>
  <ScaleCrop>false</ScaleCrop>
  <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Samson Mangin</cp:lastModifiedBy>
  <cp:revision>3</cp:revision>
  <dcterms:created xsi:type="dcterms:W3CDTF">2026-03-02T07:41:00Z</dcterms:created>
  <dcterms:modified xsi:type="dcterms:W3CDTF">2026-03-02T07:42:00Z</dcterms:modified>
</cp:coreProperties>
</file>