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834AF" w14:textId="77777777" w:rsidR="00A51F45" w:rsidRDefault="00A51F45">
      <w:pPr>
        <w:rPr>
          <w:b/>
        </w:rPr>
      </w:pPr>
      <w:r w:rsidRPr="00A51F45">
        <w:rPr>
          <w:b/>
        </w:rPr>
        <w:t>The Impact of Adult Capacity-Building Programmes on Conflict Resolu</w:t>
      </w:r>
      <w:r>
        <w:rPr>
          <w:b/>
        </w:rPr>
        <w:t>tion and Community Development a</w:t>
      </w:r>
      <w:r w:rsidRPr="00A51F45">
        <w:rPr>
          <w:b/>
        </w:rPr>
        <w:t>mong Adult Learners at Obafemi Awolowo University, Ile-Ife, Osun State, Nigeria</w:t>
      </w:r>
    </w:p>
    <w:p w14:paraId="0E6A01FB" w14:textId="77777777" w:rsidR="00EA3083" w:rsidRDefault="007F6848">
      <w:pPr>
        <w:rPr>
          <w:b/>
        </w:rPr>
      </w:pPr>
      <w:r>
        <w:rPr>
          <w:b/>
        </w:rPr>
        <w:t xml:space="preserve"/>
      </w:r>
      <w:r>
        <w:rPr>
          <w:b/>
        </w:rPr>
        <w:tab/>
      </w:r>
      <w:r>
        <w:rPr>
          <w:b/>
        </w:rPr>
        <w:tab/>
      </w:r>
      <w:r>
        <w:rPr>
          <w:b/>
        </w:rPr>
        <w:tab/>
      </w:r>
      <w:r>
        <w:rPr>
          <w:b/>
        </w:rPr>
        <w:tab/>
      </w:r>
      <w:r>
        <w:rPr>
          <w:b/>
        </w:rPr>
        <w:tab/>
        <w:t/>
      </w:r>
    </w:p>
    <w:p w14:paraId="13DABCF3" w14:textId="77777777" w:rsidR="007F6848" w:rsidRPr="002A40C2" w:rsidRDefault="007F6848" w:rsidP="005D11C0">
      <w:pPr>
        <w:ind w:left="720" w:firstLine="720"/>
        <w:rPr>
          <w:b/>
        </w:rPr>
      </w:pPr>
      <w:r w:rsidRPr="002A40C2">
        <w:rPr>
          <w:b/>
        </w:rPr>
        <w:t/>
      </w:r>
    </w:p>
    <w:p w14:paraId="498F63AF" w14:textId="3D9CB240" w:rsidR="007508F6" w:rsidRDefault="007F6848" w:rsidP="005D11C0">
      <w:pPr>
        <w:ind w:left="720" w:firstLine="720"/>
      </w:pPr>
      <w:r w:rsidRPr="002A40C2">
        <w:t/>
      </w:r>
      <w:r>
        <w:t xml:space="preserve"/>
      </w:r>
    </w:p>
    <w:p w14:paraId="3F6F220F" w14:textId="10809C4F" w:rsidR="003D7914" w:rsidRDefault="003D7914" w:rsidP="00714F74">
      <w:pPr>
        <w:ind w:left="2160" w:firstLine="720"/>
      </w:pPr>
      <w:r>
        <w:t/>
      </w:r>
    </w:p>
    <w:p w14:paraId="1CF00D43" w14:textId="77777777" w:rsidR="007508F6" w:rsidRDefault="007F6848" w:rsidP="00714F74">
      <w:pPr>
        <w:ind w:left="720" w:firstLine="720"/>
        <w:rPr>
          <w:bCs/>
        </w:rPr>
      </w:pPr>
      <w:r w:rsidRPr="002A40C2">
        <w:rPr>
          <w:bCs/>
        </w:rPr>
        <w:t/>
      </w:r>
      <w:r>
        <w:rPr>
          <w:bCs/>
        </w:rPr>
        <w:t/>
      </w:r>
      <w:r w:rsidR="007508F6">
        <w:rPr>
          <w:bCs/>
        </w:rPr>
        <w:t xml:space="preserve"/>
      </w:r>
      <w:r>
        <w:rPr>
          <w:bCs/>
        </w:rPr>
        <w:t/>
      </w:r>
    </w:p>
    <w:p w14:paraId="40399144" w14:textId="77777777" w:rsidR="007F6848" w:rsidRPr="002A40C2" w:rsidRDefault="007F6848" w:rsidP="00714F74">
      <w:pPr>
        <w:ind w:firstLine="720"/>
      </w:pPr>
      <w:r>
        <w:rPr>
          <w:bCs/>
        </w:rPr>
        <w:t xml:space="preserve"/>
      </w:r>
      <w:r w:rsidR="007508F6">
        <w:rPr>
          <w:bCs/>
        </w:rPr>
        <w:tab/>
      </w:r>
      <w:hyperlink r:id="rId8" w:history="1">
        <w:r w:rsidRPr="002A40C2">
          <w:rPr>
            <w:rStyle w:val="Hyperlink"/>
            <w:bCs/>
          </w:rPr>
          <w:t/>
        </w:r>
      </w:hyperlink>
      <w:r w:rsidRPr="007F6848">
        <w:rPr>
          <w:rStyle w:val="Hyperlink"/>
          <w:bCs/>
          <w:u w:val="none"/>
        </w:rPr>
        <w:t/>
      </w:r>
      <w:r>
        <w:rPr>
          <w:rStyle w:val="Hyperlink"/>
          <w:bCs/>
          <w:u w:val="none"/>
        </w:rPr>
        <w:t xml:space="preserve"/>
      </w:r>
      <w:r w:rsidRPr="002A40C2">
        <w:t/>
      </w:r>
    </w:p>
    <w:p w14:paraId="7B86B3F1" w14:textId="77777777" w:rsidR="007F6848" w:rsidRDefault="007F6848">
      <w:pPr>
        <w:rPr>
          <w:b/>
        </w:rPr>
      </w:pPr>
    </w:p>
    <w:p w14:paraId="20DD7700" w14:textId="595DDEA2" w:rsidR="00CC0CA1" w:rsidRDefault="00CC0CA1">
      <w:pPr>
        <w:rPr>
          <w:b/>
        </w:rPr>
      </w:pPr>
      <w:r>
        <w:rPr>
          <w:b/>
        </w:rPr>
        <w:t>Abstract</w:t>
      </w:r>
    </w:p>
    <w:p w14:paraId="6C500A5B" w14:textId="77777777" w:rsidR="00CC0CA1" w:rsidRDefault="00CC0CA1">
      <w:pPr>
        <w:rPr>
          <w:b/>
        </w:rPr>
      </w:pPr>
    </w:p>
    <w:p w14:paraId="477EE2D7" w14:textId="53C175EA" w:rsidR="00CC0CA1" w:rsidRPr="007947A3" w:rsidRDefault="00CC0CA1" w:rsidP="0022140E">
      <w:pPr>
        <w:spacing w:before="100" w:beforeAutospacing="1" w:after="100" w:afterAutospacing="1" w:line="360" w:lineRule="auto"/>
        <w:jc w:val="both"/>
        <w:rPr>
          <w:i/>
          <w:iCs/>
          <w:lang w:val="en-NG" w:eastAsia="en-NG"/>
        </w:rPr>
      </w:pPr>
      <w:r w:rsidRPr="0022140E">
        <w:rPr>
          <w:i/>
          <w:iCs/>
          <w:lang w:val="en-NG" w:eastAsia="en-NG"/>
        </w:rPr>
        <w:t xml:space="preserve">This study examined the </w:t>
      </w:r>
      <w:r w:rsidRPr="007947A3">
        <w:rPr>
          <w:i/>
          <w:iCs/>
          <w:lang w:val="en-NG" w:eastAsia="en-NG"/>
        </w:rPr>
        <w:t xml:space="preserve">impact of adult capacity-building programmes on conflict resolution and community development among adult learners at Obafemi Awolowo University. A descriptive survey research design was adopted. </w:t>
      </w:r>
      <w:r w:rsidR="00816AF1" w:rsidRPr="007947A3">
        <w:rPr>
          <w:i/>
          <w:iCs/>
          <w:lang w:val="en-NG" w:eastAsia="en-NG"/>
        </w:rPr>
        <w:t>The population comprised 1</w:t>
      </w:r>
      <w:r w:rsidR="00816AF1" w:rsidRPr="007947A3">
        <w:rPr>
          <w:i/>
          <w:iCs/>
          <w:lang w:eastAsia="en-NG"/>
        </w:rPr>
        <w:t>61</w:t>
      </w:r>
      <w:r w:rsidR="00816AF1" w:rsidRPr="007947A3">
        <w:rPr>
          <w:i/>
          <w:iCs/>
          <w:lang w:val="en-NG" w:eastAsia="en-NG"/>
        </w:rPr>
        <w:t xml:space="preserve"> adult learners participating in capacity-building programmes in</w:t>
      </w:r>
      <w:r w:rsidR="00816AF1" w:rsidRPr="007947A3">
        <w:rPr>
          <w:i/>
          <w:iCs/>
          <w:lang w:eastAsia="en-NG"/>
        </w:rPr>
        <w:t xml:space="preserve"> the Institute of Education</w:t>
      </w:r>
      <w:r w:rsidR="00816AF1" w:rsidRPr="007947A3">
        <w:rPr>
          <w:i/>
          <w:iCs/>
          <w:lang w:val="en-NG" w:eastAsia="en-NG"/>
        </w:rPr>
        <w:t xml:space="preserve"> </w:t>
      </w:r>
      <w:r w:rsidR="00816AF1" w:rsidRPr="007947A3">
        <w:rPr>
          <w:i/>
          <w:iCs/>
          <w:lang w:eastAsia="en-NG"/>
        </w:rPr>
        <w:t xml:space="preserve">of </w:t>
      </w:r>
      <w:r w:rsidR="00816AF1" w:rsidRPr="007947A3">
        <w:rPr>
          <w:i/>
          <w:iCs/>
          <w:lang w:val="en-NG" w:eastAsia="en-NG"/>
        </w:rPr>
        <w:t>the university</w:t>
      </w:r>
      <w:r w:rsidR="00816AF1" w:rsidRPr="007947A3">
        <w:rPr>
          <w:i/>
          <w:iCs/>
          <w:lang w:eastAsia="en-NG"/>
        </w:rPr>
        <w:t>, enumerative (</w:t>
      </w:r>
      <w:r w:rsidR="00816AF1" w:rsidRPr="007947A3">
        <w:rPr>
          <w:i/>
          <w:iCs/>
          <w:lang w:val="en-NG" w:eastAsia="en-NG"/>
        </w:rPr>
        <w:t>census</w:t>
      </w:r>
      <w:r w:rsidR="00816AF1" w:rsidRPr="007947A3">
        <w:rPr>
          <w:i/>
          <w:iCs/>
          <w:lang w:eastAsia="en-NG"/>
        </w:rPr>
        <w:t>)</w:t>
      </w:r>
      <w:r w:rsidR="00816AF1" w:rsidRPr="007947A3">
        <w:rPr>
          <w:i/>
          <w:iCs/>
          <w:lang w:val="en-NG" w:eastAsia="en-NG"/>
        </w:rPr>
        <w:t xml:space="preserve"> approach was employed, whereby all members of the population were included in the study. A total of 1</w:t>
      </w:r>
      <w:r w:rsidR="00816AF1" w:rsidRPr="007947A3">
        <w:rPr>
          <w:i/>
          <w:iCs/>
          <w:lang w:eastAsia="en-NG"/>
        </w:rPr>
        <w:t>61</w:t>
      </w:r>
      <w:r w:rsidR="00816AF1" w:rsidRPr="007947A3">
        <w:rPr>
          <w:i/>
          <w:iCs/>
          <w:lang w:val="en-NG" w:eastAsia="en-NG"/>
        </w:rPr>
        <w:t xml:space="preserve"> questionnaires were administered, of which </w:t>
      </w:r>
      <w:r w:rsidR="00816AF1" w:rsidRPr="007947A3">
        <w:rPr>
          <w:i/>
          <w:iCs/>
          <w:lang w:eastAsia="en-NG"/>
        </w:rPr>
        <w:t>149</w:t>
      </w:r>
      <w:r w:rsidR="00816AF1" w:rsidRPr="007947A3">
        <w:rPr>
          <w:i/>
          <w:iCs/>
          <w:lang w:val="en-NG" w:eastAsia="en-NG"/>
        </w:rPr>
        <w:t xml:space="preserve"> were duly completed and returned, yielding a response rate of </w:t>
      </w:r>
      <w:r w:rsidR="004540C6" w:rsidRPr="007947A3">
        <w:rPr>
          <w:i/>
          <w:iCs/>
          <w:lang w:eastAsia="en-NG"/>
        </w:rPr>
        <w:t>92.55</w:t>
      </w:r>
      <w:r w:rsidR="00816AF1" w:rsidRPr="007947A3">
        <w:rPr>
          <w:i/>
          <w:iCs/>
          <w:lang w:val="en-NG" w:eastAsia="en-NG"/>
        </w:rPr>
        <w:t>%. Data were analysed using descriptive statistics, including frequencies, percentages</w:t>
      </w:r>
      <w:r w:rsidR="007947A3" w:rsidRPr="007947A3">
        <w:rPr>
          <w:i/>
          <w:iCs/>
          <w:lang w:eastAsia="en-NG"/>
        </w:rPr>
        <w:t>,</w:t>
      </w:r>
      <w:r w:rsidR="00816AF1" w:rsidRPr="007947A3">
        <w:rPr>
          <w:i/>
          <w:iCs/>
          <w:lang w:val="en-NG" w:eastAsia="en-NG"/>
        </w:rPr>
        <w:t xml:space="preserve"> mean scores</w:t>
      </w:r>
      <w:r w:rsidR="007947A3" w:rsidRPr="007947A3">
        <w:rPr>
          <w:i/>
          <w:iCs/>
          <w:lang w:eastAsia="en-NG"/>
        </w:rPr>
        <w:t xml:space="preserve"> and standard deviation</w:t>
      </w:r>
      <w:r w:rsidR="00816AF1" w:rsidRPr="007947A3">
        <w:rPr>
          <w:i/>
          <w:iCs/>
          <w:lang w:val="en-NG" w:eastAsia="en-NG"/>
        </w:rPr>
        <w:t>.</w:t>
      </w:r>
      <w:r w:rsidR="007947A3" w:rsidRPr="007947A3">
        <w:rPr>
          <w:i/>
          <w:iCs/>
          <w:lang w:eastAsia="en-NG"/>
        </w:rPr>
        <w:t xml:space="preserve"> </w:t>
      </w:r>
      <w:r w:rsidRPr="007947A3">
        <w:rPr>
          <w:i/>
          <w:iCs/>
          <w:lang w:val="en-NG" w:eastAsia="en-NG"/>
        </w:rPr>
        <w:t>Findings revealed that adult capacity-building programmes are generally available, particularly in areas such as continuing education, professional certification and vocational training. Participation in these programmes was found to be moderately high</w:t>
      </w:r>
      <w:r w:rsidR="0016396F">
        <w:rPr>
          <w:i/>
          <w:iCs/>
          <w:lang w:eastAsia="en-NG"/>
        </w:rPr>
        <w:t>. T</w:t>
      </w:r>
      <w:r w:rsidRPr="007947A3">
        <w:rPr>
          <w:i/>
          <w:iCs/>
          <w:lang w:val="en-NG" w:eastAsia="en-NG"/>
        </w:rPr>
        <w:t>he study further showed that the programmes significantly enhance learners’ knowledge and skills in conflict resolution, especially in communication, mediation, problem-solving and emotional intelligence.</w:t>
      </w:r>
      <w:r w:rsidR="0022140E" w:rsidRPr="007947A3">
        <w:rPr>
          <w:i/>
          <w:iCs/>
          <w:lang w:eastAsia="en-NG"/>
        </w:rPr>
        <w:t xml:space="preserve"> </w:t>
      </w:r>
      <w:r w:rsidRPr="007947A3">
        <w:rPr>
          <w:i/>
          <w:iCs/>
          <w:lang w:val="en-NG" w:eastAsia="en-NG"/>
        </w:rPr>
        <w:t>However, participation in leadership development, financial literacy, volunteerism and entrepreneurial activities was relatively low. The study also identified several challenges affecting participation, including lack of motivation, time constraints, financial difficulties, poor internet connectivity and inadequate institutional support.</w:t>
      </w:r>
      <w:r w:rsidR="0022140E" w:rsidRPr="007947A3">
        <w:rPr>
          <w:i/>
          <w:iCs/>
          <w:lang w:eastAsia="en-NG"/>
        </w:rPr>
        <w:t xml:space="preserve"> </w:t>
      </w:r>
      <w:r w:rsidRPr="007947A3">
        <w:rPr>
          <w:i/>
          <w:iCs/>
          <w:lang w:val="en-NG" w:eastAsia="en-NG"/>
        </w:rPr>
        <w:t>The study concluded that adult capacity-building programmes have a positive impact on both conflict resolution and community development among adult learners, although their effectiveness is limited by several structural and personal barriers. The study recommended improved programme diversity, flexible scheduling, enhanced funding support and strengthened institutional frameworks to maximize the benefits of adult capacity-building programmes.</w:t>
      </w:r>
    </w:p>
    <w:p w14:paraId="79B2275F" w14:textId="13F7014B" w:rsidR="00EA3083" w:rsidRDefault="00EA3083">
      <w:pPr>
        <w:rPr>
          <w:b/>
        </w:rPr>
      </w:pPr>
      <w:r>
        <w:rPr>
          <w:b/>
        </w:rPr>
        <w:lastRenderedPageBreak/>
        <w:t>Introduction</w:t>
      </w:r>
    </w:p>
    <w:p w14:paraId="33E3723C" w14:textId="7241C54E" w:rsidR="00635C5A" w:rsidRDefault="00EA3083" w:rsidP="00635C5A">
      <w:pPr>
        <w:spacing w:before="100" w:beforeAutospacing="1" w:after="100" w:afterAutospacing="1" w:line="360" w:lineRule="auto"/>
        <w:jc w:val="both"/>
      </w:pPr>
      <w:r w:rsidRPr="00EA3083">
        <w:t>Adult capacity-building programmes play a vital role in equipping individuals wit</w:t>
      </w:r>
      <w:r w:rsidR="00664412">
        <w:t>h the knowledge, skills, values</w:t>
      </w:r>
      <w:r w:rsidRPr="00EA3083">
        <w:t xml:space="preserve"> and attitudes required to function effectively within society and to contribute meaningfully to community development. </w:t>
      </w:r>
      <w:r w:rsidR="00664412">
        <w:t xml:space="preserve">However, </w:t>
      </w:r>
      <w:r w:rsidR="00635C5A">
        <w:t>i</w:t>
      </w:r>
      <w:r w:rsidR="00635C5A" w:rsidRPr="00EA3083">
        <w:t>n contemporary societies</w:t>
      </w:r>
      <w:r w:rsidR="003F4CC7">
        <w:t xml:space="preserve"> </w:t>
      </w:r>
      <w:r w:rsidR="00635C5A">
        <w:t xml:space="preserve">globally, adult capacity-building programmes are increasingly recognized as essential tools for promoting conflict resolution, peacebuilding, social inclusion, and sustainable community development. Recent studies have shown that adult education equips learners with communication, leadership, negotiation, and problem-solving skills necessary for peaceful coexistence and community transformation. According to </w:t>
      </w:r>
      <w:r w:rsidR="00635C5A">
        <w:rPr>
          <w:rStyle w:val="whitespace-normal"/>
        </w:rPr>
        <w:t>Biney</w:t>
      </w:r>
      <w:r w:rsidR="00635C5A">
        <w:t xml:space="preserve"> (2024), adult education creates awareness among community members, promotes participation in development projects, and strengthens social networks that sustain community growth and cooperation.</w:t>
      </w:r>
    </w:p>
    <w:p w14:paraId="66EA323F" w14:textId="77777777" w:rsidR="0015514B" w:rsidRPr="00EA3083" w:rsidRDefault="00F1046A" w:rsidP="0015514B">
      <w:pPr>
        <w:spacing w:before="100" w:beforeAutospacing="1" w:after="100" w:afterAutospacing="1" w:line="360" w:lineRule="auto"/>
        <w:jc w:val="both"/>
      </w:pPr>
      <w:r>
        <w:t xml:space="preserve">In </w:t>
      </w:r>
      <w:r w:rsidR="0015514B">
        <w:t>Africa, particularly</w:t>
      </w:r>
      <w:r w:rsidRPr="00EA3083">
        <w:t xml:space="preserve"> in developing countries such as </w:t>
      </w:r>
      <w:r>
        <w:t>Nigeria</w:t>
      </w:r>
      <w:r w:rsidR="0015514B">
        <w:t xml:space="preserve">, </w:t>
      </w:r>
      <w:r>
        <w:t xml:space="preserve">adult education has continued to gain attention as a strategy for addressing poverty, insecurity, unemployment and social instability. Udegbulem, </w:t>
      </w:r>
      <w:r>
        <w:rPr>
          <w:rStyle w:val="whitespace-normal"/>
        </w:rPr>
        <w:t>Samuel-Ihemejeh</w:t>
      </w:r>
      <w:r>
        <w:t xml:space="preserve">, and </w:t>
      </w:r>
      <w:r>
        <w:rPr>
          <w:rStyle w:val="whitespace-normal"/>
        </w:rPr>
        <w:t>Hanachor</w:t>
      </w:r>
      <w:r>
        <w:t xml:space="preserve"> (2026) noted that adult education programmes such as peace education, vocational training, environmental literacy, financial literacy, and digital literacy significantly contribute to sustainable community development in Nigeria. The authors stressed that these programmes empower adults with practical skills needed to overcome social and economic challenges within communities</w:t>
      </w:r>
      <w:r w:rsidR="0015514B">
        <w:t xml:space="preserve">. </w:t>
      </w:r>
      <w:r w:rsidR="0015514B" w:rsidRPr="00EA3083">
        <w:t>Adult education is therefore no longer viewed merely as literacy acquisition but as a lifelong learning process that strengthens human ca</w:t>
      </w:r>
      <w:r w:rsidR="0015514B">
        <w:t>pital, promotes social cohesion</w:t>
      </w:r>
      <w:r w:rsidR="0015514B" w:rsidRPr="00EA3083">
        <w:t xml:space="preserve"> and enhances sustainable development (Obiozor, 2019).</w:t>
      </w:r>
    </w:p>
    <w:p w14:paraId="2C7B1F66" w14:textId="780F4F64" w:rsidR="0011013C" w:rsidRPr="00EA3083" w:rsidRDefault="0015514B" w:rsidP="00193FDB">
      <w:pPr>
        <w:spacing w:before="100" w:beforeAutospacing="1" w:after="100" w:afterAutospacing="1" w:line="360" w:lineRule="auto"/>
        <w:jc w:val="both"/>
      </w:pPr>
      <w:r>
        <w:t xml:space="preserve">Also, </w:t>
      </w:r>
      <w:r w:rsidR="00E00F45">
        <w:t>i</w:t>
      </w:r>
      <w:r w:rsidR="00EA3083" w:rsidRPr="00EA3083">
        <w:t>n Nigeria, communal conflicts, ethnic tensions, religious mi</w:t>
      </w:r>
      <w:r w:rsidR="002B7FA6">
        <w:t xml:space="preserve">sunderstandings, land disputes </w:t>
      </w:r>
      <w:r w:rsidR="00EA3083" w:rsidRPr="00EA3083">
        <w:t xml:space="preserve">and youth restiveness have continued to undermine social stability and developmental efforts. These conflicts often stem from poor communication, limited civic awareness, low educational attainment, and weak conflict management skills among community members. Scholars have emphasized that adult learning provides an effective platform for addressing these challenges by fostering critical thinking, dialogue, tolerance, and problem-solving skills among adults (Abubakar, Musyoka-Kamere &amp; Nyambura, 2022). Through structured capacity-building programmes, adult learners are exposed to democratic values, negotiation techniques, civic </w:t>
      </w:r>
      <w:r w:rsidR="00EA3083" w:rsidRPr="00EA3083">
        <w:lastRenderedPageBreak/>
        <w:t>responsibilities, and peaceful coexistence strategies that enable them to resolve disputes</w:t>
      </w:r>
      <w:r w:rsidR="0011013C">
        <w:t xml:space="preserve"> </w:t>
      </w:r>
      <w:r w:rsidR="00EA3083" w:rsidRPr="00EA3083">
        <w:t>constructively and prevent the escalation of conflicts in their communities.</w:t>
      </w:r>
    </w:p>
    <w:p w14:paraId="0A70661F" w14:textId="77777777" w:rsidR="00EA3083" w:rsidRPr="00EA3083" w:rsidRDefault="0011013C" w:rsidP="00193FDB">
      <w:pPr>
        <w:spacing w:before="100" w:beforeAutospacing="1" w:after="100" w:afterAutospacing="1" w:line="360" w:lineRule="auto"/>
        <w:jc w:val="both"/>
      </w:pPr>
      <w:r>
        <w:t>However, c</w:t>
      </w:r>
      <w:r w:rsidR="00EA3083" w:rsidRPr="00EA3083">
        <w:t>apacity-building programmes in adult education typically include training in leadership, communication, vocational skills, entrepreneurship, civic education, and peace and conflict resolution. These programmes are designed to empower adults not only economically but also socially and politically. According to Uzoagu (2023), adult education contributes significantly to community sustainability by improving individuals’ ability to collaborate, mobilize resources, and participate in collective development initiatives. When adults acquire practical skills and social awareness through training, they are better positioned to contribute to poverty reduction, social inclusion, and community problem-solving.</w:t>
      </w:r>
    </w:p>
    <w:p w14:paraId="150A737A" w14:textId="77777777" w:rsidR="00EA3083" w:rsidRPr="00EA3083" w:rsidRDefault="00EA3083" w:rsidP="00193FDB">
      <w:pPr>
        <w:spacing w:before="100" w:beforeAutospacing="1" w:after="100" w:afterAutospacing="1" w:line="360" w:lineRule="auto"/>
        <w:jc w:val="both"/>
      </w:pPr>
      <w:r w:rsidRPr="00EA3083">
        <w:t>Furthermore, adult capacity-building programmes enhance community development by promoting active citizen</w:t>
      </w:r>
      <w:r w:rsidR="007508F6">
        <w:t>ship and social responsibility. Therefore, c</w:t>
      </w:r>
      <w:r w:rsidRPr="00EA3083">
        <w:t>ommunity development thrives when individuals are able to engage in participator</w:t>
      </w:r>
      <w:r w:rsidR="007508F6">
        <w:t>y decision-making, volunteerism</w:t>
      </w:r>
      <w:r w:rsidRPr="00EA3083">
        <w:t xml:space="preserve"> and collective action. </w:t>
      </w:r>
      <w:r w:rsidR="007508F6">
        <w:t xml:space="preserve">According to </w:t>
      </w:r>
      <w:r w:rsidRPr="00EA3083">
        <w:t xml:space="preserve">Obiozor (2019) </w:t>
      </w:r>
      <w:r w:rsidR="007508F6">
        <w:t xml:space="preserve">who </w:t>
      </w:r>
      <w:r w:rsidRPr="00EA3083">
        <w:t>notes that adult education empowers community members to understand their rights and responsibilities, comm</w:t>
      </w:r>
      <w:r w:rsidR="007508F6">
        <w:t>unicate effectively with others</w:t>
      </w:r>
      <w:r w:rsidRPr="00EA3083">
        <w:t xml:space="preserve"> and contribute to peace-building and development initiatives. This is particularly important in multicultural and pluralistic societies like Nigeria, where diverse groups must learn to coexist and cooperate for shared progress.</w:t>
      </w:r>
    </w:p>
    <w:p w14:paraId="4CFCDC59" w14:textId="77777777" w:rsidR="00EA3083" w:rsidRPr="00EA3083" w:rsidRDefault="007508F6" w:rsidP="00193FDB">
      <w:pPr>
        <w:spacing w:before="100" w:beforeAutospacing="1" w:after="100" w:afterAutospacing="1" w:line="360" w:lineRule="auto"/>
        <w:jc w:val="both"/>
      </w:pPr>
      <w:r>
        <w:t>Particularly, w</w:t>
      </w:r>
      <w:r w:rsidR="00EA3083" w:rsidRPr="00EA3083">
        <w:t>ithin the university environment, adult learn</w:t>
      </w:r>
      <w:r>
        <w:t xml:space="preserve">ers, </w:t>
      </w:r>
      <w:r w:rsidR="00EA3083" w:rsidRPr="00EA3083">
        <w:t>many of whom are working profession</w:t>
      </w:r>
      <w:r>
        <w:t xml:space="preserve">als, community leaders, parents and mature students, </w:t>
      </w:r>
      <w:r w:rsidR="00EA3083" w:rsidRPr="00EA3083">
        <w:t xml:space="preserve">constitute a strategic group for social transformation. Universities such as Obafemi Awolowo University (OAU), Ile-Ife, offer various adult and continuing education programmes aimed at enhancing professional </w:t>
      </w:r>
      <w:r>
        <w:t>competence, leadership capacity</w:t>
      </w:r>
      <w:r w:rsidR="00EA3083" w:rsidRPr="00EA3083">
        <w:t xml:space="preserve"> and social awareness. These programmes provide adult learners with opportunities </w:t>
      </w:r>
      <w:r>
        <w:t xml:space="preserve">to interact, share experiences </w:t>
      </w:r>
      <w:r w:rsidR="00EA3083" w:rsidRPr="00EA3083">
        <w:t>and develop skills that extend beyond academic achievement to include conflict management and community engagement. Abubakar et al. (2022) argue that when peace and conflict resolution education is integrated into adult learning, participants become more e</w:t>
      </w:r>
      <w:r>
        <w:t>ffective mediators, negotiators</w:t>
      </w:r>
      <w:r w:rsidR="00EA3083" w:rsidRPr="00EA3083">
        <w:t xml:space="preserve"> and advocates of peaceful coexistence in their communities.</w:t>
      </w:r>
    </w:p>
    <w:p w14:paraId="1B9E11AF" w14:textId="77777777" w:rsidR="00EA3083" w:rsidRPr="00EA3083" w:rsidRDefault="00EA3083" w:rsidP="00193FDB">
      <w:pPr>
        <w:spacing w:before="100" w:beforeAutospacing="1" w:after="100" w:afterAutospacing="1" w:line="360" w:lineRule="auto"/>
        <w:jc w:val="both"/>
      </w:pPr>
      <w:r w:rsidRPr="00EA3083">
        <w:lastRenderedPageBreak/>
        <w:t>Despite the acknowledged importance of adult capacity-building programmes, there is limited empirical evidence on how these programmes specifically influence conflict resolution and community development outcomes among adult learners in Nigerian universities. Most existing studies focus broadly on adult education and development, with little attention given to the combined effects of capacity-building on social harmony and grassroots development. This gap is particularly evident in institutional contexts such as Obafemi Awolowo University, where adult learners play active roles both within and outside the university environment.</w:t>
      </w:r>
    </w:p>
    <w:p w14:paraId="1A1927C4" w14:textId="77777777" w:rsidR="00EA3083" w:rsidRDefault="00EA3083" w:rsidP="00193FDB">
      <w:pPr>
        <w:spacing w:before="100" w:beforeAutospacing="1" w:after="100" w:afterAutospacing="1" w:line="360" w:lineRule="auto"/>
        <w:jc w:val="both"/>
      </w:pPr>
      <w:r w:rsidRPr="00EA3083">
        <w:t>Therefore, this study seeks to examine the impact of adult capacity-building programmes on conflict resolution and community development among adult learners at Obafemi Awolowo University, Ile-Ife, Osun State, Nigeria. By exploring how participation in these programmes influences learners’ abilities to m</w:t>
      </w:r>
      <w:r w:rsidR="007508F6">
        <w:t xml:space="preserve">anage conflicts, promote peace </w:t>
      </w:r>
      <w:r w:rsidRPr="00EA3083">
        <w:t>and contribute to community development, the study aims to generate empirical evidence that will inform educat</w:t>
      </w:r>
      <w:r w:rsidR="007508F6">
        <w:t xml:space="preserve">ional policy, programme design </w:t>
      </w:r>
      <w:r w:rsidRPr="00EA3083">
        <w:t>and community</w:t>
      </w:r>
      <w:r w:rsidR="007508F6">
        <w:t>-based interventions. Hence</w:t>
      </w:r>
      <w:r w:rsidRPr="00EA3083">
        <w:t>, understanding these relationships will help strengthen the role of adult education as a catalyst for peaceful coexistence and</w:t>
      </w:r>
      <w:r w:rsidR="007508F6">
        <w:t xml:space="preserve"> </w:t>
      </w:r>
      <w:r w:rsidRPr="00EA3083">
        <w:t>sustainable development in Nigeria.</w:t>
      </w:r>
    </w:p>
    <w:p w14:paraId="52173EBA" w14:textId="77777777" w:rsidR="00EA3083" w:rsidRDefault="00EA3083" w:rsidP="00193FDB">
      <w:pPr>
        <w:spacing w:line="360" w:lineRule="auto"/>
        <w:jc w:val="both"/>
        <w:rPr>
          <w:b/>
        </w:rPr>
      </w:pPr>
      <w:r>
        <w:rPr>
          <w:b/>
        </w:rPr>
        <w:t>Statement of the problem</w:t>
      </w:r>
    </w:p>
    <w:p w14:paraId="60CE4C12" w14:textId="77777777" w:rsidR="00EA3083" w:rsidRPr="00EA3083" w:rsidRDefault="00EA3083" w:rsidP="00193FDB">
      <w:pPr>
        <w:spacing w:before="100" w:beforeAutospacing="1" w:after="100" w:afterAutospacing="1" w:line="360" w:lineRule="auto"/>
        <w:jc w:val="both"/>
      </w:pPr>
      <w:r w:rsidRPr="00EA3083">
        <w:t xml:space="preserve">Despite the increasing availability of adult capacity-building programmes in Nigerian universities and community education centres, many communities continue to experience persistent </w:t>
      </w:r>
      <w:r w:rsidR="000B1138">
        <w:t>conflicts, social fragmentation</w:t>
      </w:r>
      <w:r w:rsidRPr="00EA3083">
        <w:t xml:space="preserve"> and slow development. Issues such as communal disputes, leadership struggles, youth restiveness, e</w:t>
      </w:r>
      <w:r w:rsidR="000B1138">
        <w:t>thnic and religious intolerance</w:t>
      </w:r>
      <w:r w:rsidRPr="00EA3083">
        <w:t xml:space="preserve"> and poor civic participation remain widespread across many parts of Nigeria, including Osun State. These challenges undermine social co</w:t>
      </w:r>
      <w:r w:rsidR="000B1138">
        <w:t xml:space="preserve">hesion, disrupt community life </w:t>
      </w:r>
      <w:r w:rsidRPr="00EA3083">
        <w:t>and weaken collective efforts toward sustainable development. Although adult education is widely regarded as a tool for empowering individuals with the skills and attitudes necessary for peaceful coexistence and community engagement, the actual impact of these programmes on conflict resolution and community development remains uncertain in many institutional contexts.</w:t>
      </w:r>
    </w:p>
    <w:p w14:paraId="4567C2D6" w14:textId="638F0E10" w:rsidR="00EA3083" w:rsidRPr="00EA3083" w:rsidRDefault="00EA3083" w:rsidP="00193FDB">
      <w:pPr>
        <w:spacing w:before="100" w:beforeAutospacing="1" w:after="100" w:afterAutospacing="1" w:line="360" w:lineRule="auto"/>
        <w:jc w:val="both"/>
      </w:pPr>
      <w:r w:rsidRPr="00EA3083">
        <w:t xml:space="preserve">At Obafemi Awolowo University (OAU), Ile-Ife, adult and continuing education programmes are designed to enhance the knowledge, leadership skills, and social awareness of adult learners who </w:t>
      </w:r>
      <w:r w:rsidRPr="00EA3083">
        <w:lastRenderedPageBreak/>
        <w:t>often play important roles as community leaders, parents, professionals, and grassroots mobilizers. However, there is limited empirical evidence to demonstrate whether participation in these capacity-building programmes has translated into improved abilities to manage conflicts, promote peace, and contribute meaningfully to community development initiatives within and outside the university environment. Without such evidence, it is difficult to determine whether these programmes are effectively addressing the real social challenges faced by adult learners and their communities.</w:t>
      </w:r>
      <w:r w:rsidR="000734E4">
        <w:t xml:space="preserve"> </w:t>
      </w:r>
      <w:r w:rsidRPr="00EA3083">
        <w:t>Furthermore, while previous studies have examined adult education in relation to literacy, employment, and general empowerment, few have specifically focused on the combined influence of capacity-building programmes on conflict resolution and community development. This gap in the literature means that policy makers, programme planners, and university administrators lack adequate data to guide the design, implementation, and evaluation of adult education programmes that are aimed at promoting social harmony and sustainable community growth. As a result, programmes may be implemented without a clear understanding of their strengths, weaknesses, or long-term societal impact.</w:t>
      </w:r>
    </w:p>
    <w:p w14:paraId="38AA72EB" w14:textId="77777777" w:rsidR="007F6848" w:rsidRDefault="00EA3083" w:rsidP="00193FDB">
      <w:pPr>
        <w:spacing w:before="100" w:beforeAutospacing="1" w:after="100" w:afterAutospacing="1" w:line="360" w:lineRule="auto"/>
        <w:jc w:val="both"/>
      </w:pPr>
      <w:r w:rsidRPr="00EA3083">
        <w:t>Therefore, the problem this study seeks to address is the lack of empirical evidence on the extent to which adult capacity-building programmes at Obafemi Awolowo University influence adult learners’ ability to resolve conflicts and contribute to community development. Addressing this problem is essential for improving the effectiveness of adult education programmes and for strengthening their role as instruments for peace building and sustainable development in Nigeria.</w:t>
      </w:r>
    </w:p>
    <w:p w14:paraId="7E077FC7" w14:textId="77777777" w:rsidR="00EA3083" w:rsidRPr="007F6848" w:rsidRDefault="00EA3083" w:rsidP="00193FDB">
      <w:pPr>
        <w:spacing w:before="100" w:beforeAutospacing="1" w:after="100" w:afterAutospacing="1" w:line="360" w:lineRule="auto"/>
        <w:jc w:val="both"/>
      </w:pPr>
      <w:r w:rsidRPr="007F6848">
        <w:rPr>
          <w:rStyle w:val="Strong"/>
          <w:bCs w:val="0"/>
        </w:rPr>
        <w:t>Objectives of the Study</w:t>
      </w:r>
    </w:p>
    <w:p w14:paraId="00BDF068" w14:textId="77777777" w:rsidR="00EA3083" w:rsidRDefault="00EA3083" w:rsidP="00193FDB">
      <w:pPr>
        <w:pStyle w:val="NormalWeb"/>
        <w:spacing w:line="360" w:lineRule="auto"/>
        <w:jc w:val="both"/>
      </w:pPr>
      <w:r>
        <w:t>The specific objectives of the study are to:</w:t>
      </w:r>
    </w:p>
    <w:p w14:paraId="11BC63AE" w14:textId="77777777" w:rsidR="00EA3083" w:rsidRDefault="00EA3083" w:rsidP="00193FDB">
      <w:pPr>
        <w:pStyle w:val="NormalWeb"/>
        <w:numPr>
          <w:ilvl w:val="0"/>
          <w:numId w:val="1"/>
        </w:numPr>
        <w:spacing w:line="360" w:lineRule="auto"/>
        <w:jc w:val="both"/>
      </w:pPr>
      <w:r>
        <w:t>assess the types of adult capacity-building programmes available to adult learners at Obafemi Awolowo University;</w:t>
      </w:r>
    </w:p>
    <w:p w14:paraId="0348CFE6" w14:textId="77777777" w:rsidR="00EA3083" w:rsidRDefault="00EA3083" w:rsidP="00193FDB">
      <w:pPr>
        <w:pStyle w:val="NormalWeb"/>
        <w:numPr>
          <w:ilvl w:val="0"/>
          <w:numId w:val="1"/>
        </w:numPr>
        <w:spacing w:line="360" w:lineRule="auto"/>
        <w:jc w:val="both"/>
      </w:pPr>
      <w:r>
        <w:t xml:space="preserve">determine the level of participation in capacity-building programmes </w:t>
      </w:r>
      <w:r w:rsidR="007F6848">
        <w:t xml:space="preserve">of adult learners </w:t>
      </w:r>
      <w:r>
        <w:t>at Obafemi Awolowo University;</w:t>
      </w:r>
    </w:p>
    <w:p w14:paraId="1B5C66B0" w14:textId="19997874" w:rsidR="00EA3083" w:rsidRDefault="00EA3083" w:rsidP="00193FDB">
      <w:pPr>
        <w:pStyle w:val="NormalWeb"/>
        <w:numPr>
          <w:ilvl w:val="0"/>
          <w:numId w:val="1"/>
        </w:numPr>
        <w:spacing w:line="360" w:lineRule="auto"/>
        <w:jc w:val="both"/>
      </w:pPr>
      <w:r>
        <w:t>examine the extent to which adult capacity-building programmes enhanc</w:t>
      </w:r>
      <w:r w:rsidR="00FA5CB6">
        <w:t>ing</w:t>
      </w:r>
      <w:r>
        <w:t xml:space="preserve"> adult learners’ knowledge and skills in conflict resolution</w:t>
      </w:r>
      <w:r w:rsidR="007F6848">
        <w:t xml:space="preserve"> at Obafemi Awolowo University;</w:t>
      </w:r>
    </w:p>
    <w:p w14:paraId="42DC2BA5" w14:textId="77777777" w:rsidR="00EA3083" w:rsidRDefault="00EA3083" w:rsidP="00193FDB">
      <w:pPr>
        <w:pStyle w:val="NormalWeb"/>
        <w:numPr>
          <w:ilvl w:val="0"/>
          <w:numId w:val="1"/>
        </w:numPr>
        <w:spacing w:line="360" w:lineRule="auto"/>
        <w:jc w:val="both"/>
      </w:pPr>
      <w:r>
        <w:lastRenderedPageBreak/>
        <w:t>evaluate the influence of adult capacity-building programmes on adult learners’ attitudes toward peaceful coexistence and tolerance</w:t>
      </w:r>
      <w:r w:rsidR="007F6848">
        <w:t xml:space="preserve"> at Obafemi Awolowo University;</w:t>
      </w:r>
    </w:p>
    <w:p w14:paraId="13832688" w14:textId="77777777" w:rsidR="00EA3083" w:rsidRDefault="00EA3083" w:rsidP="00193FDB">
      <w:pPr>
        <w:pStyle w:val="NormalWeb"/>
        <w:numPr>
          <w:ilvl w:val="0"/>
          <w:numId w:val="1"/>
        </w:numPr>
        <w:spacing w:line="360" w:lineRule="auto"/>
        <w:jc w:val="both"/>
      </w:pPr>
      <w:r>
        <w:t>investigate the contribution of adult capacity-building programmes to community development among adult learners at Obafemi Awolowo University;</w:t>
      </w:r>
      <w:r w:rsidR="007F6848">
        <w:t xml:space="preserve"> and</w:t>
      </w:r>
    </w:p>
    <w:p w14:paraId="2969F970" w14:textId="77777777" w:rsidR="00066DB2" w:rsidRDefault="00EA3083" w:rsidP="00193FDB">
      <w:pPr>
        <w:pStyle w:val="NormalWeb"/>
        <w:numPr>
          <w:ilvl w:val="0"/>
          <w:numId w:val="1"/>
        </w:numPr>
        <w:spacing w:line="360" w:lineRule="auto"/>
        <w:jc w:val="both"/>
      </w:pPr>
      <w:r>
        <w:t>identify challenges faced by adult learners in participating in capacity-building programmes for conflict resolution and community development</w:t>
      </w:r>
      <w:r w:rsidR="007F6848">
        <w:t xml:space="preserve"> at Obafemi Awolowo University. </w:t>
      </w:r>
    </w:p>
    <w:p w14:paraId="619302D8" w14:textId="77777777" w:rsidR="00E63AEE" w:rsidRPr="007F6848" w:rsidRDefault="00E63AEE" w:rsidP="00193FDB">
      <w:pPr>
        <w:pStyle w:val="NormalWeb"/>
        <w:spacing w:line="360" w:lineRule="auto"/>
        <w:jc w:val="both"/>
        <w:rPr>
          <w:b/>
        </w:rPr>
      </w:pPr>
      <w:r w:rsidRPr="007F6848">
        <w:rPr>
          <w:b/>
        </w:rPr>
        <w:t>Research questions</w:t>
      </w:r>
    </w:p>
    <w:p w14:paraId="5FE10B68" w14:textId="77777777" w:rsidR="00A56FD2" w:rsidRDefault="00A56FD2" w:rsidP="00193FDB">
      <w:pPr>
        <w:pStyle w:val="NormalWeb"/>
        <w:numPr>
          <w:ilvl w:val="0"/>
          <w:numId w:val="5"/>
        </w:numPr>
        <w:spacing w:line="360" w:lineRule="auto"/>
        <w:jc w:val="both"/>
      </w:pPr>
      <w:r>
        <w:t>What are the types of adult capacity-building programmes available to adult learners at Obafemi Awolowo University?</w:t>
      </w:r>
    </w:p>
    <w:p w14:paraId="577F870C" w14:textId="77777777" w:rsidR="00A56FD2" w:rsidRDefault="00A56FD2" w:rsidP="00193FDB">
      <w:pPr>
        <w:pStyle w:val="NormalWeb"/>
        <w:numPr>
          <w:ilvl w:val="0"/>
          <w:numId w:val="5"/>
        </w:numPr>
        <w:spacing w:line="360" w:lineRule="auto"/>
        <w:jc w:val="both"/>
      </w:pPr>
      <w:r>
        <w:t xml:space="preserve">What </w:t>
      </w:r>
      <w:r w:rsidR="002A0921">
        <w:t xml:space="preserve">is the </w:t>
      </w:r>
      <w:r>
        <w:t>level of participation in capacity-building programmes of adult learners at Obafemi Awolowo University?</w:t>
      </w:r>
    </w:p>
    <w:p w14:paraId="526CB146" w14:textId="51DC695F" w:rsidR="00A56FD2" w:rsidRDefault="00A56FD2" w:rsidP="00193FDB">
      <w:pPr>
        <w:pStyle w:val="NormalWeb"/>
        <w:numPr>
          <w:ilvl w:val="0"/>
          <w:numId w:val="5"/>
        </w:numPr>
        <w:spacing w:line="360" w:lineRule="auto"/>
        <w:jc w:val="both"/>
      </w:pPr>
      <w:r>
        <w:t xml:space="preserve">To what extent is adult capacity-building programmes </w:t>
      </w:r>
      <w:r w:rsidR="00FA5CB6">
        <w:t>enhancing</w:t>
      </w:r>
      <w:r>
        <w:t xml:space="preserve"> adult learners’ knowledge and skills in conflict resolution at Obafemi Awolowo University?</w:t>
      </w:r>
    </w:p>
    <w:p w14:paraId="2ED9A312" w14:textId="77777777" w:rsidR="00A56FD2" w:rsidRDefault="00A56FD2" w:rsidP="00193FDB">
      <w:pPr>
        <w:pStyle w:val="NormalWeb"/>
        <w:numPr>
          <w:ilvl w:val="0"/>
          <w:numId w:val="5"/>
        </w:numPr>
        <w:spacing w:line="360" w:lineRule="auto"/>
        <w:jc w:val="both"/>
      </w:pPr>
      <w:r>
        <w:t>What influence are the adult capacity-building programmes on adult learners’ attitudes toward peaceful coexistence and toleranc</w:t>
      </w:r>
      <w:r w:rsidR="00193FDB">
        <w:t>e at Obafemi Awolowo University?</w:t>
      </w:r>
    </w:p>
    <w:p w14:paraId="6E51BECE" w14:textId="77777777" w:rsidR="00A56FD2" w:rsidRDefault="00A56FD2" w:rsidP="00193FDB">
      <w:pPr>
        <w:pStyle w:val="NormalWeb"/>
        <w:numPr>
          <w:ilvl w:val="0"/>
          <w:numId w:val="5"/>
        </w:numPr>
        <w:spacing w:line="360" w:lineRule="auto"/>
        <w:jc w:val="both"/>
      </w:pPr>
      <w:r>
        <w:t>What is the contribution of adult capacity-building programmes to community development among adult learners at Obafemi Awolowo University?</w:t>
      </w:r>
    </w:p>
    <w:p w14:paraId="5111D9CC" w14:textId="77777777" w:rsidR="00E63AEE" w:rsidRDefault="00A56FD2" w:rsidP="00193FDB">
      <w:pPr>
        <w:pStyle w:val="NormalWeb"/>
        <w:numPr>
          <w:ilvl w:val="0"/>
          <w:numId w:val="5"/>
        </w:numPr>
        <w:spacing w:line="360" w:lineRule="auto"/>
        <w:jc w:val="both"/>
      </w:pPr>
      <w:r>
        <w:t>What are the challenges faced by adult learners in participating in capacity-building programmes for conflict resolution and community development at Obafemi Awolowo University?</w:t>
      </w:r>
    </w:p>
    <w:p w14:paraId="34DD55C8" w14:textId="77777777" w:rsidR="00E63AEE" w:rsidRPr="00EE6D82" w:rsidRDefault="00A56FD2" w:rsidP="00193FDB">
      <w:pPr>
        <w:pStyle w:val="NormalWeb"/>
        <w:jc w:val="both"/>
      </w:pPr>
      <w:r w:rsidRPr="00EE6D82">
        <w:rPr>
          <w:rStyle w:val="Strong"/>
          <w:bCs w:val="0"/>
        </w:rPr>
        <w:t>Literature review</w:t>
      </w:r>
    </w:p>
    <w:p w14:paraId="2A309800" w14:textId="77777777" w:rsidR="00E63AEE" w:rsidRDefault="00E63AEE" w:rsidP="00193FDB">
      <w:pPr>
        <w:pStyle w:val="NormalWeb"/>
        <w:spacing w:line="360" w:lineRule="auto"/>
        <w:jc w:val="both"/>
      </w:pPr>
      <w:r>
        <w:t>Adult education refers to structured learning activities designed for individuals beyond the typical age of formal schooling, aimed at improving their knowledge, skills, attitudes, and competencies to function effectively in their communities and broader society (Uzoagu, 2023). Adult capacity-building programmes are a subset of adult education that focus on empowering learners with practical, social, and cognitive skills to respond to real-world challenges such as conflict, poverty, and under-development.</w:t>
      </w:r>
      <w:r w:rsidR="00EE6D82">
        <w:t xml:space="preserve"> </w:t>
      </w:r>
      <w:r>
        <w:t xml:space="preserve">Conflict resolution involves the processes through which individuals or groups address disagreements, misunderstandings, and disputes constructively, prioritizing </w:t>
      </w:r>
      <w:r>
        <w:lastRenderedPageBreak/>
        <w:t>peaceful outcomes. Community development is a participatory process that enhances the social, economic, and political capacities of community members to improve their quality of life and achieve sustainable progress. Adult capacity-building programmes contribute to both conflict resolution and community development by equipping learners with relevant knowledge, attitudes, and skill sets.</w:t>
      </w:r>
    </w:p>
    <w:p w14:paraId="2543F046" w14:textId="77777777" w:rsidR="00F71FB7" w:rsidRDefault="00E63AEE" w:rsidP="00193FDB">
      <w:pPr>
        <w:pStyle w:val="NormalWeb"/>
        <w:spacing w:line="360" w:lineRule="auto"/>
        <w:jc w:val="both"/>
      </w:pPr>
      <w:r>
        <w:t xml:space="preserve">Scholars conceptualize adult education as a powerful instrument for </w:t>
      </w:r>
      <w:r w:rsidRPr="00193FDB">
        <w:rPr>
          <w:rStyle w:val="Emphasis"/>
          <w:i w:val="0"/>
        </w:rPr>
        <w:t>human capacity building</w:t>
      </w:r>
      <w:r w:rsidRPr="00193FDB">
        <w:rPr>
          <w:i/>
        </w:rPr>
        <w:t>,</w:t>
      </w:r>
      <w:r>
        <w:t xml:space="preserve"> social transformation, and sustainable development. Uzoagu (2023) highlights that adult education equips individuals with knowledge and competencies that enable them to address social and economic challenges effectively, thereby enhancing community sustainability. Specifically, access to adult learning enhances self-reliance, employability, civic participation, and social inclusion, which are critical for development ou</w:t>
      </w:r>
      <w:r w:rsidR="00F71FB7">
        <w:t>tcomes in Nigerian communities.</w:t>
      </w:r>
      <w:r w:rsidR="00EE6D82">
        <w:t xml:space="preserve"> </w:t>
      </w:r>
      <w:r>
        <w:t xml:space="preserve">Similarly, Teslim (2024) emphasizes that adult learning fosters </w:t>
      </w:r>
      <w:r w:rsidRPr="00193FDB">
        <w:rPr>
          <w:rStyle w:val="Emphasis"/>
          <w:i w:val="0"/>
        </w:rPr>
        <w:t>community empowerment</w:t>
      </w:r>
      <w:r>
        <w:t xml:space="preserve"> by promoting civic engagement, economic participation, and social cohesion. This body of literature underscores the transformative potential of adult education, particularly when programmes intentionally target community needs and learners’ aspirations. Extensive research has examined the role of adult education in enhancing conflict management and </w:t>
      </w:r>
      <w:r w:rsidR="00EE6D82">
        <w:t>peace building</w:t>
      </w:r>
      <w:r>
        <w:t xml:space="preserve">. Obiozor’s study in rural Abia State, Nigeria, finds that adult education contributes to conflict resolution by equipping participants with skills and attitudes that mitigate violent tendencies and promote peace, which subsequently supports rural development. </w:t>
      </w:r>
    </w:p>
    <w:p w14:paraId="3A6570B7" w14:textId="1D22912E" w:rsidR="00E63AEE" w:rsidRDefault="00E63AEE" w:rsidP="00193FDB">
      <w:pPr>
        <w:pStyle w:val="NormalWeb"/>
        <w:spacing w:line="360" w:lineRule="auto"/>
        <w:jc w:val="both"/>
      </w:pPr>
      <w:r>
        <w:t xml:space="preserve">Moreover, Abubakar, Musyoka-Kamere and Nyambura (2022) demonstrate that </w:t>
      </w:r>
      <w:r w:rsidRPr="00F71FB7">
        <w:rPr>
          <w:rStyle w:val="Emphasis"/>
          <w:i w:val="0"/>
        </w:rPr>
        <w:t>incorporating peace and conflict resolution studies</w:t>
      </w:r>
      <w:r>
        <w:t xml:space="preserve"> into adult basic literacy curricula can significantly reduce insecurity and foster non-violent dispute management among adult learners in Nigeria. Their findings show that learners exposed to peace education are more likely to adopt conflict-mitigating behaviours and embrace inter-ethnic tolerance, which has implications for social cohesion and security. </w:t>
      </w:r>
      <w:r w:rsidR="00EE6D82">
        <w:t xml:space="preserve"> </w:t>
      </w:r>
      <w:r>
        <w:t xml:space="preserve">Community-based peace education research further corroborates this position, where structured adult learning initiatives have been shown to function as </w:t>
      </w:r>
      <w:r w:rsidRPr="00EE6D82">
        <w:rPr>
          <w:rStyle w:val="Emphasis"/>
          <w:i w:val="0"/>
        </w:rPr>
        <w:t>peace</w:t>
      </w:r>
      <w:r w:rsidR="00EE6D82">
        <w:rPr>
          <w:rStyle w:val="Emphasis"/>
          <w:i w:val="0"/>
        </w:rPr>
        <w:t xml:space="preserve"> </w:t>
      </w:r>
      <w:r w:rsidRPr="00EE6D82">
        <w:rPr>
          <w:rStyle w:val="Emphasis"/>
          <w:i w:val="0"/>
        </w:rPr>
        <w:t>building tools</w:t>
      </w:r>
      <w:r>
        <w:t xml:space="preserve">, capable of reducing tensions and fostering mutual understanding among diverse groups. Abba and Haruna’s work </w:t>
      </w:r>
      <w:r w:rsidR="001D629E">
        <w:t>argues</w:t>
      </w:r>
      <w:r>
        <w:t xml:space="preserve"> that such programmes are crucial in multi-ethnic societies like Nigeria to counteract insecurity and cultivate inclusive dialogue. </w:t>
      </w:r>
    </w:p>
    <w:p w14:paraId="60A1FAAA" w14:textId="77777777" w:rsidR="00E63AEE" w:rsidRDefault="00E63AEE" w:rsidP="00193FDB">
      <w:pPr>
        <w:pStyle w:val="NormalWeb"/>
        <w:spacing w:line="360" w:lineRule="auto"/>
        <w:jc w:val="both"/>
      </w:pPr>
      <w:r>
        <w:lastRenderedPageBreak/>
        <w:t xml:space="preserve">The literature indicates a strong link between adult education and community development outcomes. Olasehinde’s (2024) research on adult education in Nigeria finds that adult learners empowered through structured educational programmes exhibit higher levels of </w:t>
      </w:r>
      <w:r>
        <w:rPr>
          <w:rStyle w:val="Emphasis"/>
        </w:rPr>
        <w:t xml:space="preserve">active </w:t>
      </w:r>
      <w:r w:rsidRPr="00EE6D82">
        <w:rPr>
          <w:rStyle w:val="Emphasis"/>
          <w:i w:val="0"/>
        </w:rPr>
        <w:t>citizenship, social inclusion, and economic participation</w:t>
      </w:r>
      <w:r>
        <w:t xml:space="preserve">. These traits positively influence community development initiatives, such as local entrepreneurship, civic activism, and collective problem-solving. Similarly, Yusuf and Shehu (2024) argue that adult literacy and education programmes are essential levers for </w:t>
      </w:r>
      <w:r w:rsidRPr="00193FDB">
        <w:rPr>
          <w:rStyle w:val="Emphasis"/>
          <w:i w:val="0"/>
        </w:rPr>
        <w:t>leveraging community development</w:t>
      </w:r>
      <w:r>
        <w:t xml:space="preserve">, especially in rural areas where adult learners often act as change agents who facilitate community transformation. Their review highlights how adult literacy extends beyond basic skills to encompass functional capacities that contribute to collective community advancement. </w:t>
      </w:r>
    </w:p>
    <w:p w14:paraId="411A31F6" w14:textId="77777777" w:rsidR="00F71FB7" w:rsidRDefault="00E63AEE" w:rsidP="00193FDB">
      <w:pPr>
        <w:pStyle w:val="NormalWeb"/>
        <w:spacing w:line="360" w:lineRule="auto"/>
        <w:jc w:val="both"/>
      </w:pPr>
      <w:r>
        <w:t xml:space="preserve">Adult education is also integral to broader community empowerment strategies. For example, Igwe and Ezechinnah (2023) demonstrate that adult education initiatives, when coupled with community development programmes, help mitigate socio-economic challenges by enabling individuals to adapt to changing environments and participate more actively in social processes. Several studies highlight the </w:t>
      </w:r>
      <w:r w:rsidRPr="00EE6D82">
        <w:rPr>
          <w:rStyle w:val="Emphasis"/>
          <w:i w:val="0"/>
        </w:rPr>
        <w:t>synergistic effects</w:t>
      </w:r>
      <w:r>
        <w:t xml:space="preserve"> of integrating conflict resolution components with community development objectives in adult capacity-building programmes. For instance, research in Rivers State shows that adult education programmes that include elements of peace education, literacy, and empowerment contribute significantly to sustainable peace and community development, particularly by sensitizing participants on the dangers of violence and the importance of active citizenship</w:t>
      </w:r>
    </w:p>
    <w:p w14:paraId="24FB7AEB" w14:textId="77777777" w:rsidR="00E63AEE" w:rsidRDefault="00E63AEE" w:rsidP="00193FDB">
      <w:pPr>
        <w:pStyle w:val="NormalWeb"/>
        <w:spacing w:line="360" w:lineRule="auto"/>
        <w:jc w:val="both"/>
      </w:pPr>
      <w:r>
        <w:t xml:space="preserve">Furthermore, studies on targeted conflict resolution training programmes demonstrate positive influences on community leadership capacity and development activities. For example, research in Bayelsa State indicates that peace/conflict resolution education enhances leaders’ capacities to foster cultural values and peaceful coexistence, reinforcing the link between capacity building, conflict management, and development outcomes in community settings. Despite a rich body of research linking adult education to peacebuilding and community development, gaps remain. Many existing studies focus broadly on adult literacy and general empowerment without explicitly exploring the </w:t>
      </w:r>
      <w:r w:rsidRPr="00F757C5">
        <w:rPr>
          <w:rStyle w:val="Strong"/>
          <w:b w:val="0"/>
        </w:rPr>
        <w:t>combined impact of capacity-building programmes on conflict resolution and community development outcomes</w:t>
      </w:r>
      <w:r>
        <w:t xml:space="preserve"> within university contexts. In particular, there is limited empirical evidence examining how structured adult programmes influence </w:t>
      </w:r>
      <w:r w:rsidRPr="00F757C5">
        <w:rPr>
          <w:rStyle w:val="Emphasis"/>
          <w:i w:val="0"/>
        </w:rPr>
        <w:t xml:space="preserve">conflict-related </w:t>
      </w:r>
      <w:r w:rsidRPr="00F757C5">
        <w:rPr>
          <w:rStyle w:val="Emphasis"/>
          <w:i w:val="0"/>
        </w:rPr>
        <w:lastRenderedPageBreak/>
        <w:t>competencies</w:t>
      </w:r>
      <w:r w:rsidRPr="00F757C5">
        <w:rPr>
          <w:i/>
        </w:rPr>
        <w:t xml:space="preserve"> </w:t>
      </w:r>
      <w:r>
        <w:t xml:space="preserve">and </w:t>
      </w:r>
      <w:r w:rsidRPr="00F757C5">
        <w:rPr>
          <w:rStyle w:val="Emphasis"/>
          <w:i w:val="0"/>
        </w:rPr>
        <w:t>community engagement behaviours</w:t>
      </w:r>
      <w:r>
        <w:t xml:space="preserve"> among adult learners in higher education settings such as Obafemi Awolowo University.</w:t>
      </w:r>
    </w:p>
    <w:p w14:paraId="5EA746F6" w14:textId="77777777" w:rsidR="00EE6D82" w:rsidRDefault="00EE6D82" w:rsidP="00193FDB">
      <w:pPr>
        <w:pStyle w:val="NormalWeb"/>
        <w:spacing w:line="360" w:lineRule="auto"/>
        <w:jc w:val="both"/>
      </w:pPr>
      <w:r>
        <w:t>Further studies have explored how adult education and capacity-building initiatives contribute to individual and community competencies. Uzoagu (2023) investigated the role of adult education as a tool for human capacity building in Nigeria and found that programmes tailored to adults’ socio-economic realities significantly enhanced learners’ problem-solving skills, decision-making abilities, and community involvement. The study concluded that adult education fosters empowerment, which is critical for sustainable community development. Similarly, Teslim (2024) noted that adult learning programmes help participants develop critical thinking, civic engagement, and social responsibility, key ingredients for community resilience and cooperative action in local development efforts. These studies demonstrate that adult education extends beyond literacy and vocational training to include cognitive and social empowerment that enhances individuals’ ability to navigate complex community issues. Despite these findings, there is limited research linking these general capacity-building outcomes to specific societal functions such as conflict management and peace building, especially in university educational contexts.</w:t>
      </w:r>
    </w:p>
    <w:p w14:paraId="525A310B" w14:textId="77777777" w:rsidR="00066DB2" w:rsidRDefault="00066DB2" w:rsidP="00066DB2">
      <w:pPr>
        <w:pStyle w:val="NormalWeb"/>
      </w:pPr>
      <w:r w:rsidRPr="00066DB2">
        <w:rPr>
          <w:rStyle w:val="Strong"/>
        </w:rPr>
        <w:t>Methodology</w:t>
      </w:r>
    </w:p>
    <w:p w14:paraId="69185F7D" w14:textId="7B641ED3" w:rsidR="00193FDB" w:rsidRDefault="00EE6D82" w:rsidP="00193FDB">
      <w:pPr>
        <w:pStyle w:val="NormalWeb"/>
        <w:spacing w:line="360" w:lineRule="auto"/>
        <w:jc w:val="both"/>
      </w:pPr>
      <w:r>
        <w:t>The study</w:t>
      </w:r>
      <w:r w:rsidR="00066DB2">
        <w:t xml:space="preserve"> adopt</w:t>
      </w:r>
      <w:r>
        <w:t xml:space="preserve">ed </w:t>
      </w:r>
      <w:r w:rsidR="00066DB2">
        <w:t xml:space="preserve">a </w:t>
      </w:r>
      <w:r w:rsidR="00066DB2" w:rsidRPr="00F757C5">
        <w:rPr>
          <w:rStyle w:val="Strong"/>
          <w:b w:val="0"/>
        </w:rPr>
        <w:t>descriptive survey research design</w:t>
      </w:r>
      <w:r w:rsidR="00066DB2" w:rsidRPr="00F757C5">
        <w:rPr>
          <w:b/>
        </w:rPr>
        <w:t>.</w:t>
      </w:r>
      <w:r w:rsidR="00066DB2">
        <w:t xml:space="preserve"> The population of the study will consist of </w:t>
      </w:r>
      <w:r w:rsidR="00066DB2" w:rsidRPr="00F757C5">
        <w:rPr>
          <w:rStyle w:val="Strong"/>
          <w:b w:val="0"/>
        </w:rPr>
        <w:t>all adult learners enrolled in adult and continuing education programmes</w:t>
      </w:r>
      <w:r w:rsidR="00066DB2">
        <w:t xml:space="preserve"> at Obafemi Awolowo University, Ile-Ife, Osun State, Nigeria. These include adult learners in part-time degree programmes, diploma programmes, professional development courses, and continuing education units.</w:t>
      </w:r>
      <w:r>
        <w:t xml:space="preserve"> </w:t>
      </w:r>
      <w:r w:rsidR="00066DB2">
        <w:t xml:space="preserve">A sample of adult learners will be selected using a </w:t>
      </w:r>
      <w:r w:rsidR="00066DB2" w:rsidRPr="00EE6D82">
        <w:rPr>
          <w:rStyle w:val="Strong"/>
          <w:b w:val="0"/>
        </w:rPr>
        <w:t>multi-stage sampling technique</w:t>
      </w:r>
      <w:r w:rsidR="00066DB2" w:rsidRPr="00EE6D82">
        <w:rPr>
          <w:b/>
        </w:rPr>
        <w:t>.</w:t>
      </w:r>
      <w:r>
        <w:t xml:space="preserve"> </w:t>
      </w:r>
      <w:r w:rsidR="00066DB2">
        <w:t>First, adult education programmes at OAU will be grouped into relevant categories (e.g., continuing education, professional programmes, and part-time degree programmes).</w:t>
      </w:r>
      <w:r w:rsidR="00066DB2">
        <w:br/>
        <w:t xml:space="preserve">Second, </w:t>
      </w:r>
      <w:r w:rsidR="00066DB2" w:rsidRPr="00EE6D82">
        <w:rPr>
          <w:rStyle w:val="Strong"/>
          <w:b w:val="0"/>
        </w:rPr>
        <w:t>simple random sampling</w:t>
      </w:r>
      <w:r w:rsidR="00066DB2">
        <w:t xml:space="preserve"> will be used to select a proportionate number of participants from each category</w:t>
      </w:r>
      <w:r w:rsidR="00691546">
        <w:t xml:space="preserve"> to ensure fair representation. </w:t>
      </w:r>
      <w:r w:rsidR="00066DB2">
        <w:t xml:space="preserve">A sample size of approximately </w:t>
      </w:r>
      <w:r w:rsidR="00193FDB">
        <w:rPr>
          <w:rStyle w:val="Strong"/>
          <w:b w:val="0"/>
        </w:rPr>
        <w:t>161</w:t>
      </w:r>
      <w:r w:rsidR="00066DB2" w:rsidRPr="002C6EB4">
        <w:rPr>
          <w:rStyle w:val="Strong"/>
          <w:b w:val="0"/>
        </w:rPr>
        <w:t xml:space="preserve"> adult learners</w:t>
      </w:r>
      <w:r w:rsidR="00691546">
        <w:t xml:space="preserve"> was </w:t>
      </w:r>
      <w:r w:rsidR="00066DB2">
        <w:t>considered adequate for the study, depending on the total population.</w:t>
      </w:r>
      <w:r w:rsidR="00193FDB">
        <w:t xml:space="preserve"> </w:t>
      </w:r>
      <w:r w:rsidR="001D760E">
        <w:t>Questionnare was used as an instrument for data collection. Data was</w:t>
      </w:r>
      <w:r w:rsidR="00066DB2">
        <w:t xml:space="preserve"> collected using a </w:t>
      </w:r>
      <w:r w:rsidR="00066DB2" w:rsidRPr="00691546">
        <w:rPr>
          <w:rStyle w:val="Strong"/>
          <w:b w:val="0"/>
        </w:rPr>
        <w:t>structured questionnaire</w:t>
      </w:r>
      <w:r w:rsidR="00066DB2">
        <w:t xml:space="preserve"> titled </w:t>
      </w:r>
      <w:r w:rsidR="001D760E">
        <w:t>“</w:t>
      </w:r>
      <w:r w:rsidR="00066DB2" w:rsidRPr="001D760E">
        <w:rPr>
          <w:rStyle w:val="Emphasis"/>
          <w:i w:val="0"/>
        </w:rPr>
        <w:t>Adult Capacity-Building, Conflict Resolution and Community Development Questionnaire (ACBCCDQ)</w:t>
      </w:r>
      <w:r w:rsidR="001D760E">
        <w:rPr>
          <w:rStyle w:val="Emphasis"/>
          <w:i w:val="0"/>
        </w:rPr>
        <w:t>”</w:t>
      </w:r>
      <w:r w:rsidR="00066DB2" w:rsidRPr="001D760E">
        <w:rPr>
          <w:i/>
        </w:rPr>
        <w:t>.</w:t>
      </w:r>
      <w:r w:rsidR="001D760E">
        <w:t xml:space="preserve"> The questionnaire was </w:t>
      </w:r>
      <w:r w:rsidR="00066DB2">
        <w:t>divided into five sections:</w:t>
      </w:r>
      <w:r w:rsidR="001D760E">
        <w:t xml:space="preserve"> </w:t>
      </w:r>
      <w:r w:rsidR="00066DB2" w:rsidRPr="001D760E">
        <w:rPr>
          <w:rStyle w:val="Strong"/>
          <w:b w:val="0"/>
        </w:rPr>
        <w:t>Section A</w:t>
      </w:r>
      <w:r w:rsidR="00066DB2">
        <w:rPr>
          <w:rStyle w:val="Strong"/>
        </w:rPr>
        <w:t>:</w:t>
      </w:r>
      <w:r w:rsidR="00066DB2">
        <w:t xml:space="preserve"> Demographic </w:t>
      </w:r>
      <w:r w:rsidR="00066DB2">
        <w:lastRenderedPageBreak/>
        <w:t>information (age, gender, educational level, programme type, years of participation)</w:t>
      </w:r>
      <w:r w:rsidR="001D760E">
        <w:t xml:space="preserve">; </w:t>
      </w:r>
      <w:r w:rsidR="00066DB2" w:rsidRPr="001D760E">
        <w:rPr>
          <w:rStyle w:val="Strong"/>
          <w:b w:val="0"/>
        </w:rPr>
        <w:t>Section B:</w:t>
      </w:r>
      <w:r w:rsidR="00066DB2">
        <w:t xml:space="preserve"> Types and level of participation in capacity-building programmes</w:t>
      </w:r>
      <w:r w:rsidR="001D760E">
        <w:t xml:space="preserve">; </w:t>
      </w:r>
      <w:r w:rsidR="00066DB2" w:rsidRPr="001D760E">
        <w:rPr>
          <w:rStyle w:val="Strong"/>
          <w:b w:val="0"/>
        </w:rPr>
        <w:t>Section C</w:t>
      </w:r>
      <w:r w:rsidR="00066DB2">
        <w:rPr>
          <w:rStyle w:val="Strong"/>
        </w:rPr>
        <w:t>:</w:t>
      </w:r>
      <w:r w:rsidR="00066DB2">
        <w:t xml:space="preserve"> Conflict resolution knowledge, skills, and attitudes</w:t>
      </w:r>
      <w:r w:rsidR="001D760E">
        <w:t xml:space="preserve">; </w:t>
      </w:r>
      <w:r w:rsidR="00066DB2" w:rsidRPr="001D760E">
        <w:rPr>
          <w:rStyle w:val="Strong"/>
          <w:b w:val="0"/>
        </w:rPr>
        <w:t>Section D</w:t>
      </w:r>
      <w:r w:rsidR="00066DB2">
        <w:rPr>
          <w:rStyle w:val="Strong"/>
        </w:rPr>
        <w:t>:</w:t>
      </w:r>
      <w:r w:rsidR="00066DB2">
        <w:t xml:space="preserve"> Community development participation and impact</w:t>
      </w:r>
      <w:r w:rsidR="001D760E">
        <w:t xml:space="preserve">; and </w:t>
      </w:r>
      <w:r w:rsidR="00066DB2" w:rsidRPr="001D760E">
        <w:rPr>
          <w:rStyle w:val="Strong"/>
          <w:b w:val="0"/>
        </w:rPr>
        <w:t>Section E</w:t>
      </w:r>
      <w:r w:rsidR="00066DB2">
        <w:rPr>
          <w:rStyle w:val="Strong"/>
        </w:rPr>
        <w:t>:</w:t>
      </w:r>
      <w:r w:rsidR="00066DB2">
        <w:t xml:space="preserve"> Challenges in participation</w:t>
      </w:r>
      <w:r w:rsidR="001D760E">
        <w:t>. Questionnaire was</w:t>
      </w:r>
      <w:r w:rsidR="00066DB2">
        <w:t xml:space="preserve"> personally </w:t>
      </w:r>
      <w:r w:rsidR="00D9201F">
        <w:t>administering</w:t>
      </w:r>
      <w:r w:rsidR="00066DB2">
        <w:t xml:space="preserve"> the questionnai</w:t>
      </w:r>
      <w:r w:rsidR="001D760E">
        <w:t xml:space="preserve">res to the selected respondents. Data collected was </w:t>
      </w:r>
      <w:r w:rsidR="00066DB2">
        <w:t xml:space="preserve">analyzed using </w:t>
      </w:r>
      <w:r w:rsidR="00066DB2" w:rsidRPr="001D760E">
        <w:rPr>
          <w:rStyle w:val="Strong"/>
          <w:b w:val="0"/>
        </w:rPr>
        <w:t>Statistical Package for Social Sciences (SPSS)</w:t>
      </w:r>
      <w:r w:rsidR="00066DB2" w:rsidRPr="001D760E">
        <w:rPr>
          <w:b/>
        </w:rPr>
        <w:t>.</w:t>
      </w:r>
      <w:r w:rsidR="001D760E">
        <w:t xml:space="preserve"> </w:t>
      </w:r>
      <w:r w:rsidR="00066DB2">
        <w:t xml:space="preserve">Descriptive statistics such as </w:t>
      </w:r>
      <w:r w:rsidR="00066DB2" w:rsidRPr="001D760E">
        <w:rPr>
          <w:rStyle w:val="Strong"/>
          <w:b w:val="0"/>
        </w:rPr>
        <w:t>frequ</w:t>
      </w:r>
      <w:r w:rsidR="001D760E" w:rsidRPr="001D760E">
        <w:rPr>
          <w:rStyle w:val="Strong"/>
          <w:b w:val="0"/>
        </w:rPr>
        <w:t xml:space="preserve">ency counts, percentages, mean </w:t>
      </w:r>
      <w:r w:rsidR="00066DB2" w:rsidRPr="001D760E">
        <w:rPr>
          <w:rStyle w:val="Strong"/>
          <w:b w:val="0"/>
        </w:rPr>
        <w:t>and standard deviation</w:t>
      </w:r>
      <w:r w:rsidR="00066DB2">
        <w:t xml:space="preserve"> will be used to answer the research questions.</w:t>
      </w:r>
    </w:p>
    <w:p w14:paraId="67143F36" w14:textId="77777777" w:rsidR="00CF2069" w:rsidRPr="005F3A57" w:rsidRDefault="00066DB2" w:rsidP="00193FDB">
      <w:pPr>
        <w:pStyle w:val="NormalWeb"/>
        <w:spacing w:line="360" w:lineRule="auto"/>
        <w:jc w:val="both"/>
        <w:rPr>
          <w:b/>
        </w:rPr>
      </w:pPr>
      <w:r>
        <w:br/>
      </w:r>
      <w:r w:rsidR="00CF2069" w:rsidRPr="005F3A57">
        <w:rPr>
          <w:b/>
        </w:rPr>
        <w:t>Results and Discussion of Findings</w:t>
      </w:r>
    </w:p>
    <w:p w14:paraId="0EC9DDAD" w14:textId="77777777" w:rsidR="00CF2069" w:rsidRPr="005F3A57" w:rsidRDefault="00CF2069" w:rsidP="00CF2069">
      <w:pPr>
        <w:spacing w:line="360" w:lineRule="auto"/>
        <w:rPr>
          <w:rStyle w:val="Strong"/>
          <w:bCs w:val="0"/>
        </w:rPr>
      </w:pPr>
      <w:r w:rsidRPr="005F3A57">
        <w:rPr>
          <w:rStyle w:val="Strong"/>
        </w:rPr>
        <w:t>Table 1: Population of the Study and Questionnaire Response Rate</w:t>
      </w:r>
    </w:p>
    <w:p w14:paraId="7149EE44" w14:textId="484CDFCB" w:rsidR="00CF2069" w:rsidRPr="005F3A57" w:rsidRDefault="00CF2069" w:rsidP="00CF2069">
      <w:pPr>
        <w:spacing w:line="360" w:lineRule="auto"/>
        <w:jc w:val="both"/>
        <w:rPr>
          <w:rStyle w:val="Strong"/>
          <w:b w:val="0"/>
        </w:rPr>
      </w:pPr>
      <w:r w:rsidRPr="005F3A57">
        <w:rPr>
          <w:rStyle w:val="Strong"/>
          <w:b w:val="0"/>
        </w:rPr>
        <w:t xml:space="preserve">Table1 shows the total population of </w:t>
      </w:r>
      <w:r w:rsidR="009742F9">
        <w:rPr>
          <w:rStyle w:val="Strong"/>
          <w:b w:val="0"/>
        </w:rPr>
        <w:t>161</w:t>
      </w:r>
      <w:r w:rsidRPr="005F3A57">
        <w:rPr>
          <w:rStyle w:val="Strong"/>
          <w:b w:val="0"/>
        </w:rPr>
        <w:t xml:space="preserve"> </w:t>
      </w:r>
      <w:r w:rsidR="009742F9">
        <w:rPr>
          <w:rStyle w:val="Strong"/>
          <w:b w:val="0"/>
        </w:rPr>
        <w:t>students under the Institute of Education</w:t>
      </w:r>
      <w:r w:rsidR="00FF00A4">
        <w:rPr>
          <w:rStyle w:val="Strong"/>
          <w:b w:val="0"/>
        </w:rPr>
        <w:t>, Faculty of Education, Obafemi Awolowo University, Ile-Ife</w:t>
      </w:r>
      <w:r w:rsidRPr="005F3A57">
        <w:rPr>
          <w:rStyle w:val="Strong"/>
          <w:b w:val="0"/>
        </w:rPr>
        <w:t xml:space="preserve"> to ensure the inclusive representation and normal distribution of questionnaire, the number of </w:t>
      </w:r>
      <w:r w:rsidR="009742F9" w:rsidRPr="005F3A57">
        <w:rPr>
          <w:rStyle w:val="Strong"/>
          <w:b w:val="0"/>
        </w:rPr>
        <w:t>questionnaires</w:t>
      </w:r>
      <w:r w:rsidRPr="005F3A57">
        <w:rPr>
          <w:rStyle w:val="Strong"/>
          <w:b w:val="0"/>
        </w:rPr>
        <w:t xml:space="preserve"> administered and the number of </w:t>
      </w:r>
      <w:r w:rsidR="009742F9" w:rsidRPr="005F3A57">
        <w:rPr>
          <w:rStyle w:val="Strong"/>
          <w:b w:val="0"/>
        </w:rPr>
        <w:t>questionnaires</w:t>
      </w:r>
      <w:r w:rsidRPr="005F3A57">
        <w:rPr>
          <w:rStyle w:val="Strong"/>
          <w:b w:val="0"/>
        </w:rPr>
        <w:t xml:space="preserve"> received with the response rate of </w:t>
      </w:r>
      <w:r w:rsidR="00FF00A4">
        <w:rPr>
          <w:rStyle w:val="Strong"/>
          <w:b w:val="0"/>
        </w:rPr>
        <w:t>149</w:t>
      </w:r>
      <w:r w:rsidRPr="005F3A57">
        <w:rPr>
          <w:rStyle w:val="Strong"/>
          <w:b w:val="0"/>
        </w:rPr>
        <w:t xml:space="preserve"> (</w:t>
      </w:r>
      <w:r w:rsidR="00FF00A4">
        <w:rPr>
          <w:rStyle w:val="Strong"/>
          <w:b w:val="0"/>
        </w:rPr>
        <w:t>92.55</w:t>
      </w:r>
      <w:r w:rsidRPr="005F3A57">
        <w:rPr>
          <w:rStyle w:val="Strong"/>
          <w:b w:val="0"/>
        </w:rPr>
        <w:t>%).</w:t>
      </w:r>
    </w:p>
    <w:tbl>
      <w:tblPr>
        <w:tblStyle w:val="TableGrid"/>
        <w:tblW w:w="9445" w:type="dxa"/>
        <w:tblLook w:val="04A0" w:firstRow="1" w:lastRow="0" w:firstColumn="1" w:lastColumn="0" w:noHBand="0" w:noVBand="1"/>
      </w:tblPr>
      <w:tblGrid>
        <w:gridCol w:w="763"/>
        <w:gridCol w:w="2563"/>
        <w:gridCol w:w="1416"/>
        <w:gridCol w:w="1763"/>
        <w:gridCol w:w="1763"/>
        <w:gridCol w:w="1177"/>
      </w:tblGrid>
      <w:tr w:rsidR="00CF2069" w:rsidRPr="005F3A57" w14:paraId="4924238B" w14:textId="77777777" w:rsidTr="00BF2645">
        <w:tc>
          <w:tcPr>
            <w:tcW w:w="763" w:type="dxa"/>
          </w:tcPr>
          <w:p w14:paraId="3C469E4A" w14:textId="77777777" w:rsidR="00CF2069" w:rsidRPr="005F3A57" w:rsidRDefault="00CF2069" w:rsidP="00BF2645">
            <w:pPr>
              <w:spacing w:line="360" w:lineRule="auto"/>
              <w:rPr>
                <w:rStyle w:val="Strong"/>
              </w:rPr>
            </w:pPr>
            <w:r w:rsidRPr="005F3A57">
              <w:rPr>
                <w:rStyle w:val="Strong"/>
              </w:rPr>
              <w:t>S/N</w:t>
            </w:r>
          </w:p>
        </w:tc>
        <w:tc>
          <w:tcPr>
            <w:tcW w:w="2563" w:type="dxa"/>
          </w:tcPr>
          <w:p w14:paraId="7C3352D2" w14:textId="39A70082" w:rsidR="00CF2069" w:rsidRPr="005F3A57" w:rsidRDefault="00CF2069" w:rsidP="00BF2645">
            <w:pPr>
              <w:spacing w:line="360" w:lineRule="auto"/>
            </w:pPr>
            <w:r w:rsidRPr="005F3A57">
              <w:rPr>
                <w:rStyle w:val="Strong"/>
              </w:rPr>
              <w:t xml:space="preserve">Category of Respondents according to </w:t>
            </w:r>
            <w:r w:rsidR="008151FB">
              <w:rPr>
                <w:rStyle w:val="Strong"/>
              </w:rPr>
              <w:t>Year</w:t>
            </w:r>
          </w:p>
        </w:tc>
        <w:tc>
          <w:tcPr>
            <w:tcW w:w="1416" w:type="dxa"/>
          </w:tcPr>
          <w:p w14:paraId="57FD4F9A" w14:textId="77777777" w:rsidR="00CF2069" w:rsidRPr="005F3A57" w:rsidRDefault="00CF2069" w:rsidP="00BF2645">
            <w:pPr>
              <w:spacing w:line="360" w:lineRule="auto"/>
            </w:pPr>
            <w:r w:rsidRPr="005F3A57">
              <w:rPr>
                <w:rStyle w:val="Strong"/>
              </w:rPr>
              <w:t>Population (Estimated)</w:t>
            </w:r>
          </w:p>
        </w:tc>
        <w:tc>
          <w:tcPr>
            <w:tcW w:w="1763" w:type="dxa"/>
          </w:tcPr>
          <w:p w14:paraId="2BE3B6F7" w14:textId="77777777" w:rsidR="00CF2069" w:rsidRPr="005F3A57" w:rsidRDefault="00CF2069" w:rsidP="00BF2645">
            <w:pPr>
              <w:spacing w:line="360" w:lineRule="auto"/>
            </w:pPr>
            <w:r w:rsidRPr="005F3A57">
              <w:rPr>
                <w:rStyle w:val="Strong"/>
              </w:rPr>
              <w:t>Questionnaires Distributed</w:t>
            </w:r>
          </w:p>
        </w:tc>
        <w:tc>
          <w:tcPr>
            <w:tcW w:w="1763" w:type="dxa"/>
          </w:tcPr>
          <w:p w14:paraId="59EEEA69" w14:textId="77777777" w:rsidR="00CF2069" w:rsidRPr="005F3A57" w:rsidRDefault="00CF2069" w:rsidP="00BF2645">
            <w:pPr>
              <w:spacing w:line="360" w:lineRule="auto"/>
            </w:pPr>
            <w:r w:rsidRPr="005F3A57">
              <w:rPr>
                <w:rStyle w:val="Strong"/>
              </w:rPr>
              <w:t>Questionnaires Received</w:t>
            </w:r>
          </w:p>
        </w:tc>
        <w:tc>
          <w:tcPr>
            <w:tcW w:w="1177" w:type="dxa"/>
          </w:tcPr>
          <w:p w14:paraId="3DA39F54" w14:textId="77777777" w:rsidR="00CF2069" w:rsidRPr="005F3A57" w:rsidRDefault="00CF2069" w:rsidP="00BF2645">
            <w:pPr>
              <w:spacing w:line="360" w:lineRule="auto"/>
            </w:pPr>
            <w:r w:rsidRPr="005F3A57">
              <w:rPr>
                <w:rStyle w:val="Strong"/>
              </w:rPr>
              <w:t>Response Rate (%)</w:t>
            </w:r>
          </w:p>
        </w:tc>
      </w:tr>
      <w:tr w:rsidR="00CF2069" w:rsidRPr="005F3A57" w14:paraId="6855F218" w14:textId="77777777" w:rsidTr="00BF2645">
        <w:tc>
          <w:tcPr>
            <w:tcW w:w="763" w:type="dxa"/>
          </w:tcPr>
          <w:p w14:paraId="0A747706" w14:textId="77777777" w:rsidR="00CF2069" w:rsidRPr="005F3A57" w:rsidRDefault="00CF2069" w:rsidP="00BF2645">
            <w:pPr>
              <w:spacing w:line="360" w:lineRule="auto"/>
            </w:pPr>
            <w:r w:rsidRPr="005F3A57">
              <w:t>1</w:t>
            </w:r>
          </w:p>
        </w:tc>
        <w:tc>
          <w:tcPr>
            <w:tcW w:w="2563" w:type="dxa"/>
          </w:tcPr>
          <w:p w14:paraId="3106C765" w14:textId="77777777" w:rsidR="00CF2069" w:rsidRPr="005F3A57" w:rsidRDefault="00D07177" w:rsidP="00BF2645">
            <w:pPr>
              <w:spacing w:line="360" w:lineRule="auto"/>
            </w:pPr>
            <w:r w:rsidRPr="005F3A57">
              <w:t>Part 2 Year 1</w:t>
            </w:r>
          </w:p>
        </w:tc>
        <w:tc>
          <w:tcPr>
            <w:tcW w:w="1416" w:type="dxa"/>
          </w:tcPr>
          <w:p w14:paraId="6C1C3997" w14:textId="77777777" w:rsidR="00CF2069" w:rsidRPr="005F3A57" w:rsidRDefault="00D07177" w:rsidP="00BF2645">
            <w:pPr>
              <w:spacing w:line="360" w:lineRule="auto"/>
            </w:pPr>
            <w:r w:rsidRPr="005F3A57">
              <w:t>31</w:t>
            </w:r>
          </w:p>
        </w:tc>
        <w:tc>
          <w:tcPr>
            <w:tcW w:w="1763" w:type="dxa"/>
          </w:tcPr>
          <w:p w14:paraId="11DA5623" w14:textId="77777777" w:rsidR="00CF2069" w:rsidRPr="005F3A57" w:rsidRDefault="005F3A57" w:rsidP="00BF2645">
            <w:pPr>
              <w:spacing w:line="360" w:lineRule="auto"/>
            </w:pPr>
            <w:r w:rsidRPr="005F3A57">
              <w:t>31</w:t>
            </w:r>
          </w:p>
        </w:tc>
        <w:tc>
          <w:tcPr>
            <w:tcW w:w="1763" w:type="dxa"/>
          </w:tcPr>
          <w:p w14:paraId="00272EFF" w14:textId="19249390" w:rsidR="00CF2069" w:rsidRPr="005F3A57" w:rsidRDefault="006456EC" w:rsidP="00BF2645">
            <w:pPr>
              <w:spacing w:line="360" w:lineRule="auto"/>
            </w:pPr>
            <w:r>
              <w:t>28</w:t>
            </w:r>
          </w:p>
        </w:tc>
        <w:tc>
          <w:tcPr>
            <w:tcW w:w="1177" w:type="dxa"/>
          </w:tcPr>
          <w:p w14:paraId="7A429B8A" w14:textId="709CAA7C" w:rsidR="00CF2069" w:rsidRPr="005F3A57" w:rsidRDefault="006456EC" w:rsidP="00BF2645">
            <w:pPr>
              <w:spacing w:line="360" w:lineRule="auto"/>
            </w:pPr>
            <w:r>
              <w:t>90.32</w:t>
            </w:r>
            <w:r w:rsidR="00CF2069" w:rsidRPr="005F3A57">
              <w:t>%</w:t>
            </w:r>
          </w:p>
        </w:tc>
      </w:tr>
      <w:tr w:rsidR="00CF2069" w:rsidRPr="005F3A57" w14:paraId="32A10ACE" w14:textId="77777777" w:rsidTr="00BF2645">
        <w:tc>
          <w:tcPr>
            <w:tcW w:w="763" w:type="dxa"/>
          </w:tcPr>
          <w:p w14:paraId="44357FC6" w14:textId="77777777" w:rsidR="00CF2069" w:rsidRPr="005F3A57" w:rsidRDefault="00CF2069" w:rsidP="00BF2645">
            <w:pPr>
              <w:spacing w:line="360" w:lineRule="auto"/>
            </w:pPr>
            <w:r w:rsidRPr="005F3A57">
              <w:t>2</w:t>
            </w:r>
          </w:p>
        </w:tc>
        <w:tc>
          <w:tcPr>
            <w:tcW w:w="2563" w:type="dxa"/>
          </w:tcPr>
          <w:p w14:paraId="5373AED6" w14:textId="77777777" w:rsidR="00CF2069" w:rsidRPr="005F3A57" w:rsidRDefault="00D07177" w:rsidP="00BF2645">
            <w:pPr>
              <w:spacing w:line="360" w:lineRule="auto"/>
              <w:jc w:val="both"/>
            </w:pPr>
            <w:r w:rsidRPr="005F3A57">
              <w:t>Part 3 Year 2</w:t>
            </w:r>
          </w:p>
        </w:tc>
        <w:tc>
          <w:tcPr>
            <w:tcW w:w="1416" w:type="dxa"/>
          </w:tcPr>
          <w:p w14:paraId="180734C4" w14:textId="77777777" w:rsidR="00CF2069" w:rsidRPr="005F3A57" w:rsidRDefault="005F3A57" w:rsidP="00BF2645">
            <w:pPr>
              <w:spacing w:line="360" w:lineRule="auto"/>
            </w:pPr>
            <w:r w:rsidRPr="005F3A57">
              <w:t>33</w:t>
            </w:r>
          </w:p>
        </w:tc>
        <w:tc>
          <w:tcPr>
            <w:tcW w:w="1763" w:type="dxa"/>
          </w:tcPr>
          <w:p w14:paraId="678001B1" w14:textId="77777777" w:rsidR="00CF2069" w:rsidRPr="005F3A57" w:rsidRDefault="005F3A57" w:rsidP="00BF2645">
            <w:pPr>
              <w:spacing w:line="360" w:lineRule="auto"/>
            </w:pPr>
            <w:r w:rsidRPr="005F3A57">
              <w:t>33</w:t>
            </w:r>
          </w:p>
        </w:tc>
        <w:tc>
          <w:tcPr>
            <w:tcW w:w="1763" w:type="dxa"/>
          </w:tcPr>
          <w:p w14:paraId="34CDCFDF" w14:textId="76D4B880" w:rsidR="00CF2069" w:rsidRPr="005F3A57" w:rsidRDefault="00CF2069" w:rsidP="00BF2645">
            <w:pPr>
              <w:spacing w:line="360" w:lineRule="auto"/>
            </w:pPr>
            <w:r w:rsidRPr="005F3A57">
              <w:t>2</w:t>
            </w:r>
            <w:r w:rsidR="00FF00A4">
              <w:t>9</w:t>
            </w:r>
          </w:p>
        </w:tc>
        <w:tc>
          <w:tcPr>
            <w:tcW w:w="1177" w:type="dxa"/>
          </w:tcPr>
          <w:p w14:paraId="56AC7F6B" w14:textId="68A1F3CF" w:rsidR="00CF2069" w:rsidRPr="005F3A57" w:rsidRDefault="006456EC" w:rsidP="00BF2645">
            <w:pPr>
              <w:spacing w:line="360" w:lineRule="auto"/>
            </w:pPr>
            <w:r>
              <w:t>87.88</w:t>
            </w:r>
            <w:r w:rsidR="00CF2069" w:rsidRPr="005F3A57">
              <w:t>%</w:t>
            </w:r>
          </w:p>
        </w:tc>
      </w:tr>
      <w:tr w:rsidR="00D07177" w:rsidRPr="005F3A57" w14:paraId="2312BE1C" w14:textId="77777777" w:rsidTr="00BF2645">
        <w:tc>
          <w:tcPr>
            <w:tcW w:w="763" w:type="dxa"/>
          </w:tcPr>
          <w:p w14:paraId="67285FFE" w14:textId="77777777" w:rsidR="00D07177" w:rsidRPr="005F3A57" w:rsidRDefault="00D07177" w:rsidP="00BF2645">
            <w:pPr>
              <w:spacing w:line="360" w:lineRule="auto"/>
            </w:pPr>
            <w:r w:rsidRPr="005F3A57">
              <w:t>3</w:t>
            </w:r>
          </w:p>
        </w:tc>
        <w:tc>
          <w:tcPr>
            <w:tcW w:w="2563" w:type="dxa"/>
          </w:tcPr>
          <w:p w14:paraId="12F78757" w14:textId="77777777" w:rsidR="00D07177" w:rsidRPr="005F3A57" w:rsidRDefault="005F3A57" w:rsidP="00BF2645">
            <w:pPr>
              <w:spacing w:line="360" w:lineRule="auto"/>
              <w:jc w:val="both"/>
            </w:pPr>
            <w:r w:rsidRPr="005F3A57">
              <w:t>Part 4 Year 3</w:t>
            </w:r>
          </w:p>
        </w:tc>
        <w:tc>
          <w:tcPr>
            <w:tcW w:w="1416" w:type="dxa"/>
          </w:tcPr>
          <w:p w14:paraId="3D0FD5F2" w14:textId="77777777" w:rsidR="00D07177" w:rsidRPr="005F3A57" w:rsidRDefault="005F3A57" w:rsidP="00BF2645">
            <w:pPr>
              <w:spacing w:line="360" w:lineRule="auto"/>
            </w:pPr>
            <w:r w:rsidRPr="005F3A57">
              <w:t>48</w:t>
            </w:r>
          </w:p>
        </w:tc>
        <w:tc>
          <w:tcPr>
            <w:tcW w:w="1763" w:type="dxa"/>
          </w:tcPr>
          <w:p w14:paraId="238F6761" w14:textId="77777777" w:rsidR="00D07177" w:rsidRPr="005F3A57" w:rsidRDefault="005F3A57" w:rsidP="00BF2645">
            <w:pPr>
              <w:spacing w:line="360" w:lineRule="auto"/>
            </w:pPr>
            <w:r w:rsidRPr="005F3A57">
              <w:t>48</w:t>
            </w:r>
          </w:p>
        </w:tc>
        <w:tc>
          <w:tcPr>
            <w:tcW w:w="1763" w:type="dxa"/>
          </w:tcPr>
          <w:p w14:paraId="4F7DAC22" w14:textId="7E22D042" w:rsidR="00D07177" w:rsidRPr="005F3A57" w:rsidRDefault="00FF00A4" w:rsidP="00BF2645">
            <w:pPr>
              <w:spacing w:line="360" w:lineRule="auto"/>
            </w:pPr>
            <w:r>
              <w:t>45</w:t>
            </w:r>
          </w:p>
        </w:tc>
        <w:tc>
          <w:tcPr>
            <w:tcW w:w="1177" w:type="dxa"/>
          </w:tcPr>
          <w:p w14:paraId="23418186" w14:textId="1AD13F3C" w:rsidR="00D07177" w:rsidRPr="005F3A57" w:rsidRDefault="006456EC" w:rsidP="00BF2645">
            <w:pPr>
              <w:spacing w:line="360" w:lineRule="auto"/>
            </w:pPr>
            <w:r>
              <w:t>93.75%</w:t>
            </w:r>
          </w:p>
        </w:tc>
      </w:tr>
      <w:tr w:rsidR="005F3A57" w:rsidRPr="005F3A57" w14:paraId="1AD30115" w14:textId="77777777" w:rsidTr="00BF2645">
        <w:tc>
          <w:tcPr>
            <w:tcW w:w="763" w:type="dxa"/>
          </w:tcPr>
          <w:p w14:paraId="2113F624" w14:textId="77777777" w:rsidR="005F3A57" w:rsidRPr="005F3A57" w:rsidRDefault="005F3A57" w:rsidP="00BF2645">
            <w:pPr>
              <w:spacing w:line="360" w:lineRule="auto"/>
            </w:pPr>
            <w:r w:rsidRPr="005F3A57">
              <w:t>4</w:t>
            </w:r>
          </w:p>
        </w:tc>
        <w:tc>
          <w:tcPr>
            <w:tcW w:w="2563" w:type="dxa"/>
          </w:tcPr>
          <w:p w14:paraId="15D67EE0" w14:textId="77777777" w:rsidR="005F3A57" w:rsidRPr="005F3A57" w:rsidRDefault="005F3A57" w:rsidP="00BF2645">
            <w:pPr>
              <w:spacing w:line="360" w:lineRule="auto"/>
              <w:jc w:val="both"/>
            </w:pPr>
            <w:r w:rsidRPr="005F3A57">
              <w:t>Part 5 Year 4</w:t>
            </w:r>
          </w:p>
        </w:tc>
        <w:tc>
          <w:tcPr>
            <w:tcW w:w="1416" w:type="dxa"/>
          </w:tcPr>
          <w:p w14:paraId="60CE08E7" w14:textId="77777777" w:rsidR="005F3A57" w:rsidRPr="005F3A57" w:rsidRDefault="005F3A57" w:rsidP="00BF2645">
            <w:pPr>
              <w:spacing w:line="360" w:lineRule="auto"/>
            </w:pPr>
            <w:r w:rsidRPr="005F3A57">
              <w:t>49</w:t>
            </w:r>
          </w:p>
        </w:tc>
        <w:tc>
          <w:tcPr>
            <w:tcW w:w="1763" w:type="dxa"/>
          </w:tcPr>
          <w:p w14:paraId="5B38623A" w14:textId="77777777" w:rsidR="005F3A57" w:rsidRPr="005F3A57" w:rsidRDefault="005F3A57" w:rsidP="00BF2645">
            <w:pPr>
              <w:spacing w:line="360" w:lineRule="auto"/>
            </w:pPr>
            <w:r w:rsidRPr="005F3A57">
              <w:t>49</w:t>
            </w:r>
          </w:p>
        </w:tc>
        <w:tc>
          <w:tcPr>
            <w:tcW w:w="1763" w:type="dxa"/>
          </w:tcPr>
          <w:p w14:paraId="1D1D42E2" w14:textId="0C1E78DF" w:rsidR="005F3A57" w:rsidRPr="005F3A57" w:rsidRDefault="00FF00A4" w:rsidP="00BF2645">
            <w:pPr>
              <w:spacing w:line="360" w:lineRule="auto"/>
            </w:pPr>
            <w:r>
              <w:t>47</w:t>
            </w:r>
          </w:p>
        </w:tc>
        <w:tc>
          <w:tcPr>
            <w:tcW w:w="1177" w:type="dxa"/>
          </w:tcPr>
          <w:p w14:paraId="069B9C97" w14:textId="3F79556D" w:rsidR="005F3A57" w:rsidRPr="005F3A57" w:rsidRDefault="006456EC" w:rsidP="00BF2645">
            <w:pPr>
              <w:spacing w:line="360" w:lineRule="auto"/>
            </w:pPr>
            <w:r>
              <w:t>95.92%</w:t>
            </w:r>
          </w:p>
        </w:tc>
      </w:tr>
      <w:tr w:rsidR="00CF2069" w:rsidRPr="005F3A57" w14:paraId="6076309C" w14:textId="77777777" w:rsidTr="00BF2645">
        <w:tc>
          <w:tcPr>
            <w:tcW w:w="763" w:type="dxa"/>
          </w:tcPr>
          <w:p w14:paraId="2BDD4D42" w14:textId="77777777" w:rsidR="00CF2069" w:rsidRPr="005F3A57" w:rsidRDefault="00CF2069" w:rsidP="00BF2645">
            <w:pPr>
              <w:spacing w:line="360" w:lineRule="auto"/>
              <w:rPr>
                <w:b/>
              </w:rPr>
            </w:pPr>
            <w:r w:rsidRPr="005F3A57">
              <w:rPr>
                <w:b/>
              </w:rPr>
              <w:t>Total</w:t>
            </w:r>
          </w:p>
        </w:tc>
        <w:tc>
          <w:tcPr>
            <w:tcW w:w="2563" w:type="dxa"/>
          </w:tcPr>
          <w:p w14:paraId="63E9B384" w14:textId="77777777" w:rsidR="00CF2069" w:rsidRPr="005F3A57" w:rsidRDefault="00CF2069" w:rsidP="00BF2645">
            <w:pPr>
              <w:spacing w:line="360" w:lineRule="auto"/>
              <w:rPr>
                <w:b/>
              </w:rPr>
            </w:pPr>
            <w:r w:rsidRPr="005F3A57">
              <w:rPr>
                <w:rStyle w:val="Strong"/>
              </w:rPr>
              <w:t>ΣX = Total Population</w:t>
            </w:r>
          </w:p>
        </w:tc>
        <w:tc>
          <w:tcPr>
            <w:tcW w:w="1416" w:type="dxa"/>
          </w:tcPr>
          <w:p w14:paraId="1798C74A" w14:textId="77777777" w:rsidR="00CF2069" w:rsidRPr="005F3A57" w:rsidRDefault="005F3A57" w:rsidP="00BF2645">
            <w:pPr>
              <w:spacing w:line="360" w:lineRule="auto"/>
              <w:rPr>
                <w:b/>
              </w:rPr>
            </w:pPr>
            <w:r w:rsidRPr="005F3A57">
              <w:rPr>
                <w:b/>
              </w:rPr>
              <w:t>161</w:t>
            </w:r>
          </w:p>
        </w:tc>
        <w:tc>
          <w:tcPr>
            <w:tcW w:w="1763" w:type="dxa"/>
          </w:tcPr>
          <w:p w14:paraId="5B2230C8" w14:textId="77777777" w:rsidR="00CF2069" w:rsidRPr="005F3A57" w:rsidRDefault="005F3A57" w:rsidP="00BF2645">
            <w:pPr>
              <w:spacing w:line="360" w:lineRule="auto"/>
              <w:rPr>
                <w:b/>
              </w:rPr>
            </w:pPr>
            <w:r w:rsidRPr="005F3A57">
              <w:rPr>
                <w:b/>
              </w:rPr>
              <w:t>161</w:t>
            </w:r>
          </w:p>
        </w:tc>
        <w:tc>
          <w:tcPr>
            <w:tcW w:w="1763" w:type="dxa"/>
          </w:tcPr>
          <w:p w14:paraId="49B64CC3" w14:textId="7588B12C" w:rsidR="00CF2069" w:rsidRPr="005F3A57" w:rsidRDefault="006456EC" w:rsidP="00BF2645">
            <w:pPr>
              <w:spacing w:line="360" w:lineRule="auto"/>
              <w:rPr>
                <w:b/>
              </w:rPr>
            </w:pPr>
            <w:r>
              <w:rPr>
                <w:b/>
              </w:rPr>
              <w:t>149</w:t>
            </w:r>
          </w:p>
        </w:tc>
        <w:tc>
          <w:tcPr>
            <w:tcW w:w="1177" w:type="dxa"/>
          </w:tcPr>
          <w:p w14:paraId="71ABA217" w14:textId="0D874810" w:rsidR="00CF2069" w:rsidRPr="005F3A57" w:rsidRDefault="009E45CA" w:rsidP="00BF2645">
            <w:pPr>
              <w:spacing w:line="360" w:lineRule="auto"/>
              <w:rPr>
                <w:b/>
              </w:rPr>
            </w:pPr>
            <w:r>
              <w:rPr>
                <w:b/>
              </w:rPr>
              <w:t>92.55</w:t>
            </w:r>
            <w:r w:rsidR="00CF2069" w:rsidRPr="005F3A57">
              <w:rPr>
                <w:b/>
              </w:rPr>
              <w:t>%</w:t>
            </w:r>
          </w:p>
        </w:tc>
      </w:tr>
    </w:tbl>
    <w:p w14:paraId="663073F7" w14:textId="77777777" w:rsidR="009E45CA" w:rsidRDefault="009E45CA" w:rsidP="005F3A57">
      <w:pPr>
        <w:ind w:left="1440" w:firstLine="720"/>
        <w:rPr>
          <w:b/>
        </w:rPr>
      </w:pPr>
    </w:p>
    <w:p w14:paraId="3133AC03" w14:textId="249C76AA" w:rsidR="005F3A57" w:rsidRPr="005F3A57" w:rsidRDefault="005F3A57" w:rsidP="005F3A57">
      <w:pPr>
        <w:ind w:left="1440" w:firstLine="720"/>
        <w:rPr>
          <w:b/>
        </w:rPr>
      </w:pPr>
      <w:r>
        <w:rPr>
          <w:b/>
        </w:rPr>
        <w:t>Institute of Education Records (</w:t>
      </w:r>
      <w:r w:rsidR="009E45CA">
        <w:rPr>
          <w:b/>
        </w:rPr>
        <w:t>February</w:t>
      </w:r>
      <w:r>
        <w:rPr>
          <w:b/>
        </w:rPr>
        <w:t>, 2026)</w:t>
      </w:r>
    </w:p>
    <w:p w14:paraId="00856A8C" w14:textId="77777777" w:rsidR="002A0921" w:rsidRDefault="002A0921">
      <w:pPr>
        <w:rPr>
          <w:b/>
        </w:rPr>
      </w:pPr>
    </w:p>
    <w:p w14:paraId="19552C37" w14:textId="31A7AF79" w:rsidR="00193FDB" w:rsidRDefault="00193FDB" w:rsidP="00193FDB">
      <w:pPr>
        <w:spacing w:before="100" w:beforeAutospacing="1" w:after="100" w:afterAutospacing="1"/>
      </w:pPr>
      <w:r>
        <w:rPr>
          <w:b/>
          <w:bCs/>
        </w:rPr>
        <w:t>Research q</w:t>
      </w:r>
      <w:r w:rsidR="002A0921" w:rsidRPr="002A0921">
        <w:rPr>
          <w:b/>
          <w:bCs/>
        </w:rPr>
        <w:t>uestion</w:t>
      </w:r>
      <w:r>
        <w:rPr>
          <w:b/>
          <w:bCs/>
        </w:rPr>
        <w:t xml:space="preserve"> one</w:t>
      </w:r>
      <w:r w:rsidR="002A0921" w:rsidRPr="002A0921">
        <w:rPr>
          <w:b/>
          <w:bCs/>
        </w:rPr>
        <w:t>:</w:t>
      </w:r>
      <w:r>
        <w:t xml:space="preserve"> </w:t>
      </w:r>
      <w:r w:rsidR="002A0921" w:rsidRPr="00193FDB">
        <w:rPr>
          <w:iCs/>
        </w:rPr>
        <w:t>What are the types of adult capacity-building programmes available to adult learners at Obafemi Awolowo University, Ile-Ife</w:t>
      </w:r>
      <w:r w:rsidR="00204637">
        <w:rPr>
          <w:iCs/>
        </w:rPr>
        <w:t>, Nigeria</w:t>
      </w:r>
      <w:r w:rsidR="002A0921" w:rsidRPr="00193FDB">
        <w:rPr>
          <w:iCs/>
        </w:rPr>
        <w:t>?</w:t>
      </w:r>
    </w:p>
    <w:p w14:paraId="7499C8D6" w14:textId="7AA19280" w:rsidR="00193FDB" w:rsidRPr="00D9201F" w:rsidRDefault="00193FDB" w:rsidP="00D9201F">
      <w:pPr>
        <w:spacing w:before="100" w:beforeAutospacing="1" w:after="100" w:afterAutospacing="1"/>
      </w:pPr>
      <w:r w:rsidRPr="00193FDB">
        <w:rPr>
          <w:b/>
          <w:bCs/>
        </w:rPr>
        <w:t>Table 2</w:t>
      </w:r>
      <w:r w:rsidR="002A0921" w:rsidRPr="00193FDB">
        <w:rPr>
          <w:b/>
          <w:bCs/>
        </w:rPr>
        <w:t>: Types of Adult Capacity-Building Programmes Available at Obafemi Awolowo University</w:t>
      </w:r>
      <w:r w:rsidR="00D9201F">
        <w:t>.</w:t>
      </w:r>
    </w:p>
    <w:tbl>
      <w:tblPr>
        <w:tblStyle w:val="TableGrid"/>
        <w:tblW w:w="9344" w:type="dxa"/>
        <w:tblLook w:val="04A0" w:firstRow="1" w:lastRow="0" w:firstColumn="1" w:lastColumn="0" w:noHBand="0" w:noVBand="1"/>
      </w:tblPr>
      <w:tblGrid>
        <w:gridCol w:w="590"/>
        <w:gridCol w:w="2515"/>
        <w:gridCol w:w="1190"/>
        <w:gridCol w:w="1190"/>
        <w:gridCol w:w="1190"/>
        <w:gridCol w:w="1190"/>
        <w:gridCol w:w="803"/>
        <w:gridCol w:w="676"/>
      </w:tblGrid>
      <w:tr w:rsidR="0097184A" w14:paraId="6F319422" w14:textId="77777777" w:rsidTr="0097184A">
        <w:tc>
          <w:tcPr>
            <w:tcW w:w="590" w:type="dxa"/>
          </w:tcPr>
          <w:p w14:paraId="4ABAA364" w14:textId="77777777" w:rsidR="0097184A" w:rsidRDefault="0097184A">
            <w:pPr>
              <w:rPr>
                <w:b/>
              </w:rPr>
            </w:pPr>
            <w:r>
              <w:rPr>
                <w:b/>
              </w:rPr>
              <w:lastRenderedPageBreak/>
              <w:t>S/N</w:t>
            </w:r>
          </w:p>
        </w:tc>
        <w:tc>
          <w:tcPr>
            <w:tcW w:w="2515" w:type="dxa"/>
          </w:tcPr>
          <w:p w14:paraId="751B11A9" w14:textId="77777777" w:rsidR="0097184A" w:rsidRDefault="0097184A">
            <w:pPr>
              <w:rPr>
                <w:b/>
              </w:rPr>
            </w:pPr>
            <w:r w:rsidRPr="002A0921">
              <w:rPr>
                <w:b/>
                <w:bCs/>
              </w:rPr>
              <w:t>Adult Capacity-Building Programmes</w:t>
            </w:r>
          </w:p>
        </w:tc>
        <w:tc>
          <w:tcPr>
            <w:tcW w:w="1190" w:type="dxa"/>
          </w:tcPr>
          <w:p w14:paraId="2A817489" w14:textId="77777777" w:rsidR="0097184A" w:rsidRDefault="0097184A">
            <w:pPr>
              <w:rPr>
                <w:b/>
              </w:rPr>
            </w:pPr>
            <w:r>
              <w:rPr>
                <w:b/>
              </w:rPr>
              <w:t>Very Available</w:t>
            </w:r>
          </w:p>
        </w:tc>
        <w:tc>
          <w:tcPr>
            <w:tcW w:w="1190" w:type="dxa"/>
          </w:tcPr>
          <w:p w14:paraId="4360743A" w14:textId="77777777" w:rsidR="0097184A" w:rsidRDefault="0097184A">
            <w:pPr>
              <w:rPr>
                <w:b/>
              </w:rPr>
            </w:pPr>
            <w:r>
              <w:rPr>
                <w:b/>
              </w:rPr>
              <w:t xml:space="preserve">Available </w:t>
            </w:r>
          </w:p>
        </w:tc>
        <w:tc>
          <w:tcPr>
            <w:tcW w:w="1190" w:type="dxa"/>
          </w:tcPr>
          <w:p w14:paraId="6657A158" w14:textId="77777777" w:rsidR="0097184A" w:rsidRDefault="0097184A">
            <w:pPr>
              <w:rPr>
                <w:b/>
              </w:rPr>
            </w:pPr>
            <w:r>
              <w:rPr>
                <w:b/>
              </w:rPr>
              <w:t xml:space="preserve">Less Available </w:t>
            </w:r>
          </w:p>
        </w:tc>
        <w:tc>
          <w:tcPr>
            <w:tcW w:w="1190" w:type="dxa"/>
          </w:tcPr>
          <w:p w14:paraId="4AD5A9B9" w14:textId="77777777" w:rsidR="0097184A" w:rsidRDefault="0097184A">
            <w:pPr>
              <w:rPr>
                <w:b/>
              </w:rPr>
            </w:pPr>
            <w:r>
              <w:rPr>
                <w:b/>
              </w:rPr>
              <w:t xml:space="preserve">Not Available </w:t>
            </w:r>
          </w:p>
        </w:tc>
        <w:tc>
          <w:tcPr>
            <w:tcW w:w="803" w:type="dxa"/>
          </w:tcPr>
          <w:p w14:paraId="01DD089C" w14:textId="77777777" w:rsidR="0097184A" w:rsidRDefault="0097184A">
            <w:pPr>
              <w:rPr>
                <w:b/>
              </w:rPr>
            </w:pPr>
            <w:r>
              <w:rPr>
                <w:b/>
              </w:rPr>
              <w:t>Mean</w:t>
            </w:r>
          </w:p>
        </w:tc>
        <w:tc>
          <w:tcPr>
            <w:tcW w:w="676" w:type="dxa"/>
          </w:tcPr>
          <w:p w14:paraId="179FF974" w14:textId="77777777" w:rsidR="0097184A" w:rsidRDefault="0097184A">
            <w:pPr>
              <w:rPr>
                <w:b/>
              </w:rPr>
            </w:pPr>
            <w:r>
              <w:rPr>
                <w:b/>
              </w:rPr>
              <w:t>Std. Dev.</w:t>
            </w:r>
          </w:p>
        </w:tc>
      </w:tr>
      <w:tr w:rsidR="0097184A" w:rsidRPr="00057AC6" w14:paraId="0F255DF3" w14:textId="77777777" w:rsidTr="0097184A">
        <w:tc>
          <w:tcPr>
            <w:tcW w:w="590" w:type="dxa"/>
          </w:tcPr>
          <w:p w14:paraId="5C0CC7A6" w14:textId="77777777" w:rsidR="0097184A" w:rsidRPr="0097184A" w:rsidRDefault="0097184A">
            <w:r w:rsidRPr="0097184A">
              <w:t>1</w:t>
            </w:r>
          </w:p>
        </w:tc>
        <w:tc>
          <w:tcPr>
            <w:tcW w:w="2515" w:type="dxa"/>
          </w:tcPr>
          <w:p w14:paraId="71540956" w14:textId="2181241D" w:rsidR="0097184A" w:rsidRDefault="0097184A">
            <w:pPr>
              <w:rPr>
                <w:b/>
              </w:rPr>
            </w:pPr>
            <w:r w:rsidRPr="002A0921">
              <w:t>Professional certification programmes (e.g., ICT, management, education)</w:t>
            </w:r>
            <w:r w:rsidR="009E45CA">
              <w:t xml:space="preserve"> </w:t>
            </w:r>
            <w:r w:rsidRPr="002A0921">
              <w:t>management, education)</w:t>
            </w:r>
          </w:p>
        </w:tc>
        <w:tc>
          <w:tcPr>
            <w:tcW w:w="1190" w:type="dxa"/>
          </w:tcPr>
          <w:p w14:paraId="3FF726DF" w14:textId="51D6AC23" w:rsidR="0097184A" w:rsidRPr="00057AC6" w:rsidRDefault="002B720B">
            <w:pPr>
              <w:rPr>
                <w:bCs/>
              </w:rPr>
            </w:pPr>
            <w:r w:rsidRPr="00057AC6">
              <w:rPr>
                <w:bCs/>
              </w:rPr>
              <w:t>67</w:t>
            </w:r>
          </w:p>
        </w:tc>
        <w:tc>
          <w:tcPr>
            <w:tcW w:w="1190" w:type="dxa"/>
          </w:tcPr>
          <w:p w14:paraId="079B11F5" w14:textId="517BEDBA" w:rsidR="0097184A" w:rsidRPr="00057AC6" w:rsidRDefault="002B720B">
            <w:pPr>
              <w:rPr>
                <w:bCs/>
              </w:rPr>
            </w:pPr>
            <w:r w:rsidRPr="00057AC6">
              <w:rPr>
                <w:bCs/>
              </w:rPr>
              <w:t>51</w:t>
            </w:r>
          </w:p>
        </w:tc>
        <w:tc>
          <w:tcPr>
            <w:tcW w:w="1190" w:type="dxa"/>
          </w:tcPr>
          <w:p w14:paraId="630C886B" w14:textId="251CCFC4" w:rsidR="0097184A" w:rsidRPr="00057AC6" w:rsidRDefault="002B720B">
            <w:pPr>
              <w:rPr>
                <w:bCs/>
              </w:rPr>
            </w:pPr>
            <w:r w:rsidRPr="00057AC6">
              <w:rPr>
                <w:bCs/>
              </w:rPr>
              <w:t>17</w:t>
            </w:r>
          </w:p>
        </w:tc>
        <w:tc>
          <w:tcPr>
            <w:tcW w:w="1190" w:type="dxa"/>
          </w:tcPr>
          <w:p w14:paraId="72DA5559" w14:textId="13925E9B" w:rsidR="0097184A" w:rsidRPr="00057AC6" w:rsidRDefault="002B720B">
            <w:pPr>
              <w:rPr>
                <w:bCs/>
              </w:rPr>
            </w:pPr>
            <w:r w:rsidRPr="00057AC6">
              <w:rPr>
                <w:bCs/>
              </w:rPr>
              <w:t>14</w:t>
            </w:r>
          </w:p>
        </w:tc>
        <w:tc>
          <w:tcPr>
            <w:tcW w:w="803" w:type="dxa"/>
          </w:tcPr>
          <w:p w14:paraId="3D09276D" w14:textId="6643ABE4" w:rsidR="0097184A" w:rsidRPr="00985FEC" w:rsidRDefault="00675B34">
            <w:pPr>
              <w:rPr>
                <w:b/>
                <w:bCs/>
              </w:rPr>
            </w:pPr>
            <w:r w:rsidRPr="00985FEC">
              <w:rPr>
                <w:rStyle w:val="Strong"/>
                <w:b w:val="0"/>
                <w:bCs w:val="0"/>
              </w:rPr>
              <w:t>3.15</w:t>
            </w:r>
          </w:p>
        </w:tc>
        <w:tc>
          <w:tcPr>
            <w:tcW w:w="676" w:type="dxa"/>
          </w:tcPr>
          <w:p w14:paraId="233A5040" w14:textId="646FD782" w:rsidR="0097184A" w:rsidRPr="00985FEC" w:rsidRDefault="00675B34">
            <w:pPr>
              <w:rPr>
                <w:b/>
                <w:bCs/>
              </w:rPr>
            </w:pPr>
            <w:r w:rsidRPr="00985FEC">
              <w:rPr>
                <w:rStyle w:val="Strong"/>
                <w:b w:val="0"/>
                <w:bCs w:val="0"/>
              </w:rPr>
              <w:t>0.96</w:t>
            </w:r>
          </w:p>
        </w:tc>
      </w:tr>
      <w:tr w:rsidR="0097184A" w:rsidRPr="00057AC6" w14:paraId="22A369F1" w14:textId="77777777" w:rsidTr="0097184A">
        <w:tc>
          <w:tcPr>
            <w:tcW w:w="590" w:type="dxa"/>
          </w:tcPr>
          <w:p w14:paraId="2791FDAF" w14:textId="77777777" w:rsidR="0097184A" w:rsidRPr="0097184A" w:rsidRDefault="0097184A" w:rsidP="0097184A">
            <w:r w:rsidRPr="0097184A">
              <w:t>2</w:t>
            </w:r>
          </w:p>
        </w:tc>
        <w:tc>
          <w:tcPr>
            <w:tcW w:w="2515" w:type="dxa"/>
            <w:vAlign w:val="center"/>
          </w:tcPr>
          <w:p w14:paraId="26BDE437" w14:textId="77777777" w:rsidR="0097184A" w:rsidRPr="002A0921" w:rsidRDefault="0097184A" w:rsidP="0097184A">
            <w:r w:rsidRPr="002A0921">
              <w:t>Digital literacy and computer skills training</w:t>
            </w:r>
          </w:p>
        </w:tc>
        <w:tc>
          <w:tcPr>
            <w:tcW w:w="1190" w:type="dxa"/>
            <w:vAlign w:val="center"/>
          </w:tcPr>
          <w:p w14:paraId="5DE8C9F3" w14:textId="25F33F3D" w:rsidR="0097184A" w:rsidRPr="00057AC6" w:rsidRDefault="002B720B" w:rsidP="0097184A">
            <w:pPr>
              <w:rPr>
                <w:bCs/>
              </w:rPr>
            </w:pPr>
            <w:r w:rsidRPr="00057AC6">
              <w:rPr>
                <w:bCs/>
              </w:rPr>
              <w:t>53</w:t>
            </w:r>
          </w:p>
        </w:tc>
        <w:tc>
          <w:tcPr>
            <w:tcW w:w="1190" w:type="dxa"/>
          </w:tcPr>
          <w:p w14:paraId="4698636B" w14:textId="28F32CD7" w:rsidR="0097184A" w:rsidRPr="00057AC6" w:rsidRDefault="002B720B" w:rsidP="0097184A">
            <w:pPr>
              <w:rPr>
                <w:bCs/>
              </w:rPr>
            </w:pPr>
            <w:r w:rsidRPr="00057AC6">
              <w:rPr>
                <w:bCs/>
              </w:rPr>
              <w:t>56</w:t>
            </w:r>
          </w:p>
        </w:tc>
        <w:tc>
          <w:tcPr>
            <w:tcW w:w="1190" w:type="dxa"/>
          </w:tcPr>
          <w:p w14:paraId="5F2AC82D" w14:textId="6CE79CC3" w:rsidR="0097184A" w:rsidRPr="00057AC6" w:rsidRDefault="004B4303" w:rsidP="0097184A">
            <w:pPr>
              <w:rPr>
                <w:bCs/>
              </w:rPr>
            </w:pPr>
            <w:r w:rsidRPr="00057AC6">
              <w:rPr>
                <w:bCs/>
              </w:rPr>
              <w:t>22</w:t>
            </w:r>
          </w:p>
        </w:tc>
        <w:tc>
          <w:tcPr>
            <w:tcW w:w="1190" w:type="dxa"/>
          </w:tcPr>
          <w:p w14:paraId="074E4B0E" w14:textId="1ECFEC20" w:rsidR="0097184A" w:rsidRPr="00057AC6" w:rsidRDefault="004B4303" w:rsidP="0097184A">
            <w:pPr>
              <w:rPr>
                <w:bCs/>
              </w:rPr>
            </w:pPr>
            <w:r w:rsidRPr="00057AC6">
              <w:rPr>
                <w:bCs/>
              </w:rPr>
              <w:t>18</w:t>
            </w:r>
          </w:p>
        </w:tc>
        <w:tc>
          <w:tcPr>
            <w:tcW w:w="803" w:type="dxa"/>
          </w:tcPr>
          <w:p w14:paraId="61A2105B" w14:textId="4C78D5FC" w:rsidR="0097184A" w:rsidRPr="00985FEC" w:rsidRDefault="00675B34" w:rsidP="0097184A">
            <w:pPr>
              <w:rPr>
                <w:b/>
                <w:bCs/>
              </w:rPr>
            </w:pPr>
            <w:r w:rsidRPr="00985FEC">
              <w:rPr>
                <w:rStyle w:val="Strong"/>
                <w:b w:val="0"/>
                <w:bCs w:val="0"/>
              </w:rPr>
              <w:t>2.97</w:t>
            </w:r>
          </w:p>
        </w:tc>
        <w:tc>
          <w:tcPr>
            <w:tcW w:w="676" w:type="dxa"/>
          </w:tcPr>
          <w:p w14:paraId="215A5CB6" w14:textId="355CA44D" w:rsidR="0097184A" w:rsidRPr="00985FEC" w:rsidRDefault="00675B34" w:rsidP="0097184A">
            <w:pPr>
              <w:rPr>
                <w:b/>
                <w:bCs/>
              </w:rPr>
            </w:pPr>
            <w:r w:rsidRPr="00985FEC">
              <w:rPr>
                <w:rStyle w:val="Strong"/>
                <w:b w:val="0"/>
                <w:bCs w:val="0"/>
              </w:rPr>
              <w:t>0.99</w:t>
            </w:r>
          </w:p>
        </w:tc>
      </w:tr>
      <w:tr w:rsidR="0097184A" w:rsidRPr="00057AC6" w14:paraId="1EA243A0" w14:textId="77777777" w:rsidTr="0097184A">
        <w:tc>
          <w:tcPr>
            <w:tcW w:w="590" w:type="dxa"/>
          </w:tcPr>
          <w:p w14:paraId="72240263" w14:textId="77777777" w:rsidR="0097184A" w:rsidRPr="0097184A" w:rsidRDefault="0097184A" w:rsidP="0097184A">
            <w:r w:rsidRPr="0097184A">
              <w:t>3</w:t>
            </w:r>
          </w:p>
        </w:tc>
        <w:tc>
          <w:tcPr>
            <w:tcW w:w="2515" w:type="dxa"/>
          </w:tcPr>
          <w:p w14:paraId="6A7C86E0" w14:textId="77777777" w:rsidR="0097184A" w:rsidRDefault="0097184A" w:rsidP="0097184A">
            <w:pPr>
              <w:rPr>
                <w:b/>
              </w:rPr>
            </w:pPr>
            <w:r w:rsidRPr="002A0921">
              <w:t>Entrepreneurship and small business development training</w:t>
            </w:r>
          </w:p>
        </w:tc>
        <w:tc>
          <w:tcPr>
            <w:tcW w:w="1190" w:type="dxa"/>
          </w:tcPr>
          <w:p w14:paraId="464F2367" w14:textId="53A7993D" w:rsidR="0097184A" w:rsidRPr="00057AC6" w:rsidRDefault="004B4303" w:rsidP="0097184A">
            <w:pPr>
              <w:rPr>
                <w:bCs/>
              </w:rPr>
            </w:pPr>
            <w:r w:rsidRPr="00057AC6">
              <w:rPr>
                <w:bCs/>
              </w:rPr>
              <w:t>59</w:t>
            </w:r>
          </w:p>
        </w:tc>
        <w:tc>
          <w:tcPr>
            <w:tcW w:w="1190" w:type="dxa"/>
          </w:tcPr>
          <w:p w14:paraId="650E1310" w14:textId="4B636978" w:rsidR="0097184A" w:rsidRPr="00057AC6" w:rsidRDefault="004B4303" w:rsidP="0097184A">
            <w:pPr>
              <w:rPr>
                <w:bCs/>
              </w:rPr>
            </w:pPr>
            <w:r w:rsidRPr="00057AC6">
              <w:rPr>
                <w:bCs/>
              </w:rPr>
              <w:t>51</w:t>
            </w:r>
          </w:p>
        </w:tc>
        <w:tc>
          <w:tcPr>
            <w:tcW w:w="1190" w:type="dxa"/>
          </w:tcPr>
          <w:p w14:paraId="67FE352F" w14:textId="743C749B" w:rsidR="0097184A" w:rsidRPr="00057AC6" w:rsidRDefault="004B4303" w:rsidP="0097184A">
            <w:pPr>
              <w:rPr>
                <w:bCs/>
              </w:rPr>
            </w:pPr>
            <w:r w:rsidRPr="00057AC6">
              <w:rPr>
                <w:bCs/>
              </w:rPr>
              <w:t>19</w:t>
            </w:r>
          </w:p>
        </w:tc>
        <w:tc>
          <w:tcPr>
            <w:tcW w:w="1190" w:type="dxa"/>
          </w:tcPr>
          <w:p w14:paraId="1E4B4D41" w14:textId="49BB70DB" w:rsidR="0097184A" w:rsidRPr="00057AC6" w:rsidRDefault="004B4303" w:rsidP="0097184A">
            <w:pPr>
              <w:rPr>
                <w:bCs/>
              </w:rPr>
            </w:pPr>
            <w:r w:rsidRPr="00057AC6">
              <w:rPr>
                <w:bCs/>
              </w:rPr>
              <w:t>20</w:t>
            </w:r>
          </w:p>
        </w:tc>
        <w:tc>
          <w:tcPr>
            <w:tcW w:w="803" w:type="dxa"/>
          </w:tcPr>
          <w:p w14:paraId="49DF6FC9" w14:textId="44A479A8" w:rsidR="0097184A" w:rsidRPr="00985FEC" w:rsidRDefault="00675B34" w:rsidP="0097184A">
            <w:pPr>
              <w:rPr>
                <w:b/>
                <w:bCs/>
              </w:rPr>
            </w:pPr>
            <w:r w:rsidRPr="00985FEC">
              <w:rPr>
                <w:rStyle w:val="Strong"/>
                <w:b w:val="0"/>
                <w:bCs w:val="0"/>
              </w:rPr>
              <w:t>3.00</w:t>
            </w:r>
          </w:p>
        </w:tc>
        <w:tc>
          <w:tcPr>
            <w:tcW w:w="676" w:type="dxa"/>
          </w:tcPr>
          <w:p w14:paraId="1BD03C33" w14:textId="2880C956" w:rsidR="0097184A" w:rsidRPr="00985FEC" w:rsidRDefault="00675B34" w:rsidP="0097184A">
            <w:pPr>
              <w:rPr>
                <w:b/>
                <w:bCs/>
              </w:rPr>
            </w:pPr>
            <w:r w:rsidRPr="00985FEC">
              <w:rPr>
                <w:rStyle w:val="Strong"/>
                <w:b w:val="0"/>
                <w:bCs w:val="0"/>
              </w:rPr>
              <w:t>0.98</w:t>
            </w:r>
          </w:p>
        </w:tc>
      </w:tr>
      <w:tr w:rsidR="0097184A" w:rsidRPr="00057AC6" w14:paraId="4AC891C9" w14:textId="77777777" w:rsidTr="0097184A">
        <w:tc>
          <w:tcPr>
            <w:tcW w:w="590" w:type="dxa"/>
          </w:tcPr>
          <w:p w14:paraId="52091575" w14:textId="77777777" w:rsidR="0097184A" w:rsidRPr="0097184A" w:rsidRDefault="0097184A" w:rsidP="0097184A">
            <w:r w:rsidRPr="0097184A">
              <w:t>4</w:t>
            </w:r>
          </w:p>
        </w:tc>
        <w:tc>
          <w:tcPr>
            <w:tcW w:w="2515" w:type="dxa"/>
          </w:tcPr>
          <w:p w14:paraId="41891C85" w14:textId="77777777" w:rsidR="0097184A" w:rsidRDefault="0097184A" w:rsidP="0097184A">
            <w:pPr>
              <w:rPr>
                <w:b/>
              </w:rPr>
            </w:pPr>
            <w:r w:rsidRPr="002A0921">
              <w:t>Continuing education and part-time degree programmes</w:t>
            </w:r>
          </w:p>
        </w:tc>
        <w:tc>
          <w:tcPr>
            <w:tcW w:w="1190" w:type="dxa"/>
          </w:tcPr>
          <w:p w14:paraId="4417ED30" w14:textId="1CE34D90" w:rsidR="0097184A" w:rsidRPr="00057AC6" w:rsidRDefault="005F15D9" w:rsidP="0097184A">
            <w:pPr>
              <w:rPr>
                <w:bCs/>
              </w:rPr>
            </w:pPr>
            <w:r w:rsidRPr="00057AC6">
              <w:rPr>
                <w:bCs/>
              </w:rPr>
              <w:t>66</w:t>
            </w:r>
          </w:p>
        </w:tc>
        <w:tc>
          <w:tcPr>
            <w:tcW w:w="1190" w:type="dxa"/>
          </w:tcPr>
          <w:p w14:paraId="64F3203A" w14:textId="2E918646" w:rsidR="0097184A" w:rsidRPr="00057AC6" w:rsidRDefault="005F15D9" w:rsidP="0097184A">
            <w:pPr>
              <w:rPr>
                <w:bCs/>
              </w:rPr>
            </w:pPr>
            <w:r w:rsidRPr="00057AC6">
              <w:rPr>
                <w:bCs/>
              </w:rPr>
              <w:t>57</w:t>
            </w:r>
          </w:p>
        </w:tc>
        <w:tc>
          <w:tcPr>
            <w:tcW w:w="1190" w:type="dxa"/>
          </w:tcPr>
          <w:p w14:paraId="5E285072" w14:textId="0CBC825A" w:rsidR="0097184A" w:rsidRPr="00057AC6" w:rsidRDefault="005F15D9" w:rsidP="0097184A">
            <w:pPr>
              <w:rPr>
                <w:bCs/>
              </w:rPr>
            </w:pPr>
            <w:r w:rsidRPr="00057AC6">
              <w:rPr>
                <w:bCs/>
              </w:rPr>
              <w:t>18</w:t>
            </w:r>
          </w:p>
        </w:tc>
        <w:tc>
          <w:tcPr>
            <w:tcW w:w="1190" w:type="dxa"/>
          </w:tcPr>
          <w:p w14:paraId="4BA31D86" w14:textId="7FDD841B" w:rsidR="0097184A" w:rsidRPr="00057AC6" w:rsidRDefault="005F15D9" w:rsidP="0097184A">
            <w:pPr>
              <w:rPr>
                <w:bCs/>
              </w:rPr>
            </w:pPr>
            <w:r w:rsidRPr="00057AC6">
              <w:rPr>
                <w:bCs/>
              </w:rPr>
              <w:t>8</w:t>
            </w:r>
          </w:p>
        </w:tc>
        <w:tc>
          <w:tcPr>
            <w:tcW w:w="803" w:type="dxa"/>
          </w:tcPr>
          <w:p w14:paraId="4BB07E09" w14:textId="63E5FFAF" w:rsidR="0097184A" w:rsidRPr="00985FEC" w:rsidRDefault="00675B34" w:rsidP="0097184A">
            <w:pPr>
              <w:rPr>
                <w:b/>
                <w:bCs/>
              </w:rPr>
            </w:pPr>
            <w:r w:rsidRPr="00985FEC">
              <w:rPr>
                <w:rStyle w:val="Strong"/>
                <w:b w:val="0"/>
                <w:bCs w:val="0"/>
              </w:rPr>
              <w:t>3.21</w:t>
            </w:r>
          </w:p>
        </w:tc>
        <w:tc>
          <w:tcPr>
            <w:tcW w:w="676" w:type="dxa"/>
          </w:tcPr>
          <w:p w14:paraId="4CE00FBD" w14:textId="01F81737" w:rsidR="0097184A" w:rsidRPr="00985FEC" w:rsidRDefault="00675B34" w:rsidP="0097184A">
            <w:pPr>
              <w:rPr>
                <w:b/>
                <w:bCs/>
              </w:rPr>
            </w:pPr>
            <w:r w:rsidRPr="00985FEC">
              <w:rPr>
                <w:rStyle w:val="Strong"/>
                <w:b w:val="0"/>
                <w:bCs w:val="0"/>
              </w:rPr>
              <w:t>0.88</w:t>
            </w:r>
          </w:p>
        </w:tc>
      </w:tr>
      <w:tr w:rsidR="0097184A" w:rsidRPr="00057AC6" w14:paraId="29290B2D" w14:textId="77777777" w:rsidTr="0097184A">
        <w:tc>
          <w:tcPr>
            <w:tcW w:w="590" w:type="dxa"/>
          </w:tcPr>
          <w:p w14:paraId="0B8DBAD8" w14:textId="77777777" w:rsidR="0097184A" w:rsidRPr="0097184A" w:rsidRDefault="0097184A" w:rsidP="0097184A">
            <w:r w:rsidRPr="0097184A">
              <w:t>5</w:t>
            </w:r>
          </w:p>
        </w:tc>
        <w:tc>
          <w:tcPr>
            <w:tcW w:w="2515" w:type="dxa"/>
          </w:tcPr>
          <w:p w14:paraId="57459662" w14:textId="77777777" w:rsidR="0097184A" w:rsidRDefault="0097184A" w:rsidP="0097184A">
            <w:pPr>
              <w:rPr>
                <w:b/>
              </w:rPr>
            </w:pPr>
            <w:r w:rsidRPr="002A0921">
              <w:t>Vocational and technical skills training</w:t>
            </w:r>
          </w:p>
        </w:tc>
        <w:tc>
          <w:tcPr>
            <w:tcW w:w="1190" w:type="dxa"/>
          </w:tcPr>
          <w:p w14:paraId="23A703FF" w14:textId="7021FE96" w:rsidR="0097184A" w:rsidRPr="00057AC6" w:rsidRDefault="005F15D9" w:rsidP="0097184A">
            <w:pPr>
              <w:rPr>
                <w:bCs/>
              </w:rPr>
            </w:pPr>
            <w:r w:rsidRPr="00057AC6">
              <w:rPr>
                <w:bCs/>
              </w:rPr>
              <w:t>61</w:t>
            </w:r>
          </w:p>
        </w:tc>
        <w:tc>
          <w:tcPr>
            <w:tcW w:w="1190" w:type="dxa"/>
          </w:tcPr>
          <w:p w14:paraId="595111AC" w14:textId="10363342" w:rsidR="0097184A" w:rsidRPr="00057AC6" w:rsidRDefault="005F15D9" w:rsidP="0097184A">
            <w:pPr>
              <w:rPr>
                <w:bCs/>
              </w:rPr>
            </w:pPr>
            <w:r w:rsidRPr="00057AC6">
              <w:rPr>
                <w:bCs/>
              </w:rPr>
              <w:t>52</w:t>
            </w:r>
          </w:p>
        </w:tc>
        <w:tc>
          <w:tcPr>
            <w:tcW w:w="1190" w:type="dxa"/>
          </w:tcPr>
          <w:p w14:paraId="161FCAA1" w14:textId="092670F7" w:rsidR="0097184A" w:rsidRPr="00057AC6" w:rsidRDefault="005F15D9" w:rsidP="0097184A">
            <w:pPr>
              <w:rPr>
                <w:bCs/>
              </w:rPr>
            </w:pPr>
            <w:r w:rsidRPr="00057AC6">
              <w:rPr>
                <w:bCs/>
              </w:rPr>
              <w:t>19</w:t>
            </w:r>
          </w:p>
        </w:tc>
        <w:tc>
          <w:tcPr>
            <w:tcW w:w="1190" w:type="dxa"/>
          </w:tcPr>
          <w:p w14:paraId="5CAD3F7A" w14:textId="42CE04CD" w:rsidR="0097184A" w:rsidRPr="00057AC6" w:rsidRDefault="00057AC6" w:rsidP="0097184A">
            <w:pPr>
              <w:rPr>
                <w:bCs/>
              </w:rPr>
            </w:pPr>
            <w:r w:rsidRPr="00057AC6">
              <w:rPr>
                <w:bCs/>
              </w:rPr>
              <w:t>17</w:t>
            </w:r>
          </w:p>
        </w:tc>
        <w:tc>
          <w:tcPr>
            <w:tcW w:w="803" w:type="dxa"/>
          </w:tcPr>
          <w:p w14:paraId="7D6925F9" w14:textId="3BA73B3F" w:rsidR="0097184A" w:rsidRPr="00985FEC" w:rsidRDefault="00675B34" w:rsidP="0097184A">
            <w:pPr>
              <w:rPr>
                <w:b/>
                <w:bCs/>
              </w:rPr>
            </w:pPr>
            <w:r w:rsidRPr="00985FEC">
              <w:rPr>
                <w:rStyle w:val="Strong"/>
                <w:b w:val="0"/>
                <w:bCs w:val="0"/>
              </w:rPr>
              <w:t>3.05</w:t>
            </w:r>
          </w:p>
        </w:tc>
        <w:tc>
          <w:tcPr>
            <w:tcW w:w="676" w:type="dxa"/>
          </w:tcPr>
          <w:p w14:paraId="45E2CEEC" w14:textId="0EEFA89B" w:rsidR="0097184A" w:rsidRPr="00985FEC" w:rsidRDefault="00675B34" w:rsidP="0097184A">
            <w:pPr>
              <w:rPr>
                <w:b/>
                <w:bCs/>
              </w:rPr>
            </w:pPr>
            <w:r w:rsidRPr="00985FEC">
              <w:rPr>
                <w:rStyle w:val="Strong"/>
                <w:b w:val="0"/>
                <w:bCs w:val="0"/>
              </w:rPr>
              <w:t>0.95</w:t>
            </w:r>
          </w:p>
        </w:tc>
      </w:tr>
      <w:tr w:rsidR="0097184A" w:rsidRPr="00057AC6" w14:paraId="2A50AE3E" w14:textId="77777777" w:rsidTr="0097184A">
        <w:tc>
          <w:tcPr>
            <w:tcW w:w="590" w:type="dxa"/>
          </w:tcPr>
          <w:p w14:paraId="269E9637" w14:textId="77777777" w:rsidR="0097184A" w:rsidRPr="0097184A" w:rsidRDefault="0097184A" w:rsidP="0097184A">
            <w:r w:rsidRPr="0097184A">
              <w:t>6</w:t>
            </w:r>
          </w:p>
        </w:tc>
        <w:tc>
          <w:tcPr>
            <w:tcW w:w="2515" w:type="dxa"/>
          </w:tcPr>
          <w:p w14:paraId="2CF57FCB" w14:textId="77777777" w:rsidR="0097184A" w:rsidRDefault="0097184A" w:rsidP="0097184A">
            <w:pPr>
              <w:rPr>
                <w:b/>
              </w:rPr>
            </w:pPr>
            <w:r w:rsidRPr="002A0921">
              <w:t>Leadership and management development programmes</w:t>
            </w:r>
          </w:p>
        </w:tc>
        <w:tc>
          <w:tcPr>
            <w:tcW w:w="1190" w:type="dxa"/>
          </w:tcPr>
          <w:p w14:paraId="613450FB" w14:textId="7DC48711" w:rsidR="0097184A" w:rsidRPr="00057AC6" w:rsidRDefault="005F15D9" w:rsidP="0097184A">
            <w:pPr>
              <w:rPr>
                <w:bCs/>
              </w:rPr>
            </w:pPr>
            <w:r w:rsidRPr="00057AC6">
              <w:rPr>
                <w:bCs/>
              </w:rPr>
              <w:t>51</w:t>
            </w:r>
          </w:p>
        </w:tc>
        <w:tc>
          <w:tcPr>
            <w:tcW w:w="1190" w:type="dxa"/>
          </w:tcPr>
          <w:p w14:paraId="2F139CE7" w14:textId="50344288" w:rsidR="0097184A" w:rsidRPr="00057AC6" w:rsidRDefault="005F15D9" w:rsidP="0097184A">
            <w:pPr>
              <w:rPr>
                <w:bCs/>
              </w:rPr>
            </w:pPr>
            <w:r w:rsidRPr="00057AC6">
              <w:rPr>
                <w:bCs/>
              </w:rPr>
              <w:t>43</w:t>
            </w:r>
          </w:p>
        </w:tc>
        <w:tc>
          <w:tcPr>
            <w:tcW w:w="1190" w:type="dxa"/>
          </w:tcPr>
          <w:p w14:paraId="1E771D17" w14:textId="7CF0EA5E" w:rsidR="0097184A" w:rsidRPr="00057AC6" w:rsidRDefault="005F15D9" w:rsidP="0097184A">
            <w:pPr>
              <w:rPr>
                <w:bCs/>
              </w:rPr>
            </w:pPr>
            <w:r w:rsidRPr="00057AC6">
              <w:rPr>
                <w:bCs/>
              </w:rPr>
              <w:t>35</w:t>
            </w:r>
          </w:p>
        </w:tc>
        <w:tc>
          <w:tcPr>
            <w:tcW w:w="1190" w:type="dxa"/>
          </w:tcPr>
          <w:p w14:paraId="5AA3C6A8" w14:textId="1C0A4D3D" w:rsidR="0097184A" w:rsidRPr="00057AC6" w:rsidRDefault="00057AC6" w:rsidP="0097184A">
            <w:pPr>
              <w:rPr>
                <w:bCs/>
              </w:rPr>
            </w:pPr>
            <w:r w:rsidRPr="00057AC6">
              <w:rPr>
                <w:bCs/>
              </w:rPr>
              <w:t>20</w:t>
            </w:r>
          </w:p>
        </w:tc>
        <w:tc>
          <w:tcPr>
            <w:tcW w:w="803" w:type="dxa"/>
          </w:tcPr>
          <w:p w14:paraId="580909ED" w14:textId="135BA115" w:rsidR="0097184A" w:rsidRPr="00985FEC" w:rsidRDefault="00675B34" w:rsidP="0097184A">
            <w:pPr>
              <w:rPr>
                <w:b/>
                <w:bCs/>
              </w:rPr>
            </w:pPr>
            <w:r w:rsidRPr="00985FEC">
              <w:rPr>
                <w:rStyle w:val="Strong"/>
                <w:b w:val="0"/>
                <w:bCs w:val="0"/>
              </w:rPr>
              <w:t>2.84</w:t>
            </w:r>
          </w:p>
        </w:tc>
        <w:tc>
          <w:tcPr>
            <w:tcW w:w="676" w:type="dxa"/>
          </w:tcPr>
          <w:p w14:paraId="6DCE9C57" w14:textId="1FD147FA" w:rsidR="0097184A" w:rsidRPr="00985FEC" w:rsidRDefault="00675B34" w:rsidP="0097184A">
            <w:pPr>
              <w:rPr>
                <w:b/>
                <w:bCs/>
              </w:rPr>
            </w:pPr>
            <w:r w:rsidRPr="00985FEC">
              <w:rPr>
                <w:rStyle w:val="Strong"/>
                <w:b w:val="0"/>
                <w:bCs w:val="0"/>
              </w:rPr>
              <w:t>1.05</w:t>
            </w:r>
          </w:p>
        </w:tc>
      </w:tr>
      <w:tr w:rsidR="0097184A" w:rsidRPr="00057AC6" w14:paraId="06CAA2A4" w14:textId="77777777" w:rsidTr="0097184A">
        <w:tc>
          <w:tcPr>
            <w:tcW w:w="590" w:type="dxa"/>
          </w:tcPr>
          <w:p w14:paraId="74394514" w14:textId="77777777" w:rsidR="0097184A" w:rsidRPr="0097184A" w:rsidRDefault="0097184A" w:rsidP="0097184A">
            <w:r w:rsidRPr="0097184A">
              <w:t>7</w:t>
            </w:r>
          </w:p>
        </w:tc>
        <w:tc>
          <w:tcPr>
            <w:tcW w:w="2515" w:type="dxa"/>
          </w:tcPr>
          <w:p w14:paraId="541C182F" w14:textId="77777777" w:rsidR="0097184A" w:rsidRDefault="0097184A" w:rsidP="0097184A">
            <w:pPr>
              <w:rPr>
                <w:b/>
              </w:rPr>
            </w:pPr>
            <w:r w:rsidRPr="002A0921">
              <w:t>Research and academic skills workshops</w:t>
            </w:r>
          </w:p>
        </w:tc>
        <w:tc>
          <w:tcPr>
            <w:tcW w:w="1190" w:type="dxa"/>
          </w:tcPr>
          <w:p w14:paraId="54D8B018" w14:textId="06F6713D" w:rsidR="0097184A" w:rsidRPr="00057AC6" w:rsidRDefault="005F15D9" w:rsidP="0097184A">
            <w:pPr>
              <w:rPr>
                <w:bCs/>
              </w:rPr>
            </w:pPr>
            <w:r w:rsidRPr="00057AC6">
              <w:rPr>
                <w:bCs/>
              </w:rPr>
              <w:t>58</w:t>
            </w:r>
          </w:p>
        </w:tc>
        <w:tc>
          <w:tcPr>
            <w:tcW w:w="1190" w:type="dxa"/>
          </w:tcPr>
          <w:p w14:paraId="17E86D93" w14:textId="6557D080" w:rsidR="0097184A" w:rsidRPr="00057AC6" w:rsidRDefault="005F15D9" w:rsidP="0097184A">
            <w:pPr>
              <w:rPr>
                <w:bCs/>
              </w:rPr>
            </w:pPr>
            <w:r w:rsidRPr="00057AC6">
              <w:rPr>
                <w:bCs/>
              </w:rPr>
              <w:t>47</w:t>
            </w:r>
          </w:p>
        </w:tc>
        <w:tc>
          <w:tcPr>
            <w:tcW w:w="1190" w:type="dxa"/>
          </w:tcPr>
          <w:p w14:paraId="4AC0669C" w14:textId="3461DC97" w:rsidR="0097184A" w:rsidRPr="00057AC6" w:rsidRDefault="005F15D9" w:rsidP="0097184A">
            <w:pPr>
              <w:rPr>
                <w:bCs/>
              </w:rPr>
            </w:pPr>
            <w:r w:rsidRPr="00057AC6">
              <w:rPr>
                <w:bCs/>
              </w:rPr>
              <w:t>21</w:t>
            </w:r>
          </w:p>
        </w:tc>
        <w:tc>
          <w:tcPr>
            <w:tcW w:w="1190" w:type="dxa"/>
          </w:tcPr>
          <w:p w14:paraId="522D5014" w14:textId="644CEEA2" w:rsidR="0097184A" w:rsidRPr="00057AC6" w:rsidRDefault="00057AC6" w:rsidP="0097184A">
            <w:pPr>
              <w:rPr>
                <w:bCs/>
              </w:rPr>
            </w:pPr>
            <w:r w:rsidRPr="00057AC6">
              <w:rPr>
                <w:bCs/>
              </w:rPr>
              <w:t>23</w:t>
            </w:r>
          </w:p>
        </w:tc>
        <w:tc>
          <w:tcPr>
            <w:tcW w:w="803" w:type="dxa"/>
          </w:tcPr>
          <w:p w14:paraId="2F65EE33" w14:textId="1671A90B" w:rsidR="0097184A" w:rsidRPr="00985FEC" w:rsidRDefault="00675B34" w:rsidP="0097184A">
            <w:pPr>
              <w:rPr>
                <w:b/>
                <w:bCs/>
              </w:rPr>
            </w:pPr>
            <w:r w:rsidRPr="00985FEC">
              <w:rPr>
                <w:rStyle w:val="Strong"/>
                <w:b w:val="0"/>
                <w:bCs w:val="0"/>
              </w:rPr>
              <w:t>2.94</w:t>
            </w:r>
          </w:p>
        </w:tc>
        <w:tc>
          <w:tcPr>
            <w:tcW w:w="676" w:type="dxa"/>
          </w:tcPr>
          <w:p w14:paraId="746FF9AF" w14:textId="5D17C742" w:rsidR="0097184A" w:rsidRPr="00985FEC" w:rsidRDefault="00675B34" w:rsidP="0097184A">
            <w:pPr>
              <w:rPr>
                <w:b/>
                <w:bCs/>
              </w:rPr>
            </w:pPr>
            <w:r w:rsidRPr="00985FEC">
              <w:rPr>
                <w:rStyle w:val="Strong"/>
                <w:b w:val="0"/>
                <w:bCs w:val="0"/>
              </w:rPr>
              <w:t>1.01</w:t>
            </w:r>
          </w:p>
        </w:tc>
      </w:tr>
      <w:tr w:rsidR="0097184A" w:rsidRPr="00057AC6" w14:paraId="283AA4D4" w14:textId="77777777" w:rsidTr="0097184A">
        <w:tc>
          <w:tcPr>
            <w:tcW w:w="590" w:type="dxa"/>
          </w:tcPr>
          <w:p w14:paraId="26CE2EFE" w14:textId="77777777" w:rsidR="0097184A" w:rsidRPr="0097184A" w:rsidRDefault="0097184A" w:rsidP="0097184A">
            <w:r w:rsidRPr="0097184A">
              <w:t>8</w:t>
            </w:r>
          </w:p>
        </w:tc>
        <w:tc>
          <w:tcPr>
            <w:tcW w:w="2515" w:type="dxa"/>
          </w:tcPr>
          <w:p w14:paraId="4EED8FB4" w14:textId="77777777" w:rsidR="0097184A" w:rsidRDefault="0097184A" w:rsidP="0097184A">
            <w:pPr>
              <w:rPr>
                <w:b/>
              </w:rPr>
            </w:pPr>
            <w:r w:rsidRPr="002A0921">
              <w:t>Financial literacy and personal development programmes</w:t>
            </w:r>
          </w:p>
        </w:tc>
        <w:tc>
          <w:tcPr>
            <w:tcW w:w="1190" w:type="dxa"/>
          </w:tcPr>
          <w:p w14:paraId="0AAEC688" w14:textId="3E321A4E" w:rsidR="0097184A" w:rsidRPr="00057AC6" w:rsidRDefault="005F15D9" w:rsidP="0097184A">
            <w:pPr>
              <w:rPr>
                <w:bCs/>
              </w:rPr>
            </w:pPr>
            <w:r w:rsidRPr="00057AC6">
              <w:rPr>
                <w:bCs/>
              </w:rPr>
              <w:t>39</w:t>
            </w:r>
          </w:p>
        </w:tc>
        <w:tc>
          <w:tcPr>
            <w:tcW w:w="1190" w:type="dxa"/>
          </w:tcPr>
          <w:p w14:paraId="6E031696" w14:textId="4DA6772D" w:rsidR="0097184A" w:rsidRPr="00057AC6" w:rsidRDefault="005F15D9" w:rsidP="0097184A">
            <w:pPr>
              <w:rPr>
                <w:bCs/>
              </w:rPr>
            </w:pPr>
            <w:r w:rsidRPr="00057AC6">
              <w:rPr>
                <w:bCs/>
              </w:rPr>
              <w:t>47</w:t>
            </w:r>
          </w:p>
        </w:tc>
        <w:tc>
          <w:tcPr>
            <w:tcW w:w="1190" w:type="dxa"/>
          </w:tcPr>
          <w:p w14:paraId="078667C4" w14:textId="36449450" w:rsidR="0097184A" w:rsidRPr="00057AC6" w:rsidRDefault="005F15D9" w:rsidP="0097184A">
            <w:pPr>
              <w:rPr>
                <w:bCs/>
              </w:rPr>
            </w:pPr>
            <w:r w:rsidRPr="00057AC6">
              <w:rPr>
                <w:bCs/>
              </w:rPr>
              <w:t>50</w:t>
            </w:r>
          </w:p>
        </w:tc>
        <w:tc>
          <w:tcPr>
            <w:tcW w:w="1190" w:type="dxa"/>
          </w:tcPr>
          <w:p w14:paraId="4A4773A3" w14:textId="537EC3C5" w:rsidR="0097184A" w:rsidRPr="00057AC6" w:rsidRDefault="00057AC6" w:rsidP="0097184A">
            <w:pPr>
              <w:rPr>
                <w:bCs/>
              </w:rPr>
            </w:pPr>
            <w:r w:rsidRPr="00057AC6">
              <w:rPr>
                <w:bCs/>
              </w:rPr>
              <w:t>13</w:t>
            </w:r>
          </w:p>
        </w:tc>
        <w:tc>
          <w:tcPr>
            <w:tcW w:w="803" w:type="dxa"/>
          </w:tcPr>
          <w:p w14:paraId="322C1F37" w14:textId="6A499AE3" w:rsidR="0097184A" w:rsidRPr="00985FEC" w:rsidRDefault="00675B34" w:rsidP="0097184A">
            <w:pPr>
              <w:rPr>
                <w:b/>
                <w:bCs/>
              </w:rPr>
            </w:pPr>
            <w:r w:rsidRPr="00985FEC">
              <w:rPr>
                <w:rStyle w:val="Strong"/>
                <w:b w:val="0"/>
                <w:bCs w:val="0"/>
              </w:rPr>
              <w:t>2.75</w:t>
            </w:r>
          </w:p>
        </w:tc>
        <w:tc>
          <w:tcPr>
            <w:tcW w:w="676" w:type="dxa"/>
          </w:tcPr>
          <w:p w14:paraId="61B64324" w14:textId="446C44F2" w:rsidR="0097184A" w:rsidRPr="00985FEC" w:rsidRDefault="00675B34" w:rsidP="0097184A">
            <w:pPr>
              <w:rPr>
                <w:b/>
                <w:bCs/>
              </w:rPr>
            </w:pPr>
            <w:r w:rsidRPr="00985FEC">
              <w:rPr>
                <w:rStyle w:val="Strong"/>
                <w:b w:val="0"/>
                <w:bCs w:val="0"/>
              </w:rPr>
              <w:t>1.03</w:t>
            </w:r>
          </w:p>
        </w:tc>
      </w:tr>
      <w:tr w:rsidR="0097184A" w:rsidRPr="00057AC6" w14:paraId="2184BD20" w14:textId="77777777" w:rsidTr="0097184A">
        <w:tc>
          <w:tcPr>
            <w:tcW w:w="590" w:type="dxa"/>
          </w:tcPr>
          <w:p w14:paraId="6CD2304E" w14:textId="77777777" w:rsidR="0097184A" w:rsidRPr="0097184A" w:rsidRDefault="0097184A" w:rsidP="0097184A">
            <w:r w:rsidRPr="0097184A">
              <w:t>9</w:t>
            </w:r>
          </w:p>
        </w:tc>
        <w:tc>
          <w:tcPr>
            <w:tcW w:w="2515" w:type="dxa"/>
          </w:tcPr>
          <w:p w14:paraId="569411A0" w14:textId="77777777" w:rsidR="0097184A" w:rsidRDefault="0097184A" w:rsidP="0097184A">
            <w:pPr>
              <w:rPr>
                <w:b/>
              </w:rPr>
            </w:pPr>
            <w:r w:rsidRPr="002A0921">
              <w:t>Health, wellness and social development programmes</w:t>
            </w:r>
          </w:p>
        </w:tc>
        <w:tc>
          <w:tcPr>
            <w:tcW w:w="1190" w:type="dxa"/>
          </w:tcPr>
          <w:p w14:paraId="0975198B" w14:textId="4BADE63F" w:rsidR="0097184A" w:rsidRPr="00057AC6" w:rsidRDefault="005F15D9" w:rsidP="0097184A">
            <w:pPr>
              <w:rPr>
                <w:bCs/>
              </w:rPr>
            </w:pPr>
            <w:r w:rsidRPr="00057AC6">
              <w:rPr>
                <w:bCs/>
              </w:rPr>
              <w:t>51</w:t>
            </w:r>
          </w:p>
        </w:tc>
        <w:tc>
          <w:tcPr>
            <w:tcW w:w="1190" w:type="dxa"/>
          </w:tcPr>
          <w:p w14:paraId="6C61AAFB" w14:textId="28C6328E" w:rsidR="0097184A" w:rsidRPr="00057AC6" w:rsidRDefault="005F15D9" w:rsidP="0097184A">
            <w:pPr>
              <w:rPr>
                <w:bCs/>
              </w:rPr>
            </w:pPr>
            <w:r w:rsidRPr="00057AC6">
              <w:rPr>
                <w:bCs/>
              </w:rPr>
              <w:t>57</w:t>
            </w:r>
          </w:p>
        </w:tc>
        <w:tc>
          <w:tcPr>
            <w:tcW w:w="1190" w:type="dxa"/>
          </w:tcPr>
          <w:p w14:paraId="79E955F1" w14:textId="2A5838A3" w:rsidR="0097184A" w:rsidRPr="00057AC6" w:rsidRDefault="005F15D9" w:rsidP="0097184A">
            <w:pPr>
              <w:rPr>
                <w:bCs/>
              </w:rPr>
            </w:pPr>
            <w:r w:rsidRPr="00057AC6">
              <w:rPr>
                <w:bCs/>
              </w:rPr>
              <w:t>31</w:t>
            </w:r>
          </w:p>
        </w:tc>
        <w:tc>
          <w:tcPr>
            <w:tcW w:w="1190" w:type="dxa"/>
          </w:tcPr>
          <w:p w14:paraId="0792FB03" w14:textId="66FB7908" w:rsidR="0097184A" w:rsidRPr="00057AC6" w:rsidRDefault="00057AC6" w:rsidP="0097184A">
            <w:pPr>
              <w:rPr>
                <w:bCs/>
              </w:rPr>
            </w:pPr>
            <w:r w:rsidRPr="00057AC6">
              <w:rPr>
                <w:bCs/>
              </w:rPr>
              <w:t>10</w:t>
            </w:r>
          </w:p>
        </w:tc>
        <w:tc>
          <w:tcPr>
            <w:tcW w:w="803" w:type="dxa"/>
          </w:tcPr>
          <w:p w14:paraId="2CB44A54" w14:textId="6547656E" w:rsidR="0097184A" w:rsidRPr="00985FEC" w:rsidRDefault="00675B34" w:rsidP="0097184A">
            <w:pPr>
              <w:rPr>
                <w:b/>
                <w:bCs/>
              </w:rPr>
            </w:pPr>
            <w:r w:rsidRPr="00985FEC">
              <w:rPr>
                <w:rStyle w:val="Strong"/>
                <w:b w:val="0"/>
                <w:bCs w:val="0"/>
              </w:rPr>
              <w:t>3.00</w:t>
            </w:r>
          </w:p>
        </w:tc>
        <w:tc>
          <w:tcPr>
            <w:tcW w:w="676" w:type="dxa"/>
          </w:tcPr>
          <w:p w14:paraId="1B9440C0" w14:textId="0E68AEDE" w:rsidR="0097184A" w:rsidRPr="00985FEC" w:rsidRDefault="00675B34" w:rsidP="0097184A">
            <w:pPr>
              <w:rPr>
                <w:b/>
                <w:bCs/>
              </w:rPr>
            </w:pPr>
            <w:r w:rsidRPr="00985FEC">
              <w:rPr>
                <w:rStyle w:val="Strong"/>
                <w:b w:val="0"/>
                <w:bCs w:val="0"/>
              </w:rPr>
              <w:t>0.92</w:t>
            </w:r>
          </w:p>
        </w:tc>
      </w:tr>
      <w:tr w:rsidR="00675B34" w:rsidRPr="00057AC6" w14:paraId="6BEBCF13" w14:textId="77777777" w:rsidTr="008D45F1">
        <w:tc>
          <w:tcPr>
            <w:tcW w:w="590" w:type="dxa"/>
          </w:tcPr>
          <w:p w14:paraId="7C583104" w14:textId="77777777" w:rsidR="00675B34" w:rsidRPr="0097184A" w:rsidRDefault="00675B34" w:rsidP="00675B34">
            <w:r w:rsidRPr="0097184A">
              <w:t>10</w:t>
            </w:r>
          </w:p>
        </w:tc>
        <w:tc>
          <w:tcPr>
            <w:tcW w:w="2515" w:type="dxa"/>
          </w:tcPr>
          <w:p w14:paraId="5E5D4FBA" w14:textId="77777777" w:rsidR="00675B34" w:rsidRDefault="00675B34" w:rsidP="00675B34">
            <w:pPr>
              <w:rPr>
                <w:b/>
              </w:rPr>
            </w:pPr>
            <w:r w:rsidRPr="002A0921">
              <w:t>Library-based capacity-building programmes (information literacy, research support, digital resources training)</w:t>
            </w:r>
          </w:p>
        </w:tc>
        <w:tc>
          <w:tcPr>
            <w:tcW w:w="1190" w:type="dxa"/>
          </w:tcPr>
          <w:p w14:paraId="3CC8745A" w14:textId="0D1ED908" w:rsidR="00675B34" w:rsidRPr="00057AC6" w:rsidRDefault="00675B34" w:rsidP="00675B34">
            <w:pPr>
              <w:rPr>
                <w:bCs/>
              </w:rPr>
            </w:pPr>
            <w:r w:rsidRPr="00057AC6">
              <w:rPr>
                <w:bCs/>
              </w:rPr>
              <w:t>59</w:t>
            </w:r>
          </w:p>
        </w:tc>
        <w:tc>
          <w:tcPr>
            <w:tcW w:w="1190" w:type="dxa"/>
          </w:tcPr>
          <w:p w14:paraId="71247C1B" w14:textId="7C293435" w:rsidR="00675B34" w:rsidRPr="00057AC6" w:rsidRDefault="00675B34" w:rsidP="00675B34">
            <w:pPr>
              <w:rPr>
                <w:bCs/>
              </w:rPr>
            </w:pPr>
            <w:r w:rsidRPr="00057AC6">
              <w:rPr>
                <w:bCs/>
              </w:rPr>
              <w:t>41</w:t>
            </w:r>
          </w:p>
        </w:tc>
        <w:tc>
          <w:tcPr>
            <w:tcW w:w="1190" w:type="dxa"/>
          </w:tcPr>
          <w:p w14:paraId="1FBA08BA" w14:textId="3F665076" w:rsidR="00675B34" w:rsidRPr="00057AC6" w:rsidRDefault="00675B34" w:rsidP="00675B34">
            <w:pPr>
              <w:rPr>
                <w:bCs/>
              </w:rPr>
            </w:pPr>
            <w:r w:rsidRPr="00057AC6">
              <w:rPr>
                <w:bCs/>
              </w:rPr>
              <w:t>31</w:t>
            </w:r>
          </w:p>
        </w:tc>
        <w:tc>
          <w:tcPr>
            <w:tcW w:w="1190" w:type="dxa"/>
          </w:tcPr>
          <w:p w14:paraId="3EED9738" w14:textId="7C9AD785" w:rsidR="00675B34" w:rsidRPr="00057AC6" w:rsidRDefault="00675B34" w:rsidP="00675B34">
            <w:pPr>
              <w:rPr>
                <w:bCs/>
              </w:rPr>
            </w:pPr>
            <w:r w:rsidRPr="00057AC6">
              <w:rPr>
                <w:bCs/>
              </w:rPr>
              <w:t>18</w:t>
            </w:r>
          </w:p>
        </w:tc>
        <w:tc>
          <w:tcPr>
            <w:tcW w:w="803" w:type="dxa"/>
            <w:vAlign w:val="center"/>
          </w:tcPr>
          <w:p w14:paraId="3BCF1C68" w14:textId="6D456DB0" w:rsidR="00675B34" w:rsidRPr="00985FEC" w:rsidRDefault="00675B34" w:rsidP="00675B34">
            <w:pPr>
              <w:rPr>
                <w:b/>
                <w:bCs/>
              </w:rPr>
            </w:pPr>
            <w:r w:rsidRPr="00985FEC">
              <w:rPr>
                <w:rStyle w:val="Strong"/>
                <w:b w:val="0"/>
                <w:bCs w:val="0"/>
              </w:rPr>
              <w:t>2.95</w:t>
            </w:r>
          </w:p>
        </w:tc>
        <w:tc>
          <w:tcPr>
            <w:tcW w:w="676" w:type="dxa"/>
          </w:tcPr>
          <w:p w14:paraId="13818C30" w14:textId="1F998962" w:rsidR="00675B34" w:rsidRPr="00985FEC" w:rsidRDefault="00985FEC" w:rsidP="00675B34">
            <w:pPr>
              <w:rPr>
                <w:b/>
                <w:bCs/>
              </w:rPr>
            </w:pPr>
            <w:r w:rsidRPr="00985FEC">
              <w:rPr>
                <w:rStyle w:val="Strong"/>
                <w:b w:val="0"/>
                <w:bCs w:val="0"/>
              </w:rPr>
              <w:t>1.02</w:t>
            </w:r>
          </w:p>
        </w:tc>
      </w:tr>
      <w:tr w:rsidR="00675B34" w14:paraId="42513354" w14:textId="77777777" w:rsidTr="00797D1B">
        <w:tc>
          <w:tcPr>
            <w:tcW w:w="9344" w:type="dxa"/>
            <w:gridSpan w:val="8"/>
          </w:tcPr>
          <w:p w14:paraId="70748CFA" w14:textId="592517A6" w:rsidR="00675B34" w:rsidRDefault="00675B34" w:rsidP="00675B34">
            <w:pPr>
              <w:rPr>
                <w:b/>
              </w:rPr>
            </w:pPr>
            <w:r>
              <w:rPr>
                <w:b/>
              </w:rPr>
              <w:t xml:space="preserve">                                       Total Aggregate Mean </w:t>
            </w:r>
            <w:r w:rsidRPr="00985FEC">
              <w:rPr>
                <w:b/>
              </w:rPr>
              <w:t xml:space="preserve">= </w:t>
            </w:r>
            <w:r w:rsidR="00985FEC" w:rsidRPr="00985FEC">
              <w:rPr>
                <w:rStyle w:val="mord"/>
                <w:b/>
              </w:rPr>
              <w:t>2.99</w:t>
            </w:r>
          </w:p>
        </w:tc>
      </w:tr>
    </w:tbl>
    <w:p w14:paraId="6DB381A1" w14:textId="392C3A2D" w:rsidR="001A4B53" w:rsidRPr="001A4B53" w:rsidRDefault="00A43386" w:rsidP="00D9201F">
      <w:pPr>
        <w:spacing w:before="100" w:beforeAutospacing="1" w:after="100" w:afterAutospacing="1" w:line="360" w:lineRule="auto"/>
        <w:jc w:val="both"/>
        <w:rPr>
          <w:lang w:eastAsia="en-NG"/>
        </w:rPr>
      </w:pPr>
      <w:r w:rsidRPr="00A43386">
        <w:rPr>
          <w:lang w:val="en-NG" w:eastAsia="en-NG"/>
        </w:rPr>
        <w:t xml:space="preserve">Table </w:t>
      </w:r>
      <w:r>
        <w:rPr>
          <w:lang w:eastAsia="en-NG"/>
        </w:rPr>
        <w:t>2</w:t>
      </w:r>
      <w:r w:rsidRPr="00A43386">
        <w:rPr>
          <w:lang w:val="en-NG" w:eastAsia="en-NG"/>
        </w:rPr>
        <w:t xml:space="preserve"> presents the respondents’ perceptions of the availability of adult capacity-building programmes at Obafemi Awolowo University, Ile-Ife. The results show a total aggregate mean of 2.99 on a 4-point Likert scale, indicating that adult capacity-building programmes are generally available in the university.</w:t>
      </w:r>
      <w:r>
        <w:rPr>
          <w:lang w:eastAsia="en-NG"/>
        </w:rPr>
        <w:t xml:space="preserve"> </w:t>
      </w:r>
      <w:r w:rsidRPr="00A43386">
        <w:rPr>
          <w:lang w:val="en-NG" w:eastAsia="en-NG"/>
        </w:rPr>
        <w:t xml:space="preserve">Specifically, continuing education and part-time degree programmes recorded the highest mean score (3.21), suggesting that these programmes are highly available and </w:t>
      </w:r>
      <w:r w:rsidRPr="00A43386">
        <w:rPr>
          <w:lang w:val="en-NG" w:eastAsia="en-NG"/>
        </w:rPr>
        <w:lastRenderedPageBreak/>
        <w:t>widely accessible to adult learners. This is followed by professional certification programmes (3.15) and vocational and technical skills training (3.05), which also indicate a high level of availability. These findings reflect the university’s strong commitment to providing opportunities for academic advancement and skill acquisition.</w:t>
      </w:r>
      <w:r>
        <w:rPr>
          <w:lang w:eastAsia="en-NG"/>
        </w:rPr>
        <w:t xml:space="preserve"> </w:t>
      </w:r>
      <w:r w:rsidRPr="00A43386">
        <w:rPr>
          <w:lang w:val="en-NG" w:eastAsia="en-NG"/>
        </w:rPr>
        <w:t xml:space="preserve">Furthermore, entrepreneurship and small business development training and health, wellness, and social development programmes both recorded a mean of 3.00 </w:t>
      </w:r>
      <w:r w:rsidR="00E91B28">
        <w:rPr>
          <w:lang w:eastAsia="en-NG"/>
        </w:rPr>
        <w:t>(</w:t>
      </w:r>
      <w:r w:rsidRPr="00A43386">
        <w:rPr>
          <w:lang w:val="en-NG" w:eastAsia="en-NG"/>
        </w:rPr>
        <w:t>0.98), indicating that they are also available to a considerable extent. Similarly, digital literacy and computer skills training (2.97), library-based capacity-building programmes (2.95), and research and academic skills workshops (2.94) are available, although at a slightly lower level.</w:t>
      </w:r>
      <w:r>
        <w:rPr>
          <w:lang w:eastAsia="en-NG"/>
        </w:rPr>
        <w:t xml:space="preserve"> </w:t>
      </w:r>
      <w:r w:rsidRPr="00A43386">
        <w:rPr>
          <w:lang w:val="en-NG" w:eastAsia="en-NG"/>
        </w:rPr>
        <w:t>However, leadership and management development programmes (2.84) and financial literacy and personal development programmes (2.75) recorded the lowest mean scores, indicating relatively lower availability compared to other programmes.</w:t>
      </w:r>
      <w:r>
        <w:rPr>
          <w:lang w:eastAsia="en-NG"/>
        </w:rPr>
        <w:t xml:space="preserve"> </w:t>
      </w:r>
      <w:r w:rsidRPr="00A43386">
        <w:rPr>
          <w:lang w:val="en-NG" w:eastAsia="en-NG"/>
        </w:rPr>
        <w:t>The standard deviation values, ranging from 0.88 to 1.05, suggest a moderate level of dispersion in respondents’ opinions, implying some variability but overall agreement in their responses.</w:t>
      </w:r>
      <w:r>
        <w:rPr>
          <w:lang w:eastAsia="en-NG"/>
        </w:rPr>
        <w:t xml:space="preserve"> </w:t>
      </w:r>
      <w:r w:rsidR="00E91B28">
        <w:rPr>
          <w:lang w:eastAsia="en-NG"/>
        </w:rPr>
        <w:t>Generally</w:t>
      </w:r>
      <w:r w:rsidRPr="00A43386">
        <w:rPr>
          <w:lang w:val="en-NG" w:eastAsia="en-NG"/>
        </w:rPr>
        <w:t>, the findings indicate that adult capacity-building programmes are generally available at Obafemi Awolowo University, Ile-Ife, with greater emphasis on continuing education, professional certification and vocational training, while programmes related to financial literacy and leadership development require further improvement.</w:t>
      </w:r>
      <w:r w:rsidR="001A4B53">
        <w:rPr>
          <w:lang w:eastAsia="en-NG"/>
        </w:rPr>
        <w:t xml:space="preserve"> </w:t>
      </w:r>
      <w:r w:rsidR="001A4B53">
        <w:t xml:space="preserve">This finding agrees with the work by </w:t>
      </w:r>
      <w:r w:rsidR="001A4B53" w:rsidRPr="00116003">
        <w:rPr>
          <w:lang w:val="en-NG" w:eastAsia="en-NG"/>
        </w:rPr>
        <w:t>UNESCO (2022) emphasized that universities across developing countries are increasingly expanding lifelong learning and continuing education programmes to improve employability, professional competence</w:t>
      </w:r>
      <w:r w:rsidR="001A4B53">
        <w:rPr>
          <w:lang w:eastAsia="en-NG"/>
        </w:rPr>
        <w:t xml:space="preserve"> </w:t>
      </w:r>
      <w:r w:rsidR="001A4B53" w:rsidRPr="00116003">
        <w:rPr>
          <w:lang w:val="en-NG" w:eastAsia="en-NG"/>
        </w:rPr>
        <w:t>and social inclusion among adult learners. The report noted that continuing education and professional development programmes remain the most common forms of adult learning initiatives in tertiary institutions, which supports the high mean scores recorded for continuing education and professional certification programmes in this study.</w:t>
      </w:r>
      <w:r w:rsidR="001A4B53">
        <w:rPr>
          <w:lang w:eastAsia="en-NG"/>
        </w:rPr>
        <w:t xml:space="preserve"> </w:t>
      </w:r>
      <w:r w:rsidR="001A4B53" w:rsidRPr="00116003">
        <w:rPr>
          <w:lang w:val="en-NG" w:eastAsia="en-NG"/>
        </w:rPr>
        <w:t>Similarly, National Universities Commission (2023) reported that Nigerian universities have intensified efforts toward expanding part-time degree programmes, entrepreneurship education, and vocational skills acquisition in response to labour market demands and the need for lifelong learning opportunities. This aligns with the findings that continuing education, vocational training and entrepreneurship programmes are widely available at Obafemi Awolowo University.</w:t>
      </w:r>
    </w:p>
    <w:p w14:paraId="09EDF404" w14:textId="3AA7ABE4" w:rsidR="0097184A" w:rsidRPr="00D9201F" w:rsidRDefault="00C84C2C" w:rsidP="00D9201F">
      <w:pPr>
        <w:spacing w:before="100" w:beforeAutospacing="1" w:after="100" w:afterAutospacing="1" w:line="360" w:lineRule="auto"/>
        <w:jc w:val="both"/>
        <w:rPr>
          <w:lang w:val="en-NG" w:eastAsia="en-NG"/>
        </w:rPr>
      </w:pPr>
      <w:r w:rsidRPr="00C84C2C">
        <w:rPr>
          <w:b/>
          <w:bCs/>
        </w:rPr>
        <w:t>Research Question 2:</w:t>
      </w:r>
      <w:r w:rsidR="0097184A">
        <w:t xml:space="preserve"> </w:t>
      </w:r>
      <w:r w:rsidRPr="0097184A">
        <w:rPr>
          <w:iCs/>
        </w:rPr>
        <w:t>What is the level of participation in capacity-building programmes of adult learners at Obafemi Awolowo University, Ile-Ife</w:t>
      </w:r>
      <w:r w:rsidR="00204637">
        <w:rPr>
          <w:iCs/>
        </w:rPr>
        <w:t>, Nigeria</w:t>
      </w:r>
      <w:r w:rsidRPr="0097184A">
        <w:rPr>
          <w:iCs/>
        </w:rPr>
        <w:t>?</w:t>
      </w:r>
    </w:p>
    <w:p w14:paraId="591BB3A8" w14:textId="04991445" w:rsidR="002A0921" w:rsidRDefault="00BF2645" w:rsidP="00E91B28">
      <w:pPr>
        <w:spacing w:before="100" w:beforeAutospacing="1" w:after="100" w:afterAutospacing="1"/>
        <w:rPr>
          <w:b/>
        </w:rPr>
      </w:pPr>
      <w:r w:rsidRPr="00BF2645">
        <w:rPr>
          <w:b/>
          <w:bCs/>
        </w:rPr>
        <w:lastRenderedPageBreak/>
        <w:t>Table 3</w:t>
      </w:r>
      <w:r w:rsidR="00C84C2C" w:rsidRPr="00BF2645">
        <w:rPr>
          <w:b/>
          <w:bCs/>
        </w:rPr>
        <w:t>: Level of Adult Learners’ Participation in Capacity-Building Programmes</w:t>
      </w:r>
    </w:p>
    <w:tbl>
      <w:tblPr>
        <w:tblStyle w:val="TableGrid"/>
        <w:tblW w:w="10097" w:type="dxa"/>
        <w:tblLook w:val="04A0" w:firstRow="1" w:lastRow="0" w:firstColumn="1" w:lastColumn="0" w:noHBand="0" w:noVBand="1"/>
      </w:tblPr>
      <w:tblGrid>
        <w:gridCol w:w="590"/>
        <w:gridCol w:w="1829"/>
        <w:gridCol w:w="1563"/>
        <w:gridCol w:w="1563"/>
        <w:gridCol w:w="1563"/>
        <w:gridCol w:w="1563"/>
        <w:gridCol w:w="803"/>
        <w:gridCol w:w="636"/>
      </w:tblGrid>
      <w:tr w:rsidR="00BF2645" w14:paraId="6269DDEB" w14:textId="77777777" w:rsidTr="00BF2645">
        <w:tc>
          <w:tcPr>
            <w:tcW w:w="590" w:type="dxa"/>
          </w:tcPr>
          <w:p w14:paraId="16C823FA" w14:textId="77777777" w:rsidR="00BF2645" w:rsidRDefault="00BF2645">
            <w:pPr>
              <w:rPr>
                <w:b/>
              </w:rPr>
            </w:pPr>
            <w:r>
              <w:rPr>
                <w:b/>
              </w:rPr>
              <w:t>S/N</w:t>
            </w:r>
          </w:p>
        </w:tc>
        <w:tc>
          <w:tcPr>
            <w:tcW w:w="1829" w:type="dxa"/>
          </w:tcPr>
          <w:p w14:paraId="1718EF89" w14:textId="77777777" w:rsidR="00BF2645" w:rsidRDefault="00BF2645">
            <w:pPr>
              <w:rPr>
                <w:b/>
              </w:rPr>
            </w:pPr>
            <w:r>
              <w:rPr>
                <w:b/>
              </w:rPr>
              <w:t>Participation Indicator</w:t>
            </w:r>
          </w:p>
        </w:tc>
        <w:tc>
          <w:tcPr>
            <w:tcW w:w="1563" w:type="dxa"/>
          </w:tcPr>
          <w:p w14:paraId="32AA19B6" w14:textId="77777777" w:rsidR="00BF2645" w:rsidRDefault="00BF2645">
            <w:pPr>
              <w:rPr>
                <w:b/>
              </w:rPr>
            </w:pPr>
            <w:r>
              <w:rPr>
                <w:b/>
              </w:rPr>
              <w:t>Very High Participation</w:t>
            </w:r>
          </w:p>
        </w:tc>
        <w:tc>
          <w:tcPr>
            <w:tcW w:w="1563" w:type="dxa"/>
          </w:tcPr>
          <w:p w14:paraId="42A924C6" w14:textId="77777777" w:rsidR="00BF2645" w:rsidRDefault="00BF2645">
            <w:pPr>
              <w:rPr>
                <w:b/>
              </w:rPr>
            </w:pPr>
            <w:r>
              <w:rPr>
                <w:b/>
              </w:rPr>
              <w:t>High Participation</w:t>
            </w:r>
          </w:p>
        </w:tc>
        <w:tc>
          <w:tcPr>
            <w:tcW w:w="1563" w:type="dxa"/>
          </w:tcPr>
          <w:p w14:paraId="6DF4889C" w14:textId="77777777" w:rsidR="00BF2645" w:rsidRDefault="00BF2645">
            <w:pPr>
              <w:rPr>
                <w:b/>
              </w:rPr>
            </w:pPr>
            <w:r>
              <w:rPr>
                <w:b/>
              </w:rPr>
              <w:t xml:space="preserve">Low Participation </w:t>
            </w:r>
          </w:p>
        </w:tc>
        <w:tc>
          <w:tcPr>
            <w:tcW w:w="1563" w:type="dxa"/>
          </w:tcPr>
          <w:p w14:paraId="5929A9DA" w14:textId="77777777" w:rsidR="00BF2645" w:rsidRDefault="00BF2645">
            <w:pPr>
              <w:rPr>
                <w:b/>
              </w:rPr>
            </w:pPr>
            <w:r>
              <w:rPr>
                <w:b/>
              </w:rPr>
              <w:t>Very Low Participation</w:t>
            </w:r>
          </w:p>
        </w:tc>
        <w:tc>
          <w:tcPr>
            <w:tcW w:w="803" w:type="dxa"/>
          </w:tcPr>
          <w:p w14:paraId="2E6600AA" w14:textId="77777777" w:rsidR="00BF2645" w:rsidRDefault="00BF2645">
            <w:pPr>
              <w:rPr>
                <w:b/>
              </w:rPr>
            </w:pPr>
            <w:r>
              <w:rPr>
                <w:b/>
              </w:rPr>
              <w:t>Mean</w:t>
            </w:r>
          </w:p>
        </w:tc>
        <w:tc>
          <w:tcPr>
            <w:tcW w:w="623" w:type="dxa"/>
          </w:tcPr>
          <w:p w14:paraId="1A3445E3" w14:textId="77777777" w:rsidR="00BF2645" w:rsidRDefault="00BF2645">
            <w:pPr>
              <w:rPr>
                <w:b/>
              </w:rPr>
            </w:pPr>
            <w:r>
              <w:rPr>
                <w:b/>
              </w:rPr>
              <w:t>Std. Dev</w:t>
            </w:r>
          </w:p>
        </w:tc>
      </w:tr>
      <w:tr w:rsidR="00BF2645" w:rsidRPr="003013FD" w14:paraId="4D84570A" w14:textId="77777777" w:rsidTr="00BF2645">
        <w:tc>
          <w:tcPr>
            <w:tcW w:w="590" w:type="dxa"/>
          </w:tcPr>
          <w:p w14:paraId="12737304" w14:textId="77777777" w:rsidR="00BF2645" w:rsidRPr="00BF2645" w:rsidRDefault="00BF2645">
            <w:r w:rsidRPr="00BF2645">
              <w:t>1</w:t>
            </w:r>
          </w:p>
        </w:tc>
        <w:tc>
          <w:tcPr>
            <w:tcW w:w="1829" w:type="dxa"/>
          </w:tcPr>
          <w:p w14:paraId="7210107B" w14:textId="77777777" w:rsidR="00BF2645" w:rsidRDefault="00BF2645">
            <w:pPr>
              <w:rPr>
                <w:b/>
              </w:rPr>
            </w:pPr>
            <w:r w:rsidRPr="00C84C2C">
              <w:t>Attendance at digital literacy and ICT training programmes</w:t>
            </w:r>
          </w:p>
        </w:tc>
        <w:tc>
          <w:tcPr>
            <w:tcW w:w="1563" w:type="dxa"/>
          </w:tcPr>
          <w:p w14:paraId="6D552914" w14:textId="780F1699" w:rsidR="00BF2645" w:rsidRPr="003013FD" w:rsidRDefault="00057AC6">
            <w:pPr>
              <w:rPr>
                <w:bCs/>
              </w:rPr>
            </w:pPr>
            <w:r w:rsidRPr="003013FD">
              <w:rPr>
                <w:bCs/>
              </w:rPr>
              <w:t>51</w:t>
            </w:r>
          </w:p>
        </w:tc>
        <w:tc>
          <w:tcPr>
            <w:tcW w:w="1563" w:type="dxa"/>
          </w:tcPr>
          <w:p w14:paraId="7715E1C4" w14:textId="3014F6BC" w:rsidR="00BF2645" w:rsidRPr="003013FD" w:rsidRDefault="00057AC6">
            <w:pPr>
              <w:rPr>
                <w:bCs/>
              </w:rPr>
            </w:pPr>
            <w:r w:rsidRPr="003013FD">
              <w:rPr>
                <w:bCs/>
              </w:rPr>
              <w:t>49</w:t>
            </w:r>
          </w:p>
        </w:tc>
        <w:tc>
          <w:tcPr>
            <w:tcW w:w="1563" w:type="dxa"/>
          </w:tcPr>
          <w:p w14:paraId="1D832600" w14:textId="4CE746DB" w:rsidR="00BF2645" w:rsidRPr="003013FD" w:rsidRDefault="00057AC6">
            <w:pPr>
              <w:rPr>
                <w:bCs/>
              </w:rPr>
            </w:pPr>
            <w:r w:rsidRPr="003013FD">
              <w:rPr>
                <w:bCs/>
              </w:rPr>
              <w:t>29</w:t>
            </w:r>
          </w:p>
        </w:tc>
        <w:tc>
          <w:tcPr>
            <w:tcW w:w="1563" w:type="dxa"/>
          </w:tcPr>
          <w:p w14:paraId="4B5582F9" w14:textId="1BCF35F0" w:rsidR="00BF2645" w:rsidRPr="003013FD" w:rsidRDefault="00057AC6">
            <w:pPr>
              <w:rPr>
                <w:bCs/>
              </w:rPr>
            </w:pPr>
            <w:r w:rsidRPr="003013FD">
              <w:rPr>
                <w:bCs/>
              </w:rPr>
              <w:t>20</w:t>
            </w:r>
          </w:p>
        </w:tc>
        <w:tc>
          <w:tcPr>
            <w:tcW w:w="803" w:type="dxa"/>
          </w:tcPr>
          <w:p w14:paraId="2A8E7468" w14:textId="40E00DD4" w:rsidR="00BF2645" w:rsidRPr="004F3108" w:rsidRDefault="00985FEC">
            <w:pPr>
              <w:rPr>
                <w:b/>
                <w:bCs/>
              </w:rPr>
            </w:pPr>
            <w:r w:rsidRPr="004F3108">
              <w:rPr>
                <w:rStyle w:val="Strong"/>
                <w:rFonts w:eastAsiaTheme="majorEastAsia"/>
                <w:b w:val="0"/>
                <w:bCs w:val="0"/>
              </w:rPr>
              <w:t>2.88</w:t>
            </w:r>
          </w:p>
        </w:tc>
        <w:tc>
          <w:tcPr>
            <w:tcW w:w="623" w:type="dxa"/>
          </w:tcPr>
          <w:p w14:paraId="36148D7A" w14:textId="2DE08ABB" w:rsidR="00BF2645" w:rsidRPr="004F3108" w:rsidRDefault="00985FEC">
            <w:pPr>
              <w:rPr>
                <w:b/>
                <w:bCs/>
              </w:rPr>
            </w:pPr>
            <w:r w:rsidRPr="004F3108">
              <w:rPr>
                <w:rStyle w:val="Strong"/>
                <w:rFonts w:eastAsiaTheme="majorEastAsia"/>
                <w:b w:val="0"/>
                <w:bCs w:val="0"/>
              </w:rPr>
              <w:t>1.03</w:t>
            </w:r>
          </w:p>
        </w:tc>
      </w:tr>
      <w:tr w:rsidR="00BF2645" w:rsidRPr="003013FD" w14:paraId="5429418C" w14:textId="77777777" w:rsidTr="00BF2645">
        <w:tc>
          <w:tcPr>
            <w:tcW w:w="590" w:type="dxa"/>
          </w:tcPr>
          <w:p w14:paraId="690BECAD" w14:textId="77777777" w:rsidR="00BF2645" w:rsidRPr="00BF2645" w:rsidRDefault="00BF2645">
            <w:r w:rsidRPr="00BF2645">
              <w:t>2</w:t>
            </w:r>
          </w:p>
        </w:tc>
        <w:tc>
          <w:tcPr>
            <w:tcW w:w="1829" w:type="dxa"/>
          </w:tcPr>
          <w:p w14:paraId="0983A515" w14:textId="77777777" w:rsidR="00BF2645" w:rsidRDefault="00BF2645">
            <w:pPr>
              <w:rPr>
                <w:b/>
              </w:rPr>
            </w:pPr>
            <w:r w:rsidRPr="00C84C2C">
              <w:t>Participation in entrepreneurship and skills acquisition programmes</w:t>
            </w:r>
          </w:p>
        </w:tc>
        <w:tc>
          <w:tcPr>
            <w:tcW w:w="1563" w:type="dxa"/>
          </w:tcPr>
          <w:p w14:paraId="1A60D040" w14:textId="3990630F" w:rsidR="00BF2645" w:rsidRPr="003013FD" w:rsidRDefault="00C927D7">
            <w:pPr>
              <w:rPr>
                <w:bCs/>
              </w:rPr>
            </w:pPr>
            <w:r w:rsidRPr="003013FD">
              <w:rPr>
                <w:bCs/>
              </w:rPr>
              <w:t>59</w:t>
            </w:r>
          </w:p>
        </w:tc>
        <w:tc>
          <w:tcPr>
            <w:tcW w:w="1563" w:type="dxa"/>
          </w:tcPr>
          <w:p w14:paraId="0F21F4E1" w14:textId="42BFCAE1" w:rsidR="00BF2645" w:rsidRPr="003013FD" w:rsidRDefault="00C927D7">
            <w:pPr>
              <w:rPr>
                <w:bCs/>
              </w:rPr>
            </w:pPr>
            <w:r w:rsidRPr="003013FD">
              <w:rPr>
                <w:bCs/>
              </w:rPr>
              <w:t>47</w:t>
            </w:r>
          </w:p>
        </w:tc>
        <w:tc>
          <w:tcPr>
            <w:tcW w:w="1563" w:type="dxa"/>
          </w:tcPr>
          <w:p w14:paraId="24BC161C" w14:textId="1837A9E0" w:rsidR="00BF2645" w:rsidRPr="003013FD" w:rsidRDefault="00C927D7">
            <w:pPr>
              <w:rPr>
                <w:bCs/>
              </w:rPr>
            </w:pPr>
            <w:r w:rsidRPr="003013FD">
              <w:rPr>
                <w:bCs/>
              </w:rPr>
              <w:t>30</w:t>
            </w:r>
          </w:p>
        </w:tc>
        <w:tc>
          <w:tcPr>
            <w:tcW w:w="1563" w:type="dxa"/>
          </w:tcPr>
          <w:p w14:paraId="5EA8F6C1" w14:textId="3BE00DC7" w:rsidR="00BF2645" w:rsidRPr="003013FD" w:rsidRDefault="00B941DC">
            <w:pPr>
              <w:rPr>
                <w:bCs/>
              </w:rPr>
            </w:pPr>
            <w:r>
              <w:rPr>
                <w:bCs/>
              </w:rPr>
              <w:t>13</w:t>
            </w:r>
          </w:p>
        </w:tc>
        <w:tc>
          <w:tcPr>
            <w:tcW w:w="803" w:type="dxa"/>
          </w:tcPr>
          <w:p w14:paraId="130F2800" w14:textId="32F504AE" w:rsidR="00BF2645" w:rsidRPr="004F3108" w:rsidRDefault="00985FEC">
            <w:pPr>
              <w:rPr>
                <w:b/>
                <w:bCs/>
              </w:rPr>
            </w:pPr>
            <w:r w:rsidRPr="004F3108">
              <w:rPr>
                <w:rStyle w:val="Strong"/>
                <w:rFonts w:eastAsiaTheme="majorEastAsia"/>
                <w:b w:val="0"/>
                <w:bCs w:val="0"/>
              </w:rPr>
              <w:t>3.02</w:t>
            </w:r>
          </w:p>
        </w:tc>
        <w:tc>
          <w:tcPr>
            <w:tcW w:w="623" w:type="dxa"/>
          </w:tcPr>
          <w:p w14:paraId="477E5254" w14:textId="0D32D6F9" w:rsidR="00BF2645" w:rsidRPr="004F3108" w:rsidRDefault="00985FEC">
            <w:pPr>
              <w:rPr>
                <w:b/>
                <w:bCs/>
              </w:rPr>
            </w:pPr>
            <w:r w:rsidRPr="004F3108">
              <w:rPr>
                <w:rStyle w:val="Strong"/>
                <w:rFonts w:eastAsiaTheme="majorEastAsia"/>
                <w:b w:val="0"/>
                <w:bCs w:val="0"/>
              </w:rPr>
              <w:t>0.96</w:t>
            </w:r>
          </w:p>
        </w:tc>
      </w:tr>
      <w:tr w:rsidR="00BF2645" w:rsidRPr="003013FD" w14:paraId="2AC1F2A4" w14:textId="77777777" w:rsidTr="00BF2645">
        <w:tc>
          <w:tcPr>
            <w:tcW w:w="590" w:type="dxa"/>
          </w:tcPr>
          <w:p w14:paraId="4DC47A51" w14:textId="77777777" w:rsidR="00BF2645" w:rsidRPr="00BF2645" w:rsidRDefault="00BF2645" w:rsidP="00BF2645">
            <w:r w:rsidRPr="00BF2645">
              <w:t>3</w:t>
            </w:r>
          </w:p>
        </w:tc>
        <w:tc>
          <w:tcPr>
            <w:tcW w:w="1829" w:type="dxa"/>
            <w:vAlign w:val="center"/>
          </w:tcPr>
          <w:p w14:paraId="059542D5" w14:textId="77777777" w:rsidR="00BF2645" w:rsidRPr="00C84C2C" w:rsidRDefault="00BF2645" w:rsidP="00BF2645">
            <w:r w:rsidRPr="00C84C2C">
              <w:t>Involvement in professional certification and continuing education programmes</w:t>
            </w:r>
          </w:p>
        </w:tc>
        <w:tc>
          <w:tcPr>
            <w:tcW w:w="1563" w:type="dxa"/>
            <w:vAlign w:val="center"/>
          </w:tcPr>
          <w:p w14:paraId="4A318AD8" w14:textId="0DF9C5F0" w:rsidR="00BF2645" w:rsidRPr="003013FD" w:rsidRDefault="00C927D7" w:rsidP="00BF2645">
            <w:pPr>
              <w:rPr>
                <w:bCs/>
              </w:rPr>
            </w:pPr>
            <w:r w:rsidRPr="003013FD">
              <w:rPr>
                <w:bCs/>
              </w:rPr>
              <w:t>57</w:t>
            </w:r>
          </w:p>
        </w:tc>
        <w:tc>
          <w:tcPr>
            <w:tcW w:w="1563" w:type="dxa"/>
          </w:tcPr>
          <w:p w14:paraId="69A8536A" w14:textId="7ACE49AD" w:rsidR="00BF2645" w:rsidRPr="003013FD" w:rsidRDefault="00C927D7" w:rsidP="00BF2645">
            <w:pPr>
              <w:rPr>
                <w:bCs/>
              </w:rPr>
            </w:pPr>
            <w:r w:rsidRPr="003013FD">
              <w:rPr>
                <w:bCs/>
              </w:rPr>
              <w:t>49</w:t>
            </w:r>
          </w:p>
        </w:tc>
        <w:tc>
          <w:tcPr>
            <w:tcW w:w="1563" w:type="dxa"/>
          </w:tcPr>
          <w:p w14:paraId="7994E644" w14:textId="6D293AE2" w:rsidR="00BF2645" w:rsidRPr="003013FD" w:rsidRDefault="00C927D7" w:rsidP="00BF2645">
            <w:pPr>
              <w:rPr>
                <w:bCs/>
              </w:rPr>
            </w:pPr>
            <w:r w:rsidRPr="003013FD">
              <w:rPr>
                <w:bCs/>
              </w:rPr>
              <w:t>33</w:t>
            </w:r>
          </w:p>
        </w:tc>
        <w:tc>
          <w:tcPr>
            <w:tcW w:w="1563" w:type="dxa"/>
          </w:tcPr>
          <w:p w14:paraId="6052B9F5" w14:textId="6E897BED" w:rsidR="00BF2645" w:rsidRPr="003013FD" w:rsidRDefault="00B941DC" w:rsidP="00BF2645">
            <w:pPr>
              <w:rPr>
                <w:bCs/>
              </w:rPr>
            </w:pPr>
            <w:r>
              <w:rPr>
                <w:bCs/>
              </w:rPr>
              <w:t>10</w:t>
            </w:r>
          </w:p>
        </w:tc>
        <w:tc>
          <w:tcPr>
            <w:tcW w:w="803" w:type="dxa"/>
          </w:tcPr>
          <w:p w14:paraId="60B4E490" w14:textId="3D6FE3F8" w:rsidR="00BF2645" w:rsidRPr="004F3108" w:rsidRDefault="00985FEC" w:rsidP="00BF2645">
            <w:pPr>
              <w:rPr>
                <w:b/>
                <w:bCs/>
              </w:rPr>
            </w:pPr>
            <w:r w:rsidRPr="004F3108">
              <w:rPr>
                <w:rStyle w:val="Strong"/>
                <w:rFonts w:eastAsiaTheme="majorEastAsia"/>
                <w:b w:val="0"/>
                <w:bCs w:val="0"/>
              </w:rPr>
              <w:t>3.03</w:t>
            </w:r>
          </w:p>
        </w:tc>
        <w:tc>
          <w:tcPr>
            <w:tcW w:w="623" w:type="dxa"/>
          </w:tcPr>
          <w:p w14:paraId="16B14C1F" w14:textId="382CDAFE" w:rsidR="00BF2645" w:rsidRPr="004F3108" w:rsidRDefault="00FD5462" w:rsidP="00BF2645">
            <w:pPr>
              <w:rPr>
                <w:b/>
                <w:bCs/>
              </w:rPr>
            </w:pPr>
            <w:r w:rsidRPr="004F3108">
              <w:rPr>
                <w:rStyle w:val="Strong"/>
                <w:rFonts w:eastAsiaTheme="majorEastAsia"/>
                <w:b w:val="0"/>
                <w:bCs w:val="0"/>
              </w:rPr>
              <w:t>0.93</w:t>
            </w:r>
          </w:p>
        </w:tc>
      </w:tr>
      <w:tr w:rsidR="00BF2645" w:rsidRPr="003013FD" w14:paraId="6E0C6FCD" w14:textId="77777777" w:rsidTr="00BF2645">
        <w:tc>
          <w:tcPr>
            <w:tcW w:w="590" w:type="dxa"/>
          </w:tcPr>
          <w:p w14:paraId="6D864BF3" w14:textId="77777777" w:rsidR="00BF2645" w:rsidRPr="00BF2645" w:rsidRDefault="00BF2645" w:rsidP="00BF2645">
            <w:r w:rsidRPr="00BF2645">
              <w:t>4</w:t>
            </w:r>
          </w:p>
        </w:tc>
        <w:tc>
          <w:tcPr>
            <w:tcW w:w="1829" w:type="dxa"/>
          </w:tcPr>
          <w:p w14:paraId="541CA954" w14:textId="77777777" w:rsidR="00BF2645" w:rsidRDefault="00BF2645" w:rsidP="00BF2645">
            <w:pPr>
              <w:rPr>
                <w:b/>
              </w:rPr>
            </w:pPr>
            <w:r w:rsidRPr="00C84C2C">
              <w:t>Participation in library-organised information literacy and research skills workshops</w:t>
            </w:r>
          </w:p>
        </w:tc>
        <w:tc>
          <w:tcPr>
            <w:tcW w:w="1563" w:type="dxa"/>
          </w:tcPr>
          <w:p w14:paraId="6A98E5B0" w14:textId="5849F46E" w:rsidR="00BF2645" w:rsidRPr="003013FD" w:rsidRDefault="00C927D7" w:rsidP="00BF2645">
            <w:pPr>
              <w:rPr>
                <w:bCs/>
              </w:rPr>
            </w:pPr>
            <w:r w:rsidRPr="003013FD">
              <w:rPr>
                <w:bCs/>
              </w:rPr>
              <w:t>47</w:t>
            </w:r>
          </w:p>
        </w:tc>
        <w:tc>
          <w:tcPr>
            <w:tcW w:w="1563" w:type="dxa"/>
          </w:tcPr>
          <w:p w14:paraId="06B0798B" w14:textId="42BBC68A" w:rsidR="00BF2645" w:rsidRPr="003013FD" w:rsidRDefault="003013FD" w:rsidP="00BF2645">
            <w:pPr>
              <w:rPr>
                <w:bCs/>
              </w:rPr>
            </w:pPr>
            <w:r w:rsidRPr="003013FD">
              <w:rPr>
                <w:bCs/>
              </w:rPr>
              <w:t>53</w:t>
            </w:r>
          </w:p>
        </w:tc>
        <w:tc>
          <w:tcPr>
            <w:tcW w:w="1563" w:type="dxa"/>
          </w:tcPr>
          <w:p w14:paraId="3B336C7D" w14:textId="3096882D" w:rsidR="00BF2645" w:rsidRPr="003013FD" w:rsidRDefault="003013FD" w:rsidP="00BF2645">
            <w:pPr>
              <w:rPr>
                <w:bCs/>
              </w:rPr>
            </w:pPr>
            <w:r w:rsidRPr="003013FD">
              <w:rPr>
                <w:bCs/>
              </w:rPr>
              <w:t>39</w:t>
            </w:r>
          </w:p>
        </w:tc>
        <w:tc>
          <w:tcPr>
            <w:tcW w:w="1563" w:type="dxa"/>
          </w:tcPr>
          <w:p w14:paraId="3ED5CA95" w14:textId="3C9293FF" w:rsidR="00BF2645" w:rsidRPr="003013FD" w:rsidRDefault="00B941DC" w:rsidP="00BF2645">
            <w:pPr>
              <w:rPr>
                <w:bCs/>
              </w:rPr>
            </w:pPr>
            <w:r>
              <w:rPr>
                <w:bCs/>
              </w:rPr>
              <w:t>10</w:t>
            </w:r>
          </w:p>
        </w:tc>
        <w:tc>
          <w:tcPr>
            <w:tcW w:w="803" w:type="dxa"/>
          </w:tcPr>
          <w:p w14:paraId="2AC9816F" w14:textId="6F4AA36F" w:rsidR="00BF2645" w:rsidRPr="004F3108" w:rsidRDefault="00FD5462" w:rsidP="00BF2645">
            <w:pPr>
              <w:rPr>
                <w:b/>
                <w:bCs/>
              </w:rPr>
            </w:pPr>
            <w:r w:rsidRPr="004F3108">
              <w:rPr>
                <w:rStyle w:val="Strong"/>
                <w:rFonts w:eastAsiaTheme="majorEastAsia"/>
                <w:b w:val="0"/>
                <w:bCs w:val="0"/>
              </w:rPr>
              <w:t>2.92</w:t>
            </w:r>
          </w:p>
        </w:tc>
        <w:tc>
          <w:tcPr>
            <w:tcW w:w="623" w:type="dxa"/>
          </w:tcPr>
          <w:p w14:paraId="0F7747DC" w14:textId="04E993AC" w:rsidR="00BF2645" w:rsidRPr="004F3108" w:rsidRDefault="00FD5462" w:rsidP="00BF2645">
            <w:pPr>
              <w:rPr>
                <w:b/>
                <w:bCs/>
              </w:rPr>
            </w:pPr>
            <w:r w:rsidRPr="004F3108">
              <w:rPr>
                <w:rStyle w:val="Strong"/>
                <w:rFonts w:eastAsiaTheme="majorEastAsia"/>
                <w:b w:val="0"/>
                <w:bCs w:val="0"/>
              </w:rPr>
              <w:t>0.94</w:t>
            </w:r>
          </w:p>
        </w:tc>
      </w:tr>
      <w:tr w:rsidR="00BF2645" w:rsidRPr="003013FD" w14:paraId="344A3362" w14:textId="77777777" w:rsidTr="00BF2645">
        <w:tc>
          <w:tcPr>
            <w:tcW w:w="590" w:type="dxa"/>
          </w:tcPr>
          <w:p w14:paraId="6E2A041B" w14:textId="77777777" w:rsidR="00BF2645" w:rsidRPr="00BF2645" w:rsidRDefault="00BF2645" w:rsidP="00BF2645">
            <w:r w:rsidRPr="00BF2645">
              <w:t>5</w:t>
            </w:r>
          </w:p>
        </w:tc>
        <w:tc>
          <w:tcPr>
            <w:tcW w:w="1829" w:type="dxa"/>
          </w:tcPr>
          <w:p w14:paraId="5CEC6ABB" w14:textId="77777777" w:rsidR="00BF2645" w:rsidRDefault="00BF2645" w:rsidP="00BF2645">
            <w:pPr>
              <w:rPr>
                <w:b/>
              </w:rPr>
            </w:pPr>
            <w:r w:rsidRPr="00C84C2C">
              <w:t>Engagement in leadership and management development programmes</w:t>
            </w:r>
          </w:p>
        </w:tc>
        <w:tc>
          <w:tcPr>
            <w:tcW w:w="1563" w:type="dxa"/>
          </w:tcPr>
          <w:p w14:paraId="74C76990" w14:textId="15A0D98F" w:rsidR="00BF2645" w:rsidRPr="003013FD" w:rsidRDefault="003013FD" w:rsidP="00BF2645">
            <w:pPr>
              <w:rPr>
                <w:bCs/>
              </w:rPr>
            </w:pPr>
            <w:r w:rsidRPr="003013FD">
              <w:rPr>
                <w:bCs/>
              </w:rPr>
              <w:t>39</w:t>
            </w:r>
          </w:p>
        </w:tc>
        <w:tc>
          <w:tcPr>
            <w:tcW w:w="1563" w:type="dxa"/>
          </w:tcPr>
          <w:p w14:paraId="2129AD27" w14:textId="4F26A0B7" w:rsidR="00BF2645" w:rsidRPr="003013FD" w:rsidRDefault="003013FD" w:rsidP="00BF2645">
            <w:pPr>
              <w:rPr>
                <w:bCs/>
              </w:rPr>
            </w:pPr>
            <w:r w:rsidRPr="003013FD">
              <w:rPr>
                <w:bCs/>
              </w:rPr>
              <w:t>33</w:t>
            </w:r>
          </w:p>
        </w:tc>
        <w:tc>
          <w:tcPr>
            <w:tcW w:w="1563" w:type="dxa"/>
          </w:tcPr>
          <w:p w14:paraId="56E4841D" w14:textId="7F7AA7F6" w:rsidR="00BF2645" w:rsidRPr="003013FD" w:rsidRDefault="003013FD" w:rsidP="00BF2645">
            <w:pPr>
              <w:rPr>
                <w:bCs/>
              </w:rPr>
            </w:pPr>
            <w:r w:rsidRPr="003013FD">
              <w:rPr>
                <w:bCs/>
              </w:rPr>
              <w:t>47</w:t>
            </w:r>
          </w:p>
        </w:tc>
        <w:tc>
          <w:tcPr>
            <w:tcW w:w="1563" w:type="dxa"/>
          </w:tcPr>
          <w:p w14:paraId="17AD294D" w14:textId="01948CEC" w:rsidR="00BF2645" w:rsidRPr="003013FD" w:rsidRDefault="00B941DC" w:rsidP="00BF2645">
            <w:pPr>
              <w:rPr>
                <w:bCs/>
              </w:rPr>
            </w:pPr>
            <w:r>
              <w:rPr>
                <w:bCs/>
              </w:rPr>
              <w:t>30</w:t>
            </w:r>
          </w:p>
        </w:tc>
        <w:tc>
          <w:tcPr>
            <w:tcW w:w="803" w:type="dxa"/>
          </w:tcPr>
          <w:p w14:paraId="69161D80" w14:textId="13BC8F78" w:rsidR="00BF2645" w:rsidRPr="004F3108" w:rsidRDefault="00FD5462" w:rsidP="00BF2645">
            <w:pPr>
              <w:rPr>
                <w:b/>
                <w:bCs/>
              </w:rPr>
            </w:pPr>
            <w:r w:rsidRPr="004F3108">
              <w:rPr>
                <w:rStyle w:val="Strong"/>
                <w:rFonts w:eastAsiaTheme="majorEastAsia"/>
                <w:b w:val="0"/>
                <w:bCs w:val="0"/>
              </w:rPr>
              <w:t>2.54</w:t>
            </w:r>
          </w:p>
        </w:tc>
        <w:tc>
          <w:tcPr>
            <w:tcW w:w="623" w:type="dxa"/>
          </w:tcPr>
          <w:p w14:paraId="1076AFFD" w14:textId="69180328" w:rsidR="00BF2645" w:rsidRPr="004F3108" w:rsidRDefault="00FD5462" w:rsidP="00BF2645">
            <w:pPr>
              <w:rPr>
                <w:b/>
                <w:bCs/>
              </w:rPr>
            </w:pPr>
            <w:r w:rsidRPr="004F3108">
              <w:rPr>
                <w:rStyle w:val="Strong"/>
                <w:rFonts w:eastAsiaTheme="majorEastAsia"/>
                <w:b w:val="0"/>
                <w:bCs w:val="0"/>
              </w:rPr>
              <w:t>1.07</w:t>
            </w:r>
          </w:p>
        </w:tc>
      </w:tr>
      <w:tr w:rsidR="00BF2645" w:rsidRPr="003013FD" w14:paraId="46EBB008" w14:textId="77777777" w:rsidTr="00BF2645">
        <w:tc>
          <w:tcPr>
            <w:tcW w:w="590" w:type="dxa"/>
          </w:tcPr>
          <w:p w14:paraId="1DA21277" w14:textId="77777777" w:rsidR="00BF2645" w:rsidRPr="00BF2645" w:rsidRDefault="00BF2645" w:rsidP="00BF2645">
            <w:r w:rsidRPr="00BF2645">
              <w:t>6</w:t>
            </w:r>
          </w:p>
        </w:tc>
        <w:tc>
          <w:tcPr>
            <w:tcW w:w="1829" w:type="dxa"/>
          </w:tcPr>
          <w:p w14:paraId="6DAB2D3A" w14:textId="77777777" w:rsidR="00BF2645" w:rsidRDefault="00BF2645" w:rsidP="00BF2645">
            <w:pPr>
              <w:rPr>
                <w:b/>
              </w:rPr>
            </w:pPr>
            <w:r w:rsidRPr="00C84C2C">
              <w:t>Participation in vocational and technical skills training</w:t>
            </w:r>
          </w:p>
        </w:tc>
        <w:tc>
          <w:tcPr>
            <w:tcW w:w="1563" w:type="dxa"/>
          </w:tcPr>
          <w:p w14:paraId="5AF30DA5" w14:textId="219A6FB8" w:rsidR="00BF2645" w:rsidRPr="003013FD" w:rsidRDefault="003013FD" w:rsidP="00BF2645">
            <w:pPr>
              <w:rPr>
                <w:bCs/>
              </w:rPr>
            </w:pPr>
            <w:r w:rsidRPr="003013FD">
              <w:rPr>
                <w:bCs/>
              </w:rPr>
              <w:t>47</w:t>
            </w:r>
          </w:p>
        </w:tc>
        <w:tc>
          <w:tcPr>
            <w:tcW w:w="1563" w:type="dxa"/>
          </w:tcPr>
          <w:p w14:paraId="395F4B48" w14:textId="2F4097B0" w:rsidR="00BF2645" w:rsidRPr="003013FD" w:rsidRDefault="003013FD" w:rsidP="00BF2645">
            <w:pPr>
              <w:rPr>
                <w:bCs/>
              </w:rPr>
            </w:pPr>
            <w:r w:rsidRPr="003013FD">
              <w:rPr>
                <w:bCs/>
              </w:rPr>
              <w:t>49</w:t>
            </w:r>
          </w:p>
        </w:tc>
        <w:tc>
          <w:tcPr>
            <w:tcW w:w="1563" w:type="dxa"/>
          </w:tcPr>
          <w:p w14:paraId="17D7E8EB" w14:textId="25FDE26D" w:rsidR="00BF2645" w:rsidRPr="003013FD" w:rsidRDefault="00B941DC" w:rsidP="00BF2645">
            <w:pPr>
              <w:rPr>
                <w:bCs/>
              </w:rPr>
            </w:pPr>
            <w:r>
              <w:rPr>
                <w:bCs/>
              </w:rPr>
              <w:t>43</w:t>
            </w:r>
          </w:p>
        </w:tc>
        <w:tc>
          <w:tcPr>
            <w:tcW w:w="1563" w:type="dxa"/>
          </w:tcPr>
          <w:p w14:paraId="510F3817" w14:textId="1F55DE96" w:rsidR="00BF2645" w:rsidRPr="003013FD" w:rsidRDefault="00B941DC" w:rsidP="00BF2645">
            <w:pPr>
              <w:rPr>
                <w:bCs/>
              </w:rPr>
            </w:pPr>
            <w:r>
              <w:rPr>
                <w:bCs/>
              </w:rPr>
              <w:t>10</w:t>
            </w:r>
          </w:p>
        </w:tc>
        <w:tc>
          <w:tcPr>
            <w:tcW w:w="803" w:type="dxa"/>
          </w:tcPr>
          <w:p w14:paraId="4FE7B773" w14:textId="0FC564E9" w:rsidR="00BF2645" w:rsidRPr="004F3108" w:rsidRDefault="00FD5462" w:rsidP="00BF2645">
            <w:pPr>
              <w:rPr>
                <w:b/>
                <w:bCs/>
              </w:rPr>
            </w:pPr>
            <w:r w:rsidRPr="004F3108">
              <w:rPr>
                <w:rStyle w:val="Strong"/>
                <w:rFonts w:eastAsiaTheme="majorEastAsia"/>
                <w:b w:val="0"/>
                <w:bCs w:val="0"/>
              </w:rPr>
              <w:t>2.89</w:t>
            </w:r>
          </w:p>
        </w:tc>
        <w:tc>
          <w:tcPr>
            <w:tcW w:w="623" w:type="dxa"/>
          </w:tcPr>
          <w:p w14:paraId="0775A29A" w14:textId="7427765D" w:rsidR="00BF2645" w:rsidRPr="004F3108" w:rsidRDefault="00FD5462" w:rsidP="00BF2645">
            <w:pPr>
              <w:rPr>
                <w:b/>
                <w:bCs/>
              </w:rPr>
            </w:pPr>
            <w:r w:rsidRPr="004F3108">
              <w:rPr>
                <w:rStyle w:val="Strong"/>
                <w:rFonts w:eastAsiaTheme="majorEastAsia"/>
                <w:b w:val="0"/>
                <w:bCs w:val="0"/>
              </w:rPr>
              <w:t>0.93</w:t>
            </w:r>
          </w:p>
        </w:tc>
      </w:tr>
      <w:tr w:rsidR="00BF2645" w:rsidRPr="003013FD" w14:paraId="2156B5DB" w14:textId="77777777" w:rsidTr="00BF2645">
        <w:tc>
          <w:tcPr>
            <w:tcW w:w="590" w:type="dxa"/>
          </w:tcPr>
          <w:p w14:paraId="5ACD04B0" w14:textId="77777777" w:rsidR="00BF2645" w:rsidRPr="00BF2645" w:rsidRDefault="00BF2645" w:rsidP="00BF2645">
            <w:r w:rsidRPr="00BF2645">
              <w:t>7</w:t>
            </w:r>
          </w:p>
        </w:tc>
        <w:tc>
          <w:tcPr>
            <w:tcW w:w="1829" w:type="dxa"/>
          </w:tcPr>
          <w:p w14:paraId="0639AF5B" w14:textId="77777777" w:rsidR="00BF2645" w:rsidRDefault="00BF2645" w:rsidP="00BF2645">
            <w:pPr>
              <w:rPr>
                <w:b/>
              </w:rPr>
            </w:pPr>
            <w:r w:rsidRPr="00C84C2C">
              <w:t>Attendance at personal development and financial literacy programmes</w:t>
            </w:r>
          </w:p>
        </w:tc>
        <w:tc>
          <w:tcPr>
            <w:tcW w:w="1563" w:type="dxa"/>
          </w:tcPr>
          <w:p w14:paraId="6E08DA3F" w14:textId="5D05736F" w:rsidR="00BF2645" w:rsidRPr="003013FD" w:rsidRDefault="003013FD" w:rsidP="00BF2645">
            <w:pPr>
              <w:rPr>
                <w:bCs/>
              </w:rPr>
            </w:pPr>
            <w:r w:rsidRPr="003013FD">
              <w:rPr>
                <w:bCs/>
              </w:rPr>
              <w:t>39</w:t>
            </w:r>
          </w:p>
        </w:tc>
        <w:tc>
          <w:tcPr>
            <w:tcW w:w="1563" w:type="dxa"/>
          </w:tcPr>
          <w:p w14:paraId="64A998D2" w14:textId="5D3C46C5" w:rsidR="00BF2645" w:rsidRPr="003013FD" w:rsidRDefault="00B941DC" w:rsidP="00BF2645">
            <w:pPr>
              <w:rPr>
                <w:bCs/>
              </w:rPr>
            </w:pPr>
            <w:r>
              <w:rPr>
                <w:bCs/>
              </w:rPr>
              <w:t>3</w:t>
            </w:r>
            <w:r w:rsidR="003013FD" w:rsidRPr="003013FD">
              <w:rPr>
                <w:bCs/>
              </w:rPr>
              <w:t>1</w:t>
            </w:r>
          </w:p>
        </w:tc>
        <w:tc>
          <w:tcPr>
            <w:tcW w:w="1563" w:type="dxa"/>
          </w:tcPr>
          <w:p w14:paraId="5958ACE5" w14:textId="54AD3816" w:rsidR="00BF2645" w:rsidRPr="003013FD" w:rsidRDefault="00B941DC" w:rsidP="00BF2645">
            <w:pPr>
              <w:rPr>
                <w:bCs/>
              </w:rPr>
            </w:pPr>
            <w:r>
              <w:rPr>
                <w:bCs/>
              </w:rPr>
              <w:t>5</w:t>
            </w:r>
            <w:r w:rsidR="003013FD" w:rsidRPr="003013FD">
              <w:rPr>
                <w:bCs/>
              </w:rPr>
              <w:t>9</w:t>
            </w:r>
          </w:p>
        </w:tc>
        <w:tc>
          <w:tcPr>
            <w:tcW w:w="1563" w:type="dxa"/>
          </w:tcPr>
          <w:p w14:paraId="39EDA9A7" w14:textId="3C05B408" w:rsidR="00BF2645" w:rsidRPr="003013FD" w:rsidRDefault="00B941DC" w:rsidP="00BF2645">
            <w:pPr>
              <w:rPr>
                <w:bCs/>
              </w:rPr>
            </w:pPr>
            <w:r>
              <w:rPr>
                <w:bCs/>
              </w:rPr>
              <w:t>20</w:t>
            </w:r>
          </w:p>
        </w:tc>
        <w:tc>
          <w:tcPr>
            <w:tcW w:w="803" w:type="dxa"/>
          </w:tcPr>
          <w:p w14:paraId="6D924B0D" w14:textId="6D391908" w:rsidR="00BF2645" w:rsidRPr="004F3108" w:rsidRDefault="00FD5462" w:rsidP="00BF2645">
            <w:pPr>
              <w:rPr>
                <w:b/>
                <w:bCs/>
              </w:rPr>
            </w:pPr>
            <w:r w:rsidRPr="004F3108">
              <w:rPr>
                <w:rStyle w:val="Strong"/>
                <w:rFonts w:eastAsiaTheme="majorEastAsia"/>
                <w:b w:val="0"/>
                <w:bCs w:val="0"/>
              </w:rPr>
              <w:t>2.60</w:t>
            </w:r>
          </w:p>
        </w:tc>
        <w:tc>
          <w:tcPr>
            <w:tcW w:w="623" w:type="dxa"/>
          </w:tcPr>
          <w:p w14:paraId="20561455" w14:textId="22A4F7F8" w:rsidR="00BF2645" w:rsidRPr="004F3108" w:rsidRDefault="00FD5462" w:rsidP="00BF2645">
            <w:pPr>
              <w:rPr>
                <w:b/>
                <w:bCs/>
              </w:rPr>
            </w:pPr>
            <w:r w:rsidRPr="004F3108">
              <w:rPr>
                <w:rStyle w:val="Strong"/>
                <w:rFonts w:eastAsiaTheme="majorEastAsia"/>
                <w:b w:val="0"/>
                <w:bCs w:val="0"/>
              </w:rPr>
              <w:t>1.02</w:t>
            </w:r>
          </w:p>
        </w:tc>
      </w:tr>
      <w:tr w:rsidR="00BF2645" w:rsidRPr="003013FD" w14:paraId="39AED1B3" w14:textId="77777777" w:rsidTr="00BF2645">
        <w:tc>
          <w:tcPr>
            <w:tcW w:w="590" w:type="dxa"/>
          </w:tcPr>
          <w:p w14:paraId="168B5626" w14:textId="77777777" w:rsidR="00BF2645" w:rsidRPr="00BF2645" w:rsidRDefault="00BF2645" w:rsidP="00BF2645">
            <w:r w:rsidRPr="00BF2645">
              <w:t>8</w:t>
            </w:r>
          </w:p>
        </w:tc>
        <w:tc>
          <w:tcPr>
            <w:tcW w:w="1829" w:type="dxa"/>
          </w:tcPr>
          <w:p w14:paraId="7A749D22" w14:textId="77777777" w:rsidR="00BF2645" w:rsidRDefault="00BF2645" w:rsidP="00BF2645">
            <w:pPr>
              <w:rPr>
                <w:b/>
              </w:rPr>
            </w:pPr>
            <w:r w:rsidRPr="00C84C2C">
              <w:t>Participation in online or blended learning capacity-</w:t>
            </w:r>
            <w:r w:rsidRPr="00C84C2C">
              <w:lastRenderedPageBreak/>
              <w:t>building programmes</w:t>
            </w:r>
          </w:p>
        </w:tc>
        <w:tc>
          <w:tcPr>
            <w:tcW w:w="1563" w:type="dxa"/>
          </w:tcPr>
          <w:p w14:paraId="66BD1D6E" w14:textId="442286F9" w:rsidR="00BF2645" w:rsidRPr="003013FD" w:rsidRDefault="003013FD" w:rsidP="00BF2645">
            <w:pPr>
              <w:rPr>
                <w:bCs/>
              </w:rPr>
            </w:pPr>
            <w:r w:rsidRPr="003013FD">
              <w:rPr>
                <w:bCs/>
              </w:rPr>
              <w:lastRenderedPageBreak/>
              <w:t>49</w:t>
            </w:r>
          </w:p>
        </w:tc>
        <w:tc>
          <w:tcPr>
            <w:tcW w:w="1563" w:type="dxa"/>
          </w:tcPr>
          <w:p w14:paraId="001EFD60" w14:textId="6221299A" w:rsidR="00BF2645" w:rsidRPr="003013FD" w:rsidRDefault="003013FD" w:rsidP="00BF2645">
            <w:pPr>
              <w:rPr>
                <w:bCs/>
              </w:rPr>
            </w:pPr>
            <w:r w:rsidRPr="003013FD">
              <w:rPr>
                <w:bCs/>
              </w:rPr>
              <w:t>46</w:t>
            </w:r>
          </w:p>
        </w:tc>
        <w:tc>
          <w:tcPr>
            <w:tcW w:w="1563" w:type="dxa"/>
          </w:tcPr>
          <w:p w14:paraId="3FEAFB61" w14:textId="6DAB188C" w:rsidR="00BF2645" w:rsidRPr="003013FD" w:rsidRDefault="003013FD" w:rsidP="00BF2645">
            <w:pPr>
              <w:rPr>
                <w:bCs/>
              </w:rPr>
            </w:pPr>
            <w:r w:rsidRPr="003013FD">
              <w:rPr>
                <w:bCs/>
              </w:rPr>
              <w:t>32</w:t>
            </w:r>
          </w:p>
        </w:tc>
        <w:tc>
          <w:tcPr>
            <w:tcW w:w="1563" w:type="dxa"/>
          </w:tcPr>
          <w:p w14:paraId="34BA9839" w14:textId="3BA3A78E" w:rsidR="00BF2645" w:rsidRPr="003013FD" w:rsidRDefault="009220C4" w:rsidP="00BF2645">
            <w:pPr>
              <w:rPr>
                <w:bCs/>
              </w:rPr>
            </w:pPr>
            <w:r>
              <w:rPr>
                <w:bCs/>
              </w:rPr>
              <w:t>22</w:t>
            </w:r>
          </w:p>
        </w:tc>
        <w:tc>
          <w:tcPr>
            <w:tcW w:w="803" w:type="dxa"/>
          </w:tcPr>
          <w:p w14:paraId="756E9EB7" w14:textId="4926AABD" w:rsidR="00BF2645" w:rsidRPr="004F3108" w:rsidRDefault="00FD5462" w:rsidP="00BF2645">
            <w:pPr>
              <w:rPr>
                <w:b/>
                <w:bCs/>
              </w:rPr>
            </w:pPr>
            <w:r w:rsidRPr="004F3108">
              <w:rPr>
                <w:rStyle w:val="Strong"/>
                <w:rFonts w:eastAsiaTheme="majorEastAsia"/>
                <w:b w:val="0"/>
                <w:bCs w:val="0"/>
              </w:rPr>
              <w:t>2.82</w:t>
            </w:r>
          </w:p>
        </w:tc>
        <w:tc>
          <w:tcPr>
            <w:tcW w:w="623" w:type="dxa"/>
          </w:tcPr>
          <w:p w14:paraId="2FCBD4C8" w14:textId="014C887F" w:rsidR="00BF2645" w:rsidRPr="004F3108" w:rsidRDefault="00FD5462" w:rsidP="00BF2645">
            <w:pPr>
              <w:rPr>
                <w:b/>
                <w:bCs/>
              </w:rPr>
            </w:pPr>
            <w:r w:rsidRPr="004F3108">
              <w:rPr>
                <w:rStyle w:val="Strong"/>
                <w:rFonts w:eastAsiaTheme="majorEastAsia"/>
                <w:b w:val="0"/>
                <w:bCs w:val="0"/>
              </w:rPr>
              <w:t>1.05</w:t>
            </w:r>
          </w:p>
        </w:tc>
      </w:tr>
      <w:tr w:rsidR="00BF2645" w:rsidRPr="003013FD" w14:paraId="6E812525" w14:textId="77777777" w:rsidTr="00BF2645">
        <w:tc>
          <w:tcPr>
            <w:tcW w:w="590" w:type="dxa"/>
          </w:tcPr>
          <w:p w14:paraId="02AFA017" w14:textId="77777777" w:rsidR="00BF2645" w:rsidRPr="00BF2645" w:rsidRDefault="00BF2645" w:rsidP="00BF2645">
            <w:r w:rsidRPr="00BF2645">
              <w:t>9</w:t>
            </w:r>
          </w:p>
        </w:tc>
        <w:tc>
          <w:tcPr>
            <w:tcW w:w="1829" w:type="dxa"/>
          </w:tcPr>
          <w:p w14:paraId="269D4097" w14:textId="77777777" w:rsidR="00BF2645" w:rsidRDefault="00150DD9" w:rsidP="00BF2645">
            <w:pPr>
              <w:rPr>
                <w:b/>
              </w:rPr>
            </w:pPr>
            <w:r w:rsidRPr="00C84C2C">
              <w:t>Regularity of participation in capacity-building activities</w:t>
            </w:r>
          </w:p>
        </w:tc>
        <w:tc>
          <w:tcPr>
            <w:tcW w:w="1563" w:type="dxa"/>
          </w:tcPr>
          <w:p w14:paraId="79C3971A" w14:textId="53951721" w:rsidR="00BF2645" w:rsidRPr="003013FD" w:rsidRDefault="003013FD" w:rsidP="00BF2645">
            <w:pPr>
              <w:rPr>
                <w:bCs/>
              </w:rPr>
            </w:pPr>
            <w:r w:rsidRPr="003013FD">
              <w:rPr>
                <w:bCs/>
              </w:rPr>
              <w:t>51</w:t>
            </w:r>
          </w:p>
        </w:tc>
        <w:tc>
          <w:tcPr>
            <w:tcW w:w="1563" w:type="dxa"/>
          </w:tcPr>
          <w:p w14:paraId="5F88C4C4" w14:textId="73251E46" w:rsidR="00BF2645" w:rsidRPr="003013FD" w:rsidRDefault="003013FD" w:rsidP="00BF2645">
            <w:pPr>
              <w:rPr>
                <w:bCs/>
              </w:rPr>
            </w:pPr>
            <w:r w:rsidRPr="003013FD">
              <w:rPr>
                <w:bCs/>
              </w:rPr>
              <w:t>43</w:t>
            </w:r>
          </w:p>
        </w:tc>
        <w:tc>
          <w:tcPr>
            <w:tcW w:w="1563" w:type="dxa"/>
          </w:tcPr>
          <w:p w14:paraId="1CF18B04" w14:textId="55CD429D" w:rsidR="00BF2645" w:rsidRPr="003013FD" w:rsidRDefault="009220C4" w:rsidP="00BF2645">
            <w:pPr>
              <w:rPr>
                <w:bCs/>
              </w:rPr>
            </w:pPr>
            <w:r>
              <w:rPr>
                <w:bCs/>
              </w:rPr>
              <w:t>32</w:t>
            </w:r>
          </w:p>
        </w:tc>
        <w:tc>
          <w:tcPr>
            <w:tcW w:w="1563" w:type="dxa"/>
          </w:tcPr>
          <w:p w14:paraId="796EDCEF" w14:textId="433B6569" w:rsidR="00BF2645" w:rsidRPr="003013FD" w:rsidRDefault="009220C4" w:rsidP="00BF2645">
            <w:pPr>
              <w:rPr>
                <w:bCs/>
              </w:rPr>
            </w:pPr>
            <w:r>
              <w:rPr>
                <w:bCs/>
              </w:rPr>
              <w:t>23</w:t>
            </w:r>
          </w:p>
        </w:tc>
        <w:tc>
          <w:tcPr>
            <w:tcW w:w="803" w:type="dxa"/>
          </w:tcPr>
          <w:p w14:paraId="2D1EBDC7" w14:textId="5202B7C5" w:rsidR="00BF2645" w:rsidRPr="004F3108" w:rsidRDefault="00FD5462" w:rsidP="00BF2645">
            <w:pPr>
              <w:rPr>
                <w:b/>
                <w:bCs/>
              </w:rPr>
            </w:pPr>
            <w:r w:rsidRPr="004F3108">
              <w:rPr>
                <w:rStyle w:val="Strong"/>
                <w:rFonts w:eastAsiaTheme="majorEastAsia"/>
                <w:b w:val="0"/>
                <w:bCs w:val="0"/>
              </w:rPr>
              <w:t>2.82</w:t>
            </w:r>
          </w:p>
        </w:tc>
        <w:tc>
          <w:tcPr>
            <w:tcW w:w="623" w:type="dxa"/>
          </w:tcPr>
          <w:p w14:paraId="0F634600" w14:textId="116F68EE" w:rsidR="00BF2645" w:rsidRPr="004F3108" w:rsidRDefault="00FD5462" w:rsidP="00BF2645">
            <w:pPr>
              <w:rPr>
                <w:b/>
                <w:bCs/>
              </w:rPr>
            </w:pPr>
            <w:r w:rsidRPr="004F3108">
              <w:rPr>
                <w:rStyle w:val="Strong"/>
                <w:rFonts w:eastAsiaTheme="majorEastAsia"/>
                <w:b w:val="0"/>
                <w:bCs w:val="0"/>
              </w:rPr>
              <w:t>1.08</w:t>
            </w:r>
          </w:p>
        </w:tc>
      </w:tr>
      <w:tr w:rsidR="00BF2645" w:rsidRPr="003013FD" w14:paraId="2800AD9F" w14:textId="77777777" w:rsidTr="00BF2645">
        <w:tc>
          <w:tcPr>
            <w:tcW w:w="590" w:type="dxa"/>
          </w:tcPr>
          <w:p w14:paraId="6B7AF0A7" w14:textId="77777777" w:rsidR="00BF2645" w:rsidRPr="00BF2645" w:rsidRDefault="00BF2645" w:rsidP="00BF2645">
            <w:r w:rsidRPr="00BF2645">
              <w:t>10</w:t>
            </w:r>
          </w:p>
        </w:tc>
        <w:tc>
          <w:tcPr>
            <w:tcW w:w="1829" w:type="dxa"/>
          </w:tcPr>
          <w:p w14:paraId="666F2C61" w14:textId="77777777" w:rsidR="00BF2645" w:rsidRDefault="00150DD9" w:rsidP="00BF2645">
            <w:pPr>
              <w:rPr>
                <w:b/>
              </w:rPr>
            </w:pPr>
            <w:r w:rsidRPr="00C84C2C">
              <w:t>Overall involvement in adult capacity-building programmes at the university</w:t>
            </w:r>
          </w:p>
        </w:tc>
        <w:tc>
          <w:tcPr>
            <w:tcW w:w="1563" w:type="dxa"/>
          </w:tcPr>
          <w:p w14:paraId="52066CDD" w14:textId="6F3565F9" w:rsidR="00BF2645" w:rsidRPr="003013FD" w:rsidRDefault="003013FD" w:rsidP="00BF2645">
            <w:pPr>
              <w:rPr>
                <w:bCs/>
              </w:rPr>
            </w:pPr>
            <w:r w:rsidRPr="003013FD">
              <w:rPr>
                <w:bCs/>
              </w:rPr>
              <w:t>55</w:t>
            </w:r>
          </w:p>
        </w:tc>
        <w:tc>
          <w:tcPr>
            <w:tcW w:w="1563" w:type="dxa"/>
          </w:tcPr>
          <w:p w14:paraId="5B8B3C24" w14:textId="5AB0B2FA" w:rsidR="00BF2645" w:rsidRPr="003013FD" w:rsidRDefault="003013FD" w:rsidP="00BF2645">
            <w:pPr>
              <w:rPr>
                <w:bCs/>
              </w:rPr>
            </w:pPr>
            <w:r w:rsidRPr="003013FD">
              <w:rPr>
                <w:bCs/>
              </w:rPr>
              <w:t>47</w:t>
            </w:r>
          </w:p>
        </w:tc>
        <w:tc>
          <w:tcPr>
            <w:tcW w:w="1563" w:type="dxa"/>
          </w:tcPr>
          <w:p w14:paraId="078F1376" w14:textId="6D361740" w:rsidR="00BF2645" w:rsidRPr="003013FD" w:rsidRDefault="003013FD" w:rsidP="00BF2645">
            <w:pPr>
              <w:rPr>
                <w:bCs/>
              </w:rPr>
            </w:pPr>
            <w:r w:rsidRPr="003013FD">
              <w:rPr>
                <w:bCs/>
              </w:rPr>
              <w:t>33</w:t>
            </w:r>
          </w:p>
        </w:tc>
        <w:tc>
          <w:tcPr>
            <w:tcW w:w="1563" w:type="dxa"/>
          </w:tcPr>
          <w:p w14:paraId="16EA5C4D" w14:textId="053741A7" w:rsidR="00BF2645" w:rsidRPr="003013FD" w:rsidRDefault="009220C4" w:rsidP="00BF2645">
            <w:pPr>
              <w:rPr>
                <w:bCs/>
              </w:rPr>
            </w:pPr>
            <w:r>
              <w:rPr>
                <w:bCs/>
              </w:rPr>
              <w:t>14</w:t>
            </w:r>
          </w:p>
        </w:tc>
        <w:tc>
          <w:tcPr>
            <w:tcW w:w="803" w:type="dxa"/>
          </w:tcPr>
          <w:p w14:paraId="37E3C5EC" w14:textId="349A9B39" w:rsidR="00BF2645" w:rsidRPr="004F3108" w:rsidRDefault="00FD5462" w:rsidP="00BF2645">
            <w:pPr>
              <w:rPr>
                <w:b/>
                <w:bCs/>
              </w:rPr>
            </w:pPr>
            <w:r w:rsidRPr="004F3108">
              <w:rPr>
                <w:rStyle w:val="Strong"/>
                <w:rFonts w:eastAsiaTheme="majorEastAsia"/>
                <w:b w:val="0"/>
                <w:bCs w:val="0"/>
              </w:rPr>
              <w:t>2.96</w:t>
            </w:r>
          </w:p>
        </w:tc>
        <w:tc>
          <w:tcPr>
            <w:tcW w:w="623" w:type="dxa"/>
          </w:tcPr>
          <w:p w14:paraId="382CC14E" w14:textId="1EC06549" w:rsidR="00BF2645" w:rsidRPr="004F3108" w:rsidRDefault="00FD5462" w:rsidP="00BF2645">
            <w:pPr>
              <w:rPr>
                <w:b/>
                <w:bCs/>
              </w:rPr>
            </w:pPr>
            <w:r w:rsidRPr="004F3108">
              <w:rPr>
                <w:rStyle w:val="Strong"/>
                <w:rFonts w:eastAsiaTheme="majorEastAsia"/>
                <w:b w:val="0"/>
                <w:bCs w:val="0"/>
              </w:rPr>
              <w:t>0.97</w:t>
            </w:r>
          </w:p>
        </w:tc>
      </w:tr>
      <w:tr w:rsidR="009E45CA" w14:paraId="014B2C37" w14:textId="77777777" w:rsidTr="00347A75">
        <w:tc>
          <w:tcPr>
            <w:tcW w:w="10097" w:type="dxa"/>
            <w:gridSpan w:val="8"/>
          </w:tcPr>
          <w:p w14:paraId="0FD88AA2" w14:textId="51AA8207" w:rsidR="009E45CA" w:rsidRDefault="009E45CA" w:rsidP="00BF2645">
            <w:pPr>
              <w:rPr>
                <w:b/>
              </w:rPr>
            </w:pPr>
            <w:r>
              <w:rPr>
                <w:b/>
              </w:rPr>
              <w:t xml:space="preserve">                                </w:t>
            </w:r>
            <w:r w:rsidR="004F3108">
              <w:rPr>
                <w:b/>
              </w:rPr>
              <w:t xml:space="preserve">                 </w:t>
            </w:r>
            <w:r>
              <w:rPr>
                <w:b/>
              </w:rPr>
              <w:t xml:space="preserve">Total Aggregate Mean </w:t>
            </w:r>
            <w:r w:rsidRPr="00FD5462">
              <w:rPr>
                <w:b/>
              </w:rPr>
              <w:t>=</w:t>
            </w:r>
            <w:r w:rsidR="00FD5462" w:rsidRPr="00FD5462">
              <w:rPr>
                <w:b/>
              </w:rPr>
              <w:t xml:space="preserve"> </w:t>
            </w:r>
            <w:r w:rsidR="00FD5462" w:rsidRPr="00FD5462">
              <w:rPr>
                <w:rStyle w:val="mord"/>
                <w:b/>
              </w:rPr>
              <w:t>2.85</w:t>
            </w:r>
          </w:p>
        </w:tc>
      </w:tr>
    </w:tbl>
    <w:p w14:paraId="3D116FE6" w14:textId="77777777" w:rsidR="00BF2645" w:rsidRDefault="00BF2645">
      <w:pPr>
        <w:rPr>
          <w:b/>
        </w:rPr>
      </w:pPr>
    </w:p>
    <w:p w14:paraId="3D6B09E9" w14:textId="7FBC1D54" w:rsidR="001A4B53" w:rsidRDefault="00A43386" w:rsidP="001A4B53">
      <w:pPr>
        <w:pStyle w:val="NormalWeb"/>
        <w:spacing w:line="360" w:lineRule="auto"/>
        <w:jc w:val="both"/>
        <w:rPr>
          <w:lang w:val="en-NG" w:eastAsia="en-NG"/>
        </w:rPr>
      </w:pPr>
      <w:r w:rsidRPr="00A43386">
        <w:rPr>
          <w:lang w:val="en-NG" w:eastAsia="en-NG"/>
        </w:rPr>
        <w:t xml:space="preserve">Table 3 presents the level of adult learners’ participation in capacity-building programmes at Obafemi Awolowo University, Ile-Ife. The </w:t>
      </w:r>
      <w:r w:rsidRPr="00E91B28">
        <w:rPr>
          <w:lang w:val="en-NG" w:eastAsia="en-NG"/>
        </w:rPr>
        <w:t>total aggregate mean of 2.85</w:t>
      </w:r>
      <w:r w:rsidRPr="00A43386">
        <w:rPr>
          <w:lang w:val="en-NG" w:eastAsia="en-NG"/>
        </w:rPr>
        <w:t xml:space="preserve"> on a 4-point Likert scale indicates that participation is </w:t>
      </w:r>
      <w:r w:rsidRPr="00E91B28">
        <w:rPr>
          <w:lang w:val="en-NG" w:eastAsia="en-NG"/>
        </w:rPr>
        <w:t>moderately high</w:t>
      </w:r>
      <w:r w:rsidRPr="00A43386">
        <w:rPr>
          <w:lang w:val="en-NG" w:eastAsia="en-NG"/>
        </w:rPr>
        <w:t>, suggesting that adult learners are fairly involved in the available programmes, though not at an optimal level.</w:t>
      </w:r>
      <w:r>
        <w:rPr>
          <w:lang w:eastAsia="en-NG"/>
        </w:rPr>
        <w:t xml:space="preserve"> </w:t>
      </w:r>
      <w:r w:rsidRPr="00A43386">
        <w:rPr>
          <w:lang w:val="en-NG" w:eastAsia="en-NG"/>
        </w:rPr>
        <w:t xml:space="preserve">A closer examination of the data shows that </w:t>
      </w:r>
      <w:r w:rsidRPr="001F6EA2">
        <w:rPr>
          <w:lang w:val="en-NG" w:eastAsia="en-NG"/>
        </w:rPr>
        <w:t>involvement in professional certification and continuing education programmes</w:t>
      </w:r>
      <w:r w:rsidRPr="00A43386">
        <w:rPr>
          <w:lang w:val="en-NG" w:eastAsia="en-NG"/>
        </w:rPr>
        <w:t xml:space="preserve"> recorded the highest mean </w:t>
      </w:r>
      <w:r w:rsidRPr="001F6EA2">
        <w:rPr>
          <w:lang w:val="en-NG" w:eastAsia="en-NG"/>
        </w:rPr>
        <w:t>(3.03),</w:t>
      </w:r>
      <w:r w:rsidRPr="00A43386">
        <w:rPr>
          <w:lang w:val="en-NG" w:eastAsia="en-NG"/>
        </w:rPr>
        <w:t xml:space="preserve"> closely followed by </w:t>
      </w:r>
      <w:r w:rsidRPr="001F6EA2">
        <w:rPr>
          <w:lang w:val="en-NG" w:eastAsia="en-NG"/>
        </w:rPr>
        <w:t>participation in entrepreneurship and skills acquisition programmes (3.02)</w:t>
      </w:r>
      <w:r w:rsidRPr="00A43386">
        <w:rPr>
          <w:lang w:val="en-NG" w:eastAsia="en-NG"/>
        </w:rPr>
        <w:t>. This implies that adult learners are more actively engaged in programmes that directly enhance their academic qualifications and economic opportunities.</w:t>
      </w:r>
      <w:r>
        <w:rPr>
          <w:lang w:eastAsia="en-NG"/>
        </w:rPr>
        <w:t xml:space="preserve"> </w:t>
      </w:r>
      <w:r w:rsidRPr="00A43386">
        <w:rPr>
          <w:lang w:val="en-NG" w:eastAsia="en-NG"/>
        </w:rPr>
        <w:t xml:space="preserve">Similarly, </w:t>
      </w:r>
      <w:r w:rsidRPr="001F6EA2">
        <w:rPr>
          <w:lang w:val="en-NG" w:eastAsia="en-NG"/>
        </w:rPr>
        <w:t>overall involvement in capacity-building programmes (2.96)</w:t>
      </w:r>
      <w:r w:rsidRPr="00A43386">
        <w:rPr>
          <w:lang w:val="en-NG" w:eastAsia="en-NG"/>
        </w:rPr>
        <w:t xml:space="preserve"> and </w:t>
      </w:r>
      <w:r w:rsidRPr="001F6EA2">
        <w:rPr>
          <w:lang w:val="en-NG" w:eastAsia="en-NG"/>
        </w:rPr>
        <w:t xml:space="preserve">participation in library-organised information literacy and research skills workshops (2.92) </w:t>
      </w:r>
      <w:r w:rsidRPr="00A43386">
        <w:rPr>
          <w:lang w:val="en-NG" w:eastAsia="en-NG"/>
        </w:rPr>
        <w:t xml:space="preserve">indicate a relatively high level of engagement. </w:t>
      </w:r>
      <w:r w:rsidRPr="001F6EA2">
        <w:rPr>
          <w:lang w:val="en-NG" w:eastAsia="en-NG"/>
        </w:rPr>
        <w:t>Participation in vocational and technical skills training (2.89)</w:t>
      </w:r>
      <w:r w:rsidRPr="00A43386">
        <w:rPr>
          <w:lang w:val="en-NG" w:eastAsia="en-NG"/>
        </w:rPr>
        <w:t xml:space="preserve"> and </w:t>
      </w:r>
      <w:r w:rsidRPr="001F6EA2">
        <w:rPr>
          <w:lang w:val="en-NG" w:eastAsia="en-NG"/>
        </w:rPr>
        <w:t>attendance at digital literacy and ICT training programmes (2.88)</w:t>
      </w:r>
      <w:r w:rsidRPr="00A43386">
        <w:rPr>
          <w:lang w:val="en-NG" w:eastAsia="en-NG"/>
        </w:rPr>
        <w:t xml:space="preserve"> also reflect moderate participation levels.</w:t>
      </w:r>
      <w:r w:rsidR="00831EB3">
        <w:rPr>
          <w:lang w:eastAsia="en-NG"/>
        </w:rPr>
        <w:t xml:space="preserve"> </w:t>
      </w:r>
      <w:r w:rsidRPr="00A43386">
        <w:rPr>
          <w:lang w:val="en-NG" w:eastAsia="en-NG"/>
        </w:rPr>
        <w:t xml:space="preserve">However, lower levels of participation were observed in certain areas. </w:t>
      </w:r>
      <w:r w:rsidRPr="001F6EA2">
        <w:rPr>
          <w:lang w:val="en-NG" w:eastAsia="en-NG"/>
        </w:rPr>
        <w:t>Participation in online or blended learning programmes and regularity of participation in capacity-building activities</w:t>
      </w:r>
      <w:r w:rsidRPr="00A43386">
        <w:rPr>
          <w:lang w:val="en-NG" w:eastAsia="en-NG"/>
        </w:rPr>
        <w:t xml:space="preserve"> both recorded a mean of </w:t>
      </w:r>
      <w:r w:rsidRPr="001F6EA2">
        <w:rPr>
          <w:lang w:val="en-NG" w:eastAsia="en-NG"/>
        </w:rPr>
        <w:t>2.82</w:t>
      </w:r>
      <w:r w:rsidRPr="00A43386">
        <w:rPr>
          <w:lang w:val="en-NG" w:eastAsia="en-NG"/>
        </w:rPr>
        <w:t xml:space="preserve">, indicating only moderate engagement. More notably, </w:t>
      </w:r>
      <w:r w:rsidRPr="001F6EA2">
        <w:rPr>
          <w:lang w:val="en-NG" w:eastAsia="en-NG"/>
        </w:rPr>
        <w:t>attendance at personal development and financial literacy programmes (2.60)</w:t>
      </w:r>
      <w:r w:rsidRPr="00A43386">
        <w:rPr>
          <w:lang w:val="en-NG" w:eastAsia="en-NG"/>
        </w:rPr>
        <w:t xml:space="preserve"> and </w:t>
      </w:r>
      <w:r w:rsidRPr="001F6EA2">
        <w:rPr>
          <w:lang w:val="en-NG" w:eastAsia="en-NG"/>
        </w:rPr>
        <w:t>engagement in leadership and management development programmes (2.54</w:t>
      </w:r>
      <w:r w:rsidRPr="00A43386">
        <w:rPr>
          <w:lang w:val="en-NG" w:eastAsia="en-NG"/>
        </w:rPr>
        <w:t>) recorded the lowest mean scores, suggesting relatively low participation in these areas.</w:t>
      </w:r>
      <w:r w:rsidR="00831EB3">
        <w:rPr>
          <w:lang w:eastAsia="en-NG"/>
        </w:rPr>
        <w:t xml:space="preserve"> </w:t>
      </w:r>
      <w:r w:rsidRPr="00A43386">
        <w:rPr>
          <w:lang w:val="en-NG" w:eastAsia="en-NG"/>
        </w:rPr>
        <w:t xml:space="preserve">The standard deviation values, ranging from </w:t>
      </w:r>
      <w:r w:rsidRPr="001F6EA2">
        <w:rPr>
          <w:lang w:val="en-NG" w:eastAsia="en-NG"/>
        </w:rPr>
        <w:t>0.93 to 1.08</w:t>
      </w:r>
      <w:r w:rsidRPr="00A43386">
        <w:rPr>
          <w:lang w:val="en-NG" w:eastAsia="en-NG"/>
        </w:rPr>
        <w:t>, indicate a moderate spread in responses, implying some variation in participation levels among respondents, but with a reasonable degree of consistency.</w:t>
      </w:r>
      <w:r w:rsidR="00831EB3">
        <w:rPr>
          <w:lang w:eastAsia="en-NG"/>
        </w:rPr>
        <w:t xml:space="preserve"> </w:t>
      </w:r>
      <w:r w:rsidR="001F6EA2" w:rsidRPr="001F6EA2">
        <w:rPr>
          <w:lang w:eastAsia="en-NG"/>
        </w:rPr>
        <w:t xml:space="preserve">Generally, </w:t>
      </w:r>
      <w:r w:rsidRPr="001F6EA2">
        <w:rPr>
          <w:lang w:val="en-NG" w:eastAsia="en-NG"/>
        </w:rPr>
        <w:t xml:space="preserve">the findings suggest </w:t>
      </w:r>
      <w:r w:rsidRPr="001F6EA2">
        <w:rPr>
          <w:lang w:val="en-NG" w:eastAsia="en-NG"/>
        </w:rPr>
        <w:lastRenderedPageBreak/>
        <w:t>that while adult learners participate fairly in capacity-building programmes, their involvement is stronger in academically and economically oriented programmes, whereas participation in leadership and personal development programmes remains comparatively low and may require increased encouragement and institutional support.</w:t>
      </w:r>
      <w:r w:rsidR="001A4B53">
        <w:rPr>
          <w:lang w:eastAsia="en-NG"/>
        </w:rPr>
        <w:t xml:space="preserve"> </w:t>
      </w:r>
      <w:r w:rsidR="001A4B53">
        <w:t xml:space="preserve">This aligns with the position of </w:t>
      </w:r>
      <w:r w:rsidR="001A4B53" w:rsidRPr="008A5777">
        <w:rPr>
          <w:lang w:val="en-NG" w:eastAsia="en-NG"/>
        </w:rPr>
        <w:t>Chukwu, Okengwu</w:t>
      </w:r>
      <w:r w:rsidR="001A4B53">
        <w:rPr>
          <w:lang w:eastAsia="en-NG"/>
        </w:rPr>
        <w:t xml:space="preserve"> </w:t>
      </w:r>
      <w:r w:rsidR="001A4B53" w:rsidRPr="008A5777">
        <w:rPr>
          <w:lang w:val="en-NG" w:eastAsia="en-NG"/>
        </w:rPr>
        <w:t>and Ezepue</w:t>
      </w:r>
      <w:r w:rsidR="001A4B53">
        <w:rPr>
          <w:lang w:eastAsia="en-NG"/>
        </w:rPr>
        <w:t xml:space="preserve"> </w:t>
      </w:r>
      <w:r w:rsidR="001A4B53" w:rsidRPr="008A5777">
        <w:rPr>
          <w:lang w:val="en-NG" w:eastAsia="en-NG"/>
        </w:rPr>
        <w:t>(2024) found that adult learners in Nigerian universities actively participate in continuing education and professional development programmes because such programmes improve employability, career advancement, and access to higher qualifications. Their study revealed that learners are more motivated to participate in programmes that have visible economic and academic rewards, which supports the high participation observed in professional certification and continuing education programmes in this study.</w:t>
      </w:r>
      <w:r w:rsidR="001A4B53">
        <w:rPr>
          <w:lang w:eastAsia="en-NG"/>
        </w:rPr>
        <w:t xml:space="preserve"> </w:t>
      </w:r>
      <w:r w:rsidR="001A4B53" w:rsidRPr="008A5777">
        <w:rPr>
          <w:lang w:val="en-NG" w:eastAsia="en-NG"/>
        </w:rPr>
        <w:t>Similarly, Ugwu</w:t>
      </w:r>
      <w:r w:rsidR="001A4B53">
        <w:rPr>
          <w:lang w:eastAsia="en-NG"/>
        </w:rPr>
        <w:t xml:space="preserve"> </w:t>
      </w:r>
      <w:r w:rsidR="001A4B53" w:rsidRPr="008A5777">
        <w:rPr>
          <w:lang w:val="en-NG" w:eastAsia="en-NG"/>
        </w:rPr>
        <w:t>and Umezuruike</w:t>
      </w:r>
      <w:r w:rsidR="001A4B53">
        <w:rPr>
          <w:lang w:eastAsia="en-NG"/>
        </w:rPr>
        <w:t xml:space="preserve"> </w:t>
      </w:r>
      <w:r w:rsidR="001A4B53" w:rsidRPr="008A5777">
        <w:rPr>
          <w:lang w:val="en-NG" w:eastAsia="en-NG"/>
        </w:rPr>
        <w:t>(2023) reported that adult learners increasingly participate in digital literacy and ICT-related training programmes because digital competencies have become essential for employment, communication, and academic activities. Their findings support the moderate participation recorded in digital literacy and computer skills programmes.</w:t>
      </w:r>
    </w:p>
    <w:p w14:paraId="228598EB" w14:textId="7B2AC5EE" w:rsidR="00150DD9" w:rsidRDefault="00C84C2C" w:rsidP="00BF19A0">
      <w:pPr>
        <w:spacing w:before="100" w:beforeAutospacing="1" w:after="100" w:afterAutospacing="1" w:line="360" w:lineRule="auto"/>
        <w:jc w:val="both"/>
      </w:pPr>
      <w:r w:rsidRPr="00C84C2C">
        <w:rPr>
          <w:b/>
          <w:bCs/>
        </w:rPr>
        <w:t>Research Question</w:t>
      </w:r>
      <w:r w:rsidR="005407AC">
        <w:rPr>
          <w:b/>
          <w:bCs/>
        </w:rPr>
        <w:t xml:space="preserve"> </w:t>
      </w:r>
      <w:r w:rsidR="007E1F11">
        <w:rPr>
          <w:b/>
          <w:bCs/>
        </w:rPr>
        <w:t>t</w:t>
      </w:r>
      <w:r w:rsidR="005407AC">
        <w:rPr>
          <w:b/>
          <w:bCs/>
        </w:rPr>
        <w:t>hree</w:t>
      </w:r>
      <w:r w:rsidRPr="00C84C2C">
        <w:rPr>
          <w:b/>
          <w:bCs/>
        </w:rPr>
        <w:t>:</w:t>
      </w:r>
      <w:r w:rsidR="00150DD9">
        <w:t xml:space="preserve"> </w:t>
      </w:r>
      <w:r w:rsidRPr="00150DD9">
        <w:rPr>
          <w:iCs/>
        </w:rPr>
        <w:t>To what extent do adult capacity-building programmes enhance adult learners’ knowledge and skills in conflict resolution at Obafemi Awolowo University, Ile-Ife</w:t>
      </w:r>
      <w:r w:rsidR="00204637">
        <w:rPr>
          <w:iCs/>
        </w:rPr>
        <w:t xml:space="preserve">, </w:t>
      </w:r>
      <w:r w:rsidR="00607053">
        <w:rPr>
          <w:iCs/>
        </w:rPr>
        <w:t>Nigeria</w:t>
      </w:r>
      <w:r w:rsidRPr="00150DD9">
        <w:rPr>
          <w:iCs/>
        </w:rPr>
        <w:t>?</w:t>
      </w:r>
    </w:p>
    <w:p w14:paraId="40AC3F9E" w14:textId="77777777" w:rsidR="00C84C2C" w:rsidRPr="004D2E34" w:rsidRDefault="00150DD9" w:rsidP="00BF19A0">
      <w:pPr>
        <w:spacing w:before="100" w:beforeAutospacing="1" w:after="100" w:afterAutospacing="1" w:line="360" w:lineRule="auto"/>
        <w:jc w:val="both"/>
        <w:rPr>
          <w:b/>
          <w:bCs/>
        </w:rPr>
      </w:pPr>
      <w:r>
        <w:rPr>
          <w:b/>
          <w:bCs/>
        </w:rPr>
        <w:t>Table 4</w:t>
      </w:r>
      <w:r w:rsidR="00C84C2C" w:rsidRPr="00150DD9">
        <w:rPr>
          <w:b/>
          <w:bCs/>
        </w:rPr>
        <w:t>: Extent to Which Capacity-Building Programmes Enhance Adult Learners’ Knowledge and Skills in Conflict Resolution</w:t>
      </w:r>
    </w:p>
    <w:tbl>
      <w:tblPr>
        <w:tblStyle w:val="TableGrid"/>
        <w:tblW w:w="0" w:type="auto"/>
        <w:tblLook w:val="04A0" w:firstRow="1" w:lastRow="0" w:firstColumn="1" w:lastColumn="0" w:noHBand="0" w:noVBand="1"/>
      </w:tblPr>
      <w:tblGrid>
        <w:gridCol w:w="590"/>
        <w:gridCol w:w="3422"/>
        <w:gridCol w:w="896"/>
        <w:gridCol w:w="990"/>
        <w:gridCol w:w="896"/>
        <w:gridCol w:w="896"/>
        <w:gridCol w:w="810"/>
        <w:gridCol w:w="810"/>
      </w:tblGrid>
      <w:tr w:rsidR="004D2E34" w14:paraId="0B83D0F2" w14:textId="77777777" w:rsidTr="009E45CA">
        <w:tc>
          <w:tcPr>
            <w:tcW w:w="590" w:type="dxa"/>
          </w:tcPr>
          <w:p w14:paraId="2B1178ED" w14:textId="77777777" w:rsidR="004D2E34" w:rsidRPr="004D2E34" w:rsidRDefault="004D2E34">
            <w:pPr>
              <w:spacing w:after="160" w:line="259" w:lineRule="auto"/>
              <w:rPr>
                <w:b/>
              </w:rPr>
            </w:pPr>
            <w:r w:rsidRPr="004D2E34">
              <w:rPr>
                <w:b/>
              </w:rPr>
              <w:t>S/N</w:t>
            </w:r>
          </w:p>
        </w:tc>
        <w:tc>
          <w:tcPr>
            <w:tcW w:w="3422" w:type="dxa"/>
          </w:tcPr>
          <w:p w14:paraId="5858DE7C" w14:textId="77777777" w:rsidR="004D2E34" w:rsidRPr="004D2E34" w:rsidRDefault="004D2E34">
            <w:pPr>
              <w:spacing w:after="160" w:line="259" w:lineRule="auto"/>
              <w:rPr>
                <w:b/>
              </w:rPr>
            </w:pPr>
            <w:r w:rsidRPr="004D2E34">
              <w:rPr>
                <w:b/>
              </w:rPr>
              <w:t>Conflict Resolution Skill Indicators</w:t>
            </w:r>
          </w:p>
        </w:tc>
        <w:tc>
          <w:tcPr>
            <w:tcW w:w="896" w:type="dxa"/>
          </w:tcPr>
          <w:p w14:paraId="645C1256" w14:textId="77777777" w:rsidR="004D2E34" w:rsidRPr="004D2E34" w:rsidRDefault="004D2E34">
            <w:pPr>
              <w:spacing w:after="160" w:line="259" w:lineRule="auto"/>
              <w:rPr>
                <w:b/>
              </w:rPr>
            </w:pPr>
            <w:r w:rsidRPr="004D2E34">
              <w:rPr>
                <w:b/>
              </w:rPr>
              <w:t>Very Great Extent</w:t>
            </w:r>
          </w:p>
        </w:tc>
        <w:tc>
          <w:tcPr>
            <w:tcW w:w="990" w:type="dxa"/>
          </w:tcPr>
          <w:p w14:paraId="3B385E89" w14:textId="77777777" w:rsidR="004D2E34" w:rsidRPr="004D2E34" w:rsidRDefault="004D2E34">
            <w:pPr>
              <w:spacing w:after="160" w:line="259" w:lineRule="auto"/>
              <w:rPr>
                <w:b/>
              </w:rPr>
            </w:pPr>
            <w:r w:rsidRPr="004D2E34">
              <w:rPr>
                <w:b/>
              </w:rPr>
              <w:t>Great Extent</w:t>
            </w:r>
          </w:p>
        </w:tc>
        <w:tc>
          <w:tcPr>
            <w:tcW w:w="896" w:type="dxa"/>
          </w:tcPr>
          <w:p w14:paraId="7C8F79D2" w14:textId="77777777" w:rsidR="004D2E34" w:rsidRPr="004D2E34" w:rsidRDefault="004D2E34">
            <w:pPr>
              <w:spacing w:after="160" w:line="259" w:lineRule="auto"/>
              <w:rPr>
                <w:b/>
              </w:rPr>
            </w:pPr>
            <w:r w:rsidRPr="004D2E34">
              <w:rPr>
                <w:b/>
              </w:rPr>
              <w:t>Low Extent</w:t>
            </w:r>
          </w:p>
        </w:tc>
        <w:tc>
          <w:tcPr>
            <w:tcW w:w="896" w:type="dxa"/>
          </w:tcPr>
          <w:p w14:paraId="27415524" w14:textId="77777777" w:rsidR="004D2E34" w:rsidRPr="004D2E34" w:rsidRDefault="004D2E34">
            <w:pPr>
              <w:spacing w:after="160" w:line="259" w:lineRule="auto"/>
              <w:rPr>
                <w:b/>
              </w:rPr>
            </w:pPr>
            <w:r w:rsidRPr="004D2E34">
              <w:rPr>
                <w:b/>
              </w:rPr>
              <w:t>No Extent</w:t>
            </w:r>
          </w:p>
        </w:tc>
        <w:tc>
          <w:tcPr>
            <w:tcW w:w="810" w:type="dxa"/>
          </w:tcPr>
          <w:p w14:paraId="106C16A1" w14:textId="77777777" w:rsidR="004D2E34" w:rsidRPr="004D2E34" w:rsidRDefault="004D2E34">
            <w:pPr>
              <w:spacing w:after="160" w:line="259" w:lineRule="auto"/>
              <w:rPr>
                <w:b/>
              </w:rPr>
            </w:pPr>
            <w:r w:rsidRPr="004D2E34">
              <w:rPr>
                <w:b/>
              </w:rPr>
              <w:t>Mean</w:t>
            </w:r>
          </w:p>
        </w:tc>
        <w:tc>
          <w:tcPr>
            <w:tcW w:w="810" w:type="dxa"/>
          </w:tcPr>
          <w:p w14:paraId="1DACDC15" w14:textId="77777777" w:rsidR="004D2E34" w:rsidRPr="004D2E34" w:rsidRDefault="004D2E34">
            <w:pPr>
              <w:spacing w:after="160" w:line="259" w:lineRule="auto"/>
              <w:rPr>
                <w:b/>
              </w:rPr>
            </w:pPr>
            <w:r w:rsidRPr="004D2E34">
              <w:rPr>
                <w:b/>
              </w:rPr>
              <w:t xml:space="preserve">Std. Dev </w:t>
            </w:r>
          </w:p>
        </w:tc>
      </w:tr>
      <w:tr w:rsidR="004D2E34" w:rsidRPr="00074577" w14:paraId="7B8ECDF9" w14:textId="77777777" w:rsidTr="009E45CA">
        <w:tc>
          <w:tcPr>
            <w:tcW w:w="590" w:type="dxa"/>
          </w:tcPr>
          <w:p w14:paraId="5AF39A0C" w14:textId="77777777" w:rsidR="004D2E34" w:rsidRDefault="004D2E34">
            <w:pPr>
              <w:spacing w:after="160" w:line="259" w:lineRule="auto"/>
            </w:pPr>
            <w:r>
              <w:t>1</w:t>
            </w:r>
          </w:p>
        </w:tc>
        <w:tc>
          <w:tcPr>
            <w:tcW w:w="3422" w:type="dxa"/>
          </w:tcPr>
          <w:p w14:paraId="4E6998CC" w14:textId="77777777" w:rsidR="004D2E34" w:rsidRDefault="004D2E34">
            <w:pPr>
              <w:spacing w:after="160" w:line="259" w:lineRule="auto"/>
            </w:pPr>
            <w:r w:rsidRPr="00C84C2C">
              <w:t>Improves ability to communicate effectively during conflicts</w:t>
            </w:r>
          </w:p>
        </w:tc>
        <w:tc>
          <w:tcPr>
            <w:tcW w:w="896" w:type="dxa"/>
          </w:tcPr>
          <w:p w14:paraId="4417AD2A" w14:textId="26475421" w:rsidR="004D2E34" w:rsidRDefault="00221E5C">
            <w:pPr>
              <w:spacing w:after="160" w:line="259" w:lineRule="auto"/>
            </w:pPr>
            <w:r>
              <w:t>5</w:t>
            </w:r>
            <w:r w:rsidR="0017092C">
              <w:t>7</w:t>
            </w:r>
          </w:p>
        </w:tc>
        <w:tc>
          <w:tcPr>
            <w:tcW w:w="990" w:type="dxa"/>
          </w:tcPr>
          <w:p w14:paraId="5B5B030A" w14:textId="5011D668" w:rsidR="004D2E34" w:rsidRDefault="00221E5C">
            <w:pPr>
              <w:spacing w:after="160" w:line="259" w:lineRule="auto"/>
            </w:pPr>
            <w:r>
              <w:t>5</w:t>
            </w:r>
            <w:r w:rsidR="0017092C">
              <w:t>3</w:t>
            </w:r>
          </w:p>
        </w:tc>
        <w:tc>
          <w:tcPr>
            <w:tcW w:w="896" w:type="dxa"/>
          </w:tcPr>
          <w:p w14:paraId="4D908E38" w14:textId="74019544" w:rsidR="004D2E34" w:rsidRDefault="00221E5C">
            <w:pPr>
              <w:spacing w:after="160" w:line="259" w:lineRule="auto"/>
            </w:pPr>
            <w:r>
              <w:t>2</w:t>
            </w:r>
            <w:r w:rsidR="0017092C">
              <w:t>3</w:t>
            </w:r>
          </w:p>
        </w:tc>
        <w:tc>
          <w:tcPr>
            <w:tcW w:w="896" w:type="dxa"/>
          </w:tcPr>
          <w:p w14:paraId="3DACD049" w14:textId="633958AB" w:rsidR="004D2E34" w:rsidRDefault="00221E5C">
            <w:pPr>
              <w:spacing w:after="160" w:line="259" w:lineRule="auto"/>
            </w:pPr>
            <w:r>
              <w:t>16</w:t>
            </w:r>
          </w:p>
        </w:tc>
        <w:tc>
          <w:tcPr>
            <w:tcW w:w="810" w:type="dxa"/>
          </w:tcPr>
          <w:p w14:paraId="29BF6779" w14:textId="50C1DA52" w:rsidR="004D2E34" w:rsidRPr="00074577" w:rsidRDefault="004F3108">
            <w:pPr>
              <w:spacing w:after="160" w:line="259" w:lineRule="auto"/>
            </w:pPr>
            <w:r w:rsidRPr="00074577">
              <w:rPr>
                <w:rStyle w:val="Strong"/>
                <w:rFonts w:eastAsiaTheme="majorEastAsia"/>
                <w:b w:val="0"/>
                <w:bCs w:val="0"/>
              </w:rPr>
              <w:t>3.01</w:t>
            </w:r>
          </w:p>
        </w:tc>
        <w:tc>
          <w:tcPr>
            <w:tcW w:w="810" w:type="dxa"/>
          </w:tcPr>
          <w:p w14:paraId="2EF15677" w14:textId="4177B6BD" w:rsidR="004D2E34" w:rsidRPr="00074577" w:rsidRDefault="004F3108">
            <w:pPr>
              <w:spacing w:after="160" w:line="259" w:lineRule="auto"/>
            </w:pPr>
            <w:r w:rsidRPr="00074577">
              <w:rPr>
                <w:rStyle w:val="Strong"/>
                <w:rFonts w:eastAsiaTheme="majorEastAsia"/>
                <w:b w:val="0"/>
                <w:bCs w:val="0"/>
              </w:rPr>
              <w:t>0.99</w:t>
            </w:r>
          </w:p>
        </w:tc>
      </w:tr>
      <w:tr w:rsidR="004D2E34" w:rsidRPr="00074577" w14:paraId="08AFFA19" w14:textId="77777777" w:rsidTr="009E45CA">
        <w:tc>
          <w:tcPr>
            <w:tcW w:w="590" w:type="dxa"/>
          </w:tcPr>
          <w:p w14:paraId="3080B2E2" w14:textId="77777777" w:rsidR="004D2E34" w:rsidRDefault="004D2E34">
            <w:pPr>
              <w:spacing w:after="160" w:line="259" w:lineRule="auto"/>
            </w:pPr>
            <w:r>
              <w:t>2</w:t>
            </w:r>
          </w:p>
        </w:tc>
        <w:tc>
          <w:tcPr>
            <w:tcW w:w="3422" w:type="dxa"/>
          </w:tcPr>
          <w:p w14:paraId="545B5175" w14:textId="77777777" w:rsidR="004D2E34" w:rsidRDefault="004D2E34">
            <w:pPr>
              <w:spacing w:after="160" w:line="259" w:lineRule="auto"/>
            </w:pPr>
            <w:r w:rsidRPr="00C84C2C">
              <w:t>Enhances skills in negotiation and compromise</w:t>
            </w:r>
          </w:p>
        </w:tc>
        <w:tc>
          <w:tcPr>
            <w:tcW w:w="896" w:type="dxa"/>
          </w:tcPr>
          <w:p w14:paraId="4E50C8AC" w14:textId="064B8824" w:rsidR="004D2E34" w:rsidRDefault="0017092C">
            <w:pPr>
              <w:spacing w:after="160" w:line="259" w:lineRule="auto"/>
            </w:pPr>
            <w:r>
              <w:t>49</w:t>
            </w:r>
          </w:p>
        </w:tc>
        <w:tc>
          <w:tcPr>
            <w:tcW w:w="990" w:type="dxa"/>
          </w:tcPr>
          <w:p w14:paraId="0C2F6027" w14:textId="58724C75" w:rsidR="004D2E34" w:rsidRDefault="0017092C">
            <w:pPr>
              <w:spacing w:after="160" w:line="259" w:lineRule="auto"/>
            </w:pPr>
            <w:r>
              <w:t>45</w:t>
            </w:r>
          </w:p>
        </w:tc>
        <w:tc>
          <w:tcPr>
            <w:tcW w:w="896" w:type="dxa"/>
          </w:tcPr>
          <w:p w14:paraId="108880B4" w14:textId="00583E55" w:rsidR="004D2E34" w:rsidRDefault="0017092C">
            <w:pPr>
              <w:spacing w:after="160" w:line="259" w:lineRule="auto"/>
            </w:pPr>
            <w:r>
              <w:t>29</w:t>
            </w:r>
          </w:p>
        </w:tc>
        <w:tc>
          <w:tcPr>
            <w:tcW w:w="896" w:type="dxa"/>
          </w:tcPr>
          <w:p w14:paraId="5FBE2645" w14:textId="17B1D2EB" w:rsidR="004D2E34" w:rsidRDefault="00221E5C">
            <w:pPr>
              <w:spacing w:after="160" w:line="259" w:lineRule="auto"/>
            </w:pPr>
            <w:r>
              <w:t>26</w:t>
            </w:r>
          </w:p>
        </w:tc>
        <w:tc>
          <w:tcPr>
            <w:tcW w:w="810" w:type="dxa"/>
          </w:tcPr>
          <w:p w14:paraId="1CCF1DB4" w14:textId="1247C597" w:rsidR="004D2E34" w:rsidRPr="00074577" w:rsidRDefault="004F3108">
            <w:pPr>
              <w:spacing w:after="160" w:line="259" w:lineRule="auto"/>
            </w:pPr>
            <w:r w:rsidRPr="00074577">
              <w:rPr>
                <w:rStyle w:val="Strong"/>
                <w:rFonts w:eastAsiaTheme="majorEastAsia"/>
                <w:b w:val="0"/>
                <w:bCs w:val="0"/>
              </w:rPr>
              <w:t>2.79</w:t>
            </w:r>
          </w:p>
        </w:tc>
        <w:tc>
          <w:tcPr>
            <w:tcW w:w="810" w:type="dxa"/>
          </w:tcPr>
          <w:p w14:paraId="50B346CD" w14:textId="70CAF3AA" w:rsidR="004D2E34" w:rsidRPr="00074577" w:rsidRDefault="004F3108">
            <w:pPr>
              <w:spacing w:after="160" w:line="259" w:lineRule="auto"/>
            </w:pPr>
            <w:r w:rsidRPr="00074577">
              <w:rPr>
                <w:rStyle w:val="Strong"/>
                <w:rFonts w:eastAsiaTheme="majorEastAsia"/>
                <w:b w:val="0"/>
                <w:bCs w:val="0"/>
              </w:rPr>
              <w:t>1.07</w:t>
            </w:r>
          </w:p>
        </w:tc>
      </w:tr>
      <w:tr w:rsidR="004D2E34" w:rsidRPr="00074577" w14:paraId="5B6AB048" w14:textId="77777777" w:rsidTr="009E45CA">
        <w:tc>
          <w:tcPr>
            <w:tcW w:w="590" w:type="dxa"/>
          </w:tcPr>
          <w:p w14:paraId="621A3977" w14:textId="77777777" w:rsidR="004D2E34" w:rsidRDefault="004D2E34">
            <w:pPr>
              <w:spacing w:after="160" w:line="259" w:lineRule="auto"/>
            </w:pPr>
            <w:r>
              <w:t>3</w:t>
            </w:r>
          </w:p>
        </w:tc>
        <w:tc>
          <w:tcPr>
            <w:tcW w:w="3422" w:type="dxa"/>
          </w:tcPr>
          <w:p w14:paraId="231B86C3" w14:textId="77777777" w:rsidR="004D2E34" w:rsidRDefault="004D2E34">
            <w:pPr>
              <w:spacing w:after="160" w:line="259" w:lineRule="auto"/>
            </w:pPr>
            <w:r w:rsidRPr="00C84C2C">
              <w:t>Develops problem-solving skills for resolving disputes</w:t>
            </w:r>
          </w:p>
        </w:tc>
        <w:tc>
          <w:tcPr>
            <w:tcW w:w="896" w:type="dxa"/>
          </w:tcPr>
          <w:p w14:paraId="720DBC55" w14:textId="687C81EB" w:rsidR="004D2E34" w:rsidRDefault="0017092C">
            <w:pPr>
              <w:spacing w:after="160" w:line="259" w:lineRule="auto"/>
            </w:pPr>
            <w:r>
              <w:t>51</w:t>
            </w:r>
          </w:p>
        </w:tc>
        <w:tc>
          <w:tcPr>
            <w:tcW w:w="990" w:type="dxa"/>
          </w:tcPr>
          <w:p w14:paraId="13FEEC63" w14:textId="5459C4E8" w:rsidR="004D2E34" w:rsidRDefault="0017092C">
            <w:pPr>
              <w:spacing w:after="160" w:line="259" w:lineRule="auto"/>
            </w:pPr>
            <w:r>
              <w:t>43</w:t>
            </w:r>
          </w:p>
        </w:tc>
        <w:tc>
          <w:tcPr>
            <w:tcW w:w="896" w:type="dxa"/>
          </w:tcPr>
          <w:p w14:paraId="35BF4DD5" w14:textId="73843E21" w:rsidR="004D2E34" w:rsidRDefault="00221E5C">
            <w:pPr>
              <w:spacing w:after="160" w:line="259" w:lineRule="auto"/>
            </w:pPr>
            <w:r>
              <w:t>33</w:t>
            </w:r>
          </w:p>
        </w:tc>
        <w:tc>
          <w:tcPr>
            <w:tcW w:w="896" w:type="dxa"/>
          </w:tcPr>
          <w:p w14:paraId="0719C33E" w14:textId="27FC45E3" w:rsidR="004D2E34" w:rsidRDefault="00221E5C">
            <w:pPr>
              <w:spacing w:after="160" w:line="259" w:lineRule="auto"/>
            </w:pPr>
            <w:r>
              <w:t>22</w:t>
            </w:r>
          </w:p>
        </w:tc>
        <w:tc>
          <w:tcPr>
            <w:tcW w:w="810" w:type="dxa"/>
          </w:tcPr>
          <w:p w14:paraId="0263D35B" w14:textId="399FF50B" w:rsidR="004D2E34" w:rsidRPr="00074577" w:rsidRDefault="006C0A14">
            <w:pPr>
              <w:spacing w:after="160" w:line="259" w:lineRule="auto"/>
            </w:pPr>
            <w:r w:rsidRPr="00074577">
              <w:rPr>
                <w:rStyle w:val="Strong"/>
                <w:rFonts w:eastAsiaTheme="majorEastAsia"/>
                <w:b w:val="0"/>
                <w:bCs w:val="0"/>
              </w:rPr>
              <w:t>2.82</w:t>
            </w:r>
          </w:p>
        </w:tc>
        <w:tc>
          <w:tcPr>
            <w:tcW w:w="810" w:type="dxa"/>
          </w:tcPr>
          <w:p w14:paraId="4AAFF584" w14:textId="6D184A56" w:rsidR="004D2E34" w:rsidRPr="00074577" w:rsidRDefault="006C0A14">
            <w:pPr>
              <w:spacing w:after="160" w:line="259" w:lineRule="auto"/>
            </w:pPr>
            <w:r w:rsidRPr="00074577">
              <w:rPr>
                <w:rStyle w:val="Strong"/>
                <w:rFonts w:eastAsiaTheme="majorEastAsia"/>
                <w:b w:val="0"/>
                <w:bCs w:val="0"/>
              </w:rPr>
              <w:t>1.05</w:t>
            </w:r>
          </w:p>
        </w:tc>
      </w:tr>
      <w:tr w:rsidR="004D2E34" w:rsidRPr="00074577" w14:paraId="59C7932C" w14:textId="77777777" w:rsidTr="009E45CA">
        <w:tc>
          <w:tcPr>
            <w:tcW w:w="590" w:type="dxa"/>
          </w:tcPr>
          <w:p w14:paraId="26F99725" w14:textId="77777777" w:rsidR="004D2E34" w:rsidRDefault="004D2E34">
            <w:pPr>
              <w:spacing w:after="160" w:line="259" w:lineRule="auto"/>
            </w:pPr>
            <w:r>
              <w:t>4</w:t>
            </w:r>
          </w:p>
        </w:tc>
        <w:tc>
          <w:tcPr>
            <w:tcW w:w="3422" w:type="dxa"/>
          </w:tcPr>
          <w:p w14:paraId="502829E0" w14:textId="77777777" w:rsidR="004D2E34" w:rsidRDefault="004D2E34">
            <w:pPr>
              <w:spacing w:after="160" w:line="259" w:lineRule="auto"/>
            </w:pPr>
            <w:r w:rsidRPr="00C84C2C">
              <w:t>Increases understanding of causes of conflict</w:t>
            </w:r>
          </w:p>
        </w:tc>
        <w:tc>
          <w:tcPr>
            <w:tcW w:w="896" w:type="dxa"/>
          </w:tcPr>
          <w:p w14:paraId="2FDB627F" w14:textId="51A975E9" w:rsidR="004D2E34" w:rsidRDefault="0017092C">
            <w:pPr>
              <w:spacing w:after="160" w:line="259" w:lineRule="auto"/>
            </w:pPr>
            <w:r>
              <w:t>50</w:t>
            </w:r>
          </w:p>
        </w:tc>
        <w:tc>
          <w:tcPr>
            <w:tcW w:w="990" w:type="dxa"/>
          </w:tcPr>
          <w:p w14:paraId="0E5E801A" w14:textId="17D42E27" w:rsidR="004D2E34" w:rsidRDefault="0017092C">
            <w:pPr>
              <w:spacing w:after="160" w:line="259" w:lineRule="auto"/>
            </w:pPr>
            <w:r>
              <w:t>41</w:t>
            </w:r>
          </w:p>
        </w:tc>
        <w:tc>
          <w:tcPr>
            <w:tcW w:w="896" w:type="dxa"/>
          </w:tcPr>
          <w:p w14:paraId="5A651061" w14:textId="38E2E52A" w:rsidR="004D2E34" w:rsidRDefault="00221E5C">
            <w:pPr>
              <w:spacing w:after="160" w:line="259" w:lineRule="auto"/>
            </w:pPr>
            <w:r>
              <w:t>35</w:t>
            </w:r>
          </w:p>
        </w:tc>
        <w:tc>
          <w:tcPr>
            <w:tcW w:w="896" w:type="dxa"/>
          </w:tcPr>
          <w:p w14:paraId="72323626" w14:textId="3079090D" w:rsidR="004D2E34" w:rsidRDefault="00221E5C">
            <w:pPr>
              <w:spacing w:after="160" w:line="259" w:lineRule="auto"/>
            </w:pPr>
            <w:r>
              <w:t>23</w:t>
            </w:r>
          </w:p>
        </w:tc>
        <w:tc>
          <w:tcPr>
            <w:tcW w:w="810" w:type="dxa"/>
          </w:tcPr>
          <w:p w14:paraId="0B5432A3" w14:textId="06DE05EC" w:rsidR="004D2E34" w:rsidRPr="00074577" w:rsidRDefault="006C0A14">
            <w:pPr>
              <w:spacing w:after="160" w:line="259" w:lineRule="auto"/>
            </w:pPr>
            <w:r w:rsidRPr="00074577">
              <w:rPr>
                <w:rStyle w:val="Strong"/>
                <w:rFonts w:eastAsiaTheme="majorEastAsia"/>
                <w:b w:val="0"/>
                <w:bCs w:val="0"/>
              </w:rPr>
              <w:t>2.79</w:t>
            </w:r>
          </w:p>
        </w:tc>
        <w:tc>
          <w:tcPr>
            <w:tcW w:w="810" w:type="dxa"/>
          </w:tcPr>
          <w:p w14:paraId="3827612B" w14:textId="55829C36" w:rsidR="004D2E34" w:rsidRPr="00074577" w:rsidRDefault="006C0A14">
            <w:pPr>
              <w:spacing w:after="160" w:line="259" w:lineRule="auto"/>
            </w:pPr>
            <w:r w:rsidRPr="00074577">
              <w:rPr>
                <w:rStyle w:val="Strong"/>
                <w:rFonts w:eastAsiaTheme="majorEastAsia"/>
                <w:b w:val="0"/>
                <w:bCs w:val="0"/>
              </w:rPr>
              <w:t>1.06</w:t>
            </w:r>
          </w:p>
        </w:tc>
      </w:tr>
      <w:tr w:rsidR="004D2E34" w:rsidRPr="00074577" w14:paraId="00EB3E48" w14:textId="77777777" w:rsidTr="009E45CA">
        <w:tc>
          <w:tcPr>
            <w:tcW w:w="590" w:type="dxa"/>
          </w:tcPr>
          <w:p w14:paraId="5865F60B" w14:textId="77777777" w:rsidR="004D2E34" w:rsidRDefault="004D2E34">
            <w:pPr>
              <w:spacing w:after="160" w:line="259" w:lineRule="auto"/>
            </w:pPr>
            <w:r>
              <w:lastRenderedPageBreak/>
              <w:t>5</w:t>
            </w:r>
          </w:p>
        </w:tc>
        <w:tc>
          <w:tcPr>
            <w:tcW w:w="3422" w:type="dxa"/>
          </w:tcPr>
          <w:p w14:paraId="5A9CF5E3" w14:textId="77777777" w:rsidR="004D2E34" w:rsidRDefault="004D2E34">
            <w:pPr>
              <w:spacing w:after="160" w:line="259" w:lineRule="auto"/>
            </w:pPr>
            <w:r w:rsidRPr="00C84C2C">
              <w:t>Promotes emotional intelligence and self-control</w:t>
            </w:r>
          </w:p>
        </w:tc>
        <w:tc>
          <w:tcPr>
            <w:tcW w:w="896" w:type="dxa"/>
          </w:tcPr>
          <w:p w14:paraId="5291E2E6" w14:textId="5B098A9F" w:rsidR="004D2E34" w:rsidRDefault="007D7496">
            <w:pPr>
              <w:spacing w:after="160" w:line="259" w:lineRule="auto"/>
            </w:pPr>
            <w:r>
              <w:t>49</w:t>
            </w:r>
          </w:p>
        </w:tc>
        <w:tc>
          <w:tcPr>
            <w:tcW w:w="990" w:type="dxa"/>
          </w:tcPr>
          <w:p w14:paraId="41BA7ECD" w14:textId="45197894" w:rsidR="004D2E34" w:rsidRDefault="007D7496">
            <w:pPr>
              <w:spacing w:after="160" w:line="259" w:lineRule="auto"/>
            </w:pPr>
            <w:r>
              <w:t>47</w:t>
            </w:r>
          </w:p>
        </w:tc>
        <w:tc>
          <w:tcPr>
            <w:tcW w:w="896" w:type="dxa"/>
          </w:tcPr>
          <w:p w14:paraId="2A9F51DF" w14:textId="423F3ACE" w:rsidR="004D2E34" w:rsidRDefault="007D7496">
            <w:pPr>
              <w:spacing w:after="160" w:line="259" w:lineRule="auto"/>
            </w:pPr>
            <w:r>
              <w:t>30</w:t>
            </w:r>
          </w:p>
        </w:tc>
        <w:tc>
          <w:tcPr>
            <w:tcW w:w="896" w:type="dxa"/>
          </w:tcPr>
          <w:p w14:paraId="3D1491DB" w14:textId="4FA8BB0A" w:rsidR="004D2E34" w:rsidRDefault="00221E5C">
            <w:pPr>
              <w:spacing w:after="160" w:line="259" w:lineRule="auto"/>
            </w:pPr>
            <w:r>
              <w:t>23</w:t>
            </w:r>
          </w:p>
        </w:tc>
        <w:tc>
          <w:tcPr>
            <w:tcW w:w="810" w:type="dxa"/>
          </w:tcPr>
          <w:p w14:paraId="592C6117" w14:textId="52215A60" w:rsidR="004D2E34" w:rsidRPr="00074577" w:rsidRDefault="006C0A14">
            <w:pPr>
              <w:spacing w:after="160" w:line="259" w:lineRule="auto"/>
            </w:pPr>
            <w:r w:rsidRPr="00074577">
              <w:rPr>
                <w:rStyle w:val="Strong"/>
                <w:rFonts w:eastAsiaTheme="majorEastAsia"/>
                <w:b w:val="0"/>
                <w:bCs w:val="0"/>
              </w:rPr>
              <w:t>2.82</w:t>
            </w:r>
          </w:p>
        </w:tc>
        <w:tc>
          <w:tcPr>
            <w:tcW w:w="810" w:type="dxa"/>
          </w:tcPr>
          <w:p w14:paraId="169583BA" w14:textId="6080A743" w:rsidR="004D2E34" w:rsidRPr="00074577" w:rsidRDefault="00074577">
            <w:pPr>
              <w:spacing w:after="160" w:line="259" w:lineRule="auto"/>
            </w:pPr>
            <w:r w:rsidRPr="00074577">
              <w:rPr>
                <w:rStyle w:val="Strong"/>
                <w:rFonts w:eastAsiaTheme="majorEastAsia"/>
                <w:b w:val="0"/>
                <w:bCs w:val="0"/>
              </w:rPr>
              <w:t>1.04</w:t>
            </w:r>
          </w:p>
        </w:tc>
      </w:tr>
      <w:tr w:rsidR="004D2E34" w:rsidRPr="00074577" w14:paraId="26A57C88" w14:textId="77777777" w:rsidTr="009E45CA">
        <w:tc>
          <w:tcPr>
            <w:tcW w:w="590" w:type="dxa"/>
          </w:tcPr>
          <w:p w14:paraId="5BC0FD1D" w14:textId="77777777" w:rsidR="004D2E34" w:rsidRDefault="004D2E34">
            <w:pPr>
              <w:spacing w:after="160" w:line="259" w:lineRule="auto"/>
            </w:pPr>
            <w:r>
              <w:t>6</w:t>
            </w:r>
          </w:p>
        </w:tc>
        <w:tc>
          <w:tcPr>
            <w:tcW w:w="3422" w:type="dxa"/>
          </w:tcPr>
          <w:p w14:paraId="15BB1AC7" w14:textId="77777777" w:rsidR="004D2E34" w:rsidRDefault="004D2E34">
            <w:pPr>
              <w:spacing w:after="160" w:line="259" w:lineRule="auto"/>
            </w:pPr>
            <w:r w:rsidRPr="00C84C2C">
              <w:t>Improves ability to manage interpersonal conflicts</w:t>
            </w:r>
          </w:p>
        </w:tc>
        <w:tc>
          <w:tcPr>
            <w:tcW w:w="896" w:type="dxa"/>
          </w:tcPr>
          <w:p w14:paraId="45FF100C" w14:textId="6A8D69D3" w:rsidR="004D2E34" w:rsidRDefault="007D7496">
            <w:pPr>
              <w:spacing w:after="160" w:line="259" w:lineRule="auto"/>
            </w:pPr>
            <w:r>
              <w:t>47</w:t>
            </w:r>
          </w:p>
        </w:tc>
        <w:tc>
          <w:tcPr>
            <w:tcW w:w="990" w:type="dxa"/>
          </w:tcPr>
          <w:p w14:paraId="65176856" w14:textId="00B116BE" w:rsidR="004D2E34" w:rsidRDefault="007D7496">
            <w:pPr>
              <w:spacing w:after="160" w:line="259" w:lineRule="auto"/>
            </w:pPr>
            <w:r>
              <w:t>49</w:t>
            </w:r>
          </w:p>
        </w:tc>
        <w:tc>
          <w:tcPr>
            <w:tcW w:w="896" w:type="dxa"/>
          </w:tcPr>
          <w:p w14:paraId="4E0A8C20" w14:textId="48669C5A" w:rsidR="004D2E34" w:rsidRDefault="007D7496">
            <w:pPr>
              <w:spacing w:after="160" w:line="259" w:lineRule="auto"/>
            </w:pPr>
            <w:r>
              <w:t>31</w:t>
            </w:r>
          </w:p>
        </w:tc>
        <w:tc>
          <w:tcPr>
            <w:tcW w:w="896" w:type="dxa"/>
          </w:tcPr>
          <w:p w14:paraId="05AE7C26" w14:textId="34348EB3" w:rsidR="004D2E34" w:rsidRDefault="00221E5C">
            <w:pPr>
              <w:spacing w:after="160" w:line="259" w:lineRule="auto"/>
            </w:pPr>
            <w:r>
              <w:t>22</w:t>
            </w:r>
          </w:p>
        </w:tc>
        <w:tc>
          <w:tcPr>
            <w:tcW w:w="810" w:type="dxa"/>
          </w:tcPr>
          <w:p w14:paraId="11DD6D16" w14:textId="46C0F614" w:rsidR="004D2E34" w:rsidRPr="00074577" w:rsidRDefault="00074577">
            <w:pPr>
              <w:spacing w:after="160" w:line="259" w:lineRule="auto"/>
            </w:pPr>
            <w:r w:rsidRPr="00074577">
              <w:rPr>
                <w:rStyle w:val="Strong"/>
                <w:rFonts w:eastAsiaTheme="majorEastAsia"/>
                <w:b w:val="0"/>
                <w:bCs w:val="0"/>
              </w:rPr>
              <w:t>2.81</w:t>
            </w:r>
          </w:p>
        </w:tc>
        <w:tc>
          <w:tcPr>
            <w:tcW w:w="810" w:type="dxa"/>
          </w:tcPr>
          <w:p w14:paraId="76AEB011" w14:textId="444F3B6B" w:rsidR="004D2E34" w:rsidRPr="00074577" w:rsidRDefault="00074577">
            <w:pPr>
              <w:spacing w:after="160" w:line="259" w:lineRule="auto"/>
            </w:pPr>
            <w:r w:rsidRPr="00074577">
              <w:rPr>
                <w:rStyle w:val="Strong"/>
                <w:rFonts w:eastAsiaTheme="majorEastAsia"/>
                <w:b w:val="0"/>
                <w:bCs w:val="0"/>
              </w:rPr>
              <w:t>1.03</w:t>
            </w:r>
          </w:p>
        </w:tc>
      </w:tr>
      <w:tr w:rsidR="004D2E34" w:rsidRPr="00074577" w14:paraId="68C526C9" w14:textId="77777777" w:rsidTr="009E45CA">
        <w:tc>
          <w:tcPr>
            <w:tcW w:w="590" w:type="dxa"/>
          </w:tcPr>
          <w:p w14:paraId="35A726BA" w14:textId="77777777" w:rsidR="004D2E34" w:rsidRDefault="004D2E34">
            <w:pPr>
              <w:spacing w:after="160" w:line="259" w:lineRule="auto"/>
            </w:pPr>
            <w:r>
              <w:t>7</w:t>
            </w:r>
          </w:p>
        </w:tc>
        <w:tc>
          <w:tcPr>
            <w:tcW w:w="3422" w:type="dxa"/>
          </w:tcPr>
          <w:p w14:paraId="688585AF" w14:textId="77777777" w:rsidR="004D2E34" w:rsidRDefault="004D2E34">
            <w:pPr>
              <w:spacing w:after="160" w:line="259" w:lineRule="auto"/>
            </w:pPr>
            <w:r w:rsidRPr="00C84C2C">
              <w:t>Enhances teamwork and collaboration among adult learners</w:t>
            </w:r>
          </w:p>
        </w:tc>
        <w:tc>
          <w:tcPr>
            <w:tcW w:w="896" w:type="dxa"/>
          </w:tcPr>
          <w:p w14:paraId="65667BCA" w14:textId="20BD41E7" w:rsidR="004D2E34" w:rsidRDefault="007D7496">
            <w:pPr>
              <w:spacing w:after="160" w:line="259" w:lineRule="auto"/>
            </w:pPr>
            <w:r>
              <w:t>51</w:t>
            </w:r>
          </w:p>
        </w:tc>
        <w:tc>
          <w:tcPr>
            <w:tcW w:w="990" w:type="dxa"/>
          </w:tcPr>
          <w:p w14:paraId="27A7DFD5" w14:textId="2A19AB48" w:rsidR="004D2E34" w:rsidRDefault="007D7496">
            <w:pPr>
              <w:spacing w:after="160" w:line="259" w:lineRule="auto"/>
            </w:pPr>
            <w:r>
              <w:t>40</w:t>
            </w:r>
          </w:p>
        </w:tc>
        <w:tc>
          <w:tcPr>
            <w:tcW w:w="896" w:type="dxa"/>
          </w:tcPr>
          <w:p w14:paraId="6E42B3FC" w14:textId="2C92FAF9" w:rsidR="004D2E34" w:rsidRDefault="0070693E">
            <w:pPr>
              <w:spacing w:after="160" w:line="259" w:lineRule="auto"/>
            </w:pPr>
            <w:r>
              <w:t>35</w:t>
            </w:r>
          </w:p>
        </w:tc>
        <w:tc>
          <w:tcPr>
            <w:tcW w:w="896" w:type="dxa"/>
          </w:tcPr>
          <w:p w14:paraId="0FFFC0F0" w14:textId="2CC46F4D" w:rsidR="004D2E34" w:rsidRDefault="0070693E">
            <w:pPr>
              <w:spacing w:after="160" w:line="259" w:lineRule="auto"/>
            </w:pPr>
            <w:r>
              <w:t>23</w:t>
            </w:r>
          </w:p>
        </w:tc>
        <w:tc>
          <w:tcPr>
            <w:tcW w:w="810" w:type="dxa"/>
          </w:tcPr>
          <w:p w14:paraId="61996A5D" w14:textId="2AEF5E71" w:rsidR="004D2E34" w:rsidRPr="00074577" w:rsidRDefault="00074577">
            <w:pPr>
              <w:spacing w:after="160" w:line="259" w:lineRule="auto"/>
            </w:pPr>
            <w:r w:rsidRPr="00074577">
              <w:rPr>
                <w:rStyle w:val="Strong"/>
                <w:rFonts w:eastAsiaTheme="majorEastAsia"/>
                <w:b w:val="0"/>
                <w:bCs w:val="0"/>
              </w:rPr>
              <w:t>2.80</w:t>
            </w:r>
          </w:p>
        </w:tc>
        <w:tc>
          <w:tcPr>
            <w:tcW w:w="810" w:type="dxa"/>
          </w:tcPr>
          <w:p w14:paraId="55924DF2" w14:textId="54099731" w:rsidR="004D2E34" w:rsidRPr="00074577" w:rsidRDefault="00074577">
            <w:pPr>
              <w:spacing w:after="160" w:line="259" w:lineRule="auto"/>
            </w:pPr>
            <w:r w:rsidRPr="00074577">
              <w:rPr>
                <w:rStyle w:val="Strong"/>
                <w:rFonts w:eastAsiaTheme="majorEastAsia"/>
                <w:b w:val="0"/>
                <w:bCs w:val="0"/>
              </w:rPr>
              <w:t>1.06</w:t>
            </w:r>
          </w:p>
        </w:tc>
      </w:tr>
      <w:tr w:rsidR="004D2E34" w:rsidRPr="00074577" w14:paraId="54B9B6CE" w14:textId="77777777" w:rsidTr="009E45CA">
        <w:tc>
          <w:tcPr>
            <w:tcW w:w="590" w:type="dxa"/>
          </w:tcPr>
          <w:p w14:paraId="6E6DE01B" w14:textId="77777777" w:rsidR="004D2E34" w:rsidRDefault="004D2E34">
            <w:pPr>
              <w:spacing w:after="160" w:line="259" w:lineRule="auto"/>
            </w:pPr>
            <w:r>
              <w:t>8</w:t>
            </w:r>
          </w:p>
        </w:tc>
        <w:tc>
          <w:tcPr>
            <w:tcW w:w="3422" w:type="dxa"/>
          </w:tcPr>
          <w:p w14:paraId="083B6C04" w14:textId="77777777" w:rsidR="004D2E34" w:rsidRDefault="004D2E34">
            <w:pPr>
              <w:spacing w:after="160" w:line="259" w:lineRule="auto"/>
            </w:pPr>
            <w:r w:rsidRPr="00C84C2C">
              <w:t>Builds confidence in handling disagreements constructively</w:t>
            </w:r>
          </w:p>
        </w:tc>
        <w:tc>
          <w:tcPr>
            <w:tcW w:w="896" w:type="dxa"/>
          </w:tcPr>
          <w:p w14:paraId="6AAB80D6" w14:textId="317C1E11" w:rsidR="004D2E34" w:rsidRDefault="007D7496">
            <w:pPr>
              <w:spacing w:after="160" w:line="259" w:lineRule="auto"/>
            </w:pPr>
            <w:r>
              <w:t>57</w:t>
            </w:r>
          </w:p>
        </w:tc>
        <w:tc>
          <w:tcPr>
            <w:tcW w:w="990" w:type="dxa"/>
          </w:tcPr>
          <w:p w14:paraId="507A7219" w14:textId="13FC0E50" w:rsidR="004D2E34" w:rsidRDefault="007D7496">
            <w:pPr>
              <w:spacing w:after="160" w:line="259" w:lineRule="auto"/>
            </w:pPr>
            <w:r>
              <w:t>41</w:t>
            </w:r>
          </w:p>
        </w:tc>
        <w:tc>
          <w:tcPr>
            <w:tcW w:w="896" w:type="dxa"/>
          </w:tcPr>
          <w:p w14:paraId="0478198E" w14:textId="00A07DC6" w:rsidR="004D2E34" w:rsidRDefault="007D7496">
            <w:pPr>
              <w:spacing w:after="160" w:line="259" w:lineRule="auto"/>
            </w:pPr>
            <w:r>
              <w:t>2</w:t>
            </w:r>
            <w:r w:rsidR="0070693E">
              <w:t>8</w:t>
            </w:r>
          </w:p>
        </w:tc>
        <w:tc>
          <w:tcPr>
            <w:tcW w:w="896" w:type="dxa"/>
          </w:tcPr>
          <w:p w14:paraId="0E79025A" w14:textId="741E9CF4" w:rsidR="004D2E34" w:rsidRDefault="0070693E">
            <w:pPr>
              <w:spacing w:after="160" w:line="259" w:lineRule="auto"/>
            </w:pPr>
            <w:r>
              <w:t>23</w:t>
            </w:r>
          </w:p>
        </w:tc>
        <w:tc>
          <w:tcPr>
            <w:tcW w:w="810" w:type="dxa"/>
          </w:tcPr>
          <w:p w14:paraId="535BFF26" w14:textId="6D66ED0B" w:rsidR="004D2E34" w:rsidRPr="00074577" w:rsidRDefault="00074577">
            <w:pPr>
              <w:spacing w:after="160" w:line="259" w:lineRule="auto"/>
            </w:pPr>
            <w:r w:rsidRPr="00074577">
              <w:rPr>
                <w:rStyle w:val="Strong"/>
                <w:rFonts w:eastAsiaTheme="majorEastAsia"/>
                <w:b w:val="0"/>
                <w:bCs w:val="0"/>
              </w:rPr>
              <w:t>2.89</w:t>
            </w:r>
          </w:p>
        </w:tc>
        <w:tc>
          <w:tcPr>
            <w:tcW w:w="810" w:type="dxa"/>
          </w:tcPr>
          <w:p w14:paraId="0B584773" w14:textId="7866D2A4" w:rsidR="004D2E34" w:rsidRPr="00074577" w:rsidRDefault="00074577">
            <w:pPr>
              <w:spacing w:after="160" w:line="259" w:lineRule="auto"/>
            </w:pPr>
            <w:r w:rsidRPr="00074577">
              <w:rPr>
                <w:rStyle w:val="Strong"/>
                <w:rFonts w:eastAsiaTheme="majorEastAsia"/>
                <w:b w:val="0"/>
                <w:bCs w:val="0"/>
              </w:rPr>
              <w:t>1.06</w:t>
            </w:r>
          </w:p>
        </w:tc>
      </w:tr>
      <w:tr w:rsidR="004D2E34" w:rsidRPr="00074577" w14:paraId="0785E0B4" w14:textId="77777777" w:rsidTr="009E45CA">
        <w:tc>
          <w:tcPr>
            <w:tcW w:w="590" w:type="dxa"/>
          </w:tcPr>
          <w:p w14:paraId="73A6E73B" w14:textId="77777777" w:rsidR="004D2E34" w:rsidRDefault="004D2E34">
            <w:pPr>
              <w:spacing w:after="160" w:line="259" w:lineRule="auto"/>
            </w:pPr>
            <w:r>
              <w:t>9</w:t>
            </w:r>
          </w:p>
        </w:tc>
        <w:tc>
          <w:tcPr>
            <w:tcW w:w="3422" w:type="dxa"/>
          </w:tcPr>
          <w:p w14:paraId="6501BFF0" w14:textId="77777777" w:rsidR="004D2E34" w:rsidRDefault="004D2E34">
            <w:pPr>
              <w:spacing w:after="160" w:line="259" w:lineRule="auto"/>
            </w:pPr>
            <w:r w:rsidRPr="00C84C2C">
              <w:t>Improves mediation and conflict-management skills</w:t>
            </w:r>
          </w:p>
        </w:tc>
        <w:tc>
          <w:tcPr>
            <w:tcW w:w="896" w:type="dxa"/>
          </w:tcPr>
          <w:p w14:paraId="0F2D3D9F" w14:textId="45F00235" w:rsidR="004D2E34" w:rsidRDefault="007D7496">
            <w:pPr>
              <w:spacing w:after="160" w:line="259" w:lineRule="auto"/>
            </w:pPr>
            <w:r>
              <w:t>59</w:t>
            </w:r>
          </w:p>
        </w:tc>
        <w:tc>
          <w:tcPr>
            <w:tcW w:w="990" w:type="dxa"/>
          </w:tcPr>
          <w:p w14:paraId="55A1B1A9" w14:textId="22974547" w:rsidR="004D2E34" w:rsidRDefault="007D7496">
            <w:pPr>
              <w:spacing w:after="160" w:line="259" w:lineRule="auto"/>
            </w:pPr>
            <w:r>
              <w:t>43</w:t>
            </w:r>
          </w:p>
        </w:tc>
        <w:tc>
          <w:tcPr>
            <w:tcW w:w="896" w:type="dxa"/>
          </w:tcPr>
          <w:p w14:paraId="37298360" w14:textId="20B9D9A7" w:rsidR="004D2E34" w:rsidRDefault="007D7496">
            <w:pPr>
              <w:spacing w:after="160" w:line="259" w:lineRule="auto"/>
            </w:pPr>
            <w:r>
              <w:t>2</w:t>
            </w:r>
            <w:r w:rsidR="0070693E">
              <w:t>4</w:t>
            </w:r>
          </w:p>
        </w:tc>
        <w:tc>
          <w:tcPr>
            <w:tcW w:w="896" w:type="dxa"/>
          </w:tcPr>
          <w:p w14:paraId="4EA1D1B1" w14:textId="7DC9D346" w:rsidR="004D2E34" w:rsidRDefault="0070693E">
            <w:pPr>
              <w:spacing w:after="160" w:line="259" w:lineRule="auto"/>
            </w:pPr>
            <w:r>
              <w:t>23</w:t>
            </w:r>
          </w:p>
        </w:tc>
        <w:tc>
          <w:tcPr>
            <w:tcW w:w="810" w:type="dxa"/>
          </w:tcPr>
          <w:p w14:paraId="30F648A5" w14:textId="217D59AF" w:rsidR="004D2E34" w:rsidRPr="00074577" w:rsidRDefault="00074577">
            <w:pPr>
              <w:spacing w:after="160" w:line="259" w:lineRule="auto"/>
            </w:pPr>
            <w:r w:rsidRPr="00074577">
              <w:rPr>
                <w:rStyle w:val="Strong"/>
                <w:rFonts w:eastAsiaTheme="majorEastAsia"/>
                <w:b w:val="0"/>
                <w:bCs w:val="0"/>
              </w:rPr>
              <w:t>2.93</w:t>
            </w:r>
          </w:p>
        </w:tc>
        <w:tc>
          <w:tcPr>
            <w:tcW w:w="810" w:type="dxa"/>
          </w:tcPr>
          <w:p w14:paraId="734DB782" w14:textId="12E69B99" w:rsidR="004D2E34" w:rsidRPr="00074577" w:rsidRDefault="00074577">
            <w:pPr>
              <w:spacing w:after="160" w:line="259" w:lineRule="auto"/>
            </w:pPr>
            <w:r w:rsidRPr="00074577">
              <w:rPr>
                <w:rStyle w:val="Strong"/>
                <w:rFonts w:eastAsiaTheme="majorEastAsia"/>
                <w:b w:val="0"/>
                <w:bCs w:val="0"/>
              </w:rPr>
              <w:t>1.04</w:t>
            </w:r>
          </w:p>
        </w:tc>
      </w:tr>
      <w:tr w:rsidR="004D2E34" w:rsidRPr="00074577" w14:paraId="64AC2A77" w14:textId="77777777" w:rsidTr="009E45CA">
        <w:tc>
          <w:tcPr>
            <w:tcW w:w="590" w:type="dxa"/>
          </w:tcPr>
          <w:p w14:paraId="360A1137" w14:textId="77777777" w:rsidR="004D2E34" w:rsidRDefault="004D2E34">
            <w:pPr>
              <w:spacing w:after="160" w:line="259" w:lineRule="auto"/>
            </w:pPr>
            <w:r>
              <w:t>10</w:t>
            </w:r>
          </w:p>
        </w:tc>
        <w:tc>
          <w:tcPr>
            <w:tcW w:w="3422" w:type="dxa"/>
          </w:tcPr>
          <w:p w14:paraId="3B432AD2" w14:textId="77777777" w:rsidR="004D2E34" w:rsidRDefault="004D2E34">
            <w:pPr>
              <w:spacing w:after="160" w:line="259" w:lineRule="auto"/>
            </w:pPr>
            <w:r w:rsidRPr="00C84C2C">
              <w:t>Overall improvement in conflict resolution competence</w:t>
            </w:r>
          </w:p>
        </w:tc>
        <w:tc>
          <w:tcPr>
            <w:tcW w:w="896" w:type="dxa"/>
          </w:tcPr>
          <w:p w14:paraId="1ACE8AD7" w14:textId="490C26B1" w:rsidR="004D2E34" w:rsidRDefault="007D7496">
            <w:pPr>
              <w:spacing w:after="160" w:line="259" w:lineRule="auto"/>
            </w:pPr>
            <w:r>
              <w:t>51</w:t>
            </w:r>
          </w:p>
        </w:tc>
        <w:tc>
          <w:tcPr>
            <w:tcW w:w="990" w:type="dxa"/>
          </w:tcPr>
          <w:p w14:paraId="00B117B3" w14:textId="7AC26912" w:rsidR="004D2E34" w:rsidRDefault="007D7496">
            <w:pPr>
              <w:spacing w:after="160" w:line="259" w:lineRule="auto"/>
            </w:pPr>
            <w:r>
              <w:t>49</w:t>
            </w:r>
          </w:p>
        </w:tc>
        <w:tc>
          <w:tcPr>
            <w:tcW w:w="896" w:type="dxa"/>
          </w:tcPr>
          <w:p w14:paraId="24E6ED58" w14:textId="02A985D9" w:rsidR="004D2E34" w:rsidRDefault="007D7496">
            <w:pPr>
              <w:spacing w:after="160" w:line="259" w:lineRule="auto"/>
            </w:pPr>
            <w:r>
              <w:t>31</w:t>
            </w:r>
          </w:p>
        </w:tc>
        <w:tc>
          <w:tcPr>
            <w:tcW w:w="896" w:type="dxa"/>
          </w:tcPr>
          <w:p w14:paraId="4A2C0F1A" w14:textId="6351C445" w:rsidR="004D2E34" w:rsidRDefault="0070693E">
            <w:pPr>
              <w:spacing w:after="160" w:line="259" w:lineRule="auto"/>
            </w:pPr>
            <w:r>
              <w:t>18</w:t>
            </w:r>
          </w:p>
        </w:tc>
        <w:tc>
          <w:tcPr>
            <w:tcW w:w="810" w:type="dxa"/>
          </w:tcPr>
          <w:p w14:paraId="174C3E63" w14:textId="6B33E241" w:rsidR="004D2E34" w:rsidRPr="00074577" w:rsidRDefault="00074577">
            <w:pPr>
              <w:spacing w:after="160" w:line="259" w:lineRule="auto"/>
            </w:pPr>
            <w:r w:rsidRPr="00074577">
              <w:rPr>
                <w:rStyle w:val="Strong"/>
                <w:rFonts w:eastAsiaTheme="majorEastAsia"/>
                <w:b w:val="0"/>
                <w:bCs w:val="0"/>
              </w:rPr>
              <w:t>2.89</w:t>
            </w:r>
          </w:p>
        </w:tc>
        <w:tc>
          <w:tcPr>
            <w:tcW w:w="810" w:type="dxa"/>
          </w:tcPr>
          <w:p w14:paraId="63022757" w14:textId="606D7764" w:rsidR="004D2E34" w:rsidRPr="00074577" w:rsidRDefault="00074577">
            <w:pPr>
              <w:spacing w:after="160" w:line="259" w:lineRule="auto"/>
            </w:pPr>
            <w:r w:rsidRPr="00074577">
              <w:rPr>
                <w:rStyle w:val="Strong"/>
                <w:rFonts w:eastAsiaTheme="majorEastAsia"/>
                <w:b w:val="0"/>
                <w:bCs w:val="0"/>
              </w:rPr>
              <w:t>0.99</w:t>
            </w:r>
          </w:p>
        </w:tc>
      </w:tr>
      <w:tr w:rsidR="004F3108" w14:paraId="2B65B06C" w14:textId="77777777" w:rsidTr="00627430">
        <w:tc>
          <w:tcPr>
            <w:tcW w:w="9310" w:type="dxa"/>
            <w:gridSpan w:val="8"/>
          </w:tcPr>
          <w:p w14:paraId="6B25FCF2" w14:textId="065D1A97" w:rsidR="004F3108" w:rsidRPr="00074577" w:rsidRDefault="00074577">
            <w:pPr>
              <w:spacing w:after="160" w:line="259" w:lineRule="auto"/>
              <w:rPr>
                <w:b/>
                <w:bCs/>
              </w:rPr>
            </w:pPr>
            <w:r>
              <w:rPr>
                <w:rStyle w:val="mord"/>
              </w:rPr>
              <w:t xml:space="preserve">                                                      </w:t>
            </w:r>
            <w:r w:rsidRPr="00074577">
              <w:rPr>
                <w:rStyle w:val="mord"/>
                <w:b/>
                <w:bCs/>
              </w:rPr>
              <w:t>Total Aggregate Mean</w:t>
            </w:r>
            <w:r>
              <w:rPr>
                <w:rStyle w:val="mord"/>
                <w:b/>
                <w:bCs/>
              </w:rPr>
              <w:t xml:space="preserve"> </w:t>
            </w:r>
            <w:r w:rsidRPr="00074577">
              <w:rPr>
                <w:rStyle w:val="mrel"/>
                <w:b/>
                <w:bCs/>
              </w:rPr>
              <w:t>=</w:t>
            </w:r>
            <w:r>
              <w:rPr>
                <w:rStyle w:val="mrel"/>
                <w:b/>
                <w:bCs/>
              </w:rPr>
              <w:t xml:space="preserve"> </w:t>
            </w:r>
            <w:r w:rsidRPr="00074577">
              <w:rPr>
                <w:rStyle w:val="mord"/>
                <w:b/>
                <w:bCs/>
              </w:rPr>
              <w:t>2.86</w:t>
            </w:r>
          </w:p>
        </w:tc>
      </w:tr>
    </w:tbl>
    <w:p w14:paraId="6F668B51" w14:textId="357AF009" w:rsidR="004F3108" w:rsidRDefault="004F3108" w:rsidP="004F3108"/>
    <w:p w14:paraId="2DC99EFD" w14:textId="144050A2" w:rsidR="00324899" w:rsidRPr="00324899" w:rsidRDefault="00831EB3" w:rsidP="00324899">
      <w:pPr>
        <w:spacing w:before="100" w:beforeAutospacing="1" w:after="100" w:afterAutospacing="1" w:line="360" w:lineRule="auto"/>
        <w:jc w:val="both"/>
        <w:rPr>
          <w:lang w:val="en-NG" w:eastAsia="en-NG"/>
        </w:rPr>
      </w:pPr>
      <w:r w:rsidRPr="00831EB3">
        <w:rPr>
          <w:lang w:val="en-NG" w:eastAsia="en-NG"/>
        </w:rPr>
        <w:t xml:space="preserve">Table 4 presents the extent to which adult capacity-building programmes enhance learners’ knowledge and skills in conflict resolution at Obafemi Awolowo University, Ile-Ife. </w:t>
      </w:r>
      <w:r w:rsidRPr="000A2938">
        <w:rPr>
          <w:lang w:val="en-NG" w:eastAsia="en-NG"/>
        </w:rPr>
        <w:t>The total aggregate mean of 2.86</w:t>
      </w:r>
      <w:r w:rsidRPr="00831EB3">
        <w:rPr>
          <w:lang w:val="en-NG" w:eastAsia="en-NG"/>
        </w:rPr>
        <w:t xml:space="preserve"> on a 4-point Likert scale indicates that these programmes enhance conflict resolution skills to a </w:t>
      </w:r>
      <w:r w:rsidRPr="000A2938">
        <w:rPr>
          <w:lang w:val="en-NG" w:eastAsia="en-NG"/>
        </w:rPr>
        <w:t>great extent</w:t>
      </w:r>
      <w:r w:rsidRPr="00831EB3">
        <w:rPr>
          <w:lang w:val="en-NG" w:eastAsia="en-NG"/>
        </w:rPr>
        <w:t>.</w:t>
      </w:r>
      <w:r>
        <w:rPr>
          <w:lang w:eastAsia="en-NG"/>
        </w:rPr>
        <w:t xml:space="preserve"> </w:t>
      </w:r>
      <w:r w:rsidRPr="00831EB3">
        <w:rPr>
          <w:lang w:val="en-NG" w:eastAsia="en-NG"/>
        </w:rPr>
        <w:t xml:space="preserve">From the table, </w:t>
      </w:r>
      <w:r w:rsidRPr="000A2938">
        <w:rPr>
          <w:lang w:val="en-NG" w:eastAsia="en-NG"/>
        </w:rPr>
        <w:t>improvement in the ability to communicate effectively during conflicts</w:t>
      </w:r>
      <w:r w:rsidRPr="00831EB3">
        <w:rPr>
          <w:lang w:val="en-NG" w:eastAsia="en-NG"/>
        </w:rPr>
        <w:t xml:space="preserve"> recorded the highest mean score </w:t>
      </w:r>
      <w:r w:rsidRPr="000A2938">
        <w:rPr>
          <w:lang w:val="en-NG" w:eastAsia="en-NG"/>
        </w:rPr>
        <w:t>(3.01),</w:t>
      </w:r>
      <w:r w:rsidRPr="00831EB3">
        <w:rPr>
          <w:lang w:val="en-NG" w:eastAsia="en-NG"/>
        </w:rPr>
        <w:t xml:space="preserve"> indicating that capacity-building programmes significantly strengthen communication skills among adult learners during conflict situations. Similarly, </w:t>
      </w:r>
      <w:r w:rsidRPr="000A2938">
        <w:rPr>
          <w:lang w:val="en-NG" w:eastAsia="en-NG"/>
        </w:rPr>
        <w:t>improvement in mediation and conflict-management skills (2.93)</w:t>
      </w:r>
      <w:r w:rsidRPr="00831EB3">
        <w:rPr>
          <w:lang w:val="en-NG" w:eastAsia="en-NG"/>
        </w:rPr>
        <w:t xml:space="preserve"> and </w:t>
      </w:r>
      <w:r w:rsidRPr="000A2938">
        <w:rPr>
          <w:lang w:val="en-NG" w:eastAsia="en-NG"/>
        </w:rPr>
        <w:t xml:space="preserve">overall improvement in conflict resolution competence (2.89) </w:t>
      </w:r>
      <w:r w:rsidRPr="00831EB3">
        <w:rPr>
          <w:lang w:val="en-NG" w:eastAsia="en-NG"/>
        </w:rPr>
        <w:t>show that the programmes have a strong positive impact on learners’ practical conflict resolution abilities.</w:t>
      </w:r>
      <w:r>
        <w:rPr>
          <w:lang w:eastAsia="en-NG"/>
        </w:rPr>
        <w:t xml:space="preserve"> </w:t>
      </w:r>
      <w:r w:rsidRPr="00831EB3">
        <w:rPr>
          <w:lang w:val="en-NG" w:eastAsia="en-NG"/>
        </w:rPr>
        <w:t xml:space="preserve">In addition, </w:t>
      </w:r>
      <w:r w:rsidRPr="000A2938">
        <w:rPr>
          <w:lang w:val="en-NG" w:eastAsia="en-NG"/>
        </w:rPr>
        <w:t xml:space="preserve">building confidence in handling disagreements constructively (2.89), promotion of emotional intelligence and self-control (2.82), and development of problem-solving skills for resolving disputes (2.82) </w:t>
      </w:r>
      <w:r w:rsidRPr="00831EB3">
        <w:rPr>
          <w:lang w:val="en-NG" w:eastAsia="en-NG"/>
        </w:rPr>
        <w:t xml:space="preserve">indicate that the programmes contribute meaningfully to both cognitive and emotional aspects of conflict management. </w:t>
      </w:r>
      <w:r w:rsidRPr="000A2938">
        <w:rPr>
          <w:lang w:val="en-NG" w:eastAsia="en-NG"/>
        </w:rPr>
        <w:t>Improvement in the ability to manage interpersonal conflicts (2.81) and enhancement of teamwork and collaboration (2.80)</w:t>
      </w:r>
      <w:r w:rsidRPr="00831EB3">
        <w:rPr>
          <w:lang w:val="en-NG" w:eastAsia="en-NG"/>
        </w:rPr>
        <w:t xml:space="preserve"> further support this observation.</w:t>
      </w:r>
      <w:r>
        <w:rPr>
          <w:lang w:eastAsia="en-NG"/>
        </w:rPr>
        <w:t xml:space="preserve"> </w:t>
      </w:r>
      <w:r w:rsidRPr="00831EB3">
        <w:rPr>
          <w:lang w:val="en-NG" w:eastAsia="en-NG"/>
        </w:rPr>
        <w:t xml:space="preserve">However, relatively lower mean scores were recorded for </w:t>
      </w:r>
      <w:r w:rsidRPr="000A2938">
        <w:rPr>
          <w:lang w:val="en-NG" w:eastAsia="en-NG"/>
        </w:rPr>
        <w:t>enhancement of negotiation and compromise skills (2.79) and increase in understanding of causes of conflict (2.79)</w:t>
      </w:r>
      <w:r w:rsidRPr="00831EB3">
        <w:rPr>
          <w:lang w:val="en-NG" w:eastAsia="en-NG"/>
        </w:rPr>
        <w:t>, although these values still fall within the range of a great extent.</w:t>
      </w:r>
      <w:r>
        <w:rPr>
          <w:lang w:eastAsia="en-NG"/>
        </w:rPr>
        <w:t xml:space="preserve"> </w:t>
      </w:r>
      <w:r w:rsidRPr="00831EB3">
        <w:rPr>
          <w:lang w:val="en-NG" w:eastAsia="en-NG"/>
        </w:rPr>
        <w:t xml:space="preserve">The standard deviation values, ranging </w:t>
      </w:r>
      <w:r w:rsidRPr="007B71F8">
        <w:rPr>
          <w:lang w:val="en-NG" w:eastAsia="en-NG"/>
        </w:rPr>
        <w:t>from 0.99 to 1.07,</w:t>
      </w:r>
      <w:r w:rsidRPr="00831EB3">
        <w:rPr>
          <w:lang w:val="en-NG" w:eastAsia="en-NG"/>
        </w:rPr>
        <w:t xml:space="preserve"> </w:t>
      </w:r>
      <w:r w:rsidRPr="00831EB3">
        <w:rPr>
          <w:lang w:val="en-NG" w:eastAsia="en-NG"/>
        </w:rPr>
        <w:lastRenderedPageBreak/>
        <w:t>indicate a moderate level of variability in respondents’ opinions, suggesting that while most respondents agree on the positive impact of the programmes, there are slight differences in their perceptions.</w:t>
      </w:r>
      <w:r>
        <w:rPr>
          <w:lang w:eastAsia="en-NG"/>
        </w:rPr>
        <w:t xml:space="preserve"> </w:t>
      </w:r>
      <w:r w:rsidR="007B71F8" w:rsidRPr="007B71F8">
        <w:rPr>
          <w:lang w:eastAsia="en-NG"/>
        </w:rPr>
        <w:t>Generally</w:t>
      </w:r>
      <w:r w:rsidRPr="007B71F8">
        <w:rPr>
          <w:lang w:val="en-NG" w:eastAsia="en-NG"/>
        </w:rPr>
        <w:t>, the findings reveal that adult capacity-building programmes at Obafemi Awolowo University, Ile-Ife, enhance learners’ knowledge and skills in conflict resolution to a great extent, particularly in areas related to communication, mediation, and overall competence, although aspects such as negotiation and understanding conflict causes may require further strengthening.</w:t>
      </w:r>
      <w:r w:rsidR="00324899">
        <w:rPr>
          <w:lang w:eastAsia="en-NG"/>
        </w:rPr>
        <w:t xml:space="preserve"> This is supported by the study by</w:t>
      </w:r>
      <w:r w:rsidR="00324899" w:rsidRPr="001712C2">
        <w:rPr>
          <w:lang w:val="en-NG" w:eastAsia="en-NG"/>
        </w:rPr>
        <w:t xml:space="preserve"> Modeyin, Oisamoje</w:t>
      </w:r>
      <w:r w:rsidR="00324899">
        <w:rPr>
          <w:lang w:eastAsia="en-NG"/>
        </w:rPr>
        <w:t xml:space="preserve"> </w:t>
      </w:r>
      <w:r w:rsidR="00324899" w:rsidRPr="001712C2">
        <w:rPr>
          <w:lang w:val="en-NG" w:eastAsia="en-NG"/>
        </w:rPr>
        <w:t>and Asemah</w:t>
      </w:r>
      <w:r w:rsidR="00324899">
        <w:rPr>
          <w:lang w:eastAsia="en-NG"/>
        </w:rPr>
        <w:t xml:space="preserve"> </w:t>
      </w:r>
      <w:r w:rsidR="00324899" w:rsidRPr="001712C2">
        <w:rPr>
          <w:lang w:val="en-NG" w:eastAsia="en-NG"/>
        </w:rPr>
        <w:t>(2025) found that communication-based capacity-building programmes significantly improve mediation, dialogue, and peaceful conflict management skills among participants in Nigeria. Their study revealed that communication strategies such as dialogue facilitation, community relations, and peacebuilding communication contribute greatly to conflict de-escalation and peaceful coexistence. This supports the present finding that adult learners improved in communication and mediation skills through participation in capacity-building programmes. Similarly, Onyimyi</w:t>
      </w:r>
      <w:r w:rsidR="00324899">
        <w:rPr>
          <w:lang w:eastAsia="en-NG"/>
        </w:rPr>
        <w:t xml:space="preserve"> </w:t>
      </w:r>
      <w:r w:rsidR="00324899" w:rsidRPr="001712C2">
        <w:rPr>
          <w:lang w:val="en-NG" w:eastAsia="en-NG"/>
        </w:rPr>
        <w:t>(2025) reported a strong positive relationship between emotional intelligence and conflict management in Nigerian universities. The study showed that emotional intelligence components such as self-awareness, empathy, emotional regulation, and social skills significantly enhance constructive conflict management strategies including collaboration, compromise, and peaceful interpersonal relationships. This corroborates the findings of the present study that capacity-building programmes promote emotional intelligence, self-control, and confidence in handling disagreements constructively.</w:t>
      </w:r>
    </w:p>
    <w:p w14:paraId="0382C17E" w14:textId="7F0181AE" w:rsidR="003A2A4B" w:rsidRPr="003A2A4B" w:rsidRDefault="00C84C2C" w:rsidP="00BF19A0">
      <w:pPr>
        <w:spacing w:before="100" w:beforeAutospacing="1" w:after="100" w:afterAutospacing="1" w:line="360" w:lineRule="auto"/>
        <w:jc w:val="both"/>
      </w:pPr>
      <w:r>
        <w:rPr>
          <w:rStyle w:val="Strong"/>
        </w:rPr>
        <w:t xml:space="preserve">Research </w:t>
      </w:r>
      <w:r w:rsidR="006C749E">
        <w:rPr>
          <w:rStyle w:val="Strong"/>
        </w:rPr>
        <w:t>q</w:t>
      </w:r>
      <w:r>
        <w:rPr>
          <w:rStyle w:val="Strong"/>
        </w:rPr>
        <w:t>uestion</w:t>
      </w:r>
      <w:r w:rsidR="009E45CA">
        <w:rPr>
          <w:rStyle w:val="Strong"/>
        </w:rPr>
        <w:t xml:space="preserve"> four</w:t>
      </w:r>
      <w:r>
        <w:rPr>
          <w:rStyle w:val="Strong"/>
        </w:rPr>
        <w:t>:</w:t>
      </w:r>
      <w:r w:rsidR="004D2E34">
        <w:t xml:space="preserve"> </w:t>
      </w:r>
      <w:r w:rsidR="003A2A4B" w:rsidRPr="003A2A4B">
        <w:rPr>
          <w:iCs/>
        </w:rPr>
        <w:t>What is the contribution of adult capacity-building programmes to community development among adult learners at Obafemi Awolowo University, Ile-Ife</w:t>
      </w:r>
      <w:r w:rsidR="00607053">
        <w:rPr>
          <w:iCs/>
        </w:rPr>
        <w:t>, Nigeria</w:t>
      </w:r>
      <w:r w:rsidR="003A2A4B" w:rsidRPr="003A2A4B">
        <w:rPr>
          <w:iCs/>
        </w:rPr>
        <w:t>?</w:t>
      </w:r>
    </w:p>
    <w:p w14:paraId="45372233" w14:textId="43BAF808" w:rsidR="006C749E" w:rsidRPr="007B71F8" w:rsidRDefault="00CF718B" w:rsidP="00BF19A0">
      <w:pPr>
        <w:pStyle w:val="NormalWeb"/>
        <w:spacing w:line="360" w:lineRule="auto"/>
        <w:jc w:val="both"/>
        <w:rPr>
          <w:b/>
          <w:bCs/>
        </w:rPr>
      </w:pPr>
      <w:r w:rsidRPr="003A2A4B">
        <w:rPr>
          <w:b/>
          <w:bCs/>
        </w:rPr>
        <w:t>Table 5: Contribution of Adult Capacity-Building Programmes to Community Development</w:t>
      </w:r>
    </w:p>
    <w:tbl>
      <w:tblPr>
        <w:tblStyle w:val="TableGrid"/>
        <w:tblW w:w="9493" w:type="dxa"/>
        <w:tblLook w:val="04A0" w:firstRow="1" w:lastRow="0" w:firstColumn="1" w:lastColumn="0" w:noHBand="0" w:noVBand="1"/>
      </w:tblPr>
      <w:tblGrid>
        <w:gridCol w:w="590"/>
        <w:gridCol w:w="1669"/>
        <w:gridCol w:w="1563"/>
        <w:gridCol w:w="1563"/>
        <w:gridCol w:w="1563"/>
        <w:gridCol w:w="1563"/>
        <w:gridCol w:w="803"/>
        <w:gridCol w:w="636"/>
      </w:tblGrid>
      <w:tr w:rsidR="006C749E" w14:paraId="0673BB85" w14:textId="77777777" w:rsidTr="000B6EA8">
        <w:tc>
          <w:tcPr>
            <w:tcW w:w="563" w:type="dxa"/>
          </w:tcPr>
          <w:p w14:paraId="484CC505" w14:textId="7317C3AB" w:rsidR="006C749E" w:rsidRPr="00C854E7" w:rsidRDefault="006C749E" w:rsidP="003A2A4B">
            <w:pPr>
              <w:pStyle w:val="NormalWeb"/>
              <w:rPr>
                <w:b/>
                <w:bCs/>
                <w:iCs/>
              </w:rPr>
            </w:pPr>
            <w:r w:rsidRPr="00C854E7">
              <w:rPr>
                <w:b/>
                <w:bCs/>
                <w:iCs/>
              </w:rPr>
              <w:t>S/N</w:t>
            </w:r>
          </w:p>
        </w:tc>
        <w:tc>
          <w:tcPr>
            <w:tcW w:w="1570" w:type="dxa"/>
          </w:tcPr>
          <w:p w14:paraId="442F3E23" w14:textId="5382141E" w:rsidR="006C749E" w:rsidRPr="006C749E" w:rsidRDefault="006C749E" w:rsidP="003A2A4B">
            <w:pPr>
              <w:pStyle w:val="NormalWeb"/>
              <w:rPr>
                <w:iCs/>
              </w:rPr>
            </w:pPr>
            <w:r w:rsidRPr="00CF718B">
              <w:rPr>
                <w:b/>
                <w:bCs/>
              </w:rPr>
              <w:t>Community Development Indicators</w:t>
            </w:r>
          </w:p>
        </w:tc>
        <w:tc>
          <w:tcPr>
            <w:tcW w:w="1471" w:type="dxa"/>
          </w:tcPr>
          <w:p w14:paraId="636F9F14" w14:textId="0B7579F9" w:rsidR="006C749E" w:rsidRPr="006C749E" w:rsidRDefault="006C749E" w:rsidP="003A2A4B">
            <w:pPr>
              <w:pStyle w:val="NormalWeb"/>
              <w:rPr>
                <w:iCs/>
              </w:rPr>
            </w:pPr>
            <w:r w:rsidRPr="00CF718B">
              <w:rPr>
                <w:b/>
                <w:bCs/>
              </w:rPr>
              <w:t>Very High Contribution</w:t>
            </w:r>
          </w:p>
        </w:tc>
        <w:tc>
          <w:tcPr>
            <w:tcW w:w="1471" w:type="dxa"/>
          </w:tcPr>
          <w:p w14:paraId="4C369E5A" w14:textId="3F8942CC" w:rsidR="006C749E" w:rsidRPr="006C749E" w:rsidRDefault="006C749E" w:rsidP="003A2A4B">
            <w:pPr>
              <w:pStyle w:val="NormalWeb"/>
              <w:rPr>
                <w:iCs/>
              </w:rPr>
            </w:pPr>
            <w:r w:rsidRPr="00CF718B">
              <w:rPr>
                <w:b/>
                <w:bCs/>
              </w:rPr>
              <w:t>High Contribution</w:t>
            </w:r>
          </w:p>
        </w:tc>
        <w:tc>
          <w:tcPr>
            <w:tcW w:w="1471" w:type="dxa"/>
          </w:tcPr>
          <w:p w14:paraId="6665C599" w14:textId="32D106A3" w:rsidR="006C749E" w:rsidRPr="006C749E" w:rsidRDefault="006C749E" w:rsidP="003A2A4B">
            <w:pPr>
              <w:pStyle w:val="NormalWeb"/>
              <w:rPr>
                <w:iCs/>
              </w:rPr>
            </w:pPr>
            <w:r w:rsidRPr="00CF718B">
              <w:rPr>
                <w:b/>
                <w:bCs/>
              </w:rPr>
              <w:t>Low Contribution</w:t>
            </w:r>
          </w:p>
        </w:tc>
        <w:tc>
          <w:tcPr>
            <w:tcW w:w="1471" w:type="dxa"/>
          </w:tcPr>
          <w:p w14:paraId="695A75CA" w14:textId="1CB6539F" w:rsidR="006C749E" w:rsidRPr="006C749E" w:rsidRDefault="006C749E" w:rsidP="003A2A4B">
            <w:pPr>
              <w:pStyle w:val="NormalWeb"/>
              <w:rPr>
                <w:b/>
                <w:bCs/>
              </w:rPr>
            </w:pPr>
            <w:r w:rsidRPr="00CF718B">
              <w:rPr>
                <w:b/>
                <w:bCs/>
              </w:rPr>
              <w:t>No</w:t>
            </w:r>
            <w:r>
              <w:rPr>
                <w:b/>
                <w:bCs/>
              </w:rPr>
              <w:t xml:space="preserve"> </w:t>
            </w:r>
            <w:r w:rsidRPr="00CF718B">
              <w:rPr>
                <w:b/>
                <w:bCs/>
              </w:rPr>
              <w:t>Contribution</w:t>
            </w:r>
          </w:p>
        </w:tc>
        <w:tc>
          <w:tcPr>
            <w:tcW w:w="726" w:type="dxa"/>
          </w:tcPr>
          <w:p w14:paraId="4E65C636" w14:textId="317A9D3B" w:rsidR="006C749E" w:rsidRPr="007B71F8" w:rsidRDefault="006C749E" w:rsidP="003A2A4B">
            <w:pPr>
              <w:pStyle w:val="NormalWeb"/>
              <w:rPr>
                <w:b/>
                <w:bCs/>
                <w:iCs/>
              </w:rPr>
            </w:pPr>
            <w:r w:rsidRPr="007B71F8">
              <w:rPr>
                <w:b/>
                <w:bCs/>
                <w:iCs/>
              </w:rPr>
              <w:t>Mean</w:t>
            </w:r>
          </w:p>
        </w:tc>
        <w:tc>
          <w:tcPr>
            <w:tcW w:w="750" w:type="dxa"/>
          </w:tcPr>
          <w:p w14:paraId="3171DAD0" w14:textId="4612449D" w:rsidR="006C749E" w:rsidRPr="007B71F8" w:rsidRDefault="006C749E" w:rsidP="003A2A4B">
            <w:pPr>
              <w:pStyle w:val="NormalWeb"/>
              <w:rPr>
                <w:b/>
                <w:bCs/>
                <w:iCs/>
              </w:rPr>
            </w:pPr>
            <w:r w:rsidRPr="007B71F8">
              <w:rPr>
                <w:b/>
                <w:bCs/>
                <w:iCs/>
              </w:rPr>
              <w:t>Std Dev</w:t>
            </w:r>
          </w:p>
        </w:tc>
      </w:tr>
      <w:tr w:rsidR="006C749E" w:rsidRPr="006C749E" w14:paraId="0D45E69F" w14:textId="77777777" w:rsidTr="000B6EA8">
        <w:tc>
          <w:tcPr>
            <w:tcW w:w="563" w:type="dxa"/>
          </w:tcPr>
          <w:p w14:paraId="20ED9464" w14:textId="49E7787C" w:rsidR="006C749E" w:rsidRPr="006C749E" w:rsidRDefault="003A337F" w:rsidP="003A2A4B">
            <w:pPr>
              <w:pStyle w:val="NormalWeb"/>
              <w:rPr>
                <w:iCs/>
              </w:rPr>
            </w:pPr>
            <w:r>
              <w:rPr>
                <w:iCs/>
              </w:rPr>
              <w:t>1</w:t>
            </w:r>
          </w:p>
        </w:tc>
        <w:tc>
          <w:tcPr>
            <w:tcW w:w="1570" w:type="dxa"/>
          </w:tcPr>
          <w:p w14:paraId="55628736" w14:textId="08554291" w:rsidR="006C749E" w:rsidRPr="006C749E" w:rsidRDefault="003A337F" w:rsidP="003A2A4B">
            <w:pPr>
              <w:pStyle w:val="NormalWeb"/>
              <w:rPr>
                <w:iCs/>
              </w:rPr>
            </w:pPr>
            <w:r w:rsidRPr="00CF718B">
              <w:t>Enhances community leadership skills among adult learners</w:t>
            </w:r>
          </w:p>
        </w:tc>
        <w:tc>
          <w:tcPr>
            <w:tcW w:w="1471" w:type="dxa"/>
          </w:tcPr>
          <w:p w14:paraId="3FE9F603" w14:textId="7BED240F" w:rsidR="006C749E" w:rsidRPr="006C749E" w:rsidRDefault="0070693E" w:rsidP="003A2A4B">
            <w:pPr>
              <w:pStyle w:val="NormalWeb"/>
              <w:rPr>
                <w:iCs/>
              </w:rPr>
            </w:pPr>
            <w:r>
              <w:rPr>
                <w:iCs/>
              </w:rPr>
              <w:t>56</w:t>
            </w:r>
          </w:p>
        </w:tc>
        <w:tc>
          <w:tcPr>
            <w:tcW w:w="1471" w:type="dxa"/>
          </w:tcPr>
          <w:p w14:paraId="0D8FB14D" w14:textId="6D033FB0" w:rsidR="006C749E" w:rsidRPr="006C749E" w:rsidRDefault="0070693E" w:rsidP="003A2A4B">
            <w:pPr>
              <w:pStyle w:val="NormalWeb"/>
              <w:rPr>
                <w:iCs/>
              </w:rPr>
            </w:pPr>
            <w:r>
              <w:rPr>
                <w:iCs/>
              </w:rPr>
              <w:t>47</w:t>
            </w:r>
          </w:p>
        </w:tc>
        <w:tc>
          <w:tcPr>
            <w:tcW w:w="1471" w:type="dxa"/>
          </w:tcPr>
          <w:p w14:paraId="5C919323" w14:textId="4F42274E" w:rsidR="006C749E" w:rsidRPr="006C749E" w:rsidRDefault="0070693E" w:rsidP="003A2A4B">
            <w:pPr>
              <w:pStyle w:val="NormalWeb"/>
              <w:rPr>
                <w:iCs/>
              </w:rPr>
            </w:pPr>
            <w:r>
              <w:rPr>
                <w:iCs/>
              </w:rPr>
              <w:t>21</w:t>
            </w:r>
          </w:p>
        </w:tc>
        <w:tc>
          <w:tcPr>
            <w:tcW w:w="1471" w:type="dxa"/>
          </w:tcPr>
          <w:p w14:paraId="57C6A072" w14:textId="0A5CD4E9" w:rsidR="006C749E" w:rsidRPr="006C749E" w:rsidRDefault="00A52D83" w:rsidP="003A2A4B">
            <w:pPr>
              <w:pStyle w:val="NormalWeb"/>
              <w:rPr>
                <w:iCs/>
              </w:rPr>
            </w:pPr>
            <w:r>
              <w:rPr>
                <w:iCs/>
              </w:rPr>
              <w:t>25</w:t>
            </w:r>
          </w:p>
        </w:tc>
        <w:tc>
          <w:tcPr>
            <w:tcW w:w="726" w:type="dxa"/>
          </w:tcPr>
          <w:p w14:paraId="7A06237B" w14:textId="3F7D6675" w:rsidR="006C749E" w:rsidRPr="007B71F8" w:rsidRDefault="000B6EA8" w:rsidP="003A2A4B">
            <w:pPr>
              <w:pStyle w:val="NormalWeb"/>
              <w:rPr>
                <w:b/>
                <w:bCs/>
                <w:iCs/>
              </w:rPr>
            </w:pPr>
            <w:r w:rsidRPr="007B71F8">
              <w:rPr>
                <w:rStyle w:val="Strong"/>
                <w:rFonts w:eastAsiaTheme="majorEastAsia"/>
                <w:b w:val="0"/>
                <w:bCs w:val="0"/>
              </w:rPr>
              <w:t>2.90</w:t>
            </w:r>
          </w:p>
        </w:tc>
        <w:tc>
          <w:tcPr>
            <w:tcW w:w="750" w:type="dxa"/>
          </w:tcPr>
          <w:p w14:paraId="588C1F5E" w14:textId="6E34D712" w:rsidR="006C749E" w:rsidRPr="007B71F8" w:rsidRDefault="000B6EA8" w:rsidP="003A2A4B">
            <w:pPr>
              <w:pStyle w:val="NormalWeb"/>
              <w:rPr>
                <w:b/>
                <w:bCs/>
                <w:iCs/>
              </w:rPr>
            </w:pPr>
            <w:r w:rsidRPr="007B71F8">
              <w:rPr>
                <w:rStyle w:val="Strong"/>
                <w:rFonts w:eastAsiaTheme="majorEastAsia"/>
                <w:b w:val="0"/>
                <w:bCs w:val="0"/>
              </w:rPr>
              <w:t>1.08</w:t>
            </w:r>
          </w:p>
        </w:tc>
      </w:tr>
      <w:tr w:rsidR="006C749E" w:rsidRPr="006C749E" w14:paraId="73FF706A" w14:textId="77777777" w:rsidTr="000B6EA8">
        <w:tc>
          <w:tcPr>
            <w:tcW w:w="563" w:type="dxa"/>
          </w:tcPr>
          <w:p w14:paraId="4DAD0F64" w14:textId="500615A5" w:rsidR="006C749E" w:rsidRPr="006C749E" w:rsidRDefault="003A337F" w:rsidP="003A2A4B">
            <w:pPr>
              <w:pStyle w:val="NormalWeb"/>
              <w:rPr>
                <w:iCs/>
              </w:rPr>
            </w:pPr>
            <w:r>
              <w:rPr>
                <w:iCs/>
              </w:rPr>
              <w:lastRenderedPageBreak/>
              <w:t>2</w:t>
            </w:r>
          </w:p>
        </w:tc>
        <w:tc>
          <w:tcPr>
            <w:tcW w:w="1570" w:type="dxa"/>
          </w:tcPr>
          <w:p w14:paraId="033460EC" w14:textId="16D76949" w:rsidR="006C749E" w:rsidRPr="006C749E" w:rsidRDefault="003A337F" w:rsidP="003A2A4B">
            <w:pPr>
              <w:pStyle w:val="NormalWeb"/>
              <w:rPr>
                <w:iCs/>
              </w:rPr>
            </w:pPr>
            <w:r w:rsidRPr="00CF718B">
              <w:t>Promotes active participation in community development projects</w:t>
            </w:r>
          </w:p>
        </w:tc>
        <w:tc>
          <w:tcPr>
            <w:tcW w:w="1471" w:type="dxa"/>
          </w:tcPr>
          <w:p w14:paraId="0B76FF4D" w14:textId="417A796D" w:rsidR="006C749E" w:rsidRPr="006C749E" w:rsidRDefault="0070693E" w:rsidP="003A2A4B">
            <w:pPr>
              <w:pStyle w:val="NormalWeb"/>
              <w:rPr>
                <w:iCs/>
              </w:rPr>
            </w:pPr>
            <w:r>
              <w:rPr>
                <w:iCs/>
              </w:rPr>
              <w:t>51</w:t>
            </w:r>
          </w:p>
        </w:tc>
        <w:tc>
          <w:tcPr>
            <w:tcW w:w="1471" w:type="dxa"/>
          </w:tcPr>
          <w:p w14:paraId="6F2CDDFA" w14:textId="6F77E8F2" w:rsidR="006C749E" w:rsidRPr="006C749E" w:rsidRDefault="000F1AA1" w:rsidP="003A2A4B">
            <w:pPr>
              <w:pStyle w:val="NormalWeb"/>
              <w:rPr>
                <w:iCs/>
              </w:rPr>
            </w:pPr>
            <w:r>
              <w:rPr>
                <w:iCs/>
              </w:rPr>
              <w:t>43</w:t>
            </w:r>
          </w:p>
        </w:tc>
        <w:tc>
          <w:tcPr>
            <w:tcW w:w="1471" w:type="dxa"/>
          </w:tcPr>
          <w:p w14:paraId="274CA8B6" w14:textId="68394917" w:rsidR="006C749E" w:rsidRPr="006C749E" w:rsidRDefault="00A52D83" w:rsidP="003A2A4B">
            <w:pPr>
              <w:pStyle w:val="NormalWeb"/>
              <w:rPr>
                <w:iCs/>
              </w:rPr>
            </w:pPr>
            <w:r>
              <w:rPr>
                <w:iCs/>
              </w:rPr>
              <w:t>34</w:t>
            </w:r>
          </w:p>
        </w:tc>
        <w:tc>
          <w:tcPr>
            <w:tcW w:w="1471" w:type="dxa"/>
          </w:tcPr>
          <w:p w14:paraId="42F12436" w14:textId="6709D079" w:rsidR="006C749E" w:rsidRPr="006C749E" w:rsidRDefault="00A52D83" w:rsidP="003A2A4B">
            <w:pPr>
              <w:pStyle w:val="NormalWeb"/>
              <w:rPr>
                <w:iCs/>
              </w:rPr>
            </w:pPr>
            <w:r>
              <w:rPr>
                <w:iCs/>
              </w:rPr>
              <w:t>21</w:t>
            </w:r>
          </w:p>
        </w:tc>
        <w:tc>
          <w:tcPr>
            <w:tcW w:w="726" w:type="dxa"/>
          </w:tcPr>
          <w:p w14:paraId="3806FA25" w14:textId="60999F04" w:rsidR="006C749E" w:rsidRPr="007B71F8" w:rsidRDefault="000B6EA8" w:rsidP="003A2A4B">
            <w:pPr>
              <w:pStyle w:val="NormalWeb"/>
              <w:rPr>
                <w:b/>
                <w:bCs/>
                <w:iCs/>
              </w:rPr>
            </w:pPr>
            <w:r w:rsidRPr="007B71F8">
              <w:rPr>
                <w:rStyle w:val="Strong"/>
                <w:rFonts w:eastAsiaTheme="majorEastAsia"/>
                <w:b w:val="0"/>
                <w:bCs w:val="0"/>
              </w:rPr>
              <w:t>2.83</w:t>
            </w:r>
          </w:p>
        </w:tc>
        <w:tc>
          <w:tcPr>
            <w:tcW w:w="750" w:type="dxa"/>
          </w:tcPr>
          <w:p w14:paraId="7EB71EB3" w14:textId="243ABC63" w:rsidR="006C749E" w:rsidRPr="007B71F8" w:rsidRDefault="000B6EA8" w:rsidP="003A2A4B">
            <w:pPr>
              <w:pStyle w:val="NormalWeb"/>
              <w:rPr>
                <w:b/>
                <w:bCs/>
                <w:iCs/>
              </w:rPr>
            </w:pPr>
            <w:r w:rsidRPr="007B71F8">
              <w:rPr>
                <w:rStyle w:val="Strong"/>
                <w:rFonts w:eastAsiaTheme="majorEastAsia"/>
                <w:b w:val="0"/>
                <w:bCs w:val="0"/>
              </w:rPr>
              <w:t>1.06</w:t>
            </w:r>
          </w:p>
        </w:tc>
      </w:tr>
      <w:tr w:rsidR="006C749E" w:rsidRPr="006C749E" w14:paraId="5674E49D" w14:textId="77777777" w:rsidTr="000B6EA8">
        <w:tc>
          <w:tcPr>
            <w:tcW w:w="563" w:type="dxa"/>
          </w:tcPr>
          <w:p w14:paraId="29888D3E" w14:textId="14794AAA" w:rsidR="006C749E" w:rsidRPr="006C749E" w:rsidRDefault="003A337F" w:rsidP="003A2A4B">
            <w:pPr>
              <w:pStyle w:val="NormalWeb"/>
              <w:rPr>
                <w:iCs/>
              </w:rPr>
            </w:pPr>
            <w:r>
              <w:rPr>
                <w:iCs/>
              </w:rPr>
              <w:t>3</w:t>
            </w:r>
          </w:p>
        </w:tc>
        <w:tc>
          <w:tcPr>
            <w:tcW w:w="1570" w:type="dxa"/>
          </w:tcPr>
          <w:p w14:paraId="769F4B60" w14:textId="3E51DEE1" w:rsidR="006C749E" w:rsidRPr="006C749E" w:rsidRDefault="003A337F" w:rsidP="003A2A4B">
            <w:pPr>
              <w:pStyle w:val="NormalWeb"/>
              <w:rPr>
                <w:iCs/>
              </w:rPr>
            </w:pPr>
            <w:r w:rsidRPr="00CF718B">
              <w:t>Improves problem-solving skills for addressing community issues</w:t>
            </w:r>
          </w:p>
        </w:tc>
        <w:tc>
          <w:tcPr>
            <w:tcW w:w="1471" w:type="dxa"/>
          </w:tcPr>
          <w:p w14:paraId="581BA97E" w14:textId="60FF8637" w:rsidR="006C749E" w:rsidRPr="006C749E" w:rsidRDefault="000F1AA1" w:rsidP="003A2A4B">
            <w:pPr>
              <w:pStyle w:val="NormalWeb"/>
              <w:rPr>
                <w:iCs/>
              </w:rPr>
            </w:pPr>
            <w:r>
              <w:rPr>
                <w:iCs/>
              </w:rPr>
              <w:t>57</w:t>
            </w:r>
          </w:p>
        </w:tc>
        <w:tc>
          <w:tcPr>
            <w:tcW w:w="1471" w:type="dxa"/>
          </w:tcPr>
          <w:p w14:paraId="38423E49" w14:textId="1A8C9E05" w:rsidR="006C749E" w:rsidRPr="006C749E" w:rsidRDefault="000F1AA1" w:rsidP="003A2A4B">
            <w:pPr>
              <w:pStyle w:val="NormalWeb"/>
              <w:rPr>
                <w:iCs/>
              </w:rPr>
            </w:pPr>
            <w:r>
              <w:rPr>
                <w:iCs/>
              </w:rPr>
              <w:t>45</w:t>
            </w:r>
          </w:p>
        </w:tc>
        <w:tc>
          <w:tcPr>
            <w:tcW w:w="1471" w:type="dxa"/>
          </w:tcPr>
          <w:p w14:paraId="605C457E" w14:textId="7CA45B2D" w:rsidR="006C749E" w:rsidRPr="006C749E" w:rsidRDefault="000F1AA1" w:rsidP="003A2A4B">
            <w:pPr>
              <w:pStyle w:val="NormalWeb"/>
              <w:rPr>
                <w:iCs/>
              </w:rPr>
            </w:pPr>
            <w:r>
              <w:rPr>
                <w:iCs/>
              </w:rPr>
              <w:t>27</w:t>
            </w:r>
          </w:p>
        </w:tc>
        <w:tc>
          <w:tcPr>
            <w:tcW w:w="1471" w:type="dxa"/>
          </w:tcPr>
          <w:p w14:paraId="4EE2DDD8" w14:textId="740FE6D9" w:rsidR="006C749E" w:rsidRPr="006C749E" w:rsidRDefault="00A52D83" w:rsidP="003A2A4B">
            <w:pPr>
              <w:pStyle w:val="NormalWeb"/>
              <w:rPr>
                <w:iCs/>
              </w:rPr>
            </w:pPr>
            <w:r>
              <w:rPr>
                <w:iCs/>
              </w:rPr>
              <w:t>20</w:t>
            </w:r>
          </w:p>
        </w:tc>
        <w:tc>
          <w:tcPr>
            <w:tcW w:w="726" w:type="dxa"/>
          </w:tcPr>
          <w:p w14:paraId="706596F6" w14:textId="38F051F2" w:rsidR="006C749E" w:rsidRPr="007B71F8" w:rsidRDefault="000B6EA8" w:rsidP="003A2A4B">
            <w:pPr>
              <w:pStyle w:val="NormalWeb"/>
              <w:rPr>
                <w:b/>
                <w:bCs/>
                <w:iCs/>
              </w:rPr>
            </w:pPr>
            <w:r w:rsidRPr="007B71F8">
              <w:rPr>
                <w:rStyle w:val="Strong"/>
                <w:rFonts w:eastAsiaTheme="majorEastAsia"/>
                <w:b w:val="0"/>
                <w:bCs w:val="0"/>
              </w:rPr>
              <w:t>2.93</w:t>
            </w:r>
          </w:p>
        </w:tc>
        <w:tc>
          <w:tcPr>
            <w:tcW w:w="750" w:type="dxa"/>
          </w:tcPr>
          <w:p w14:paraId="045D4000" w14:textId="1B0E9199" w:rsidR="006C749E" w:rsidRPr="007B71F8" w:rsidRDefault="000B6EA8" w:rsidP="003A2A4B">
            <w:pPr>
              <w:pStyle w:val="NormalWeb"/>
              <w:rPr>
                <w:b/>
                <w:bCs/>
                <w:iCs/>
              </w:rPr>
            </w:pPr>
            <w:r w:rsidRPr="007B71F8">
              <w:rPr>
                <w:rStyle w:val="Strong"/>
                <w:rFonts w:eastAsiaTheme="majorEastAsia"/>
                <w:b w:val="0"/>
                <w:bCs w:val="0"/>
              </w:rPr>
              <w:t>1.03</w:t>
            </w:r>
          </w:p>
        </w:tc>
      </w:tr>
      <w:tr w:rsidR="006C749E" w:rsidRPr="006C749E" w14:paraId="3CAC8D1A" w14:textId="77777777" w:rsidTr="000B6EA8">
        <w:tc>
          <w:tcPr>
            <w:tcW w:w="563" w:type="dxa"/>
          </w:tcPr>
          <w:p w14:paraId="5D7334B9" w14:textId="0C320892" w:rsidR="006C749E" w:rsidRPr="006C749E" w:rsidRDefault="003A337F" w:rsidP="003A2A4B">
            <w:pPr>
              <w:pStyle w:val="NormalWeb"/>
              <w:rPr>
                <w:iCs/>
              </w:rPr>
            </w:pPr>
            <w:r>
              <w:rPr>
                <w:iCs/>
              </w:rPr>
              <w:t>4</w:t>
            </w:r>
          </w:p>
        </w:tc>
        <w:tc>
          <w:tcPr>
            <w:tcW w:w="1570" w:type="dxa"/>
          </w:tcPr>
          <w:p w14:paraId="27BA874F" w14:textId="2FD800EE" w:rsidR="006C749E" w:rsidRPr="006C749E" w:rsidRDefault="003A337F" w:rsidP="003A2A4B">
            <w:pPr>
              <w:pStyle w:val="NormalWeb"/>
              <w:rPr>
                <w:iCs/>
              </w:rPr>
            </w:pPr>
            <w:r w:rsidRPr="00CF718B">
              <w:t>Encourages volunteerism and civic responsibility</w:t>
            </w:r>
          </w:p>
        </w:tc>
        <w:tc>
          <w:tcPr>
            <w:tcW w:w="1471" w:type="dxa"/>
          </w:tcPr>
          <w:p w14:paraId="39E59CF8" w14:textId="7999C1EF" w:rsidR="006C749E" w:rsidRPr="006C749E" w:rsidRDefault="000F1AA1" w:rsidP="003A2A4B">
            <w:pPr>
              <w:pStyle w:val="NormalWeb"/>
              <w:rPr>
                <w:iCs/>
              </w:rPr>
            </w:pPr>
            <w:r>
              <w:rPr>
                <w:iCs/>
              </w:rPr>
              <w:t>39</w:t>
            </w:r>
          </w:p>
        </w:tc>
        <w:tc>
          <w:tcPr>
            <w:tcW w:w="1471" w:type="dxa"/>
          </w:tcPr>
          <w:p w14:paraId="38C3A392" w14:textId="3564871E" w:rsidR="006C749E" w:rsidRPr="006C749E" w:rsidRDefault="000F1AA1" w:rsidP="003A2A4B">
            <w:pPr>
              <w:pStyle w:val="NormalWeb"/>
              <w:rPr>
                <w:iCs/>
              </w:rPr>
            </w:pPr>
            <w:r>
              <w:rPr>
                <w:iCs/>
              </w:rPr>
              <w:t>45</w:t>
            </w:r>
          </w:p>
        </w:tc>
        <w:tc>
          <w:tcPr>
            <w:tcW w:w="1471" w:type="dxa"/>
          </w:tcPr>
          <w:p w14:paraId="4466EAD6" w14:textId="5FB4C01E" w:rsidR="006C749E" w:rsidRPr="006C749E" w:rsidRDefault="000F1AA1" w:rsidP="003A2A4B">
            <w:pPr>
              <w:pStyle w:val="NormalWeb"/>
              <w:rPr>
                <w:iCs/>
              </w:rPr>
            </w:pPr>
            <w:r>
              <w:rPr>
                <w:iCs/>
              </w:rPr>
              <w:t>56</w:t>
            </w:r>
          </w:p>
        </w:tc>
        <w:tc>
          <w:tcPr>
            <w:tcW w:w="1471" w:type="dxa"/>
          </w:tcPr>
          <w:p w14:paraId="3B4BE291" w14:textId="59FD1EA9" w:rsidR="006C749E" w:rsidRPr="006C749E" w:rsidRDefault="000F1AA1" w:rsidP="003A2A4B">
            <w:pPr>
              <w:pStyle w:val="NormalWeb"/>
              <w:rPr>
                <w:iCs/>
              </w:rPr>
            </w:pPr>
            <w:r>
              <w:rPr>
                <w:iCs/>
              </w:rPr>
              <w:t>31</w:t>
            </w:r>
          </w:p>
        </w:tc>
        <w:tc>
          <w:tcPr>
            <w:tcW w:w="726" w:type="dxa"/>
          </w:tcPr>
          <w:p w14:paraId="693FB1CF" w14:textId="770A32F9" w:rsidR="006C749E" w:rsidRPr="007B71F8" w:rsidRDefault="000B6EA8" w:rsidP="003A2A4B">
            <w:pPr>
              <w:pStyle w:val="NormalWeb"/>
              <w:rPr>
                <w:b/>
                <w:bCs/>
                <w:iCs/>
              </w:rPr>
            </w:pPr>
            <w:r w:rsidRPr="007B71F8">
              <w:rPr>
                <w:rStyle w:val="Strong"/>
                <w:rFonts w:eastAsiaTheme="majorEastAsia"/>
                <w:b w:val="0"/>
                <w:bCs w:val="0"/>
              </w:rPr>
              <w:t>2.62</w:t>
            </w:r>
          </w:p>
        </w:tc>
        <w:tc>
          <w:tcPr>
            <w:tcW w:w="750" w:type="dxa"/>
          </w:tcPr>
          <w:p w14:paraId="4B9549EF" w14:textId="27D96DD0" w:rsidR="006C749E" w:rsidRPr="007B71F8" w:rsidRDefault="000B6EA8" w:rsidP="003A2A4B">
            <w:pPr>
              <w:pStyle w:val="NormalWeb"/>
              <w:rPr>
                <w:b/>
                <w:bCs/>
                <w:iCs/>
              </w:rPr>
            </w:pPr>
            <w:r w:rsidRPr="007B71F8">
              <w:rPr>
                <w:rStyle w:val="Strong"/>
                <w:rFonts w:eastAsiaTheme="majorEastAsia"/>
                <w:b w:val="0"/>
                <w:bCs w:val="0"/>
              </w:rPr>
              <w:t>1.02</w:t>
            </w:r>
          </w:p>
        </w:tc>
      </w:tr>
      <w:tr w:rsidR="003A337F" w:rsidRPr="006C749E" w14:paraId="0F699CCF" w14:textId="77777777" w:rsidTr="000B6EA8">
        <w:tc>
          <w:tcPr>
            <w:tcW w:w="563" w:type="dxa"/>
          </w:tcPr>
          <w:p w14:paraId="42ADE8B3" w14:textId="767F6DFA" w:rsidR="003A337F" w:rsidRPr="006C749E" w:rsidRDefault="003A337F" w:rsidP="003A337F">
            <w:pPr>
              <w:pStyle w:val="NormalWeb"/>
              <w:rPr>
                <w:iCs/>
              </w:rPr>
            </w:pPr>
            <w:r>
              <w:rPr>
                <w:iCs/>
              </w:rPr>
              <w:t>5</w:t>
            </w:r>
          </w:p>
        </w:tc>
        <w:tc>
          <w:tcPr>
            <w:tcW w:w="1570" w:type="dxa"/>
            <w:vAlign w:val="center"/>
          </w:tcPr>
          <w:p w14:paraId="24C4F518" w14:textId="258DF46F" w:rsidR="003A337F" w:rsidRPr="006C749E" w:rsidRDefault="003A337F" w:rsidP="003A337F">
            <w:pPr>
              <w:pStyle w:val="NormalWeb"/>
              <w:rPr>
                <w:iCs/>
              </w:rPr>
            </w:pPr>
            <w:r w:rsidRPr="00CF718B">
              <w:t>Builds capacity for initiating community-based projects</w:t>
            </w:r>
          </w:p>
        </w:tc>
        <w:tc>
          <w:tcPr>
            <w:tcW w:w="1471" w:type="dxa"/>
          </w:tcPr>
          <w:p w14:paraId="32FB59EF" w14:textId="0B11BBA5" w:rsidR="003A337F" w:rsidRPr="006C749E" w:rsidRDefault="000F1AA1" w:rsidP="003A337F">
            <w:pPr>
              <w:pStyle w:val="NormalWeb"/>
              <w:rPr>
                <w:iCs/>
              </w:rPr>
            </w:pPr>
            <w:r>
              <w:rPr>
                <w:iCs/>
              </w:rPr>
              <w:t>41</w:t>
            </w:r>
          </w:p>
        </w:tc>
        <w:tc>
          <w:tcPr>
            <w:tcW w:w="1471" w:type="dxa"/>
          </w:tcPr>
          <w:p w14:paraId="6FB5F2D9" w14:textId="5481F3A9" w:rsidR="003A337F" w:rsidRPr="006C749E" w:rsidRDefault="000F1AA1" w:rsidP="003A337F">
            <w:pPr>
              <w:pStyle w:val="NormalWeb"/>
              <w:rPr>
                <w:iCs/>
              </w:rPr>
            </w:pPr>
            <w:r>
              <w:rPr>
                <w:iCs/>
              </w:rPr>
              <w:t>48</w:t>
            </w:r>
          </w:p>
        </w:tc>
        <w:tc>
          <w:tcPr>
            <w:tcW w:w="1471" w:type="dxa"/>
          </w:tcPr>
          <w:p w14:paraId="3232648C" w14:textId="73144067" w:rsidR="003A337F" w:rsidRPr="006C749E" w:rsidRDefault="000F1AA1" w:rsidP="003A337F">
            <w:pPr>
              <w:pStyle w:val="NormalWeb"/>
              <w:rPr>
                <w:iCs/>
              </w:rPr>
            </w:pPr>
            <w:r>
              <w:rPr>
                <w:iCs/>
              </w:rPr>
              <w:t>37</w:t>
            </w:r>
          </w:p>
        </w:tc>
        <w:tc>
          <w:tcPr>
            <w:tcW w:w="1471" w:type="dxa"/>
          </w:tcPr>
          <w:p w14:paraId="5248101F" w14:textId="3B2316E0" w:rsidR="003A337F" w:rsidRPr="006C749E" w:rsidRDefault="007B1DA2" w:rsidP="003A337F">
            <w:pPr>
              <w:pStyle w:val="NormalWeb"/>
              <w:rPr>
                <w:iCs/>
              </w:rPr>
            </w:pPr>
            <w:r>
              <w:rPr>
                <w:iCs/>
              </w:rPr>
              <w:t>23</w:t>
            </w:r>
          </w:p>
        </w:tc>
        <w:tc>
          <w:tcPr>
            <w:tcW w:w="726" w:type="dxa"/>
          </w:tcPr>
          <w:p w14:paraId="319F571F" w14:textId="6CE0BC95" w:rsidR="003A337F" w:rsidRPr="007B71F8" w:rsidRDefault="000B6EA8" w:rsidP="003A337F">
            <w:pPr>
              <w:pStyle w:val="NormalWeb"/>
              <w:rPr>
                <w:b/>
                <w:bCs/>
                <w:iCs/>
              </w:rPr>
            </w:pPr>
            <w:r w:rsidRPr="007B71F8">
              <w:rPr>
                <w:rStyle w:val="Strong"/>
                <w:rFonts w:eastAsiaTheme="majorEastAsia"/>
                <w:b w:val="0"/>
                <w:bCs w:val="0"/>
              </w:rPr>
              <w:t>2.72</w:t>
            </w:r>
          </w:p>
        </w:tc>
        <w:tc>
          <w:tcPr>
            <w:tcW w:w="750" w:type="dxa"/>
          </w:tcPr>
          <w:p w14:paraId="48DDFC47" w14:textId="65F47885" w:rsidR="003A337F" w:rsidRPr="007B71F8" w:rsidRDefault="000B6EA8" w:rsidP="003A337F">
            <w:pPr>
              <w:pStyle w:val="NormalWeb"/>
              <w:rPr>
                <w:b/>
                <w:bCs/>
                <w:iCs/>
              </w:rPr>
            </w:pPr>
            <w:r w:rsidRPr="007B71F8">
              <w:rPr>
                <w:rStyle w:val="Strong"/>
                <w:rFonts w:eastAsiaTheme="majorEastAsia"/>
                <w:b w:val="0"/>
                <w:bCs w:val="0"/>
              </w:rPr>
              <w:t>1.04</w:t>
            </w:r>
          </w:p>
        </w:tc>
      </w:tr>
      <w:tr w:rsidR="003A337F" w:rsidRPr="006C749E" w14:paraId="7B91A233" w14:textId="77777777" w:rsidTr="000B6EA8">
        <w:tc>
          <w:tcPr>
            <w:tcW w:w="563" w:type="dxa"/>
          </w:tcPr>
          <w:p w14:paraId="61B15D68" w14:textId="11AAFEB8" w:rsidR="003A337F" w:rsidRPr="006C749E" w:rsidRDefault="003A337F" w:rsidP="003A337F">
            <w:pPr>
              <w:pStyle w:val="NormalWeb"/>
              <w:rPr>
                <w:iCs/>
              </w:rPr>
            </w:pPr>
            <w:r>
              <w:rPr>
                <w:iCs/>
              </w:rPr>
              <w:t>6</w:t>
            </w:r>
          </w:p>
        </w:tc>
        <w:tc>
          <w:tcPr>
            <w:tcW w:w="1570" w:type="dxa"/>
          </w:tcPr>
          <w:p w14:paraId="6C593F10" w14:textId="28C17457" w:rsidR="003A337F" w:rsidRPr="006C749E" w:rsidRDefault="003A337F" w:rsidP="003A337F">
            <w:pPr>
              <w:pStyle w:val="NormalWeb"/>
              <w:rPr>
                <w:iCs/>
              </w:rPr>
            </w:pPr>
            <w:r w:rsidRPr="00CF718B">
              <w:t>Strengthens collaboration between the university and host communities</w:t>
            </w:r>
          </w:p>
        </w:tc>
        <w:tc>
          <w:tcPr>
            <w:tcW w:w="1471" w:type="dxa"/>
          </w:tcPr>
          <w:p w14:paraId="36D53250" w14:textId="040577B6" w:rsidR="003A337F" w:rsidRPr="006C749E" w:rsidRDefault="000F1AA1" w:rsidP="003A337F">
            <w:pPr>
              <w:pStyle w:val="NormalWeb"/>
              <w:rPr>
                <w:iCs/>
              </w:rPr>
            </w:pPr>
            <w:r>
              <w:rPr>
                <w:iCs/>
              </w:rPr>
              <w:t>51</w:t>
            </w:r>
          </w:p>
        </w:tc>
        <w:tc>
          <w:tcPr>
            <w:tcW w:w="1471" w:type="dxa"/>
          </w:tcPr>
          <w:p w14:paraId="2BF7F750" w14:textId="63E0E493" w:rsidR="003A337F" w:rsidRPr="006C749E" w:rsidRDefault="000F1AA1" w:rsidP="003A337F">
            <w:pPr>
              <w:pStyle w:val="NormalWeb"/>
              <w:rPr>
                <w:iCs/>
              </w:rPr>
            </w:pPr>
            <w:r>
              <w:rPr>
                <w:iCs/>
              </w:rPr>
              <w:t>45</w:t>
            </w:r>
          </w:p>
        </w:tc>
        <w:tc>
          <w:tcPr>
            <w:tcW w:w="1471" w:type="dxa"/>
          </w:tcPr>
          <w:p w14:paraId="62D78024" w14:textId="389DE8B1" w:rsidR="003A337F" w:rsidRPr="006C749E" w:rsidRDefault="000F1AA1" w:rsidP="003A337F">
            <w:pPr>
              <w:pStyle w:val="NormalWeb"/>
              <w:rPr>
                <w:iCs/>
              </w:rPr>
            </w:pPr>
            <w:r>
              <w:rPr>
                <w:iCs/>
              </w:rPr>
              <w:t>27</w:t>
            </w:r>
          </w:p>
        </w:tc>
        <w:tc>
          <w:tcPr>
            <w:tcW w:w="1471" w:type="dxa"/>
          </w:tcPr>
          <w:p w14:paraId="005BDB3F" w14:textId="47C8CD68" w:rsidR="003A337F" w:rsidRPr="006C749E" w:rsidRDefault="007B1DA2" w:rsidP="003A337F">
            <w:pPr>
              <w:pStyle w:val="NormalWeb"/>
              <w:rPr>
                <w:iCs/>
              </w:rPr>
            </w:pPr>
            <w:r>
              <w:rPr>
                <w:iCs/>
              </w:rPr>
              <w:t>26</w:t>
            </w:r>
          </w:p>
        </w:tc>
        <w:tc>
          <w:tcPr>
            <w:tcW w:w="726" w:type="dxa"/>
          </w:tcPr>
          <w:p w14:paraId="5EF69E28" w14:textId="7C933022" w:rsidR="003A337F" w:rsidRPr="007B71F8" w:rsidRDefault="000B6EA8" w:rsidP="003A337F">
            <w:pPr>
              <w:pStyle w:val="NormalWeb"/>
              <w:rPr>
                <w:b/>
                <w:bCs/>
                <w:iCs/>
              </w:rPr>
            </w:pPr>
            <w:r w:rsidRPr="007B71F8">
              <w:rPr>
                <w:rStyle w:val="Strong"/>
                <w:rFonts w:eastAsiaTheme="majorEastAsia"/>
                <w:b w:val="0"/>
                <w:bCs w:val="0"/>
              </w:rPr>
              <w:t>2.81</w:t>
            </w:r>
          </w:p>
        </w:tc>
        <w:tc>
          <w:tcPr>
            <w:tcW w:w="750" w:type="dxa"/>
          </w:tcPr>
          <w:p w14:paraId="361E4D0F" w14:textId="54B8F045" w:rsidR="003A337F" w:rsidRPr="007B71F8" w:rsidRDefault="000B6EA8" w:rsidP="003A337F">
            <w:pPr>
              <w:pStyle w:val="NormalWeb"/>
              <w:rPr>
                <w:b/>
                <w:bCs/>
                <w:iCs/>
              </w:rPr>
            </w:pPr>
            <w:r w:rsidRPr="007B71F8">
              <w:rPr>
                <w:rStyle w:val="Strong"/>
                <w:rFonts w:eastAsiaTheme="majorEastAsia"/>
                <w:b w:val="0"/>
                <w:bCs w:val="0"/>
              </w:rPr>
              <w:t>1.08</w:t>
            </w:r>
          </w:p>
        </w:tc>
      </w:tr>
      <w:tr w:rsidR="003A337F" w:rsidRPr="006C749E" w14:paraId="0CC9A6A9" w14:textId="77777777" w:rsidTr="000B6EA8">
        <w:tc>
          <w:tcPr>
            <w:tcW w:w="563" w:type="dxa"/>
          </w:tcPr>
          <w:p w14:paraId="1D087E35" w14:textId="67FA85B9" w:rsidR="003A337F" w:rsidRPr="006C749E" w:rsidRDefault="003A337F" w:rsidP="003A337F">
            <w:pPr>
              <w:pStyle w:val="NormalWeb"/>
              <w:rPr>
                <w:iCs/>
              </w:rPr>
            </w:pPr>
            <w:r>
              <w:rPr>
                <w:iCs/>
              </w:rPr>
              <w:t>7</w:t>
            </w:r>
          </w:p>
        </w:tc>
        <w:tc>
          <w:tcPr>
            <w:tcW w:w="1570" w:type="dxa"/>
          </w:tcPr>
          <w:p w14:paraId="69DE7E82" w14:textId="1DAD7065" w:rsidR="003A337F" w:rsidRPr="006C749E" w:rsidRDefault="003A337F" w:rsidP="003A337F">
            <w:pPr>
              <w:pStyle w:val="NormalWeb"/>
              <w:rPr>
                <w:iCs/>
              </w:rPr>
            </w:pPr>
            <w:r w:rsidRPr="00CF718B">
              <w:t>Improves awareness of social and developmental issues in the community</w:t>
            </w:r>
          </w:p>
        </w:tc>
        <w:tc>
          <w:tcPr>
            <w:tcW w:w="1471" w:type="dxa"/>
          </w:tcPr>
          <w:p w14:paraId="17A83777" w14:textId="6D4B6822" w:rsidR="003A337F" w:rsidRPr="006C749E" w:rsidRDefault="000F1AA1" w:rsidP="003A337F">
            <w:pPr>
              <w:pStyle w:val="NormalWeb"/>
              <w:rPr>
                <w:iCs/>
              </w:rPr>
            </w:pPr>
            <w:r>
              <w:rPr>
                <w:iCs/>
              </w:rPr>
              <w:t>59</w:t>
            </w:r>
          </w:p>
        </w:tc>
        <w:tc>
          <w:tcPr>
            <w:tcW w:w="1471" w:type="dxa"/>
          </w:tcPr>
          <w:p w14:paraId="2B649BD6" w14:textId="3098637F" w:rsidR="003A337F" w:rsidRPr="006C749E" w:rsidRDefault="000F1AA1" w:rsidP="003A337F">
            <w:pPr>
              <w:pStyle w:val="NormalWeb"/>
              <w:rPr>
                <w:iCs/>
              </w:rPr>
            </w:pPr>
            <w:r>
              <w:rPr>
                <w:iCs/>
              </w:rPr>
              <w:t>47</w:t>
            </w:r>
          </w:p>
        </w:tc>
        <w:tc>
          <w:tcPr>
            <w:tcW w:w="1471" w:type="dxa"/>
          </w:tcPr>
          <w:p w14:paraId="4DBB1EC8" w14:textId="3240E1AA" w:rsidR="003A337F" w:rsidRPr="006C749E" w:rsidRDefault="000F1AA1" w:rsidP="003A337F">
            <w:pPr>
              <w:pStyle w:val="NormalWeb"/>
              <w:rPr>
                <w:iCs/>
              </w:rPr>
            </w:pPr>
            <w:r>
              <w:rPr>
                <w:iCs/>
              </w:rPr>
              <w:t>33</w:t>
            </w:r>
          </w:p>
        </w:tc>
        <w:tc>
          <w:tcPr>
            <w:tcW w:w="1471" w:type="dxa"/>
          </w:tcPr>
          <w:p w14:paraId="1E98C7C8" w14:textId="2CD9E6DD" w:rsidR="003A337F" w:rsidRPr="006C749E" w:rsidRDefault="00BE45AE" w:rsidP="003A337F">
            <w:pPr>
              <w:pStyle w:val="NormalWeb"/>
              <w:rPr>
                <w:iCs/>
              </w:rPr>
            </w:pPr>
            <w:r>
              <w:rPr>
                <w:iCs/>
              </w:rPr>
              <w:t>10</w:t>
            </w:r>
          </w:p>
        </w:tc>
        <w:tc>
          <w:tcPr>
            <w:tcW w:w="726" w:type="dxa"/>
          </w:tcPr>
          <w:p w14:paraId="6635176D" w14:textId="340294E2" w:rsidR="003A337F" w:rsidRPr="007B71F8" w:rsidRDefault="000B6EA8" w:rsidP="003A337F">
            <w:pPr>
              <w:pStyle w:val="NormalWeb"/>
              <w:rPr>
                <w:b/>
                <w:bCs/>
                <w:iCs/>
              </w:rPr>
            </w:pPr>
            <w:r w:rsidRPr="007B71F8">
              <w:rPr>
                <w:rStyle w:val="Strong"/>
                <w:rFonts w:eastAsiaTheme="majorEastAsia"/>
                <w:b w:val="0"/>
                <w:bCs w:val="0"/>
              </w:rPr>
              <w:t>3.04</w:t>
            </w:r>
          </w:p>
        </w:tc>
        <w:tc>
          <w:tcPr>
            <w:tcW w:w="750" w:type="dxa"/>
          </w:tcPr>
          <w:p w14:paraId="1DD08D49" w14:textId="4ACD6E41" w:rsidR="003A337F" w:rsidRPr="007B71F8" w:rsidRDefault="000B6EA8" w:rsidP="003A337F">
            <w:pPr>
              <w:pStyle w:val="NormalWeb"/>
              <w:rPr>
                <w:b/>
                <w:bCs/>
                <w:iCs/>
              </w:rPr>
            </w:pPr>
            <w:r w:rsidRPr="007B71F8">
              <w:rPr>
                <w:rStyle w:val="Strong"/>
                <w:rFonts w:eastAsiaTheme="majorEastAsia"/>
                <w:b w:val="0"/>
                <w:bCs w:val="0"/>
              </w:rPr>
              <w:t>0.96</w:t>
            </w:r>
          </w:p>
        </w:tc>
      </w:tr>
      <w:tr w:rsidR="003A337F" w:rsidRPr="006C749E" w14:paraId="2093C6E3" w14:textId="77777777" w:rsidTr="000B6EA8">
        <w:tc>
          <w:tcPr>
            <w:tcW w:w="563" w:type="dxa"/>
          </w:tcPr>
          <w:p w14:paraId="7CE74F01" w14:textId="10E902D8" w:rsidR="003A337F" w:rsidRPr="006C749E" w:rsidRDefault="003A337F" w:rsidP="003A337F">
            <w:pPr>
              <w:pStyle w:val="NormalWeb"/>
              <w:rPr>
                <w:iCs/>
              </w:rPr>
            </w:pPr>
            <w:r>
              <w:rPr>
                <w:iCs/>
              </w:rPr>
              <w:t>8</w:t>
            </w:r>
          </w:p>
        </w:tc>
        <w:tc>
          <w:tcPr>
            <w:tcW w:w="1570" w:type="dxa"/>
          </w:tcPr>
          <w:p w14:paraId="50CED093" w14:textId="676169F8" w:rsidR="003A337F" w:rsidRPr="006C749E" w:rsidRDefault="00D4647D" w:rsidP="003A337F">
            <w:pPr>
              <w:pStyle w:val="NormalWeb"/>
              <w:rPr>
                <w:iCs/>
              </w:rPr>
            </w:pPr>
            <w:r w:rsidRPr="00CF718B">
              <w:t>Promotes peaceful coexistence within the community</w:t>
            </w:r>
          </w:p>
        </w:tc>
        <w:tc>
          <w:tcPr>
            <w:tcW w:w="1471" w:type="dxa"/>
          </w:tcPr>
          <w:p w14:paraId="292470F2" w14:textId="3AE520C9" w:rsidR="003A337F" w:rsidRPr="006C749E" w:rsidRDefault="00BE45AE" w:rsidP="003A337F">
            <w:pPr>
              <w:pStyle w:val="NormalWeb"/>
              <w:rPr>
                <w:iCs/>
              </w:rPr>
            </w:pPr>
            <w:r>
              <w:rPr>
                <w:iCs/>
              </w:rPr>
              <w:t>51</w:t>
            </w:r>
          </w:p>
        </w:tc>
        <w:tc>
          <w:tcPr>
            <w:tcW w:w="1471" w:type="dxa"/>
          </w:tcPr>
          <w:p w14:paraId="760DA9B6" w14:textId="21E4FA89" w:rsidR="003A337F" w:rsidRPr="006C749E" w:rsidRDefault="00BE45AE" w:rsidP="003A337F">
            <w:pPr>
              <w:pStyle w:val="NormalWeb"/>
              <w:rPr>
                <w:iCs/>
              </w:rPr>
            </w:pPr>
            <w:r>
              <w:rPr>
                <w:iCs/>
              </w:rPr>
              <w:t>49</w:t>
            </w:r>
          </w:p>
        </w:tc>
        <w:tc>
          <w:tcPr>
            <w:tcW w:w="1471" w:type="dxa"/>
          </w:tcPr>
          <w:p w14:paraId="053494FF" w14:textId="55C4EDAE" w:rsidR="003A337F" w:rsidRPr="006C749E" w:rsidRDefault="00BE45AE" w:rsidP="003A337F">
            <w:pPr>
              <w:pStyle w:val="NormalWeb"/>
              <w:rPr>
                <w:iCs/>
              </w:rPr>
            </w:pPr>
            <w:r>
              <w:rPr>
                <w:iCs/>
              </w:rPr>
              <w:t>37</w:t>
            </w:r>
          </w:p>
        </w:tc>
        <w:tc>
          <w:tcPr>
            <w:tcW w:w="1471" w:type="dxa"/>
          </w:tcPr>
          <w:p w14:paraId="4D44A113" w14:textId="7BF683BD" w:rsidR="003A337F" w:rsidRPr="006C749E" w:rsidRDefault="00BE45AE" w:rsidP="003A337F">
            <w:pPr>
              <w:pStyle w:val="NormalWeb"/>
              <w:rPr>
                <w:iCs/>
              </w:rPr>
            </w:pPr>
            <w:r>
              <w:rPr>
                <w:iCs/>
              </w:rPr>
              <w:t>12</w:t>
            </w:r>
          </w:p>
        </w:tc>
        <w:tc>
          <w:tcPr>
            <w:tcW w:w="726" w:type="dxa"/>
          </w:tcPr>
          <w:p w14:paraId="5CE436B5" w14:textId="1328F904" w:rsidR="003A337F" w:rsidRPr="007B71F8" w:rsidRDefault="000B6EA8" w:rsidP="003A337F">
            <w:pPr>
              <w:pStyle w:val="NormalWeb"/>
              <w:rPr>
                <w:b/>
                <w:bCs/>
                <w:iCs/>
              </w:rPr>
            </w:pPr>
            <w:r w:rsidRPr="007B71F8">
              <w:rPr>
                <w:rStyle w:val="Strong"/>
                <w:rFonts w:eastAsiaTheme="majorEastAsia"/>
                <w:b w:val="0"/>
                <w:bCs w:val="0"/>
              </w:rPr>
              <w:t>2.93</w:t>
            </w:r>
          </w:p>
        </w:tc>
        <w:tc>
          <w:tcPr>
            <w:tcW w:w="750" w:type="dxa"/>
          </w:tcPr>
          <w:p w14:paraId="3A13B1AB" w14:textId="5C998C8A" w:rsidR="003A337F" w:rsidRPr="007B71F8" w:rsidRDefault="000B6EA8" w:rsidP="003A337F">
            <w:pPr>
              <w:pStyle w:val="NormalWeb"/>
              <w:rPr>
                <w:b/>
                <w:bCs/>
                <w:iCs/>
              </w:rPr>
            </w:pPr>
            <w:r w:rsidRPr="007B71F8">
              <w:rPr>
                <w:rStyle w:val="Strong"/>
                <w:rFonts w:eastAsiaTheme="majorEastAsia"/>
                <w:b w:val="0"/>
                <w:bCs w:val="0"/>
              </w:rPr>
              <w:t>0.98</w:t>
            </w:r>
          </w:p>
        </w:tc>
      </w:tr>
      <w:tr w:rsidR="003A337F" w:rsidRPr="006C749E" w14:paraId="01983362" w14:textId="77777777" w:rsidTr="000B6EA8">
        <w:tc>
          <w:tcPr>
            <w:tcW w:w="563" w:type="dxa"/>
          </w:tcPr>
          <w:p w14:paraId="1CF58069" w14:textId="6FFE4A1E" w:rsidR="003A337F" w:rsidRDefault="003A337F" w:rsidP="003A337F">
            <w:pPr>
              <w:pStyle w:val="NormalWeb"/>
              <w:rPr>
                <w:iCs/>
              </w:rPr>
            </w:pPr>
            <w:r>
              <w:rPr>
                <w:iCs/>
              </w:rPr>
              <w:t>9</w:t>
            </w:r>
          </w:p>
        </w:tc>
        <w:tc>
          <w:tcPr>
            <w:tcW w:w="1570" w:type="dxa"/>
          </w:tcPr>
          <w:p w14:paraId="114C032E" w14:textId="35589B4E" w:rsidR="003A337F" w:rsidRPr="006C749E" w:rsidRDefault="00D4647D" w:rsidP="003A337F">
            <w:pPr>
              <w:pStyle w:val="NormalWeb"/>
              <w:rPr>
                <w:iCs/>
              </w:rPr>
            </w:pPr>
            <w:r w:rsidRPr="00CF718B">
              <w:t>Enhances entrepreneurial activities that benefit the community</w:t>
            </w:r>
          </w:p>
        </w:tc>
        <w:tc>
          <w:tcPr>
            <w:tcW w:w="1471" w:type="dxa"/>
          </w:tcPr>
          <w:p w14:paraId="2C22B6AE" w14:textId="4C5CB961" w:rsidR="003A337F" w:rsidRPr="006C749E" w:rsidRDefault="00BE45AE" w:rsidP="003A337F">
            <w:pPr>
              <w:pStyle w:val="NormalWeb"/>
              <w:rPr>
                <w:iCs/>
              </w:rPr>
            </w:pPr>
            <w:r>
              <w:rPr>
                <w:iCs/>
              </w:rPr>
              <w:t>41</w:t>
            </w:r>
          </w:p>
        </w:tc>
        <w:tc>
          <w:tcPr>
            <w:tcW w:w="1471" w:type="dxa"/>
          </w:tcPr>
          <w:p w14:paraId="4AC7092D" w14:textId="73E096E7" w:rsidR="003A337F" w:rsidRPr="006C749E" w:rsidRDefault="00BE45AE" w:rsidP="003A337F">
            <w:pPr>
              <w:pStyle w:val="NormalWeb"/>
              <w:rPr>
                <w:iCs/>
              </w:rPr>
            </w:pPr>
            <w:r>
              <w:rPr>
                <w:iCs/>
              </w:rPr>
              <w:t>40</w:t>
            </w:r>
          </w:p>
        </w:tc>
        <w:tc>
          <w:tcPr>
            <w:tcW w:w="1471" w:type="dxa"/>
          </w:tcPr>
          <w:p w14:paraId="50B7E6A0" w14:textId="3E89FE2B" w:rsidR="003A337F" w:rsidRPr="006C749E" w:rsidRDefault="00BE45AE" w:rsidP="003A337F">
            <w:pPr>
              <w:pStyle w:val="NormalWeb"/>
              <w:rPr>
                <w:iCs/>
              </w:rPr>
            </w:pPr>
            <w:r>
              <w:rPr>
                <w:iCs/>
              </w:rPr>
              <w:t>47</w:t>
            </w:r>
          </w:p>
        </w:tc>
        <w:tc>
          <w:tcPr>
            <w:tcW w:w="1471" w:type="dxa"/>
          </w:tcPr>
          <w:p w14:paraId="3A177BD1" w14:textId="20D838DD" w:rsidR="003A337F" w:rsidRPr="006C749E" w:rsidRDefault="00BE45AE" w:rsidP="003A337F">
            <w:pPr>
              <w:pStyle w:val="NormalWeb"/>
              <w:rPr>
                <w:iCs/>
              </w:rPr>
            </w:pPr>
            <w:r>
              <w:rPr>
                <w:iCs/>
              </w:rPr>
              <w:t>21</w:t>
            </w:r>
          </w:p>
        </w:tc>
        <w:tc>
          <w:tcPr>
            <w:tcW w:w="726" w:type="dxa"/>
          </w:tcPr>
          <w:p w14:paraId="31F5C5C9" w14:textId="420AC436" w:rsidR="003A337F" w:rsidRPr="007B71F8" w:rsidRDefault="003B6E65" w:rsidP="003A337F">
            <w:pPr>
              <w:pStyle w:val="NormalWeb"/>
              <w:rPr>
                <w:b/>
                <w:bCs/>
                <w:iCs/>
              </w:rPr>
            </w:pPr>
            <w:r w:rsidRPr="007B71F8">
              <w:rPr>
                <w:rStyle w:val="Strong"/>
                <w:rFonts w:eastAsiaTheme="majorEastAsia"/>
                <w:b w:val="0"/>
                <w:bCs w:val="0"/>
              </w:rPr>
              <w:t>2.68</w:t>
            </w:r>
          </w:p>
        </w:tc>
        <w:tc>
          <w:tcPr>
            <w:tcW w:w="750" w:type="dxa"/>
          </w:tcPr>
          <w:p w14:paraId="3CB18716" w14:textId="69391336" w:rsidR="003A337F" w:rsidRPr="007B71F8" w:rsidRDefault="003B6E65" w:rsidP="003A337F">
            <w:pPr>
              <w:pStyle w:val="NormalWeb"/>
              <w:rPr>
                <w:b/>
                <w:bCs/>
                <w:iCs/>
              </w:rPr>
            </w:pPr>
            <w:r w:rsidRPr="007B71F8">
              <w:rPr>
                <w:rStyle w:val="Strong"/>
                <w:rFonts w:eastAsiaTheme="majorEastAsia"/>
                <w:b w:val="0"/>
                <w:bCs w:val="0"/>
              </w:rPr>
              <w:t>1.04</w:t>
            </w:r>
          </w:p>
        </w:tc>
      </w:tr>
      <w:tr w:rsidR="003A337F" w:rsidRPr="006C749E" w14:paraId="4BA6433C" w14:textId="77777777" w:rsidTr="000B6EA8">
        <w:tc>
          <w:tcPr>
            <w:tcW w:w="563" w:type="dxa"/>
          </w:tcPr>
          <w:p w14:paraId="0300A9CD" w14:textId="7A98ED3B" w:rsidR="003A337F" w:rsidRDefault="003A337F" w:rsidP="003A337F">
            <w:pPr>
              <w:pStyle w:val="NormalWeb"/>
              <w:rPr>
                <w:iCs/>
              </w:rPr>
            </w:pPr>
            <w:r>
              <w:rPr>
                <w:iCs/>
              </w:rPr>
              <w:t>10</w:t>
            </w:r>
          </w:p>
        </w:tc>
        <w:tc>
          <w:tcPr>
            <w:tcW w:w="1570" w:type="dxa"/>
          </w:tcPr>
          <w:p w14:paraId="4B7ED43F" w14:textId="70DA2BFB" w:rsidR="003A337F" w:rsidRPr="006C749E" w:rsidRDefault="00D4647D" w:rsidP="003A337F">
            <w:pPr>
              <w:pStyle w:val="NormalWeb"/>
              <w:rPr>
                <w:iCs/>
              </w:rPr>
            </w:pPr>
            <w:r w:rsidRPr="00CF718B">
              <w:t xml:space="preserve">Contributes to overall socio-economic </w:t>
            </w:r>
            <w:r w:rsidRPr="00CF718B">
              <w:lastRenderedPageBreak/>
              <w:t>development of the community</w:t>
            </w:r>
          </w:p>
        </w:tc>
        <w:tc>
          <w:tcPr>
            <w:tcW w:w="1471" w:type="dxa"/>
          </w:tcPr>
          <w:p w14:paraId="5BA14643" w14:textId="49919F84" w:rsidR="003A337F" w:rsidRPr="006C749E" w:rsidRDefault="00BE45AE" w:rsidP="003A337F">
            <w:pPr>
              <w:pStyle w:val="NormalWeb"/>
              <w:rPr>
                <w:iCs/>
              </w:rPr>
            </w:pPr>
            <w:r>
              <w:rPr>
                <w:iCs/>
              </w:rPr>
              <w:lastRenderedPageBreak/>
              <w:t>52</w:t>
            </w:r>
          </w:p>
        </w:tc>
        <w:tc>
          <w:tcPr>
            <w:tcW w:w="1471" w:type="dxa"/>
          </w:tcPr>
          <w:p w14:paraId="55114CDC" w14:textId="7AB0F1F9" w:rsidR="003A337F" w:rsidRPr="006C749E" w:rsidRDefault="00BE45AE" w:rsidP="003A337F">
            <w:pPr>
              <w:pStyle w:val="NormalWeb"/>
              <w:rPr>
                <w:iCs/>
              </w:rPr>
            </w:pPr>
            <w:r>
              <w:rPr>
                <w:iCs/>
              </w:rPr>
              <w:t>49</w:t>
            </w:r>
          </w:p>
        </w:tc>
        <w:tc>
          <w:tcPr>
            <w:tcW w:w="1471" w:type="dxa"/>
          </w:tcPr>
          <w:p w14:paraId="13BE6991" w14:textId="3A6F73BB" w:rsidR="003A337F" w:rsidRPr="006C749E" w:rsidRDefault="00BE45AE" w:rsidP="003A337F">
            <w:pPr>
              <w:pStyle w:val="NormalWeb"/>
              <w:rPr>
                <w:iCs/>
              </w:rPr>
            </w:pPr>
            <w:r>
              <w:rPr>
                <w:iCs/>
              </w:rPr>
              <w:t>29</w:t>
            </w:r>
          </w:p>
        </w:tc>
        <w:tc>
          <w:tcPr>
            <w:tcW w:w="1471" w:type="dxa"/>
          </w:tcPr>
          <w:p w14:paraId="0AE4AAC2" w14:textId="7F6098CA" w:rsidR="003A337F" w:rsidRPr="006C749E" w:rsidRDefault="00BE45AE" w:rsidP="003A337F">
            <w:pPr>
              <w:pStyle w:val="NormalWeb"/>
              <w:rPr>
                <w:iCs/>
              </w:rPr>
            </w:pPr>
            <w:r>
              <w:rPr>
                <w:iCs/>
              </w:rPr>
              <w:t>19</w:t>
            </w:r>
          </w:p>
        </w:tc>
        <w:tc>
          <w:tcPr>
            <w:tcW w:w="726" w:type="dxa"/>
          </w:tcPr>
          <w:p w14:paraId="0177881B" w14:textId="529DAB09" w:rsidR="003A337F" w:rsidRPr="007B71F8" w:rsidRDefault="003B6E65" w:rsidP="003A337F">
            <w:pPr>
              <w:pStyle w:val="NormalWeb"/>
              <w:rPr>
                <w:b/>
                <w:bCs/>
                <w:iCs/>
              </w:rPr>
            </w:pPr>
            <w:r w:rsidRPr="007B71F8">
              <w:rPr>
                <w:rStyle w:val="Strong"/>
                <w:rFonts w:eastAsiaTheme="majorEastAsia"/>
                <w:b w:val="0"/>
                <w:bCs w:val="0"/>
              </w:rPr>
              <w:t>2.90</w:t>
            </w:r>
          </w:p>
        </w:tc>
        <w:tc>
          <w:tcPr>
            <w:tcW w:w="750" w:type="dxa"/>
          </w:tcPr>
          <w:p w14:paraId="61AD2D0D" w14:textId="51C7824C" w:rsidR="003A337F" w:rsidRPr="007B71F8" w:rsidRDefault="003B6E65" w:rsidP="003A337F">
            <w:pPr>
              <w:pStyle w:val="NormalWeb"/>
              <w:rPr>
                <w:b/>
                <w:bCs/>
                <w:iCs/>
              </w:rPr>
            </w:pPr>
            <w:r w:rsidRPr="007B71F8">
              <w:rPr>
                <w:rStyle w:val="Strong"/>
                <w:rFonts w:eastAsiaTheme="majorEastAsia"/>
                <w:b w:val="0"/>
                <w:bCs w:val="0"/>
              </w:rPr>
              <w:t>1.00</w:t>
            </w:r>
          </w:p>
        </w:tc>
      </w:tr>
      <w:tr w:rsidR="00D4647D" w:rsidRPr="006C749E" w14:paraId="2AAD4A72" w14:textId="77777777" w:rsidTr="000B6EA8">
        <w:tc>
          <w:tcPr>
            <w:tcW w:w="9493" w:type="dxa"/>
            <w:gridSpan w:val="8"/>
          </w:tcPr>
          <w:p w14:paraId="57A9DDC2" w14:textId="7AFCF382" w:rsidR="00D4647D" w:rsidRPr="003B6E65" w:rsidRDefault="00D4647D" w:rsidP="003A337F">
            <w:pPr>
              <w:pStyle w:val="NormalWeb"/>
              <w:rPr>
                <w:b/>
                <w:bCs/>
                <w:iCs/>
              </w:rPr>
            </w:pPr>
            <w:r>
              <w:rPr>
                <w:iCs/>
              </w:rPr>
              <w:t xml:space="preserve">                                      </w:t>
            </w:r>
            <w:r w:rsidR="000B6CF1">
              <w:rPr>
                <w:iCs/>
              </w:rPr>
              <w:t xml:space="preserve">           </w:t>
            </w:r>
            <w:r w:rsidRPr="003B6E65">
              <w:rPr>
                <w:b/>
                <w:bCs/>
                <w:iCs/>
              </w:rPr>
              <w:t>Total Aggregate Mean =</w:t>
            </w:r>
            <w:r w:rsidR="003B6E65" w:rsidRPr="003B6E65">
              <w:rPr>
                <w:b/>
                <w:bCs/>
                <w:iCs/>
              </w:rPr>
              <w:t xml:space="preserve"> </w:t>
            </w:r>
            <w:r w:rsidR="003B6E65" w:rsidRPr="003B6E65">
              <w:rPr>
                <w:rStyle w:val="mord"/>
                <w:b/>
                <w:bCs/>
              </w:rPr>
              <w:t>2.84</w:t>
            </w:r>
          </w:p>
        </w:tc>
      </w:tr>
    </w:tbl>
    <w:p w14:paraId="13190A39" w14:textId="7EEF3CA3" w:rsidR="00D74771" w:rsidRPr="00D74771" w:rsidRDefault="00831EB3" w:rsidP="00D74771">
      <w:pPr>
        <w:spacing w:before="100" w:beforeAutospacing="1" w:after="100" w:afterAutospacing="1" w:line="360" w:lineRule="auto"/>
        <w:jc w:val="both"/>
        <w:rPr>
          <w:lang w:eastAsia="en-NG"/>
        </w:rPr>
      </w:pPr>
      <w:r w:rsidRPr="00831EB3">
        <w:rPr>
          <w:lang w:val="en-NG" w:eastAsia="en-NG"/>
        </w:rPr>
        <w:t xml:space="preserve">Table 5 presents the respondents’ assessment of the contribution of adult capacity-building programmes to community development at Obafemi Awolowo University, Ile-Ife. The </w:t>
      </w:r>
      <w:r w:rsidRPr="00C166A3">
        <w:rPr>
          <w:lang w:val="en-NG" w:eastAsia="en-NG"/>
        </w:rPr>
        <w:t>total aggregate mean of 2.84</w:t>
      </w:r>
      <w:r w:rsidRPr="00831EB3">
        <w:rPr>
          <w:lang w:val="en-NG" w:eastAsia="en-NG"/>
        </w:rPr>
        <w:t xml:space="preserve"> on a 4-point Likert scale indicates that adult capacity-building programmes contribute to community development to </w:t>
      </w:r>
      <w:r w:rsidRPr="00C166A3">
        <w:rPr>
          <w:lang w:val="en-NG" w:eastAsia="en-NG"/>
        </w:rPr>
        <w:t>a high extent</w:t>
      </w:r>
      <w:r w:rsidRPr="00831EB3">
        <w:rPr>
          <w:lang w:val="en-NG" w:eastAsia="en-NG"/>
        </w:rPr>
        <w:t>.</w:t>
      </w:r>
      <w:r>
        <w:rPr>
          <w:lang w:eastAsia="en-NG"/>
        </w:rPr>
        <w:t xml:space="preserve"> </w:t>
      </w:r>
      <w:r w:rsidRPr="00831EB3">
        <w:rPr>
          <w:lang w:val="en-NG" w:eastAsia="en-NG"/>
        </w:rPr>
        <w:t xml:space="preserve">A closer examination of the results shows that </w:t>
      </w:r>
      <w:r w:rsidRPr="00C166A3">
        <w:rPr>
          <w:lang w:val="en-NG" w:eastAsia="en-NG"/>
        </w:rPr>
        <w:t>improving awareness of social and developmental issues in the community</w:t>
      </w:r>
      <w:r w:rsidRPr="00831EB3">
        <w:rPr>
          <w:lang w:val="en-NG" w:eastAsia="en-NG"/>
        </w:rPr>
        <w:t xml:space="preserve"> recorded the highest mean score </w:t>
      </w:r>
      <w:r w:rsidR="00C166A3">
        <w:rPr>
          <w:b/>
          <w:bCs/>
          <w:lang w:eastAsia="en-NG"/>
        </w:rPr>
        <w:t>(</w:t>
      </w:r>
      <w:r w:rsidRPr="00C166A3">
        <w:rPr>
          <w:lang w:val="en-NG" w:eastAsia="en-NG"/>
        </w:rPr>
        <w:t>3.04</w:t>
      </w:r>
      <w:r w:rsidRPr="00831EB3">
        <w:rPr>
          <w:lang w:val="en-NG" w:eastAsia="en-NG"/>
        </w:rPr>
        <w:t xml:space="preserve">), suggesting that the programmes are particularly effective in increasing learners’ understanding of community-related challenges. This is followed by </w:t>
      </w:r>
      <w:r w:rsidRPr="00C166A3">
        <w:rPr>
          <w:lang w:val="en-NG" w:eastAsia="en-NG"/>
        </w:rPr>
        <w:t>improvement in problem-solving skills for addressing community issues (2.93)</w:t>
      </w:r>
      <w:r w:rsidRPr="00831EB3">
        <w:rPr>
          <w:lang w:val="en-NG" w:eastAsia="en-NG"/>
        </w:rPr>
        <w:t xml:space="preserve"> and </w:t>
      </w:r>
      <w:r w:rsidRPr="002C1E33">
        <w:rPr>
          <w:lang w:val="en-NG" w:eastAsia="en-NG"/>
        </w:rPr>
        <w:t>promotion of peaceful coexistence within the community (2.93),</w:t>
      </w:r>
      <w:r w:rsidRPr="00831EB3">
        <w:rPr>
          <w:lang w:val="en-NG" w:eastAsia="en-NG"/>
        </w:rPr>
        <w:t xml:space="preserve"> indicating strong contributions in fostering social cohesion and analytical abilities for community development.</w:t>
      </w:r>
      <w:r>
        <w:rPr>
          <w:lang w:eastAsia="en-NG"/>
        </w:rPr>
        <w:t xml:space="preserve"> </w:t>
      </w:r>
      <w:r w:rsidRPr="00831EB3">
        <w:rPr>
          <w:lang w:val="en-NG" w:eastAsia="en-NG"/>
        </w:rPr>
        <w:t xml:space="preserve">Similarly, </w:t>
      </w:r>
      <w:r w:rsidRPr="002C1E33">
        <w:rPr>
          <w:lang w:val="en-NG" w:eastAsia="en-NG"/>
        </w:rPr>
        <w:t>enhancement of community leadership skills (2.90)</w:t>
      </w:r>
      <w:r w:rsidRPr="00831EB3">
        <w:rPr>
          <w:lang w:val="en-NG" w:eastAsia="en-NG"/>
        </w:rPr>
        <w:t xml:space="preserve"> and </w:t>
      </w:r>
      <w:r w:rsidRPr="002C1E33">
        <w:rPr>
          <w:lang w:val="en-NG" w:eastAsia="en-NG"/>
        </w:rPr>
        <w:t>overall socio-economic development of the community (2.90)</w:t>
      </w:r>
      <w:r w:rsidRPr="00831EB3">
        <w:rPr>
          <w:lang w:val="en-NG" w:eastAsia="en-NG"/>
        </w:rPr>
        <w:t xml:space="preserve"> show that the programmes contribute meaningfully to both leadership development and broader community progress. </w:t>
      </w:r>
      <w:r w:rsidRPr="002C1E33">
        <w:rPr>
          <w:lang w:val="en-NG" w:eastAsia="en-NG"/>
        </w:rPr>
        <w:t xml:space="preserve">Promotion of active participation in community development projects (2.83) and strengthening collaboration between the university and host communities (2.81) </w:t>
      </w:r>
      <w:r w:rsidRPr="00831EB3">
        <w:rPr>
          <w:lang w:val="en-NG" w:eastAsia="en-NG"/>
        </w:rPr>
        <w:t>also reflect moderate but positive contributions.</w:t>
      </w:r>
      <w:r>
        <w:rPr>
          <w:lang w:eastAsia="en-NG"/>
        </w:rPr>
        <w:t xml:space="preserve"> </w:t>
      </w:r>
      <w:r w:rsidRPr="00831EB3">
        <w:rPr>
          <w:lang w:val="en-NG" w:eastAsia="en-NG"/>
        </w:rPr>
        <w:t xml:space="preserve">However, lower mean scores were observed for </w:t>
      </w:r>
      <w:r w:rsidRPr="00E21D7A">
        <w:rPr>
          <w:lang w:val="en-NG" w:eastAsia="en-NG"/>
        </w:rPr>
        <w:t>building capacity for initiating community-based projects (2.72), enhancing entrepreneurial activities that benefit the community (2.68) and encouraging volunteerism and civic responsibility (2.62).</w:t>
      </w:r>
      <w:r w:rsidRPr="00831EB3">
        <w:rPr>
          <w:lang w:val="en-NG" w:eastAsia="en-NG"/>
        </w:rPr>
        <w:t xml:space="preserve"> These findings suggest that although the programmes contribute positively in these areas, their impact is comparatively weaker and may require strengthening.</w:t>
      </w:r>
      <w:r>
        <w:rPr>
          <w:lang w:eastAsia="en-NG"/>
        </w:rPr>
        <w:t xml:space="preserve"> </w:t>
      </w:r>
      <w:r w:rsidRPr="00831EB3">
        <w:rPr>
          <w:lang w:val="en-NG" w:eastAsia="en-NG"/>
        </w:rPr>
        <w:t xml:space="preserve">The standard deviation values, ranging from </w:t>
      </w:r>
      <w:r w:rsidRPr="007B71F8">
        <w:rPr>
          <w:lang w:val="en-NG" w:eastAsia="en-NG"/>
        </w:rPr>
        <w:t>0.96 to 1.08</w:t>
      </w:r>
      <w:r w:rsidRPr="00831EB3">
        <w:rPr>
          <w:lang w:val="en-NG" w:eastAsia="en-NG"/>
        </w:rPr>
        <w:t>, indicate a moderate level of dispersion in responses, implying that while respondents generally agree on the positive contribution of the programmes, there are slight variations in their opinions.</w:t>
      </w:r>
      <w:r>
        <w:rPr>
          <w:lang w:eastAsia="en-NG"/>
        </w:rPr>
        <w:t xml:space="preserve"> </w:t>
      </w:r>
      <w:r w:rsidR="007B71F8" w:rsidRPr="007B71F8">
        <w:rPr>
          <w:lang w:eastAsia="en-NG"/>
        </w:rPr>
        <w:t>Generally</w:t>
      </w:r>
      <w:r w:rsidRPr="007B71F8">
        <w:rPr>
          <w:lang w:val="en-NG" w:eastAsia="en-NG"/>
        </w:rPr>
        <w:t>, the findings reveal that adult capacity-building programmes at Obafemi Awolowo University, Ile-Ife, contribute positively to community development, particularly in improving awareness, problem-solving skills, and peaceful coexistence, while areas such as volunteerism, entrepreneurship, and project initiation may require further enhancement.</w:t>
      </w:r>
      <w:r w:rsidR="00D74771">
        <w:rPr>
          <w:lang w:eastAsia="en-NG"/>
        </w:rPr>
        <w:t xml:space="preserve"> This is supported according to </w:t>
      </w:r>
      <w:r w:rsidR="00D74771" w:rsidRPr="00DF3ACD">
        <w:rPr>
          <w:lang w:val="en-NG" w:eastAsia="en-NG"/>
        </w:rPr>
        <w:t>Lakan</w:t>
      </w:r>
      <w:r w:rsidR="00D74771">
        <w:rPr>
          <w:lang w:eastAsia="en-NG"/>
        </w:rPr>
        <w:t xml:space="preserve"> </w:t>
      </w:r>
      <w:r w:rsidR="00D74771" w:rsidRPr="00DF3ACD">
        <w:rPr>
          <w:lang w:val="en-NG" w:eastAsia="en-NG"/>
        </w:rPr>
        <w:t>and Jiya</w:t>
      </w:r>
      <w:r w:rsidR="00D74771">
        <w:rPr>
          <w:lang w:eastAsia="en-NG"/>
        </w:rPr>
        <w:t xml:space="preserve"> </w:t>
      </w:r>
      <w:r w:rsidR="00D74771" w:rsidRPr="00DF3ACD">
        <w:rPr>
          <w:lang w:val="en-NG" w:eastAsia="en-NG"/>
        </w:rPr>
        <w:t xml:space="preserve">(2023) </w:t>
      </w:r>
      <w:r w:rsidR="00D74771">
        <w:rPr>
          <w:lang w:eastAsia="en-NG"/>
        </w:rPr>
        <w:t xml:space="preserve">that </w:t>
      </w:r>
      <w:r w:rsidR="00D74771" w:rsidRPr="00DF3ACD">
        <w:rPr>
          <w:lang w:val="en-NG" w:eastAsia="en-NG"/>
        </w:rPr>
        <w:t xml:space="preserve">found that adult education programmes contribute greatly to community development by improving problem-solving abilities, vocational skills, and peacebuilding efforts within communities. Their study </w:t>
      </w:r>
      <w:r w:rsidR="00D74771" w:rsidRPr="00DF3ACD">
        <w:rPr>
          <w:lang w:val="en-NG" w:eastAsia="en-NG"/>
        </w:rPr>
        <w:lastRenderedPageBreak/>
        <w:t>revealed that adult education promotes peaceful coexistence, reduces social conflicts, and strengthens community participation in development activities. This supports the present finding that adult capacity-building programmes improve awareness of developmental issues and promote peaceful coexistence within the community. Similarly, Okirika</w:t>
      </w:r>
      <w:r w:rsidR="00204637">
        <w:rPr>
          <w:lang w:eastAsia="en-NG"/>
        </w:rPr>
        <w:t xml:space="preserve"> </w:t>
      </w:r>
      <w:r w:rsidR="00D74771" w:rsidRPr="00DF3ACD">
        <w:rPr>
          <w:lang w:val="en-NG" w:eastAsia="en-NG"/>
        </w:rPr>
        <w:t xml:space="preserve">(2023) reported that peace education and literacy programmes significantly promote sustainable peace and community development in Rivers State, Nigeria. The study established that adult education programmes enhance social cohesion, community awareness, and leadership capacity among participants. This corroborates the present finding that the programmes contribute positively to leadership development and peaceful coexistence. </w:t>
      </w:r>
    </w:p>
    <w:p w14:paraId="2AE5E07B" w14:textId="31F4E12B" w:rsidR="00D4647D" w:rsidRDefault="00CF718B" w:rsidP="00BF19A0">
      <w:pPr>
        <w:spacing w:before="100" w:beforeAutospacing="1" w:after="100" w:afterAutospacing="1" w:line="360" w:lineRule="auto"/>
        <w:jc w:val="both"/>
      </w:pPr>
      <w:r w:rsidRPr="00CF718B">
        <w:rPr>
          <w:b/>
          <w:bCs/>
        </w:rPr>
        <w:t xml:space="preserve">Research Question </w:t>
      </w:r>
      <w:r w:rsidR="00D4647D">
        <w:rPr>
          <w:b/>
          <w:bCs/>
        </w:rPr>
        <w:t>five</w:t>
      </w:r>
      <w:r w:rsidRPr="00CF718B">
        <w:rPr>
          <w:b/>
          <w:bCs/>
        </w:rPr>
        <w:t>:</w:t>
      </w:r>
      <w:r w:rsidR="00D4647D">
        <w:t xml:space="preserve"> </w:t>
      </w:r>
      <w:r w:rsidRPr="00D4647D">
        <w:t>What are the challenges faced by adult learners in participating in capacity-building programmes for conflict resolution and community development at Obafemi Awolowo University, Ile-Ife</w:t>
      </w:r>
      <w:r w:rsidR="00D74771">
        <w:t>, Nigeria</w:t>
      </w:r>
      <w:r w:rsidRPr="00D4647D">
        <w:t>?</w:t>
      </w:r>
    </w:p>
    <w:p w14:paraId="49E6C7EE" w14:textId="3F3EBB6B" w:rsidR="00D4647D" w:rsidRDefault="00CF718B" w:rsidP="00BF19A0">
      <w:pPr>
        <w:spacing w:before="100" w:beforeAutospacing="1" w:after="100" w:afterAutospacing="1" w:line="360" w:lineRule="auto"/>
        <w:jc w:val="both"/>
        <w:rPr>
          <w:b/>
          <w:bCs/>
        </w:rPr>
      </w:pPr>
      <w:r w:rsidRPr="00D4647D">
        <w:rPr>
          <w:b/>
          <w:bCs/>
        </w:rPr>
        <w:t>Table 6: Challenges Faced by Adult Learners in Participating in Capacity-Building Programmes</w:t>
      </w:r>
      <w:r w:rsidR="00607053">
        <w:rPr>
          <w:b/>
          <w:bCs/>
        </w:rPr>
        <w:t>.</w:t>
      </w:r>
    </w:p>
    <w:tbl>
      <w:tblPr>
        <w:tblStyle w:val="TableGrid"/>
        <w:tblW w:w="0" w:type="auto"/>
        <w:tblLook w:val="04A0" w:firstRow="1" w:lastRow="0" w:firstColumn="1" w:lastColumn="0" w:noHBand="0" w:noVBand="1"/>
      </w:tblPr>
      <w:tblGrid>
        <w:gridCol w:w="590"/>
        <w:gridCol w:w="1756"/>
        <w:gridCol w:w="1243"/>
        <w:gridCol w:w="1243"/>
        <w:gridCol w:w="1243"/>
        <w:gridCol w:w="1243"/>
        <w:gridCol w:w="1043"/>
        <w:gridCol w:w="989"/>
      </w:tblGrid>
      <w:tr w:rsidR="00B87ADF" w14:paraId="528EA781" w14:textId="77777777" w:rsidTr="00B87ADF">
        <w:trPr>
          <w:trHeight w:val="903"/>
        </w:trPr>
        <w:tc>
          <w:tcPr>
            <w:tcW w:w="590" w:type="dxa"/>
          </w:tcPr>
          <w:p w14:paraId="6B07587D" w14:textId="0B34B7B9" w:rsidR="00D4647D" w:rsidRDefault="0014638A" w:rsidP="00D4647D">
            <w:pPr>
              <w:spacing w:before="100" w:beforeAutospacing="1" w:after="100" w:afterAutospacing="1"/>
              <w:rPr>
                <w:b/>
                <w:bCs/>
              </w:rPr>
            </w:pPr>
            <w:r>
              <w:rPr>
                <w:b/>
                <w:bCs/>
              </w:rPr>
              <w:t>S/N</w:t>
            </w:r>
          </w:p>
        </w:tc>
        <w:tc>
          <w:tcPr>
            <w:tcW w:w="1756" w:type="dxa"/>
          </w:tcPr>
          <w:p w14:paraId="13DA9365" w14:textId="5A193426" w:rsidR="00D4647D" w:rsidRDefault="0014638A" w:rsidP="00D4647D">
            <w:pPr>
              <w:spacing w:before="100" w:beforeAutospacing="1" w:after="100" w:afterAutospacing="1"/>
              <w:rPr>
                <w:b/>
                <w:bCs/>
              </w:rPr>
            </w:pPr>
            <w:r w:rsidRPr="00CF718B">
              <w:rPr>
                <w:b/>
                <w:bCs/>
              </w:rPr>
              <w:t>Identified Challenges</w:t>
            </w:r>
          </w:p>
        </w:tc>
        <w:tc>
          <w:tcPr>
            <w:tcW w:w="1243" w:type="dxa"/>
          </w:tcPr>
          <w:p w14:paraId="43555764" w14:textId="365579D2" w:rsidR="00D4647D" w:rsidRDefault="0014638A" w:rsidP="00D4647D">
            <w:pPr>
              <w:spacing w:before="100" w:beforeAutospacing="1" w:after="100" w:afterAutospacing="1"/>
              <w:rPr>
                <w:b/>
                <w:bCs/>
              </w:rPr>
            </w:pPr>
            <w:r w:rsidRPr="00CF718B">
              <w:rPr>
                <w:b/>
                <w:bCs/>
              </w:rPr>
              <w:t>Very Serious Challenge</w:t>
            </w:r>
          </w:p>
        </w:tc>
        <w:tc>
          <w:tcPr>
            <w:tcW w:w="1243" w:type="dxa"/>
          </w:tcPr>
          <w:p w14:paraId="3C067F08" w14:textId="3190FDD4" w:rsidR="00D4647D" w:rsidRDefault="00B87ADF" w:rsidP="00D4647D">
            <w:pPr>
              <w:spacing w:before="100" w:beforeAutospacing="1" w:after="100" w:afterAutospacing="1"/>
              <w:rPr>
                <w:b/>
                <w:bCs/>
              </w:rPr>
            </w:pPr>
            <w:r w:rsidRPr="00CF718B">
              <w:rPr>
                <w:b/>
                <w:bCs/>
              </w:rPr>
              <w:t>Serious Challenge</w:t>
            </w:r>
          </w:p>
        </w:tc>
        <w:tc>
          <w:tcPr>
            <w:tcW w:w="1243" w:type="dxa"/>
          </w:tcPr>
          <w:p w14:paraId="6044185E" w14:textId="347641A8" w:rsidR="00D4647D" w:rsidRDefault="00B87ADF" w:rsidP="00D4647D">
            <w:pPr>
              <w:spacing w:before="100" w:beforeAutospacing="1" w:after="100" w:afterAutospacing="1"/>
              <w:rPr>
                <w:b/>
                <w:bCs/>
              </w:rPr>
            </w:pPr>
            <w:r w:rsidRPr="00CF718B">
              <w:rPr>
                <w:b/>
                <w:bCs/>
              </w:rPr>
              <w:t>Minor Challenge</w:t>
            </w:r>
          </w:p>
        </w:tc>
        <w:tc>
          <w:tcPr>
            <w:tcW w:w="1243" w:type="dxa"/>
          </w:tcPr>
          <w:p w14:paraId="2F67AC69" w14:textId="5862748B" w:rsidR="00D4647D" w:rsidRDefault="00B87ADF" w:rsidP="00D4647D">
            <w:pPr>
              <w:spacing w:before="100" w:beforeAutospacing="1" w:after="100" w:afterAutospacing="1"/>
              <w:rPr>
                <w:b/>
                <w:bCs/>
              </w:rPr>
            </w:pPr>
            <w:r w:rsidRPr="00CF718B">
              <w:rPr>
                <w:b/>
                <w:bCs/>
              </w:rPr>
              <w:t>Not a Challenge</w:t>
            </w:r>
          </w:p>
        </w:tc>
        <w:tc>
          <w:tcPr>
            <w:tcW w:w="1043" w:type="dxa"/>
          </w:tcPr>
          <w:p w14:paraId="374DFEF4" w14:textId="10460365" w:rsidR="00D4647D" w:rsidRDefault="00B87ADF" w:rsidP="00D4647D">
            <w:pPr>
              <w:spacing w:before="100" w:beforeAutospacing="1" w:after="100" w:afterAutospacing="1"/>
              <w:rPr>
                <w:b/>
                <w:bCs/>
              </w:rPr>
            </w:pPr>
            <w:r>
              <w:rPr>
                <w:b/>
                <w:bCs/>
              </w:rPr>
              <w:t>Mean</w:t>
            </w:r>
          </w:p>
        </w:tc>
        <w:tc>
          <w:tcPr>
            <w:tcW w:w="989" w:type="dxa"/>
          </w:tcPr>
          <w:p w14:paraId="463AA311" w14:textId="4B0CA25F" w:rsidR="00D4647D" w:rsidRDefault="00B87ADF" w:rsidP="00D4647D">
            <w:pPr>
              <w:spacing w:before="100" w:beforeAutospacing="1" w:after="100" w:afterAutospacing="1"/>
              <w:rPr>
                <w:b/>
                <w:bCs/>
              </w:rPr>
            </w:pPr>
            <w:r>
              <w:rPr>
                <w:b/>
                <w:bCs/>
              </w:rPr>
              <w:t>Std Dev</w:t>
            </w:r>
          </w:p>
        </w:tc>
      </w:tr>
      <w:tr w:rsidR="00B87ADF" w:rsidRPr="0075044F" w14:paraId="2D5B3230" w14:textId="77777777" w:rsidTr="00B87ADF">
        <w:tc>
          <w:tcPr>
            <w:tcW w:w="590" w:type="dxa"/>
          </w:tcPr>
          <w:p w14:paraId="45BCE205" w14:textId="0078E7E9" w:rsidR="00B87ADF" w:rsidRDefault="00B87ADF" w:rsidP="00B87ADF">
            <w:pPr>
              <w:spacing w:before="100" w:beforeAutospacing="1" w:after="100" w:afterAutospacing="1"/>
              <w:rPr>
                <w:b/>
                <w:bCs/>
              </w:rPr>
            </w:pPr>
            <w:r>
              <w:rPr>
                <w:b/>
                <w:bCs/>
              </w:rPr>
              <w:t>1</w:t>
            </w:r>
          </w:p>
        </w:tc>
        <w:tc>
          <w:tcPr>
            <w:tcW w:w="1756" w:type="dxa"/>
            <w:vAlign w:val="center"/>
          </w:tcPr>
          <w:p w14:paraId="7A37B1B4" w14:textId="2D7BB355" w:rsidR="00B87ADF" w:rsidRDefault="00B87ADF" w:rsidP="00B87ADF">
            <w:pPr>
              <w:spacing w:before="100" w:beforeAutospacing="1" w:after="100" w:afterAutospacing="1"/>
              <w:rPr>
                <w:b/>
                <w:bCs/>
              </w:rPr>
            </w:pPr>
            <w:r w:rsidRPr="00CF718B">
              <w:t>Inadequate information about available capacity-building programmes</w:t>
            </w:r>
          </w:p>
        </w:tc>
        <w:tc>
          <w:tcPr>
            <w:tcW w:w="1243" w:type="dxa"/>
          </w:tcPr>
          <w:p w14:paraId="45A94911" w14:textId="5FCAAE35" w:rsidR="00B87ADF" w:rsidRPr="00B436CC" w:rsidRDefault="00E21D7A" w:rsidP="00B87ADF">
            <w:pPr>
              <w:spacing w:before="100" w:beforeAutospacing="1" w:after="100" w:afterAutospacing="1"/>
            </w:pPr>
            <w:r w:rsidRPr="00B436CC">
              <w:t>59</w:t>
            </w:r>
          </w:p>
        </w:tc>
        <w:tc>
          <w:tcPr>
            <w:tcW w:w="1243" w:type="dxa"/>
          </w:tcPr>
          <w:p w14:paraId="0A64E2A0" w14:textId="0F610839" w:rsidR="00B87ADF" w:rsidRPr="00B436CC" w:rsidRDefault="006A6C7C" w:rsidP="00B87ADF">
            <w:pPr>
              <w:spacing w:before="100" w:beforeAutospacing="1" w:after="100" w:afterAutospacing="1"/>
            </w:pPr>
            <w:r>
              <w:t>5</w:t>
            </w:r>
            <w:r w:rsidR="00E21D7A" w:rsidRPr="00B436CC">
              <w:t>5</w:t>
            </w:r>
          </w:p>
        </w:tc>
        <w:tc>
          <w:tcPr>
            <w:tcW w:w="1243" w:type="dxa"/>
          </w:tcPr>
          <w:p w14:paraId="5B56D89C" w14:textId="17EE6364" w:rsidR="00B87ADF" w:rsidRPr="00B436CC" w:rsidRDefault="00BD558A" w:rsidP="00B87ADF">
            <w:pPr>
              <w:spacing w:before="100" w:beforeAutospacing="1" w:after="100" w:afterAutospacing="1"/>
            </w:pPr>
            <w:r w:rsidRPr="00B436CC">
              <w:t>1</w:t>
            </w:r>
            <w:r w:rsidR="006A6C7C">
              <w:t>8</w:t>
            </w:r>
          </w:p>
        </w:tc>
        <w:tc>
          <w:tcPr>
            <w:tcW w:w="1243" w:type="dxa"/>
          </w:tcPr>
          <w:p w14:paraId="2DC0B343" w14:textId="38E9A251" w:rsidR="00B87ADF" w:rsidRPr="00B436CC" w:rsidRDefault="006A6C7C" w:rsidP="00B87ADF">
            <w:pPr>
              <w:spacing w:before="100" w:beforeAutospacing="1" w:after="100" w:afterAutospacing="1"/>
            </w:pPr>
            <w:r>
              <w:t>17</w:t>
            </w:r>
          </w:p>
        </w:tc>
        <w:tc>
          <w:tcPr>
            <w:tcW w:w="1043" w:type="dxa"/>
          </w:tcPr>
          <w:p w14:paraId="54A9DBF8" w14:textId="23FEEDAE" w:rsidR="00B87ADF" w:rsidRPr="0075044F" w:rsidRDefault="00FE22BA" w:rsidP="00B87ADF">
            <w:pPr>
              <w:spacing w:before="100" w:beforeAutospacing="1" w:after="100" w:afterAutospacing="1"/>
            </w:pPr>
            <w:r w:rsidRPr="0075044F">
              <w:rPr>
                <w:rStyle w:val="Strong"/>
                <w:b w:val="0"/>
                <w:bCs w:val="0"/>
              </w:rPr>
              <w:t>3.05</w:t>
            </w:r>
          </w:p>
        </w:tc>
        <w:tc>
          <w:tcPr>
            <w:tcW w:w="989" w:type="dxa"/>
          </w:tcPr>
          <w:p w14:paraId="13688FA4" w14:textId="14A2131F" w:rsidR="00B87ADF" w:rsidRPr="0075044F" w:rsidRDefault="00FE22BA" w:rsidP="00B87ADF">
            <w:pPr>
              <w:spacing w:before="100" w:beforeAutospacing="1" w:after="100" w:afterAutospacing="1"/>
            </w:pPr>
            <w:r w:rsidRPr="0075044F">
              <w:rPr>
                <w:rStyle w:val="Strong"/>
                <w:b w:val="0"/>
                <w:bCs w:val="0"/>
              </w:rPr>
              <w:t>0.99</w:t>
            </w:r>
          </w:p>
        </w:tc>
      </w:tr>
      <w:tr w:rsidR="00B87ADF" w:rsidRPr="0075044F" w14:paraId="70151F97" w14:textId="77777777" w:rsidTr="00D33F8F">
        <w:tc>
          <w:tcPr>
            <w:tcW w:w="590" w:type="dxa"/>
          </w:tcPr>
          <w:p w14:paraId="1EA12A57" w14:textId="396595DC" w:rsidR="00B87ADF" w:rsidRDefault="00B87ADF" w:rsidP="00B87ADF">
            <w:pPr>
              <w:spacing w:before="100" w:beforeAutospacing="1" w:after="100" w:afterAutospacing="1"/>
              <w:rPr>
                <w:b/>
                <w:bCs/>
              </w:rPr>
            </w:pPr>
            <w:r>
              <w:rPr>
                <w:b/>
                <w:bCs/>
              </w:rPr>
              <w:t>2</w:t>
            </w:r>
          </w:p>
        </w:tc>
        <w:tc>
          <w:tcPr>
            <w:tcW w:w="1756" w:type="dxa"/>
            <w:vAlign w:val="center"/>
          </w:tcPr>
          <w:p w14:paraId="27E20959" w14:textId="09F9968E" w:rsidR="00B87ADF" w:rsidRDefault="00B87ADF" w:rsidP="00B87ADF">
            <w:pPr>
              <w:spacing w:before="100" w:beforeAutospacing="1" w:after="100" w:afterAutospacing="1"/>
              <w:rPr>
                <w:b/>
                <w:bCs/>
              </w:rPr>
            </w:pPr>
            <w:r w:rsidRPr="00CF718B">
              <w:t>Time constraints due to work and family responsibilities</w:t>
            </w:r>
          </w:p>
        </w:tc>
        <w:tc>
          <w:tcPr>
            <w:tcW w:w="1243" w:type="dxa"/>
          </w:tcPr>
          <w:p w14:paraId="258D6896" w14:textId="33B1B7DF" w:rsidR="00B87ADF" w:rsidRPr="00B436CC" w:rsidRDefault="00E21D7A" w:rsidP="00B87ADF">
            <w:pPr>
              <w:spacing w:before="100" w:beforeAutospacing="1" w:after="100" w:afterAutospacing="1"/>
            </w:pPr>
            <w:r w:rsidRPr="00B436CC">
              <w:t>60</w:t>
            </w:r>
          </w:p>
        </w:tc>
        <w:tc>
          <w:tcPr>
            <w:tcW w:w="1243" w:type="dxa"/>
          </w:tcPr>
          <w:p w14:paraId="3CF20062" w14:textId="10DC4FF3" w:rsidR="00B87ADF" w:rsidRPr="00B436CC" w:rsidRDefault="006A6C7C" w:rsidP="00B87ADF">
            <w:pPr>
              <w:spacing w:before="100" w:beforeAutospacing="1" w:after="100" w:afterAutospacing="1"/>
            </w:pPr>
            <w:r>
              <w:t>5</w:t>
            </w:r>
            <w:r w:rsidR="00E21D7A" w:rsidRPr="00B436CC">
              <w:t>1</w:t>
            </w:r>
          </w:p>
        </w:tc>
        <w:tc>
          <w:tcPr>
            <w:tcW w:w="1243" w:type="dxa"/>
          </w:tcPr>
          <w:p w14:paraId="2B058ACA" w14:textId="517909D0" w:rsidR="00B87ADF" w:rsidRPr="00B436CC" w:rsidRDefault="006A6C7C" w:rsidP="00B87ADF">
            <w:pPr>
              <w:spacing w:before="100" w:beforeAutospacing="1" w:after="100" w:afterAutospacing="1"/>
            </w:pPr>
            <w:r>
              <w:t>2</w:t>
            </w:r>
            <w:r w:rsidR="00BD558A" w:rsidRPr="00B436CC">
              <w:t>9</w:t>
            </w:r>
          </w:p>
        </w:tc>
        <w:tc>
          <w:tcPr>
            <w:tcW w:w="1243" w:type="dxa"/>
          </w:tcPr>
          <w:p w14:paraId="0EAA4366" w14:textId="2B7A6321" w:rsidR="00B87ADF" w:rsidRPr="00B436CC" w:rsidRDefault="006A6C7C" w:rsidP="00B87ADF">
            <w:pPr>
              <w:spacing w:before="100" w:beforeAutospacing="1" w:after="100" w:afterAutospacing="1"/>
            </w:pPr>
            <w:r>
              <w:t>9</w:t>
            </w:r>
          </w:p>
        </w:tc>
        <w:tc>
          <w:tcPr>
            <w:tcW w:w="1043" w:type="dxa"/>
          </w:tcPr>
          <w:p w14:paraId="34E855A1" w14:textId="3B83413D" w:rsidR="00B87ADF" w:rsidRPr="0075044F" w:rsidRDefault="00297849" w:rsidP="00B87ADF">
            <w:pPr>
              <w:spacing w:before="100" w:beforeAutospacing="1" w:after="100" w:afterAutospacing="1"/>
            </w:pPr>
            <w:r w:rsidRPr="0075044F">
              <w:rPr>
                <w:rStyle w:val="Strong"/>
                <w:b w:val="0"/>
                <w:bCs w:val="0"/>
              </w:rPr>
              <w:t>3.09</w:t>
            </w:r>
          </w:p>
        </w:tc>
        <w:tc>
          <w:tcPr>
            <w:tcW w:w="989" w:type="dxa"/>
          </w:tcPr>
          <w:p w14:paraId="5029D675" w14:textId="37466512" w:rsidR="00B87ADF" w:rsidRPr="0075044F" w:rsidRDefault="00297849" w:rsidP="00B87ADF">
            <w:pPr>
              <w:spacing w:before="100" w:beforeAutospacing="1" w:after="100" w:afterAutospacing="1"/>
            </w:pPr>
            <w:r w:rsidRPr="0075044F">
              <w:rPr>
                <w:rStyle w:val="Strong"/>
                <w:b w:val="0"/>
                <w:bCs w:val="0"/>
              </w:rPr>
              <w:t>0.91</w:t>
            </w:r>
          </w:p>
        </w:tc>
      </w:tr>
      <w:tr w:rsidR="00B87ADF" w:rsidRPr="0075044F" w14:paraId="0E506608" w14:textId="77777777" w:rsidTr="00134576">
        <w:tc>
          <w:tcPr>
            <w:tcW w:w="590" w:type="dxa"/>
          </w:tcPr>
          <w:p w14:paraId="7569E2EE" w14:textId="0932E5F4" w:rsidR="00B87ADF" w:rsidRDefault="00B87ADF" w:rsidP="00B87ADF">
            <w:pPr>
              <w:spacing w:before="100" w:beforeAutospacing="1" w:after="100" w:afterAutospacing="1"/>
              <w:rPr>
                <w:b/>
                <w:bCs/>
              </w:rPr>
            </w:pPr>
            <w:r>
              <w:rPr>
                <w:b/>
                <w:bCs/>
              </w:rPr>
              <w:t>3</w:t>
            </w:r>
          </w:p>
        </w:tc>
        <w:tc>
          <w:tcPr>
            <w:tcW w:w="1756" w:type="dxa"/>
            <w:vAlign w:val="center"/>
          </w:tcPr>
          <w:p w14:paraId="7A33C70F" w14:textId="76440644" w:rsidR="00B87ADF" w:rsidRDefault="00B87ADF" w:rsidP="00B87ADF">
            <w:pPr>
              <w:spacing w:before="100" w:beforeAutospacing="1" w:after="100" w:afterAutospacing="1"/>
              <w:rPr>
                <w:b/>
                <w:bCs/>
              </w:rPr>
            </w:pPr>
            <w:r w:rsidRPr="00CF718B">
              <w:t>Limited access to training venues and facilities</w:t>
            </w:r>
          </w:p>
        </w:tc>
        <w:tc>
          <w:tcPr>
            <w:tcW w:w="1243" w:type="dxa"/>
          </w:tcPr>
          <w:p w14:paraId="2F687B5E" w14:textId="2D4D5925" w:rsidR="00B87ADF" w:rsidRPr="00B436CC" w:rsidRDefault="00E21D7A" w:rsidP="00B87ADF">
            <w:pPr>
              <w:spacing w:before="100" w:beforeAutospacing="1" w:after="100" w:afterAutospacing="1"/>
            </w:pPr>
            <w:r w:rsidRPr="00B436CC">
              <w:t>57</w:t>
            </w:r>
          </w:p>
        </w:tc>
        <w:tc>
          <w:tcPr>
            <w:tcW w:w="1243" w:type="dxa"/>
          </w:tcPr>
          <w:p w14:paraId="565194CC" w14:textId="6E6482A9" w:rsidR="00B87ADF" w:rsidRPr="00B436CC" w:rsidRDefault="006A6C7C" w:rsidP="00B87ADF">
            <w:pPr>
              <w:spacing w:before="100" w:beforeAutospacing="1" w:after="100" w:afterAutospacing="1"/>
            </w:pPr>
            <w:r>
              <w:t>5</w:t>
            </w:r>
            <w:r w:rsidR="00E21D7A" w:rsidRPr="00B436CC">
              <w:t>3</w:t>
            </w:r>
          </w:p>
        </w:tc>
        <w:tc>
          <w:tcPr>
            <w:tcW w:w="1243" w:type="dxa"/>
          </w:tcPr>
          <w:p w14:paraId="12C6332C" w14:textId="33EF6310" w:rsidR="00B87ADF" w:rsidRPr="00B436CC" w:rsidRDefault="00BD558A" w:rsidP="00B87ADF">
            <w:pPr>
              <w:spacing w:before="100" w:beforeAutospacing="1" w:after="100" w:afterAutospacing="1"/>
            </w:pPr>
            <w:r w:rsidRPr="00B436CC">
              <w:t>2</w:t>
            </w:r>
            <w:r w:rsidR="006A6C7C">
              <w:t>7</w:t>
            </w:r>
          </w:p>
        </w:tc>
        <w:tc>
          <w:tcPr>
            <w:tcW w:w="1243" w:type="dxa"/>
          </w:tcPr>
          <w:p w14:paraId="58A5E963" w14:textId="0807830F" w:rsidR="00B87ADF" w:rsidRPr="00B436CC" w:rsidRDefault="006A6C7C" w:rsidP="00B87ADF">
            <w:pPr>
              <w:spacing w:before="100" w:beforeAutospacing="1" w:after="100" w:afterAutospacing="1"/>
            </w:pPr>
            <w:r>
              <w:t>10</w:t>
            </w:r>
          </w:p>
        </w:tc>
        <w:tc>
          <w:tcPr>
            <w:tcW w:w="1043" w:type="dxa"/>
          </w:tcPr>
          <w:p w14:paraId="6FF762F6" w14:textId="199667EA" w:rsidR="00B87ADF" w:rsidRPr="0075044F" w:rsidRDefault="00297849" w:rsidP="00B87ADF">
            <w:pPr>
              <w:spacing w:before="100" w:beforeAutospacing="1" w:after="100" w:afterAutospacing="1"/>
            </w:pPr>
            <w:r w:rsidRPr="0075044F">
              <w:rPr>
                <w:rStyle w:val="Strong"/>
                <w:b w:val="0"/>
                <w:bCs w:val="0"/>
              </w:rPr>
              <w:t>3.07</w:t>
            </w:r>
          </w:p>
        </w:tc>
        <w:tc>
          <w:tcPr>
            <w:tcW w:w="989" w:type="dxa"/>
          </w:tcPr>
          <w:p w14:paraId="009C7C12" w14:textId="16D5786F" w:rsidR="00B87ADF" w:rsidRPr="0075044F" w:rsidRDefault="00297849" w:rsidP="00B87ADF">
            <w:pPr>
              <w:spacing w:before="100" w:beforeAutospacing="1" w:after="100" w:afterAutospacing="1"/>
            </w:pPr>
            <w:r w:rsidRPr="0075044F">
              <w:rPr>
                <w:rStyle w:val="Strong"/>
                <w:b w:val="0"/>
                <w:bCs w:val="0"/>
              </w:rPr>
              <w:t>0.92</w:t>
            </w:r>
          </w:p>
        </w:tc>
      </w:tr>
      <w:tr w:rsidR="00B87ADF" w:rsidRPr="0075044F" w14:paraId="52552457" w14:textId="77777777" w:rsidTr="00B87ADF">
        <w:tc>
          <w:tcPr>
            <w:tcW w:w="590" w:type="dxa"/>
          </w:tcPr>
          <w:p w14:paraId="3D66E9D2" w14:textId="00AC7618" w:rsidR="00B87ADF" w:rsidRDefault="00B87ADF" w:rsidP="00B87ADF">
            <w:pPr>
              <w:spacing w:before="100" w:beforeAutospacing="1" w:after="100" w:afterAutospacing="1"/>
              <w:rPr>
                <w:b/>
                <w:bCs/>
              </w:rPr>
            </w:pPr>
            <w:r>
              <w:rPr>
                <w:b/>
                <w:bCs/>
              </w:rPr>
              <w:t>4</w:t>
            </w:r>
          </w:p>
        </w:tc>
        <w:tc>
          <w:tcPr>
            <w:tcW w:w="1756" w:type="dxa"/>
          </w:tcPr>
          <w:p w14:paraId="3024E303" w14:textId="71D4D920" w:rsidR="00B87ADF" w:rsidRDefault="00B87ADF" w:rsidP="00B87ADF">
            <w:pPr>
              <w:spacing w:before="100" w:beforeAutospacing="1" w:after="100" w:afterAutospacing="1"/>
              <w:rPr>
                <w:b/>
                <w:bCs/>
              </w:rPr>
            </w:pPr>
            <w:r w:rsidRPr="00CF718B">
              <w:t>Financial constraints and cost of participation</w:t>
            </w:r>
          </w:p>
        </w:tc>
        <w:tc>
          <w:tcPr>
            <w:tcW w:w="1243" w:type="dxa"/>
          </w:tcPr>
          <w:p w14:paraId="1225B16D" w14:textId="408E3F18" w:rsidR="00B87ADF" w:rsidRPr="00B436CC" w:rsidRDefault="006A6C7C" w:rsidP="00B87ADF">
            <w:pPr>
              <w:spacing w:before="100" w:beforeAutospacing="1" w:after="100" w:afterAutospacing="1"/>
            </w:pPr>
            <w:r>
              <w:t>6</w:t>
            </w:r>
            <w:r w:rsidR="00E21D7A" w:rsidRPr="00B436CC">
              <w:t>1</w:t>
            </w:r>
          </w:p>
        </w:tc>
        <w:tc>
          <w:tcPr>
            <w:tcW w:w="1243" w:type="dxa"/>
          </w:tcPr>
          <w:p w14:paraId="4B145313" w14:textId="2662F0FB" w:rsidR="00B87ADF" w:rsidRPr="00B436CC" w:rsidRDefault="00BD558A" w:rsidP="00B87ADF">
            <w:pPr>
              <w:spacing w:before="100" w:beforeAutospacing="1" w:after="100" w:afterAutospacing="1"/>
            </w:pPr>
            <w:r w:rsidRPr="00B436CC">
              <w:t>53</w:t>
            </w:r>
          </w:p>
        </w:tc>
        <w:tc>
          <w:tcPr>
            <w:tcW w:w="1243" w:type="dxa"/>
          </w:tcPr>
          <w:p w14:paraId="65C3EDBF" w14:textId="26569F65" w:rsidR="00B87ADF" w:rsidRPr="00B436CC" w:rsidRDefault="00BD558A" w:rsidP="00B87ADF">
            <w:pPr>
              <w:spacing w:before="100" w:beforeAutospacing="1" w:after="100" w:afterAutospacing="1"/>
            </w:pPr>
            <w:r w:rsidRPr="00B436CC">
              <w:t>2</w:t>
            </w:r>
            <w:r w:rsidR="006A6C7C">
              <w:t>4</w:t>
            </w:r>
          </w:p>
        </w:tc>
        <w:tc>
          <w:tcPr>
            <w:tcW w:w="1243" w:type="dxa"/>
          </w:tcPr>
          <w:p w14:paraId="28849D2B" w14:textId="47FD2E64" w:rsidR="00B87ADF" w:rsidRPr="00B436CC" w:rsidRDefault="006A6C7C" w:rsidP="00B87ADF">
            <w:pPr>
              <w:spacing w:before="100" w:beforeAutospacing="1" w:after="100" w:afterAutospacing="1"/>
            </w:pPr>
            <w:r>
              <w:t>11</w:t>
            </w:r>
          </w:p>
        </w:tc>
        <w:tc>
          <w:tcPr>
            <w:tcW w:w="1043" w:type="dxa"/>
          </w:tcPr>
          <w:p w14:paraId="028E39DD" w14:textId="335E62BC" w:rsidR="00B87ADF" w:rsidRPr="0075044F" w:rsidRDefault="00297849" w:rsidP="00B87ADF">
            <w:pPr>
              <w:spacing w:before="100" w:beforeAutospacing="1" w:after="100" w:afterAutospacing="1"/>
            </w:pPr>
            <w:r w:rsidRPr="0075044F">
              <w:rPr>
                <w:rStyle w:val="Strong"/>
                <w:b w:val="0"/>
                <w:bCs w:val="0"/>
              </w:rPr>
              <w:t>3.10</w:t>
            </w:r>
          </w:p>
        </w:tc>
        <w:tc>
          <w:tcPr>
            <w:tcW w:w="989" w:type="dxa"/>
          </w:tcPr>
          <w:p w14:paraId="254E9274" w14:textId="2D6F8CC2" w:rsidR="00B87ADF" w:rsidRPr="0075044F" w:rsidRDefault="00297849" w:rsidP="00B87ADF">
            <w:pPr>
              <w:spacing w:before="100" w:beforeAutospacing="1" w:after="100" w:afterAutospacing="1"/>
            </w:pPr>
            <w:r w:rsidRPr="0075044F">
              <w:rPr>
                <w:rStyle w:val="Strong"/>
                <w:b w:val="0"/>
                <w:bCs w:val="0"/>
              </w:rPr>
              <w:t>0.93</w:t>
            </w:r>
          </w:p>
        </w:tc>
      </w:tr>
      <w:tr w:rsidR="00B87ADF" w:rsidRPr="0075044F" w14:paraId="3DDE523A" w14:textId="77777777" w:rsidTr="00350A7C">
        <w:tc>
          <w:tcPr>
            <w:tcW w:w="590" w:type="dxa"/>
          </w:tcPr>
          <w:p w14:paraId="275FF0ED" w14:textId="733B2FE3" w:rsidR="00B87ADF" w:rsidRDefault="00B87ADF" w:rsidP="00B87ADF">
            <w:pPr>
              <w:spacing w:before="100" w:beforeAutospacing="1" w:after="100" w:afterAutospacing="1"/>
              <w:rPr>
                <w:b/>
                <w:bCs/>
              </w:rPr>
            </w:pPr>
            <w:r>
              <w:rPr>
                <w:b/>
                <w:bCs/>
              </w:rPr>
              <w:lastRenderedPageBreak/>
              <w:t>5</w:t>
            </w:r>
          </w:p>
        </w:tc>
        <w:tc>
          <w:tcPr>
            <w:tcW w:w="1756" w:type="dxa"/>
            <w:vAlign w:val="center"/>
          </w:tcPr>
          <w:p w14:paraId="26AA8D57" w14:textId="69128826" w:rsidR="00B87ADF" w:rsidRDefault="00B87ADF" w:rsidP="00B87ADF">
            <w:pPr>
              <w:spacing w:before="100" w:beforeAutospacing="1" w:after="100" w:afterAutospacing="1"/>
              <w:rPr>
                <w:b/>
                <w:bCs/>
              </w:rPr>
            </w:pPr>
            <w:r w:rsidRPr="00CF718B">
              <w:t>Inconvenient scheduling of programmes</w:t>
            </w:r>
          </w:p>
        </w:tc>
        <w:tc>
          <w:tcPr>
            <w:tcW w:w="1243" w:type="dxa"/>
          </w:tcPr>
          <w:p w14:paraId="77FD02E4" w14:textId="59C15323" w:rsidR="00B87ADF" w:rsidRPr="00B436CC" w:rsidRDefault="006A6C7C" w:rsidP="00B87ADF">
            <w:pPr>
              <w:spacing w:before="100" w:beforeAutospacing="1" w:after="100" w:afterAutospacing="1"/>
            </w:pPr>
            <w:r>
              <w:t>6</w:t>
            </w:r>
            <w:r w:rsidR="00E21D7A" w:rsidRPr="00B436CC">
              <w:t>3</w:t>
            </w:r>
          </w:p>
        </w:tc>
        <w:tc>
          <w:tcPr>
            <w:tcW w:w="1243" w:type="dxa"/>
          </w:tcPr>
          <w:p w14:paraId="4064DF30" w14:textId="3FB50380" w:rsidR="00B87ADF" w:rsidRPr="00B436CC" w:rsidRDefault="006A6C7C" w:rsidP="00B87ADF">
            <w:pPr>
              <w:spacing w:before="100" w:beforeAutospacing="1" w:after="100" w:afterAutospacing="1"/>
            </w:pPr>
            <w:r>
              <w:t>5</w:t>
            </w:r>
            <w:r w:rsidR="00BD558A" w:rsidRPr="00B436CC">
              <w:t>9</w:t>
            </w:r>
          </w:p>
        </w:tc>
        <w:tc>
          <w:tcPr>
            <w:tcW w:w="1243" w:type="dxa"/>
          </w:tcPr>
          <w:p w14:paraId="78D2FFBD" w14:textId="7081E32E" w:rsidR="00B87ADF" w:rsidRPr="00B436CC" w:rsidRDefault="006A6C7C" w:rsidP="00B87ADF">
            <w:pPr>
              <w:spacing w:before="100" w:beforeAutospacing="1" w:after="100" w:afterAutospacing="1"/>
            </w:pPr>
            <w:r>
              <w:t>15</w:t>
            </w:r>
          </w:p>
        </w:tc>
        <w:tc>
          <w:tcPr>
            <w:tcW w:w="1243" w:type="dxa"/>
          </w:tcPr>
          <w:p w14:paraId="51A9E48E" w14:textId="7D21F263" w:rsidR="00B87ADF" w:rsidRPr="00B436CC" w:rsidRDefault="006A6C7C" w:rsidP="00B87ADF">
            <w:pPr>
              <w:spacing w:before="100" w:beforeAutospacing="1" w:after="100" w:afterAutospacing="1"/>
            </w:pPr>
            <w:r>
              <w:t>12</w:t>
            </w:r>
          </w:p>
        </w:tc>
        <w:tc>
          <w:tcPr>
            <w:tcW w:w="1043" w:type="dxa"/>
          </w:tcPr>
          <w:p w14:paraId="7DB1EED4" w14:textId="7D1F6F73" w:rsidR="00B87ADF" w:rsidRPr="0075044F" w:rsidRDefault="00297849" w:rsidP="00B87ADF">
            <w:pPr>
              <w:spacing w:before="100" w:beforeAutospacing="1" w:after="100" w:afterAutospacing="1"/>
            </w:pPr>
            <w:r w:rsidRPr="0075044F">
              <w:rPr>
                <w:rStyle w:val="Strong"/>
                <w:b w:val="0"/>
                <w:bCs w:val="0"/>
              </w:rPr>
              <w:t>3.16</w:t>
            </w:r>
          </w:p>
        </w:tc>
        <w:tc>
          <w:tcPr>
            <w:tcW w:w="989" w:type="dxa"/>
          </w:tcPr>
          <w:p w14:paraId="2E2433A7" w14:textId="2543AFB2" w:rsidR="00B87ADF" w:rsidRPr="0075044F" w:rsidRDefault="00297849" w:rsidP="00B87ADF">
            <w:pPr>
              <w:spacing w:before="100" w:beforeAutospacing="1" w:after="100" w:afterAutospacing="1"/>
            </w:pPr>
            <w:r w:rsidRPr="0075044F">
              <w:rPr>
                <w:rStyle w:val="Strong"/>
                <w:b w:val="0"/>
                <w:bCs w:val="0"/>
              </w:rPr>
              <w:t>0.91</w:t>
            </w:r>
          </w:p>
        </w:tc>
      </w:tr>
      <w:tr w:rsidR="00B87ADF" w:rsidRPr="0075044F" w14:paraId="32DDB06F" w14:textId="77777777" w:rsidTr="00B87ADF">
        <w:tc>
          <w:tcPr>
            <w:tcW w:w="590" w:type="dxa"/>
          </w:tcPr>
          <w:p w14:paraId="15055CA1" w14:textId="40A90802" w:rsidR="00B87ADF" w:rsidRDefault="00B87ADF" w:rsidP="00B87ADF">
            <w:pPr>
              <w:spacing w:before="100" w:beforeAutospacing="1" w:after="100" w:afterAutospacing="1"/>
              <w:rPr>
                <w:b/>
                <w:bCs/>
              </w:rPr>
            </w:pPr>
            <w:r>
              <w:rPr>
                <w:b/>
                <w:bCs/>
              </w:rPr>
              <w:t>6</w:t>
            </w:r>
          </w:p>
        </w:tc>
        <w:tc>
          <w:tcPr>
            <w:tcW w:w="1756" w:type="dxa"/>
          </w:tcPr>
          <w:p w14:paraId="09BF5300" w14:textId="58FFC106" w:rsidR="00B87ADF" w:rsidRDefault="00B87ADF" w:rsidP="00B87ADF">
            <w:pPr>
              <w:spacing w:before="100" w:beforeAutospacing="1" w:after="100" w:afterAutospacing="1"/>
              <w:rPr>
                <w:b/>
                <w:bCs/>
              </w:rPr>
            </w:pPr>
            <w:r w:rsidRPr="00CF718B">
              <w:t>Poor internet connectivity for online or blended programmes</w:t>
            </w:r>
          </w:p>
        </w:tc>
        <w:tc>
          <w:tcPr>
            <w:tcW w:w="1243" w:type="dxa"/>
          </w:tcPr>
          <w:p w14:paraId="0BDFD78F" w14:textId="057C4FD6" w:rsidR="00B87ADF" w:rsidRPr="00B436CC" w:rsidRDefault="00DA4502" w:rsidP="00B87ADF">
            <w:pPr>
              <w:spacing w:before="100" w:beforeAutospacing="1" w:after="100" w:afterAutospacing="1"/>
            </w:pPr>
            <w:r>
              <w:t>6</w:t>
            </w:r>
            <w:r w:rsidR="00E21D7A" w:rsidRPr="00B436CC">
              <w:t>2</w:t>
            </w:r>
          </w:p>
        </w:tc>
        <w:tc>
          <w:tcPr>
            <w:tcW w:w="1243" w:type="dxa"/>
          </w:tcPr>
          <w:p w14:paraId="255D310A" w14:textId="7A80EC72" w:rsidR="00B87ADF" w:rsidRPr="00B436CC" w:rsidRDefault="006A6C7C" w:rsidP="00B87ADF">
            <w:pPr>
              <w:spacing w:before="100" w:beforeAutospacing="1" w:after="100" w:afterAutospacing="1"/>
            </w:pPr>
            <w:r>
              <w:t>5</w:t>
            </w:r>
            <w:r w:rsidR="00BD558A" w:rsidRPr="00B436CC">
              <w:t>7</w:t>
            </w:r>
          </w:p>
        </w:tc>
        <w:tc>
          <w:tcPr>
            <w:tcW w:w="1243" w:type="dxa"/>
          </w:tcPr>
          <w:p w14:paraId="032F06EE" w14:textId="264A2518" w:rsidR="00B87ADF" w:rsidRPr="00B436CC" w:rsidRDefault="00DA4502" w:rsidP="00B87ADF">
            <w:pPr>
              <w:spacing w:before="100" w:beforeAutospacing="1" w:after="100" w:afterAutospacing="1"/>
            </w:pPr>
            <w:r>
              <w:t>1</w:t>
            </w:r>
            <w:r w:rsidR="00BD558A" w:rsidRPr="00B436CC">
              <w:t>5</w:t>
            </w:r>
          </w:p>
        </w:tc>
        <w:tc>
          <w:tcPr>
            <w:tcW w:w="1243" w:type="dxa"/>
          </w:tcPr>
          <w:p w14:paraId="3E299813" w14:textId="471FF2AF" w:rsidR="00B87ADF" w:rsidRPr="00B436CC" w:rsidRDefault="00DA4502" w:rsidP="00B87ADF">
            <w:pPr>
              <w:spacing w:before="100" w:beforeAutospacing="1" w:after="100" w:afterAutospacing="1"/>
            </w:pPr>
            <w:r>
              <w:t>15</w:t>
            </w:r>
          </w:p>
        </w:tc>
        <w:tc>
          <w:tcPr>
            <w:tcW w:w="1043" w:type="dxa"/>
          </w:tcPr>
          <w:p w14:paraId="5CBBF2E9" w14:textId="5CB0677E" w:rsidR="00B87ADF" w:rsidRPr="0075044F" w:rsidRDefault="00297849" w:rsidP="00B87ADF">
            <w:pPr>
              <w:spacing w:before="100" w:beforeAutospacing="1" w:after="100" w:afterAutospacing="1"/>
            </w:pPr>
            <w:r w:rsidRPr="0075044F">
              <w:rPr>
                <w:rStyle w:val="Strong"/>
                <w:b w:val="0"/>
                <w:bCs w:val="0"/>
              </w:rPr>
              <w:t>3.11</w:t>
            </w:r>
          </w:p>
        </w:tc>
        <w:tc>
          <w:tcPr>
            <w:tcW w:w="989" w:type="dxa"/>
          </w:tcPr>
          <w:p w14:paraId="3162B59A" w14:textId="0D56F6E6" w:rsidR="00B87ADF" w:rsidRPr="0075044F" w:rsidRDefault="00297849" w:rsidP="00B87ADF">
            <w:pPr>
              <w:spacing w:before="100" w:beforeAutospacing="1" w:after="100" w:afterAutospacing="1"/>
            </w:pPr>
            <w:r w:rsidRPr="0075044F">
              <w:rPr>
                <w:rStyle w:val="Strong"/>
                <w:b w:val="0"/>
                <w:bCs w:val="0"/>
              </w:rPr>
              <w:t>0.95</w:t>
            </w:r>
          </w:p>
        </w:tc>
      </w:tr>
      <w:tr w:rsidR="00B87ADF" w:rsidRPr="0075044F" w14:paraId="748E9F88" w14:textId="77777777" w:rsidTr="00B87ADF">
        <w:tc>
          <w:tcPr>
            <w:tcW w:w="590" w:type="dxa"/>
          </w:tcPr>
          <w:p w14:paraId="7DC663D8" w14:textId="2FA5135D" w:rsidR="00B87ADF" w:rsidRDefault="00B87ADF" w:rsidP="00B87ADF">
            <w:pPr>
              <w:spacing w:before="100" w:beforeAutospacing="1" w:after="100" w:afterAutospacing="1"/>
              <w:rPr>
                <w:b/>
                <w:bCs/>
              </w:rPr>
            </w:pPr>
            <w:r>
              <w:rPr>
                <w:b/>
                <w:bCs/>
              </w:rPr>
              <w:t>7</w:t>
            </w:r>
          </w:p>
        </w:tc>
        <w:tc>
          <w:tcPr>
            <w:tcW w:w="1756" w:type="dxa"/>
          </w:tcPr>
          <w:p w14:paraId="3EF14749" w14:textId="47420597" w:rsidR="00B87ADF" w:rsidRDefault="00B87ADF" w:rsidP="00B87ADF">
            <w:pPr>
              <w:spacing w:before="100" w:beforeAutospacing="1" w:after="100" w:afterAutospacing="1"/>
              <w:rPr>
                <w:b/>
                <w:bCs/>
              </w:rPr>
            </w:pPr>
            <w:r w:rsidRPr="00CF718B">
              <w:t>Lack of motivation or interest among adult learners</w:t>
            </w:r>
          </w:p>
        </w:tc>
        <w:tc>
          <w:tcPr>
            <w:tcW w:w="1243" w:type="dxa"/>
          </w:tcPr>
          <w:p w14:paraId="49489210" w14:textId="42976965" w:rsidR="00B87ADF" w:rsidRPr="00B436CC" w:rsidRDefault="00DA4502" w:rsidP="00B87ADF">
            <w:pPr>
              <w:spacing w:before="100" w:beforeAutospacing="1" w:after="100" w:afterAutospacing="1"/>
            </w:pPr>
            <w:r>
              <w:t>6</w:t>
            </w:r>
            <w:r w:rsidR="00E21D7A" w:rsidRPr="00B436CC">
              <w:t>7</w:t>
            </w:r>
          </w:p>
        </w:tc>
        <w:tc>
          <w:tcPr>
            <w:tcW w:w="1243" w:type="dxa"/>
          </w:tcPr>
          <w:p w14:paraId="001841CA" w14:textId="0187EDB3" w:rsidR="00B87ADF" w:rsidRPr="00B436CC" w:rsidRDefault="00DA4502" w:rsidP="00B87ADF">
            <w:pPr>
              <w:spacing w:before="100" w:beforeAutospacing="1" w:after="100" w:afterAutospacing="1"/>
            </w:pPr>
            <w:r>
              <w:t>5</w:t>
            </w:r>
            <w:r w:rsidR="00BD558A" w:rsidRPr="00B436CC">
              <w:t>9</w:t>
            </w:r>
          </w:p>
        </w:tc>
        <w:tc>
          <w:tcPr>
            <w:tcW w:w="1243" w:type="dxa"/>
          </w:tcPr>
          <w:p w14:paraId="3DA08AEB" w14:textId="3A624AFF" w:rsidR="00B87ADF" w:rsidRPr="00B436CC" w:rsidRDefault="00DA4502" w:rsidP="00B87ADF">
            <w:pPr>
              <w:spacing w:before="100" w:beforeAutospacing="1" w:after="100" w:afterAutospacing="1"/>
            </w:pPr>
            <w:r>
              <w:t>13</w:t>
            </w:r>
          </w:p>
        </w:tc>
        <w:tc>
          <w:tcPr>
            <w:tcW w:w="1243" w:type="dxa"/>
          </w:tcPr>
          <w:p w14:paraId="52FE3D7A" w14:textId="49D05C9D" w:rsidR="00B87ADF" w:rsidRPr="00B436CC" w:rsidRDefault="00DA4502" w:rsidP="00B87ADF">
            <w:pPr>
              <w:spacing w:before="100" w:beforeAutospacing="1" w:after="100" w:afterAutospacing="1"/>
            </w:pPr>
            <w:r>
              <w:t>10</w:t>
            </w:r>
          </w:p>
        </w:tc>
        <w:tc>
          <w:tcPr>
            <w:tcW w:w="1043" w:type="dxa"/>
          </w:tcPr>
          <w:p w14:paraId="7E894C34" w14:textId="1BFCD1F9" w:rsidR="00B87ADF" w:rsidRPr="0075044F" w:rsidRDefault="00331EC9" w:rsidP="00B87ADF">
            <w:pPr>
              <w:spacing w:before="100" w:beforeAutospacing="1" w:after="100" w:afterAutospacing="1"/>
            </w:pPr>
            <w:r w:rsidRPr="0075044F">
              <w:rPr>
                <w:rStyle w:val="Strong"/>
                <w:b w:val="0"/>
                <w:bCs w:val="0"/>
              </w:rPr>
              <w:t>3.23</w:t>
            </w:r>
          </w:p>
        </w:tc>
        <w:tc>
          <w:tcPr>
            <w:tcW w:w="989" w:type="dxa"/>
          </w:tcPr>
          <w:p w14:paraId="743D73C1" w14:textId="46336101" w:rsidR="00B87ADF" w:rsidRPr="0075044F" w:rsidRDefault="00331EC9" w:rsidP="00B87ADF">
            <w:pPr>
              <w:spacing w:before="100" w:beforeAutospacing="1" w:after="100" w:afterAutospacing="1"/>
            </w:pPr>
            <w:r w:rsidRPr="0075044F">
              <w:rPr>
                <w:rStyle w:val="Strong"/>
                <w:b w:val="0"/>
                <w:bCs w:val="0"/>
              </w:rPr>
              <w:t>0.87</w:t>
            </w:r>
          </w:p>
        </w:tc>
      </w:tr>
      <w:tr w:rsidR="00B87ADF" w:rsidRPr="0075044F" w14:paraId="50F015BF" w14:textId="77777777" w:rsidTr="00BE5EF2">
        <w:tc>
          <w:tcPr>
            <w:tcW w:w="590" w:type="dxa"/>
          </w:tcPr>
          <w:p w14:paraId="7540B083" w14:textId="6AE49A12" w:rsidR="00B87ADF" w:rsidRDefault="00B87ADF" w:rsidP="00B87ADF">
            <w:pPr>
              <w:spacing w:before="100" w:beforeAutospacing="1" w:after="100" w:afterAutospacing="1"/>
              <w:rPr>
                <w:b/>
                <w:bCs/>
              </w:rPr>
            </w:pPr>
            <w:r>
              <w:rPr>
                <w:b/>
                <w:bCs/>
              </w:rPr>
              <w:t>8</w:t>
            </w:r>
          </w:p>
        </w:tc>
        <w:tc>
          <w:tcPr>
            <w:tcW w:w="1756" w:type="dxa"/>
            <w:vAlign w:val="center"/>
          </w:tcPr>
          <w:p w14:paraId="4DC082A8" w14:textId="3CC0CAFE" w:rsidR="00B87ADF" w:rsidRDefault="00B87ADF" w:rsidP="00B87ADF">
            <w:pPr>
              <w:spacing w:before="100" w:beforeAutospacing="1" w:after="100" w:afterAutospacing="1"/>
              <w:rPr>
                <w:b/>
                <w:bCs/>
              </w:rPr>
            </w:pPr>
            <w:r w:rsidRPr="00CF718B">
              <w:t>Inadequate number of trained facilitators</w:t>
            </w:r>
          </w:p>
        </w:tc>
        <w:tc>
          <w:tcPr>
            <w:tcW w:w="1243" w:type="dxa"/>
          </w:tcPr>
          <w:p w14:paraId="6D61449D" w14:textId="490FCBB8" w:rsidR="00B87ADF" w:rsidRPr="00B436CC" w:rsidRDefault="00DA4502" w:rsidP="00B87ADF">
            <w:pPr>
              <w:spacing w:before="100" w:beforeAutospacing="1" w:after="100" w:afterAutospacing="1"/>
            </w:pPr>
            <w:r>
              <w:t>6</w:t>
            </w:r>
            <w:r w:rsidR="00E21D7A" w:rsidRPr="00B436CC">
              <w:t>1</w:t>
            </w:r>
          </w:p>
        </w:tc>
        <w:tc>
          <w:tcPr>
            <w:tcW w:w="1243" w:type="dxa"/>
          </w:tcPr>
          <w:p w14:paraId="47923638" w14:textId="771A881A" w:rsidR="00B87ADF" w:rsidRPr="00B436CC" w:rsidRDefault="00DA4502" w:rsidP="00B87ADF">
            <w:pPr>
              <w:spacing w:before="100" w:beforeAutospacing="1" w:after="100" w:afterAutospacing="1"/>
            </w:pPr>
            <w:r>
              <w:t>5</w:t>
            </w:r>
            <w:r w:rsidR="00BD558A" w:rsidRPr="00B436CC">
              <w:t>5</w:t>
            </w:r>
          </w:p>
        </w:tc>
        <w:tc>
          <w:tcPr>
            <w:tcW w:w="1243" w:type="dxa"/>
          </w:tcPr>
          <w:p w14:paraId="4F36CD7F" w14:textId="14BC76A1" w:rsidR="00B87ADF" w:rsidRPr="00B436CC" w:rsidRDefault="00DA4502" w:rsidP="00B87ADF">
            <w:pPr>
              <w:spacing w:before="100" w:beforeAutospacing="1" w:after="100" w:afterAutospacing="1"/>
            </w:pPr>
            <w:r>
              <w:t>20</w:t>
            </w:r>
          </w:p>
        </w:tc>
        <w:tc>
          <w:tcPr>
            <w:tcW w:w="1243" w:type="dxa"/>
          </w:tcPr>
          <w:p w14:paraId="04766219" w14:textId="638267D5" w:rsidR="00B87ADF" w:rsidRPr="00B436CC" w:rsidRDefault="00DA4502" w:rsidP="00B87ADF">
            <w:pPr>
              <w:spacing w:before="100" w:beforeAutospacing="1" w:after="100" w:afterAutospacing="1"/>
            </w:pPr>
            <w:r>
              <w:t>13</w:t>
            </w:r>
          </w:p>
        </w:tc>
        <w:tc>
          <w:tcPr>
            <w:tcW w:w="1043" w:type="dxa"/>
          </w:tcPr>
          <w:p w14:paraId="4C9E0E35" w14:textId="0C0FC6E3" w:rsidR="00B87ADF" w:rsidRPr="0075044F" w:rsidRDefault="00331EC9" w:rsidP="00B87ADF">
            <w:pPr>
              <w:spacing w:before="100" w:beforeAutospacing="1" w:after="100" w:afterAutospacing="1"/>
            </w:pPr>
            <w:r w:rsidRPr="0075044F">
              <w:rPr>
                <w:rStyle w:val="Strong"/>
                <w:b w:val="0"/>
                <w:bCs w:val="0"/>
              </w:rPr>
              <w:t>3.10</w:t>
            </w:r>
          </w:p>
        </w:tc>
        <w:tc>
          <w:tcPr>
            <w:tcW w:w="989" w:type="dxa"/>
          </w:tcPr>
          <w:p w14:paraId="6693D8C6" w14:textId="6F991FFD" w:rsidR="00B87ADF" w:rsidRPr="0075044F" w:rsidRDefault="00331EC9" w:rsidP="00B87ADF">
            <w:pPr>
              <w:spacing w:before="100" w:beforeAutospacing="1" w:after="100" w:afterAutospacing="1"/>
            </w:pPr>
            <w:r w:rsidRPr="0075044F">
              <w:rPr>
                <w:rStyle w:val="Strong"/>
                <w:b w:val="0"/>
                <w:bCs w:val="0"/>
              </w:rPr>
              <w:t>0.94</w:t>
            </w:r>
          </w:p>
        </w:tc>
      </w:tr>
      <w:tr w:rsidR="00B87ADF" w:rsidRPr="0075044F" w14:paraId="30310CB0" w14:textId="77777777" w:rsidTr="00B87ADF">
        <w:tc>
          <w:tcPr>
            <w:tcW w:w="590" w:type="dxa"/>
          </w:tcPr>
          <w:p w14:paraId="2391A55F" w14:textId="5EF782B9" w:rsidR="00B87ADF" w:rsidRDefault="00B87ADF" w:rsidP="00B87ADF">
            <w:pPr>
              <w:spacing w:before="100" w:beforeAutospacing="1" w:after="100" w:afterAutospacing="1"/>
              <w:rPr>
                <w:b/>
                <w:bCs/>
              </w:rPr>
            </w:pPr>
            <w:r>
              <w:rPr>
                <w:b/>
                <w:bCs/>
              </w:rPr>
              <w:t>9</w:t>
            </w:r>
          </w:p>
        </w:tc>
        <w:tc>
          <w:tcPr>
            <w:tcW w:w="1756" w:type="dxa"/>
          </w:tcPr>
          <w:p w14:paraId="2581E483" w14:textId="4A1A62B7" w:rsidR="00B87ADF" w:rsidRDefault="00B87ADF" w:rsidP="00B87ADF">
            <w:pPr>
              <w:spacing w:before="100" w:beforeAutospacing="1" w:after="100" w:afterAutospacing="1"/>
              <w:rPr>
                <w:b/>
                <w:bCs/>
              </w:rPr>
            </w:pPr>
            <w:r w:rsidRPr="00CF718B">
              <w:t>Cultural or language barriers</w:t>
            </w:r>
          </w:p>
        </w:tc>
        <w:tc>
          <w:tcPr>
            <w:tcW w:w="1243" w:type="dxa"/>
          </w:tcPr>
          <w:p w14:paraId="03283582" w14:textId="62E484E8" w:rsidR="00B87ADF" w:rsidRPr="00B436CC" w:rsidRDefault="00DA4502" w:rsidP="00B87ADF">
            <w:pPr>
              <w:spacing w:before="100" w:beforeAutospacing="1" w:after="100" w:afterAutospacing="1"/>
            </w:pPr>
            <w:r>
              <w:t>5</w:t>
            </w:r>
            <w:r w:rsidR="00E21D7A" w:rsidRPr="00B436CC">
              <w:t>9</w:t>
            </w:r>
          </w:p>
        </w:tc>
        <w:tc>
          <w:tcPr>
            <w:tcW w:w="1243" w:type="dxa"/>
          </w:tcPr>
          <w:p w14:paraId="38996D61" w14:textId="6680209A" w:rsidR="00B87ADF" w:rsidRPr="00B436CC" w:rsidRDefault="00DA4502" w:rsidP="00B87ADF">
            <w:pPr>
              <w:spacing w:before="100" w:beforeAutospacing="1" w:after="100" w:afterAutospacing="1"/>
            </w:pPr>
            <w:r>
              <w:t>6</w:t>
            </w:r>
            <w:r w:rsidR="00BD558A" w:rsidRPr="00B436CC">
              <w:t>1</w:t>
            </w:r>
          </w:p>
        </w:tc>
        <w:tc>
          <w:tcPr>
            <w:tcW w:w="1243" w:type="dxa"/>
          </w:tcPr>
          <w:p w14:paraId="71060212" w14:textId="4FC82EB4" w:rsidR="00B87ADF" w:rsidRPr="00B436CC" w:rsidRDefault="00DA4502" w:rsidP="00B87ADF">
            <w:pPr>
              <w:spacing w:before="100" w:beforeAutospacing="1" w:after="100" w:afterAutospacing="1"/>
            </w:pPr>
            <w:r>
              <w:t>18</w:t>
            </w:r>
          </w:p>
        </w:tc>
        <w:tc>
          <w:tcPr>
            <w:tcW w:w="1243" w:type="dxa"/>
          </w:tcPr>
          <w:p w14:paraId="0E8A6999" w14:textId="7F8999CC" w:rsidR="00B87ADF" w:rsidRPr="00B436CC" w:rsidRDefault="00DA4502" w:rsidP="00B87ADF">
            <w:pPr>
              <w:spacing w:before="100" w:beforeAutospacing="1" w:after="100" w:afterAutospacing="1"/>
            </w:pPr>
            <w:r>
              <w:t>11</w:t>
            </w:r>
          </w:p>
        </w:tc>
        <w:tc>
          <w:tcPr>
            <w:tcW w:w="1043" w:type="dxa"/>
          </w:tcPr>
          <w:p w14:paraId="6F01CC33" w14:textId="657427EB" w:rsidR="00B87ADF" w:rsidRPr="0075044F" w:rsidRDefault="00331EC9" w:rsidP="00B87ADF">
            <w:pPr>
              <w:spacing w:before="100" w:beforeAutospacing="1" w:after="100" w:afterAutospacing="1"/>
            </w:pPr>
            <w:r w:rsidRPr="0075044F">
              <w:rPr>
                <w:rStyle w:val="Strong"/>
                <w:b w:val="0"/>
                <w:bCs w:val="0"/>
              </w:rPr>
              <w:t>3.13</w:t>
            </w:r>
          </w:p>
        </w:tc>
        <w:tc>
          <w:tcPr>
            <w:tcW w:w="989" w:type="dxa"/>
          </w:tcPr>
          <w:p w14:paraId="3303B484" w14:textId="241D1C48" w:rsidR="00B87ADF" w:rsidRPr="0075044F" w:rsidRDefault="00331EC9" w:rsidP="00B87ADF">
            <w:pPr>
              <w:spacing w:before="100" w:beforeAutospacing="1" w:after="100" w:afterAutospacing="1"/>
            </w:pPr>
            <w:r w:rsidRPr="0075044F">
              <w:rPr>
                <w:rStyle w:val="Strong"/>
                <w:b w:val="0"/>
                <w:bCs w:val="0"/>
              </w:rPr>
              <w:t>0.90</w:t>
            </w:r>
          </w:p>
        </w:tc>
      </w:tr>
      <w:tr w:rsidR="00B87ADF" w:rsidRPr="0075044F" w14:paraId="0FEA305D" w14:textId="77777777" w:rsidTr="00B87ADF">
        <w:tc>
          <w:tcPr>
            <w:tcW w:w="590" w:type="dxa"/>
          </w:tcPr>
          <w:p w14:paraId="6DBB966C" w14:textId="49CA4190" w:rsidR="00B87ADF" w:rsidRDefault="00B87ADF" w:rsidP="00B87ADF">
            <w:pPr>
              <w:spacing w:before="100" w:beforeAutospacing="1" w:after="100" w:afterAutospacing="1"/>
              <w:rPr>
                <w:b/>
                <w:bCs/>
              </w:rPr>
            </w:pPr>
            <w:r>
              <w:rPr>
                <w:b/>
                <w:bCs/>
              </w:rPr>
              <w:t>10</w:t>
            </w:r>
          </w:p>
        </w:tc>
        <w:tc>
          <w:tcPr>
            <w:tcW w:w="1756" w:type="dxa"/>
          </w:tcPr>
          <w:p w14:paraId="5086A8F1" w14:textId="181A2B09" w:rsidR="00B87ADF" w:rsidRDefault="00B87ADF" w:rsidP="00B87ADF">
            <w:pPr>
              <w:spacing w:before="100" w:beforeAutospacing="1" w:after="100" w:afterAutospacing="1"/>
              <w:rPr>
                <w:b/>
                <w:bCs/>
              </w:rPr>
            </w:pPr>
            <w:r w:rsidRPr="00CF718B">
              <w:t>Insufficient institutional support for adult education programmes</w:t>
            </w:r>
          </w:p>
        </w:tc>
        <w:tc>
          <w:tcPr>
            <w:tcW w:w="1243" w:type="dxa"/>
          </w:tcPr>
          <w:p w14:paraId="590BFB31" w14:textId="5387E036" w:rsidR="00B87ADF" w:rsidRPr="00B436CC" w:rsidRDefault="00E21D7A" w:rsidP="00B87ADF">
            <w:pPr>
              <w:spacing w:before="100" w:beforeAutospacing="1" w:after="100" w:afterAutospacing="1"/>
            </w:pPr>
            <w:r w:rsidRPr="00B436CC">
              <w:t>57</w:t>
            </w:r>
          </w:p>
        </w:tc>
        <w:tc>
          <w:tcPr>
            <w:tcW w:w="1243" w:type="dxa"/>
          </w:tcPr>
          <w:p w14:paraId="3BB0783E" w14:textId="25B8E34D" w:rsidR="00B87ADF" w:rsidRPr="00B436CC" w:rsidRDefault="00DA4502" w:rsidP="00B87ADF">
            <w:pPr>
              <w:spacing w:before="100" w:beforeAutospacing="1" w:after="100" w:afterAutospacing="1"/>
            </w:pPr>
            <w:r>
              <w:t>5</w:t>
            </w:r>
            <w:r w:rsidR="00BD558A" w:rsidRPr="00B436CC">
              <w:t>5</w:t>
            </w:r>
          </w:p>
        </w:tc>
        <w:tc>
          <w:tcPr>
            <w:tcW w:w="1243" w:type="dxa"/>
          </w:tcPr>
          <w:p w14:paraId="7C01BC82" w14:textId="6CE17954" w:rsidR="00B87ADF" w:rsidRPr="00B436CC" w:rsidRDefault="00BD558A" w:rsidP="00B87ADF">
            <w:pPr>
              <w:spacing w:before="100" w:beforeAutospacing="1" w:after="100" w:afterAutospacing="1"/>
            </w:pPr>
            <w:r w:rsidRPr="00B436CC">
              <w:t>24</w:t>
            </w:r>
          </w:p>
        </w:tc>
        <w:tc>
          <w:tcPr>
            <w:tcW w:w="1243" w:type="dxa"/>
          </w:tcPr>
          <w:p w14:paraId="69A9CD32" w14:textId="0936B4DF" w:rsidR="00B87ADF" w:rsidRPr="00B436CC" w:rsidRDefault="00DA4502" w:rsidP="00B87ADF">
            <w:pPr>
              <w:spacing w:before="100" w:beforeAutospacing="1" w:after="100" w:afterAutospacing="1"/>
            </w:pPr>
            <w:r>
              <w:t>13</w:t>
            </w:r>
          </w:p>
        </w:tc>
        <w:tc>
          <w:tcPr>
            <w:tcW w:w="1043" w:type="dxa"/>
          </w:tcPr>
          <w:p w14:paraId="3231EEAD" w14:textId="15ED8909" w:rsidR="00B87ADF" w:rsidRPr="0075044F" w:rsidRDefault="00331EC9" w:rsidP="00B87ADF">
            <w:pPr>
              <w:spacing w:before="100" w:beforeAutospacing="1" w:after="100" w:afterAutospacing="1"/>
            </w:pPr>
            <w:r w:rsidRPr="0075044F">
              <w:rPr>
                <w:rStyle w:val="Strong"/>
                <w:b w:val="0"/>
                <w:bCs w:val="0"/>
              </w:rPr>
              <w:t>3.05</w:t>
            </w:r>
          </w:p>
        </w:tc>
        <w:tc>
          <w:tcPr>
            <w:tcW w:w="989" w:type="dxa"/>
          </w:tcPr>
          <w:p w14:paraId="409E31D3" w14:textId="4F1C8B91" w:rsidR="00B87ADF" w:rsidRPr="0075044F" w:rsidRDefault="00331EC9" w:rsidP="00B87ADF">
            <w:pPr>
              <w:spacing w:before="100" w:beforeAutospacing="1" w:after="100" w:afterAutospacing="1"/>
            </w:pPr>
            <w:r w:rsidRPr="0075044F">
              <w:rPr>
                <w:rStyle w:val="Strong"/>
                <w:b w:val="0"/>
                <w:bCs w:val="0"/>
              </w:rPr>
              <w:t>0.94</w:t>
            </w:r>
          </w:p>
        </w:tc>
      </w:tr>
      <w:tr w:rsidR="00B87ADF" w:rsidRPr="00B436CC" w14:paraId="1ACF6EF1" w14:textId="77777777" w:rsidTr="007A30A6">
        <w:tc>
          <w:tcPr>
            <w:tcW w:w="9350" w:type="dxa"/>
            <w:gridSpan w:val="8"/>
          </w:tcPr>
          <w:p w14:paraId="4EF15179" w14:textId="28BA6013" w:rsidR="00B87ADF" w:rsidRPr="00B436CC" w:rsidRDefault="00B87ADF" w:rsidP="00B87ADF">
            <w:pPr>
              <w:spacing w:before="100" w:beforeAutospacing="1" w:after="100" w:afterAutospacing="1"/>
              <w:rPr>
                <w:b/>
                <w:bCs/>
              </w:rPr>
            </w:pPr>
            <w:r w:rsidRPr="00B436CC">
              <w:rPr>
                <w:b/>
                <w:bCs/>
              </w:rPr>
              <w:t xml:space="preserve">                                  </w:t>
            </w:r>
            <w:r w:rsidRPr="00B436CC">
              <w:rPr>
                <w:b/>
                <w:bCs/>
                <w:iCs/>
              </w:rPr>
              <w:t xml:space="preserve">Total Aggregate Mean </w:t>
            </w:r>
            <w:r w:rsidRPr="008D0A02">
              <w:rPr>
                <w:iCs/>
              </w:rPr>
              <w:t>=</w:t>
            </w:r>
            <w:r w:rsidR="00331EC9" w:rsidRPr="008D0A02">
              <w:rPr>
                <w:iCs/>
              </w:rPr>
              <w:t xml:space="preserve"> </w:t>
            </w:r>
            <w:r w:rsidR="00331EC9" w:rsidRPr="008D0A02">
              <w:rPr>
                <w:rStyle w:val="Strong"/>
              </w:rPr>
              <w:t>3.11</w:t>
            </w:r>
          </w:p>
        </w:tc>
      </w:tr>
    </w:tbl>
    <w:p w14:paraId="688EAFF9" w14:textId="0938041F" w:rsidR="00D05112" w:rsidRPr="00204637" w:rsidRDefault="00331EC9" w:rsidP="003C175E">
      <w:pPr>
        <w:pStyle w:val="NormalWeb"/>
        <w:spacing w:line="360" w:lineRule="auto"/>
        <w:jc w:val="both"/>
        <w:rPr>
          <w:lang w:val="en-NG" w:eastAsia="en-NG"/>
        </w:rPr>
      </w:pPr>
      <w:r w:rsidRPr="00331EC9">
        <w:rPr>
          <w:lang w:val="en-NG" w:eastAsia="en-NG"/>
        </w:rPr>
        <w:t>Table 6 presents the distribution of responses on the challenges faced by adult learners in participating in capacity-building programmes. The results show that all the identified challenges have mean scores above the benchmark of 2.50, with a total aggregate mean of 3.11, indicating that respondents generally perceive these factors as serious challenges.</w:t>
      </w:r>
      <w:r w:rsidR="005B58B7">
        <w:rPr>
          <w:lang w:eastAsia="en-NG"/>
        </w:rPr>
        <w:t xml:space="preserve"> </w:t>
      </w:r>
      <w:r w:rsidRPr="00331EC9">
        <w:rPr>
          <w:lang w:val="en-NG" w:eastAsia="en-NG"/>
        </w:rPr>
        <w:t xml:space="preserve">The most prominent challenge identified </w:t>
      </w:r>
      <w:r w:rsidRPr="007B71F8">
        <w:rPr>
          <w:lang w:val="en-NG" w:eastAsia="en-NG"/>
        </w:rPr>
        <w:t>is</w:t>
      </w:r>
      <w:r w:rsidRPr="00331EC9">
        <w:rPr>
          <w:lang w:val="en-NG" w:eastAsia="en-NG"/>
        </w:rPr>
        <w:t xml:space="preserve"> </w:t>
      </w:r>
      <w:r w:rsidRPr="007B71F8">
        <w:rPr>
          <w:lang w:val="en-NG" w:eastAsia="en-NG"/>
        </w:rPr>
        <w:t>lack of motivation or interest among adult learners,</w:t>
      </w:r>
      <w:r w:rsidRPr="00331EC9">
        <w:rPr>
          <w:lang w:val="en-NG" w:eastAsia="en-NG"/>
        </w:rPr>
        <w:t xml:space="preserve"> which recorded the highest mean score of </w:t>
      </w:r>
      <w:r w:rsidRPr="007B71F8">
        <w:rPr>
          <w:lang w:val="en-NG" w:eastAsia="en-NG"/>
        </w:rPr>
        <w:t>3.23</w:t>
      </w:r>
      <w:r w:rsidRPr="00331EC9">
        <w:rPr>
          <w:lang w:val="en-NG" w:eastAsia="en-NG"/>
        </w:rPr>
        <w:t xml:space="preserve"> with a standard deviation of </w:t>
      </w:r>
      <w:r w:rsidRPr="007B71F8">
        <w:rPr>
          <w:lang w:val="en-NG" w:eastAsia="en-NG"/>
        </w:rPr>
        <w:t>0.87</w:t>
      </w:r>
      <w:r w:rsidRPr="00331EC9">
        <w:rPr>
          <w:lang w:val="en-NG" w:eastAsia="en-NG"/>
        </w:rPr>
        <w:t>. This suggests a high level of agreement among respondents that motivational issues significantly hinder participation. It implies that even when opportunities exist, learners’ willingness and engagement remain critical concerns.</w:t>
      </w:r>
      <w:r w:rsidR="007B71F8">
        <w:rPr>
          <w:lang w:eastAsia="en-NG"/>
        </w:rPr>
        <w:t xml:space="preserve"> </w:t>
      </w:r>
      <w:r w:rsidRPr="00331EC9">
        <w:rPr>
          <w:lang w:val="en-NG" w:eastAsia="en-NG"/>
        </w:rPr>
        <w:t xml:space="preserve">Following this is </w:t>
      </w:r>
      <w:r w:rsidRPr="007B71F8">
        <w:rPr>
          <w:lang w:val="en-NG" w:eastAsia="en-NG"/>
        </w:rPr>
        <w:t>inconvenient scheduling of programmes</w:t>
      </w:r>
      <w:r w:rsidRPr="00331EC9">
        <w:rPr>
          <w:lang w:val="en-NG" w:eastAsia="en-NG"/>
        </w:rPr>
        <w:t xml:space="preserve"> (</w:t>
      </w:r>
      <w:r w:rsidRPr="007B71F8">
        <w:rPr>
          <w:lang w:val="en-NG" w:eastAsia="en-NG"/>
        </w:rPr>
        <w:t>3.16</w:t>
      </w:r>
      <w:r w:rsidRPr="00331EC9">
        <w:rPr>
          <w:lang w:val="en-NG" w:eastAsia="en-NG"/>
        </w:rPr>
        <w:t xml:space="preserve">), indicating that poorly planned programme timing does not align with the busy schedules of adult learners. This is further reinforced by </w:t>
      </w:r>
      <w:r w:rsidRPr="007B71F8">
        <w:rPr>
          <w:lang w:val="en-NG" w:eastAsia="en-NG"/>
        </w:rPr>
        <w:t>time constraints due to work and family responsibilities</w:t>
      </w:r>
      <w:r w:rsidRPr="00331EC9">
        <w:rPr>
          <w:lang w:val="en-NG" w:eastAsia="en-NG"/>
        </w:rPr>
        <w:t xml:space="preserve"> </w:t>
      </w:r>
      <w:r w:rsidRPr="005B58B7">
        <w:rPr>
          <w:lang w:val="en-NG" w:eastAsia="en-NG"/>
        </w:rPr>
        <w:t>3.09</w:t>
      </w:r>
      <w:r w:rsidRPr="00331EC9">
        <w:rPr>
          <w:lang w:val="en-NG" w:eastAsia="en-NG"/>
        </w:rPr>
        <w:t>), highlighting the competing demands on adult learners’ time.</w:t>
      </w:r>
      <w:r w:rsidR="005B58B7">
        <w:rPr>
          <w:lang w:eastAsia="en-NG"/>
        </w:rPr>
        <w:t xml:space="preserve"> </w:t>
      </w:r>
      <w:r w:rsidRPr="005B58B7">
        <w:rPr>
          <w:lang w:val="en-NG" w:eastAsia="en-NG"/>
        </w:rPr>
        <w:t>Cultural or language barriers</w:t>
      </w:r>
      <w:r w:rsidRPr="00331EC9">
        <w:rPr>
          <w:lang w:val="en-NG" w:eastAsia="en-NG"/>
        </w:rPr>
        <w:t xml:space="preserve"> (</w:t>
      </w:r>
      <w:r w:rsidRPr="005B58B7">
        <w:rPr>
          <w:lang w:val="en-NG" w:eastAsia="en-NG"/>
        </w:rPr>
        <w:t>3.13</w:t>
      </w:r>
      <w:r w:rsidRPr="00331EC9">
        <w:rPr>
          <w:lang w:val="en-NG" w:eastAsia="en-NG"/>
        </w:rPr>
        <w:t xml:space="preserve">) also rank highly, suggesting that diversity in language and cultural backgrounds may limit effective participation. In addition, </w:t>
      </w:r>
      <w:r w:rsidRPr="005B58B7">
        <w:rPr>
          <w:lang w:val="en-NG" w:eastAsia="en-NG"/>
        </w:rPr>
        <w:t>poor internet connectivity</w:t>
      </w:r>
      <w:r w:rsidRPr="00331EC9">
        <w:rPr>
          <w:lang w:val="en-NG" w:eastAsia="en-NG"/>
        </w:rPr>
        <w:t xml:space="preserve"> (</w:t>
      </w:r>
      <w:r w:rsidRPr="005B58B7">
        <w:rPr>
          <w:lang w:val="en-NG" w:eastAsia="en-NG"/>
        </w:rPr>
        <w:t>3.11</w:t>
      </w:r>
      <w:r w:rsidRPr="00331EC9">
        <w:rPr>
          <w:lang w:val="en-NG" w:eastAsia="en-NG"/>
        </w:rPr>
        <w:t xml:space="preserve">) reflects infrastructural challenges, particularly </w:t>
      </w:r>
      <w:r w:rsidRPr="00331EC9">
        <w:rPr>
          <w:lang w:val="en-NG" w:eastAsia="en-NG"/>
        </w:rPr>
        <w:lastRenderedPageBreak/>
        <w:t>affecting participation in online or blended learning environments.</w:t>
      </w:r>
      <w:r w:rsidR="005B58B7">
        <w:rPr>
          <w:lang w:eastAsia="en-NG"/>
        </w:rPr>
        <w:t xml:space="preserve"> </w:t>
      </w:r>
      <w:r w:rsidRPr="00331EC9">
        <w:rPr>
          <w:lang w:val="en-NG" w:eastAsia="en-NG"/>
        </w:rPr>
        <w:t xml:space="preserve">Economic and institutional factors were also identified as significant barriers. </w:t>
      </w:r>
      <w:r w:rsidRPr="005B58B7">
        <w:rPr>
          <w:lang w:val="en-NG" w:eastAsia="en-NG"/>
        </w:rPr>
        <w:t>Financial constraints and cost of participation</w:t>
      </w:r>
      <w:r w:rsidRPr="00331EC9">
        <w:rPr>
          <w:lang w:val="en-NG" w:eastAsia="en-NG"/>
        </w:rPr>
        <w:t xml:space="preserve"> (</w:t>
      </w:r>
      <w:r w:rsidRPr="005B58B7">
        <w:rPr>
          <w:lang w:val="en-NG" w:eastAsia="en-NG"/>
        </w:rPr>
        <w:t>3.10</w:t>
      </w:r>
      <w:r w:rsidRPr="00331EC9">
        <w:rPr>
          <w:lang w:val="en-NG" w:eastAsia="en-NG"/>
        </w:rPr>
        <w:t xml:space="preserve">) indicate that affordability remains a key issue, while </w:t>
      </w:r>
      <w:r w:rsidRPr="005B58B7">
        <w:rPr>
          <w:lang w:val="en-NG" w:eastAsia="en-NG"/>
        </w:rPr>
        <w:t>inadequate number of trained facilitators</w:t>
      </w:r>
      <w:r w:rsidRPr="00331EC9">
        <w:rPr>
          <w:lang w:val="en-NG" w:eastAsia="en-NG"/>
        </w:rPr>
        <w:t xml:space="preserve"> (</w:t>
      </w:r>
      <w:r w:rsidRPr="005B58B7">
        <w:rPr>
          <w:lang w:val="en-NG" w:eastAsia="en-NG"/>
        </w:rPr>
        <w:t>3.10</w:t>
      </w:r>
      <w:r w:rsidRPr="00331EC9">
        <w:rPr>
          <w:lang w:val="en-NG" w:eastAsia="en-NG"/>
        </w:rPr>
        <w:t xml:space="preserve">) points to human resource limitations in programme delivery. Similarly, </w:t>
      </w:r>
      <w:r w:rsidRPr="005B58B7">
        <w:rPr>
          <w:lang w:val="en-NG" w:eastAsia="en-NG"/>
        </w:rPr>
        <w:t>limited access to training venues and facilities</w:t>
      </w:r>
      <w:r w:rsidRPr="00331EC9">
        <w:rPr>
          <w:lang w:val="en-NG" w:eastAsia="en-NG"/>
        </w:rPr>
        <w:t xml:space="preserve"> (</w:t>
      </w:r>
      <w:r w:rsidRPr="005B58B7">
        <w:rPr>
          <w:lang w:val="en-NG" w:eastAsia="en-NG"/>
        </w:rPr>
        <w:t>3.07</w:t>
      </w:r>
      <w:r w:rsidRPr="00331EC9">
        <w:rPr>
          <w:lang w:val="en-NG" w:eastAsia="en-NG"/>
        </w:rPr>
        <w:t>) suggests logistical challenges that restrict participation.</w:t>
      </w:r>
      <w:r w:rsidR="005B58B7">
        <w:rPr>
          <w:lang w:eastAsia="en-NG"/>
        </w:rPr>
        <w:t xml:space="preserve"> </w:t>
      </w:r>
      <w:r w:rsidRPr="00331EC9">
        <w:rPr>
          <w:lang w:val="en-NG" w:eastAsia="en-NG"/>
        </w:rPr>
        <w:t xml:space="preserve">The least ranked challenges, though still considered serious, are </w:t>
      </w:r>
      <w:r w:rsidRPr="005B58B7">
        <w:rPr>
          <w:lang w:val="en-NG" w:eastAsia="en-NG"/>
        </w:rPr>
        <w:t>inadequate information about available programmes and insufficient institutional support,</w:t>
      </w:r>
      <w:r w:rsidRPr="00331EC9">
        <w:rPr>
          <w:lang w:val="en-NG" w:eastAsia="en-NG"/>
        </w:rPr>
        <w:t xml:space="preserve"> both with mean scores of </w:t>
      </w:r>
      <w:r w:rsidRPr="005B58B7">
        <w:rPr>
          <w:lang w:val="en-NG" w:eastAsia="en-NG"/>
        </w:rPr>
        <w:t>3.05</w:t>
      </w:r>
      <w:r w:rsidRPr="00331EC9">
        <w:rPr>
          <w:lang w:val="en-NG" w:eastAsia="en-NG"/>
        </w:rPr>
        <w:t>. Despite their lower ranking, their mean values still exceed the acceptable threshold, indicating that gaps in awareness and institutional backing persist.</w:t>
      </w:r>
      <w:r w:rsidR="005B58B7">
        <w:rPr>
          <w:lang w:eastAsia="en-NG"/>
        </w:rPr>
        <w:t xml:space="preserve"> </w:t>
      </w:r>
      <w:r w:rsidRPr="00331EC9">
        <w:rPr>
          <w:lang w:val="en-NG" w:eastAsia="en-NG"/>
        </w:rPr>
        <w:t xml:space="preserve">The standard deviation values, ranging from </w:t>
      </w:r>
      <w:r w:rsidRPr="005B58B7">
        <w:rPr>
          <w:lang w:val="en-NG" w:eastAsia="en-NG"/>
        </w:rPr>
        <w:t>0.87 to 0.99</w:t>
      </w:r>
      <w:r w:rsidRPr="00331EC9">
        <w:rPr>
          <w:lang w:val="en-NG" w:eastAsia="en-NG"/>
        </w:rPr>
        <w:t xml:space="preserve">, show a relatively low spread of responses, implying </w:t>
      </w:r>
      <w:r w:rsidRPr="005B58B7">
        <w:rPr>
          <w:lang w:val="en-NG" w:eastAsia="en-NG"/>
        </w:rPr>
        <w:t>a moderate to high level of consensus</w:t>
      </w:r>
      <w:r w:rsidRPr="00331EC9">
        <w:rPr>
          <w:lang w:val="en-NG" w:eastAsia="en-NG"/>
        </w:rPr>
        <w:t xml:space="preserve"> among respondents regarding these challenges.</w:t>
      </w:r>
      <w:r w:rsidR="00D05112">
        <w:rPr>
          <w:lang w:eastAsia="en-NG"/>
        </w:rPr>
        <w:t xml:space="preserve"> This is corroborated </w:t>
      </w:r>
      <w:r w:rsidR="00BF19A0">
        <w:rPr>
          <w:lang w:eastAsia="en-NG"/>
        </w:rPr>
        <w:t xml:space="preserve">with </w:t>
      </w:r>
      <w:r w:rsidR="00BF19A0" w:rsidRPr="009F1DD9">
        <w:rPr>
          <w:lang w:val="en-NG" w:eastAsia="en-NG"/>
        </w:rPr>
        <w:t>Oyetola</w:t>
      </w:r>
      <w:r w:rsidR="00D05112">
        <w:rPr>
          <w:lang w:eastAsia="en-NG"/>
        </w:rPr>
        <w:t xml:space="preserve"> </w:t>
      </w:r>
      <w:r w:rsidR="00D05112" w:rsidRPr="009F1DD9">
        <w:rPr>
          <w:lang w:val="en-NG" w:eastAsia="en-NG"/>
        </w:rPr>
        <w:t xml:space="preserve">(2022) </w:t>
      </w:r>
      <w:r w:rsidR="00D05112">
        <w:rPr>
          <w:lang w:eastAsia="en-NG"/>
        </w:rPr>
        <w:t xml:space="preserve">that </w:t>
      </w:r>
      <w:r w:rsidR="00D05112" w:rsidRPr="009F1DD9">
        <w:rPr>
          <w:lang w:val="en-NG" w:eastAsia="en-NG"/>
        </w:rPr>
        <w:t>found that lack of motivation, inadequate awareness, and competing family and work responsibilities are major barriers to adult participation in educational and capacity-building programmes. The study emphasized that many adult learners prioritize income-generating activities over training opportunities unless strong incentives are present, which supports the present finding that lack of motivation is the most significant challenge.</w:t>
      </w:r>
      <w:r w:rsidR="00D05112">
        <w:rPr>
          <w:lang w:eastAsia="en-NG"/>
        </w:rPr>
        <w:t xml:space="preserve"> </w:t>
      </w:r>
      <w:r w:rsidR="00D05112" w:rsidRPr="009F1DD9">
        <w:rPr>
          <w:lang w:val="en-NG" w:eastAsia="en-NG"/>
        </w:rPr>
        <w:t>Similarly, Chukwu, Okengwu</w:t>
      </w:r>
      <w:r w:rsidR="00D05112">
        <w:rPr>
          <w:lang w:eastAsia="en-NG"/>
        </w:rPr>
        <w:t xml:space="preserve"> </w:t>
      </w:r>
      <w:r w:rsidR="00D05112" w:rsidRPr="009F1DD9">
        <w:rPr>
          <w:lang w:val="en-NG" w:eastAsia="en-NG"/>
        </w:rPr>
        <w:t>and Ezepue (2024) reported that time constraints due to work and family obligations significantly reduce adult learners’ participation in continuing education programmes. Their findings align with the present study, which identified time pressure and inconvenient scheduling as key barriers.</w:t>
      </w:r>
    </w:p>
    <w:p w14:paraId="3B8FC03E" w14:textId="6495F96D" w:rsidR="008F387B" w:rsidRPr="003B3730" w:rsidRDefault="003B3730" w:rsidP="003C175E">
      <w:pPr>
        <w:pStyle w:val="NormalWeb"/>
        <w:spacing w:line="360" w:lineRule="auto"/>
        <w:jc w:val="both"/>
        <w:rPr>
          <w:b/>
          <w:bCs/>
        </w:rPr>
      </w:pPr>
      <w:r w:rsidRPr="003B3730">
        <w:rPr>
          <w:b/>
          <w:bCs/>
        </w:rPr>
        <w:t>Conclusion</w:t>
      </w:r>
    </w:p>
    <w:p w14:paraId="73260BF8" w14:textId="3FDDDE0F" w:rsidR="00D05112" w:rsidRPr="003D7914" w:rsidRDefault="008F387B" w:rsidP="003D7914">
      <w:pPr>
        <w:pStyle w:val="NormalWeb"/>
        <w:spacing w:line="360" w:lineRule="auto"/>
        <w:jc w:val="both"/>
      </w:pPr>
      <w:r>
        <w:t xml:space="preserve">This study examined the availability, participation, impact, contribution and challenges of adult capacity-building programmes among adult learners at </w:t>
      </w:r>
      <w:r>
        <w:rPr>
          <w:rStyle w:val="whitespace-normal"/>
        </w:rPr>
        <w:t>Obafemi Awolowo University</w:t>
      </w:r>
      <w:r>
        <w:t xml:space="preserve">. The study concludes that adult capacity-building programmes are </w:t>
      </w:r>
      <w:r w:rsidRPr="003C175E">
        <w:rPr>
          <w:rStyle w:val="Strong"/>
          <w:b w:val="0"/>
          <w:bCs w:val="0"/>
        </w:rPr>
        <w:t>generally available and fairly</w:t>
      </w:r>
      <w:r>
        <w:rPr>
          <w:rStyle w:val="Strong"/>
        </w:rPr>
        <w:t xml:space="preserve"> </w:t>
      </w:r>
      <w:r w:rsidRPr="00A27096">
        <w:rPr>
          <w:rStyle w:val="Strong"/>
          <w:b w:val="0"/>
          <w:bCs w:val="0"/>
        </w:rPr>
        <w:t>accessible</w:t>
      </w:r>
      <w:r w:rsidRPr="00A27096">
        <w:rPr>
          <w:b/>
          <w:bCs/>
        </w:rPr>
        <w:t xml:space="preserve"> </w:t>
      </w:r>
      <w:r>
        <w:t xml:space="preserve">within the university, particularly in areas related to continuing education, professional certification, and vocational training. This reflects the institution’s commitment to lifelong learning and skill development. However, the availability of programmes is </w:t>
      </w:r>
      <w:r w:rsidRPr="003C175E">
        <w:rPr>
          <w:rStyle w:val="Strong"/>
          <w:b w:val="0"/>
          <w:bCs w:val="0"/>
        </w:rPr>
        <w:t xml:space="preserve">not </w:t>
      </w:r>
      <w:r w:rsidR="00334913">
        <w:rPr>
          <w:rStyle w:val="Strong"/>
          <w:b w:val="0"/>
          <w:bCs w:val="0"/>
        </w:rPr>
        <w:t>equally</w:t>
      </w:r>
      <w:r>
        <w:rPr>
          <w:rStyle w:val="Strong"/>
        </w:rPr>
        <w:t xml:space="preserve"> </w:t>
      </w:r>
      <w:r w:rsidRPr="003C175E">
        <w:rPr>
          <w:rStyle w:val="Strong"/>
          <w:b w:val="0"/>
          <w:bCs w:val="0"/>
        </w:rPr>
        <w:t>distributed</w:t>
      </w:r>
      <w:r>
        <w:t>, as areas such as leadership development and financial literacy receive comparatively less attention.</w:t>
      </w:r>
      <w:r w:rsidR="003C175E">
        <w:t xml:space="preserve"> </w:t>
      </w:r>
      <w:r>
        <w:t xml:space="preserve">Furthermore, the study establishes that adult learners’ participation in these programmes is </w:t>
      </w:r>
      <w:r w:rsidRPr="003C175E">
        <w:rPr>
          <w:rStyle w:val="Strong"/>
          <w:b w:val="0"/>
          <w:bCs w:val="0"/>
        </w:rPr>
        <w:t>moderately high but not optimal</w:t>
      </w:r>
      <w:r>
        <w:t xml:space="preserve">. Participation tends to be stronger in programmes that offer direct </w:t>
      </w:r>
      <w:r>
        <w:lastRenderedPageBreak/>
        <w:t>academic or economic benefits, while engagement in leadership and personal development programmes remains relatively low.</w:t>
      </w:r>
      <w:r w:rsidR="003C175E">
        <w:t xml:space="preserve"> </w:t>
      </w:r>
      <w:r>
        <w:t xml:space="preserve">In terms of impact, the study reveals that capacity-building programmes </w:t>
      </w:r>
      <w:r w:rsidRPr="00A27096">
        <w:rPr>
          <w:rStyle w:val="Strong"/>
          <w:b w:val="0"/>
          <w:bCs w:val="0"/>
        </w:rPr>
        <w:t>significantly enhance learners’ knowledge and skills in conflict resolution</w:t>
      </w:r>
      <w:r>
        <w:t>, particularly in communication, mediation, and overall conflict management competence. This demonstrates the effectiveness of such programmes in developing essential interpersonal and social skills needed for peaceful coexistence.</w:t>
      </w:r>
      <w:r w:rsidR="00A27096">
        <w:t xml:space="preserve"> </w:t>
      </w:r>
      <w:r>
        <w:t xml:space="preserve">Additionally, the study concludes that these programmes contribute </w:t>
      </w:r>
      <w:r w:rsidRPr="00A27096">
        <w:rPr>
          <w:rStyle w:val="Strong"/>
          <w:b w:val="0"/>
          <w:bCs w:val="0"/>
        </w:rPr>
        <w:t>meaningfully to community development</w:t>
      </w:r>
      <w:r w:rsidRPr="00A27096">
        <w:rPr>
          <w:b/>
          <w:bCs/>
        </w:rPr>
        <w:t>,</w:t>
      </w:r>
      <w:r>
        <w:t xml:space="preserve"> especially by improving awareness of societal issues, strengthening problem-solving abilities, and promoting peaceful coexistence. However, their contribution to areas such as volunteerism, entrepreneurship</w:t>
      </w:r>
      <w:r w:rsidR="00C86079">
        <w:t xml:space="preserve"> </w:t>
      </w:r>
      <w:r>
        <w:t>and the initiation of community-based projects is relatively weaker, indicating the need for more targeted interventions in these domains.</w:t>
      </w:r>
      <w:r w:rsidR="00A27096">
        <w:t xml:space="preserve"> </w:t>
      </w:r>
      <w:r>
        <w:t xml:space="preserve">Despite these positive outcomes, the study identifies several </w:t>
      </w:r>
      <w:r w:rsidRPr="00A27096">
        <w:rPr>
          <w:rStyle w:val="Strong"/>
          <w:b w:val="0"/>
          <w:bCs w:val="0"/>
        </w:rPr>
        <w:t>critical challenges</w:t>
      </w:r>
      <w:r>
        <w:t xml:space="preserve"> that hinder effective participation. These include time constraints due to work and family responsibilities, financial limitations, poor internet connectivity, lack of motivation, inadequate facilitators, and insufficient institutional support. These barriers highlight structural, personal, and systemic issues that must be addressed to maximize the benefits of capacity-building programmes.</w:t>
      </w:r>
      <w:r w:rsidR="00A27096">
        <w:t xml:space="preserve"> </w:t>
      </w:r>
      <w:r w:rsidR="00334913">
        <w:t>In a whole</w:t>
      </w:r>
      <w:r>
        <w:t xml:space="preserve">, the study concludes that while adult capacity-building programmes at the university are impactful and relevant, </w:t>
      </w:r>
      <w:r w:rsidRPr="00A27096">
        <w:rPr>
          <w:rStyle w:val="Strong"/>
          <w:b w:val="0"/>
          <w:bCs w:val="0"/>
        </w:rPr>
        <w:t>their full potential is constrained by participation gaps and operational challenges</w:t>
      </w:r>
      <w:r w:rsidRPr="00A27096">
        <w:rPr>
          <w:b/>
          <w:bCs/>
        </w:rPr>
        <w:t xml:space="preserve">. </w:t>
      </w:r>
      <w:r>
        <w:t>Addressing these limitations through improved programme design, better support systems and enhanced inclusivity will significantly strengthen their effectiveness in achieving sustainable learning outcomes and community development.</w:t>
      </w:r>
    </w:p>
    <w:p w14:paraId="2457B3D1" w14:textId="4501DA71" w:rsidR="008F387B" w:rsidRPr="00614680" w:rsidRDefault="00614680" w:rsidP="00A27096">
      <w:pPr>
        <w:pStyle w:val="NormalWeb"/>
        <w:rPr>
          <w:b/>
          <w:bCs/>
        </w:rPr>
      </w:pPr>
      <w:r w:rsidRPr="00614680">
        <w:rPr>
          <w:b/>
          <w:bCs/>
        </w:rPr>
        <w:t xml:space="preserve">Recommendations </w:t>
      </w:r>
    </w:p>
    <w:p w14:paraId="6CE33CAA" w14:textId="77777777" w:rsidR="00614680" w:rsidRDefault="008F387B" w:rsidP="003B3730">
      <w:pPr>
        <w:pStyle w:val="NormalWeb"/>
        <w:spacing w:line="360" w:lineRule="auto"/>
      </w:pPr>
      <w:r>
        <w:t>Based on the findings of the study</w:t>
      </w:r>
      <w:r w:rsidR="00A27096">
        <w:t xml:space="preserve">, </w:t>
      </w:r>
      <w:r>
        <w:t>the following recommendations are made:</w:t>
      </w:r>
    </w:p>
    <w:p w14:paraId="2F0502AB" w14:textId="77777777" w:rsidR="00614680" w:rsidRDefault="00614680" w:rsidP="003B3730">
      <w:pPr>
        <w:pStyle w:val="NormalWeb"/>
        <w:numPr>
          <w:ilvl w:val="1"/>
          <w:numId w:val="1"/>
        </w:numPr>
        <w:spacing w:line="360" w:lineRule="auto"/>
        <w:jc w:val="both"/>
      </w:pPr>
      <w:r>
        <w:t>U</w:t>
      </w:r>
      <w:r w:rsidR="008F387B">
        <w:t xml:space="preserve">niversity should </w:t>
      </w:r>
      <w:r w:rsidR="008F387B" w:rsidRPr="00A27096">
        <w:rPr>
          <w:rStyle w:val="Strong"/>
          <w:b w:val="0"/>
          <w:bCs w:val="0"/>
        </w:rPr>
        <w:t>expand and balance the range of adult capacity-building programmes</w:t>
      </w:r>
      <w:r w:rsidR="008F387B" w:rsidRPr="00A27096">
        <w:rPr>
          <w:b/>
          <w:bCs/>
        </w:rPr>
        <w:t>.</w:t>
      </w:r>
      <w:r w:rsidR="008F387B">
        <w:t xml:space="preserve"> Special attention should be given to underrepresented areas such as </w:t>
      </w:r>
      <w:r w:rsidR="008F387B" w:rsidRPr="00A27096">
        <w:rPr>
          <w:rStyle w:val="Strong"/>
          <w:b w:val="0"/>
          <w:bCs w:val="0"/>
        </w:rPr>
        <w:t>leadership development, financial literacy, and personal development programmes</w:t>
      </w:r>
      <w:r w:rsidR="008F387B">
        <w:t xml:space="preserve"> to ensure holistic adult learning opportunities.</w:t>
      </w:r>
    </w:p>
    <w:p w14:paraId="4C0675E5" w14:textId="77777777" w:rsidR="00614680" w:rsidRDefault="00614680" w:rsidP="003B3730">
      <w:pPr>
        <w:pStyle w:val="NormalWeb"/>
        <w:numPr>
          <w:ilvl w:val="1"/>
          <w:numId w:val="1"/>
        </w:numPr>
        <w:spacing w:line="360" w:lineRule="auto"/>
        <w:jc w:val="both"/>
      </w:pPr>
      <w:r>
        <w:t>T</w:t>
      </w:r>
      <w:r w:rsidR="008F387B">
        <w:t xml:space="preserve">he university should introduce </w:t>
      </w:r>
      <w:r w:rsidR="008F387B" w:rsidRPr="00614680">
        <w:rPr>
          <w:rStyle w:val="Strong"/>
          <w:b w:val="0"/>
          <w:bCs w:val="0"/>
        </w:rPr>
        <w:t>flexible programme delivery methods</w:t>
      </w:r>
      <w:r w:rsidR="008F387B">
        <w:t xml:space="preserve">, such as weekend classes, evening sessions, and blended/online learning options. This will help reduce the </w:t>
      </w:r>
      <w:r w:rsidR="008F387B">
        <w:lastRenderedPageBreak/>
        <w:t>impact of time constraints and improve engagement in low-participation areas such as leadership and financial literacy programmes.</w:t>
      </w:r>
    </w:p>
    <w:p w14:paraId="52A2B95C" w14:textId="77777777" w:rsidR="00614680" w:rsidRDefault="008F387B" w:rsidP="003B3730">
      <w:pPr>
        <w:pStyle w:val="NormalWeb"/>
        <w:numPr>
          <w:ilvl w:val="1"/>
          <w:numId w:val="1"/>
        </w:numPr>
        <w:spacing w:line="360" w:lineRule="auto"/>
        <w:jc w:val="both"/>
      </w:pPr>
      <w:r>
        <w:t xml:space="preserve">the university should </w:t>
      </w:r>
      <w:r w:rsidRPr="00614680">
        <w:rPr>
          <w:rStyle w:val="Strong"/>
          <w:b w:val="0"/>
          <w:bCs w:val="0"/>
        </w:rPr>
        <w:t>strengthen training content in negotiation, conflict analysis, and interpersonal communication</w:t>
      </w:r>
      <w:r>
        <w:t>. More practical, simulation-based training and workshops should also be introduced to deepen learners’ competencies in conflict management.</w:t>
      </w:r>
    </w:p>
    <w:p w14:paraId="504AE597" w14:textId="77777777" w:rsidR="00614680" w:rsidRDefault="00614680" w:rsidP="003B3730">
      <w:pPr>
        <w:pStyle w:val="NormalWeb"/>
        <w:numPr>
          <w:ilvl w:val="1"/>
          <w:numId w:val="1"/>
        </w:numPr>
        <w:spacing w:line="360" w:lineRule="auto"/>
        <w:jc w:val="both"/>
      </w:pPr>
      <w:r>
        <w:t>T</w:t>
      </w:r>
      <w:r w:rsidR="008F387B">
        <w:t xml:space="preserve">he university should </w:t>
      </w:r>
      <w:r w:rsidR="008F387B" w:rsidRPr="00614680">
        <w:rPr>
          <w:rStyle w:val="Strong"/>
          <w:b w:val="0"/>
          <w:bCs w:val="0"/>
        </w:rPr>
        <w:t>strengthen entrepreneurship training, volunteerism, and community-based project initiatives</w:t>
      </w:r>
      <w:r w:rsidR="008F387B">
        <w:t>. Collaboration between the university and host communities should also be improved to ensure greater real-life impact of training programmes.</w:t>
      </w:r>
    </w:p>
    <w:p w14:paraId="43B4262E" w14:textId="2F027515" w:rsidR="003B3730" w:rsidRPr="00C854E7" w:rsidRDefault="00614680" w:rsidP="0060628E">
      <w:pPr>
        <w:pStyle w:val="NormalWeb"/>
        <w:numPr>
          <w:ilvl w:val="1"/>
          <w:numId w:val="1"/>
        </w:numPr>
        <w:spacing w:line="360" w:lineRule="auto"/>
        <w:jc w:val="both"/>
      </w:pPr>
      <w:r>
        <w:t>T</w:t>
      </w:r>
      <w:r w:rsidR="008F387B">
        <w:t>he university should</w:t>
      </w:r>
      <w:r>
        <w:t xml:space="preserve"> i</w:t>
      </w:r>
      <w:r w:rsidR="008F387B">
        <w:t xml:space="preserve">mprove </w:t>
      </w:r>
      <w:r w:rsidR="008F387B" w:rsidRPr="00614680">
        <w:rPr>
          <w:rStyle w:val="Strong"/>
          <w:b w:val="0"/>
          <w:bCs w:val="0"/>
        </w:rPr>
        <w:t>programme scheduling</w:t>
      </w:r>
      <w:r w:rsidR="008F387B">
        <w:t xml:space="preserve"> to suit adult learners’ availability</w:t>
      </w:r>
      <w:r>
        <w:t>, p</w:t>
      </w:r>
      <w:r w:rsidR="008F387B">
        <w:t xml:space="preserve">rovide </w:t>
      </w:r>
      <w:r w:rsidR="008F387B" w:rsidRPr="00614680">
        <w:rPr>
          <w:rStyle w:val="Strong"/>
          <w:b w:val="0"/>
          <w:bCs w:val="0"/>
        </w:rPr>
        <w:t>financial support or subsidized</w:t>
      </w:r>
      <w:r w:rsidR="008F387B">
        <w:rPr>
          <w:rStyle w:val="Strong"/>
        </w:rPr>
        <w:t xml:space="preserve"> </w:t>
      </w:r>
      <w:r w:rsidR="008F387B" w:rsidRPr="00E459D6">
        <w:rPr>
          <w:rStyle w:val="Strong"/>
          <w:b w:val="0"/>
          <w:bCs w:val="0"/>
        </w:rPr>
        <w:t>fees</w:t>
      </w:r>
      <w:r w:rsidR="008F387B">
        <w:t xml:space="preserve"> to reduce cost barriers</w:t>
      </w:r>
      <w:r>
        <w:t xml:space="preserve">, </w:t>
      </w:r>
      <w:r w:rsidR="00E459D6">
        <w:t>s</w:t>
      </w:r>
      <w:r w:rsidR="008F387B">
        <w:t xml:space="preserve">trengthen </w:t>
      </w:r>
      <w:r w:rsidR="008F387B" w:rsidRPr="00E459D6">
        <w:rPr>
          <w:rStyle w:val="Strong"/>
          <w:b w:val="0"/>
          <w:bCs w:val="0"/>
        </w:rPr>
        <w:t>internet and ICT infrastructure</w:t>
      </w:r>
      <w:r w:rsidR="008F387B">
        <w:t xml:space="preserve"> for online learning</w:t>
      </w:r>
      <w:r w:rsidR="00E459D6">
        <w:t>, i</w:t>
      </w:r>
      <w:r w:rsidR="008F387B">
        <w:t xml:space="preserve">ncrease </w:t>
      </w:r>
      <w:r w:rsidR="008F387B" w:rsidRPr="00E459D6">
        <w:rPr>
          <w:rStyle w:val="Strong"/>
          <w:b w:val="0"/>
          <w:bCs w:val="0"/>
        </w:rPr>
        <w:t>awareness and information dissemination</w:t>
      </w:r>
      <w:r w:rsidR="008F387B">
        <w:t xml:space="preserve"> about available programmes</w:t>
      </w:r>
      <w:r w:rsidR="00E459D6">
        <w:t>, t</w:t>
      </w:r>
      <w:r w:rsidR="008F387B">
        <w:t xml:space="preserve">rain and increase the number of </w:t>
      </w:r>
      <w:r w:rsidR="008F387B" w:rsidRPr="00E459D6">
        <w:rPr>
          <w:rStyle w:val="Strong"/>
          <w:b w:val="0"/>
          <w:bCs w:val="0"/>
        </w:rPr>
        <w:t>qualified facilitators</w:t>
      </w:r>
      <w:r w:rsidR="00E459D6">
        <w:t xml:space="preserve"> and p</w:t>
      </w:r>
      <w:r w:rsidR="008F387B">
        <w:t xml:space="preserve">rovide stronger </w:t>
      </w:r>
      <w:r w:rsidR="008F387B" w:rsidRPr="00E459D6">
        <w:rPr>
          <w:rStyle w:val="Strong"/>
          <w:b w:val="0"/>
          <w:bCs w:val="0"/>
        </w:rPr>
        <w:t>institutional support systems</w:t>
      </w:r>
      <w:r w:rsidR="008F387B">
        <w:t xml:space="preserve"> for adult learners</w:t>
      </w:r>
    </w:p>
    <w:p w14:paraId="1213DDFE" w14:textId="2735A887" w:rsidR="004947A6" w:rsidRDefault="004947A6">
      <w:pPr>
        <w:rPr>
          <w:b/>
        </w:rPr>
      </w:pPr>
      <w:r>
        <w:rPr>
          <w:b/>
        </w:rPr>
        <w:t>References</w:t>
      </w:r>
    </w:p>
    <w:p w14:paraId="508F1144" w14:textId="77777777" w:rsidR="00334913" w:rsidRPr="00A51F45" w:rsidRDefault="00334913">
      <w:pPr>
        <w:rPr>
          <w:b/>
        </w:rPr>
      </w:pPr>
    </w:p>
    <w:p w14:paraId="15EF1BFC" w14:textId="77777777" w:rsidR="004947A6" w:rsidRDefault="004947A6" w:rsidP="00334913">
      <w:pPr>
        <w:pStyle w:val="NormalWeb"/>
        <w:spacing w:before="0" w:beforeAutospacing="0" w:after="0" w:afterAutospacing="0"/>
        <w:rPr>
          <w:rStyle w:val="Emphasis"/>
          <w:rFonts w:eastAsiaTheme="majorEastAsia"/>
        </w:rPr>
      </w:pPr>
      <w:r>
        <w:t xml:space="preserve">Abba, M., &amp; Haruna, K. (2023). </w:t>
      </w:r>
      <w:r>
        <w:rPr>
          <w:rStyle w:val="Emphasis"/>
          <w:rFonts w:eastAsiaTheme="majorEastAsia"/>
        </w:rPr>
        <w:t xml:space="preserve">Community-based peace education for youths and adults: A </w:t>
      </w:r>
    </w:p>
    <w:p w14:paraId="1F3814C5" w14:textId="203E6D2D" w:rsidR="004947A6" w:rsidRDefault="004947A6" w:rsidP="00334913">
      <w:pPr>
        <w:pStyle w:val="NormalWeb"/>
        <w:spacing w:before="0" w:beforeAutospacing="0" w:after="0" w:afterAutospacing="0"/>
        <w:ind w:left="720"/>
      </w:pPr>
      <w:r>
        <w:rPr>
          <w:rStyle w:val="Emphasis"/>
          <w:rFonts w:eastAsiaTheme="majorEastAsia"/>
        </w:rPr>
        <w:t>panacea for conflict prevention and peace building in Nigeria.</w:t>
      </w:r>
      <w:r>
        <w:t xml:space="preserve"> </w:t>
      </w:r>
      <w:r>
        <w:rPr>
          <w:rStyle w:val="Emphasis"/>
          <w:rFonts w:eastAsiaTheme="majorEastAsia"/>
        </w:rPr>
        <w:t>International Journal of Social Science, Humanities &amp; Research, 6</w:t>
      </w:r>
      <w:r>
        <w:t xml:space="preserve">(5), 1–9. </w:t>
      </w:r>
      <w:hyperlink r:id="rId9" w:history="1">
        <w:r w:rsidRPr="000641A7">
          <w:rPr>
            <w:rStyle w:val="Hyperlink"/>
          </w:rPr>
          <w:t>https://doi.org/10.47191/ijsshr/v6-i5-09</w:t>
        </w:r>
      </w:hyperlink>
    </w:p>
    <w:p w14:paraId="60EB8C81" w14:textId="77777777" w:rsidR="004947A6" w:rsidRDefault="004947A6" w:rsidP="00334913">
      <w:pPr>
        <w:pStyle w:val="NormalWeb"/>
        <w:spacing w:before="0" w:beforeAutospacing="0" w:after="0" w:afterAutospacing="0"/>
        <w:rPr>
          <w:rStyle w:val="Emphasis"/>
          <w:rFonts w:eastAsiaTheme="majorEastAsia"/>
        </w:rPr>
      </w:pPr>
      <w:r>
        <w:t>Abubakar, Y., Musyoka</w:t>
      </w:r>
      <w:r>
        <w:noBreakHyphen/>
        <w:t xml:space="preserve">Kamere, I., &amp; Nyambura, S. (2022). </w:t>
      </w:r>
      <w:r>
        <w:rPr>
          <w:rStyle w:val="Emphasis"/>
          <w:rFonts w:eastAsiaTheme="majorEastAsia"/>
        </w:rPr>
        <w:t xml:space="preserve">Incorporating peace and conflict </w:t>
      </w:r>
    </w:p>
    <w:p w14:paraId="45818595" w14:textId="111154B6" w:rsidR="004947A6" w:rsidRDefault="004947A6" w:rsidP="00334913">
      <w:pPr>
        <w:pStyle w:val="NormalWeb"/>
        <w:spacing w:before="0" w:beforeAutospacing="0" w:after="0" w:afterAutospacing="0"/>
        <w:ind w:left="720"/>
      </w:pPr>
      <w:r>
        <w:rPr>
          <w:rStyle w:val="Emphasis"/>
          <w:rFonts w:eastAsiaTheme="majorEastAsia"/>
        </w:rPr>
        <w:t>resolution studies in adult basic literacy curriculum as a strategy in curtailing insecurity in Bauchi State, Nigeria.</w:t>
      </w:r>
      <w:r>
        <w:t xml:space="preserve"> </w:t>
      </w:r>
      <w:r>
        <w:rPr>
          <w:rStyle w:val="Emphasis"/>
          <w:rFonts w:eastAsiaTheme="majorEastAsia"/>
        </w:rPr>
        <w:t>Journal of Research in Education and Society (JRES), 13</w:t>
      </w:r>
      <w:r>
        <w:t xml:space="preserve">(2), 88–95. Retrieved from </w:t>
      </w:r>
      <w:hyperlink r:id="rId10" w:tgtFrame="_new" w:history="1">
        <w:r>
          <w:rPr>
            <w:rStyle w:val="Hyperlink"/>
          </w:rPr>
          <w:t>https://icidr.org.ng/index.php/Jres/article/view/1518</w:t>
        </w:r>
      </w:hyperlink>
    </w:p>
    <w:p w14:paraId="2F97B176" w14:textId="77777777" w:rsidR="004947A6" w:rsidRDefault="004947A6" w:rsidP="00334913">
      <w:pPr>
        <w:pStyle w:val="NormalWeb"/>
        <w:spacing w:before="0" w:beforeAutospacing="0" w:after="0" w:afterAutospacing="0"/>
      </w:pPr>
      <w:r>
        <w:rPr>
          <w:rStyle w:val="whitespace-normal"/>
        </w:rPr>
        <w:t>Akande, A. R. M.</w:t>
      </w:r>
      <w:r>
        <w:t xml:space="preserve">, &amp; </w:t>
      </w:r>
      <w:r>
        <w:rPr>
          <w:rStyle w:val="whitespace-normal"/>
        </w:rPr>
        <w:t>Aina, A. J.</w:t>
      </w:r>
      <w:r>
        <w:t xml:space="preserve"> (2024). Rebranding adult literacy and non-formal education for</w:t>
      </w:r>
    </w:p>
    <w:p w14:paraId="14EE91EE" w14:textId="697FC7EB" w:rsidR="004947A6" w:rsidRDefault="004947A6" w:rsidP="00334913">
      <w:pPr>
        <w:pStyle w:val="NormalWeb"/>
        <w:spacing w:before="0" w:beforeAutospacing="0" w:after="0" w:afterAutospacing="0"/>
        <w:ind w:left="720"/>
      </w:pPr>
      <w:r>
        <w:t xml:space="preserve">accelerating industrial growth and development in Nigeria. </w:t>
      </w:r>
      <w:r>
        <w:rPr>
          <w:rStyle w:val="Emphasis"/>
        </w:rPr>
        <w:t>Journal of Continuing and Development Education, 3</w:t>
      </w:r>
      <w:r>
        <w:t xml:space="preserve">(2), 60–68. Retrieved from </w:t>
      </w:r>
      <w:hyperlink r:id="rId11" w:tgtFrame="_new" w:history="1">
        <w:r>
          <w:rPr>
            <w:rStyle w:val="Hyperlink"/>
          </w:rPr>
          <w:t>Journal of Continuing and Development Education</w:t>
        </w:r>
      </w:hyperlink>
    </w:p>
    <w:p w14:paraId="4468DD1B" w14:textId="77777777" w:rsidR="004947A6" w:rsidRDefault="004947A6" w:rsidP="00334913">
      <w:pPr>
        <w:rPr>
          <w:lang w:val="en-NG" w:eastAsia="en-NG"/>
        </w:rPr>
      </w:pPr>
      <w:r w:rsidRPr="00874C7E">
        <w:rPr>
          <w:lang w:val="en-NG" w:eastAsia="en-NG"/>
        </w:rPr>
        <w:t xml:space="preserve">Bessong, C. D., Ewuru, A. A., Bessong, N. O., Udo, M. P., &amp; Eyo, M. I. (2024). Digital literacy </w:t>
      </w:r>
    </w:p>
    <w:p w14:paraId="1F61010C" w14:textId="603B370C" w:rsidR="004947A6" w:rsidRDefault="004947A6" w:rsidP="00334913">
      <w:pPr>
        <w:ind w:left="720"/>
        <w:rPr>
          <w:lang w:val="en-NG" w:eastAsia="en-NG"/>
        </w:rPr>
      </w:pPr>
      <w:r w:rsidRPr="00874C7E">
        <w:rPr>
          <w:lang w:val="en-NG" w:eastAsia="en-NG"/>
        </w:rPr>
        <w:t xml:space="preserve">and its effect on learners’ civic engagement in adult and vocational education in Nigeria. </w:t>
      </w:r>
      <w:r w:rsidRPr="00874C7E">
        <w:rPr>
          <w:i/>
          <w:iCs/>
          <w:lang w:val="en-NG" w:eastAsia="en-NG"/>
        </w:rPr>
        <w:t>Masyarakat, Kebudayaan dan Politik, 37</w:t>
      </w:r>
      <w:r w:rsidRPr="00874C7E">
        <w:rPr>
          <w:lang w:val="en-NG" w:eastAsia="en-NG"/>
        </w:rPr>
        <w:t>(4), 418–431.</w:t>
      </w:r>
    </w:p>
    <w:p w14:paraId="1132501E" w14:textId="77777777" w:rsidR="003F4CC7" w:rsidRDefault="003F4CC7" w:rsidP="003F4CC7">
      <w:r>
        <w:t xml:space="preserve">Biney, I. K. (2024). Adult education and community development in contemporary societies. </w:t>
      </w:r>
    </w:p>
    <w:p w14:paraId="5ABBAEFC" w14:textId="385432EC" w:rsidR="003F4CC7" w:rsidRPr="00874C7E" w:rsidRDefault="003F4CC7" w:rsidP="003F4CC7">
      <w:pPr>
        <w:ind w:firstLine="720"/>
        <w:rPr>
          <w:lang w:val="en-NG" w:eastAsia="en-NG"/>
        </w:rPr>
      </w:pPr>
      <w:r>
        <w:rPr>
          <w:rStyle w:val="Emphasis"/>
        </w:rPr>
        <w:t>Adult Education Quarterly</w:t>
      </w:r>
      <w:r>
        <w:t>, 74(3), 215–230.</w:t>
      </w:r>
    </w:p>
    <w:p w14:paraId="7632CE92" w14:textId="77777777" w:rsidR="004947A6" w:rsidRDefault="004947A6" w:rsidP="00334913">
      <w:pPr>
        <w:rPr>
          <w:lang w:val="en-NG" w:eastAsia="en-NG"/>
        </w:rPr>
      </w:pPr>
      <w:r w:rsidRPr="0060628E">
        <w:rPr>
          <w:lang w:val="en-NG" w:eastAsia="en-NG"/>
        </w:rPr>
        <w:t xml:space="preserve">Chukwu, J. C., Okengwu, M. C., &amp; Ezepue, E. I. (2024). Educational management practices and </w:t>
      </w:r>
    </w:p>
    <w:p w14:paraId="6771FBEE" w14:textId="05F72AD5" w:rsidR="004947A6" w:rsidRDefault="004947A6" w:rsidP="00334913">
      <w:pPr>
        <w:ind w:left="720"/>
        <w:rPr>
          <w:lang w:val="en-NG" w:eastAsia="en-NG"/>
        </w:rPr>
      </w:pPr>
      <w:r w:rsidRPr="0060628E">
        <w:rPr>
          <w:lang w:val="en-NG" w:eastAsia="en-NG"/>
        </w:rPr>
        <w:t xml:space="preserve">adult learners’ participation and retention in continuing education programmes in Nigeria. </w:t>
      </w:r>
      <w:r w:rsidRPr="0060628E">
        <w:rPr>
          <w:i/>
          <w:iCs/>
          <w:lang w:val="en-NG" w:eastAsia="en-NG"/>
        </w:rPr>
        <w:t>Educational Administration: Theory and Practice, 30</w:t>
      </w:r>
      <w:r w:rsidRPr="0060628E">
        <w:rPr>
          <w:lang w:val="en-NG" w:eastAsia="en-NG"/>
        </w:rPr>
        <w:t xml:space="preserve">(2), 2304–2312. </w:t>
      </w:r>
      <w:hyperlink r:id="rId12" w:history="1">
        <w:r w:rsidRPr="0060628E">
          <w:rPr>
            <w:rStyle w:val="Hyperlink"/>
            <w:lang w:val="en-NG" w:eastAsia="en-NG"/>
          </w:rPr>
          <w:t>https://doi.org/10.53555/kuey.v30i2.11516</w:t>
        </w:r>
      </w:hyperlink>
    </w:p>
    <w:p w14:paraId="2310DAA7" w14:textId="77777777" w:rsidR="004947A6" w:rsidRDefault="004947A6" w:rsidP="00334913">
      <w:pPr>
        <w:rPr>
          <w:lang w:val="en-NG" w:eastAsia="en-NG"/>
        </w:rPr>
      </w:pPr>
      <w:r w:rsidRPr="00376A12">
        <w:rPr>
          <w:lang w:val="en-NG" w:eastAsia="en-NG"/>
        </w:rPr>
        <w:t xml:space="preserve">Ekpo, M. E., Umoh, U. E., &amp; Udoaka, S. P. (2024). Adult education programmes and </w:t>
      </w:r>
    </w:p>
    <w:p w14:paraId="54149786" w14:textId="162BA2CA" w:rsidR="004947A6" w:rsidRPr="00376A12" w:rsidRDefault="004947A6" w:rsidP="00334913">
      <w:pPr>
        <w:ind w:left="720"/>
        <w:rPr>
          <w:lang w:val="en-NG" w:eastAsia="en-NG"/>
        </w:rPr>
      </w:pPr>
      <w:r w:rsidRPr="00376A12">
        <w:rPr>
          <w:lang w:val="en-NG" w:eastAsia="en-NG"/>
        </w:rPr>
        <w:lastRenderedPageBreak/>
        <w:t xml:space="preserve">entrepreneurial sustainable development in Nigeria. </w:t>
      </w:r>
      <w:r w:rsidRPr="00376A12">
        <w:rPr>
          <w:i/>
          <w:iCs/>
          <w:lang w:val="en-NG" w:eastAsia="en-NG"/>
        </w:rPr>
        <w:t>Covenant Journal of Entrepreneurship</w:t>
      </w:r>
      <w:r w:rsidRPr="00376A12">
        <w:rPr>
          <w:lang w:val="en-NG" w:eastAsia="en-NG"/>
        </w:rPr>
        <w:t>, 8(1), 45–58.</w:t>
      </w:r>
    </w:p>
    <w:p w14:paraId="34758C3D" w14:textId="77777777" w:rsidR="004947A6" w:rsidRDefault="004947A6" w:rsidP="00334913">
      <w:pPr>
        <w:rPr>
          <w:lang w:val="en-NG" w:eastAsia="en-NG"/>
        </w:rPr>
      </w:pPr>
      <w:r w:rsidRPr="00376A12">
        <w:rPr>
          <w:lang w:val="en-NG" w:eastAsia="en-NG"/>
        </w:rPr>
        <w:t xml:space="preserve">Fagbeja, O. O., &amp; Alumona, I. M. (2025). Participatory leadership and community engagement </w:t>
      </w:r>
    </w:p>
    <w:p w14:paraId="3505BFEE" w14:textId="58A10625" w:rsidR="004947A6" w:rsidRPr="00376A12" w:rsidRDefault="004947A6" w:rsidP="00334913">
      <w:pPr>
        <w:ind w:left="720"/>
        <w:rPr>
          <w:lang w:val="en-NG" w:eastAsia="en-NG"/>
        </w:rPr>
      </w:pPr>
      <w:r w:rsidRPr="00376A12">
        <w:rPr>
          <w:lang w:val="en-NG" w:eastAsia="en-NG"/>
        </w:rPr>
        <w:t xml:space="preserve">for sustainable community development in Nigeria. </w:t>
      </w:r>
      <w:r w:rsidRPr="00376A12">
        <w:rPr>
          <w:i/>
          <w:iCs/>
          <w:lang w:val="en-NG" w:eastAsia="en-NG"/>
        </w:rPr>
        <w:t>Covenant University Journal of Politics and International Affairs, 13</w:t>
      </w:r>
      <w:r w:rsidRPr="00376A12">
        <w:rPr>
          <w:lang w:val="en-NG" w:eastAsia="en-NG"/>
        </w:rPr>
        <w:t>(1), 88–102.</w:t>
      </w:r>
    </w:p>
    <w:p w14:paraId="20BE76AF" w14:textId="77777777" w:rsidR="004947A6" w:rsidRDefault="004947A6" w:rsidP="00334913">
      <w:pPr>
        <w:pStyle w:val="NormalWeb"/>
        <w:spacing w:before="0" w:beforeAutospacing="0" w:after="0" w:afterAutospacing="0"/>
        <w:rPr>
          <w:rStyle w:val="Emphasis"/>
          <w:rFonts w:eastAsiaTheme="majorEastAsia"/>
        </w:rPr>
      </w:pPr>
      <w:r>
        <w:t xml:space="preserve">Igwe, A., &amp; Ezechinnah, C. A. (2023). </w:t>
      </w:r>
      <w:r>
        <w:rPr>
          <w:rStyle w:val="Emphasis"/>
          <w:rFonts w:eastAsiaTheme="majorEastAsia"/>
        </w:rPr>
        <w:t xml:space="preserve">Adult education and community development as </w:t>
      </w:r>
    </w:p>
    <w:p w14:paraId="38A0D58B" w14:textId="1C91CEFD" w:rsidR="004947A6" w:rsidRDefault="004947A6" w:rsidP="00334913">
      <w:pPr>
        <w:pStyle w:val="NormalWeb"/>
        <w:spacing w:before="0" w:beforeAutospacing="0" w:after="0" w:afterAutospacing="0"/>
        <w:ind w:left="720"/>
      </w:pPr>
      <w:r>
        <w:rPr>
          <w:rStyle w:val="Emphasis"/>
          <w:rFonts w:eastAsiaTheme="majorEastAsia"/>
        </w:rPr>
        <w:t>strategies for mitigating the challenges of family life education in Rivers State.</w:t>
      </w:r>
      <w:r>
        <w:t xml:space="preserve"> </w:t>
      </w:r>
      <w:r>
        <w:rPr>
          <w:rStyle w:val="Emphasis"/>
          <w:rFonts w:eastAsiaTheme="majorEastAsia"/>
        </w:rPr>
        <w:t>International Journal of Research and Innovation in Social Science, 7</w:t>
      </w:r>
      <w:r>
        <w:t xml:space="preserve">(46), 738–743. </w:t>
      </w:r>
      <w:hyperlink r:id="rId13" w:tgtFrame="_new" w:history="1">
        <w:r>
          <w:rPr>
            <w:rStyle w:val="Hyperlink"/>
          </w:rPr>
          <w:t>https://doi.org/10.47772/IJRISS.2023.7460</w:t>
        </w:r>
      </w:hyperlink>
      <w:r>
        <w:t xml:space="preserve"> </w:t>
      </w:r>
      <w:hyperlink r:id="rId14" w:tgtFrame="_blank" w:history="1">
        <w:r>
          <w:rPr>
            <w:rStyle w:val="max-w-15ch"/>
            <w:color w:val="0000FF"/>
            <w:u w:val="single"/>
          </w:rPr>
          <w:t>RSIS International</w:t>
        </w:r>
      </w:hyperlink>
    </w:p>
    <w:p w14:paraId="20846FCC" w14:textId="77777777" w:rsidR="004947A6" w:rsidRDefault="004947A6" w:rsidP="00334913">
      <w:pPr>
        <w:rPr>
          <w:lang w:val="en-NG" w:eastAsia="en-NG"/>
        </w:rPr>
      </w:pPr>
      <w:r w:rsidRPr="004947A6">
        <w:rPr>
          <w:lang w:val="en-NG" w:eastAsia="en-NG"/>
        </w:rPr>
        <w:t xml:space="preserve">Lakan, M. J., &amp; Jiya, F. (2023). Adult education programmes and community development in </w:t>
      </w:r>
    </w:p>
    <w:p w14:paraId="0D2D054C" w14:textId="45DBE8F2" w:rsidR="004947A6" w:rsidRPr="004947A6" w:rsidRDefault="004947A6" w:rsidP="00334913">
      <w:pPr>
        <w:ind w:left="720"/>
        <w:rPr>
          <w:lang w:val="en-NG" w:eastAsia="en-NG"/>
        </w:rPr>
      </w:pPr>
      <w:r w:rsidRPr="004947A6">
        <w:rPr>
          <w:lang w:val="en-NG" w:eastAsia="en-NG"/>
        </w:rPr>
        <w:t xml:space="preserve">Nigeria: Implications for sustainable development. </w:t>
      </w:r>
      <w:r w:rsidRPr="004947A6">
        <w:rPr>
          <w:i/>
          <w:iCs/>
          <w:lang w:val="en-NG" w:eastAsia="en-NG"/>
        </w:rPr>
        <w:t>Lapai Journal of Humanities and Management Sciences, 4</w:t>
      </w:r>
      <w:r w:rsidRPr="004947A6">
        <w:rPr>
          <w:lang w:val="en-NG" w:eastAsia="en-NG"/>
        </w:rPr>
        <w:t>(1), 112–124.</w:t>
      </w:r>
    </w:p>
    <w:p w14:paraId="05C25BC3" w14:textId="77777777" w:rsidR="004947A6" w:rsidRDefault="004947A6" w:rsidP="00334913">
      <w:pPr>
        <w:rPr>
          <w:lang w:val="en-NG" w:eastAsia="en-NG"/>
        </w:rPr>
      </w:pPr>
      <w:r w:rsidRPr="004947A6">
        <w:rPr>
          <w:lang w:val="en-NG" w:eastAsia="en-NG"/>
        </w:rPr>
        <w:t xml:space="preserve">Modeyin, O. E., Oisamoje, O., &amp; Asemah, E. S. (2025). Communication strategies and conflict </w:t>
      </w:r>
    </w:p>
    <w:p w14:paraId="1330F93F" w14:textId="13C19D75" w:rsidR="004947A6" w:rsidRPr="004947A6" w:rsidRDefault="004947A6" w:rsidP="00334913">
      <w:pPr>
        <w:ind w:left="720"/>
        <w:rPr>
          <w:lang w:val="en-NG" w:eastAsia="en-NG"/>
        </w:rPr>
      </w:pPr>
      <w:r w:rsidRPr="004947A6">
        <w:rPr>
          <w:lang w:val="en-NG" w:eastAsia="en-NG"/>
        </w:rPr>
        <w:t xml:space="preserve">mediation for peaceful coexistence in North-Central Nigeria. </w:t>
      </w:r>
      <w:r w:rsidRPr="004947A6">
        <w:rPr>
          <w:i/>
          <w:iCs/>
          <w:lang w:val="en-NG" w:eastAsia="en-NG"/>
        </w:rPr>
        <w:t>Journal of Communication and Media Studies, 9</w:t>
      </w:r>
      <w:r w:rsidRPr="004947A6">
        <w:rPr>
          <w:lang w:val="en-NG" w:eastAsia="en-NG"/>
        </w:rPr>
        <w:t>(1), 75–89.</w:t>
      </w:r>
    </w:p>
    <w:p w14:paraId="1A2CC3B6" w14:textId="77777777" w:rsidR="004947A6" w:rsidRDefault="004947A6" w:rsidP="00334913">
      <w:pPr>
        <w:pStyle w:val="NormalWeb"/>
        <w:spacing w:before="0" w:beforeAutospacing="0" w:after="0" w:afterAutospacing="0"/>
        <w:rPr>
          <w:rStyle w:val="Emphasis"/>
        </w:rPr>
      </w:pPr>
      <w:r>
        <w:rPr>
          <w:rStyle w:val="whitespace-normal"/>
        </w:rPr>
        <w:t>National Universities Commission</w:t>
      </w:r>
      <w:r>
        <w:t xml:space="preserve"> (2023). </w:t>
      </w:r>
      <w:r>
        <w:rPr>
          <w:rStyle w:val="Emphasis"/>
        </w:rPr>
        <w:t xml:space="preserve">Annual report on university continuing education and </w:t>
      </w:r>
    </w:p>
    <w:p w14:paraId="58D6A80C" w14:textId="0C46FB8B" w:rsidR="004947A6" w:rsidRDefault="004947A6" w:rsidP="00334913">
      <w:pPr>
        <w:pStyle w:val="NormalWeb"/>
        <w:spacing w:before="0" w:beforeAutospacing="0" w:after="0" w:afterAutospacing="0"/>
        <w:ind w:left="720"/>
      </w:pPr>
      <w:r>
        <w:rPr>
          <w:rStyle w:val="Emphasis"/>
        </w:rPr>
        <w:t>lifelong learning programmes in Nigeria</w:t>
      </w:r>
      <w:r>
        <w:t>. Abuja, Nigeria: National Universities Commission.</w:t>
      </w:r>
    </w:p>
    <w:p w14:paraId="018F5CCB" w14:textId="77777777" w:rsidR="004947A6" w:rsidRDefault="004947A6" w:rsidP="00334913">
      <w:pPr>
        <w:rPr>
          <w:i/>
          <w:iCs/>
          <w:lang w:val="en-NG" w:eastAsia="en-NG"/>
        </w:rPr>
      </w:pPr>
      <w:r w:rsidRPr="004947A6">
        <w:rPr>
          <w:lang w:val="en-NG" w:eastAsia="en-NG"/>
        </w:rPr>
        <w:t xml:space="preserve">National Universities Commission (NUC). (2023). </w:t>
      </w:r>
      <w:r w:rsidRPr="004947A6">
        <w:rPr>
          <w:i/>
          <w:iCs/>
          <w:lang w:val="en-NG" w:eastAsia="en-NG"/>
        </w:rPr>
        <w:t xml:space="preserve">Annual report on Nigerian university </w:t>
      </w:r>
    </w:p>
    <w:p w14:paraId="3DF9BD1C" w14:textId="425CEA25" w:rsidR="004947A6" w:rsidRPr="004947A6" w:rsidRDefault="004947A6" w:rsidP="00334913">
      <w:pPr>
        <w:ind w:firstLine="720"/>
        <w:rPr>
          <w:lang w:val="en-NG" w:eastAsia="en-NG"/>
        </w:rPr>
      </w:pPr>
      <w:r w:rsidRPr="004947A6">
        <w:rPr>
          <w:i/>
          <w:iCs/>
          <w:lang w:val="en-NG" w:eastAsia="en-NG"/>
        </w:rPr>
        <w:t>education and lifelong learning initiatives</w:t>
      </w:r>
      <w:r w:rsidRPr="004947A6">
        <w:rPr>
          <w:lang w:val="en-NG" w:eastAsia="en-NG"/>
        </w:rPr>
        <w:t>. Abuja, Nigeria: NUC.</w:t>
      </w:r>
    </w:p>
    <w:p w14:paraId="16E2E3B7" w14:textId="77777777" w:rsidR="004947A6" w:rsidRDefault="004947A6" w:rsidP="00334913">
      <w:pPr>
        <w:pStyle w:val="NormalWeb"/>
        <w:spacing w:before="0" w:beforeAutospacing="0" w:after="0" w:afterAutospacing="0"/>
        <w:rPr>
          <w:rStyle w:val="Emphasis"/>
          <w:rFonts w:eastAsiaTheme="majorEastAsia"/>
        </w:rPr>
      </w:pPr>
      <w:r>
        <w:t xml:space="preserve">Obio, F., Okoro, P., &amp; Adamu, L. (2022). </w:t>
      </w:r>
      <w:r>
        <w:rPr>
          <w:rStyle w:val="Emphasis"/>
          <w:rFonts w:eastAsiaTheme="majorEastAsia"/>
        </w:rPr>
        <w:t xml:space="preserve">Adult education initiatives and community conflict </w:t>
      </w:r>
    </w:p>
    <w:p w14:paraId="30D8B277" w14:textId="73E798EE" w:rsidR="004947A6" w:rsidRDefault="004947A6" w:rsidP="00334913">
      <w:pPr>
        <w:pStyle w:val="NormalWeb"/>
        <w:spacing w:before="0" w:beforeAutospacing="0" w:after="0" w:afterAutospacing="0"/>
        <w:ind w:left="720"/>
      </w:pPr>
      <w:r>
        <w:rPr>
          <w:rStyle w:val="Emphasis"/>
          <w:rFonts w:eastAsiaTheme="majorEastAsia"/>
        </w:rPr>
        <w:t>management in Nigeria.</w:t>
      </w:r>
      <w:r>
        <w:t xml:space="preserve"> </w:t>
      </w:r>
      <w:r>
        <w:rPr>
          <w:rStyle w:val="Emphasis"/>
          <w:rFonts w:eastAsiaTheme="majorEastAsia"/>
        </w:rPr>
        <w:t>Journal of Adult and Continuing Education, 14</w:t>
      </w:r>
      <w:r>
        <w:t>(2), 55–68. [URL if available]</w:t>
      </w:r>
    </w:p>
    <w:p w14:paraId="47BD5CC6" w14:textId="77777777" w:rsidR="004947A6" w:rsidRDefault="004947A6" w:rsidP="00334913">
      <w:pPr>
        <w:pStyle w:val="NormalWeb"/>
        <w:spacing w:before="0" w:beforeAutospacing="0" w:after="0" w:afterAutospacing="0"/>
        <w:rPr>
          <w:rStyle w:val="Emphasis"/>
          <w:rFonts w:eastAsiaTheme="majorEastAsia"/>
        </w:rPr>
      </w:pPr>
      <w:r>
        <w:t xml:space="preserve">Obiozor, O. (2019). </w:t>
      </w:r>
      <w:r>
        <w:rPr>
          <w:rStyle w:val="Emphasis"/>
          <w:rFonts w:eastAsiaTheme="majorEastAsia"/>
        </w:rPr>
        <w:t xml:space="preserve">Role of adult education in conflict resolution for rural development in Abia </w:t>
      </w:r>
    </w:p>
    <w:p w14:paraId="04434A2A" w14:textId="57F2B615" w:rsidR="004947A6" w:rsidRDefault="004947A6" w:rsidP="00334913">
      <w:pPr>
        <w:pStyle w:val="NormalWeb"/>
        <w:spacing w:before="0" w:beforeAutospacing="0" w:after="0" w:afterAutospacing="0"/>
        <w:ind w:left="720"/>
      </w:pPr>
      <w:r>
        <w:rPr>
          <w:rStyle w:val="Emphasis"/>
          <w:rFonts w:eastAsiaTheme="majorEastAsia"/>
        </w:rPr>
        <w:t>State.</w:t>
      </w:r>
      <w:r>
        <w:t xml:space="preserve"> </w:t>
      </w:r>
      <w:r>
        <w:rPr>
          <w:rStyle w:val="Emphasis"/>
          <w:rFonts w:eastAsiaTheme="majorEastAsia"/>
        </w:rPr>
        <w:t>Journal of Community &amp; Communication Research, 4</w:t>
      </w:r>
      <w:r>
        <w:t xml:space="preserve">(2), 192–205. Retrieved from </w:t>
      </w:r>
      <w:hyperlink r:id="rId15" w:history="1">
        <w:r w:rsidRPr="00231A01">
          <w:rPr>
            <w:rStyle w:val="Hyperlink"/>
          </w:rPr>
          <w:t>https://jccr.sccdr.org/index.php/jccr/article/view/118</w:t>
        </w:r>
      </w:hyperlink>
      <w:r>
        <w:t xml:space="preserve"> </w:t>
      </w:r>
      <w:hyperlink r:id="rId16" w:tgtFrame="_blank" w:history="1">
        <w:r>
          <w:rPr>
            <w:rStyle w:val="max-w-15ch"/>
            <w:color w:val="0000FF"/>
            <w:u w:val="single"/>
          </w:rPr>
          <w:t>Journal of Community Research</w:t>
        </w:r>
      </w:hyperlink>
    </w:p>
    <w:p w14:paraId="1DAA3932" w14:textId="77777777" w:rsidR="004947A6" w:rsidRDefault="004947A6" w:rsidP="00334913">
      <w:pPr>
        <w:pStyle w:val="NormalWeb"/>
        <w:spacing w:before="0" w:beforeAutospacing="0" w:after="0" w:afterAutospacing="0"/>
        <w:rPr>
          <w:rStyle w:val="Emphasis"/>
        </w:rPr>
      </w:pPr>
      <w:r>
        <w:t xml:space="preserve">Okafor, I. M. (2025). </w:t>
      </w:r>
      <w:r>
        <w:rPr>
          <w:rStyle w:val="Emphasis"/>
        </w:rPr>
        <w:t xml:space="preserve">Adult education as a means of promoting sustainable community </w:t>
      </w:r>
    </w:p>
    <w:p w14:paraId="2480D2F3" w14:textId="5369D200" w:rsidR="004947A6" w:rsidRDefault="004947A6" w:rsidP="00334913">
      <w:pPr>
        <w:pStyle w:val="NormalWeb"/>
        <w:spacing w:before="0" w:beforeAutospacing="0" w:after="0" w:afterAutospacing="0"/>
        <w:ind w:left="720"/>
      </w:pPr>
      <w:r>
        <w:rPr>
          <w:rStyle w:val="Emphasis"/>
        </w:rPr>
        <w:t>development in Nigeria</w:t>
      </w:r>
      <w:r>
        <w:t xml:space="preserve">. </w:t>
      </w:r>
      <w:r>
        <w:rPr>
          <w:rStyle w:val="Emphasis"/>
        </w:rPr>
        <w:t>Journal of Continuing and Development Education, 4</w:t>
      </w:r>
      <w:r>
        <w:t xml:space="preserve">(2), 8–17. Retrieved from </w:t>
      </w:r>
      <w:hyperlink r:id="rId17" w:tgtFrame="_new" w:history="1">
        <w:r>
          <w:rPr>
            <w:rStyle w:val="Hyperlink"/>
            <w:rFonts w:eastAsiaTheme="majorEastAsia"/>
          </w:rPr>
          <w:t>https://journalcde.com/index.php/jcde/article/view/133</w:t>
        </w:r>
      </w:hyperlink>
    </w:p>
    <w:p w14:paraId="71AD4E85" w14:textId="77777777" w:rsidR="004947A6" w:rsidRDefault="004947A6" w:rsidP="00334913">
      <w:pPr>
        <w:rPr>
          <w:lang w:val="en-NG" w:eastAsia="en-NG"/>
        </w:rPr>
      </w:pPr>
      <w:r w:rsidRPr="004947A6">
        <w:rPr>
          <w:lang w:val="en-NG" w:eastAsia="en-NG"/>
        </w:rPr>
        <w:t xml:space="preserve">Okirika, A. (2023). Peace education and literacy programmes as tools for sustainable community </w:t>
      </w:r>
    </w:p>
    <w:p w14:paraId="7D2975C3" w14:textId="2660FBEC" w:rsidR="004947A6" w:rsidRPr="004947A6" w:rsidRDefault="004947A6" w:rsidP="00334913">
      <w:pPr>
        <w:ind w:left="720"/>
        <w:rPr>
          <w:lang w:val="en-NG" w:eastAsia="en-NG"/>
        </w:rPr>
      </w:pPr>
      <w:r w:rsidRPr="004947A6">
        <w:rPr>
          <w:lang w:val="en-NG" w:eastAsia="en-NG"/>
        </w:rPr>
        <w:t xml:space="preserve">development in Rivers State, Nigeria. </w:t>
      </w:r>
      <w:r w:rsidRPr="004947A6">
        <w:rPr>
          <w:i/>
          <w:iCs/>
          <w:lang w:val="en-NG" w:eastAsia="en-NG"/>
        </w:rPr>
        <w:t>International Journal of Adult and Community Education Practice, 2</w:t>
      </w:r>
      <w:r w:rsidRPr="004947A6">
        <w:rPr>
          <w:lang w:val="en-NG" w:eastAsia="en-NG"/>
        </w:rPr>
        <w:t>(1), 33–47.</w:t>
      </w:r>
    </w:p>
    <w:p w14:paraId="1F57E9ED" w14:textId="77777777" w:rsidR="00334913" w:rsidRDefault="004947A6" w:rsidP="00334913">
      <w:pPr>
        <w:pStyle w:val="NormalWeb"/>
        <w:spacing w:before="0" w:beforeAutospacing="0" w:after="0" w:afterAutospacing="0"/>
      </w:pPr>
      <w:r>
        <w:t xml:space="preserve">Olasehinde, T. (2024). </w:t>
      </w:r>
      <w:r>
        <w:rPr>
          <w:rStyle w:val="Emphasis"/>
          <w:rFonts w:eastAsiaTheme="majorEastAsia"/>
        </w:rPr>
        <w:t>The impact of adult education on community development.</w:t>
      </w:r>
      <w:r>
        <w:t xml:space="preserve"> [Unpublished </w:t>
      </w:r>
    </w:p>
    <w:p w14:paraId="6E002B0A" w14:textId="44A2737F" w:rsidR="00334913" w:rsidRPr="00334913" w:rsidRDefault="004947A6" w:rsidP="00334913">
      <w:pPr>
        <w:pStyle w:val="NormalWeb"/>
        <w:spacing w:before="0" w:beforeAutospacing="0" w:after="0" w:afterAutospacing="0"/>
        <w:ind w:left="720"/>
      </w:pPr>
      <w:r>
        <w:t xml:space="preserve">manuscript]. ResearchGate. Retrieved from </w:t>
      </w:r>
      <w:hyperlink r:id="rId18" w:history="1">
        <w:r w:rsidR="00334913" w:rsidRPr="00231A01">
          <w:rPr>
            <w:rStyle w:val="Hyperlink"/>
          </w:rPr>
          <w:t>https://www.researchgate.net/publication/384971121_The_Impact_of_Adult_Education_on_Community_Development</w:t>
        </w:r>
      </w:hyperlink>
    </w:p>
    <w:p w14:paraId="702FC69C" w14:textId="73E331F3" w:rsidR="00334913" w:rsidRDefault="004947A6" w:rsidP="00334913">
      <w:pPr>
        <w:rPr>
          <w:lang w:val="en-NG" w:eastAsia="en-NG"/>
        </w:rPr>
      </w:pPr>
      <w:r w:rsidRPr="004947A6">
        <w:rPr>
          <w:lang w:val="en-NG" w:eastAsia="en-NG"/>
        </w:rPr>
        <w:t xml:space="preserve">Onyimyi, C. C. O. (2025). Emotional intelligence and conflict management strategies among </w:t>
      </w:r>
    </w:p>
    <w:p w14:paraId="685EDA09" w14:textId="6077D4E9" w:rsidR="004947A6" w:rsidRPr="004947A6" w:rsidRDefault="004947A6" w:rsidP="00334913">
      <w:pPr>
        <w:ind w:firstLine="720"/>
        <w:rPr>
          <w:lang w:val="en-NG" w:eastAsia="en-NG"/>
        </w:rPr>
      </w:pPr>
      <w:r w:rsidRPr="004947A6">
        <w:rPr>
          <w:lang w:val="en-NG" w:eastAsia="en-NG"/>
        </w:rPr>
        <w:t xml:space="preserve">staff in Nigerian universities. </w:t>
      </w:r>
      <w:r w:rsidRPr="004947A6">
        <w:rPr>
          <w:i/>
          <w:iCs/>
          <w:lang w:val="en-NG" w:eastAsia="en-NG"/>
        </w:rPr>
        <w:t>Sokoto Educational Review, 24</w:t>
      </w:r>
      <w:r w:rsidRPr="004947A6">
        <w:rPr>
          <w:lang w:val="en-NG" w:eastAsia="en-NG"/>
        </w:rPr>
        <w:t>(1), 33–47.</w:t>
      </w:r>
    </w:p>
    <w:p w14:paraId="2715218C" w14:textId="77777777" w:rsidR="00334913" w:rsidRDefault="004947A6" w:rsidP="00334913">
      <w:pPr>
        <w:rPr>
          <w:lang w:val="en-NG" w:eastAsia="en-NG"/>
        </w:rPr>
      </w:pPr>
      <w:r w:rsidRPr="004947A6">
        <w:rPr>
          <w:lang w:val="en-NG" w:eastAsia="en-NG"/>
        </w:rPr>
        <w:t xml:space="preserve">Oyetola, S. O. (2022). Constraints to adult participation in lifelong learning programmes in </w:t>
      </w:r>
    </w:p>
    <w:p w14:paraId="19DF8029" w14:textId="178010E7" w:rsidR="004947A6" w:rsidRPr="004947A6" w:rsidRDefault="004947A6" w:rsidP="00334913">
      <w:pPr>
        <w:ind w:firstLine="720"/>
        <w:rPr>
          <w:lang w:val="en-NG" w:eastAsia="en-NG"/>
        </w:rPr>
      </w:pPr>
      <w:r w:rsidRPr="004947A6">
        <w:rPr>
          <w:lang w:val="en-NG" w:eastAsia="en-NG"/>
        </w:rPr>
        <w:t xml:space="preserve">Nigeria. </w:t>
      </w:r>
      <w:r w:rsidRPr="004947A6">
        <w:rPr>
          <w:i/>
          <w:iCs/>
          <w:lang w:val="en-NG" w:eastAsia="en-NG"/>
        </w:rPr>
        <w:t>Journal of Adult and Non-Formal Education, 14</w:t>
      </w:r>
      <w:r w:rsidRPr="004947A6">
        <w:rPr>
          <w:lang w:val="en-NG" w:eastAsia="en-NG"/>
        </w:rPr>
        <w:t>(2), 55–67.</w:t>
      </w:r>
    </w:p>
    <w:p w14:paraId="5EFB29F4" w14:textId="77777777" w:rsidR="00334913" w:rsidRDefault="004947A6" w:rsidP="00334913">
      <w:pPr>
        <w:rPr>
          <w:lang w:val="en-NG" w:eastAsia="en-NG"/>
        </w:rPr>
      </w:pPr>
      <w:r w:rsidRPr="004947A6">
        <w:rPr>
          <w:lang w:val="en-NG" w:eastAsia="en-NG"/>
        </w:rPr>
        <w:t xml:space="preserve">Ugwu, C. U., &amp; Umezuruike, N. A. (2023). Adult education programmes and digital literacy </w:t>
      </w:r>
    </w:p>
    <w:p w14:paraId="2E446629" w14:textId="70B4B11A" w:rsidR="004947A6" w:rsidRPr="004947A6" w:rsidRDefault="004947A6" w:rsidP="00334913">
      <w:pPr>
        <w:ind w:left="720"/>
        <w:rPr>
          <w:lang w:val="en-NG" w:eastAsia="en-NG"/>
        </w:rPr>
      </w:pPr>
      <w:r w:rsidRPr="004947A6">
        <w:rPr>
          <w:lang w:val="en-NG" w:eastAsia="en-NG"/>
        </w:rPr>
        <w:t xml:space="preserve">development among adult learners in Nigeria. </w:t>
      </w:r>
      <w:r w:rsidRPr="004947A6">
        <w:rPr>
          <w:i/>
          <w:iCs/>
          <w:lang w:val="en-NG" w:eastAsia="en-NG"/>
        </w:rPr>
        <w:t>Journal of Continuing and Development Education, 3</w:t>
      </w:r>
      <w:r w:rsidRPr="004947A6">
        <w:rPr>
          <w:lang w:val="en-NG" w:eastAsia="en-NG"/>
        </w:rPr>
        <w:t>(1), 88–95.</w:t>
      </w:r>
    </w:p>
    <w:p w14:paraId="6D68C3C3" w14:textId="77777777" w:rsidR="00334913" w:rsidRDefault="004947A6" w:rsidP="00334913">
      <w:pPr>
        <w:rPr>
          <w:i/>
          <w:iCs/>
          <w:lang w:val="en-NG" w:eastAsia="en-NG"/>
        </w:rPr>
      </w:pPr>
      <w:r w:rsidRPr="004947A6">
        <w:rPr>
          <w:lang w:val="en-NG" w:eastAsia="en-NG"/>
        </w:rPr>
        <w:t xml:space="preserve">UNESCO. (2022). </w:t>
      </w:r>
      <w:r w:rsidRPr="004947A6">
        <w:rPr>
          <w:i/>
          <w:iCs/>
          <w:lang w:val="en-NG" w:eastAsia="en-NG"/>
        </w:rPr>
        <w:t xml:space="preserve">Global report on adult learning and education: Equity, inclusion and </w:t>
      </w:r>
    </w:p>
    <w:p w14:paraId="110FEE64" w14:textId="2B10E0CD" w:rsidR="004947A6" w:rsidRDefault="004947A6" w:rsidP="00334913">
      <w:pPr>
        <w:ind w:firstLine="720"/>
        <w:rPr>
          <w:lang w:val="en-NG" w:eastAsia="en-NG"/>
        </w:rPr>
      </w:pPr>
      <w:r w:rsidRPr="004947A6">
        <w:rPr>
          <w:i/>
          <w:iCs/>
          <w:lang w:val="en-NG" w:eastAsia="en-NG"/>
        </w:rPr>
        <w:t>participation</w:t>
      </w:r>
      <w:r w:rsidRPr="004947A6">
        <w:rPr>
          <w:lang w:val="en-NG" w:eastAsia="en-NG"/>
        </w:rPr>
        <w:t>. Hamburg, Germany: UNESCO Institute for Lifelong Learning.</w:t>
      </w:r>
    </w:p>
    <w:p w14:paraId="2ACFC303" w14:textId="77777777" w:rsidR="0015514B" w:rsidRDefault="0015514B" w:rsidP="0015514B">
      <w:pPr>
        <w:jc w:val="both"/>
      </w:pPr>
      <w:r>
        <w:t xml:space="preserve">Udegbulem, O., Samuel-Ihemejeh, P., &amp; Hanachor, M. (2026). Involving adult education in the </w:t>
      </w:r>
    </w:p>
    <w:p w14:paraId="418CF16A" w14:textId="5FFA1CBE" w:rsidR="0015514B" w:rsidRPr="0015514B" w:rsidRDefault="0015514B" w:rsidP="0015514B">
      <w:pPr>
        <w:ind w:left="720"/>
        <w:jc w:val="both"/>
      </w:pPr>
      <w:r>
        <w:lastRenderedPageBreak/>
        <w:t xml:space="preserve">struggle toward achieving sustainable community development in Nigeria. </w:t>
      </w:r>
      <w:r>
        <w:rPr>
          <w:rStyle w:val="Emphasis"/>
        </w:rPr>
        <w:t>Journal of Adult and Continuing Education</w:t>
      </w:r>
      <w:r>
        <w:t>, 14(1), 101–117.</w:t>
      </w:r>
    </w:p>
    <w:p w14:paraId="76F42BB1" w14:textId="77777777" w:rsidR="00334913" w:rsidRDefault="004947A6" w:rsidP="00334913">
      <w:pPr>
        <w:pStyle w:val="NormalWeb"/>
        <w:spacing w:before="0" w:beforeAutospacing="0" w:after="0" w:afterAutospacing="0"/>
        <w:rPr>
          <w:rStyle w:val="Emphasis"/>
        </w:rPr>
      </w:pPr>
      <w:r>
        <w:t xml:space="preserve">Uzoagu, I. F. (2023). </w:t>
      </w:r>
      <w:r>
        <w:rPr>
          <w:rStyle w:val="Emphasis"/>
        </w:rPr>
        <w:t xml:space="preserve">Adult education and human capacity building for community sustainability </w:t>
      </w:r>
    </w:p>
    <w:p w14:paraId="2B392E59" w14:textId="672AFB36" w:rsidR="004947A6" w:rsidRDefault="004947A6" w:rsidP="00334913">
      <w:pPr>
        <w:pStyle w:val="NormalWeb"/>
        <w:spacing w:before="0" w:beforeAutospacing="0" w:after="0" w:afterAutospacing="0"/>
        <w:ind w:left="720"/>
      </w:pPr>
      <w:r>
        <w:rPr>
          <w:rStyle w:val="Emphasis"/>
        </w:rPr>
        <w:t>in Nigeria</w:t>
      </w:r>
      <w:r>
        <w:t xml:space="preserve">. </w:t>
      </w:r>
      <w:r>
        <w:rPr>
          <w:rStyle w:val="Emphasis"/>
        </w:rPr>
        <w:t>International Journal of Vocational and Technical Education Research, 9</w:t>
      </w:r>
      <w:r>
        <w:t xml:space="preserve">(2), 1–12. Retrieved from </w:t>
      </w:r>
      <w:hyperlink r:id="rId19" w:tgtFrame="_new" w:history="1">
        <w:r>
          <w:rPr>
            <w:rStyle w:val="Hyperlink"/>
            <w:rFonts w:eastAsiaTheme="majorEastAsia"/>
          </w:rPr>
          <w:t>https://eajournals.org/ijvter/vol-9-issue-2-2023/adult-education-and-human-capacity-building-for-community-sustainability-in-nigeria/</w:t>
        </w:r>
      </w:hyperlink>
    </w:p>
    <w:p w14:paraId="15057557" w14:textId="77777777" w:rsidR="00334913" w:rsidRDefault="004947A6" w:rsidP="00334913">
      <w:pPr>
        <w:pStyle w:val="NormalWeb"/>
        <w:spacing w:before="0" w:beforeAutospacing="0" w:after="0" w:afterAutospacing="0"/>
        <w:rPr>
          <w:rStyle w:val="Emphasis"/>
          <w:rFonts w:eastAsiaTheme="majorEastAsia"/>
        </w:rPr>
      </w:pPr>
      <w:r>
        <w:t xml:space="preserve">Yusuf, M. A., &amp; Shehu, I. A. (2024). </w:t>
      </w:r>
      <w:r>
        <w:rPr>
          <w:rStyle w:val="Emphasis"/>
          <w:rFonts w:eastAsiaTheme="majorEastAsia"/>
        </w:rPr>
        <w:t xml:space="preserve">Leveraging adult literacy education for community </w:t>
      </w:r>
    </w:p>
    <w:p w14:paraId="1C999FBE" w14:textId="04DBFDE5" w:rsidR="004947A6" w:rsidRDefault="004947A6" w:rsidP="00334913">
      <w:pPr>
        <w:pStyle w:val="NormalWeb"/>
        <w:spacing w:before="0" w:beforeAutospacing="0" w:after="0" w:afterAutospacing="0"/>
        <w:ind w:left="720"/>
        <w:rPr>
          <w:rStyle w:val="Hyperlink"/>
        </w:rPr>
      </w:pPr>
      <w:r>
        <w:rPr>
          <w:rStyle w:val="Emphasis"/>
          <w:rFonts w:eastAsiaTheme="majorEastAsia"/>
        </w:rPr>
        <w:t>development in Nigeria.</w:t>
      </w:r>
      <w:r>
        <w:t xml:space="preserve"> </w:t>
      </w:r>
      <w:r>
        <w:rPr>
          <w:rStyle w:val="Emphasis"/>
          <w:rFonts w:eastAsiaTheme="majorEastAsia"/>
        </w:rPr>
        <w:t>Indonesian Journal of Educational Research, 7</w:t>
      </w:r>
      <w:r>
        <w:t xml:space="preserve">(1), 1–10. </w:t>
      </w:r>
      <w:hyperlink r:id="rId20" w:history="1">
        <w:r w:rsidR="00334913" w:rsidRPr="00231A01">
          <w:rPr>
            <w:rStyle w:val="Hyperlink"/>
          </w:rPr>
          <w:t>https://doi.org/10.30631/ijer.v7i1.195</w:t>
        </w:r>
      </w:hyperlink>
    </w:p>
    <w:p w14:paraId="06A7DF6F" w14:textId="7133635D" w:rsidR="0015514B" w:rsidRDefault="0015514B" w:rsidP="00334913">
      <w:pPr>
        <w:pStyle w:val="NormalWeb"/>
        <w:spacing w:before="0" w:beforeAutospacing="0" w:after="0" w:afterAutospacing="0"/>
        <w:ind w:left="720"/>
      </w:pPr>
    </w:p>
    <w:p w14:paraId="5B77CFE9" w14:textId="77777777" w:rsidR="0015514B" w:rsidRDefault="0015514B" w:rsidP="00334913">
      <w:pPr>
        <w:pStyle w:val="NormalWeb"/>
        <w:spacing w:before="0" w:beforeAutospacing="0" w:after="0" w:afterAutospacing="0"/>
        <w:ind w:left="720"/>
      </w:pPr>
    </w:p>
    <w:sectPr w:rsidR="0015514B">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F7B68" w14:textId="77777777" w:rsidR="00126C66" w:rsidRDefault="00126C66" w:rsidP="00CF2069">
      <w:r>
        <w:separator/>
      </w:r>
    </w:p>
  </w:endnote>
  <w:endnote w:type="continuationSeparator" w:id="0">
    <w:p w14:paraId="0A5F4F81" w14:textId="77777777" w:rsidR="00126C66" w:rsidRDefault="00126C66" w:rsidP="00CF2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526692"/>
      <w:docPartObj>
        <w:docPartGallery w:val="Page Numbers (Bottom of Page)"/>
        <w:docPartUnique/>
      </w:docPartObj>
    </w:sdtPr>
    <w:sdtEndPr>
      <w:rPr>
        <w:noProof/>
      </w:rPr>
    </w:sdtEndPr>
    <w:sdtContent>
      <w:p w14:paraId="34339592" w14:textId="77777777" w:rsidR="00BF2645" w:rsidRDefault="00BF2645">
        <w:pPr>
          <w:pStyle w:val="Footer"/>
          <w:jc w:val="center"/>
        </w:pPr>
        <w:r>
          <w:fldChar w:fldCharType="begin"/>
        </w:r>
        <w:r>
          <w:instrText xml:space="preserve"> PAGE   \* MERGEFORMAT </w:instrText>
        </w:r>
        <w:r>
          <w:fldChar w:fldCharType="separate"/>
        </w:r>
        <w:r w:rsidR="00BB7065">
          <w:rPr>
            <w:noProof/>
          </w:rPr>
          <w:t>1</w:t>
        </w:r>
        <w:r>
          <w:rPr>
            <w:noProof/>
          </w:rPr>
          <w:fldChar w:fldCharType="end"/>
        </w:r>
      </w:p>
    </w:sdtContent>
  </w:sdt>
  <w:p w14:paraId="39FDD762" w14:textId="77777777" w:rsidR="00BF2645" w:rsidRDefault="00BF26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0880F" w14:textId="77777777" w:rsidR="00126C66" w:rsidRDefault="00126C66" w:rsidP="00CF2069">
      <w:r>
        <w:separator/>
      </w:r>
    </w:p>
  </w:footnote>
  <w:footnote w:type="continuationSeparator" w:id="0">
    <w:p w14:paraId="49872B2C" w14:textId="77777777" w:rsidR="00126C66" w:rsidRDefault="00126C66" w:rsidP="00CF2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45B70"/>
    <w:multiLevelType w:val="multilevel"/>
    <w:tmpl w:val="315E7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C17F29"/>
    <w:multiLevelType w:val="multilevel"/>
    <w:tmpl w:val="40B0F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213B6A"/>
    <w:multiLevelType w:val="multilevel"/>
    <w:tmpl w:val="3834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977DE9"/>
    <w:multiLevelType w:val="multilevel"/>
    <w:tmpl w:val="A5702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DA6808"/>
    <w:multiLevelType w:val="multilevel"/>
    <w:tmpl w:val="81C6E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5A00EB"/>
    <w:multiLevelType w:val="multilevel"/>
    <w:tmpl w:val="899A74F4"/>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785"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065989"/>
    <w:multiLevelType w:val="multilevel"/>
    <w:tmpl w:val="5DB68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F53956"/>
    <w:multiLevelType w:val="multilevel"/>
    <w:tmpl w:val="A5702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1"/>
  </w:num>
  <w:num w:numId="4">
    <w:abstractNumId w:val="4"/>
  </w:num>
  <w:num w:numId="5">
    <w:abstractNumId w:val="3"/>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F45"/>
    <w:rsid w:val="00057AC6"/>
    <w:rsid w:val="00066DB2"/>
    <w:rsid w:val="00067CD3"/>
    <w:rsid w:val="000734E4"/>
    <w:rsid w:val="00074577"/>
    <w:rsid w:val="000A2938"/>
    <w:rsid w:val="000B1138"/>
    <w:rsid w:val="000B2E13"/>
    <w:rsid w:val="000B6CF1"/>
    <w:rsid w:val="000B6EA8"/>
    <w:rsid w:val="000F1133"/>
    <w:rsid w:val="000F1AA1"/>
    <w:rsid w:val="00105FE1"/>
    <w:rsid w:val="0011013C"/>
    <w:rsid w:val="00116003"/>
    <w:rsid w:val="0012170F"/>
    <w:rsid w:val="00126C66"/>
    <w:rsid w:val="0014638A"/>
    <w:rsid w:val="00150DD9"/>
    <w:rsid w:val="00153B7F"/>
    <w:rsid w:val="0015514B"/>
    <w:rsid w:val="00161A2B"/>
    <w:rsid w:val="0016396F"/>
    <w:rsid w:val="0017092C"/>
    <w:rsid w:val="001712C2"/>
    <w:rsid w:val="00193FDB"/>
    <w:rsid w:val="001A4B53"/>
    <w:rsid w:val="001D629E"/>
    <w:rsid w:val="001D70D6"/>
    <w:rsid w:val="001D760E"/>
    <w:rsid w:val="001D7A28"/>
    <w:rsid w:val="001F0419"/>
    <w:rsid w:val="001F6EA2"/>
    <w:rsid w:val="00204637"/>
    <w:rsid w:val="0022140E"/>
    <w:rsid w:val="00221E5C"/>
    <w:rsid w:val="00236BD0"/>
    <w:rsid w:val="00297849"/>
    <w:rsid w:val="002A0921"/>
    <w:rsid w:val="002B2534"/>
    <w:rsid w:val="002B720B"/>
    <w:rsid w:val="002B7FA6"/>
    <w:rsid w:val="002C1E33"/>
    <w:rsid w:val="002C6EB4"/>
    <w:rsid w:val="003013FD"/>
    <w:rsid w:val="00324899"/>
    <w:rsid w:val="00331EC9"/>
    <w:rsid w:val="00334913"/>
    <w:rsid w:val="003747ED"/>
    <w:rsid w:val="00376A12"/>
    <w:rsid w:val="003A2A4B"/>
    <w:rsid w:val="003A337F"/>
    <w:rsid w:val="003B3730"/>
    <w:rsid w:val="003B6E65"/>
    <w:rsid w:val="003B7DF2"/>
    <w:rsid w:val="003C175E"/>
    <w:rsid w:val="003D7914"/>
    <w:rsid w:val="003F4CC7"/>
    <w:rsid w:val="00403114"/>
    <w:rsid w:val="00443FB0"/>
    <w:rsid w:val="004540C6"/>
    <w:rsid w:val="0049106D"/>
    <w:rsid w:val="004947A6"/>
    <w:rsid w:val="004B4303"/>
    <w:rsid w:val="004D2E34"/>
    <w:rsid w:val="004F3108"/>
    <w:rsid w:val="00517536"/>
    <w:rsid w:val="00517859"/>
    <w:rsid w:val="005407AC"/>
    <w:rsid w:val="00542D15"/>
    <w:rsid w:val="00557666"/>
    <w:rsid w:val="00593925"/>
    <w:rsid w:val="00595186"/>
    <w:rsid w:val="005B58B7"/>
    <w:rsid w:val="005C71F1"/>
    <w:rsid w:val="005D11C0"/>
    <w:rsid w:val="005F15D9"/>
    <w:rsid w:val="005F3A57"/>
    <w:rsid w:val="0060628E"/>
    <w:rsid w:val="00607053"/>
    <w:rsid w:val="00614680"/>
    <w:rsid w:val="006278E6"/>
    <w:rsid w:val="00635187"/>
    <w:rsid w:val="00635C5A"/>
    <w:rsid w:val="006456EC"/>
    <w:rsid w:val="00664412"/>
    <w:rsid w:val="00675B34"/>
    <w:rsid w:val="00691546"/>
    <w:rsid w:val="006A6C7C"/>
    <w:rsid w:val="006C0A14"/>
    <w:rsid w:val="006C749E"/>
    <w:rsid w:val="0070693E"/>
    <w:rsid w:val="00714F74"/>
    <w:rsid w:val="0075044F"/>
    <w:rsid w:val="007508F6"/>
    <w:rsid w:val="00756653"/>
    <w:rsid w:val="007947A3"/>
    <w:rsid w:val="007952B4"/>
    <w:rsid w:val="007B1DA2"/>
    <w:rsid w:val="007B71F8"/>
    <w:rsid w:val="007D25C4"/>
    <w:rsid w:val="007D7496"/>
    <w:rsid w:val="007E1F11"/>
    <w:rsid w:val="007F6848"/>
    <w:rsid w:val="008151FB"/>
    <w:rsid w:val="00816AF1"/>
    <w:rsid w:val="00831EB3"/>
    <w:rsid w:val="00874C7E"/>
    <w:rsid w:val="008A5777"/>
    <w:rsid w:val="008B088C"/>
    <w:rsid w:val="008D0A02"/>
    <w:rsid w:val="008F387B"/>
    <w:rsid w:val="009220C4"/>
    <w:rsid w:val="0097184A"/>
    <w:rsid w:val="009742F9"/>
    <w:rsid w:val="00976354"/>
    <w:rsid w:val="00985FEC"/>
    <w:rsid w:val="00990804"/>
    <w:rsid w:val="00993E14"/>
    <w:rsid w:val="009B70F2"/>
    <w:rsid w:val="009C101D"/>
    <w:rsid w:val="009C1D9B"/>
    <w:rsid w:val="009E45CA"/>
    <w:rsid w:val="009F1DD9"/>
    <w:rsid w:val="00A27096"/>
    <w:rsid w:val="00A43386"/>
    <w:rsid w:val="00A51F45"/>
    <w:rsid w:val="00A52D83"/>
    <w:rsid w:val="00A56743"/>
    <w:rsid w:val="00A56FD2"/>
    <w:rsid w:val="00AC09EC"/>
    <w:rsid w:val="00B436CC"/>
    <w:rsid w:val="00B87ADF"/>
    <w:rsid w:val="00B941DC"/>
    <w:rsid w:val="00BB7065"/>
    <w:rsid w:val="00BD14BF"/>
    <w:rsid w:val="00BD558A"/>
    <w:rsid w:val="00BE45AE"/>
    <w:rsid w:val="00BF19A0"/>
    <w:rsid w:val="00BF2645"/>
    <w:rsid w:val="00C166A3"/>
    <w:rsid w:val="00C52070"/>
    <w:rsid w:val="00C74514"/>
    <w:rsid w:val="00C84C2C"/>
    <w:rsid w:val="00C854E7"/>
    <w:rsid w:val="00C86079"/>
    <w:rsid w:val="00C927D7"/>
    <w:rsid w:val="00CA7037"/>
    <w:rsid w:val="00CC0CA1"/>
    <w:rsid w:val="00CF2069"/>
    <w:rsid w:val="00CF718B"/>
    <w:rsid w:val="00D0282D"/>
    <w:rsid w:val="00D05112"/>
    <w:rsid w:val="00D07177"/>
    <w:rsid w:val="00D2306B"/>
    <w:rsid w:val="00D4647D"/>
    <w:rsid w:val="00D51F0D"/>
    <w:rsid w:val="00D74771"/>
    <w:rsid w:val="00D828E9"/>
    <w:rsid w:val="00D876F5"/>
    <w:rsid w:val="00D9201F"/>
    <w:rsid w:val="00DA4502"/>
    <w:rsid w:val="00DF353C"/>
    <w:rsid w:val="00DF3ACD"/>
    <w:rsid w:val="00E00F45"/>
    <w:rsid w:val="00E21D7A"/>
    <w:rsid w:val="00E37008"/>
    <w:rsid w:val="00E453C6"/>
    <w:rsid w:val="00E459D6"/>
    <w:rsid w:val="00E63AEE"/>
    <w:rsid w:val="00E64CE8"/>
    <w:rsid w:val="00E91B28"/>
    <w:rsid w:val="00EA3083"/>
    <w:rsid w:val="00EE6D82"/>
    <w:rsid w:val="00F1046A"/>
    <w:rsid w:val="00F71FB7"/>
    <w:rsid w:val="00F74BCD"/>
    <w:rsid w:val="00F757C5"/>
    <w:rsid w:val="00FA5CB6"/>
    <w:rsid w:val="00FD5462"/>
    <w:rsid w:val="00FE22BA"/>
    <w:rsid w:val="00FF0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9DE41"/>
  <w15:chartTrackingRefBased/>
  <w15:docId w15:val="{A8B94B01-69A0-405A-AE58-EBE4DF5A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18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64CE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A3083"/>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EA3083"/>
    <w:pPr>
      <w:keepNext/>
      <w:keepLines/>
      <w:spacing w:before="40" w:line="259" w:lineRule="auto"/>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3083"/>
    <w:rPr>
      <w:rFonts w:ascii="Times New Roman" w:eastAsia="Times New Roman" w:hAnsi="Times New Roman" w:cs="Times New Roman"/>
      <w:b/>
      <w:bCs/>
      <w:sz w:val="36"/>
      <w:szCs w:val="36"/>
    </w:rPr>
  </w:style>
  <w:style w:type="character" w:styleId="Strong">
    <w:name w:val="Strong"/>
    <w:basedOn w:val="DefaultParagraphFont"/>
    <w:uiPriority w:val="22"/>
    <w:qFormat/>
    <w:rsid w:val="00EA3083"/>
    <w:rPr>
      <w:b/>
      <w:bCs/>
    </w:rPr>
  </w:style>
  <w:style w:type="paragraph" w:styleId="NormalWeb">
    <w:name w:val="Normal (Web)"/>
    <w:basedOn w:val="Normal"/>
    <w:uiPriority w:val="99"/>
    <w:unhideWhenUsed/>
    <w:rsid w:val="00EA3083"/>
    <w:pPr>
      <w:spacing w:before="100" w:beforeAutospacing="1" w:after="100" w:afterAutospacing="1"/>
    </w:pPr>
  </w:style>
  <w:style w:type="character" w:customStyle="1" w:styleId="Heading3Char">
    <w:name w:val="Heading 3 Char"/>
    <w:basedOn w:val="DefaultParagraphFont"/>
    <w:link w:val="Heading3"/>
    <w:uiPriority w:val="9"/>
    <w:rsid w:val="00EA3083"/>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EA3083"/>
    <w:rPr>
      <w:i/>
      <w:iCs/>
    </w:rPr>
  </w:style>
  <w:style w:type="character" w:styleId="Hyperlink">
    <w:name w:val="Hyperlink"/>
    <w:basedOn w:val="DefaultParagraphFont"/>
    <w:uiPriority w:val="99"/>
    <w:unhideWhenUsed/>
    <w:rsid w:val="00EA3083"/>
    <w:rPr>
      <w:color w:val="0000FF"/>
      <w:u w:val="single"/>
    </w:rPr>
  </w:style>
  <w:style w:type="character" w:customStyle="1" w:styleId="ms-1">
    <w:name w:val="ms-1"/>
    <w:basedOn w:val="DefaultParagraphFont"/>
    <w:rsid w:val="00E63AEE"/>
  </w:style>
  <w:style w:type="character" w:customStyle="1" w:styleId="max-w-15ch">
    <w:name w:val="max-w-[15ch]"/>
    <w:basedOn w:val="DefaultParagraphFont"/>
    <w:rsid w:val="00E63AEE"/>
  </w:style>
  <w:style w:type="character" w:styleId="HTMLCode">
    <w:name w:val="HTML Code"/>
    <w:basedOn w:val="DefaultParagraphFont"/>
    <w:uiPriority w:val="99"/>
    <w:semiHidden/>
    <w:unhideWhenUsed/>
    <w:rsid w:val="00D828E9"/>
    <w:rPr>
      <w:rFonts w:ascii="Courier New" w:eastAsia="Times New Roman" w:hAnsi="Courier New" w:cs="Courier New"/>
      <w:sz w:val="20"/>
      <w:szCs w:val="20"/>
    </w:rPr>
  </w:style>
  <w:style w:type="table" w:styleId="TableGrid">
    <w:name w:val="Table Grid"/>
    <w:basedOn w:val="TableNormal"/>
    <w:uiPriority w:val="39"/>
    <w:rsid w:val="00CF2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206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F2069"/>
  </w:style>
  <w:style w:type="paragraph" w:styleId="Footer">
    <w:name w:val="footer"/>
    <w:basedOn w:val="Normal"/>
    <w:link w:val="FooterChar"/>
    <w:uiPriority w:val="99"/>
    <w:unhideWhenUsed/>
    <w:rsid w:val="00CF206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F2069"/>
  </w:style>
  <w:style w:type="character" w:customStyle="1" w:styleId="katex-mathml">
    <w:name w:val="katex-mathml"/>
    <w:basedOn w:val="DefaultParagraphFont"/>
    <w:rsid w:val="00675B34"/>
  </w:style>
  <w:style w:type="character" w:customStyle="1" w:styleId="mord">
    <w:name w:val="mord"/>
    <w:basedOn w:val="DefaultParagraphFont"/>
    <w:rsid w:val="00675B34"/>
  </w:style>
  <w:style w:type="character" w:customStyle="1" w:styleId="mrel">
    <w:name w:val="mrel"/>
    <w:basedOn w:val="DefaultParagraphFont"/>
    <w:rsid w:val="00675B34"/>
  </w:style>
  <w:style w:type="character" w:styleId="UnresolvedMention">
    <w:name w:val="Unresolved Mention"/>
    <w:basedOn w:val="DefaultParagraphFont"/>
    <w:uiPriority w:val="99"/>
    <w:semiHidden/>
    <w:unhideWhenUsed/>
    <w:rsid w:val="00C74514"/>
    <w:rPr>
      <w:color w:val="605E5C"/>
      <w:shd w:val="clear" w:color="auto" w:fill="E1DFDD"/>
    </w:rPr>
  </w:style>
  <w:style w:type="character" w:customStyle="1" w:styleId="Heading1Char">
    <w:name w:val="Heading 1 Char"/>
    <w:basedOn w:val="DefaultParagraphFont"/>
    <w:link w:val="Heading1"/>
    <w:uiPriority w:val="9"/>
    <w:rsid w:val="00E64CE8"/>
    <w:rPr>
      <w:rFonts w:asciiTheme="majorHAnsi" w:eastAsiaTheme="majorEastAsia" w:hAnsiTheme="majorHAnsi" w:cstheme="majorBidi"/>
      <w:color w:val="2E74B5" w:themeColor="accent1" w:themeShade="BF"/>
      <w:sz w:val="32"/>
      <w:szCs w:val="32"/>
    </w:rPr>
  </w:style>
  <w:style w:type="character" w:customStyle="1" w:styleId="whitespace-normal">
    <w:name w:val="whitespace-normal"/>
    <w:basedOn w:val="DefaultParagraphFont"/>
    <w:rsid w:val="00E64CE8"/>
  </w:style>
  <w:style w:type="paragraph" w:styleId="ListParagraph">
    <w:name w:val="List Paragraph"/>
    <w:basedOn w:val="Normal"/>
    <w:uiPriority w:val="34"/>
    <w:qFormat/>
    <w:rsid w:val="00874C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8553">
      <w:bodyDiv w:val="1"/>
      <w:marLeft w:val="0"/>
      <w:marRight w:val="0"/>
      <w:marTop w:val="0"/>
      <w:marBottom w:val="0"/>
      <w:divBdr>
        <w:top w:val="none" w:sz="0" w:space="0" w:color="auto"/>
        <w:left w:val="none" w:sz="0" w:space="0" w:color="auto"/>
        <w:bottom w:val="none" w:sz="0" w:space="0" w:color="auto"/>
        <w:right w:val="none" w:sz="0" w:space="0" w:color="auto"/>
      </w:divBdr>
    </w:div>
    <w:div w:id="72509646">
      <w:bodyDiv w:val="1"/>
      <w:marLeft w:val="0"/>
      <w:marRight w:val="0"/>
      <w:marTop w:val="0"/>
      <w:marBottom w:val="0"/>
      <w:divBdr>
        <w:top w:val="none" w:sz="0" w:space="0" w:color="auto"/>
        <w:left w:val="none" w:sz="0" w:space="0" w:color="auto"/>
        <w:bottom w:val="none" w:sz="0" w:space="0" w:color="auto"/>
        <w:right w:val="none" w:sz="0" w:space="0" w:color="auto"/>
      </w:divBdr>
      <w:divsChild>
        <w:div w:id="1065880747">
          <w:marLeft w:val="0"/>
          <w:marRight w:val="0"/>
          <w:marTop w:val="0"/>
          <w:marBottom w:val="0"/>
          <w:divBdr>
            <w:top w:val="none" w:sz="0" w:space="0" w:color="auto"/>
            <w:left w:val="none" w:sz="0" w:space="0" w:color="auto"/>
            <w:bottom w:val="none" w:sz="0" w:space="0" w:color="auto"/>
            <w:right w:val="none" w:sz="0" w:space="0" w:color="auto"/>
          </w:divBdr>
          <w:divsChild>
            <w:div w:id="187488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64985">
      <w:bodyDiv w:val="1"/>
      <w:marLeft w:val="0"/>
      <w:marRight w:val="0"/>
      <w:marTop w:val="0"/>
      <w:marBottom w:val="0"/>
      <w:divBdr>
        <w:top w:val="none" w:sz="0" w:space="0" w:color="auto"/>
        <w:left w:val="none" w:sz="0" w:space="0" w:color="auto"/>
        <w:bottom w:val="none" w:sz="0" w:space="0" w:color="auto"/>
        <w:right w:val="none" w:sz="0" w:space="0" w:color="auto"/>
      </w:divBdr>
      <w:divsChild>
        <w:div w:id="1379890516">
          <w:marLeft w:val="0"/>
          <w:marRight w:val="0"/>
          <w:marTop w:val="0"/>
          <w:marBottom w:val="0"/>
          <w:divBdr>
            <w:top w:val="none" w:sz="0" w:space="0" w:color="auto"/>
            <w:left w:val="none" w:sz="0" w:space="0" w:color="auto"/>
            <w:bottom w:val="none" w:sz="0" w:space="0" w:color="auto"/>
            <w:right w:val="none" w:sz="0" w:space="0" w:color="auto"/>
          </w:divBdr>
          <w:divsChild>
            <w:div w:id="711081126">
              <w:marLeft w:val="0"/>
              <w:marRight w:val="0"/>
              <w:marTop w:val="0"/>
              <w:marBottom w:val="0"/>
              <w:divBdr>
                <w:top w:val="none" w:sz="0" w:space="0" w:color="auto"/>
                <w:left w:val="none" w:sz="0" w:space="0" w:color="auto"/>
                <w:bottom w:val="none" w:sz="0" w:space="0" w:color="auto"/>
                <w:right w:val="none" w:sz="0" w:space="0" w:color="auto"/>
              </w:divBdr>
              <w:divsChild>
                <w:div w:id="1683162494">
                  <w:marLeft w:val="0"/>
                  <w:marRight w:val="0"/>
                  <w:marTop w:val="0"/>
                  <w:marBottom w:val="0"/>
                  <w:divBdr>
                    <w:top w:val="none" w:sz="0" w:space="0" w:color="auto"/>
                    <w:left w:val="none" w:sz="0" w:space="0" w:color="auto"/>
                    <w:bottom w:val="none" w:sz="0" w:space="0" w:color="auto"/>
                    <w:right w:val="none" w:sz="0" w:space="0" w:color="auto"/>
                  </w:divBdr>
                  <w:divsChild>
                    <w:div w:id="701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305691">
          <w:marLeft w:val="0"/>
          <w:marRight w:val="0"/>
          <w:marTop w:val="0"/>
          <w:marBottom w:val="0"/>
          <w:divBdr>
            <w:top w:val="none" w:sz="0" w:space="0" w:color="auto"/>
            <w:left w:val="none" w:sz="0" w:space="0" w:color="auto"/>
            <w:bottom w:val="none" w:sz="0" w:space="0" w:color="auto"/>
            <w:right w:val="none" w:sz="0" w:space="0" w:color="auto"/>
          </w:divBdr>
          <w:divsChild>
            <w:div w:id="742339277">
              <w:marLeft w:val="0"/>
              <w:marRight w:val="0"/>
              <w:marTop w:val="0"/>
              <w:marBottom w:val="0"/>
              <w:divBdr>
                <w:top w:val="none" w:sz="0" w:space="0" w:color="auto"/>
                <w:left w:val="none" w:sz="0" w:space="0" w:color="auto"/>
                <w:bottom w:val="none" w:sz="0" w:space="0" w:color="auto"/>
                <w:right w:val="none" w:sz="0" w:space="0" w:color="auto"/>
              </w:divBdr>
              <w:divsChild>
                <w:div w:id="1341081833">
                  <w:marLeft w:val="0"/>
                  <w:marRight w:val="0"/>
                  <w:marTop w:val="0"/>
                  <w:marBottom w:val="0"/>
                  <w:divBdr>
                    <w:top w:val="none" w:sz="0" w:space="0" w:color="auto"/>
                    <w:left w:val="none" w:sz="0" w:space="0" w:color="auto"/>
                    <w:bottom w:val="none" w:sz="0" w:space="0" w:color="auto"/>
                    <w:right w:val="none" w:sz="0" w:space="0" w:color="auto"/>
                  </w:divBdr>
                  <w:divsChild>
                    <w:div w:id="514075159">
                      <w:marLeft w:val="0"/>
                      <w:marRight w:val="0"/>
                      <w:marTop w:val="0"/>
                      <w:marBottom w:val="0"/>
                      <w:divBdr>
                        <w:top w:val="none" w:sz="0" w:space="0" w:color="auto"/>
                        <w:left w:val="none" w:sz="0" w:space="0" w:color="auto"/>
                        <w:bottom w:val="none" w:sz="0" w:space="0" w:color="auto"/>
                        <w:right w:val="none" w:sz="0" w:space="0" w:color="auto"/>
                      </w:divBdr>
                      <w:divsChild>
                        <w:div w:id="1840387868">
                          <w:marLeft w:val="0"/>
                          <w:marRight w:val="0"/>
                          <w:marTop w:val="0"/>
                          <w:marBottom w:val="0"/>
                          <w:divBdr>
                            <w:top w:val="none" w:sz="0" w:space="0" w:color="auto"/>
                            <w:left w:val="none" w:sz="0" w:space="0" w:color="auto"/>
                            <w:bottom w:val="none" w:sz="0" w:space="0" w:color="auto"/>
                            <w:right w:val="none" w:sz="0" w:space="0" w:color="auto"/>
                          </w:divBdr>
                          <w:divsChild>
                            <w:div w:id="630207921">
                              <w:marLeft w:val="0"/>
                              <w:marRight w:val="0"/>
                              <w:marTop w:val="0"/>
                              <w:marBottom w:val="0"/>
                              <w:divBdr>
                                <w:top w:val="none" w:sz="0" w:space="0" w:color="auto"/>
                                <w:left w:val="none" w:sz="0" w:space="0" w:color="auto"/>
                                <w:bottom w:val="none" w:sz="0" w:space="0" w:color="auto"/>
                                <w:right w:val="none" w:sz="0" w:space="0" w:color="auto"/>
                              </w:divBdr>
                              <w:divsChild>
                                <w:div w:id="13313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962011">
          <w:marLeft w:val="0"/>
          <w:marRight w:val="0"/>
          <w:marTop w:val="0"/>
          <w:marBottom w:val="0"/>
          <w:divBdr>
            <w:top w:val="none" w:sz="0" w:space="0" w:color="auto"/>
            <w:left w:val="none" w:sz="0" w:space="0" w:color="auto"/>
            <w:bottom w:val="none" w:sz="0" w:space="0" w:color="auto"/>
            <w:right w:val="none" w:sz="0" w:space="0" w:color="auto"/>
          </w:divBdr>
          <w:divsChild>
            <w:div w:id="1657103817">
              <w:marLeft w:val="0"/>
              <w:marRight w:val="0"/>
              <w:marTop w:val="0"/>
              <w:marBottom w:val="0"/>
              <w:divBdr>
                <w:top w:val="none" w:sz="0" w:space="0" w:color="auto"/>
                <w:left w:val="none" w:sz="0" w:space="0" w:color="auto"/>
                <w:bottom w:val="none" w:sz="0" w:space="0" w:color="auto"/>
                <w:right w:val="none" w:sz="0" w:space="0" w:color="auto"/>
              </w:divBdr>
              <w:divsChild>
                <w:div w:id="904070063">
                  <w:marLeft w:val="0"/>
                  <w:marRight w:val="0"/>
                  <w:marTop w:val="0"/>
                  <w:marBottom w:val="0"/>
                  <w:divBdr>
                    <w:top w:val="none" w:sz="0" w:space="0" w:color="auto"/>
                    <w:left w:val="none" w:sz="0" w:space="0" w:color="auto"/>
                    <w:bottom w:val="none" w:sz="0" w:space="0" w:color="auto"/>
                    <w:right w:val="none" w:sz="0" w:space="0" w:color="auto"/>
                  </w:divBdr>
                  <w:divsChild>
                    <w:div w:id="1543470834">
                      <w:marLeft w:val="0"/>
                      <w:marRight w:val="0"/>
                      <w:marTop w:val="0"/>
                      <w:marBottom w:val="0"/>
                      <w:divBdr>
                        <w:top w:val="none" w:sz="0" w:space="0" w:color="auto"/>
                        <w:left w:val="none" w:sz="0" w:space="0" w:color="auto"/>
                        <w:bottom w:val="none" w:sz="0" w:space="0" w:color="auto"/>
                        <w:right w:val="none" w:sz="0" w:space="0" w:color="auto"/>
                      </w:divBdr>
                      <w:divsChild>
                        <w:div w:id="705179543">
                          <w:marLeft w:val="0"/>
                          <w:marRight w:val="0"/>
                          <w:marTop w:val="0"/>
                          <w:marBottom w:val="0"/>
                          <w:divBdr>
                            <w:top w:val="none" w:sz="0" w:space="0" w:color="auto"/>
                            <w:left w:val="none" w:sz="0" w:space="0" w:color="auto"/>
                            <w:bottom w:val="none" w:sz="0" w:space="0" w:color="auto"/>
                            <w:right w:val="none" w:sz="0" w:space="0" w:color="auto"/>
                          </w:divBdr>
                          <w:divsChild>
                            <w:div w:id="709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185619">
      <w:bodyDiv w:val="1"/>
      <w:marLeft w:val="0"/>
      <w:marRight w:val="0"/>
      <w:marTop w:val="0"/>
      <w:marBottom w:val="0"/>
      <w:divBdr>
        <w:top w:val="none" w:sz="0" w:space="0" w:color="auto"/>
        <w:left w:val="none" w:sz="0" w:space="0" w:color="auto"/>
        <w:bottom w:val="none" w:sz="0" w:space="0" w:color="auto"/>
        <w:right w:val="none" w:sz="0" w:space="0" w:color="auto"/>
      </w:divBdr>
    </w:div>
    <w:div w:id="430900606">
      <w:bodyDiv w:val="1"/>
      <w:marLeft w:val="0"/>
      <w:marRight w:val="0"/>
      <w:marTop w:val="0"/>
      <w:marBottom w:val="0"/>
      <w:divBdr>
        <w:top w:val="none" w:sz="0" w:space="0" w:color="auto"/>
        <w:left w:val="none" w:sz="0" w:space="0" w:color="auto"/>
        <w:bottom w:val="none" w:sz="0" w:space="0" w:color="auto"/>
        <w:right w:val="none" w:sz="0" w:space="0" w:color="auto"/>
      </w:divBdr>
      <w:divsChild>
        <w:div w:id="748576745">
          <w:marLeft w:val="0"/>
          <w:marRight w:val="0"/>
          <w:marTop w:val="0"/>
          <w:marBottom w:val="0"/>
          <w:divBdr>
            <w:top w:val="none" w:sz="0" w:space="0" w:color="auto"/>
            <w:left w:val="none" w:sz="0" w:space="0" w:color="auto"/>
            <w:bottom w:val="none" w:sz="0" w:space="0" w:color="auto"/>
            <w:right w:val="none" w:sz="0" w:space="0" w:color="auto"/>
          </w:divBdr>
          <w:divsChild>
            <w:div w:id="309671511">
              <w:marLeft w:val="0"/>
              <w:marRight w:val="0"/>
              <w:marTop w:val="0"/>
              <w:marBottom w:val="0"/>
              <w:divBdr>
                <w:top w:val="none" w:sz="0" w:space="0" w:color="auto"/>
                <w:left w:val="none" w:sz="0" w:space="0" w:color="auto"/>
                <w:bottom w:val="none" w:sz="0" w:space="0" w:color="auto"/>
                <w:right w:val="none" w:sz="0" w:space="0" w:color="auto"/>
              </w:divBdr>
              <w:divsChild>
                <w:div w:id="366756192">
                  <w:marLeft w:val="0"/>
                  <w:marRight w:val="0"/>
                  <w:marTop w:val="0"/>
                  <w:marBottom w:val="0"/>
                  <w:divBdr>
                    <w:top w:val="none" w:sz="0" w:space="0" w:color="auto"/>
                    <w:left w:val="none" w:sz="0" w:space="0" w:color="auto"/>
                    <w:bottom w:val="none" w:sz="0" w:space="0" w:color="auto"/>
                    <w:right w:val="none" w:sz="0" w:space="0" w:color="auto"/>
                  </w:divBdr>
                  <w:divsChild>
                    <w:div w:id="1575311116">
                      <w:marLeft w:val="0"/>
                      <w:marRight w:val="0"/>
                      <w:marTop w:val="0"/>
                      <w:marBottom w:val="0"/>
                      <w:divBdr>
                        <w:top w:val="none" w:sz="0" w:space="0" w:color="auto"/>
                        <w:left w:val="none" w:sz="0" w:space="0" w:color="auto"/>
                        <w:bottom w:val="none" w:sz="0" w:space="0" w:color="auto"/>
                        <w:right w:val="none" w:sz="0" w:space="0" w:color="auto"/>
                      </w:divBdr>
                      <w:divsChild>
                        <w:div w:id="582956809">
                          <w:marLeft w:val="0"/>
                          <w:marRight w:val="0"/>
                          <w:marTop w:val="0"/>
                          <w:marBottom w:val="0"/>
                          <w:divBdr>
                            <w:top w:val="none" w:sz="0" w:space="0" w:color="auto"/>
                            <w:left w:val="none" w:sz="0" w:space="0" w:color="auto"/>
                            <w:bottom w:val="none" w:sz="0" w:space="0" w:color="auto"/>
                            <w:right w:val="none" w:sz="0" w:space="0" w:color="auto"/>
                          </w:divBdr>
                          <w:divsChild>
                            <w:div w:id="17334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549482">
      <w:bodyDiv w:val="1"/>
      <w:marLeft w:val="0"/>
      <w:marRight w:val="0"/>
      <w:marTop w:val="0"/>
      <w:marBottom w:val="0"/>
      <w:divBdr>
        <w:top w:val="none" w:sz="0" w:space="0" w:color="auto"/>
        <w:left w:val="none" w:sz="0" w:space="0" w:color="auto"/>
        <w:bottom w:val="none" w:sz="0" w:space="0" w:color="auto"/>
        <w:right w:val="none" w:sz="0" w:space="0" w:color="auto"/>
      </w:divBdr>
    </w:div>
    <w:div w:id="495340815">
      <w:bodyDiv w:val="1"/>
      <w:marLeft w:val="0"/>
      <w:marRight w:val="0"/>
      <w:marTop w:val="0"/>
      <w:marBottom w:val="0"/>
      <w:divBdr>
        <w:top w:val="none" w:sz="0" w:space="0" w:color="auto"/>
        <w:left w:val="none" w:sz="0" w:space="0" w:color="auto"/>
        <w:bottom w:val="none" w:sz="0" w:space="0" w:color="auto"/>
        <w:right w:val="none" w:sz="0" w:space="0" w:color="auto"/>
      </w:divBdr>
    </w:div>
    <w:div w:id="513113217">
      <w:bodyDiv w:val="1"/>
      <w:marLeft w:val="0"/>
      <w:marRight w:val="0"/>
      <w:marTop w:val="0"/>
      <w:marBottom w:val="0"/>
      <w:divBdr>
        <w:top w:val="none" w:sz="0" w:space="0" w:color="auto"/>
        <w:left w:val="none" w:sz="0" w:space="0" w:color="auto"/>
        <w:bottom w:val="none" w:sz="0" w:space="0" w:color="auto"/>
        <w:right w:val="none" w:sz="0" w:space="0" w:color="auto"/>
      </w:divBdr>
      <w:divsChild>
        <w:div w:id="907347599">
          <w:marLeft w:val="0"/>
          <w:marRight w:val="0"/>
          <w:marTop w:val="0"/>
          <w:marBottom w:val="0"/>
          <w:divBdr>
            <w:top w:val="none" w:sz="0" w:space="0" w:color="auto"/>
            <w:left w:val="none" w:sz="0" w:space="0" w:color="auto"/>
            <w:bottom w:val="none" w:sz="0" w:space="0" w:color="auto"/>
            <w:right w:val="none" w:sz="0" w:space="0" w:color="auto"/>
          </w:divBdr>
          <w:divsChild>
            <w:div w:id="177848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134937">
      <w:bodyDiv w:val="1"/>
      <w:marLeft w:val="0"/>
      <w:marRight w:val="0"/>
      <w:marTop w:val="0"/>
      <w:marBottom w:val="0"/>
      <w:divBdr>
        <w:top w:val="none" w:sz="0" w:space="0" w:color="auto"/>
        <w:left w:val="none" w:sz="0" w:space="0" w:color="auto"/>
        <w:bottom w:val="none" w:sz="0" w:space="0" w:color="auto"/>
        <w:right w:val="none" w:sz="0" w:space="0" w:color="auto"/>
      </w:divBdr>
      <w:divsChild>
        <w:div w:id="1024131420">
          <w:marLeft w:val="0"/>
          <w:marRight w:val="0"/>
          <w:marTop w:val="0"/>
          <w:marBottom w:val="0"/>
          <w:divBdr>
            <w:top w:val="none" w:sz="0" w:space="0" w:color="auto"/>
            <w:left w:val="none" w:sz="0" w:space="0" w:color="auto"/>
            <w:bottom w:val="none" w:sz="0" w:space="0" w:color="auto"/>
            <w:right w:val="none" w:sz="0" w:space="0" w:color="auto"/>
          </w:divBdr>
          <w:divsChild>
            <w:div w:id="122961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10575">
      <w:bodyDiv w:val="1"/>
      <w:marLeft w:val="0"/>
      <w:marRight w:val="0"/>
      <w:marTop w:val="0"/>
      <w:marBottom w:val="0"/>
      <w:divBdr>
        <w:top w:val="none" w:sz="0" w:space="0" w:color="auto"/>
        <w:left w:val="none" w:sz="0" w:space="0" w:color="auto"/>
        <w:bottom w:val="none" w:sz="0" w:space="0" w:color="auto"/>
        <w:right w:val="none" w:sz="0" w:space="0" w:color="auto"/>
      </w:divBdr>
      <w:divsChild>
        <w:div w:id="2023429473">
          <w:marLeft w:val="0"/>
          <w:marRight w:val="0"/>
          <w:marTop w:val="0"/>
          <w:marBottom w:val="0"/>
          <w:divBdr>
            <w:top w:val="none" w:sz="0" w:space="0" w:color="auto"/>
            <w:left w:val="none" w:sz="0" w:space="0" w:color="auto"/>
            <w:bottom w:val="none" w:sz="0" w:space="0" w:color="auto"/>
            <w:right w:val="none" w:sz="0" w:space="0" w:color="auto"/>
          </w:divBdr>
          <w:divsChild>
            <w:div w:id="1754551165">
              <w:marLeft w:val="0"/>
              <w:marRight w:val="0"/>
              <w:marTop w:val="0"/>
              <w:marBottom w:val="0"/>
              <w:divBdr>
                <w:top w:val="none" w:sz="0" w:space="0" w:color="auto"/>
                <w:left w:val="none" w:sz="0" w:space="0" w:color="auto"/>
                <w:bottom w:val="none" w:sz="0" w:space="0" w:color="auto"/>
                <w:right w:val="none" w:sz="0" w:space="0" w:color="auto"/>
              </w:divBdr>
              <w:divsChild>
                <w:div w:id="1265921168">
                  <w:marLeft w:val="0"/>
                  <w:marRight w:val="0"/>
                  <w:marTop w:val="0"/>
                  <w:marBottom w:val="0"/>
                  <w:divBdr>
                    <w:top w:val="none" w:sz="0" w:space="0" w:color="auto"/>
                    <w:left w:val="none" w:sz="0" w:space="0" w:color="auto"/>
                    <w:bottom w:val="none" w:sz="0" w:space="0" w:color="auto"/>
                    <w:right w:val="none" w:sz="0" w:space="0" w:color="auto"/>
                  </w:divBdr>
                  <w:divsChild>
                    <w:div w:id="282228723">
                      <w:marLeft w:val="0"/>
                      <w:marRight w:val="0"/>
                      <w:marTop w:val="0"/>
                      <w:marBottom w:val="0"/>
                      <w:divBdr>
                        <w:top w:val="none" w:sz="0" w:space="0" w:color="auto"/>
                        <w:left w:val="none" w:sz="0" w:space="0" w:color="auto"/>
                        <w:bottom w:val="none" w:sz="0" w:space="0" w:color="auto"/>
                        <w:right w:val="none" w:sz="0" w:space="0" w:color="auto"/>
                      </w:divBdr>
                      <w:divsChild>
                        <w:div w:id="746806055">
                          <w:marLeft w:val="0"/>
                          <w:marRight w:val="0"/>
                          <w:marTop w:val="0"/>
                          <w:marBottom w:val="0"/>
                          <w:divBdr>
                            <w:top w:val="none" w:sz="0" w:space="0" w:color="auto"/>
                            <w:left w:val="none" w:sz="0" w:space="0" w:color="auto"/>
                            <w:bottom w:val="none" w:sz="0" w:space="0" w:color="auto"/>
                            <w:right w:val="none" w:sz="0" w:space="0" w:color="auto"/>
                          </w:divBdr>
                          <w:divsChild>
                            <w:div w:id="65584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72945">
          <w:marLeft w:val="0"/>
          <w:marRight w:val="0"/>
          <w:marTop w:val="0"/>
          <w:marBottom w:val="0"/>
          <w:divBdr>
            <w:top w:val="none" w:sz="0" w:space="0" w:color="auto"/>
            <w:left w:val="none" w:sz="0" w:space="0" w:color="auto"/>
            <w:bottom w:val="none" w:sz="0" w:space="0" w:color="auto"/>
            <w:right w:val="none" w:sz="0" w:space="0" w:color="auto"/>
          </w:divBdr>
          <w:divsChild>
            <w:div w:id="808473856">
              <w:marLeft w:val="0"/>
              <w:marRight w:val="0"/>
              <w:marTop w:val="0"/>
              <w:marBottom w:val="0"/>
              <w:divBdr>
                <w:top w:val="none" w:sz="0" w:space="0" w:color="auto"/>
                <w:left w:val="none" w:sz="0" w:space="0" w:color="auto"/>
                <w:bottom w:val="none" w:sz="0" w:space="0" w:color="auto"/>
                <w:right w:val="none" w:sz="0" w:space="0" w:color="auto"/>
              </w:divBdr>
              <w:divsChild>
                <w:div w:id="2047365867">
                  <w:marLeft w:val="0"/>
                  <w:marRight w:val="0"/>
                  <w:marTop w:val="0"/>
                  <w:marBottom w:val="0"/>
                  <w:divBdr>
                    <w:top w:val="none" w:sz="0" w:space="0" w:color="auto"/>
                    <w:left w:val="none" w:sz="0" w:space="0" w:color="auto"/>
                    <w:bottom w:val="none" w:sz="0" w:space="0" w:color="auto"/>
                    <w:right w:val="none" w:sz="0" w:space="0" w:color="auto"/>
                  </w:divBdr>
                  <w:divsChild>
                    <w:div w:id="160707454">
                      <w:marLeft w:val="0"/>
                      <w:marRight w:val="0"/>
                      <w:marTop w:val="0"/>
                      <w:marBottom w:val="0"/>
                      <w:divBdr>
                        <w:top w:val="none" w:sz="0" w:space="0" w:color="auto"/>
                        <w:left w:val="none" w:sz="0" w:space="0" w:color="auto"/>
                        <w:bottom w:val="none" w:sz="0" w:space="0" w:color="auto"/>
                        <w:right w:val="none" w:sz="0" w:space="0" w:color="auto"/>
                      </w:divBdr>
                      <w:divsChild>
                        <w:div w:id="1073508483">
                          <w:marLeft w:val="0"/>
                          <w:marRight w:val="0"/>
                          <w:marTop w:val="0"/>
                          <w:marBottom w:val="0"/>
                          <w:divBdr>
                            <w:top w:val="none" w:sz="0" w:space="0" w:color="auto"/>
                            <w:left w:val="none" w:sz="0" w:space="0" w:color="auto"/>
                            <w:bottom w:val="none" w:sz="0" w:space="0" w:color="auto"/>
                            <w:right w:val="none" w:sz="0" w:space="0" w:color="auto"/>
                          </w:divBdr>
                          <w:divsChild>
                            <w:div w:id="979000141">
                              <w:marLeft w:val="0"/>
                              <w:marRight w:val="0"/>
                              <w:marTop w:val="0"/>
                              <w:marBottom w:val="0"/>
                              <w:divBdr>
                                <w:top w:val="none" w:sz="0" w:space="0" w:color="auto"/>
                                <w:left w:val="none" w:sz="0" w:space="0" w:color="auto"/>
                                <w:bottom w:val="none" w:sz="0" w:space="0" w:color="auto"/>
                                <w:right w:val="none" w:sz="0" w:space="0" w:color="auto"/>
                              </w:divBdr>
                              <w:divsChild>
                                <w:div w:id="7438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957389">
          <w:marLeft w:val="0"/>
          <w:marRight w:val="0"/>
          <w:marTop w:val="0"/>
          <w:marBottom w:val="0"/>
          <w:divBdr>
            <w:top w:val="none" w:sz="0" w:space="0" w:color="auto"/>
            <w:left w:val="none" w:sz="0" w:space="0" w:color="auto"/>
            <w:bottom w:val="none" w:sz="0" w:space="0" w:color="auto"/>
            <w:right w:val="none" w:sz="0" w:space="0" w:color="auto"/>
          </w:divBdr>
          <w:divsChild>
            <w:div w:id="1570267103">
              <w:marLeft w:val="0"/>
              <w:marRight w:val="0"/>
              <w:marTop w:val="0"/>
              <w:marBottom w:val="0"/>
              <w:divBdr>
                <w:top w:val="none" w:sz="0" w:space="0" w:color="auto"/>
                <w:left w:val="none" w:sz="0" w:space="0" w:color="auto"/>
                <w:bottom w:val="none" w:sz="0" w:space="0" w:color="auto"/>
                <w:right w:val="none" w:sz="0" w:space="0" w:color="auto"/>
              </w:divBdr>
              <w:divsChild>
                <w:div w:id="1108281544">
                  <w:marLeft w:val="0"/>
                  <w:marRight w:val="0"/>
                  <w:marTop w:val="0"/>
                  <w:marBottom w:val="0"/>
                  <w:divBdr>
                    <w:top w:val="none" w:sz="0" w:space="0" w:color="auto"/>
                    <w:left w:val="none" w:sz="0" w:space="0" w:color="auto"/>
                    <w:bottom w:val="none" w:sz="0" w:space="0" w:color="auto"/>
                    <w:right w:val="none" w:sz="0" w:space="0" w:color="auto"/>
                  </w:divBdr>
                  <w:divsChild>
                    <w:div w:id="1981375523">
                      <w:marLeft w:val="0"/>
                      <w:marRight w:val="0"/>
                      <w:marTop w:val="0"/>
                      <w:marBottom w:val="0"/>
                      <w:divBdr>
                        <w:top w:val="none" w:sz="0" w:space="0" w:color="auto"/>
                        <w:left w:val="none" w:sz="0" w:space="0" w:color="auto"/>
                        <w:bottom w:val="none" w:sz="0" w:space="0" w:color="auto"/>
                        <w:right w:val="none" w:sz="0" w:space="0" w:color="auto"/>
                      </w:divBdr>
                      <w:divsChild>
                        <w:div w:id="1657957283">
                          <w:marLeft w:val="0"/>
                          <w:marRight w:val="0"/>
                          <w:marTop w:val="0"/>
                          <w:marBottom w:val="0"/>
                          <w:divBdr>
                            <w:top w:val="none" w:sz="0" w:space="0" w:color="auto"/>
                            <w:left w:val="none" w:sz="0" w:space="0" w:color="auto"/>
                            <w:bottom w:val="none" w:sz="0" w:space="0" w:color="auto"/>
                            <w:right w:val="none" w:sz="0" w:space="0" w:color="auto"/>
                          </w:divBdr>
                          <w:divsChild>
                            <w:div w:id="57922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410813">
      <w:bodyDiv w:val="1"/>
      <w:marLeft w:val="0"/>
      <w:marRight w:val="0"/>
      <w:marTop w:val="0"/>
      <w:marBottom w:val="0"/>
      <w:divBdr>
        <w:top w:val="none" w:sz="0" w:space="0" w:color="auto"/>
        <w:left w:val="none" w:sz="0" w:space="0" w:color="auto"/>
        <w:bottom w:val="none" w:sz="0" w:space="0" w:color="auto"/>
        <w:right w:val="none" w:sz="0" w:space="0" w:color="auto"/>
      </w:divBdr>
    </w:div>
    <w:div w:id="586623300">
      <w:bodyDiv w:val="1"/>
      <w:marLeft w:val="0"/>
      <w:marRight w:val="0"/>
      <w:marTop w:val="0"/>
      <w:marBottom w:val="0"/>
      <w:divBdr>
        <w:top w:val="none" w:sz="0" w:space="0" w:color="auto"/>
        <w:left w:val="none" w:sz="0" w:space="0" w:color="auto"/>
        <w:bottom w:val="none" w:sz="0" w:space="0" w:color="auto"/>
        <w:right w:val="none" w:sz="0" w:space="0" w:color="auto"/>
      </w:divBdr>
      <w:divsChild>
        <w:div w:id="164364966">
          <w:marLeft w:val="0"/>
          <w:marRight w:val="0"/>
          <w:marTop w:val="0"/>
          <w:marBottom w:val="0"/>
          <w:divBdr>
            <w:top w:val="none" w:sz="0" w:space="0" w:color="auto"/>
            <w:left w:val="none" w:sz="0" w:space="0" w:color="auto"/>
            <w:bottom w:val="none" w:sz="0" w:space="0" w:color="auto"/>
            <w:right w:val="none" w:sz="0" w:space="0" w:color="auto"/>
          </w:divBdr>
          <w:divsChild>
            <w:div w:id="13938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80528">
      <w:bodyDiv w:val="1"/>
      <w:marLeft w:val="0"/>
      <w:marRight w:val="0"/>
      <w:marTop w:val="0"/>
      <w:marBottom w:val="0"/>
      <w:divBdr>
        <w:top w:val="none" w:sz="0" w:space="0" w:color="auto"/>
        <w:left w:val="none" w:sz="0" w:space="0" w:color="auto"/>
        <w:bottom w:val="none" w:sz="0" w:space="0" w:color="auto"/>
        <w:right w:val="none" w:sz="0" w:space="0" w:color="auto"/>
      </w:divBdr>
    </w:div>
    <w:div w:id="606348375">
      <w:bodyDiv w:val="1"/>
      <w:marLeft w:val="0"/>
      <w:marRight w:val="0"/>
      <w:marTop w:val="0"/>
      <w:marBottom w:val="0"/>
      <w:divBdr>
        <w:top w:val="none" w:sz="0" w:space="0" w:color="auto"/>
        <w:left w:val="none" w:sz="0" w:space="0" w:color="auto"/>
        <w:bottom w:val="none" w:sz="0" w:space="0" w:color="auto"/>
        <w:right w:val="none" w:sz="0" w:space="0" w:color="auto"/>
      </w:divBdr>
    </w:div>
    <w:div w:id="651984840">
      <w:bodyDiv w:val="1"/>
      <w:marLeft w:val="0"/>
      <w:marRight w:val="0"/>
      <w:marTop w:val="0"/>
      <w:marBottom w:val="0"/>
      <w:divBdr>
        <w:top w:val="none" w:sz="0" w:space="0" w:color="auto"/>
        <w:left w:val="none" w:sz="0" w:space="0" w:color="auto"/>
        <w:bottom w:val="none" w:sz="0" w:space="0" w:color="auto"/>
        <w:right w:val="none" w:sz="0" w:space="0" w:color="auto"/>
      </w:divBdr>
    </w:div>
    <w:div w:id="668599425">
      <w:bodyDiv w:val="1"/>
      <w:marLeft w:val="0"/>
      <w:marRight w:val="0"/>
      <w:marTop w:val="0"/>
      <w:marBottom w:val="0"/>
      <w:divBdr>
        <w:top w:val="none" w:sz="0" w:space="0" w:color="auto"/>
        <w:left w:val="none" w:sz="0" w:space="0" w:color="auto"/>
        <w:bottom w:val="none" w:sz="0" w:space="0" w:color="auto"/>
        <w:right w:val="none" w:sz="0" w:space="0" w:color="auto"/>
      </w:divBdr>
      <w:divsChild>
        <w:div w:id="1839491761">
          <w:marLeft w:val="0"/>
          <w:marRight w:val="0"/>
          <w:marTop w:val="0"/>
          <w:marBottom w:val="0"/>
          <w:divBdr>
            <w:top w:val="none" w:sz="0" w:space="0" w:color="auto"/>
            <w:left w:val="none" w:sz="0" w:space="0" w:color="auto"/>
            <w:bottom w:val="none" w:sz="0" w:space="0" w:color="auto"/>
            <w:right w:val="none" w:sz="0" w:space="0" w:color="auto"/>
          </w:divBdr>
          <w:divsChild>
            <w:div w:id="2091539298">
              <w:marLeft w:val="0"/>
              <w:marRight w:val="0"/>
              <w:marTop w:val="0"/>
              <w:marBottom w:val="0"/>
              <w:divBdr>
                <w:top w:val="none" w:sz="0" w:space="0" w:color="auto"/>
                <w:left w:val="none" w:sz="0" w:space="0" w:color="auto"/>
                <w:bottom w:val="none" w:sz="0" w:space="0" w:color="auto"/>
                <w:right w:val="none" w:sz="0" w:space="0" w:color="auto"/>
              </w:divBdr>
              <w:divsChild>
                <w:div w:id="320697152">
                  <w:marLeft w:val="0"/>
                  <w:marRight w:val="0"/>
                  <w:marTop w:val="0"/>
                  <w:marBottom w:val="0"/>
                  <w:divBdr>
                    <w:top w:val="none" w:sz="0" w:space="0" w:color="auto"/>
                    <w:left w:val="none" w:sz="0" w:space="0" w:color="auto"/>
                    <w:bottom w:val="none" w:sz="0" w:space="0" w:color="auto"/>
                    <w:right w:val="none" w:sz="0" w:space="0" w:color="auto"/>
                  </w:divBdr>
                  <w:divsChild>
                    <w:div w:id="1948809365">
                      <w:marLeft w:val="0"/>
                      <w:marRight w:val="0"/>
                      <w:marTop w:val="0"/>
                      <w:marBottom w:val="0"/>
                      <w:divBdr>
                        <w:top w:val="none" w:sz="0" w:space="0" w:color="auto"/>
                        <w:left w:val="none" w:sz="0" w:space="0" w:color="auto"/>
                        <w:bottom w:val="none" w:sz="0" w:space="0" w:color="auto"/>
                        <w:right w:val="none" w:sz="0" w:space="0" w:color="auto"/>
                      </w:divBdr>
                      <w:divsChild>
                        <w:div w:id="621182574">
                          <w:marLeft w:val="0"/>
                          <w:marRight w:val="0"/>
                          <w:marTop w:val="0"/>
                          <w:marBottom w:val="0"/>
                          <w:divBdr>
                            <w:top w:val="none" w:sz="0" w:space="0" w:color="auto"/>
                            <w:left w:val="none" w:sz="0" w:space="0" w:color="auto"/>
                            <w:bottom w:val="none" w:sz="0" w:space="0" w:color="auto"/>
                            <w:right w:val="none" w:sz="0" w:space="0" w:color="auto"/>
                          </w:divBdr>
                          <w:divsChild>
                            <w:div w:id="7247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665235">
      <w:bodyDiv w:val="1"/>
      <w:marLeft w:val="0"/>
      <w:marRight w:val="0"/>
      <w:marTop w:val="0"/>
      <w:marBottom w:val="0"/>
      <w:divBdr>
        <w:top w:val="none" w:sz="0" w:space="0" w:color="auto"/>
        <w:left w:val="none" w:sz="0" w:space="0" w:color="auto"/>
        <w:bottom w:val="none" w:sz="0" w:space="0" w:color="auto"/>
        <w:right w:val="none" w:sz="0" w:space="0" w:color="auto"/>
      </w:divBdr>
      <w:divsChild>
        <w:div w:id="184827272">
          <w:marLeft w:val="0"/>
          <w:marRight w:val="0"/>
          <w:marTop w:val="0"/>
          <w:marBottom w:val="0"/>
          <w:divBdr>
            <w:top w:val="none" w:sz="0" w:space="0" w:color="auto"/>
            <w:left w:val="none" w:sz="0" w:space="0" w:color="auto"/>
            <w:bottom w:val="none" w:sz="0" w:space="0" w:color="auto"/>
            <w:right w:val="none" w:sz="0" w:space="0" w:color="auto"/>
          </w:divBdr>
          <w:divsChild>
            <w:div w:id="9522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94819">
      <w:bodyDiv w:val="1"/>
      <w:marLeft w:val="0"/>
      <w:marRight w:val="0"/>
      <w:marTop w:val="0"/>
      <w:marBottom w:val="0"/>
      <w:divBdr>
        <w:top w:val="none" w:sz="0" w:space="0" w:color="auto"/>
        <w:left w:val="none" w:sz="0" w:space="0" w:color="auto"/>
        <w:bottom w:val="none" w:sz="0" w:space="0" w:color="auto"/>
        <w:right w:val="none" w:sz="0" w:space="0" w:color="auto"/>
      </w:divBdr>
    </w:div>
    <w:div w:id="777723913">
      <w:bodyDiv w:val="1"/>
      <w:marLeft w:val="0"/>
      <w:marRight w:val="0"/>
      <w:marTop w:val="0"/>
      <w:marBottom w:val="0"/>
      <w:divBdr>
        <w:top w:val="none" w:sz="0" w:space="0" w:color="auto"/>
        <w:left w:val="none" w:sz="0" w:space="0" w:color="auto"/>
        <w:bottom w:val="none" w:sz="0" w:space="0" w:color="auto"/>
        <w:right w:val="none" w:sz="0" w:space="0" w:color="auto"/>
      </w:divBdr>
    </w:div>
    <w:div w:id="782190635">
      <w:bodyDiv w:val="1"/>
      <w:marLeft w:val="0"/>
      <w:marRight w:val="0"/>
      <w:marTop w:val="0"/>
      <w:marBottom w:val="0"/>
      <w:divBdr>
        <w:top w:val="none" w:sz="0" w:space="0" w:color="auto"/>
        <w:left w:val="none" w:sz="0" w:space="0" w:color="auto"/>
        <w:bottom w:val="none" w:sz="0" w:space="0" w:color="auto"/>
        <w:right w:val="none" w:sz="0" w:space="0" w:color="auto"/>
      </w:divBdr>
      <w:divsChild>
        <w:div w:id="449397552">
          <w:marLeft w:val="0"/>
          <w:marRight w:val="0"/>
          <w:marTop w:val="0"/>
          <w:marBottom w:val="0"/>
          <w:divBdr>
            <w:top w:val="none" w:sz="0" w:space="0" w:color="auto"/>
            <w:left w:val="none" w:sz="0" w:space="0" w:color="auto"/>
            <w:bottom w:val="none" w:sz="0" w:space="0" w:color="auto"/>
            <w:right w:val="none" w:sz="0" w:space="0" w:color="auto"/>
          </w:divBdr>
          <w:divsChild>
            <w:div w:id="1078015354">
              <w:marLeft w:val="0"/>
              <w:marRight w:val="0"/>
              <w:marTop w:val="0"/>
              <w:marBottom w:val="0"/>
              <w:divBdr>
                <w:top w:val="none" w:sz="0" w:space="0" w:color="auto"/>
                <w:left w:val="none" w:sz="0" w:space="0" w:color="auto"/>
                <w:bottom w:val="none" w:sz="0" w:space="0" w:color="auto"/>
                <w:right w:val="none" w:sz="0" w:space="0" w:color="auto"/>
              </w:divBdr>
              <w:divsChild>
                <w:div w:id="1526358341">
                  <w:marLeft w:val="0"/>
                  <w:marRight w:val="0"/>
                  <w:marTop w:val="0"/>
                  <w:marBottom w:val="0"/>
                  <w:divBdr>
                    <w:top w:val="none" w:sz="0" w:space="0" w:color="auto"/>
                    <w:left w:val="none" w:sz="0" w:space="0" w:color="auto"/>
                    <w:bottom w:val="none" w:sz="0" w:space="0" w:color="auto"/>
                    <w:right w:val="none" w:sz="0" w:space="0" w:color="auto"/>
                  </w:divBdr>
                  <w:divsChild>
                    <w:div w:id="900336593">
                      <w:marLeft w:val="0"/>
                      <w:marRight w:val="0"/>
                      <w:marTop w:val="0"/>
                      <w:marBottom w:val="0"/>
                      <w:divBdr>
                        <w:top w:val="none" w:sz="0" w:space="0" w:color="auto"/>
                        <w:left w:val="none" w:sz="0" w:space="0" w:color="auto"/>
                        <w:bottom w:val="none" w:sz="0" w:space="0" w:color="auto"/>
                        <w:right w:val="none" w:sz="0" w:space="0" w:color="auto"/>
                      </w:divBdr>
                      <w:divsChild>
                        <w:div w:id="968245891">
                          <w:marLeft w:val="0"/>
                          <w:marRight w:val="0"/>
                          <w:marTop w:val="0"/>
                          <w:marBottom w:val="0"/>
                          <w:divBdr>
                            <w:top w:val="none" w:sz="0" w:space="0" w:color="auto"/>
                            <w:left w:val="none" w:sz="0" w:space="0" w:color="auto"/>
                            <w:bottom w:val="none" w:sz="0" w:space="0" w:color="auto"/>
                            <w:right w:val="none" w:sz="0" w:space="0" w:color="auto"/>
                          </w:divBdr>
                          <w:divsChild>
                            <w:div w:id="16663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798947">
      <w:bodyDiv w:val="1"/>
      <w:marLeft w:val="0"/>
      <w:marRight w:val="0"/>
      <w:marTop w:val="0"/>
      <w:marBottom w:val="0"/>
      <w:divBdr>
        <w:top w:val="none" w:sz="0" w:space="0" w:color="auto"/>
        <w:left w:val="none" w:sz="0" w:space="0" w:color="auto"/>
        <w:bottom w:val="none" w:sz="0" w:space="0" w:color="auto"/>
        <w:right w:val="none" w:sz="0" w:space="0" w:color="auto"/>
      </w:divBdr>
    </w:div>
    <w:div w:id="875963987">
      <w:bodyDiv w:val="1"/>
      <w:marLeft w:val="0"/>
      <w:marRight w:val="0"/>
      <w:marTop w:val="0"/>
      <w:marBottom w:val="0"/>
      <w:divBdr>
        <w:top w:val="none" w:sz="0" w:space="0" w:color="auto"/>
        <w:left w:val="none" w:sz="0" w:space="0" w:color="auto"/>
        <w:bottom w:val="none" w:sz="0" w:space="0" w:color="auto"/>
        <w:right w:val="none" w:sz="0" w:space="0" w:color="auto"/>
      </w:divBdr>
      <w:divsChild>
        <w:div w:id="198663326">
          <w:marLeft w:val="0"/>
          <w:marRight w:val="0"/>
          <w:marTop w:val="0"/>
          <w:marBottom w:val="0"/>
          <w:divBdr>
            <w:top w:val="none" w:sz="0" w:space="0" w:color="auto"/>
            <w:left w:val="none" w:sz="0" w:space="0" w:color="auto"/>
            <w:bottom w:val="none" w:sz="0" w:space="0" w:color="auto"/>
            <w:right w:val="none" w:sz="0" w:space="0" w:color="auto"/>
          </w:divBdr>
          <w:divsChild>
            <w:div w:id="70440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20096">
      <w:bodyDiv w:val="1"/>
      <w:marLeft w:val="0"/>
      <w:marRight w:val="0"/>
      <w:marTop w:val="0"/>
      <w:marBottom w:val="0"/>
      <w:divBdr>
        <w:top w:val="none" w:sz="0" w:space="0" w:color="auto"/>
        <w:left w:val="none" w:sz="0" w:space="0" w:color="auto"/>
        <w:bottom w:val="none" w:sz="0" w:space="0" w:color="auto"/>
        <w:right w:val="none" w:sz="0" w:space="0" w:color="auto"/>
      </w:divBdr>
    </w:div>
    <w:div w:id="902063424">
      <w:bodyDiv w:val="1"/>
      <w:marLeft w:val="0"/>
      <w:marRight w:val="0"/>
      <w:marTop w:val="0"/>
      <w:marBottom w:val="0"/>
      <w:divBdr>
        <w:top w:val="none" w:sz="0" w:space="0" w:color="auto"/>
        <w:left w:val="none" w:sz="0" w:space="0" w:color="auto"/>
        <w:bottom w:val="none" w:sz="0" w:space="0" w:color="auto"/>
        <w:right w:val="none" w:sz="0" w:space="0" w:color="auto"/>
      </w:divBdr>
      <w:divsChild>
        <w:div w:id="1622300976">
          <w:marLeft w:val="0"/>
          <w:marRight w:val="0"/>
          <w:marTop w:val="0"/>
          <w:marBottom w:val="0"/>
          <w:divBdr>
            <w:top w:val="none" w:sz="0" w:space="0" w:color="auto"/>
            <w:left w:val="none" w:sz="0" w:space="0" w:color="auto"/>
            <w:bottom w:val="none" w:sz="0" w:space="0" w:color="auto"/>
            <w:right w:val="none" w:sz="0" w:space="0" w:color="auto"/>
          </w:divBdr>
          <w:divsChild>
            <w:div w:id="2438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542392">
      <w:bodyDiv w:val="1"/>
      <w:marLeft w:val="0"/>
      <w:marRight w:val="0"/>
      <w:marTop w:val="0"/>
      <w:marBottom w:val="0"/>
      <w:divBdr>
        <w:top w:val="none" w:sz="0" w:space="0" w:color="auto"/>
        <w:left w:val="none" w:sz="0" w:space="0" w:color="auto"/>
        <w:bottom w:val="none" w:sz="0" w:space="0" w:color="auto"/>
        <w:right w:val="none" w:sz="0" w:space="0" w:color="auto"/>
      </w:divBdr>
      <w:divsChild>
        <w:div w:id="2141459382">
          <w:marLeft w:val="0"/>
          <w:marRight w:val="0"/>
          <w:marTop w:val="0"/>
          <w:marBottom w:val="0"/>
          <w:divBdr>
            <w:top w:val="none" w:sz="0" w:space="0" w:color="auto"/>
            <w:left w:val="none" w:sz="0" w:space="0" w:color="auto"/>
            <w:bottom w:val="none" w:sz="0" w:space="0" w:color="auto"/>
            <w:right w:val="none" w:sz="0" w:space="0" w:color="auto"/>
          </w:divBdr>
          <w:divsChild>
            <w:div w:id="10888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62967">
      <w:bodyDiv w:val="1"/>
      <w:marLeft w:val="0"/>
      <w:marRight w:val="0"/>
      <w:marTop w:val="0"/>
      <w:marBottom w:val="0"/>
      <w:divBdr>
        <w:top w:val="none" w:sz="0" w:space="0" w:color="auto"/>
        <w:left w:val="none" w:sz="0" w:space="0" w:color="auto"/>
        <w:bottom w:val="none" w:sz="0" w:space="0" w:color="auto"/>
        <w:right w:val="none" w:sz="0" w:space="0" w:color="auto"/>
      </w:divBdr>
    </w:div>
    <w:div w:id="1332175153">
      <w:bodyDiv w:val="1"/>
      <w:marLeft w:val="0"/>
      <w:marRight w:val="0"/>
      <w:marTop w:val="0"/>
      <w:marBottom w:val="0"/>
      <w:divBdr>
        <w:top w:val="none" w:sz="0" w:space="0" w:color="auto"/>
        <w:left w:val="none" w:sz="0" w:space="0" w:color="auto"/>
        <w:bottom w:val="none" w:sz="0" w:space="0" w:color="auto"/>
        <w:right w:val="none" w:sz="0" w:space="0" w:color="auto"/>
      </w:divBdr>
      <w:divsChild>
        <w:div w:id="1091699738">
          <w:marLeft w:val="0"/>
          <w:marRight w:val="0"/>
          <w:marTop w:val="0"/>
          <w:marBottom w:val="0"/>
          <w:divBdr>
            <w:top w:val="none" w:sz="0" w:space="0" w:color="auto"/>
            <w:left w:val="none" w:sz="0" w:space="0" w:color="auto"/>
            <w:bottom w:val="none" w:sz="0" w:space="0" w:color="auto"/>
            <w:right w:val="none" w:sz="0" w:space="0" w:color="auto"/>
          </w:divBdr>
          <w:divsChild>
            <w:div w:id="768161984">
              <w:marLeft w:val="0"/>
              <w:marRight w:val="0"/>
              <w:marTop w:val="0"/>
              <w:marBottom w:val="0"/>
              <w:divBdr>
                <w:top w:val="none" w:sz="0" w:space="0" w:color="auto"/>
                <w:left w:val="none" w:sz="0" w:space="0" w:color="auto"/>
                <w:bottom w:val="none" w:sz="0" w:space="0" w:color="auto"/>
                <w:right w:val="none" w:sz="0" w:space="0" w:color="auto"/>
              </w:divBdr>
              <w:divsChild>
                <w:div w:id="193541545">
                  <w:marLeft w:val="0"/>
                  <w:marRight w:val="0"/>
                  <w:marTop w:val="0"/>
                  <w:marBottom w:val="0"/>
                  <w:divBdr>
                    <w:top w:val="none" w:sz="0" w:space="0" w:color="auto"/>
                    <w:left w:val="none" w:sz="0" w:space="0" w:color="auto"/>
                    <w:bottom w:val="none" w:sz="0" w:space="0" w:color="auto"/>
                    <w:right w:val="none" w:sz="0" w:space="0" w:color="auto"/>
                  </w:divBdr>
                  <w:divsChild>
                    <w:div w:id="544295648">
                      <w:marLeft w:val="0"/>
                      <w:marRight w:val="0"/>
                      <w:marTop w:val="0"/>
                      <w:marBottom w:val="0"/>
                      <w:divBdr>
                        <w:top w:val="none" w:sz="0" w:space="0" w:color="auto"/>
                        <w:left w:val="none" w:sz="0" w:space="0" w:color="auto"/>
                        <w:bottom w:val="none" w:sz="0" w:space="0" w:color="auto"/>
                        <w:right w:val="none" w:sz="0" w:space="0" w:color="auto"/>
                      </w:divBdr>
                      <w:divsChild>
                        <w:div w:id="1972589294">
                          <w:marLeft w:val="0"/>
                          <w:marRight w:val="0"/>
                          <w:marTop w:val="0"/>
                          <w:marBottom w:val="0"/>
                          <w:divBdr>
                            <w:top w:val="none" w:sz="0" w:space="0" w:color="auto"/>
                            <w:left w:val="none" w:sz="0" w:space="0" w:color="auto"/>
                            <w:bottom w:val="none" w:sz="0" w:space="0" w:color="auto"/>
                            <w:right w:val="none" w:sz="0" w:space="0" w:color="auto"/>
                          </w:divBdr>
                          <w:divsChild>
                            <w:div w:id="14554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110728">
      <w:bodyDiv w:val="1"/>
      <w:marLeft w:val="0"/>
      <w:marRight w:val="0"/>
      <w:marTop w:val="0"/>
      <w:marBottom w:val="0"/>
      <w:divBdr>
        <w:top w:val="none" w:sz="0" w:space="0" w:color="auto"/>
        <w:left w:val="none" w:sz="0" w:space="0" w:color="auto"/>
        <w:bottom w:val="none" w:sz="0" w:space="0" w:color="auto"/>
        <w:right w:val="none" w:sz="0" w:space="0" w:color="auto"/>
      </w:divBdr>
    </w:div>
    <w:div w:id="1377045281">
      <w:bodyDiv w:val="1"/>
      <w:marLeft w:val="0"/>
      <w:marRight w:val="0"/>
      <w:marTop w:val="0"/>
      <w:marBottom w:val="0"/>
      <w:divBdr>
        <w:top w:val="none" w:sz="0" w:space="0" w:color="auto"/>
        <w:left w:val="none" w:sz="0" w:space="0" w:color="auto"/>
        <w:bottom w:val="none" w:sz="0" w:space="0" w:color="auto"/>
        <w:right w:val="none" w:sz="0" w:space="0" w:color="auto"/>
      </w:divBdr>
    </w:div>
    <w:div w:id="1386948833">
      <w:bodyDiv w:val="1"/>
      <w:marLeft w:val="0"/>
      <w:marRight w:val="0"/>
      <w:marTop w:val="0"/>
      <w:marBottom w:val="0"/>
      <w:divBdr>
        <w:top w:val="none" w:sz="0" w:space="0" w:color="auto"/>
        <w:left w:val="none" w:sz="0" w:space="0" w:color="auto"/>
        <w:bottom w:val="none" w:sz="0" w:space="0" w:color="auto"/>
        <w:right w:val="none" w:sz="0" w:space="0" w:color="auto"/>
      </w:divBdr>
      <w:divsChild>
        <w:div w:id="2059816774">
          <w:marLeft w:val="0"/>
          <w:marRight w:val="0"/>
          <w:marTop w:val="0"/>
          <w:marBottom w:val="0"/>
          <w:divBdr>
            <w:top w:val="none" w:sz="0" w:space="0" w:color="auto"/>
            <w:left w:val="none" w:sz="0" w:space="0" w:color="auto"/>
            <w:bottom w:val="none" w:sz="0" w:space="0" w:color="auto"/>
            <w:right w:val="none" w:sz="0" w:space="0" w:color="auto"/>
          </w:divBdr>
          <w:divsChild>
            <w:div w:id="67530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5876">
      <w:bodyDiv w:val="1"/>
      <w:marLeft w:val="0"/>
      <w:marRight w:val="0"/>
      <w:marTop w:val="0"/>
      <w:marBottom w:val="0"/>
      <w:divBdr>
        <w:top w:val="none" w:sz="0" w:space="0" w:color="auto"/>
        <w:left w:val="none" w:sz="0" w:space="0" w:color="auto"/>
        <w:bottom w:val="none" w:sz="0" w:space="0" w:color="auto"/>
        <w:right w:val="none" w:sz="0" w:space="0" w:color="auto"/>
      </w:divBdr>
    </w:div>
    <w:div w:id="1434128768">
      <w:bodyDiv w:val="1"/>
      <w:marLeft w:val="0"/>
      <w:marRight w:val="0"/>
      <w:marTop w:val="0"/>
      <w:marBottom w:val="0"/>
      <w:divBdr>
        <w:top w:val="none" w:sz="0" w:space="0" w:color="auto"/>
        <w:left w:val="none" w:sz="0" w:space="0" w:color="auto"/>
        <w:bottom w:val="none" w:sz="0" w:space="0" w:color="auto"/>
        <w:right w:val="none" w:sz="0" w:space="0" w:color="auto"/>
      </w:divBdr>
      <w:divsChild>
        <w:div w:id="1047992160">
          <w:marLeft w:val="0"/>
          <w:marRight w:val="0"/>
          <w:marTop w:val="0"/>
          <w:marBottom w:val="0"/>
          <w:divBdr>
            <w:top w:val="none" w:sz="0" w:space="0" w:color="auto"/>
            <w:left w:val="none" w:sz="0" w:space="0" w:color="auto"/>
            <w:bottom w:val="none" w:sz="0" w:space="0" w:color="auto"/>
            <w:right w:val="none" w:sz="0" w:space="0" w:color="auto"/>
          </w:divBdr>
          <w:divsChild>
            <w:div w:id="138864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946400">
      <w:bodyDiv w:val="1"/>
      <w:marLeft w:val="0"/>
      <w:marRight w:val="0"/>
      <w:marTop w:val="0"/>
      <w:marBottom w:val="0"/>
      <w:divBdr>
        <w:top w:val="none" w:sz="0" w:space="0" w:color="auto"/>
        <w:left w:val="none" w:sz="0" w:space="0" w:color="auto"/>
        <w:bottom w:val="none" w:sz="0" w:space="0" w:color="auto"/>
        <w:right w:val="none" w:sz="0" w:space="0" w:color="auto"/>
      </w:divBdr>
    </w:div>
    <w:div w:id="1462653584">
      <w:bodyDiv w:val="1"/>
      <w:marLeft w:val="0"/>
      <w:marRight w:val="0"/>
      <w:marTop w:val="0"/>
      <w:marBottom w:val="0"/>
      <w:divBdr>
        <w:top w:val="none" w:sz="0" w:space="0" w:color="auto"/>
        <w:left w:val="none" w:sz="0" w:space="0" w:color="auto"/>
        <w:bottom w:val="none" w:sz="0" w:space="0" w:color="auto"/>
        <w:right w:val="none" w:sz="0" w:space="0" w:color="auto"/>
      </w:divBdr>
      <w:divsChild>
        <w:div w:id="285085926">
          <w:marLeft w:val="0"/>
          <w:marRight w:val="0"/>
          <w:marTop w:val="0"/>
          <w:marBottom w:val="0"/>
          <w:divBdr>
            <w:top w:val="none" w:sz="0" w:space="0" w:color="auto"/>
            <w:left w:val="none" w:sz="0" w:space="0" w:color="auto"/>
            <w:bottom w:val="none" w:sz="0" w:space="0" w:color="auto"/>
            <w:right w:val="none" w:sz="0" w:space="0" w:color="auto"/>
          </w:divBdr>
          <w:divsChild>
            <w:div w:id="1630892107">
              <w:marLeft w:val="0"/>
              <w:marRight w:val="0"/>
              <w:marTop w:val="0"/>
              <w:marBottom w:val="0"/>
              <w:divBdr>
                <w:top w:val="none" w:sz="0" w:space="0" w:color="auto"/>
                <w:left w:val="none" w:sz="0" w:space="0" w:color="auto"/>
                <w:bottom w:val="none" w:sz="0" w:space="0" w:color="auto"/>
                <w:right w:val="none" w:sz="0" w:space="0" w:color="auto"/>
              </w:divBdr>
              <w:divsChild>
                <w:div w:id="1176653735">
                  <w:marLeft w:val="0"/>
                  <w:marRight w:val="0"/>
                  <w:marTop w:val="0"/>
                  <w:marBottom w:val="0"/>
                  <w:divBdr>
                    <w:top w:val="none" w:sz="0" w:space="0" w:color="auto"/>
                    <w:left w:val="none" w:sz="0" w:space="0" w:color="auto"/>
                    <w:bottom w:val="none" w:sz="0" w:space="0" w:color="auto"/>
                    <w:right w:val="none" w:sz="0" w:space="0" w:color="auto"/>
                  </w:divBdr>
                  <w:divsChild>
                    <w:div w:id="100875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275243">
      <w:bodyDiv w:val="1"/>
      <w:marLeft w:val="0"/>
      <w:marRight w:val="0"/>
      <w:marTop w:val="0"/>
      <w:marBottom w:val="0"/>
      <w:divBdr>
        <w:top w:val="none" w:sz="0" w:space="0" w:color="auto"/>
        <w:left w:val="none" w:sz="0" w:space="0" w:color="auto"/>
        <w:bottom w:val="none" w:sz="0" w:space="0" w:color="auto"/>
        <w:right w:val="none" w:sz="0" w:space="0" w:color="auto"/>
      </w:divBdr>
    </w:div>
    <w:div w:id="1469278597">
      <w:bodyDiv w:val="1"/>
      <w:marLeft w:val="0"/>
      <w:marRight w:val="0"/>
      <w:marTop w:val="0"/>
      <w:marBottom w:val="0"/>
      <w:divBdr>
        <w:top w:val="none" w:sz="0" w:space="0" w:color="auto"/>
        <w:left w:val="none" w:sz="0" w:space="0" w:color="auto"/>
        <w:bottom w:val="none" w:sz="0" w:space="0" w:color="auto"/>
        <w:right w:val="none" w:sz="0" w:space="0" w:color="auto"/>
      </w:divBdr>
    </w:div>
    <w:div w:id="1485320273">
      <w:bodyDiv w:val="1"/>
      <w:marLeft w:val="0"/>
      <w:marRight w:val="0"/>
      <w:marTop w:val="0"/>
      <w:marBottom w:val="0"/>
      <w:divBdr>
        <w:top w:val="none" w:sz="0" w:space="0" w:color="auto"/>
        <w:left w:val="none" w:sz="0" w:space="0" w:color="auto"/>
        <w:bottom w:val="none" w:sz="0" w:space="0" w:color="auto"/>
        <w:right w:val="none" w:sz="0" w:space="0" w:color="auto"/>
      </w:divBdr>
    </w:div>
    <w:div w:id="1557666775">
      <w:bodyDiv w:val="1"/>
      <w:marLeft w:val="0"/>
      <w:marRight w:val="0"/>
      <w:marTop w:val="0"/>
      <w:marBottom w:val="0"/>
      <w:divBdr>
        <w:top w:val="none" w:sz="0" w:space="0" w:color="auto"/>
        <w:left w:val="none" w:sz="0" w:space="0" w:color="auto"/>
        <w:bottom w:val="none" w:sz="0" w:space="0" w:color="auto"/>
        <w:right w:val="none" w:sz="0" w:space="0" w:color="auto"/>
      </w:divBdr>
    </w:div>
    <w:div w:id="1560936603">
      <w:bodyDiv w:val="1"/>
      <w:marLeft w:val="0"/>
      <w:marRight w:val="0"/>
      <w:marTop w:val="0"/>
      <w:marBottom w:val="0"/>
      <w:divBdr>
        <w:top w:val="none" w:sz="0" w:space="0" w:color="auto"/>
        <w:left w:val="none" w:sz="0" w:space="0" w:color="auto"/>
        <w:bottom w:val="none" w:sz="0" w:space="0" w:color="auto"/>
        <w:right w:val="none" w:sz="0" w:space="0" w:color="auto"/>
      </w:divBdr>
    </w:div>
    <w:div w:id="1561671039">
      <w:bodyDiv w:val="1"/>
      <w:marLeft w:val="0"/>
      <w:marRight w:val="0"/>
      <w:marTop w:val="0"/>
      <w:marBottom w:val="0"/>
      <w:divBdr>
        <w:top w:val="none" w:sz="0" w:space="0" w:color="auto"/>
        <w:left w:val="none" w:sz="0" w:space="0" w:color="auto"/>
        <w:bottom w:val="none" w:sz="0" w:space="0" w:color="auto"/>
        <w:right w:val="none" w:sz="0" w:space="0" w:color="auto"/>
      </w:divBdr>
    </w:div>
    <w:div w:id="1661494505">
      <w:bodyDiv w:val="1"/>
      <w:marLeft w:val="0"/>
      <w:marRight w:val="0"/>
      <w:marTop w:val="0"/>
      <w:marBottom w:val="0"/>
      <w:divBdr>
        <w:top w:val="none" w:sz="0" w:space="0" w:color="auto"/>
        <w:left w:val="none" w:sz="0" w:space="0" w:color="auto"/>
        <w:bottom w:val="none" w:sz="0" w:space="0" w:color="auto"/>
        <w:right w:val="none" w:sz="0" w:space="0" w:color="auto"/>
      </w:divBdr>
      <w:divsChild>
        <w:div w:id="2114131428">
          <w:marLeft w:val="0"/>
          <w:marRight w:val="0"/>
          <w:marTop w:val="0"/>
          <w:marBottom w:val="0"/>
          <w:divBdr>
            <w:top w:val="none" w:sz="0" w:space="0" w:color="auto"/>
            <w:left w:val="none" w:sz="0" w:space="0" w:color="auto"/>
            <w:bottom w:val="none" w:sz="0" w:space="0" w:color="auto"/>
            <w:right w:val="none" w:sz="0" w:space="0" w:color="auto"/>
          </w:divBdr>
          <w:divsChild>
            <w:div w:id="116689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571868">
      <w:bodyDiv w:val="1"/>
      <w:marLeft w:val="0"/>
      <w:marRight w:val="0"/>
      <w:marTop w:val="0"/>
      <w:marBottom w:val="0"/>
      <w:divBdr>
        <w:top w:val="none" w:sz="0" w:space="0" w:color="auto"/>
        <w:left w:val="none" w:sz="0" w:space="0" w:color="auto"/>
        <w:bottom w:val="none" w:sz="0" w:space="0" w:color="auto"/>
        <w:right w:val="none" w:sz="0" w:space="0" w:color="auto"/>
      </w:divBdr>
    </w:div>
    <w:div w:id="1868369280">
      <w:bodyDiv w:val="1"/>
      <w:marLeft w:val="0"/>
      <w:marRight w:val="0"/>
      <w:marTop w:val="0"/>
      <w:marBottom w:val="0"/>
      <w:divBdr>
        <w:top w:val="none" w:sz="0" w:space="0" w:color="auto"/>
        <w:left w:val="none" w:sz="0" w:space="0" w:color="auto"/>
        <w:bottom w:val="none" w:sz="0" w:space="0" w:color="auto"/>
        <w:right w:val="none" w:sz="0" w:space="0" w:color="auto"/>
      </w:divBdr>
    </w:div>
    <w:div w:id="1958486036">
      <w:bodyDiv w:val="1"/>
      <w:marLeft w:val="0"/>
      <w:marRight w:val="0"/>
      <w:marTop w:val="0"/>
      <w:marBottom w:val="0"/>
      <w:divBdr>
        <w:top w:val="none" w:sz="0" w:space="0" w:color="auto"/>
        <w:left w:val="none" w:sz="0" w:space="0" w:color="auto"/>
        <w:bottom w:val="none" w:sz="0" w:space="0" w:color="auto"/>
        <w:right w:val="none" w:sz="0" w:space="0" w:color="auto"/>
      </w:divBdr>
    </w:div>
    <w:div w:id="207619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olawale-jimoh@oauife.edu.ng" TargetMode="External"/><Relationship Id="rId13" Type="http://schemas.openxmlformats.org/officeDocument/2006/relationships/hyperlink" Target="https://doi.org/10.47772/IJRISS.2023.7460" TargetMode="External"/><Relationship Id="rId18" Type="http://schemas.openxmlformats.org/officeDocument/2006/relationships/hyperlink" Target="https://www.researchgate.net/publication/384971121_The_Impact_of_Adult_Education_on_Community_Developmen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53555/kuey.v30i2.11516" TargetMode="External"/><Relationship Id="rId17" Type="http://schemas.openxmlformats.org/officeDocument/2006/relationships/hyperlink" Target="https://journalcde.com/index.php/jcde/article/view/133?utm_source=chatgpt.com" TargetMode="External"/><Relationship Id="rId2" Type="http://schemas.openxmlformats.org/officeDocument/2006/relationships/numbering" Target="numbering.xml"/><Relationship Id="rId16" Type="http://schemas.openxmlformats.org/officeDocument/2006/relationships/hyperlink" Target="https://jccr.sccdr.org/index.php/jccr/article/view/118?utm_source=chatgpt.com" TargetMode="External"/><Relationship Id="rId20" Type="http://schemas.openxmlformats.org/officeDocument/2006/relationships/hyperlink" Target="https://doi.org/10.30631/ijer.v7i1.1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cde.com/index.php/jcde/article/view/89?utm_source=chatgpt.com" TargetMode="External"/><Relationship Id="rId5" Type="http://schemas.openxmlformats.org/officeDocument/2006/relationships/webSettings" Target="webSettings.xml"/><Relationship Id="rId15" Type="http://schemas.openxmlformats.org/officeDocument/2006/relationships/hyperlink" Target="https://jccr.sccdr.org/index.php/jccr/article/view/118" TargetMode="External"/><Relationship Id="rId23" Type="http://schemas.openxmlformats.org/officeDocument/2006/relationships/theme" Target="theme/theme1.xml"/><Relationship Id="rId10" Type="http://schemas.openxmlformats.org/officeDocument/2006/relationships/hyperlink" Target="https://icidr.org.ng/index.php/Jres/article/view/1518?utm_source=chatgpt.com" TargetMode="External"/><Relationship Id="rId19" Type="http://schemas.openxmlformats.org/officeDocument/2006/relationships/hyperlink" Target="https://eajournals.org/ijvter/vol-9-issue-2-2023/adult-education-and-human-capacity-building-for-community-sustainability-in-nigeria/?utm_source=chatgpt.com" TargetMode="External"/><Relationship Id="rId4" Type="http://schemas.openxmlformats.org/officeDocument/2006/relationships/settings" Target="settings.xml"/><Relationship Id="rId9" Type="http://schemas.openxmlformats.org/officeDocument/2006/relationships/hyperlink" Target="https://doi.org/10.47191/ijsshr/v6-i5-09" TargetMode="External"/><Relationship Id="rId14" Type="http://schemas.openxmlformats.org/officeDocument/2006/relationships/hyperlink" Target="https://rsisinternational.org/journals/ijriss/articles/adult-education-and-community-development-as-strategies-for-mitigating-the-challenges-of-family-life-education-in-rivers-state/?utm_source=chatgp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82D50-6BC1-4AA9-882B-75492A161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26</Pages>
  <Words>8555</Words>
  <Characters>48766</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2026-06-01T10:56:00Z</dcterms:created>
  <dcterms:modified xsi:type="dcterms:W3CDTF">2026-06-13T17:32:00Z</dcterms:modified>
</cp:coreProperties>
</file>