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9D230" w14:textId="49FF05E2" w:rsidR="00C97494" w:rsidRDefault="00C97494">
      <w:pPr>
        <w:spacing w:before="240" w:line="240" w:lineRule="auto"/>
        <w:jc w:val="center"/>
        <w:rPr>
          <w:rFonts w:ascii="Times New Roman" w:hAnsi="Times New Roman" w:cs="Times New Roman"/>
          <w:b/>
          <w:bCs/>
          <w:sz w:val="24"/>
          <w:szCs w:val="24"/>
        </w:rPr>
      </w:pPr>
      <w:r w:rsidRPr="00C97494">
        <w:rPr>
          <w:rFonts w:ascii="Times New Roman" w:hAnsi="Times New Roman" w:cs="Times New Roman"/>
          <w:b/>
          <w:bCs/>
          <w:sz w:val="24"/>
          <w:szCs w:val="24"/>
        </w:rPr>
        <w:t>In</w:t>
      </w:r>
      <w:r>
        <w:rPr>
          <w:rFonts w:ascii="Times New Roman" w:hAnsi="Times New Roman" w:cs="Times New Roman"/>
          <w:b/>
          <w:bCs/>
          <w:sz w:val="24"/>
          <w:szCs w:val="24"/>
        </w:rPr>
        <w:t>-v</w:t>
      </w:r>
      <w:r w:rsidRPr="00C97494">
        <w:rPr>
          <w:rFonts w:ascii="Times New Roman" w:hAnsi="Times New Roman" w:cs="Times New Roman"/>
          <w:b/>
          <w:bCs/>
          <w:sz w:val="24"/>
          <w:szCs w:val="24"/>
        </w:rPr>
        <w:t xml:space="preserve">itro </w:t>
      </w:r>
      <w:r>
        <w:rPr>
          <w:rFonts w:ascii="Times New Roman" w:hAnsi="Times New Roman" w:cs="Times New Roman"/>
          <w:b/>
          <w:bCs/>
          <w:sz w:val="24"/>
          <w:szCs w:val="24"/>
        </w:rPr>
        <w:t>e</w:t>
      </w:r>
      <w:r w:rsidRPr="00C97494">
        <w:rPr>
          <w:rFonts w:ascii="Times New Roman" w:hAnsi="Times New Roman" w:cs="Times New Roman"/>
          <w:b/>
          <w:bCs/>
          <w:sz w:val="24"/>
          <w:szCs w:val="24"/>
        </w:rPr>
        <w:t xml:space="preserve">valuation of </w:t>
      </w:r>
      <w:r>
        <w:rPr>
          <w:rFonts w:ascii="Times New Roman" w:hAnsi="Times New Roman" w:cs="Times New Roman"/>
          <w:b/>
          <w:bCs/>
          <w:sz w:val="24"/>
          <w:szCs w:val="24"/>
        </w:rPr>
        <w:t>a</w:t>
      </w:r>
      <w:r w:rsidRPr="00C97494">
        <w:rPr>
          <w:rFonts w:ascii="Times New Roman" w:hAnsi="Times New Roman" w:cs="Times New Roman"/>
          <w:b/>
          <w:bCs/>
          <w:sz w:val="24"/>
          <w:szCs w:val="24"/>
        </w:rPr>
        <w:t xml:space="preserve">ntidiabetic and </w:t>
      </w:r>
      <w:r>
        <w:rPr>
          <w:rFonts w:ascii="Times New Roman" w:hAnsi="Times New Roman" w:cs="Times New Roman"/>
          <w:b/>
          <w:bCs/>
          <w:sz w:val="24"/>
          <w:szCs w:val="24"/>
        </w:rPr>
        <w:t>a</w:t>
      </w:r>
      <w:r w:rsidRPr="00C97494">
        <w:rPr>
          <w:rFonts w:ascii="Times New Roman" w:hAnsi="Times New Roman" w:cs="Times New Roman"/>
          <w:b/>
          <w:bCs/>
          <w:sz w:val="24"/>
          <w:szCs w:val="24"/>
        </w:rPr>
        <w:t xml:space="preserve">ntioxidant </w:t>
      </w:r>
      <w:r>
        <w:rPr>
          <w:rFonts w:ascii="Times New Roman" w:hAnsi="Times New Roman" w:cs="Times New Roman"/>
          <w:b/>
          <w:bCs/>
          <w:sz w:val="24"/>
          <w:szCs w:val="24"/>
        </w:rPr>
        <w:t>a</w:t>
      </w:r>
      <w:r w:rsidRPr="00C97494">
        <w:rPr>
          <w:rFonts w:ascii="Times New Roman" w:hAnsi="Times New Roman" w:cs="Times New Roman"/>
          <w:b/>
          <w:bCs/>
          <w:sz w:val="24"/>
          <w:szCs w:val="24"/>
        </w:rPr>
        <w:t xml:space="preserve">ctivities of </w:t>
      </w:r>
      <w:r>
        <w:rPr>
          <w:rFonts w:ascii="Times New Roman" w:hAnsi="Times New Roman" w:cs="Times New Roman"/>
          <w:b/>
          <w:bCs/>
          <w:sz w:val="24"/>
          <w:szCs w:val="24"/>
        </w:rPr>
        <w:t>l</w:t>
      </w:r>
      <w:r w:rsidRPr="00C97494">
        <w:rPr>
          <w:rFonts w:ascii="Times New Roman" w:hAnsi="Times New Roman" w:cs="Times New Roman"/>
          <w:b/>
          <w:bCs/>
          <w:sz w:val="24"/>
          <w:szCs w:val="24"/>
        </w:rPr>
        <w:t xml:space="preserve">ime </w:t>
      </w:r>
      <w:r>
        <w:rPr>
          <w:rFonts w:ascii="Times New Roman" w:hAnsi="Times New Roman" w:cs="Times New Roman"/>
          <w:b/>
          <w:bCs/>
          <w:sz w:val="24"/>
          <w:szCs w:val="24"/>
        </w:rPr>
        <w:t>j</w:t>
      </w:r>
      <w:r w:rsidRPr="00C97494">
        <w:rPr>
          <w:rFonts w:ascii="Times New Roman" w:hAnsi="Times New Roman" w:cs="Times New Roman"/>
          <w:b/>
          <w:bCs/>
          <w:sz w:val="24"/>
          <w:szCs w:val="24"/>
        </w:rPr>
        <w:t xml:space="preserve">uice </w:t>
      </w:r>
      <w:r>
        <w:rPr>
          <w:rFonts w:ascii="Times New Roman" w:hAnsi="Times New Roman" w:cs="Times New Roman"/>
          <w:b/>
          <w:bCs/>
          <w:sz w:val="24"/>
          <w:szCs w:val="24"/>
        </w:rPr>
        <w:t>e</w:t>
      </w:r>
      <w:r w:rsidRPr="00C97494">
        <w:rPr>
          <w:rFonts w:ascii="Times New Roman" w:hAnsi="Times New Roman" w:cs="Times New Roman"/>
          <w:b/>
          <w:bCs/>
          <w:sz w:val="24"/>
          <w:szCs w:val="24"/>
        </w:rPr>
        <w:t xml:space="preserve">xtract </w:t>
      </w:r>
      <w:r w:rsidR="009052EE">
        <w:rPr>
          <w:rFonts w:ascii="Times New Roman" w:hAnsi="Times New Roman" w:cs="Times New Roman"/>
          <w:b/>
          <w:bCs/>
          <w:sz w:val="24"/>
          <w:szCs w:val="24"/>
        </w:rPr>
        <w:t>of</w:t>
      </w:r>
      <w:r w:rsidRPr="00C97494">
        <w:rPr>
          <w:rFonts w:ascii="Times New Roman" w:hAnsi="Times New Roman" w:cs="Times New Roman"/>
          <w:b/>
          <w:bCs/>
          <w:sz w:val="24"/>
          <w:szCs w:val="24"/>
        </w:rPr>
        <w:t xml:space="preserve"> </w:t>
      </w:r>
      <w:r w:rsidRPr="00C97494">
        <w:rPr>
          <w:rFonts w:ascii="Times New Roman" w:hAnsi="Times New Roman" w:cs="Times New Roman"/>
          <w:b/>
          <w:bCs/>
          <w:i/>
          <w:iCs/>
          <w:sz w:val="24"/>
          <w:szCs w:val="24"/>
        </w:rPr>
        <w:t xml:space="preserve">Gossypium </w:t>
      </w:r>
      <w:proofErr w:type="spellStart"/>
      <w:r w:rsidRPr="00C97494">
        <w:rPr>
          <w:rFonts w:ascii="Times New Roman" w:hAnsi="Times New Roman" w:cs="Times New Roman"/>
          <w:b/>
          <w:bCs/>
          <w:i/>
          <w:iCs/>
          <w:sz w:val="24"/>
          <w:szCs w:val="24"/>
        </w:rPr>
        <w:t>herbaceum</w:t>
      </w:r>
      <w:proofErr w:type="spellEnd"/>
      <w:r w:rsidRPr="00C97494">
        <w:rPr>
          <w:rFonts w:ascii="Times New Roman" w:hAnsi="Times New Roman" w:cs="Times New Roman"/>
          <w:b/>
          <w:bCs/>
          <w:sz w:val="24"/>
          <w:szCs w:val="24"/>
        </w:rPr>
        <w:t xml:space="preserve"> </w:t>
      </w:r>
      <w:r>
        <w:rPr>
          <w:rFonts w:ascii="Times New Roman" w:hAnsi="Times New Roman" w:cs="Times New Roman"/>
          <w:b/>
          <w:bCs/>
          <w:sz w:val="24"/>
          <w:szCs w:val="24"/>
        </w:rPr>
        <w:t>l</w:t>
      </w:r>
      <w:r w:rsidRPr="00C97494">
        <w:rPr>
          <w:rFonts w:ascii="Times New Roman" w:hAnsi="Times New Roman" w:cs="Times New Roman"/>
          <w:b/>
          <w:bCs/>
          <w:sz w:val="24"/>
          <w:szCs w:val="24"/>
        </w:rPr>
        <w:t>eaves</w:t>
      </w:r>
    </w:p>
    <w:p w14:paraId="2231F714" w14:textId="27DB8D89" w:rsidR="002810A4" w:rsidRPr="00C97494" w:rsidRDefault="00000000">
      <w:pPr>
        <w:spacing w:before="240" w:line="240" w:lineRule="auto"/>
        <w:jc w:val="center"/>
        <w:rPr>
          <w:rFonts w:ascii="Times New Roman" w:hAnsi="Times New Roman" w:cs="Times New Roman"/>
          <w:sz w:val="24"/>
          <w:szCs w:val="24"/>
        </w:rPr>
      </w:pPr>
      <w:r>
        <w:rPr>
          <w:rFonts w:ascii="Times New Roman" w:hAnsi="Times New Roman" w:cs="Times New Roman"/>
          <w:sz w:val="24"/>
          <w:szCs w:val="24"/>
        </w:rPr>
        <w:t>Olufemi Ayoade Ajibade</w:t>
      </w:r>
      <w:r w:rsidR="00C97494" w:rsidRPr="00C97494">
        <w:rPr>
          <w:rFonts w:ascii="Times New Roman" w:hAnsi="Times New Roman" w:cs="Times New Roman"/>
          <w:sz w:val="24"/>
          <w:szCs w:val="24"/>
          <w:vertAlign w:val="superscript"/>
        </w:rPr>
        <w:t>1</w:t>
      </w:r>
      <w:r w:rsidR="00387EB6">
        <w:rPr>
          <w:rFonts w:ascii="Times New Roman" w:hAnsi="Times New Roman" w:cs="Times New Roman"/>
          <w:sz w:val="24"/>
          <w:szCs w:val="24"/>
          <w:vertAlign w:val="superscript"/>
        </w:rPr>
        <w:t>*</w:t>
      </w:r>
      <w:r w:rsidR="00C97494">
        <w:rPr>
          <w:rFonts w:ascii="Times New Roman" w:hAnsi="Times New Roman" w:cs="Times New Roman"/>
          <w:sz w:val="24"/>
          <w:szCs w:val="24"/>
        </w:rPr>
        <w:t xml:space="preserve">, </w:t>
      </w:r>
      <w:r w:rsidR="00C97494">
        <w:rPr>
          <w:rFonts w:ascii="Times New Roman" w:hAnsi="Times New Roman" w:cs="Times New Roman"/>
          <w:sz w:val="24"/>
        </w:rPr>
        <w:t>Rasheed B. Ibrahim</w:t>
      </w:r>
      <w:r w:rsidR="00C97494">
        <w:rPr>
          <w:rFonts w:ascii="Times New Roman" w:hAnsi="Times New Roman" w:cs="Times New Roman"/>
          <w:sz w:val="24"/>
          <w:szCs w:val="24"/>
          <w:vertAlign w:val="superscript"/>
        </w:rPr>
        <w:t>1</w:t>
      </w:r>
      <w:r w:rsidR="00C97494">
        <w:rPr>
          <w:rFonts w:ascii="Times New Roman" w:hAnsi="Times New Roman" w:cs="Times New Roman"/>
          <w:sz w:val="24"/>
          <w:szCs w:val="24"/>
        </w:rPr>
        <w:t>, Adewale T</w:t>
      </w:r>
      <w:r w:rsidR="005276E4">
        <w:rPr>
          <w:rFonts w:ascii="Times New Roman" w:hAnsi="Times New Roman" w:cs="Times New Roman"/>
          <w:sz w:val="24"/>
          <w:szCs w:val="24"/>
        </w:rPr>
        <w:t>olulope</w:t>
      </w:r>
      <w:r w:rsidR="00C97494">
        <w:rPr>
          <w:rFonts w:ascii="Times New Roman" w:hAnsi="Times New Roman" w:cs="Times New Roman"/>
          <w:sz w:val="24"/>
          <w:szCs w:val="24"/>
        </w:rPr>
        <w:t xml:space="preserve"> Irewale</w:t>
      </w:r>
      <w:r w:rsidR="008976A5">
        <w:rPr>
          <w:rFonts w:ascii="Times New Roman" w:hAnsi="Times New Roman" w:cs="Times New Roman"/>
          <w:sz w:val="24"/>
          <w:szCs w:val="24"/>
          <w:vertAlign w:val="superscript"/>
        </w:rPr>
        <w:t>2</w:t>
      </w:r>
      <w:r w:rsidR="008976A5">
        <w:rPr>
          <w:rFonts w:ascii="Times New Roman" w:hAnsi="Times New Roman" w:cs="Times New Roman"/>
          <w:sz w:val="24"/>
          <w:szCs w:val="24"/>
        </w:rPr>
        <w:t xml:space="preserve">, </w:t>
      </w:r>
      <w:r w:rsidR="00387EB6">
        <w:rPr>
          <w:rFonts w:ascii="Times New Roman" w:hAnsi="Times New Roman" w:cs="Times New Roman"/>
          <w:sz w:val="24"/>
          <w:szCs w:val="24"/>
        </w:rPr>
        <w:t xml:space="preserve">Shalom </w:t>
      </w:r>
      <w:proofErr w:type="spellStart"/>
      <w:r w:rsidR="00387EB6">
        <w:rPr>
          <w:rFonts w:ascii="Times New Roman" w:hAnsi="Times New Roman" w:cs="Times New Roman"/>
          <w:sz w:val="24"/>
          <w:szCs w:val="24"/>
        </w:rPr>
        <w:t>T</w:t>
      </w:r>
      <w:r w:rsidR="005276E4">
        <w:rPr>
          <w:rFonts w:ascii="Times New Roman" w:hAnsi="Times New Roman" w:cs="Times New Roman"/>
          <w:sz w:val="24"/>
          <w:szCs w:val="24"/>
        </w:rPr>
        <w:t>ijesuni</w:t>
      </w:r>
      <w:proofErr w:type="spellEnd"/>
      <w:r w:rsidR="00387EB6">
        <w:rPr>
          <w:rFonts w:ascii="Times New Roman" w:hAnsi="Times New Roman" w:cs="Times New Roman"/>
          <w:sz w:val="24"/>
          <w:szCs w:val="24"/>
        </w:rPr>
        <w:t xml:space="preserve"> Oluyori</w:t>
      </w:r>
      <w:r w:rsidR="00387EB6">
        <w:rPr>
          <w:rFonts w:ascii="Times New Roman" w:hAnsi="Times New Roman" w:cs="Times New Roman"/>
          <w:sz w:val="24"/>
          <w:szCs w:val="24"/>
          <w:vertAlign w:val="superscript"/>
        </w:rPr>
        <w:t>3</w:t>
      </w:r>
      <w:r w:rsidR="00387EB6" w:rsidRPr="00387EB6">
        <w:rPr>
          <w:rFonts w:ascii="Times New Roman" w:hAnsi="Times New Roman" w:cs="Times New Roman"/>
          <w:sz w:val="24"/>
          <w:szCs w:val="24"/>
        </w:rPr>
        <w:t xml:space="preserve">, </w:t>
      </w:r>
      <w:r w:rsidR="00387EB6">
        <w:rPr>
          <w:rFonts w:ascii="Times New Roman" w:hAnsi="Times New Roman" w:cs="Times New Roman"/>
          <w:sz w:val="24"/>
          <w:szCs w:val="24"/>
        </w:rPr>
        <w:t>Olarewaju M</w:t>
      </w:r>
      <w:r w:rsidR="005276E4">
        <w:rPr>
          <w:rFonts w:ascii="Times New Roman" w:hAnsi="Times New Roman" w:cs="Times New Roman"/>
          <w:sz w:val="24"/>
          <w:szCs w:val="24"/>
        </w:rPr>
        <w:t>ichael</w:t>
      </w:r>
      <w:r w:rsidR="00387EB6">
        <w:rPr>
          <w:rFonts w:ascii="Times New Roman" w:hAnsi="Times New Roman" w:cs="Times New Roman"/>
          <w:sz w:val="24"/>
          <w:szCs w:val="24"/>
        </w:rPr>
        <w:t xml:space="preserve"> Oluba</w:t>
      </w:r>
      <w:r w:rsidR="00387EB6">
        <w:rPr>
          <w:rFonts w:ascii="Times New Roman" w:hAnsi="Times New Roman" w:cs="Times New Roman"/>
          <w:sz w:val="24"/>
          <w:szCs w:val="24"/>
          <w:vertAlign w:val="superscript"/>
        </w:rPr>
        <w:t>4</w:t>
      </w:r>
    </w:p>
    <w:p w14:paraId="71E08DBC" w14:textId="016F0F91" w:rsidR="002810A4" w:rsidRDefault="00000000" w:rsidP="00E8450D">
      <w:pPr>
        <w:spacing w:line="240" w:lineRule="auto"/>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 xml:space="preserve">Department of Biochemistry, Faculty of </w:t>
      </w:r>
      <w:r>
        <w:rPr>
          <w:rFonts w:ascii="Times New Roman" w:hAnsi="Times New Roman" w:cs="Times New Roman"/>
          <w:sz w:val="24"/>
        </w:rPr>
        <w:t xml:space="preserve">Pure </w:t>
      </w:r>
      <w:r>
        <w:rPr>
          <w:rFonts w:ascii="Times New Roman" w:hAnsi="Times New Roman" w:cs="Times New Roman"/>
          <w:sz w:val="24"/>
          <w:szCs w:val="24"/>
        </w:rPr>
        <w:t xml:space="preserve">and Applied Sciences, </w:t>
      </w:r>
      <w:r>
        <w:rPr>
          <w:rFonts w:ascii="Times New Roman" w:hAnsi="Times New Roman" w:cs="Times New Roman"/>
          <w:sz w:val="24"/>
        </w:rPr>
        <w:t xml:space="preserve">Kwara </w:t>
      </w:r>
      <w:r>
        <w:rPr>
          <w:rFonts w:ascii="Times New Roman" w:hAnsi="Times New Roman" w:cs="Times New Roman"/>
          <w:sz w:val="24"/>
          <w:szCs w:val="24"/>
        </w:rPr>
        <w:t xml:space="preserve">State University, </w:t>
      </w:r>
      <w:r>
        <w:rPr>
          <w:rFonts w:ascii="Times New Roman" w:hAnsi="Times New Roman" w:cs="Times New Roman"/>
          <w:sz w:val="24"/>
        </w:rPr>
        <w:t>Malete</w:t>
      </w:r>
      <w:r>
        <w:rPr>
          <w:rFonts w:ascii="Times New Roman" w:hAnsi="Times New Roman" w:cs="Times New Roman"/>
          <w:sz w:val="24"/>
          <w:szCs w:val="24"/>
        </w:rPr>
        <w:t>, Nigeria</w:t>
      </w:r>
    </w:p>
    <w:p w14:paraId="6347EA72" w14:textId="2862DE22" w:rsidR="00387EB6" w:rsidRDefault="00387EB6" w:rsidP="00E8450D">
      <w:pPr>
        <w:spacing w:line="240" w:lineRule="auto"/>
        <w:rPr>
          <w:rFonts w:ascii="Times New Roman" w:hAnsi="Times New Roman" w:cs="Times New Roman"/>
          <w:sz w:val="24"/>
          <w:szCs w:val="24"/>
        </w:rPr>
      </w:pPr>
      <w:r>
        <w:rPr>
          <w:rFonts w:ascii="Times New Roman" w:hAnsi="Times New Roman" w:cs="Times New Roman"/>
          <w:sz w:val="24"/>
          <w:szCs w:val="24"/>
          <w:vertAlign w:val="superscript"/>
        </w:rPr>
        <w:t>2</w:t>
      </w:r>
      <w:r>
        <w:rPr>
          <w:rFonts w:ascii="Times New Roman" w:hAnsi="Times New Roman" w:cs="Times New Roman"/>
          <w:sz w:val="24"/>
          <w:szCs w:val="24"/>
        </w:rPr>
        <w:t>Africa Center of Excellence in Future Energies and Electrochemical Systems (ACE-FUELS), Federal University of Technology, Owerri, Nigeria.</w:t>
      </w:r>
    </w:p>
    <w:p w14:paraId="669DC3A1" w14:textId="5A88F88E" w:rsidR="00387EB6" w:rsidRDefault="00E8450D" w:rsidP="00E8450D">
      <w:pPr>
        <w:spacing w:line="240" w:lineRule="auto"/>
        <w:rPr>
          <w:rFonts w:ascii="Times New Roman" w:hAnsi="Times New Roman" w:cs="Times New Roman"/>
          <w:sz w:val="24"/>
          <w:szCs w:val="24"/>
        </w:rPr>
      </w:pPr>
      <w:r>
        <w:rPr>
          <w:rFonts w:ascii="Times New Roman" w:hAnsi="Times New Roman" w:cs="Times New Roman"/>
          <w:sz w:val="24"/>
          <w:szCs w:val="24"/>
          <w:vertAlign w:val="superscript"/>
        </w:rPr>
        <w:t>3</w:t>
      </w:r>
      <w:r w:rsidRPr="00E8450D">
        <w:rPr>
          <w:rFonts w:ascii="Times New Roman" w:hAnsi="Times New Roman" w:cs="Times New Roman"/>
          <w:sz w:val="24"/>
          <w:szCs w:val="24"/>
        </w:rPr>
        <w:t xml:space="preserve">Department of </w:t>
      </w:r>
      <w:r>
        <w:rPr>
          <w:rFonts w:ascii="Times New Roman" w:hAnsi="Times New Roman" w:cs="Times New Roman"/>
          <w:sz w:val="24"/>
          <w:szCs w:val="24"/>
        </w:rPr>
        <w:t>P</w:t>
      </w:r>
      <w:r w:rsidRPr="00E8450D">
        <w:rPr>
          <w:rFonts w:ascii="Times New Roman" w:hAnsi="Times New Roman" w:cs="Times New Roman"/>
          <w:sz w:val="24"/>
          <w:szCs w:val="24"/>
        </w:rPr>
        <w:t>hysiology, Ladoke Akintola University of Technology, P.M.B. 4000, Ogbomoso, Nigeria</w:t>
      </w:r>
      <w:r w:rsidR="005276E4">
        <w:rPr>
          <w:rFonts w:ascii="Times New Roman" w:hAnsi="Times New Roman" w:cs="Times New Roman"/>
          <w:sz w:val="24"/>
          <w:szCs w:val="24"/>
        </w:rPr>
        <w:t>.</w:t>
      </w:r>
    </w:p>
    <w:p w14:paraId="46730098" w14:textId="31F2AFB7" w:rsidR="005276E4" w:rsidRDefault="005276E4" w:rsidP="005276E4">
      <w:pPr>
        <w:spacing w:line="240" w:lineRule="auto"/>
        <w:rPr>
          <w:rFonts w:ascii="Times New Roman" w:hAnsi="Times New Roman" w:cs="Times New Roman"/>
          <w:sz w:val="24"/>
          <w:szCs w:val="24"/>
        </w:rPr>
      </w:pPr>
      <w:r>
        <w:rPr>
          <w:rFonts w:ascii="Times New Roman" w:hAnsi="Times New Roman" w:cs="Times New Roman"/>
          <w:sz w:val="24"/>
          <w:szCs w:val="24"/>
          <w:vertAlign w:val="superscript"/>
        </w:rPr>
        <w:t>4</w:t>
      </w:r>
      <w:r w:rsidRPr="005276E4">
        <w:rPr>
          <w:rFonts w:ascii="Times New Roman" w:hAnsi="Times New Roman" w:cs="Times New Roman"/>
          <w:sz w:val="24"/>
          <w:szCs w:val="24"/>
        </w:rPr>
        <w:t>International Institute for Toxicology, Environmental and Occupational</w:t>
      </w:r>
      <w:r>
        <w:rPr>
          <w:rFonts w:ascii="Times New Roman" w:hAnsi="Times New Roman" w:cs="Times New Roman"/>
          <w:sz w:val="24"/>
          <w:szCs w:val="24"/>
        </w:rPr>
        <w:t xml:space="preserve"> </w:t>
      </w:r>
      <w:r w:rsidRPr="005276E4">
        <w:rPr>
          <w:rFonts w:ascii="Times New Roman" w:hAnsi="Times New Roman" w:cs="Times New Roman"/>
          <w:sz w:val="24"/>
          <w:szCs w:val="24"/>
        </w:rPr>
        <w:t>Health and Safety Research, David Umahi Federal University of Health</w:t>
      </w:r>
      <w:r>
        <w:rPr>
          <w:rFonts w:ascii="Times New Roman" w:hAnsi="Times New Roman" w:cs="Times New Roman"/>
          <w:sz w:val="24"/>
          <w:szCs w:val="24"/>
        </w:rPr>
        <w:t xml:space="preserve"> </w:t>
      </w:r>
      <w:r w:rsidRPr="005276E4">
        <w:rPr>
          <w:rFonts w:ascii="Times New Roman" w:hAnsi="Times New Roman" w:cs="Times New Roman"/>
          <w:sz w:val="24"/>
          <w:szCs w:val="24"/>
        </w:rPr>
        <w:t xml:space="preserve">Sciences, </w:t>
      </w:r>
      <w:proofErr w:type="spellStart"/>
      <w:r w:rsidRPr="005276E4">
        <w:rPr>
          <w:rFonts w:ascii="Times New Roman" w:hAnsi="Times New Roman" w:cs="Times New Roman"/>
          <w:sz w:val="24"/>
          <w:szCs w:val="24"/>
        </w:rPr>
        <w:t>Uburu</w:t>
      </w:r>
      <w:proofErr w:type="spellEnd"/>
      <w:r w:rsidRPr="005276E4">
        <w:rPr>
          <w:rFonts w:ascii="Times New Roman" w:hAnsi="Times New Roman" w:cs="Times New Roman"/>
          <w:sz w:val="24"/>
          <w:szCs w:val="24"/>
        </w:rPr>
        <w:t>, Ebonyi State, Nigeria.</w:t>
      </w:r>
    </w:p>
    <w:p w14:paraId="4EAA4C79" w14:textId="65C8BEB7" w:rsidR="002810A4" w:rsidRDefault="00000000" w:rsidP="00E8450D">
      <w:pPr>
        <w:spacing w:before="240" w:after="0" w:line="240" w:lineRule="auto"/>
        <w:rPr>
          <w:rFonts w:ascii="Times New Roman" w:hAnsi="Times New Roman" w:cs="Times New Roman"/>
          <w:sz w:val="24"/>
          <w:szCs w:val="24"/>
        </w:rPr>
      </w:pPr>
      <w:r>
        <w:rPr>
          <w:rFonts w:ascii="Times New Roman" w:hAnsi="Times New Roman" w:cs="Times New Roman"/>
          <w:sz w:val="24"/>
          <w:szCs w:val="24"/>
        </w:rPr>
        <w:t>*Corresponding author</w:t>
      </w:r>
      <w:r w:rsidR="005276E4">
        <w:rPr>
          <w:rFonts w:ascii="Times New Roman" w:hAnsi="Times New Roman" w:cs="Times New Roman"/>
          <w:sz w:val="24"/>
          <w:szCs w:val="24"/>
        </w:rPr>
        <w:t xml:space="preserve"> e</w:t>
      </w:r>
      <w:r>
        <w:rPr>
          <w:rFonts w:ascii="Times New Roman" w:hAnsi="Times New Roman" w:cs="Times New Roman"/>
          <w:sz w:val="24"/>
          <w:szCs w:val="24"/>
        </w:rPr>
        <w:t>mail: ajibadeayoade2020@gmail.com</w:t>
      </w:r>
    </w:p>
    <w:p w14:paraId="76449C70" w14:textId="77777777" w:rsidR="002810A4" w:rsidRDefault="002810A4">
      <w:pPr>
        <w:spacing w:line="360" w:lineRule="auto"/>
        <w:jc w:val="both"/>
        <w:rPr>
          <w:rFonts w:ascii="Times New Roman" w:hAnsi="Times New Roman" w:cs="Times New Roman"/>
          <w:b/>
          <w:bCs/>
          <w:sz w:val="12"/>
          <w:szCs w:val="24"/>
        </w:rPr>
      </w:pPr>
    </w:p>
    <w:p w14:paraId="7FC09FDF" w14:textId="77777777" w:rsidR="005276E4" w:rsidRDefault="005276E4">
      <w:pPr>
        <w:rPr>
          <w:rFonts w:ascii="Times New Roman" w:hAnsi="Times New Roman" w:cs="Times New Roman"/>
          <w:b/>
          <w:bCs/>
          <w:sz w:val="24"/>
          <w:szCs w:val="24"/>
        </w:rPr>
      </w:pPr>
      <w:r>
        <w:rPr>
          <w:rFonts w:ascii="Times New Roman" w:hAnsi="Times New Roman" w:cs="Times New Roman"/>
          <w:b/>
          <w:bCs/>
          <w:sz w:val="24"/>
          <w:szCs w:val="24"/>
        </w:rPr>
        <w:br w:type="page"/>
      </w:r>
    </w:p>
    <w:p w14:paraId="413276C3" w14:textId="2CD197FD" w:rsidR="002810A4"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ABSTRACT</w:t>
      </w:r>
    </w:p>
    <w:p w14:paraId="518DA1AB" w14:textId="58BA428A" w:rsidR="00D10038" w:rsidRPr="00D10038" w:rsidRDefault="00D10038" w:rsidP="00D10038">
      <w:pPr>
        <w:jc w:val="both"/>
        <w:rPr>
          <w:rFonts w:ascii="Times New Roman" w:hAnsi="Times New Roman" w:cs="Times New Roman"/>
          <w:bCs/>
          <w:sz w:val="24"/>
          <w:szCs w:val="24"/>
        </w:rPr>
      </w:pPr>
      <w:r w:rsidRPr="00D10038">
        <w:rPr>
          <w:rFonts w:ascii="Times New Roman" w:hAnsi="Times New Roman" w:cs="Times New Roman"/>
          <w:bCs/>
          <w:sz w:val="24"/>
          <w:szCs w:val="24"/>
        </w:rPr>
        <w:t xml:space="preserve">Diabetes mellitus management strategies increasingly focus on reducing postprandial hyperglycemia through the inhibition of carbohydrate-hydrolyzing enzymes responsible for gastrointestinal glucose release and absorption. This study investigated the in vitro antidiabetic and antioxidant activities of lime juice extract derived from </w:t>
      </w:r>
      <w:r w:rsidRPr="00D10038">
        <w:rPr>
          <w:rFonts w:ascii="Times New Roman" w:hAnsi="Times New Roman" w:cs="Times New Roman"/>
          <w:bCs/>
          <w:i/>
          <w:iCs/>
          <w:sz w:val="24"/>
          <w:szCs w:val="24"/>
        </w:rPr>
        <w:t xml:space="preserve">Gossypium </w:t>
      </w:r>
      <w:proofErr w:type="spellStart"/>
      <w:r w:rsidRPr="00D10038">
        <w:rPr>
          <w:rFonts w:ascii="Times New Roman" w:hAnsi="Times New Roman" w:cs="Times New Roman"/>
          <w:bCs/>
          <w:i/>
          <w:iCs/>
          <w:sz w:val="24"/>
          <w:szCs w:val="24"/>
        </w:rPr>
        <w:t>herbaceum</w:t>
      </w:r>
      <w:proofErr w:type="spellEnd"/>
      <w:r w:rsidRPr="00D10038">
        <w:rPr>
          <w:rFonts w:ascii="Times New Roman" w:hAnsi="Times New Roman" w:cs="Times New Roman"/>
          <w:bCs/>
          <w:i/>
          <w:iCs/>
          <w:sz w:val="24"/>
          <w:szCs w:val="24"/>
        </w:rPr>
        <w:t xml:space="preserve"> </w:t>
      </w:r>
      <w:r w:rsidRPr="00D10038">
        <w:rPr>
          <w:rFonts w:ascii="Times New Roman" w:hAnsi="Times New Roman" w:cs="Times New Roman"/>
          <w:bCs/>
          <w:sz w:val="24"/>
          <w:szCs w:val="24"/>
        </w:rPr>
        <w:t>leaves. Fresh leaves were extracted using lime juice (</w:t>
      </w:r>
      <w:r w:rsidRPr="00D10038">
        <w:rPr>
          <w:rFonts w:ascii="Times New Roman" w:hAnsi="Times New Roman" w:cs="Times New Roman"/>
          <w:bCs/>
          <w:i/>
          <w:iCs/>
          <w:sz w:val="24"/>
          <w:szCs w:val="24"/>
        </w:rPr>
        <w:t>Citrus aurantifolia</w:t>
      </w:r>
      <w:r w:rsidRPr="00D10038">
        <w:rPr>
          <w:rFonts w:ascii="Times New Roman" w:hAnsi="Times New Roman" w:cs="Times New Roman"/>
          <w:bCs/>
          <w:sz w:val="24"/>
          <w:szCs w:val="24"/>
        </w:rPr>
        <w:t>) as a natural solvent medium.</w:t>
      </w:r>
      <w:r>
        <w:rPr>
          <w:rFonts w:ascii="Times New Roman" w:hAnsi="Times New Roman" w:cs="Times New Roman"/>
          <w:bCs/>
          <w:sz w:val="24"/>
          <w:szCs w:val="24"/>
        </w:rPr>
        <w:t xml:space="preserve"> Both </w:t>
      </w:r>
      <w:r w:rsidRPr="00D10038">
        <w:rPr>
          <w:rFonts w:ascii="Times New Roman" w:hAnsi="Times New Roman" w:cs="Times New Roman"/>
          <w:bCs/>
          <w:sz w:val="24"/>
          <w:szCs w:val="24"/>
        </w:rPr>
        <w:t>α-</w:t>
      </w:r>
      <w:r>
        <w:rPr>
          <w:rFonts w:ascii="Times New Roman" w:hAnsi="Times New Roman" w:cs="Times New Roman"/>
          <w:bCs/>
          <w:sz w:val="24"/>
          <w:szCs w:val="24"/>
        </w:rPr>
        <w:t>a</w:t>
      </w:r>
      <w:r w:rsidRPr="00D10038">
        <w:rPr>
          <w:rFonts w:ascii="Times New Roman" w:hAnsi="Times New Roman" w:cs="Times New Roman"/>
          <w:bCs/>
          <w:sz w:val="24"/>
          <w:szCs w:val="24"/>
        </w:rPr>
        <w:t xml:space="preserve">mylase and α-glucosidase inhibitory activities were evaluated alongside antioxidant potential using DPPH, ABTS, and hydroxyl radical scavenging assays at concentrations ranging from 7.8125 to 1000 </w:t>
      </w:r>
      <w:proofErr w:type="spellStart"/>
      <w:r w:rsidRPr="00D10038">
        <w:rPr>
          <w:rFonts w:ascii="Times New Roman" w:hAnsi="Times New Roman" w:cs="Times New Roman"/>
          <w:bCs/>
          <w:sz w:val="24"/>
          <w:szCs w:val="24"/>
        </w:rPr>
        <w:t>μg</w:t>
      </w:r>
      <w:proofErr w:type="spellEnd"/>
      <w:r w:rsidRPr="00D10038">
        <w:rPr>
          <w:rFonts w:ascii="Times New Roman" w:hAnsi="Times New Roman" w:cs="Times New Roman"/>
          <w:bCs/>
          <w:sz w:val="24"/>
          <w:szCs w:val="24"/>
        </w:rPr>
        <w:t>/mL, performed in triplicate using standard spectrophotometric methods. Acarbose served as the reference inhibitor for enzyme assays, while butylated hydroxytoluene (BHT) was used as the antioxidant standard.</w:t>
      </w:r>
      <w:r>
        <w:rPr>
          <w:rFonts w:ascii="Times New Roman" w:hAnsi="Times New Roman" w:cs="Times New Roman"/>
          <w:bCs/>
          <w:sz w:val="24"/>
          <w:szCs w:val="24"/>
        </w:rPr>
        <w:t xml:space="preserve"> </w:t>
      </w:r>
      <w:r w:rsidRPr="00D10038">
        <w:rPr>
          <w:rFonts w:ascii="Times New Roman" w:hAnsi="Times New Roman" w:cs="Times New Roman"/>
          <w:bCs/>
          <w:sz w:val="24"/>
          <w:szCs w:val="24"/>
        </w:rPr>
        <w:t xml:space="preserve">The extract demonstrated concentration-dependent inhibitory effects against carbohydrate-digesting enzymes and notable free radical scavenging activities. Although the standards exhibited significantly higher activities across most concentrations, ABTS radical scavenging activity of the extract increased progressively with concentration, approaching the activity of BHT at higher doses. At 31.25 </w:t>
      </w:r>
      <w:proofErr w:type="spellStart"/>
      <w:r w:rsidRPr="00D10038">
        <w:rPr>
          <w:rFonts w:ascii="Times New Roman" w:hAnsi="Times New Roman" w:cs="Times New Roman"/>
          <w:bCs/>
          <w:sz w:val="24"/>
          <w:szCs w:val="24"/>
        </w:rPr>
        <w:t>μg</w:t>
      </w:r>
      <w:proofErr w:type="spellEnd"/>
      <w:r w:rsidRPr="00D10038">
        <w:rPr>
          <w:rFonts w:ascii="Times New Roman" w:hAnsi="Times New Roman" w:cs="Times New Roman"/>
          <w:bCs/>
          <w:sz w:val="24"/>
          <w:szCs w:val="24"/>
        </w:rPr>
        <w:t>/mL, hydroxyl radical scavenging activity of the extract showed no significant difference compared with the standard antioxidant. Conversely, α-glucosidase inhibition by the extract remained significantly lower than acarbose at all tested concentrations, suggesting moderate carbohydrate digestion control.</w:t>
      </w:r>
      <w:r>
        <w:rPr>
          <w:rFonts w:ascii="Times New Roman" w:hAnsi="Times New Roman" w:cs="Times New Roman"/>
          <w:bCs/>
          <w:sz w:val="24"/>
          <w:szCs w:val="24"/>
        </w:rPr>
        <w:t xml:space="preserve"> </w:t>
      </w:r>
      <w:r w:rsidRPr="00D10038">
        <w:rPr>
          <w:rFonts w:ascii="Times New Roman" w:hAnsi="Times New Roman" w:cs="Times New Roman"/>
          <w:bCs/>
          <w:sz w:val="24"/>
          <w:szCs w:val="24"/>
        </w:rPr>
        <w:t xml:space="preserve">Overall, lime-mediated extraction of </w:t>
      </w:r>
      <w:r w:rsidRPr="00D10038">
        <w:rPr>
          <w:rFonts w:ascii="Times New Roman" w:hAnsi="Times New Roman" w:cs="Times New Roman"/>
          <w:bCs/>
          <w:i/>
          <w:iCs/>
          <w:sz w:val="24"/>
          <w:szCs w:val="24"/>
        </w:rPr>
        <w:t xml:space="preserve">Gossypium </w:t>
      </w:r>
      <w:proofErr w:type="spellStart"/>
      <w:r w:rsidRPr="00D10038">
        <w:rPr>
          <w:rFonts w:ascii="Times New Roman" w:hAnsi="Times New Roman" w:cs="Times New Roman"/>
          <w:bCs/>
          <w:i/>
          <w:iCs/>
          <w:sz w:val="24"/>
          <w:szCs w:val="24"/>
        </w:rPr>
        <w:t>herbaceum</w:t>
      </w:r>
      <w:proofErr w:type="spellEnd"/>
      <w:r w:rsidRPr="00D10038">
        <w:rPr>
          <w:rFonts w:ascii="Times New Roman" w:hAnsi="Times New Roman" w:cs="Times New Roman"/>
          <w:bCs/>
          <w:sz w:val="24"/>
          <w:szCs w:val="24"/>
        </w:rPr>
        <w:t xml:space="preserve"> leaves demonstrated appreciable hypoglycemic potential through partial inhibition of carbohydrate-hydrolyzing enzymes and enhancement of antioxidant defense mechanisms. The presence of </w:t>
      </w:r>
      <w:r w:rsidRPr="00D10038">
        <w:rPr>
          <w:rFonts w:ascii="Times New Roman" w:hAnsi="Times New Roman" w:cs="Times New Roman"/>
          <w:bCs/>
          <w:i/>
          <w:iCs/>
          <w:sz w:val="24"/>
          <w:szCs w:val="24"/>
        </w:rPr>
        <w:t>Citrus aurantifolia</w:t>
      </w:r>
      <w:r w:rsidRPr="00D10038">
        <w:rPr>
          <w:rFonts w:ascii="Times New Roman" w:hAnsi="Times New Roman" w:cs="Times New Roman"/>
          <w:bCs/>
          <w:sz w:val="24"/>
          <w:szCs w:val="24"/>
        </w:rPr>
        <w:t xml:space="preserve">, rich in ascorbic acid and bioactive phytochemicals, may contribute synergistically to the observed antioxidant effects. These findings indicate that </w:t>
      </w:r>
      <w:r w:rsidRPr="00D10038">
        <w:rPr>
          <w:rFonts w:ascii="Times New Roman" w:hAnsi="Times New Roman" w:cs="Times New Roman"/>
          <w:bCs/>
          <w:i/>
          <w:iCs/>
          <w:sz w:val="24"/>
          <w:szCs w:val="24"/>
        </w:rPr>
        <w:t xml:space="preserve">Gossypium </w:t>
      </w:r>
      <w:proofErr w:type="spellStart"/>
      <w:r w:rsidRPr="00D10038">
        <w:rPr>
          <w:rFonts w:ascii="Times New Roman" w:hAnsi="Times New Roman" w:cs="Times New Roman"/>
          <w:bCs/>
          <w:i/>
          <w:iCs/>
          <w:sz w:val="24"/>
          <w:szCs w:val="24"/>
        </w:rPr>
        <w:t>herbaceum</w:t>
      </w:r>
      <w:proofErr w:type="spellEnd"/>
      <w:r w:rsidRPr="00D10038">
        <w:rPr>
          <w:rFonts w:ascii="Times New Roman" w:hAnsi="Times New Roman" w:cs="Times New Roman"/>
          <w:bCs/>
          <w:sz w:val="24"/>
          <w:szCs w:val="24"/>
        </w:rPr>
        <w:t xml:space="preserve"> leaf extract represents a promising candidate for development as a natural oral hypoglycemic phytomedicine for diabetes management.</w:t>
      </w:r>
    </w:p>
    <w:p w14:paraId="418003FF" w14:textId="77777777" w:rsidR="00D10038" w:rsidRPr="00D10038" w:rsidRDefault="00D10038" w:rsidP="00D10038">
      <w:pPr>
        <w:rPr>
          <w:rFonts w:ascii="Times New Roman" w:hAnsi="Times New Roman" w:cs="Times New Roman"/>
          <w:bCs/>
          <w:sz w:val="24"/>
          <w:szCs w:val="24"/>
        </w:rPr>
      </w:pPr>
    </w:p>
    <w:p w14:paraId="61DB791F" w14:textId="67263689" w:rsidR="002810A4" w:rsidRDefault="00D10038" w:rsidP="00D10038">
      <w:pPr>
        <w:rPr>
          <w:rFonts w:ascii="Times New Roman" w:hAnsi="Times New Roman" w:cs="Times New Roman"/>
          <w:b/>
          <w:bCs/>
          <w:sz w:val="24"/>
          <w:szCs w:val="24"/>
        </w:rPr>
      </w:pPr>
      <w:r w:rsidRPr="00D10038">
        <w:rPr>
          <w:rFonts w:ascii="Times New Roman" w:hAnsi="Times New Roman" w:cs="Times New Roman"/>
          <w:bCs/>
          <w:sz w:val="24"/>
          <w:szCs w:val="24"/>
        </w:rPr>
        <w:t xml:space="preserve">Keywords: </w:t>
      </w:r>
      <w:r w:rsidRPr="00D10038">
        <w:rPr>
          <w:rFonts w:ascii="Times New Roman" w:hAnsi="Times New Roman" w:cs="Times New Roman"/>
          <w:bCs/>
          <w:i/>
          <w:iCs/>
          <w:sz w:val="24"/>
          <w:szCs w:val="24"/>
        </w:rPr>
        <w:t xml:space="preserve">Gossypium </w:t>
      </w:r>
      <w:proofErr w:type="spellStart"/>
      <w:r w:rsidRPr="00D10038">
        <w:rPr>
          <w:rFonts w:ascii="Times New Roman" w:hAnsi="Times New Roman" w:cs="Times New Roman"/>
          <w:bCs/>
          <w:i/>
          <w:iCs/>
          <w:sz w:val="24"/>
          <w:szCs w:val="24"/>
        </w:rPr>
        <w:t>herbaceum</w:t>
      </w:r>
      <w:proofErr w:type="spellEnd"/>
      <w:r w:rsidRPr="00D10038">
        <w:rPr>
          <w:rFonts w:ascii="Times New Roman" w:hAnsi="Times New Roman" w:cs="Times New Roman"/>
          <w:bCs/>
          <w:sz w:val="24"/>
          <w:szCs w:val="24"/>
        </w:rPr>
        <w:t xml:space="preserve">; </w:t>
      </w:r>
      <w:r w:rsidRPr="00D10038">
        <w:rPr>
          <w:rFonts w:ascii="Times New Roman" w:hAnsi="Times New Roman" w:cs="Times New Roman"/>
          <w:bCs/>
          <w:i/>
          <w:iCs/>
          <w:sz w:val="24"/>
          <w:szCs w:val="24"/>
        </w:rPr>
        <w:t>Citrus aurantifolia</w:t>
      </w:r>
      <w:r w:rsidRPr="00D10038">
        <w:rPr>
          <w:rFonts w:ascii="Times New Roman" w:hAnsi="Times New Roman" w:cs="Times New Roman"/>
          <w:bCs/>
          <w:sz w:val="24"/>
          <w:szCs w:val="24"/>
        </w:rPr>
        <w:t>; antidiabetic activity; antioxidant activity; α-amylase inhibition; α-glucosidase inhibition.</w:t>
      </w:r>
    </w:p>
    <w:p w14:paraId="09E3AAD2" w14:textId="77777777" w:rsidR="00D10038" w:rsidRDefault="00D10038">
      <w:pPr>
        <w:rPr>
          <w:rFonts w:ascii="Times New Roman" w:hAnsi="Times New Roman" w:cs="Times New Roman"/>
          <w:b/>
          <w:bCs/>
          <w:sz w:val="24"/>
          <w:szCs w:val="24"/>
        </w:rPr>
      </w:pPr>
      <w:r>
        <w:rPr>
          <w:rFonts w:ascii="Times New Roman" w:hAnsi="Times New Roman" w:cs="Times New Roman"/>
          <w:b/>
          <w:bCs/>
          <w:sz w:val="24"/>
          <w:szCs w:val="24"/>
        </w:rPr>
        <w:br w:type="page"/>
      </w:r>
    </w:p>
    <w:p w14:paraId="3BC28110" w14:textId="1991CFF5" w:rsidR="002810A4"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INTRODUCTION</w:t>
      </w:r>
    </w:p>
    <w:p w14:paraId="2FDE24BF" w14:textId="77777777" w:rsidR="002810A4" w:rsidRDefault="0000000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Diabetes mellitus is a chronic heterogeneous metabolic disorder with complex pathogenesis that is characterized by elevated blood glucose levels or hyperglycemia, resulting from abnormalities in insulin action or insulin resistance. </w:t>
      </w:r>
      <w:r>
        <w:rPr>
          <w:rFonts w:ascii="Times New Roman" w:hAnsi="Times New Roman" w:cs="Times New Roman"/>
          <w:sz w:val="24"/>
          <w:szCs w:val="24"/>
        </w:rPr>
        <w:t>Diabetes is due to either the pancreas not</w:t>
      </w:r>
      <w:r>
        <w:rPr>
          <w:rFonts w:ascii="Times New Roman" w:hAnsi="Times New Roman" w:cs="Times New Roman"/>
          <w:bCs/>
          <w:sz w:val="24"/>
          <w:szCs w:val="24"/>
        </w:rPr>
        <w:t xml:space="preserve"> secreting</w:t>
      </w:r>
      <w:r>
        <w:rPr>
          <w:rFonts w:ascii="Times New Roman" w:hAnsi="Times New Roman" w:cs="Times New Roman"/>
          <w:sz w:val="24"/>
          <w:szCs w:val="24"/>
        </w:rPr>
        <w:t xml:space="preserve"> enough insulin</w:t>
      </w:r>
      <w:r>
        <w:rPr>
          <w:rFonts w:ascii="Times New Roman" w:hAnsi="Times New Roman" w:cs="Times New Roman"/>
          <w:bCs/>
          <w:sz w:val="24"/>
          <w:szCs w:val="24"/>
        </w:rPr>
        <w:t xml:space="preserve"> </w:t>
      </w:r>
      <w:r>
        <w:rPr>
          <w:rFonts w:ascii="Times New Roman" w:hAnsi="Times New Roman" w:cs="Times New Roman"/>
          <w:sz w:val="24"/>
          <w:szCs w:val="24"/>
        </w:rPr>
        <w:t xml:space="preserve">or the cells of the body not responding properly to the insulin produced. </w:t>
      </w:r>
      <w:r>
        <w:rPr>
          <w:rFonts w:ascii="Times New Roman" w:hAnsi="Times New Roman" w:cs="Times New Roman"/>
          <w:bCs/>
          <w:sz w:val="24"/>
          <w:szCs w:val="24"/>
        </w:rPr>
        <w:t xml:space="preserve">Hyperglycemia manifests in various forms resulting in carbohydrate, fat, and protein metabolic dysfunctions, which serves as the primary biomarker for the diagnosis of diabetes (Banday, </w:t>
      </w:r>
      <w:r>
        <w:rPr>
          <w:rFonts w:ascii="Times New Roman" w:hAnsi="Times New Roman" w:cs="Times New Roman"/>
          <w:bCs/>
          <w:i/>
          <w:sz w:val="24"/>
          <w:szCs w:val="24"/>
        </w:rPr>
        <w:t>et al.,</w:t>
      </w:r>
      <w:r>
        <w:rPr>
          <w:rFonts w:ascii="Times New Roman" w:hAnsi="Times New Roman" w:cs="Times New Roman"/>
          <w:bCs/>
          <w:sz w:val="24"/>
          <w:szCs w:val="24"/>
        </w:rPr>
        <w:t xml:space="preserve"> 2020). Persistent hyperglycemia if left untreated leads to long-term complications including nephropathy, neuropathy, retinopathy, cardiovascular diseases, cancer, </w:t>
      </w:r>
      <w:proofErr w:type="spellStart"/>
      <w:r>
        <w:rPr>
          <w:rFonts w:ascii="Times New Roman" w:hAnsi="Times New Roman" w:cs="Times New Roman"/>
          <w:bCs/>
          <w:sz w:val="24"/>
          <w:szCs w:val="24"/>
        </w:rPr>
        <w:t>immunsupression</w:t>
      </w:r>
      <w:proofErr w:type="spellEnd"/>
      <w:r>
        <w:rPr>
          <w:rFonts w:ascii="Times New Roman" w:hAnsi="Times New Roman" w:cs="Times New Roman"/>
          <w:bCs/>
          <w:sz w:val="24"/>
          <w:szCs w:val="24"/>
        </w:rPr>
        <w:t xml:space="preserve">, and neurodegenerative diseases. Diabetes mellitus poses a significant public health challenge worldwide, according to recent global estimates, over 537 million adults are living with diabetes, and this number is expected to increase substantially by 2045 (WHO, 2023; </w:t>
      </w:r>
      <w:r>
        <w:rPr>
          <w:rFonts w:ascii="Times New Roman" w:hAnsi="Times New Roman" w:cs="Times New Roman"/>
          <w:sz w:val="24"/>
          <w:szCs w:val="24"/>
        </w:rPr>
        <w:t>International Diabetes Federation, 2011</w:t>
      </w:r>
      <w:r>
        <w:rPr>
          <w:rFonts w:ascii="Times New Roman" w:hAnsi="Times New Roman" w:cs="Times New Roman"/>
          <w:bCs/>
          <w:sz w:val="24"/>
          <w:szCs w:val="24"/>
        </w:rPr>
        <w:t>). The major types of diabetes are type 1 diabetes which is an autoimmune condition that destroys the pancreas's ability to produce insulin (insulin-dependent), and type 2 diabetes is an insulin resistance, which may be combined with relatively reduced insulin secretion (non-insulin-dependent), a condition in which cells fail to respond to insulin properly</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(Saeedi, </w:t>
      </w:r>
      <w:r>
        <w:rPr>
          <w:rFonts w:ascii="Times New Roman" w:hAnsi="Times New Roman" w:cs="Times New Roman"/>
          <w:bCs/>
          <w:i/>
          <w:sz w:val="24"/>
          <w:szCs w:val="24"/>
        </w:rPr>
        <w:t>et al</w:t>
      </w:r>
      <w:r>
        <w:rPr>
          <w:rFonts w:ascii="Times New Roman" w:hAnsi="Times New Roman" w:cs="Times New Roman"/>
          <w:bCs/>
          <w:sz w:val="24"/>
          <w:szCs w:val="24"/>
        </w:rPr>
        <w:t>., 2019).</w:t>
      </w:r>
    </w:p>
    <w:p w14:paraId="7834765F" w14:textId="77777777" w:rsidR="002810A4" w:rsidRDefault="0000000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Hyperglycemia increases the generation of reactive oxygen species (ROS) through several mechanisms including glucose auto-oxidation, protein glycation, and activation of the polyol pathway. The oxygen radicals such as superoxide anion (*O</w:t>
      </w:r>
      <w:r>
        <w:rPr>
          <w:rFonts w:ascii="Times New Roman" w:hAnsi="Times New Roman" w:cs="Times New Roman"/>
          <w:bCs/>
          <w:sz w:val="24"/>
          <w:szCs w:val="24"/>
          <w:vertAlign w:val="subscript"/>
        </w:rPr>
        <w:t>2</w:t>
      </w:r>
      <w:r>
        <w:rPr>
          <w:rFonts w:ascii="Times New Roman" w:hAnsi="Times New Roman" w:cs="Times New Roman"/>
          <w:bCs/>
          <w:sz w:val="24"/>
          <w:szCs w:val="24"/>
        </w:rPr>
        <w:t xml:space="preserve">), hydroxyl radical (*OH) and </w:t>
      </w:r>
      <w:proofErr w:type="spellStart"/>
      <w:r>
        <w:rPr>
          <w:rFonts w:ascii="Times New Roman" w:hAnsi="Times New Roman" w:cs="Times New Roman"/>
          <w:bCs/>
          <w:sz w:val="24"/>
          <w:szCs w:val="24"/>
        </w:rPr>
        <w:t>proxyl</w:t>
      </w:r>
      <w:proofErr w:type="spellEnd"/>
      <w:r>
        <w:rPr>
          <w:rFonts w:ascii="Times New Roman" w:hAnsi="Times New Roman" w:cs="Times New Roman"/>
          <w:bCs/>
          <w:sz w:val="24"/>
          <w:szCs w:val="24"/>
        </w:rPr>
        <w:t xml:space="preserve"> radicals (H</w:t>
      </w:r>
      <w:r>
        <w:rPr>
          <w:rFonts w:ascii="Times New Roman" w:hAnsi="Times New Roman" w:cs="Times New Roman"/>
          <w:bCs/>
          <w:sz w:val="24"/>
          <w:szCs w:val="24"/>
          <w:vertAlign w:val="subscript"/>
        </w:rPr>
        <w:t>2</w:t>
      </w:r>
      <w:r>
        <w:rPr>
          <w:rFonts w:ascii="Times New Roman" w:hAnsi="Times New Roman" w:cs="Times New Roman"/>
          <w:bCs/>
          <w:sz w:val="24"/>
          <w:szCs w:val="24"/>
        </w:rPr>
        <w:t>O</w:t>
      </w:r>
      <w:r>
        <w:rPr>
          <w:rFonts w:ascii="Times New Roman" w:hAnsi="Times New Roman" w:cs="Times New Roman"/>
          <w:bCs/>
          <w:sz w:val="24"/>
          <w:szCs w:val="24"/>
          <w:vertAlign w:val="subscript"/>
        </w:rPr>
        <w:t>2</w:t>
      </w:r>
      <w:r>
        <w:rPr>
          <w:rFonts w:ascii="Times New Roman" w:hAnsi="Times New Roman" w:cs="Times New Roman"/>
          <w:bCs/>
          <w:sz w:val="24"/>
          <w:szCs w:val="24"/>
        </w:rPr>
        <w:t>) are produced in biological systems. Excess ROS damages cellular components such as proteins, lipid, DNA, pancreatic β-cell dysfunction and insulin resistance (</w:t>
      </w:r>
      <w:proofErr w:type="spellStart"/>
      <w:r>
        <w:rPr>
          <w:rFonts w:ascii="Times New Roman" w:hAnsi="Times New Roman" w:cs="Times New Roman"/>
          <w:bCs/>
          <w:sz w:val="24"/>
          <w:szCs w:val="24"/>
        </w:rPr>
        <w:t>Cotroan</w:t>
      </w:r>
      <w:proofErr w:type="spellEnd"/>
      <w:r>
        <w:rPr>
          <w:rFonts w:ascii="Times New Roman" w:hAnsi="Times New Roman" w:cs="Times New Roman"/>
          <w:bCs/>
          <w:sz w:val="24"/>
          <w:szCs w:val="24"/>
        </w:rPr>
        <w:t xml:space="preserve">, </w:t>
      </w:r>
      <w:r>
        <w:rPr>
          <w:rFonts w:ascii="Times New Roman" w:hAnsi="Times New Roman" w:cs="Times New Roman"/>
          <w:bCs/>
          <w:i/>
          <w:sz w:val="24"/>
          <w:szCs w:val="24"/>
        </w:rPr>
        <w:t>et al</w:t>
      </w:r>
      <w:r>
        <w:rPr>
          <w:rFonts w:ascii="Times New Roman" w:hAnsi="Times New Roman" w:cs="Times New Roman"/>
          <w:bCs/>
          <w:sz w:val="24"/>
          <w:szCs w:val="24"/>
        </w:rPr>
        <w:t xml:space="preserve">., 1999). </w:t>
      </w:r>
    </w:p>
    <w:p w14:paraId="0FAE0331" w14:textId="77777777" w:rsidR="002810A4" w:rsidRDefault="0000000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Most medications used in the management of Diabetes Mellitus include the administration of animal insulin and synthetic drugs such as Acarbose, Miglitol, and </w:t>
      </w:r>
      <w:proofErr w:type="spellStart"/>
      <w:r>
        <w:rPr>
          <w:rFonts w:ascii="Times New Roman" w:hAnsi="Times New Roman" w:cs="Times New Roman"/>
          <w:bCs/>
          <w:sz w:val="24"/>
          <w:szCs w:val="24"/>
        </w:rPr>
        <w:t>Voglibose</w:t>
      </w:r>
      <w:proofErr w:type="spellEnd"/>
      <w:r>
        <w:rPr>
          <w:rFonts w:ascii="Times New Roman" w:hAnsi="Times New Roman" w:cs="Times New Roman"/>
          <w:bCs/>
          <w:sz w:val="24"/>
          <w:szCs w:val="24"/>
        </w:rPr>
        <w:t xml:space="preserve">, which inhibit carbohydrate-digesting enzymes. In addition, synthetic antioxidants such as Butylated hydroxytoluene (BHT) and Butylated hydroxyanisole (BHA) are employed to mitigate oxidative damage. These medications help reduce blood glucose levels by limiting intestinal glucose absorption and controlling postprandial hyperglycemia. However, the long-term use of these synthetic compounds has raised safety concerns, possible endocrine disruption, carcinogenic risks, bioaccumulation in the body, high treatment costs, and other adverse effects, which may restrict their widespread application (Patel, </w:t>
      </w:r>
      <w:r>
        <w:rPr>
          <w:rFonts w:ascii="Times New Roman" w:hAnsi="Times New Roman" w:cs="Times New Roman"/>
          <w:bCs/>
          <w:i/>
          <w:sz w:val="24"/>
          <w:szCs w:val="24"/>
        </w:rPr>
        <w:t>et al</w:t>
      </w:r>
      <w:r>
        <w:rPr>
          <w:rFonts w:ascii="Times New Roman" w:hAnsi="Times New Roman" w:cs="Times New Roman"/>
          <w:bCs/>
          <w:sz w:val="24"/>
          <w:szCs w:val="24"/>
        </w:rPr>
        <w:t xml:space="preserve">., 2022). Consequently, </w:t>
      </w:r>
      <w:r>
        <w:rPr>
          <w:rFonts w:ascii="Times New Roman" w:hAnsi="Times New Roman" w:cs="Times New Roman"/>
          <w:bCs/>
          <w:sz w:val="24"/>
          <w:szCs w:val="24"/>
        </w:rPr>
        <w:lastRenderedPageBreak/>
        <w:t>recent research has increasingly focused on the identification and utilization of natural antioxidants derived from medicinal plants as safer alternatives for therapeutic and food-related applications.</w:t>
      </w:r>
    </w:p>
    <w:p w14:paraId="21BD18D6" w14:textId="77777777" w:rsidR="002810A4" w:rsidRDefault="00000000">
      <w:pPr>
        <w:spacing w:line="360" w:lineRule="auto"/>
        <w:jc w:val="both"/>
        <w:rPr>
          <w:rFonts w:ascii="Times New Roman" w:hAnsi="Times New Roman" w:cs="Times New Roman"/>
          <w:bCs/>
          <w:sz w:val="24"/>
          <w:szCs w:val="24"/>
        </w:rPr>
      </w:pPr>
      <w:r>
        <w:rPr>
          <w:rFonts w:ascii="Times New Roman" w:hAnsi="Times New Roman" w:cs="Times New Roman"/>
          <w:bCs/>
          <w:i/>
          <w:sz w:val="24"/>
          <w:szCs w:val="24"/>
        </w:rPr>
        <w:t xml:space="preserve">Gossypium </w:t>
      </w:r>
      <w:proofErr w:type="spellStart"/>
      <w:r>
        <w:rPr>
          <w:rFonts w:ascii="Times New Roman" w:hAnsi="Times New Roman" w:cs="Times New Roman"/>
          <w:bCs/>
          <w:i/>
          <w:sz w:val="24"/>
          <w:szCs w:val="24"/>
        </w:rPr>
        <w:t>herbaceum</w:t>
      </w:r>
      <w:proofErr w:type="spellEnd"/>
      <w:r>
        <w:rPr>
          <w:rFonts w:ascii="Times New Roman" w:hAnsi="Times New Roman" w:cs="Times New Roman"/>
          <w:bCs/>
          <w:i/>
          <w:sz w:val="24"/>
          <w:szCs w:val="24"/>
        </w:rPr>
        <w:t xml:space="preserve"> </w:t>
      </w:r>
      <w:r>
        <w:rPr>
          <w:rFonts w:ascii="Times New Roman" w:hAnsi="Times New Roman" w:cs="Times New Roman"/>
          <w:bCs/>
          <w:sz w:val="24"/>
          <w:szCs w:val="24"/>
        </w:rPr>
        <w:t>has long been used in traditional medicine for the treatment of several ailments, and recent studies show that its leaves contain phytochemicals with notable antioxidant and biological activities (</w:t>
      </w:r>
      <w:proofErr w:type="spellStart"/>
      <w:r>
        <w:rPr>
          <w:rFonts w:ascii="Times New Roman" w:hAnsi="Times New Roman" w:cs="Times New Roman"/>
          <w:bCs/>
          <w:sz w:val="24"/>
          <w:szCs w:val="24"/>
        </w:rPr>
        <w:t>Okunlola</w:t>
      </w:r>
      <w:proofErr w:type="spellEnd"/>
      <w:r>
        <w:rPr>
          <w:rFonts w:ascii="Times New Roman" w:hAnsi="Times New Roman" w:cs="Times New Roman"/>
          <w:bCs/>
          <w:sz w:val="24"/>
          <w:szCs w:val="24"/>
        </w:rPr>
        <w:t xml:space="preserve">, </w:t>
      </w:r>
      <w:r>
        <w:rPr>
          <w:rFonts w:ascii="Times New Roman" w:hAnsi="Times New Roman" w:cs="Times New Roman"/>
          <w:bCs/>
          <w:i/>
          <w:sz w:val="24"/>
          <w:szCs w:val="24"/>
        </w:rPr>
        <w:t>et al</w:t>
      </w:r>
      <w:r>
        <w:rPr>
          <w:rFonts w:ascii="Times New Roman" w:hAnsi="Times New Roman" w:cs="Times New Roman"/>
          <w:bCs/>
          <w:sz w:val="24"/>
          <w:szCs w:val="24"/>
        </w:rPr>
        <w:t xml:space="preserve">., 2021). Lime juice (Citrus </w:t>
      </w:r>
      <w:r>
        <w:rPr>
          <w:rFonts w:ascii="Times New Roman" w:hAnsi="Times New Roman" w:cs="Times New Roman"/>
          <w:bCs/>
          <w:i/>
          <w:sz w:val="24"/>
          <w:szCs w:val="24"/>
        </w:rPr>
        <w:t>aurantifolia</w:t>
      </w:r>
      <w:r>
        <w:rPr>
          <w:rFonts w:ascii="Times New Roman" w:hAnsi="Times New Roman" w:cs="Times New Roman"/>
          <w:bCs/>
          <w:sz w:val="24"/>
          <w:szCs w:val="24"/>
        </w:rPr>
        <w:t>) is rich in vitamin C, organic acids, and flavonoids that possess antioxidant potential and may enhance the extraction and solubility of phytochemicals. Acidic extraction media such as lime juice can therefore improve the recovery of bioactive constituents and enhance antioxidant activity (</w:t>
      </w:r>
      <w:proofErr w:type="spellStart"/>
      <w:r>
        <w:rPr>
          <w:rFonts w:ascii="Times New Roman" w:hAnsi="Times New Roman" w:cs="Times New Roman"/>
          <w:bCs/>
          <w:sz w:val="24"/>
          <w:szCs w:val="24"/>
        </w:rPr>
        <w:t>Indriyani</w:t>
      </w:r>
      <w:proofErr w:type="spellEnd"/>
      <w:r>
        <w:rPr>
          <w:rFonts w:ascii="Times New Roman" w:hAnsi="Times New Roman" w:cs="Times New Roman"/>
          <w:bCs/>
          <w:sz w:val="24"/>
          <w:szCs w:val="24"/>
        </w:rPr>
        <w:t xml:space="preserve">, </w:t>
      </w:r>
      <w:r>
        <w:rPr>
          <w:rFonts w:ascii="Times New Roman" w:hAnsi="Times New Roman" w:cs="Times New Roman"/>
          <w:bCs/>
          <w:i/>
          <w:sz w:val="24"/>
          <w:szCs w:val="24"/>
        </w:rPr>
        <w:t>et al</w:t>
      </w:r>
      <w:r>
        <w:rPr>
          <w:rFonts w:ascii="Times New Roman" w:hAnsi="Times New Roman" w:cs="Times New Roman"/>
          <w:bCs/>
          <w:sz w:val="24"/>
          <w:szCs w:val="24"/>
        </w:rPr>
        <w:t xml:space="preserve">., 2023). However, limited studies have investigated the combined effect of lime-juice extraction on the antidiabetic and radical-scavenging properties of </w:t>
      </w:r>
      <w:r>
        <w:rPr>
          <w:rFonts w:ascii="Times New Roman" w:hAnsi="Times New Roman" w:cs="Times New Roman"/>
          <w:bCs/>
          <w:i/>
          <w:sz w:val="24"/>
          <w:szCs w:val="24"/>
        </w:rPr>
        <w:t xml:space="preserve">G. </w:t>
      </w:r>
      <w:proofErr w:type="spellStart"/>
      <w:r>
        <w:rPr>
          <w:rFonts w:ascii="Times New Roman" w:hAnsi="Times New Roman" w:cs="Times New Roman"/>
          <w:bCs/>
          <w:i/>
          <w:sz w:val="24"/>
          <w:szCs w:val="24"/>
        </w:rPr>
        <w:t>herbaceum</w:t>
      </w:r>
      <w:proofErr w:type="spellEnd"/>
      <w:r>
        <w:rPr>
          <w:rFonts w:ascii="Times New Roman" w:hAnsi="Times New Roman" w:cs="Times New Roman"/>
          <w:bCs/>
          <w:sz w:val="24"/>
          <w:szCs w:val="24"/>
        </w:rPr>
        <w:t xml:space="preserve">. Therefore, this study evaluates the antidiabetic and antioxidant activities of lime-juice extract of </w:t>
      </w:r>
      <w:r>
        <w:rPr>
          <w:rFonts w:ascii="Times New Roman" w:hAnsi="Times New Roman" w:cs="Times New Roman"/>
          <w:bCs/>
          <w:i/>
          <w:sz w:val="24"/>
          <w:szCs w:val="24"/>
        </w:rPr>
        <w:t xml:space="preserve">G. </w:t>
      </w:r>
      <w:proofErr w:type="spellStart"/>
      <w:r>
        <w:rPr>
          <w:rFonts w:ascii="Times New Roman" w:hAnsi="Times New Roman" w:cs="Times New Roman"/>
          <w:bCs/>
          <w:i/>
          <w:sz w:val="24"/>
          <w:szCs w:val="24"/>
        </w:rPr>
        <w:t>herbaceum</w:t>
      </w:r>
      <w:proofErr w:type="spellEnd"/>
      <w:r>
        <w:rPr>
          <w:rFonts w:ascii="Times New Roman" w:hAnsi="Times New Roman" w:cs="Times New Roman"/>
          <w:bCs/>
          <w:sz w:val="24"/>
          <w:szCs w:val="24"/>
        </w:rPr>
        <w:t xml:space="preserve"> leaves using </w:t>
      </w:r>
      <w:r>
        <w:rPr>
          <w:rFonts w:ascii="Times New Roman" w:hAnsi="Times New Roman" w:cs="Times New Roman"/>
          <w:bCs/>
          <w:i/>
          <w:sz w:val="24"/>
          <w:szCs w:val="24"/>
        </w:rPr>
        <w:t>in-vitro</w:t>
      </w:r>
      <w:r>
        <w:rPr>
          <w:rFonts w:ascii="Times New Roman" w:hAnsi="Times New Roman" w:cs="Times New Roman"/>
          <w:bCs/>
          <w:sz w:val="24"/>
          <w:szCs w:val="24"/>
        </w:rPr>
        <w:t xml:space="preserve"> assays.</w:t>
      </w:r>
    </w:p>
    <w:p w14:paraId="6E6E9FC2" w14:textId="77777777" w:rsidR="002810A4"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Aim and Objective</w:t>
      </w:r>
    </w:p>
    <w:p w14:paraId="24F3C366"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evaluates the anti-diabetic and antioxidant potential of lime juice extract of </w:t>
      </w:r>
      <w:r>
        <w:rPr>
          <w:rFonts w:ascii="Times New Roman" w:hAnsi="Times New Roman" w:cs="Times New Roman"/>
          <w:i/>
          <w:sz w:val="24"/>
          <w:szCs w:val="24"/>
        </w:rPr>
        <w:t xml:space="preserve">Gossypium </w:t>
      </w:r>
      <w:proofErr w:type="spellStart"/>
      <w:r>
        <w:rPr>
          <w:rFonts w:ascii="Times New Roman" w:hAnsi="Times New Roman" w:cs="Times New Roman"/>
          <w:i/>
          <w:sz w:val="24"/>
          <w:szCs w:val="24"/>
        </w:rPr>
        <w:t>herbaceum</w:t>
      </w:r>
      <w:proofErr w:type="spellEnd"/>
      <w:r>
        <w:rPr>
          <w:rFonts w:ascii="Times New Roman" w:hAnsi="Times New Roman" w:cs="Times New Roman"/>
          <w:sz w:val="24"/>
          <w:szCs w:val="24"/>
        </w:rPr>
        <w:t xml:space="preserve"> leaves </w:t>
      </w:r>
      <w:r>
        <w:rPr>
          <w:rFonts w:ascii="Times New Roman" w:hAnsi="Times New Roman" w:cs="Times New Roman"/>
          <w:i/>
          <w:iCs/>
          <w:sz w:val="24"/>
          <w:szCs w:val="24"/>
        </w:rPr>
        <w:t>in vitro</w:t>
      </w:r>
      <w:r>
        <w:rPr>
          <w:rFonts w:ascii="Times New Roman" w:hAnsi="Times New Roman" w:cs="Times New Roman"/>
          <w:sz w:val="24"/>
          <w:szCs w:val="24"/>
        </w:rPr>
        <w:t xml:space="preserve">, their role in inhibiting carbohydrate-digesting enzymes and scavenging free radicals potential, as a natural alternative for the management of diabetes mellitus. </w:t>
      </w:r>
    </w:p>
    <w:p w14:paraId="369BE584"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bCs/>
          <w:sz w:val="24"/>
          <w:szCs w:val="24"/>
        </w:rPr>
        <w:t xml:space="preserve">The specific objectives were to evaluate Antidiabetic and Free radical scavenging activities of lime extract of </w:t>
      </w:r>
      <w:r>
        <w:rPr>
          <w:rFonts w:ascii="Times New Roman" w:hAnsi="Times New Roman" w:cs="Times New Roman"/>
          <w:bCs/>
          <w:i/>
          <w:iCs/>
          <w:sz w:val="24"/>
          <w:szCs w:val="24"/>
        </w:rPr>
        <w:t xml:space="preserve">Gossypium </w:t>
      </w:r>
      <w:proofErr w:type="spellStart"/>
      <w:r>
        <w:rPr>
          <w:rFonts w:ascii="Times New Roman" w:hAnsi="Times New Roman" w:cs="Times New Roman"/>
          <w:bCs/>
          <w:i/>
          <w:iCs/>
          <w:sz w:val="24"/>
          <w:szCs w:val="24"/>
        </w:rPr>
        <w:t>herbaceum</w:t>
      </w:r>
      <w:proofErr w:type="spellEnd"/>
      <w:r>
        <w:rPr>
          <w:rFonts w:ascii="Times New Roman" w:hAnsi="Times New Roman" w:cs="Times New Roman"/>
          <w:bCs/>
          <w:sz w:val="24"/>
          <w:szCs w:val="24"/>
        </w:rPr>
        <w:t xml:space="preserve"> leave </w:t>
      </w:r>
      <w:r>
        <w:rPr>
          <w:rFonts w:ascii="Times New Roman" w:hAnsi="Times New Roman" w:cs="Times New Roman"/>
          <w:bCs/>
          <w:i/>
          <w:iCs/>
          <w:sz w:val="24"/>
          <w:szCs w:val="24"/>
        </w:rPr>
        <w:t>in vitro</w:t>
      </w:r>
      <w:r>
        <w:rPr>
          <w:rFonts w:ascii="Times New Roman" w:hAnsi="Times New Roman" w:cs="Times New Roman"/>
          <w:bCs/>
          <w:sz w:val="24"/>
          <w:szCs w:val="24"/>
        </w:rPr>
        <w:t xml:space="preserve"> through the assessment of α-amylase inhibition assay for anti-diabetic activity, α-glucosidase inhibition assay for </w:t>
      </w:r>
      <w:r>
        <w:rPr>
          <w:rFonts w:ascii="Times New Roman" w:hAnsi="Times New Roman" w:cs="Times New Roman"/>
          <w:sz w:val="24"/>
          <w:szCs w:val="24"/>
        </w:rPr>
        <w:t>carbohydrate control</w:t>
      </w:r>
      <w:r>
        <w:rPr>
          <w:rFonts w:ascii="Times New Roman" w:hAnsi="Times New Roman" w:cs="Times New Roman"/>
          <w:bCs/>
          <w:sz w:val="24"/>
          <w:szCs w:val="24"/>
        </w:rPr>
        <w:t>. DPPH, ABTS radicals scavenging assay for antioxidants capacity and Hydroxyl radicals scavenging for oxidative stress evaluation.</w:t>
      </w:r>
    </w:p>
    <w:p w14:paraId="15C0BB0B" w14:textId="77777777" w:rsidR="002810A4" w:rsidRDefault="00000000">
      <w:pPr>
        <w:rPr>
          <w:rFonts w:ascii="Times New Roman" w:hAnsi="Times New Roman" w:cs="Times New Roman"/>
          <w:b/>
          <w:bCs/>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t>Ethnopharmacology of</w:t>
      </w:r>
      <w:r>
        <w:rPr>
          <w:rFonts w:ascii="Times New Roman" w:hAnsi="Times New Roman" w:cs="Times New Roman"/>
          <w:b/>
          <w:bCs/>
          <w:i/>
          <w:sz w:val="24"/>
          <w:szCs w:val="24"/>
        </w:rPr>
        <w:t xml:space="preserve"> Gossypium </w:t>
      </w:r>
      <w:proofErr w:type="spellStart"/>
      <w:r>
        <w:rPr>
          <w:rFonts w:ascii="Times New Roman" w:hAnsi="Times New Roman" w:cs="Times New Roman"/>
          <w:b/>
          <w:bCs/>
          <w:i/>
          <w:sz w:val="24"/>
          <w:szCs w:val="24"/>
        </w:rPr>
        <w:t>herbaceum</w:t>
      </w:r>
      <w:proofErr w:type="spellEnd"/>
      <w:r>
        <w:rPr>
          <w:rFonts w:ascii="Times New Roman" w:hAnsi="Times New Roman" w:cs="Times New Roman"/>
          <w:b/>
          <w:bCs/>
          <w:sz w:val="24"/>
          <w:szCs w:val="24"/>
        </w:rPr>
        <w:t xml:space="preserve"> plant </w:t>
      </w:r>
    </w:p>
    <w:p w14:paraId="1DD4506B" w14:textId="77777777" w:rsidR="002810A4" w:rsidRDefault="00000000">
      <w:pPr>
        <w:spacing w:line="360" w:lineRule="auto"/>
        <w:jc w:val="both"/>
        <w:rPr>
          <w:rFonts w:ascii="Times New Roman" w:hAnsi="Times New Roman" w:cs="Times New Roman"/>
          <w:bCs/>
          <w:sz w:val="24"/>
          <w:szCs w:val="24"/>
        </w:rPr>
      </w:pPr>
      <w:r>
        <w:rPr>
          <w:rFonts w:ascii="Times New Roman" w:hAnsi="Times New Roman" w:cs="Times New Roman"/>
          <w:bCs/>
          <w:i/>
          <w:sz w:val="24"/>
          <w:szCs w:val="24"/>
        </w:rPr>
        <w:t xml:space="preserve">Gossypium </w:t>
      </w:r>
      <w:proofErr w:type="spellStart"/>
      <w:r>
        <w:rPr>
          <w:rFonts w:ascii="Times New Roman" w:hAnsi="Times New Roman" w:cs="Times New Roman"/>
          <w:bCs/>
          <w:i/>
          <w:sz w:val="24"/>
          <w:szCs w:val="24"/>
        </w:rPr>
        <w:t>herbaceum</w:t>
      </w:r>
      <w:proofErr w:type="spellEnd"/>
      <w:r>
        <w:rPr>
          <w:rFonts w:ascii="Times New Roman" w:hAnsi="Times New Roman" w:cs="Times New Roman"/>
          <w:bCs/>
          <w:sz w:val="24"/>
          <w:szCs w:val="24"/>
        </w:rPr>
        <w:t xml:space="preserve"> (family </w:t>
      </w:r>
      <w:proofErr w:type="spellStart"/>
      <w:r>
        <w:rPr>
          <w:rFonts w:ascii="Times New Roman" w:hAnsi="Times New Roman" w:cs="Times New Roman"/>
          <w:bCs/>
          <w:sz w:val="24"/>
          <w:szCs w:val="24"/>
        </w:rPr>
        <w:t>Malvacease</w:t>
      </w:r>
      <w:proofErr w:type="spellEnd"/>
      <w:r>
        <w:rPr>
          <w:rFonts w:ascii="Times New Roman" w:hAnsi="Times New Roman" w:cs="Times New Roman"/>
          <w:bCs/>
          <w:sz w:val="24"/>
          <w:szCs w:val="24"/>
        </w:rPr>
        <w:t xml:space="preserve">) commonly known as cotton plant, is widely recognized in traditional medicine in Nigeria, across Africa and Asia for the treatment of various ailments. Its leaves are broad and heart-shaped with coarse veins of three to five lobes. The plant has many branches, with one main central stem, the flower capsule burst and expose the cotton surrounding the seeds firmly </w:t>
      </w:r>
      <w:r>
        <w:rPr>
          <w:rFonts w:ascii="Times New Roman" w:hAnsi="Times New Roman" w:cs="Times New Roman"/>
          <w:sz w:val="24"/>
          <w:szCs w:val="24"/>
        </w:rPr>
        <w:t xml:space="preserve">as shown in </w:t>
      </w:r>
      <w:r>
        <w:rPr>
          <w:rFonts w:ascii="Times New Roman" w:hAnsi="Times New Roman" w:cs="Times New Roman"/>
          <w:bCs/>
          <w:sz w:val="24"/>
          <w:szCs w:val="24"/>
        </w:rPr>
        <w:t>Figure 1 (Wackers and Wunderlin,</w:t>
      </w:r>
      <w:r>
        <w:rPr>
          <w:rFonts w:ascii="Times New Roman" w:hAnsi="Times New Roman" w:cs="Times New Roman"/>
          <w:sz w:val="24"/>
          <w:szCs w:val="24"/>
        </w:rPr>
        <w:t xml:space="preserve"> 1999)</w:t>
      </w:r>
      <w:r>
        <w:rPr>
          <w:rFonts w:ascii="Times New Roman" w:hAnsi="Times New Roman" w:cs="Times New Roman"/>
          <w:bCs/>
          <w:sz w:val="24"/>
          <w:szCs w:val="24"/>
        </w:rPr>
        <w:t xml:space="preserve">.  Ethnomedicinal reports indicate that different parts of the plant including leaves, roots, seeds, and bark are used to manage conditions such as infections, inflammation, wounds, gastrointestinal disorders, and reproductive abnormalities. Leaf extracts are used in the </w:t>
      </w:r>
      <w:r>
        <w:rPr>
          <w:rFonts w:ascii="Times New Roman" w:hAnsi="Times New Roman" w:cs="Times New Roman"/>
          <w:bCs/>
          <w:sz w:val="24"/>
          <w:szCs w:val="24"/>
        </w:rPr>
        <w:lastRenderedPageBreak/>
        <w:t>management of metabolic disorders, aiding the regeneration of pancreatic beta cells following their artificial destruction through streptozotocin induction (</w:t>
      </w:r>
      <w:proofErr w:type="spellStart"/>
      <w:r>
        <w:rPr>
          <w:rFonts w:ascii="Times New Roman" w:hAnsi="Times New Roman" w:cs="Times New Roman"/>
          <w:bCs/>
          <w:sz w:val="24"/>
          <w:szCs w:val="24"/>
        </w:rPr>
        <w:t>Onyibe</w:t>
      </w:r>
      <w:proofErr w:type="spellEnd"/>
      <w:r>
        <w:rPr>
          <w:rFonts w:ascii="Times New Roman" w:hAnsi="Times New Roman" w:cs="Times New Roman"/>
          <w:bCs/>
          <w:sz w:val="24"/>
          <w:szCs w:val="24"/>
        </w:rPr>
        <w:t>, </w:t>
      </w:r>
      <w:r>
        <w:rPr>
          <w:rFonts w:ascii="Times New Roman" w:hAnsi="Times New Roman" w:cs="Times New Roman"/>
          <w:bCs/>
          <w:i/>
          <w:sz w:val="24"/>
          <w:szCs w:val="24"/>
        </w:rPr>
        <w:t>et al</w:t>
      </w:r>
      <w:r>
        <w:rPr>
          <w:rFonts w:ascii="Times New Roman" w:hAnsi="Times New Roman" w:cs="Times New Roman"/>
          <w:bCs/>
          <w:sz w:val="24"/>
          <w:szCs w:val="24"/>
        </w:rPr>
        <w:t>., 2021).</w:t>
      </w:r>
    </w:p>
    <w:p w14:paraId="751DCDEB" w14:textId="77777777" w:rsidR="002810A4" w:rsidRDefault="0000000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Phytochemical studies of secondary metabolites shown that in</w:t>
      </w:r>
      <w:r>
        <w:rPr>
          <w:rFonts w:ascii="Times New Roman" w:hAnsi="Times New Roman" w:cs="Times New Roman"/>
          <w:bCs/>
          <w:i/>
          <w:sz w:val="24"/>
          <w:szCs w:val="24"/>
        </w:rPr>
        <w:t xml:space="preserve"> Gossypium </w:t>
      </w:r>
      <w:proofErr w:type="spellStart"/>
      <w:r>
        <w:rPr>
          <w:rFonts w:ascii="Times New Roman" w:hAnsi="Times New Roman" w:cs="Times New Roman"/>
          <w:bCs/>
          <w:i/>
          <w:sz w:val="24"/>
          <w:szCs w:val="24"/>
        </w:rPr>
        <w:t>herbaceum</w:t>
      </w:r>
      <w:proofErr w:type="spellEnd"/>
      <w:r>
        <w:rPr>
          <w:rFonts w:ascii="Times New Roman" w:hAnsi="Times New Roman" w:cs="Times New Roman"/>
          <w:bCs/>
          <w:sz w:val="24"/>
          <w:szCs w:val="24"/>
        </w:rPr>
        <w:t xml:space="preserve"> leaf extract, possess variety of pharmacological properties that interact with cells, tissues, or organ in preventing, treating or managing disease such as antimicrobial, anti-inflammatory, antifertility, </w:t>
      </w:r>
      <w:proofErr w:type="spellStart"/>
      <w:r>
        <w:rPr>
          <w:rFonts w:ascii="Times New Roman" w:hAnsi="Times New Roman" w:cs="Times New Roman"/>
          <w:bCs/>
          <w:sz w:val="24"/>
          <w:szCs w:val="24"/>
        </w:rPr>
        <w:t>antispermatogenic</w:t>
      </w:r>
      <w:proofErr w:type="spellEnd"/>
      <w:r>
        <w:rPr>
          <w:rFonts w:ascii="Times New Roman" w:hAnsi="Times New Roman" w:cs="Times New Roman"/>
          <w:bCs/>
          <w:sz w:val="24"/>
          <w:szCs w:val="24"/>
        </w:rPr>
        <w:t xml:space="preserve">, and other pharmacological activities. These Phytochemical constituents include flavonoid, phenolics, alkaloids, tannin, saponins, terpenes, and plant nutrients (Mazid </w:t>
      </w:r>
      <w:r>
        <w:rPr>
          <w:rFonts w:ascii="Times New Roman" w:hAnsi="Times New Roman" w:cs="Times New Roman"/>
          <w:bCs/>
          <w:i/>
          <w:sz w:val="24"/>
          <w:szCs w:val="24"/>
        </w:rPr>
        <w:t>et al</w:t>
      </w:r>
      <w:r>
        <w:rPr>
          <w:rFonts w:ascii="Times New Roman" w:hAnsi="Times New Roman" w:cs="Times New Roman"/>
          <w:bCs/>
          <w:sz w:val="24"/>
          <w:szCs w:val="24"/>
        </w:rPr>
        <w:t>., 2011). However, scientific validation in</w:t>
      </w:r>
      <w:r>
        <w:rPr>
          <w:rFonts w:ascii="Times New Roman" w:hAnsi="Times New Roman" w:cs="Times New Roman"/>
          <w:bCs/>
          <w:i/>
          <w:sz w:val="24"/>
          <w:szCs w:val="24"/>
        </w:rPr>
        <w:t xml:space="preserve"> G. </w:t>
      </w:r>
      <w:proofErr w:type="spellStart"/>
      <w:r>
        <w:rPr>
          <w:rFonts w:ascii="Times New Roman" w:hAnsi="Times New Roman" w:cs="Times New Roman"/>
          <w:bCs/>
          <w:i/>
          <w:sz w:val="24"/>
          <w:szCs w:val="24"/>
        </w:rPr>
        <w:t>herbaceum</w:t>
      </w:r>
      <w:proofErr w:type="spellEnd"/>
      <w:r>
        <w:rPr>
          <w:rFonts w:ascii="Times New Roman" w:hAnsi="Times New Roman" w:cs="Times New Roman"/>
          <w:bCs/>
          <w:sz w:val="24"/>
          <w:szCs w:val="24"/>
        </w:rPr>
        <w:t xml:space="preserve"> through pharmacological and biochemical studies remains essential to fully establish its medicinal efficacy and safety.</w:t>
      </w:r>
    </w:p>
    <w:p w14:paraId="1371A14B" w14:textId="77777777" w:rsidR="002810A4" w:rsidRDefault="002810A4">
      <w:pPr>
        <w:spacing w:line="360" w:lineRule="auto"/>
        <w:jc w:val="both"/>
        <w:rPr>
          <w:rFonts w:ascii="Times New Roman" w:hAnsi="Times New Roman" w:cs="Times New Roman"/>
          <w:bCs/>
          <w:sz w:val="24"/>
          <w:szCs w:val="24"/>
        </w:rPr>
      </w:pPr>
    </w:p>
    <w:p w14:paraId="09456389" w14:textId="77777777" w:rsidR="002810A4" w:rsidRDefault="00000000">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noProof/>
          <w:sz w:val="24"/>
          <w:szCs w:val="24"/>
        </w:rPr>
        <w:drawing>
          <wp:inline distT="0" distB="0" distL="0" distR="0" wp14:anchorId="05C1011F" wp14:editId="5854AA1F">
            <wp:extent cx="3430270" cy="3467100"/>
            <wp:effectExtent l="0" t="0" r="0" b="0"/>
            <wp:docPr id="1026" name="Picture 1" descr="Gossypium_herbaceum_004.JPG (1318×17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6" cstate="print"/>
                    <a:srcRect/>
                    <a:stretch/>
                  </pic:blipFill>
                  <pic:spPr>
                    <a:xfrm>
                      <a:off x="0" y="0"/>
                      <a:ext cx="3430270" cy="3467100"/>
                    </a:xfrm>
                    <a:prstGeom prst="rect">
                      <a:avLst/>
                    </a:prstGeom>
                    <a:ln>
                      <a:noFill/>
                    </a:ln>
                  </pic:spPr>
                </pic:pic>
              </a:graphicData>
            </a:graphic>
          </wp:inline>
        </w:drawing>
      </w:r>
    </w:p>
    <w:p w14:paraId="46083578" w14:textId="77777777" w:rsidR="002810A4" w:rsidRDefault="0000000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Figure 1: </w:t>
      </w:r>
      <w:r>
        <w:rPr>
          <w:rFonts w:ascii="Times New Roman" w:hAnsi="Times New Roman" w:cs="Times New Roman"/>
          <w:bCs/>
          <w:sz w:val="24"/>
          <w:szCs w:val="24"/>
        </w:rPr>
        <w:tab/>
        <w:t xml:space="preserve">A typical mature </w:t>
      </w:r>
      <w:r>
        <w:rPr>
          <w:rFonts w:ascii="Times New Roman" w:hAnsi="Times New Roman" w:cs="Times New Roman"/>
          <w:i/>
          <w:sz w:val="24"/>
          <w:szCs w:val="24"/>
        </w:rPr>
        <w:t xml:space="preserve">Gossypium </w:t>
      </w:r>
      <w:proofErr w:type="spellStart"/>
      <w:r>
        <w:rPr>
          <w:rFonts w:ascii="Times New Roman" w:hAnsi="Times New Roman" w:cs="Times New Roman"/>
          <w:i/>
          <w:sz w:val="24"/>
          <w:szCs w:val="24"/>
        </w:rPr>
        <w:t>herbaceum</w:t>
      </w:r>
      <w:proofErr w:type="spellEnd"/>
      <w:r>
        <w:rPr>
          <w:rFonts w:ascii="Times New Roman" w:hAnsi="Times New Roman" w:cs="Times New Roman"/>
          <w:sz w:val="24"/>
          <w:szCs w:val="24"/>
        </w:rPr>
        <w:t xml:space="preserve"> plant</w:t>
      </w:r>
    </w:p>
    <w:p w14:paraId="43F806FF" w14:textId="77777777" w:rsidR="002810A4" w:rsidRDefault="00000000">
      <w:pPr>
        <w:spacing w:line="360" w:lineRule="auto"/>
        <w:jc w:val="both"/>
        <w:rPr>
          <w:rFonts w:ascii="Times New Roman" w:hAnsi="Times New Roman" w:cs="Times New Roman"/>
          <w:b/>
          <w:bCs/>
          <w:sz w:val="24"/>
          <w:szCs w:val="24"/>
        </w:rPr>
      </w:pPr>
      <w:r>
        <w:rPr>
          <w:rFonts w:ascii="Times New Roman" w:hAnsi="Times New Roman" w:cs="Times New Roman"/>
          <w:bCs/>
          <w:sz w:val="24"/>
          <w:szCs w:val="24"/>
        </w:rPr>
        <w:t>Source:</w:t>
      </w:r>
      <w:r>
        <w:rPr>
          <w:rFonts w:ascii="Times New Roman" w:hAnsi="Times New Roman" w:cs="Times New Roman"/>
          <w:bCs/>
          <w:sz w:val="24"/>
          <w:szCs w:val="24"/>
        </w:rPr>
        <w:tab/>
        <w:t>Wackers and Wunderlin,</w:t>
      </w:r>
      <w:r>
        <w:rPr>
          <w:rFonts w:ascii="Times New Roman" w:hAnsi="Times New Roman" w:cs="Times New Roman"/>
          <w:sz w:val="24"/>
          <w:szCs w:val="24"/>
        </w:rPr>
        <w:t xml:space="preserve"> (1999).</w:t>
      </w:r>
    </w:p>
    <w:p w14:paraId="1D314CA4" w14:textId="77777777" w:rsidR="002810A4" w:rsidRDefault="002810A4">
      <w:pPr>
        <w:spacing w:line="360" w:lineRule="auto"/>
        <w:jc w:val="both"/>
        <w:rPr>
          <w:rFonts w:ascii="Times New Roman" w:hAnsi="Times New Roman" w:cs="Times New Roman"/>
          <w:b/>
          <w:bCs/>
          <w:sz w:val="24"/>
          <w:szCs w:val="24"/>
        </w:rPr>
      </w:pPr>
    </w:p>
    <w:p w14:paraId="0755E78E" w14:textId="77777777" w:rsidR="002810A4"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t>Standards for Enzyme Inhibition and Antioxidant Assays</w:t>
      </w:r>
    </w:p>
    <w:p w14:paraId="05A0DA01" w14:textId="77777777" w:rsidR="002810A4" w:rsidRDefault="0000000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Acarbose is a clinically approved oral antidiabetic drug used as a standard inhibitor in α-amylase and α-glucosidase assays. It competitively inhibits carbohydrate-digesting enzymes, </w:t>
      </w:r>
      <w:r>
        <w:rPr>
          <w:rFonts w:ascii="Times New Roman" w:hAnsi="Times New Roman" w:cs="Times New Roman"/>
          <w:bCs/>
          <w:sz w:val="24"/>
          <w:szCs w:val="24"/>
        </w:rPr>
        <w:lastRenderedPageBreak/>
        <w:t xml:space="preserve">delaying glucose release and reducing postprandial hyperglycemia. In in vitro studies, acarbose provides a benchmark for evaluating the antidiabetic potential of lime juice extract of </w:t>
      </w:r>
      <w:r>
        <w:rPr>
          <w:rFonts w:ascii="Times New Roman" w:hAnsi="Times New Roman" w:cs="Times New Roman"/>
          <w:bCs/>
          <w:i/>
          <w:sz w:val="24"/>
          <w:szCs w:val="24"/>
        </w:rPr>
        <w:t xml:space="preserve">Gossypium </w:t>
      </w:r>
      <w:proofErr w:type="spellStart"/>
      <w:r>
        <w:rPr>
          <w:rFonts w:ascii="Times New Roman" w:hAnsi="Times New Roman" w:cs="Times New Roman"/>
          <w:bCs/>
          <w:i/>
          <w:sz w:val="24"/>
          <w:szCs w:val="24"/>
        </w:rPr>
        <w:t>herbaceum</w:t>
      </w:r>
      <w:proofErr w:type="spellEnd"/>
      <w:r>
        <w:rPr>
          <w:rFonts w:ascii="Times New Roman" w:hAnsi="Times New Roman" w:cs="Times New Roman"/>
          <w:bCs/>
          <w:sz w:val="24"/>
          <w:szCs w:val="24"/>
        </w:rPr>
        <w:t xml:space="preserve"> leaves. Butylated hydroxytoluene (BHT) is a synthetic antioxidant widely used as a positive control in free radical scavenging assays such as DPPH, and ABTS. BHT donates hydrogen to neutralize free radicals, preventing oxidative damage (Shahidi &amp; Zhong, 2015). The antioxidant activity of</w:t>
      </w:r>
      <w:r>
        <w:rPr>
          <w:rFonts w:ascii="Times New Roman" w:hAnsi="Times New Roman" w:cs="Times New Roman"/>
          <w:bCs/>
          <w:i/>
          <w:sz w:val="24"/>
          <w:szCs w:val="24"/>
        </w:rPr>
        <w:t xml:space="preserve"> G. </w:t>
      </w:r>
      <w:proofErr w:type="spellStart"/>
      <w:r>
        <w:rPr>
          <w:rFonts w:ascii="Times New Roman" w:hAnsi="Times New Roman" w:cs="Times New Roman"/>
          <w:bCs/>
          <w:i/>
          <w:sz w:val="24"/>
          <w:szCs w:val="24"/>
        </w:rPr>
        <w:t>herbaceum</w:t>
      </w:r>
      <w:proofErr w:type="spellEnd"/>
      <w:r>
        <w:rPr>
          <w:rFonts w:ascii="Times New Roman" w:hAnsi="Times New Roman" w:cs="Times New Roman"/>
          <w:bCs/>
          <w:sz w:val="24"/>
          <w:szCs w:val="24"/>
        </w:rPr>
        <w:t xml:space="preserve"> extract is assessed relative to BHT to determine its ability to mitigate oxidative stress associated with diabetes.</w:t>
      </w:r>
    </w:p>
    <w:p w14:paraId="06D7FA4F" w14:textId="77777777" w:rsidR="002810A4"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Role of plant extracts as enzyme inhibitors in Diabetes Mellitus</w:t>
      </w:r>
    </w:p>
    <w:p w14:paraId="26AA670B"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major therapeutic strategy used in the management of diabetes mellitus particularly type 2 diabetes, involves the inhibition of digestive enzymes such as α-amylase and α-glucosidase, which play essential roles in the breakdown of complex carbohydrates into absorbable monosaccharides. Several medicinal plant extracts exhibit inhibitory activity against enzymes and also regulate metabolic reactions that contribute to free radical formation and oxidative stress (Ch’ng, and Dona, </w:t>
      </w:r>
      <w:r>
        <w:rPr>
          <w:rFonts w:ascii="Times New Roman" w:hAnsi="Times New Roman" w:cs="Times New Roman"/>
          <w:i/>
          <w:sz w:val="24"/>
          <w:szCs w:val="24"/>
        </w:rPr>
        <w:t>et al</w:t>
      </w:r>
      <w:r>
        <w:rPr>
          <w:rFonts w:ascii="Times New Roman" w:hAnsi="Times New Roman" w:cs="Times New Roman"/>
          <w:sz w:val="24"/>
          <w:szCs w:val="24"/>
        </w:rPr>
        <w:t xml:space="preserve">., 2020). Inhibition of digestive enzymes helps reduce metabolic disturbances, inflammation, and excessive generation of reactive oxygen species (ROS). These plant-derived enzyme inhibitors exert protective effects by slowing carbohydrate digestion, limiting intestinal glucose uptake, and protect cellular structures. </w:t>
      </w:r>
    </w:p>
    <w:p w14:paraId="723FC944" w14:textId="77777777" w:rsidR="002810A4" w:rsidRDefault="00000000">
      <w:pPr>
        <w:spacing w:line="360" w:lineRule="auto"/>
        <w:jc w:val="both"/>
        <w:rPr>
          <w:rFonts w:ascii="Times New Roman" w:hAnsi="Times New Roman" w:cs="Times New Roman"/>
          <w:bCs/>
          <w:sz w:val="24"/>
          <w:szCs w:val="24"/>
        </w:rPr>
      </w:pPr>
      <w:r>
        <w:rPr>
          <w:rFonts w:ascii="Times New Roman" w:hAnsi="Times New Roman" w:cs="Times New Roman"/>
          <w:sz w:val="24"/>
          <w:szCs w:val="24"/>
        </w:rPr>
        <w:t>Free radicals are atoms or molecules</w:t>
      </w:r>
      <w:r>
        <w:rPr>
          <w:rFonts w:ascii="Times New Roman" w:hAnsi="Times New Roman" w:cs="Times New Roman"/>
          <w:bCs/>
          <w:sz w:val="24"/>
          <w:szCs w:val="24"/>
        </w:rPr>
        <w:t xml:space="preserve"> that possess one or more unpaired electrons, making them highly reactive and capable of independent existence. Due to their instability, they tend to achieve stability by pairing their electrons with biological macromolecules such as structural proteins, DNA, and membrane lipids. This interaction lead to cellular damage and impairment of the body’s antioxidant defense system. Among the most reactive oxygen species is the Hydroxyl Radical </w:t>
      </w:r>
      <w:r>
        <w:rPr>
          <w:rFonts w:ascii="Times New Roman" w:hAnsi="Times New Roman" w:cs="Times New Roman"/>
          <w:sz w:val="24"/>
          <w:szCs w:val="24"/>
        </w:rPr>
        <w:t>(•OH),</w:t>
      </w:r>
      <w:r>
        <w:rPr>
          <w:rFonts w:ascii="Times New Roman" w:hAnsi="Times New Roman" w:cs="Times New Roman"/>
          <w:bCs/>
          <w:sz w:val="24"/>
          <w:szCs w:val="24"/>
        </w:rPr>
        <w:t xml:space="preserve"> which is generated from superoxide (O₂⁻) and hydrogen peroxide (H₂O₂) in the presence of transition metal ions such as iron or copper. The hydroxyl radical readily reacts with polyunsaturated fatty acids present in membrane phospholipids, initiating lipid peroxidation and causing significant damage to cellular structures </w:t>
      </w:r>
      <w:r>
        <w:rPr>
          <w:rFonts w:ascii="Times New Roman" w:hAnsi="Times New Roman" w:cs="Times New Roman"/>
          <w:sz w:val="24"/>
          <w:szCs w:val="24"/>
        </w:rPr>
        <w:t xml:space="preserve">shown in table 1 (Hassan, </w:t>
      </w:r>
      <w:r>
        <w:rPr>
          <w:rFonts w:ascii="Times New Roman" w:hAnsi="Times New Roman" w:cs="Times New Roman"/>
          <w:i/>
          <w:sz w:val="24"/>
          <w:szCs w:val="24"/>
        </w:rPr>
        <w:t>et al</w:t>
      </w:r>
      <w:r>
        <w:rPr>
          <w:rFonts w:ascii="Times New Roman" w:hAnsi="Times New Roman" w:cs="Times New Roman"/>
          <w:sz w:val="24"/>
          <w:szCs w:val="24"/>
        </w:rPr>
        <w:t>., 2024).</w:t>
      </w:r>
      <w:r>
        <w:rPr>
          <w:rFonts w:ascii="Times New Roman" w:hAnsi="Times New Roman" w:cs="Times New Roman"/>
          <w:bCs/>
          <w:sz w:val="24"/>
          <w:szCs w:val="24"/>
        </w:rPr>
        <w:t xml:space="preserve"> </w:t>
      </w:r>
    </w:p>
    <w:p w14:paraId="14191F5B" w14:textId="77777777" w:rsidR="002810A4" w:rsidRDefault="002810A4">
      <w:pPr>
        <w:rPr>
          <w:rFonts w:ascii="Times New Roman" w:hAnsi="Times New Roman" w:cs="Times New Roman"/>
          <w:b/>
          <w:sz w:val="24"/>
          <w:szCs w:val="24"/>
        </w:rPr>
      </w:pPr>
    </w:p>
    <w:p w14:paraId="506AF5D1" w14:textId="77777777" w:rsidR="002D4CAC" w:rsidRDefault="002D4CAC">
      <w:pPr>
        <w:rPr>
          <w:rFonts w:ascii="Times New Roman" w:hAnsi="Times New Roman" w:cs="Times New Roman"/>
          <w:b/>
          <w:sz w:val="24"/>
          <w:szCs w:val="24"/>
        </w:rPr>
      </w:pPr>
    </w:p>
    <w:p w14:paraId="6FE03C73" w14:textId="77777777" w:rsidR="002D4CAC" w:rsidRDefault="002D4CAC">
      <w:pPr>
        <w:rPr>
          <w:rFonts w:ascii="Times New Roman" w:hAnsi="Times New Roman" w:cs="Times New Roman"/>
          <w:b/>
          <w:sz w:val="24"/>
          <w:szCs w:val="24"/>
        </w:rPr>
      </w:pPr>
    </w:p>
    <w:p w14:paraId="1588052F" w14:textId="77777777" w:rsidR="002D4CAC" w:rsidRDefault="002D4CAC">
      <w:pPr>
        <w:rPr>
          <w:rFonts w:ascii="Times New Roman" w:hAnsi="Times New Roman" w:cs="Times New Roman"/>
          <w:b/>
          <w:sz w:val="24"/>
          <w:szCs w:val="24"/>
        </w:rPr>
      </w:pPr>
    </w:p>
    <w:p w14:paraId="6DD98793" w14:textId="77777777" w:rsidR="002D4CAC" w:rsidRDefault="002D4CAC">
      <w:pPr>
        <w:rPr>
          <w:rFonts w:ascii="Times New Roman" w:hAnsi="Times New Roman" w:cs="Times New Roman"/>
          <w:b/>
          <w:sz w:val="24"/>
          <w:szCs w:val="24"/>
        </w:rPr>
      </w:pPr>
    </w:p>
    <w:p w14:paraId="22D49E08" w14:textId="1E3B8E94" w:rsidR="002810A4" w:rsidRDefault="00000000" w:rsidP="00395414">
      <w:pPr>
        <w:ind w:firstLine="720"/>
        <w:rPr>
          <w:rFonts w:ascii="Times New Roman" w:hAnsi="Times New Roman" w:cs="Times New Roman"/>
          <w:b/>
          <w:sz w:val="24"/>
          <w:szCs w:val="24"/>
        </w:rPr>
      </w:pPr>
      <w:r>
        <w:rPr>
          <w:rFonts w:ascii="Times New Roman" w:hAnsi="Times New Roman" w:cs="Times New Roman"/>
          <w:b/>
          <w:sz w:val="24"/>
          <w:szCs w:val="24"/>
        </w:rPr>
        <w:lastRenderedPageBreak/>
        <w:t>Table 1:</w:t>
      </w:r>
      <w:r>
        <w:rPr>
          <w:rFonts w:ascii="Times New Roman" w:hAnsi="Times New Roman" w:cs="Times New Roman"/>
          <w:b/>
          <w:sz w:val="24"/>
          <w:szCs w:val="24"/>
        </w:rPr>
        <w:tab/>
        <w:t>Antioxidant defense system in biological systems</w:t>
      </w:r>
    </w:p>
    <w:tbl>
      <w:tblPr>
        <w:tblW w:w="8820" w:type="dxa"/>
        <w:tblBorders>
          <w:top w:val="single" w:sz="8" w:space="0" w:color="000000"/>
          <w:bottom w:val="single" w:sz="8" w:space="0" w:color="000000"/>
        </w:tblBorders>
        <w:shd w:val="clear" w:color="auto" w:fill="FFFFFF"/>
        <w:tblLayout w:type="fixed"/>
        <w:tblLook w:val="04A0" w:firstRow="1" w:lastRow="0" w:firstColumn="1" w:lastColumn="0" w:noHBand="0" w:noVBand="1"/>
      </w:tblPr>
      <w:tblGrid>
        <w:gridCol w:w="2520"/>
        <w:gridCol w:w="3150"/>
        <w:gridCol w:w="3150"/>
      </w:tblGrid>
      <w:tr w:rsidR="002810A4" w14:paraId="74FE40AF" w14:textId="77777777">
        <w:trPr>
          <w:trHeight w:val="405"/>
        </w:trPr>
        <w:tc>
          <w:tcPr>
            <w:tcW w:w="2520" w:type="dxa"/>
            <w:tcBorders>
              <w:top w:val="single" w:sz="8" w:space="0" w:color="000000"/>
              <w:left w:val="nil"/>
              <w:bottom w:val="single" w:sz="8" w:space="0" w:color="000000"/>
              <w:right w:val="nil"/>
            </w:tcBorders>
            <w:shd w:val="clear" w:color="auto" w:fill="FFFFFF"/>
            <w:hideMark/>
          </w:tcPr>
          <w:p w14:paraId="51BF66AE" w14:textId="77777777" w:rsidR="002810A4"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Category</w:t>
            </w:r>
          </w:p>
        </w:tc>
        <w:tc>
          <w:tcPr>
            <w:tcW w:w="3150" w:type="dxa"/>
            <w:tcBorders>
              <w:top w:val="single" w:sz="8" w:space="0" w:color="000000"/>
              <w:left w:val="nil"/>
              <w:bottom w:val="single" w:sz="8" w:space="0" w:color="000000"/>
              <w:right w:val="nil"/>
            </w:tcBorders>
            <w:shd w:val="clear" w:color="auto" w:fill="FFFFFF"/>
            <w:hideMark/>
          </w:tcPr>
          <w:p w14:paraId="36D30FE2" w14:textId="77777777" w:rsidR="002810A4"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Components</w:t>
            </w:r>
          </w:p>
        </w:tc>
        <w:tc>
          <w:tcPr>
            <w:tcW w:w="3150" w:type="dxa"/>
            <w:tcBorders>
              <w:top w:val="single" w:sz="8" w:space="0" w:color="000000"/>
              <w:left w:val="nil"/>
              <w:bottom w:val="single" w:sz="8" w:space="0" w:color="000000"/>
              <w:right w:val="nil"/>
            </w:tcBorders>
            <w:shd w:val="clear" w:color="auto" w:fill="FFFFFF"/>
            <w:hideMark/>
          </w:tcPr>
          <w:p w14:paraId="5A150F71" w14:textId="77777777" w:rsidR="002810A4"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Function</w:t>
            </w:r>
          </w:p>
        </w:tc>
      </w:tr>
      <w:tr w:rsidR="002810A4" w14:paraId="19D63181" w14:textId="77777777">
        <w:trPr>
          <w:trHeight w:val="514"/>
        </w:trPr>
        <w:tc>
          <w:tcPr>
            <w:tcW w:w="2520" w:type="dxa"/>
            <w:tcBorders>
              <w:top w:val="nil"/>
              <w:left w:val="nil"/>
              <w:bottom w:val="nil"/>
              <w:right w:val="nil"/>
            </w:tcBorders>
            <w:shd w:val="clear" w:color="auto" w:fill="FFFFFF"/>
            <w:hideMark/>
          </w:tcPr>
          <w:p w14:paraId="59046339" w14:textId="77777777" w:rsidR="002810A4"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Free radicals</w:t>
            </w:r>
            <w:r>
              <w:rPr>
                <w:rFonts w:ascii="Times New Roman" w:hAnsi="Times New Roman" w:cs="Times New Roman"/>
                <w:sz w:val="24"/>
                <w:szCs w:val="24"/>
              </w:rPr>
              <w:tab/>
            </w:r>
            <w:r>
              <w:rPr>
                <w:rFonts w:ascii="Times New Roman" w:hAnsi="Times New Roman" w:cs="Times New Roman"/>
                <w:sz w:val="24"/>
                <w:szCs w:val="24"/>
              </w:rPr>
              <w:tab/>
            </w:r>
          </w:p>
        </w:tc>
        <w:tc>
          <w:tcPr>
            <w:tcW w:w="3150" w:type="dxa"/>
            <w:tcBorders>
              <w:top w:val="nil"/>
              <w:left w:val="nil"/>
              <w:bottom w:val="nil"/>
              <w:right w:val="nil"/>
            </w:tcBorders>
            <w:shd w:val="clear" w:color="auto" w:fill="FFFFFF"/>
            <w:hideMark/>
          </w:tcPr>
          <w:p w14:paraId="185F600B" w14:textId="77777777" w:rsidR="002810A4"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Superoxide (O₂⁻), Hydroxyl radical (•OH), Hydrogen peroxide (H₂O₂)</w:t>
            </w:r>
          </w:p>
        </w:tc>
        <w:tc>
          <w:tcPr>
            <w:tcW w:w="3150" w:type="dxa"/>
            <w:tcBorders>
              <w:top w:val="nil"/>
              <w:left w:val="nil"/>
              <w:bottom w:val="nil"/>
              <w:right w:val="nil"/>
            </w:tcBorders>
            <w:shd w:val="clear" w:color="auto" w:fill="FFFFFF"/>
            <w:hideMark/>
          </w:tcPr>
          <w:p w14:paraId="1DF453C6" w14:textId="77777777" w:rsidR="002810A4"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Cause oxidative damage</w:t>
            </w:r>
          </w:p>
          <w:p w14:paraId="413E9B3C" w14:textId="77777777" w:rsidR="002810A4" w:rsidRDefault="002810A4">
            <w:pPr>
              <w:spacing w:after="0" w:line="360" w:lineRule="auto"/>
              <w:rPr>
                <w:rFonts w:ascii="Times New Roman" w:hAnsi="Times New Roman" w:cs="Times New Roman"/>
                <w:sz w:val="24"/>
                <w:szCs w:val="24"/>
              </w:rPr>
            </w:pPr>
          </w:p>
        </w:tc>
      </w:tr>
      <w:tr w:rsidR="002810A4" w14:paraId="10AF6B48" w14:textId="77777777">
        <w:trPr>
          <w:trHeight w:val="784"/>
        </w:trPr>
        <w:tc>
          <w:tcPr>
            <w:tcW w:w="2520" w:type="dxa"/>
            <w:tcBorders>
              <w:top w:val="nil"/>
              <w:left w:val="nil"/>
              <w:bottom w:val="nil"/>
              <w:right w:val="nil"/>
            </w:tcBorders>
            <w:shd w:val="clear" w:color="auto" w:fill="FFFFFF"/>
            <w:hideMark/>
          </w:tcPr>
          <w:p w14:paraId="4935DA22" w14:textId="77777777" w:rsidR="002810A4"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Oxidative damage targets</w:t>
            </w:r>
          </w:p>
        </w:tc>
        <w:tc>
          <w:tcPr>
            <w:tcW w:w="3150" w:type="dxa"/>
            <w:tcBorders>
              <w:top w:val="nil"/>
              <w:left w:val="nil"/>
              <w:bottom w:val="nil"/>
              <w:right w:val="nil"/>
            </w:tcBorders>
            <w:shd w:val="clear" w:color="auto" w:fill="FFFFFF"/>
            <w:hideMark/>
          </w:tcPr>
          <w:p w14:paraId="31FE3400" w14:textId="77777777" w:rsidR="002810A4"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Lipids, Proteins, DNA</w:t>
            </w:r>
          </w:p>
        </w:tc>
        <w:tc>
          <w:tcPr>
            <w:tcW w:w="3150" w:type="dxa"/>
            <w:tcBorders>
              <w:top w:val="nil"/>
              <w:left w:val="nil"/>
              <w:bottom w:val="nil"/>
              <w:right w:val="nil"/>
            </w:tcBorders>
            <w:shd w:val="clear" w:color="auto" w:fill="FFFFFF"/>
            <w:hideMark/>
          </w:tcPr>
          <w:p w14:paraId="001DC230" w14:textId="77777777" w:rsidR="002810A4"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Leads to cellular dysfunction</w:t>
            </w:r>
          </w:p>
        </w:tc>
      </w:tr>
      <w:tr w:rsidR="002810A4" w14:paraId="6FDA4A1F" w14:textId="77777777">
        <w:trPr>
          <w:trHeight w:val="648"/>
        </w:trPr>
        <w:tc>
          <w:tcPr>
            <w:tcW w:w="2520" w:type="dxa"/>
            <w:tcBorders>
              <w:top w:val="nil"/>
              <w:left w:val="nil"/>
              <w:bottom w:val="nil"/>
              <w:right w:val="nil"/>
            </w:tcBorders>
            <w:shd w:val="clear" w:color="auto" w:fill="FFFFFF"/>
            <w:hideMark/>
          </w:tcPr>
          <w:p w14:paraId="34B35358" w14:textId="77777777" w:rsidR="002810A4"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Plant-derived antioxidants</w:t>
            </w:r>
            <w:r>
              <w:rPr>
                <w:rFonts w:ascii="Times New Roman" w:hAnsi="Times New Roman" w:cs="Times New Roman"/>
                <w:sz w:val="24"/>
                <w:szCs w:val="24"/>
              </w:rPr>
              <w:tab/>
            </w:r>
          </w:p>
        </w:tc>
        <w:tc>
          <w:tcPr>
            <w:tcW w:w="3150" w:type="dxa"/>
            <w:tcBorders>
              <w:top w:val="nil"/>
              <w:left w:val="nil"/>
              <w:bottom w:val="nil"/>
              <w:right w:val="nil"/>
            </w:tcBorders>
            <w:shd w:val="clear" w:color="auto" w:fill="FFFFFF"/>
            <w:hideMark/>
          </w:tcPr>
          <w:p w14:paraId="5E9122ED" w14:textId="77777777" w:rsidR="002810A4"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Polyphenols, flavonoids, tannins, carotenoids</w:t>
            </w:r>
          </w:p>
        </w:tc>
        <w:tc>
          <w:tcPr>
            <w:tcW w:w="3150" w:type="dxa"/>
            <w:tcBorders>
              <w:top w:val="nil"/>
              <w:left w:val="nil"/>
              <w:bottom w:val="nil"/>
              <w:right w:val="nil"/>
            </w:tcBorders>
            <w:shd w:val="clear" w:color="auto" w:fill="FFFFFF"/>
            <w:hideMark/>
          </w:tcPr>
          <w:p w14:paraId="00F5C6DA" w14:textId="77777777" w:rsidR="002810A4"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Neutralize free radicals</w:t>
            </w:r>
          </w:p>
        </w:tc>
      </w:tr>
      <w:tr w:rsidR="002810A4" w14:paraId="46E533BC" w14:textId="77777777">
        <w:trPr>
          <w:trHeight w:val="1077"/>
        </w:trPr>
        <w:tc>
          <w:tcPr>
            <w:tcW w:w="2520" w:type="dxa"/>
            <w:tcBorders>
              <w:top w:val="nil"/>
              <w:left w:val="nil"/>
              <w:bottom w:val="nil"/>
              <w:right w:val="nil"/>
            </w:tcBorders>
            <w:shd w:val="clear" w:color="auto" w:fill="FFFFFF"/>
            <w:hideMark/>
          </w:tcPr>
          <w:p w14:paraId="245A788E" w14:textId="77777777" w:rsidR="002810A4"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Enzyme inhibitors from plants</w:t>
            </w:r>
            <w:r>
              <w:rPr>
                <w:rFonts w:ascii="Times New Roman" w:hAnsi="Times New Roman" w:cs="Times New Roman"/>
                <w:sz w:val="24"/>
                <w:szCs w:val="24"/>
              </w:rPr>
              <w:tab/>
            </w:r>
            <w:r>
              <w:rPr>
                <w:rFonts w:ascii="Times New Roman" w:hAnsi="Times New Roman" w:cs="Times New Roman"/>
                <w:sz w:val="24"/>
                <w:szCs w:val="24"/>
              </w:rPr>
              <w:tab/>
            </w:r>
          </w:p>
        </w:tc>
        <w:tc>
          <w:tcPr>
            <w:tcW w:w="3150" w:type="dxa"/>
            <w:tcBorders>
              <w:top w:val="nil"/>
              <w:left w:val="nil"/>
              <w:bottom w:val="nil"/>
              <w:right w:val="nil"/>
            </w:tcBorders>
            <w:shd w:val="clear" w:color="auto" w:fill="FFFFFF"/>
            <w:hideMark/>
          </w:tcPr>
          <w:p w14:paraId="3DCFB72D" w14:textId="77777777" w:rsidR="002810A4"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α-amylase inhibitors, α-glucosidase inhibitors, lipoxygenase inhibitors</w:t>
            </w:r>
          </w:p>
        </w:tc>
        <w:tc>
          <w:tcPr>
            <w:tcW w:w="3150" w:type="dxa"/>
            <w:tcBorders>
              <w:top w:val="nil"/>
              <w:left w:val="nil"/>
              <w:bottom w:val="nil"/>
              <w:right w:val="nil"/>
            </w:tcBorders>
            <w:shd w:val="clear" w:color="auto" w:fill="FFFFFF"/>
            <w:hideMark/>
          </w:tcPr>
          <w:p w14:paraId="64B32026" w14:textId="77777777" w:rsidR="002810A4"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Reduce metabolic oxidative pathways</w:t>
            </w:r>
          </w:p>
        </w:tc>
      </w:tr>
      <w:tr w:rsidR="002810A4" w14:paraId="40F72F42" w14:textId="77777777">
        <w:trPr>
          <w:trHeight w:val="769"/>
        </w:trPr>
        <w:tc>
          <w:tcPr>
            <w:tcW w:w="2520" w:type="dxa"/>
            <w:tcBorders>
              <w:top w:val="nil"/>
              <w:left w:val="nil"/>
              <w:bottom w:val="single" w:sz="8" w:space="0" w:color="000000"/>
              <w:right w:val="nil"/>
            </w:tcBorders>
            <w:shd w:val="clear" w:color="auto" w:fill="FFFFFF"/>
            <w:hideMark/>
          </w:tcPr>
          <w:p w14:paraId="61FE9CA5" w14:textId="77777777" w:rsidR="002810A4"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Endogenous antioxidant enzyme</w:t>
            </w:r>
          </w:p>
        </w:tc>
        <w:tc>
          <w:tcPr>
            <w:tcW w:w="3150" w:type="dxa"/>
            <w:tcBorders>
              <w:top w:val="nil"/>
              <w:left w:val="nil"/>
              <w:bottom w:val="single" w:sz="8" w:space="0" w:color="000000"/>
              <w:right w:val="nil"/>
            </w:tcBorders>
            <w:shd w:val="clear" w:color="auto" w:fill="FFFFFF"/>
            <w:hideMark/>
          </w:tcPr>
          <w:p w14:paraId="7FCC4E9D" w14:textId="77777777" w:rsidR="002810A4"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SOD, Catalase, </w:t>
            </w:r>
            <w:proofErr w:type="spellStart"/>
            <w:r>
              <w:rPr>
                <w:rFonts w:ascii="Times New Roman" w:hAnsi="Times New Roman" w:cs="Times New Roman"/>
                <w:sz w:val="24"/>
                <w:szCs w:val="24"/>
              </w:rPr>
              <w:t>GPx</w:t>
            </w:r>
            <w:proofErr w:type="spellEnd"/>
            <w:r>
              <w:rPr>
                <w:rFonts w:ascii="Times New Roman" w:hAnsi="Times New Roman" w:cs="Times New Roman"/>
                <w:sz w:val="24"/>
                <w:szCs w:val="24"/>
              </w:rPr>
              <w:t>, Peroxidase</w:t>
            </w:r>
          </w:p>
        </w:tc>
        <w:tc>
          <w:tcPr>
            <w:tcW w:w="3150" w:type="dxa"/>
            <w:tcBorders>
              <w:top w:val="nil"/>
              <w:left w:val="nil"/>
              <w:bottom w:val="single" w:sz="8" w:space="0" w:color="000000"/>
              <w:right w:val="nil"/>
            </w:tcBorders>
            <w:shd w:val="clear" w:color="auto" w:fill="FFFFFF"/>
            <w:hideMark/>
          </w:tcPr>
          <w:p w14:paraId="5BF0D3B8" w14:textId="77777777" w:rsidR="002810A4"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Detoxify ROS</w:t>
            </w:r>
          </w:p>
        </w:tc>
      </w:tr>
    </w:tbl>
    <w:p w14:paraId="65DCC2A7" w14:textId="77777777" w:rsidR="002810A4" w:rsidRDefault="002810A4">
      <w:pPr>
        <w:spacing w:line="360" w:lineRule="auto"/>
        <w:jc w:val="both"/>
        <w:rPr>
          <w:rFonts w:ascii="Times New Roman" w:hAnsi="Times New Roman" w:cs="Times New Roman"/>
          <w:b/>
          <w:bCs/>
          <w:sz w:val="24"/>
          <w:szCs w:val="24"/>
        </w:rPr>
      </w:pPr>
    </w:p>
    <w:p w14:paraId="61246C0A" w14:textId="77777777" w:rsidR="002810A4" w:rsidRDefault="00000000">
      <w:pPr>
        <w:spacing w:line="360" w:lineRule="auto"/>
        <w:jc w:val="both"/>
        <w:rPr>
          <w:rFonts w:ascii="Times New Roman" w:hAnsi="Times New Roman" w:cs="Times New Roman"/>
          <w:b/>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t xml:space="preserve">Alpha Amylase Enzyme Inhibition </w:t>
      </w:r>
      <w:r>
        <w:rPr>
          <w:rFonts w:ascii="Times New Roman" w:hAnsi="Times New Roman" w:cs="Times New Roman"/>
          <w:b/>
          <w:sz w:val="24"/>
          <w:szCs w:val="24"/>
        </w:rPr>
        <w:t xml:space="preserve">(EC 3.2. 1.1) </w:t>
      </w:r>
    </w:p>
    <w:p w14:paraId="4D51A0A3"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alpha-amylase (α-1,4-glucan-4-glucanohydrolase) is a prominent digestive enzyme secreted primarily by the pancreas and salivary glands, where it catalyzes the initial step in the hydrolysis of complex carbohydrates. The enzyme specifically cleaves α-1,4-glycosidic bonds in starch polysaccharides, producing smaller carbohydrates such as maltose, and other oligosaccharides within the intestinal lumen. These intermediate products are subsequently hydrolyzed into absorbable monosaccharides by α-glucosidase enzymes located on the brush border of the intestinal mucosa. Inhibition of α-amylase therefore reduces the breakdown of dietary starch, delaying carbohydrate digestion and decreasing intestinal glucose absorption. Consequently, α-amylase inhibitors function as carbohydrate-blocking agents, limiting the digestibility and absorption of carbohydrates in the gastrointestinal tract and thereby helping to control postprandial hyperglycemia in diabetes mellitus (Ajayi, </w:t>
      </w:r>
      <w:r>
        <w:rPr>
          <w:rFonts w:ascii="Times New Roman" w:hAnsi="Times New Roman" w:cs="Times New Roman"/>
          <w:i/>
          <w:sz w:val="24"/>
          <w:szCs w:val="24"/>
        </w:rPr>
        <w:t>et al</w:t>
      </w:r>
      <w:r>
        <w:rPr>
          <w:rFonts w:ascii="Times New Roman" w:hAnsi="Times New Roman" w:cs="Times New Roman"/>
          <w:sz w:val="24"/>
          <w:szCs w:val="24"/>
        </w:rPr>
        <w:t>., 2017).</w:t>
      </w:r>
    </w:p>
    <w:p w14:paraId="4F8C615C" w14:textId="77777777" w:rsidR="002810A4"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t>Alpha Glucosidases Enzyme Inhibition (E.C. 3.2.1.20)</w:t>
      </w:r>
    </w:p>
    <w:p w14:paraId="577FDF96"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Alpha Glucosidase enzymes play a crucial role in carbohydrate digestion by catalyzing the final step in the hydrolysis of dietary starch and oligosaccharides into simple sugars, mainly glucose, within the brush border of the small intestine. This enzymatic activity facilitates intestinal glucose absorption, which consequently contributes to an increase in postprandial (post-meal) </w:t>
      </w:r>
      <w:r>
        <w:rPr>
          <w:rFonts w:ascii="Times New Roman" w:hAnsi="Times New Roman" w:cs="Times New Roman"/>
          <w:sz w:val="24"/>
          <w:szCs w:val="24"/>
        </w:rPr>
        <w:lastRenderedPageBreak/>
        <w:t xml:space="preserve">blood glucose levels (Rizvi and Mishra, 2009). Alpha-Glucosidase inhibitors (AGIs) exert their antidiabetic effect by competitively and reversibly binding to the active site of the α-glucosidase enzyme, thereby preventing the breakdown of complex carbohydrates into absorbable monosaccharides or glucose. As a result, carbohydrate digestion is delayed and intestinal glucose absorption is slowed, leading to a reduction in postprandial hyperglycemia. Due to this mechanism, α-glucosidase inhibitors are widely used as therapeutic agents for controlling post-meal blood glucose spikes in patients with type 2 diabetes mellitus (Pan, </w:t>
      </w:r>
      <w:r>
        <w:rPr>
          <w:rFonts w:ascii="Times New Roman" w:hAnsi="Times New Roman" w:cs="Times New Roman"/>
          <w:i/>
          <w:sz w:val="24"/>
          <w:szCs w:val="24"/>
        </w:rPr>
        <w:t>et al</w:t>
      </w:r>
      <w:r>
        <w:rPr>
          <w:rFonts w:ascii="Times New Roman" w:hAnsi="Times New Roman" w:cs="Times New Roman"/>
          <w:sz w:val="24"/>
          <w:szCs w:val="24"/>
        </w:rPr>
        <w:t>., 2024).</w:t>
      </w:r>
    </w:p>
    <w:p w14:paraId="5FB15D2D" w14:textId="77777777" w:rsidR="002810A4" w:rsidRDefault="00000000">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2.4</w:t>
      </w:r>
      <w:r>
        <w:rPr>
          <w:rFonts w:ascii="Times New Roman" w:hAnsi="Times New Roman" w:cs="Times New Roman"/>
          <w:b/>
          <w:bCs/>
          <w:sz w:val="24"/>
          <w:szCs w:val="24"/>
        </w:rPr>
        <w:tab/>
        <w:t>DPPH Radical Scavenging Activity</w:t>
      </w:r>
    </w:p>
    <w:p w14:paraId="32505F77" w14:textId="77777777" w:rsidR="002810A4" w:rsidRDefault="0000000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DPPH (2,2-diphenyl-1-picryl-hydrazyl-hydrate), is a rapid, simple, cost-effective, and widely used method for evaluating the antioxidant activity of plant extracts based on an electron-transfer mechanism. In this method, antioxidants neutralize free radicals by donating electrons or hydrogen atoms, thereby terminating free radical chain reactions that could otherwise damage cellular molecules and tissues in the body. During the assay, the deep violet color of the DPPH radical is reduced to a yellow-colored compound, </w:t>
      </w:r>
      <w:proofErr w:type="spellStart"/>
      <w:r>
        <w:rPr>
          <w:rFonts w:ascii="Times New Roman" w:hAnsi="Times New Roman" w:cs="Times New Roman"/>
          <w:bCs/>
          <w:sz w:val="24"/>
          <w:szCs w:val="24"/>
        </w:rPr>
        <w:t>diphenylpicrylhydrazine</w:t>
      </w:r>
      <w:proofErr w:type="spellEnd"/>
      <w:r>
        <w:rPr>
          <w:rFonts w:ascii="Times New Roman" w:hAnsi="Times New Roman" w:cs="Times New Roman"/>
          <w:bCs/>
          <w:sz w:val="24"/>
          <w:szCs w:val="24"/>
        </w:rPr>
        <w:t>, when it reacts with antioxidant compounds present in the extract. The degree of discoloration occurs in a concentration-dependent manner and reflects the radical scavenging ability of the tested sample (Mazid,</w:t>
      </w:r>
      <w:r>
        <w:rPr>
          <w:rFonts w:ascii="Times New Roman" w:hAnsi="Times New Roman" w:cs="Times New Roman"/>
          <w:bCs/>
          <w:i/>
          <w:sz w:val="24"/>
          <w:szCs w:val="24"/>
        </w:rPr>
        <w:t xml:space="preserve"> et al</w:t>
      </w:r>
      <w:r>
        <w:rPr>
          <w:rFonts w:ascii="Times New Roman" w:hAnsi="Times New Roman" w:cs="Times New Roman"/>
          <w:bCs/>
          <w:sz w:val="24"/>
          <w:szCs w:val="24"/>
        </w:rPr>
        <w:t>., 2011).</w:t>
      </w:r>
    </w:p>
    <w:p w14:paraId="506B2315" w14:textId="77777777" w:rsidR="002810A4"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2.5</w:t>
      </w:r>
      <w:r>
        <w:rPr>
          <w:rFonts w:ascii="Times New Roman" w:hAnsi="Times New Roman" w:cs="Times New Roman"/>
          <w:b/>
          <w:bCs/>
          <w:sz w:val="24"/>
          <w:szCs w:val="24"/>
        </w:rPr>
        <w:tab/>
        <w:t>ABTS Radical Scavenging Activity</w:t>
      </w:r>
      <w:r>
        <w:rPr>
          <w:rFonts w:ascii="Times New Roman" w:hAnsi="Times New Roman" w:cs="Times New Roman"/>
          <w:b/>
          <w:bCs/>
          <w:sz w:val="24"/>
          <w:szCs w:val="24"/>
        </w:rPr>
        <w:tab/>
      </w:r>
    </w:p>
    <w:p w14:paraId="392DC814" w14:textId="77777777" w:rsidR="002810A4" w:rsidRDefault="0000000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ABTS (2,2'-azino-bis 3-ethylbenzothiazoline-6-sulfonic acid) is a chemical compound used to observe the reaction kinetics of specific enzymes base on the interaction between an antioxidant and the pre-generated ABTS</w:t>
      </w:r>
      <w:r>
        <w:rPr>
          <w:rFonts w:ascii="Times New Roman" w:hAnsi="Times New Roman" w:cs="Times New Roman"/>
          <w:bCs/>
          <w:sz w:val="24"/>
          <w:szCs w:val="24"/>
          <w:vertAlign w:val="superscript"/>
        </w:rPr>
        <w:t>•+</w:t>
      </w:r>
      <w:r>
        <w:rPr>
          <w:rFonts w:ascii="Times New Roman" w:hAnsi="Times New Roman" w:cs="Times New Roman"/>
          <w:bCs/>
          <w:sz w:val="24"/>
          <w:szCs w:val="24"/>
        </w:rPr>
        <w:t xml:space="preserve"> radical cation.  It is use in the enzyme-linked immunosorbent assay (ELISA) to detect the binding of molecules to each other </w:t>
      </w:r>
      <w:r>
        <w:rPr>
          <w:rFonts w:ascii="Times New Roman" w:hAnsi="Times New Roman" w:cs="Times New Roman"/>
          <w:sz w:val="24"/>
          <w:szCs w:val="24"/>
        </w:rPr>
        <w:t>(</w:t>
      </w:r>
      <w:proofErr w:type="spellStart"/>
      <w:r>
        <w:rPr>
          <w:rFonts w:ascii="Times New Roman" w:hAnsi="Times New Roman" w:cs="Times New Roman"/>
          <w:sz w:val="24"/>
          <w:szCs w:val="24"/>
        </w:rPr>
        <w:t>Cano</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2023)</w:t>
      </w:r>
      <w:r>
        <w:rPr>
          <w:rFonts w:ascii="Times New Roman" w:hAnsi="Times New Roman" w:cs="Times New Roman"/>
          <w:bCs/>
          <w:sz w:val="24"/>
          <w:szCs w:val="24"/>
        </w:rPr>
        <w:t>. The ABTS assay measures the relative ability of antioxidants to scavenge the ABTS generated in aqueous phase, which is quantitatively detected due to the bleaching of absorption spectrum characteristic. In specification, the ABTS assay is based on the generation of a blue/green ABTS</w:t>
      </w:r>
      <w:r>
        <w:rPr>
          <w:rFonts w:ascii="Times New Roman" w:hAnsi="Times New Roman" w:cs="Times New Roman"/>
          <w:bCs/>
          <w:sz w:val="24"/>
          <w:szCs w:val="24"/>
          <w:vertAlign w:val="superscript"/>
        </w:rPr>
        <w:t>·+</w:t>
      </w:r>
      <w:r>
        <w:rPr>
          <w:rFonts w:ascii="Times New Roman" w:hAnsi="Times New Roman" w:cs="Times New Roman"/>
          <w:bCs/>
          <w:sz w:val="24"/>
          <w:szCs w:val="24"/>
        </w:rPr>
        <w:t> that can be reduced by antioxidants; whereas the DPPH assay is based on the reduction of the purple DPPH</w:t>
      </w:r>
      <w:r>
        <w:rPr>
          <w:rFonts w:ascii="Times New Roman" w:hAnsi="Times New Roman" w:cs="Times New Roman"/>
          <w:bCs/>
          <w:sz w:val="24"/>
          <w:szCs w:val="24"/>
          <w:vertAlign w:val="superscript"/>
        </w:rPr>
        <w:t>·</w:t>
      </w:r>
      <w:r>
        <w:rPr>
          <w:rFonts w:ascii="Times New Roman" w:hAnsi="Times New Roman" w:cs="Times New Roman"/>
          <w:bCs/>
          <w:sz w:val="24"/>
          <w:szCs w:val="24"/>
        </w:rPr>
        <w:t> to yellow 1,1-diphenyl-2-picryl hydrazine.</w:t>
      </w:r>
    </w:p>
    <w:p w14:paraId="2C616CE0" w14:textId="77777777" w:rsidR="002810A4" w:rsidRDefault="00000000">
      <w:pPr>
        <w:rPr>
          <w:rFonts w:ascii="Times New Roman" w:hAnsi="Times New Roman" w:cs="Times New Roman"/>
          <w:b/>
          <w:sz w:val="24"/>
          <w:szCs w:val="24"/>
        </w:rPr>
      </w:pPr>
      <w:r>
        <w:rPr>
          <w:rFonts w:ascii="Times New Roman" w:hAnsi="Times New Roman" w:cs="Times New Roman"/>
          <w:b/>
          <w:sz w:val="24"/>
          <w:szCs w:val="24"/>
        </w:rPr>
        <w:t>2.6</w:t>
      </w:r>
      <w:r>
        <w:rPr>
          <w:rFonts w:ascii="Times New Roman" w:hAnsi="Times New Roman" w:cs="Times New Roman"/>
          <w:b/>
          <w:sz w:val="24"/>
          <w:szCs w:val="24"/>
        </w:rPr>
        <w:tab/>
        <w:t>Free Hydroxyl Radical Scavenging Activity</w:t>
      </w:r>
    </w:p>
    <w:p w14:paraId="309A9D66"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Free hydroxyl radical scavenging activity evaluates the ability of antioxidants to neutralize hydroxyl radicals (•OH), which are highly reactive oxygen species capable of damaging lipids, proteins, and DNA. These radicals are commonly generated in biological systems through the </w:t>
      </w:r>
      <w:r>
        <w:rPr>
          <w:rFonts w:ascii="Times New Roman" w:hAnsi="Times New Roman" w:cs="Times New Roman"/>
          <w:sz w:val="24"/>
          <w:szCs w:val="24"/>
        </w:rPr>
        <w:lastRenderedPageBreak/>
        <w:t>Fenton Reaction, where ferrous ions react with hydrogen peroxide to produce hydroxyl radicals. Accumulation of excess hydroxyl radicals contributes significantly to oxidative stress and the development of chronic diseases such as Diabetes Mellitus (</w:t>
      </w:r>
      <w:proofErr w:type="spellStart"/>
      <w:r>
        <w:rPr>
          <w:rFonts w:ascii="Times New Roman" w:hAnsi="Times New Roman" w:cs="Times New Roman"/>
          <w:sz w:val="24"/>
          <w:szCs w:val="24"/>
        </w:rPr>
        <w:t>Gulcin</w:t>
      </w:r>
      <w:proofErr w:type="spellEnd"/>
      <w:r>
        <w:rPr>
          <w:rFonts w:ascii="Times New Roman" w:hAnsi="Times New Roman" w:cs="Times New Roman"/>
          <w:sz w:val="24"/>
          <w:szCs w:val="24"/>
        </w:rPr>
        <w:t>, 2020). Antioxidant compounds such as phenolics, flavonoids, and vitamins can scavenge hydroxyl radicals by donating electrons or hydrogen atoms, thereby preventing oxidative damage to biomolecules. In phytochemical studies, plant extracts with strong hydroxyl radical scavenging activity are considered potential therapeutic agents for reducing oxidative stress–related disorders.</w:t>
      </w:r>
    </w:p>
    <w:p w14:paraId="36952B98" w14:textId="77777777" w:rsidR="002810A4" w:rsidRDefault="00000000">
      <w:pPr>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Materials and Methods  </w:t>
      </w:r>
    </w:p>
    <w:p w14:paraId="13B64262" w14:textId="77777777" w:rsidR="002810A4"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t xml:space="preserve">Materials </w:t>
      </w:r>
    </w:p>
    <w:p w14:paraId="521D6D1C"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t>3.1</w:t>
      </w:r>
      <w:r>
        <w:rPr>
          <w:rFonts w:ascii="Times New Roman" w:hAnsi="Times New Roman" w:cs="Times New Roman"/>
          <w:b/>
          <w:sz w:val="24"/>
          <w:szCs w:val="24"/>
        </w:rPr>
        <w:tab/>
        <w:t xml:space="preserve">Plant Materials </w:t>
      </w:r>
      <w:r>
        <w:rPr>
          <w:rFonts w:ascii="Times New Roman" w:hAnsi="Times New Roman" w:cs="Times New Roman"/>
          <w:b/>
          <w:bCs/>
          <w:iCs/>
          <w:sz w:val="24"/>
          <w:szCs w:val="24"/>
        </w:rPr>
        <w:t>and Authentication</w:t>
      </w:r>
      <w:r>
        <w:rPr>
          <w:rFonts w:ascii="Times New Roman" w:hAnsi="Times New Roman" w:cs="Times New Roman"/>
          <w:sz w:val="24"/>
          <w:szCs w:val="24"/>
        </w:rPr>
        <w:t xml:space="preserve"> </w:t>
      </w:r>
    </w:p>
    <w:p w14:paraId="4DEFBE43"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Matured fresh leaves of </w:t>
      </w:r>
      <w:r>
        <w:rPr>
          <w:rFonts w:ascii="Times New Roman" w:hAnsi="Times New Roman" w:cs="Times New Roman"/>
          <w:bCs/>
          <w:i/>
          <w:sz w:val="24"/>
          <w:szCs w:val="24"/>
        </w:rPr>
        <w:t xml:space="preserve">Gossypium </w:t>
      </w:r>
      <w:proofErr w:type="spellStart"/>
      <w:r>
        <w:rPr>
          <w:rFonts w:ascii="Times New Roman" w:hAnsi="Times New Roman" w:cs="Times New Roman"/>
          <w:bCs/>
          <w:i/>
          <w:sz w:val="24"/>
          <w:szCs w:val="24"/>
        </w:rPr>
        <w:t>herbaceum</w:t>
      </w:r>
      <w:proofErr w:type="spellEnd"/>
      <w:r>
        <w:rPr>
          <w:rFonts w:ascii="Times New Roman" w:hAnsi="Times New Roman" w:cs="Times New Roman"/>
          <w:bCs/>
          <w:sz w:val="24"/>
          <w:szCs w:val="24"/>
        </w:rPr>
        <w:t xml:space="preserve"> plant </w:t>
      </w:r>
      <w:r>
        <w:rPr>
          <w:rFonts w:ascii="Times New Roman" w:hAnsi="Times New Roman" w:cs="Times New Roman"/>
          <w:sz w:val="24"/>
          <w:szCs w:val="24"/>
        </w:rPr>
        <w:t>and lime fruits were obtained from a farm in Offa, Kwara State, Nigeria and were identified by their local names and authenticated at the Department of Plant Biology, University of Ilorin, Nigeria.</w:t>
      </w:r>
    </w:p>
    <w:p w14:paraId="0162EA2F" w14:textId="77777777" w:rsidR="002810A4"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3.1.2</w:t>
      </w:r>
      <w:r>
        <w:rPr>
          <w:rFonts w:ascii="Times New Roman" w:hAnsi="Times New Roman" w:cs="Times New Roman"/>
          <w:b/>
          <w:sz w:val="24"/>
          <w:szCs w:val="24"/>
        </w:rPr>
        <w:tab/>
        <w:t>Chemical and reagents</w:t>
      </w:r>
    </w:p>
    <w:p w14:paraId="4ABEB862"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Chemicals and reagents used for this study were purchased from Sigma Aldrich chemical company, St. Louis, U.S.A., except for Iron sulphate, Hydrogen peroxide, and Sodium phosphate are produced by </w:t>
      </w:r>
      <w:proofErr w:type="spellStart"/>
      <w:r>
        <w:rPr>
          <w:rFonts w:ascii="Times New Roman" w:hAnsi="Times New Roman" w:cs="Times New Roman"/>
          <w:sz w:val="24"/>
          <w:szCs w:val="24"/>
        </w:rPr>
        <w:t>Biophore</w:t>
      </w:r>
      <w:proofErr w:type="spellEnd"/>
      <w:r>
        <w:rPr>
          <w:rFonts w:ascii="Times New Roman" w:hAnsi="Times New Roman" w:cs="Times New Roman"/>
          <w:sz w:val="24"/>
          <w:szCs w:val="24"/>
        </w:rPr>
        <w:t>, India pharmaceutical limited. All chemicals, reagents, and commercial assay kits used in the experiment were of analytical grade and high purity. Distilled water was used throughout the study.</w:t>
      </w:r>
    </w:p>
    <w:p w14:paraId="11B460FF" w14:textId="77777777" w:rsidR="002810A4" w:rsidRDefault="00000000">
      <w:pPr>
        <w:spacing w:line="360" w:lineRule="auto"/>
        <w:jc w:val="both"/>
        <w:rPr>
          <w:rFonts w:ascii="Times New Roman" w:hAnsi="Times New Roman" w:cs="Times New Roman"/>
          <w:b/>
          <w:sz w:val="24"/>
          <w:szCs w:val="24"/>
        </w:rPr>
      </w:pPr>
      <w:r>
        <w:rPr>
          <w:rFonts w:ascii="Times New Roman" w:hAnsi="Times New Roman" w:cs="Times New Roman"/>
          <w:b/>
          <w:bCs/>
          <w:sz w:val="24"/>
          <w:szCs w:val="24"/>
        </w:rPr>
        <w:t>3.1.3</w:t>
      </w:r>
      <w:r>
        <w:rPr>
          <w:rFonts w:ascii="Times New Roman" w:hAnsi="Times New Roman" w:cs="Times New Roman"/>
          <w:b/>
          <w:bCs/>
          <w:sz w:val="24"/>
          <w:szCs w:val="24"/>
        </w:rPr>
        <w:tab/>
        <w:t xml:space="preserve">Preparation of lime juice extract of </w:t>
      </w:r>
      <w:r>
        <w:rPr>
          <w:rFonts w:ascii="Times New Roman" w:hAnsi="Times New Roman" w:cs="Times New Roman"/>
          <w:b/>
          <w:bCs/>
          <w:i/>
          <w:sz w:val="24"/>
          <w:szCs w:val="24"/>
        </w:rPr>
        <w:t xml:space="preserve">Gossypium </w:t>
      </w:r>
      <w:proofErr w:type="spellStart"/>
      <w:r>
        <w:rPr>
          <w:rFonts w:ascii="Times New Roman" w:hAnsi="Times New Roman" w:cs="Times New Roman"/>
          <w:b/>
          <w:bCs/>
          <w:i/>
          <w:sz w:val="24"/>
          <w:szCs w:val="24"/>
        </w:rPr>
        <w:t>herbaceum</w:t>
      </w:r>
      <w:proofErr w:type="spellEnd"/>
      <w:r>
        <w:rPr>
          <w:rFonts w:ascii="Times New Roman" w:hAnsi="Times New Roman" w:cs="Times New Roman"/>
          <w:b/>
          <w:bCs/>
          <w:sz w:val="24"/>
          <w:szCs w:val="24"/>
        </w:rPr>
        <w:t xml:space="preserve"> leave</w:t>
      </w:r>
      <w:r>
        <w:rPr>
          <w:rFonts w:ascii="Times New Roman" w:hAnsi="Times New Roman" w:cs="Times New Roman"/>
          <w:b/>
          <w:sz w:val="24"/>
          <w:szCs w:val="24"/>
        </w:rPr>
        <w:t xml:space="preserve">   </w:t>
      </w:r>
    </w:p>
    <w:p w14:paraId="4FF9C9F6"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Fresh leaves of </w:t>
      </w:r>
      <w:r>
        <w:rPr>
          <w:rFonts w:ascii="Times New Roman" w:hAnsi="Times New Roman" w:cs="Times New Roman"/>
          <w:bCs/>
          <w:i/>
          <w:sz w:val="24"/>
          <w:szCs w:val="24"/>
        </w:rPr>
        <w:t xml:space="preserve">Gossypium </w:t>
      </w:r>
      <w:proofErr w:type="spellStart"/>
      <w:r>
        <w:rPr>
          <w:rFonts w:ascii="Times New Roman" w:hAnsi="Times New Roman" w:cs="Times New Roman"/>
          <w:bCs/>
          <w:i/>
          <w:sz w:val="24"/>
          <w:szCs w:val="24"/>
        </w:rPr>
        <w:t>herbaceum</w:t>
      </w:r>
      <w:proofErr w:type="spellEnd"/>
      <w:r>
        <w:rPr>
          <w:rFonts w:ascii="Times New Roman" w:hAnsi="Times New Roman" w:cs="Times New Roman"/>
          <w:sz w:val="24"/>
          <w:szCs w:val="24"/>
        </w:rPr>
        <w:t xml:space="preserve"> plant were carefully separated from the stems and thoroughly rinsed with clean water to remove contaminants. The leaves were air-dried at an open space within the laboratory conferment to preserve their phytochemical integrity, and pulverized into a fine powder using an electric blender </w:t>
      </w:r>
      <w:r>
        <w:rPr>
          <w:rFonts w:ascii="Times New Roman" w:hAnsi="Times New Roman" w:cs="Times New Roman"/>
          <w:bCs/>
          <w:sz w:val="24"/>
          <w:szCs w:val="24"/>
        </w:rPr>
        <w:t xml:space="preserve">to increase the surface area for extraction. </w:t>
      </w:r>
      <w:r>
        <w:rPr>
          <w:rFonts w:ascii="Times New Roman" w:hAnsi="Times New Roman" w:cs="Times New Roman"/>
          <w:sz w:val="24"/>
          <w:szCs w:val="24"/>
        </w:rPr>
        <w:t xml:space="preserve">The powdered sample was stored in airtight containers prior to extraction. Fresh lime fruits (Citrus aurantifolia) were washed with clean water and the juice was squeezed manually using a sterile juice extractor and filtered through muslin cloth and Whatman No.1 filter paper to obtain a clear filtrate. The extraction was performed according to Franz </w:t>
      </w:r>
      <w:r>
        <w:rPr>
          <w:rFonts w:ascii="Times New Roman" w:hAnsi="Times New Roman" w:cs="Times New Roman"/>
          <w:i/>
          <w:sz w:val="24"/>
          <w:szCs w:val="24"/>
        </w:rPr>
        <w:t>et al</w:t>
      </w:r>
      <w:r>
        <w:rPr>
          <w:rFonts w:ascii="Times New Roman" w:hAnsi="Times New Roman" w:cs="Times New Roman"/>
          <w:sz w:val="24"/>
          <w:szCs w:val="24"/>
        </w:rPr>
        <w:t xml:space="preserve">., (2010), a measured of 100g portion of powdered </w:t>
      </w:r>
      <w:r>
        <w:rPr>
          <w:rFonts w:ascii="Times New Roman" w:hAnsi="Times New Roman" w:cs="Times New Roman"/>
          <w:i/>
          <w:sz w:val="24"/>
          <w:szCs w:val="24"/>
        </w:rPr>
        <w:t xml:space="preserve">G. </w:t>
      </w:r>
      <w:proofErr w:type="spellStart"/>
      <w:r>
        <w:rPr>
          <w:rFonts w:ascii="Times New Roman" w:hAnsi="Times New Roman" w:cs="Times New Roman"/>
          <w:i/>
          <w:sz w:val="24"/>
          <w:szCs w:val="24"/>
        </w:rPr>
        <w:t>herbaceum</w:t>
      </w:r>
      <w:proofErr w:type="spellEnd"/>
      <w:r>
        <w:rPr>
          <w:rFonts w:ascii="Times New Roman" w:hAnsi="Times New Roman" w:cs="Times New Roman"/>
          <w:sz w:val="24"/>
          <w:szCs w:val="24"/>
        </w:rPr>
        <w:t xml:space="preserve"> powdered sample was macerated in 500 ml of 100% squeezed lime juice and kept for 72hours at room temperature </w:t>
      </w:r>
      <w:r>
        <w:rPr>
          <w:rFonts w:ascii="Times New Roman" w:hAnsi="Times New Roman" w:cs="Times New Roman"/>
          <w:sz w:val="24"/>
          <w:szCs w:val="24"/>
        </w:rPr>
        <w:lastRenderedPageBreak/>
        <w:t>with intermittent shaking, to enhance the diffusion of phytochemicals into the solvent. After extraction, the mixture was subsequently filtered using muslin cloth followed by Whatman No.1 filter paper to obtain a clear filtrate which was concentrated under reduced pressure using a rotary evaporator at temperatures below 40 °C to preserve heat-sensitive bioactive compounds. The concentrated extracts were further evaporated to dryness in a water bath to obtain a semi-solid crude extract and stored in sterile airtight bottle in a laboratory refrigerator to prevent decomposition and were reconstituted as needed for the experiment.</w:t>
      </w:r>
    </w:p>
    <w:p w14:paraId="3CC5CC77" w14:textId="77777777" w:rsidR="002810A4" w:rsidRDefault="00000000">
      <w:pPr>
        <w:spacing w:line="360" w:lineRule="auto"/>
        <w:jc w:val="both"/>
        <w:rPr>
          <w:rFonts w:ascii="Times New Roman" w:hAnsi="Times New Roman" w:cs="Times New Roman"/>
          <w:b/>
          <w:i/>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Pr>
          <w:rFonts w:ascii="Times New Roman" w:hAnsi="Times New Roman" w:cs="Times New Roman"/>
          <w:b/>
          <w:bCs/>
          <w:sz w:val="24"/>
          <w:szCs w:val="24"/>
        </w:rPr>
        <w:t xml:space="preserve">Research </w:t>
      </w:r>
      <w:r>
        <w:rPr>
          <w:rFonts w:ascii="Times New Roman" w:hAnsi="Times New Roman" w:cs="Times New Roman"/>
          <w:b/>
          <w:sz w:val="24"/>
          <w:szCs w:val="24"/>
        </w:rPr>
        <w:t xml:space="preserve">Method </w:t>
      </w:r>
    </w:p>
    <w:p w14:paraId="0B41D2DE" w14:textId="77777777" w:rsidR="002810A4"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3.2.1</w:t>
      </w:r>
      <w:r>
        <w:rPr>
          <w:rFonts w:ascii="Times New Roman" w:hAnsi="Times New Roman" w:cs="Times New Roman"/>
          <w:b/>
          <w:sz w:val="24"/>
          <w:szCs w:val="24"/>
        </w:rPr>
        <w:tab/>
        <w:t>Alpha-Amylase inhibition assay</w:t>
      </w:r>
    </w:p>
    <w:p w14:paraId="774335C2"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α-amylase inhibitory activity was determined according to the method of Bernfield (1951). To an aliquot (40μl) of the extract in various concentrations (7.8125, 15.625, 31.250, 62.5, 125, 250, 500, and 1000 </w:t>
      </w:r>
      <w:proofErr w:type="spellStart"/>
      <w:r>
        <w:rPr>
          <w:rFonts w:ascii="Times New Roman" w:hAnsi="Times New Roman" w:cs="Times New Roman"/>
          <w:sz w:val="24"/>
          <w:szCs w:val="24"/>
        </w:rPr>
        <w:t>μg</w:t>
      </w:r>
      <w:proofErr w:type="spellEnd"/>
      <w:r>
        <w:rPr>
          <w:rFonts w:ascii="Times New Roman" w:hAnsi="Times New Roman" w:cs="Times New Roman"/>
          <w:sz w:val="24"/>
          <w:szCs w:val="24"/>
        </w:rPr>
        <w:t>/ml), 40μl of Phosphate Buffer Saline (pH 6.9 PBS) and 40μl α-amylase reagent were added in triplicates and incubated at 37</w:t>
      </w:r>
      <w:r>
        <w:rPr>
          <w:rFonts w:ascii="Times New Roman" w:hAnsi="Times New Roman" w:cs="Times New Roman"/>
          <w:sz w:val="24"/>
          <w:szCs w:val="24"/>
          <w:vertAlign w:val="superscript"/>
        </w:rPr>
        <w:t>O</w:t>
      </w:r>
      <w:r>
        <w:rPr>
          <w:rFonts w:ascii="Times New Roman" w:hAnsi="Times New Roman" w:cs="Times New Roman"/>
          <w:sz w:val="24"/>
          <w:szCs w:val="24"/>
        </w:rPr>
        <w:t>C for 10 minutes. After pre-incubation, 40μl of 1% starch solution was added and the mixture was incubated for another 15 minutes at 37</w:t>
      </w:r>
      <w:r>
        <w:rPr>
          <w:rFonts w:ascii="Times New Roman" w:hAnsi="Times New Roman" w:cs="Times New Roman"/>
          <w:sz w:val="24"/>
          <w:szCs w:val="24"/>
          <w:vertAlign w:val="superscript"/>
        </w:rPr>
        <w:t>O</w:t>
      </w:r>
      <w:r>
        <w:rPr>
          <w:rFonts w:ascii="Times New Roman" w:hAnsi="Times New Roman" w:cs="Times New Roman"/>
          <w:sz w:val="24"/>
          <w:szCs w:val="24"/>
        </w:rPr>
        <w:t>C. 100μl of glucose reagents was then added to each tube, the reaction mixtures was then incubated for 15 minutes. Acarbose was used as standard and absorbance was measured at 505nm. For each concentration of the extract used, blank incubation was prepared by replacing the enzyme solution with 10 ml distilled water at the start of the reaction, and absorbance measured at 540 nm in the UV-Visible spectrophotometer. The α-amylase inhibitory activity was expressed as percentage inhibition.</w:t>
      </w:r>
    </w:p>
    <w:p w14:paraId="68724CA2" w14:textId="77777777" w:rsidR="002810A4" w:rsidRDefault="00000000">
      <w:pPr>
        <w:spacing w:line="360" w:lineRule="auto"/>
        <w:jc w:val="both"/>
        <w:rPr>
          <w:rFonts w:ascii="Times New Roman" w:hAnsi="Times New Roman" w:cs="Times New Roman"/>
          <w:bCs/>
          <w:sz w:val="24"/>
          <w:szCs w:val="24"/>
        </w:rPr>
      </w:pPr>
      <w:r>
        <w:rPr>
          <w:rFonts w:ascii="Times New Roman" w:hAnsi="Times New Roman" w:cs="Times New Roman"/>
          <w:sz w:val="24"/>
          <w:szCs w:val="24"/>
        </w:rPr>
        <w:t>Inhibition</w:t>
      </w:r>
      <w:r>
        <w:rPr>
          <w:rFonts w:ascii="Times New Roman" w:hAnsi="Times New Roman" w:cs="Times New Roman"/>
          <w:bCs/>
          <w:sz w:val="24"/>
          <w:szCs w:val="24"/>
        </w:rPr>
        <w:t xml:space="preserve"> (%)</w:t>
      </w:r>
      <w:r>
        <w:rPr>
          <w:rFonts w:ascii="Times New Roman" w:hAnsi="Times New Roman" w:cs="Times New Roman"/>
          <w:bCs/>
          <w:sz w:val="24"/>
          <w:szCs w:val="24"/>
        </w:rPr>
        <w:tab/>
        <w:t xml:space="preserve"> = </w:t>
      </w:r>
      <w:r>
        <w:rPr>
          <w:rFonts w:ascii="Times New Roman" w:hAnsi="Times New Roman" w:cs="Times New Roman"/>
          <w:bCs/>
          <w:sz w:val="24"/>
          <w:szCs w:val="24"/>
        </w:rPr>
        <w:tab/>
      </w:r>
      <w:r>
        <w:rPr>
          <w:rFonts w:ascii="Times New Roman" w:hAnsi="Times New Roman" w:cs="Times New Roman"/>
          <w:sz w:val="24"/>
          <w:szCs w:val="24"/>
        </w:rPr>
        <w:t>[(</w:t>
      </w:r>
      <w:proofErr w:type="spellStart"/>
      <w:r>
        <w:rPr>
          <w:rFonts w:ascii="Times New Roman" w:hAnsi="Times New Roman" w:cs="Times New Roman"/>
          <w:sz w:val="24"/>
          <w:szCs w:val="24"/>
        </w:rPr>
        <w:t>Abscontrol</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Abssample</w:t>
      </w:r>
      <w:proofErr w:type="spellEnd"/>
      <w:r>
        <w:rPr>
          <w:rFonts w:ascii="Times New Roman" w:hAnsi="Times New Roman" w:cs="Times New Roman"/>
          <w:sz w:val="24"/>
          <w:szCs w:val="24"/>
        </w:rPr>
        <w:t>) × 100] / (</w:t>
      </w:r>
      <w:proofErr w:type="spellStart"/>
      <w:r>
        <w:rPr>
          <w:rFonts w:ascii="Times New Roman" w:hAnsi="Times New Roman" w:cs="Times New Roman"/>
          <w:sz w:val="24"/>
          <w:szCs w:val="24"/>
        </w:rPr>
        <w:t>Abscontrol</w:t>
      </w:r>
      <w:proofErr w:type="spellEnd"/>
      <w:r>
        <w:rPr>
          <w:rFonts w:ascii="Times New Roman" w:hAnsi="Times New Roman" w:cs="Times New Roman"/>
          <w:sz w:val="24"/>
          <w:szCs w:val="24"/>
        </w:rPr>
        <w:t>)</w:t>
      </w:r>
    </w:p>
    <w:p w14:paraId="03F2D81E" w14:textId="77777777" w:rsidR="002810A4"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3.2.2</w:t>
      </w:r>
      <w:r>
        <w:rPr>
          <w:rFonts w:ascii="Times New Roman" w:hAnsi="Times New Roman" w:cs="Times New Roman"/>
          <w:b/>
          <w:sz w:val="24"/>
          <w:szCs w:val="24"/>
        </w:rPr>
        <w:tab/>
        <w:t>Alpha-Glucosidase inhibition assay</w:t>
      </w:r>
    </w:p>
    <w:p w14:paraId="1659B4A4"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α-glucosidase inhibitory activity was determined according to the method of Apostolidis, </w:t>
      </w:r>
      <w:r>
        <w:rPr>
          <w:rFonts w:ascii="Times New Roman" w:hAnsi="Times New Roman" w:cs="Times New Roman"/>
          <w:i/>
          <w:sz w:val="24"/>
          <w:szCs w:val="24"/>
        </w:rPr>
        <w:t>et al.</w:t>
      </w:r>
      <w:r>
        <w:rPr>
          <w:rFonts w:ascii="Times New Roman" w:hAnsi="Times New Roman" w:cs="Times New Roman"/>
          <w:sz w:val="24"/>
          <w:szCs w:val="24"/>
        </w:rPr>
        <w:t xml:space="preserve">, (2007). The inhibitory activity was determined by incubating a solution of starch substrate (2 % w/v maltose or sucrose) 1ml with </w:t>
      </w:r>
      <w:r>
        <w:rPr>
          <w:rFonts w:ascii="Times New Roman" w:hAnsi="Times New Roman" w:cs="Times New Roman"/>
          <w:bCs/>
          <w:sz w:val="24"/>
          <w:szCs w:val="24"/>
        </w:rPr>
        <w:t>5</w:t>
      </w:r>
      <w:r>
        <w:rPr>
          <w:rFonts w:ascii="Times New Roman" w:hAnsi="Times New Roman" w:cs="Times New Roman"/>
          <w:sz w:val="24"/>
          <w:szCs w:val="24"/>
        </w:rPr>
        <w:t xml:space="preserve">0μl portion of extract in various concentrations (7.8125, 15.625, 31.250, 62.5, 125, 250, 500, and 1000 </w:t>
      </w:r>
      <w:proofErr w:type="spellStart"/>
      <w:r>
        <w:rPr>
          <w:rFonts w:ascii="Times New Roman" w:hAnsi="Times New Roman" w:cs="Times New Roman"/>
          <w:sz w:val="24"/>
          <w:szCs w:val="24"/>
        </w:rPr>
        <w:t>μg</w:t>
      </w:r>
      <w:proofErr w:type="spellEnd"/>
      <w:r>
        <w:rPr>
          <w:rFonts w:ascii="Times New Roman" w:hAnsi="Times New Roman" w:cs="Times New Roman"/>
          <w:sz w:val="24"/>
          <w:szCs w:val="24"/>
        </w:rPr>
        <w:t>/ml) in triplicates. The reaction was initiated by adding 100μl of α-glucosidase enzyme reagent (1U/ml) and incubated at 37°C for 10 minutes. 20μl of PNPG (4-Nitrophyenyl β–D-glucopyranoside) was added and</w:t>
      </w:r>
      <w:r>
        <w:rPr>
          <w:rFonts w:ascii="Times New Roman" w:hAnsi="Times New Roman" w:cs="Times New Roman"/>
          <w:b/>
          <w:sz w:val="24"/>
          <w:szCs w:val="24"/>
        </w:rPr>
        <w:t xml:space="preserve"> </w:t>
      </w:r>
      <w:r>
        <w:rPr>
          <w:rFonts w:ascii="Times New Roman" w:hAnsi="Times New Roman" w:cs="Times New Roman"/>
          <w:sz w:val="24"/>
          <w:szCs w:val="24"/>
        </w:rPr>
        <w:t>the reaction mixture was heated for 20 minutes at 37°C and then 100μl of Na</w:t>
      </w:r>
      <w:r>
        <w:rPr>
          <w:rFonts w:ascii="Times New Roman" w:hAnsi="Times New Roman" w:cs="Times New Roman"/>
          <w:sz w:val="24"/>
          <w:szCs w:val="24"/>
          <w:vertAlign w:val="subscript"/>
        </w:rPr>
        <w:t>2</w:t>
      </w:r>
      <w:r>
        <w:rPr>
          <w:rFonts w:ascii="Times New Roman" w:hAnsi="Times New Roman" w:cs="Times New Roman"/>
          <w:sz w:val="24"/>
          <w:szCs w:val="24"/>
        </w:rPr>
        <w:t>CO</w:t>
      </w:r>
      <w:r>
        <w:rPr>
          <w:rFonts w:ascii="Times New Roman" w:hAnsi="Times New Roman" w:cs="Times New Roman"/>
          <w:sz w:val="24"/>
          <w:szCs w:val="24"/>
          <w:vertAlign w:val="subscript"/>
        </w:rPr>
        <w:t>3</w:t>
      </w:r>
      <w:r>
        <w:rPr>
          <w:rFonts w:ascii="Times New Roman" w:hAnsi="Times New Roman" w:cs="Times New Roman"/>
          <w:sz w:val="24"/>
          <w:szCs w:val="24"/>
        </w:rPr>
        <w:t xml:space="preserve"> was added. Acarbose reagents was used as standard and the absorbance was measured at 405nm. The reacting mixture was then incubated at 25 °C for 5 min, before reading the </w:t>
      </w:r>
      <w:r>
        <w:rPr>
          <w:rFonts w:ascii="Times New Roman" w:hAnsi="Times New Roman" w:cs="Times New Roman"/>
          <w:sz w:val="24"/>
          <w:szCs w:val="24"/>
        </w:rPr>
        <w:lastRenderedPageBreak/>
        <w:t xml:space="preserve">absorbance in the UV-Visible spectrophotometer. The amount of liberated glucose is measured by glucose oxidase peroxidase method and the α-glucosidase inhibitory activity was expressed as percentage inhibition. </w:t>
      </w:r>
    </w:p>
    <w:p w14:paraId="0A73C4D5" w14:textId="77777777" w:rsidR="002810A4"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3.2.3</w:t>
      </w:r>
      <w:r>
        <w:rPr>
          <w:rFonts w:ascii="Times New Roman" w:hAnsi="Times New Roman" w:cs="Times New Roman"/>
          <w:b/>
          <w:sz w:val="24"/>
          <w:szCs w:val="24"/>
        </w:rPr>
        <w:tab/>
        <w:t xml:space="preserve">DPPH </w:t>
      </w:r>
      <w:r>
        <w:rPr>
          <w:rFonts w:ascii="Times New Roman" w:hAnsi="Times New Roman" w:cs="Times New Roman"/>
          <w:b/>
          <w:bCs/>
          <w:sz w:val="24"/>
          <w:szCs w:val="24"/>
        </w:rPr>
        <w:t>assay</w:t>
      </w:r>
      <w:r>
        <w:rPr>
          <w:rFonts w:ascii="Times New Roman" w:hAnsi="Times New Roman" w:cs="Times New Roman"/>
          <w:b/>
          <w:sz w:val="24"/>
          <w:szCs w:val="24"/>
        </w:rPr>
        <w:t xml:space="preserve"> </w:t>
      </w:r>
    </w:p>
    <w:p w14:paraId="1652DD46"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sz w:val="24"/>
          <w:szCs w:val="24"/>
        </w:rPr>
        <w:t>in vitro</w:t>
      </w:r>
      <w:r>
        <w:rPr>
          <w:rFonts w:ascii="Times New Roman" w:hAnsi="Times New Roman" w:cs="Times New Roman"/>
          <w:sz w:val="24"/>
          <w:szCs w:val="24"/>
        </w:rPr>
        <w:t xml:space="preserve"> free radical scavenging ability of the extracts against DPPH (1, 1-diphenyl–2 picrylhydrazyl) was evaluated by the spectrophotometric as described by Bios, (1958) and BHT reagent was used as standard. The assay was experimented by incubating 20μl portion of the extract in various concentrations with 200μl of DPPH reagent. An equal amount of water was added to the control. After 20 min, the decrease in the absorbance was taken at 517 nm in the UV-Visible spectrophotometer. The DPPH free radical scavenging ability was subsequently calculated for each extract and expressed in % inhibition (Gyamfi, </w:t>
      </w:r>
      <w:r>
        <w:rPr>
          <w:rFonts w:ascii="Times New Roman" w:hAnsi="Times New Roman" w:cs="Times New Roman"/>
          <w:i/>
          <w:sz w:val="24"/>
          <w:szCs w:val="24"/>
        </w:rPr>
        <w:t>et al</w:t>
      </w:r>
      <w:r>
        <w:rPr>
          <w:rFonts w:ascii="Times New Roman" w:hAnsi="Times New Roman" w:cs="Times New Roman"/>
          <w:sz w:val="24"/>
          <w:szCs w:val="24"/>
        </w:rPr>
        <w:t xml:space="preserve">., 1999). </w:t>
      </w:r>
    </w:p>
    <w:p w14:paraId="03FF7B42" w14:textId="77777777" w:rsidR="002810A4" w:rsidRDefault="00000000">
      <w:pPr>
        <w:spacing w:line="360" w:lineRule="auto"/>
        <w:jc w:val="both"/>
        <w:rPr>
          <w:rFonts w:ascii="Times New Roman" w:hAnsi="Times New Roman" w:cs="Times New Roman"/>
          <w:bCs/>
          <w:sz w:val="24"/>
          <w:szCs w:val="24"/>
        </w:rPr>
      </w:pPr>
      <w:r>
        <w:rPr>
          <w:rFonts w:ascii="Times New Roman" w:hAnsi="Times New Roman" w:cs="Times New Roman"/>
          <w:sz w:val="24"/>
          <w:szCs w:val="24"/>
        </w:rPr>
        <w:t>Inhibition</w:t>
      </w:r>
      <w:r>
        <w:rPr>
          <w:rFonts w:ascii="Times New Roman" w:hAnsi="Times New Roman" w:cs="Times New Roman"/>
          <w:bCs/>
          <w:sz w:val="24"/>
          <w:szCs w:val="24"/>
        </w:rPr>
        <w:t xml:space="preserve"> (%)</w:t>
      </w:r>
      <w:r>
        <w:rPr>
          <w:rFonts w:ascii="Times New Roman" w:hAnsi="Times New Roman" w:cs="Times New Roman"/>
          <w:bCs/>
          <w:sz w:val="24"/>
          <w:szCs w:val="24"/>
        </w:rPr>
        <w:tab/>
        <w:t xml:space="preserve"> = </w:t>
      </w:r>
      <w:r>
        <w:rPr>
          <w:rFonts w:ascii="Times New Roman" w:hAnsi="Times New Roman" w:cs="Times New Roman"/>
          <w:bCs/>
          <w:sz w:val="24"/>
          <w:szCs w:val="24"/>
        </w:rPr>
        <w:tab/>
      </w:r>
      <w:r>
        <w:rPr>
          <w:rFonts w:ascii="Times New Roman" w:hAnsi="Times New Roman" w:cs="Times New Roman"/>
          <w:sz w:val="24"/>
          <w:szCs w:val="24"/>
        </w:rPr>
        <w:t>[(</w:t>
      </w:r>
      <w:proofErr w:type="spellStart"/>
      <w:r>
        <w:rPr>
          <w:rFonts w:ascii="Times New Roman" w:hAnsi="Times New Roman" w:cs="Times New Roman"/>
          <w:sz w:val="24"/>
          <w:szCs w:val="24"/>
        </w:rPr>
        <w:t>Abscontrol</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Abssample</w:t>
      </w:r>
      <w:proofErr w:type="spellEnd"/>
      <w:r>
        <w:rPr>
          <w:rFonts w:ascii="Times New Roman" w:hAnsi="Times New Roman" w:cs="Times New Roman"/>
          <w:sz w:val="24"/>
          <w:szCs w:val="24"/>
        </w:rPr>
        <w:t>) × 100]  / (</w:t>
      </w:r>
      <w:proofErr w:type="spellStart"/>
      <w:r>
        <w:rPr>
          <w:rFonts w:ascii="Times New Roman" w:hAnsi="Times New Roman" w:cs="Times New Roman"/>
          <w:sz w:val="24"/>
          <w:szCs w:val="24"/>
        </w:rPr>
        <w:t>Abscontrol</w:t>
      </w:r>
      <w:proofErr w:type="spellEnd"/>
      <w:r>
        <w:rPr>
          <w:rFonts w:ascii="Times New Roman" w:hAnsi="Times New Roman" w:cs="Times New Roman"/>
          <w:sz w:val="24"/>
          <w:szCs w:val="24"/>
        </w:rPr>
        <w:t>)</w:t>
      </w:r>
    </w:p>
    <w:p w14:paraId="7B28489F" w14:textId="77777777" w:rsidR="002810A4"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3.2.4</w:t>
      </w:r>
      <w:r>
        <w:rPr>
          <w:rFonts w:ascii="Times New Roman" w:hAnsi="Times New Roman" w:cs="Times New Roman"/>
          <w:b/>
          <w:sz w:val="24"/>
          <w:szCs w:val="24"/>
        </w:rPr>
        <w:tab/>
        <w:t>ABTS assay</w:t>
      </w:r>
    </w:p>
    <w:p w14:paraId="5376FE10"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The ABTS radical scavenging assay is a reliable spectrophotometric method used to measure antioxidant capacity of plant extracts and biological compounds, providing valuable insight into the potential of natural antioxidants to combat oxidative stress in biological systems (</w:t>
      </w:r>
      <w:proofErr w:type="spellStart"/>
      <w:r>
        <w:rPr>
          <w:rFonts w:ascii="Times New Roman" w:hAnsi="Times New Roman" w:cs="Times New Roman"/>
          <w:sz w:val="24"/>
          <w:szCs w:val="24"/>
        </w:rPr>
        <w:t>Cano</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2023). The method is based on the ability of compounds antioxidants to neutralize the radical cation generated from ABTS radical cation, which is produced by oxidation with Potassium persulfate. A volume of 20μl of extract in various concentrations with 200μl of ABTS reagent was incubated in the dark for 30 minutes in triplicates and the absorbance was measured at 734nm. Antioxidants present in the sample donate electrons or hydrogen atoms to the radical, leading to a decrease in absorbance</w:t>
      </w:r>
      <w:r>
        <w:rPr>
          <w:rFonts w:ascii="Times New Roman" w:hAnsi="Times New Roman" w:cs="Times New Roman"/>
          <w:bCs/>
          <w:sz w:val="24"/>
          <w:szCs w:val="24"/>
        </w:rPr>
        <w:t xml:space="preserve"> measured spectrophotometrically, </w:t>
      </w:r>
      <w:r>
        <w:rPr>
          <w:rFonts w:ascii="Times New Roman" w:hAnsi="Times New Roman" w:cs="Times New Roman"/>
          <w:sz w:val="24"/>
          <w:szCs w:val="24"/>
        </w:rPr>
        <w:t xml:space="preserve">is proportional to the antioxidant activity of the sample. The percentage of inhibition of ABTS radical by the extract was estimated using the following equation: ABTS radical scavenging activity </w:t>
      </w:r>
      <w:bookmarkStart w:id="0" w:name="OLE_LINK1"/>
      <w:r>
        <w:rPr>
          <w:rFonts w:ascii="Times New Roman" w:hAnsi="Times New Roman" w:cs="Times New Roman"/>
          <w:sz w:val="24"/>
          <w:szCs w:val="24"/>
        </w:rPr>
        <w:t>= [(</w:t>
      </w:r>
      <w:proofErr w:type="spellStart"/>
      <w:r>
        <w:rPr>
          <w:rFonts w:ascii="Times New Roman" w:hAnsi="Times New Roman" w:cs="Times New Roman"/>
          <w:sz w:val="24"/>
          <w:szCs w:val="24"/>
        </w:rPr>
        <w:t>Abscontrol</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Abssample</w:t>
      </w:r>
      <w:proofErr w:type="spellEnd"/>
      <w:r>
        <w:rPr>
          <w:rFonts w:ascii="Times New Roman" w:hAnsi="Times New Roman" w:cs="Times New Roman"/>
          <w:sz w:val="24"/>
          <w:szCs w:val="24"/>
        </w:rPr>
        <w:t>) × 100] / (</w:t>
      </w:r>
      <w:proofErr w:type="spellStart"/>
      <w:r>
        <w:rPr>
          <w:rFonts w:ascii="Times New Roman" w:hAnsi="Times New Roman" w:cs="Times New Roman"/>
          <w:sz w:val="24"/>
          <w:szCs w:val="24"/>
        </w:rPr>
        <w:t>Abscontrol</w:t>
      </w:r>
      <w:proofErr w:type="spellEnd"/>
      <w:r>
        <w:rPr>
          <w:rFonts w:ascii="Times New Roman" w:hAnsi="Times New Roman" w:cs="Times New Roman"/>
          <w:sz w:val="24"/>
          <w:szCs w:val="24"/>
        </w:rPr>
        <w:t xml:space="preserve">) </w:t>
      </w:r>
      <w:bookmarkEnd w:id="0"/>
      <w:r>
        <w:rPr>
          <w:rFonts w:ascii="Times New Roman" w:hAnsi="Times New Roman" w:cs="Times New Roman"/>
          <w:sz w:val="24"/>
          <w:szCs w:val="24"/>
        </w:rPr>
        <w:t xml:space="preserve">where </w:t>
      </w:r>
      <w:proofErr w:type="spellStart"/>
      <w:r>
        <w:rPr>
          <w:rFonts w:ascii="Times New Roman" w:hAnsi="Times New Roman" w:cs="Times New Roman"/>
          <w:sz w:val="24"/>
          <w:szCs w:val="24"/>
        </w:rPr>
        <w:t>Abscontrol</w:t>
      </w:r>
      <w:proofErr w:type="spellEnd"/>
      <w:r>
        <w:rPr>
          <w:rFonts w:ascii="Times New Roman" w:hAnsi="Times New Roman" w:cs="Times New Roman"/>
          <w:sz w:val="24"/>
          <w:szCs w:val="24"/>
        </w:rPr>
        <w:t xml:space="preserve"> is the absorbance of ABTS radical and </w:t>
      </w:r>
      <w:proofErr w:type="spellStart"/>
      <w:r>
        <w:rPr>
          <w:rFonts w:ascii="Times New Roman" w:hAnsi="Times New Roman" w:cs="Times New Roman"/>
          <w:sz w:val="24"/>
          <w:szCs w:val="24"/>
        </w:rPr>
        <w:t>Abssample</w:t>
      </w:r>
      <w:proofErr w:type="spellEnd"/>
      <w:r>
        <w:rPr>
          <w:rFonts w:ascii="Times New Roman" w:hAnsi="Times New Roman" w:cs="Times New Roman"/>
          <w:sz w:val="24"/>
          <w:szCs w:val="24"/>
        </w:rPr>
        <w:t xml:space="preserve"> is the absorbance of ABTS radical + sample extract/test/standard.</w:t>
      </w:r>
    </w:p>
    <w:p w14:paraId="16FD80DC"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t>3.2.5</w:t>
      </w:r>
      <w:r>
        <w:rPr>
          <w:rFonts w:ascii="Times New Roman" w:hAnsi="Times New Roman" w:cs="Times New Roman"/>
          <w:b/>
          <w:sz w:val="24"/>
          <w:szCs w:val="24"/>
        </w:rPr>
        <w:tab/>
      </w:r>
      <w:r>
        <w:rPr>
          <w:rFonts w:ascii="Times New Roman" w:hAnsi="Times New Roman" w:cs="Times New Roman"/>
          <w:b/>
          <w:bCs/>
          <w:sz w:val="24"/>
          <w:szCs w:val="24"/>
        </w:rPr>
        <w:t>Free Hydroxyl assay</w:t>
      </w:r>
    </w:p>
    <w:p w14:paraId="1645319F"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commonly used method for evaluating hydroxyl radical scavenging activity is the Deoxyribose Degradation Assay (DDA) upon heating with TBA at low </w:t>
      </w: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 xml:space="preserve"> In this method, hydroxyl radicals generated via the Fenton reaction attack deoxyribose, leading to its </w:t>
      </w:r>
      <w:r>
        <w:rPr>
          <w:rFonts w:ascii="Times New Roman" w:hAnsi="Times New Roman" w:cs="Times New Roman"/>
          <w:sz w:val="24"/>
          <w:szCs w:val="24"/>
        </w:rPr>
        <w:lastRenderedPageBreak/>
        <w:t xml:space="preserve">degradation and the formation of </w:t>
      </w:r>
      <w:proofErr w:type="spellStart"/>
      <w:r>
        <w:rPr>
          <w:rFonts w:ascii="Times New Roman" w:hAnsi="Times New Roman" w:cs="Times New Roman"/>
          <w:sz w:val="24"/>
          <w:szCs w:val="24"/>
        </w:rPr>
        <w:t>thiobarbituric</w:t>
      </w:r>
      <w:proofErr w:type="spellEnd"/>
      <w:r>
        <w:rPr>
          <w:rFonts w:ascii="Times New Roman" w:hAnsi="Times New Roman" w:cs="Times New Roman"/>
          <w:sz w:val="24"/>
          <w:szCs w:val="24"/>
        </w:rPr>
        <w:t xml:space="preserve"> acid reactive substances (TBARS). 50μl of extract in different concentrations in triplicates and BHT reagents was used as standard. The reaction was initiated by adding 20μl of Fe</w:t>
      </w:r>
      <w:r>
        <w:rPr>
          <w:rFonts w:ascii="Times New Roman" w:hAnsi="Times New Roman" w:cs="Times New Roman"/>
          <w:sz w:val="24"/>
          <w:szCs w:val="24"/>
          <w:vertAlign w:val="subscript"/>
        </w:rPr>
        <w:t>2</w:t>
      </w:r>
      <w:r>
        <w:rPr>
          <w:rFonts w:ascii="Times New Roman" w:hAnsi="Times New Roman" w:cs="Times New Roman"/>
          <w:sz w:val="24"/>
          <w:szCs w:val="24"/>
        </w:rPr>
        <w:t>(SO4)</w:t>
      </w:r>
      <w:r>
        <w:rPr>
          <w:rFonts w:ascii="Times New Roman" w:hAnsi="Times New Roman" w:cs="Times New Roman"/>
          <w:sz w:val="24"/>
          <w:szCs w:val="24"/>
          <w:vertAlign w:val="subscript"/>
        </w:rPr>
        <w:t>3</w:t>
      </w:r>
      <w:r>
        <w:rPr>
          <w:rFonts w:ascii="Times New Roman" w:hAnsi="Times New Roman" w:cs="Times New Roman"/>
          <w:sz w:val="24"/>
          <w:szCs w:val="24"/>
        </w:rPr>
        <w:t xml:space="preserve"> (Iron Sulphate), 50μl of H</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2</w:t>
      </w:r>
      <w:r>
        <w:rPr>
          <w:rFonts w:ascii="Times New Roman" w:hAnsi="Times New Roman" w:cs="Times New Roman"/>
          <w:sz w:val="24"/>
          <w:szCs w:val="24"/>
        </w:rPr>
        <w:t xml:space="preserve"> (Hydrogen peroxide) and 100μl of </w:t>
      </w:r>
      <w:proofErr w:type="spellStart"/>
      <w:r>
        <w:rPr>
          <w:rFonts w:ascii="Times New Roman" w:hAnsi="Times New Roman" w:cs="Times New Roman"/>
          <w:sz w:val="24"/>
          <w:szCs w:val="24"/>
        </w:rPr>
        <w:t>Salicyclic</w:t>
      </w:r>
      <w:proofErr w:type="spellEnd"/>
      <w:r>
        <w:rPr>
          <w:rFonts w:ascii="Times New Roman" w:hAnsi="Times New Roman" w:cs="Times New Roman"/>
          <w:sz w:val="24"/>
          <w:szCs w:val="24"/>
        </w:rPr>
        <w:t xml:space="preserve"> acid were added to the reaction. Antioxidants inhibit this degradation, and the reduction in absorbance is measured spectrophotometrically to determine hydroxyl radical scavenging activity (Apak, </w:t>
      </w:r>
      <w:r>
        <w:rPr>
          <w:rFonts w:ascii="Times New Roman" w:hAnsi="Times New Roman" w:cs="Times New Roman"/>
          <w:i/>
          <w:sz w:val="24"/>
          <w:szCs w:val="24"/>
        </w:rPr>
        <w:t>et al</w:t>
      </w:r>
      <w:r>
        <w:rPr>
          <w:rFonts w:ascii="Times New Roman" w:hAnsi="Times New Roman" w:cs="Times New Roman"/>
          <w:sz w:val="24"/>
          <w:szCs w:val="24"/>
        </w:rPr>
        <w:t>., 2020). The percentage of hydroxyl radical scavenging activity was calculated according to the following formula: % hydroxyl radical scavenging activity = [A</w:t>
      </w:r>
      <w:r>
        <w:rPr>
          <w:rFonts w:ascii="Times New Roman" w:hAnsi="Times New Roman" w:cs="Times New Roman"/>
          <w:sz w:val="24"/>
          <w:szCs w:val="24"/>
          <w:vertAlign w:val="subscript"/>
        </w:rPr>
        <w:t>0</w:t>
      </w:r>
      <w:r>
        <w:rPr>
          <w:rFonts w:ascii="Times New Roman" w:hAnsi="Times New Roman" w:cs="Times New Roman"/>
          <w:sz w:val="24"/>
          <w:szCs w:val="24"/>
        </w:rPr>
        <w:t>− (A</w:t>
      </w:r>
      <w:r>
        <w:rPr>
          <w:rFonts w:ascii="Times New Roman" w:hAnsi="Times New Roman" w:cs="Times New Roman"/>
          <w:sz w:val="24"/>
          <w:szCs w:val="24"/>
          <w:vertAlign w:val="subscript"/>
        </w:rPr>
        <w:t>1</w:t>
      </w:r>
      <w:r>
        <w:rPr>
          <w:rFonts w:ascii="Times New Roman" w:hAnsi="Times New Roman" w:cs="Times New Roman"/>
          <w:sz w:val="24"/>
          <w:szCs w:val="24"/>
        </w:rPr>
        <w:t>−A</w:t>
      </w:r>
      <w:r>
        <w:rPr>
          <w:rFonts w:ascii="Times New Roman" w:hAnsi="Times New Roman" w:cs="Times New Roman"/>
          <w:sz w:val="24"/>
          <w:szCs w:val="24"/>
          <w:vertAlign w:val="subscript"/>
        </w:rPr>
        <w:t>2</w:t>
      </w:r>
      <w:r>
        <w:rPr>
          <w:rFonts w:ascii="Times New Roman" w:hAnsi="Times New Roman" w:cs="Times New Roman"/>
          <w:sz w:val="24"/>
          <w:szCs w:val="24"/>
        </w:rPr>
        <w:t>] × 100 / A</w:t>
      </w:r>
      <w:r>
        <w:rPr>
          <w:rFonts w:ascii="Times New Roman" w:hAnsi="Times New Roman" w:cs="Times New Roman"/>
          <w:sz w:val="24"/>
          <w:szCs w:val="24"/>
          <w:vertAlign w:val="subscript"/>
        </w:rPr>
        <w:t>0</w:t>
      </w:r>
      <w:r>
        <w:rPr>
          <w:rFonts w:ascii="Times New Roman" w:hAnsi="Times New Roman" w:cs="Times New Roman"/>
          <w:sz w:val="24"/>
          <w:szCs w:val="24"/>
        </w:rPr>
        <w:t>, where A</w:t>
      </w:r>
      <w:r>
        <w:rPr>
          <w:rFonts w:ascii="Times New Roman" w:hAnsi="Times New Roman" w:cs="Times New Roman"/>
          <w:sz w:val="24"/>
          <w:szCs w:val="24"/>
          <w:vertAlign w:val="subscript"/>
        </w:rPr>
        <w:t>0</w:t>
      </w:r>
      <w:r>
        <w:rPr>
          <w:rFonts w:ascii="Times New Roman" w:hAnsi="Times New Roman" w:cs="Times New Roman"/>
          <w:sz w:val="24"/>
          <w:szCs w:val="24"/>
        </w:rPr>
        <w:t> is the absorbance of the control without a sample. A</w:t>
      </w:r>
      <w:r>
        <w:rPr>
          <w:rFonts w:ascii="Times New Roman" w:hAnsi="Times New Roman" w:cs="Times New Roman"/>
          <w:sz w:val="24"/>
          <w:szCs w:val="24"/>
          <w:vertAlign w:val="subscript"/>
        </w:rPr>
        <w:t>1</w:t>
      </w:r>
      <w:r>
        <w:rPr>
          <w:rFonts w:ascii="Times New Roman" w:hAnsi="Times New Roman" w:cs="Times New Roman"/>
          <w:sz w:val="24"/>
          <w:szCs w:val="24"/>
        </w:rPr>
        <w:t> is the absorbance after adding the sample and 2-deoxy-D-ribose. A</w:t>
      </w:r>
      <w:r>
        <w:rPr>
          <w:rFonts w:ascii="Times New Roman" w:hAnsi="Times New Roman" w:cs="Times New Roman"/>
          <w:sz w:val="24"/>
          <w:szCs w:val="24"/>
          <w:vertAlign w:val="subscript"/>
        </w:rPr>
        <w:t>2</w:t>
      </w:r>
      <w:r>
        <w:rPr>
          <w:rFonts w:ascii="Times New Roman" w:hAnsi="Times New Roman" w:cs="Times New Roman"/>
          <w:sz w:val="24"/>
          <w:szCs w:val="24"/>
        </w:rPr>
        <w:t> is the absorbance of the sample without 2-deoxy-D-ribose. Then % of inhibition was plotted against concentration.</w:t>
      </w:r>
    </w:p>
    <w:p w14:paraId="778D4EFD" w14:textId="77777777" w:rsidR="002810A4"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t xml:space="preserve">Statistical Analysis </w:t>
      </w:r>
    </w:p>
    <w:p w14:paraId="031C42E4" w14:textId="77777777" w:rsidR="002810A4" w:rsidRDefault="00000000">
      <w:pPr>
        <w:spacing w:line="360" w:lineRule="auto"/>
        <w:jc w:val="both"/>
        <w:rPr>
          <w:rFonts w:ascii="Times New Roman" w:hAnsi="Times New Roman" w:cs="Times New Roman"/>
          <w:bCs/>
          <w:iCs/>
          <w:sz w:val="24"/>
          <w:szCs w:val="24"/>
        </w:rPr>
      </w:pPr>
      <w:r>
        <w:rPr>
          <w:rFonts w:ascii="Times New Roman" w:hAnsi="Times New Roman" w:cs="Times New Roman"/>
          <w:sz w:val="24"/>
          <w:szCs w:val="24"/>
        </w:rPr>
        <w:t>Each assay was carried out three times, data was analyzed as mean ± standard deviation of triplicate determinations using Microsoft excel. Furthermore, it</w:t>
      </w:r>
      <w:r>
        <w:rPr>
          <w:rFonts w:ascii="Times New Roman" w:hAnsi="Times New Roman" w:cs="Times New Roman"/>
          <w:bCs/>
          <w:iCs/>
          <w:sz w:val="24"/>
          <w:szCs w:val="24"/>
        </w:rPr>
        <w:t xml:space="preserve"> was analyzed using one-way analysis of variance (ANOVA) and performed with GraphPad prism version 8.0, and p-value less than 0.05 was considered statistically significant.</w:t>
      </w:r>
    </w:p>
    <w:p w14:paraId="6E3EC56B" w14:textId="77777777" w:rsidR="002810A4" w:rsidRDefault="00000000">
      <w:pPr>
        <w:spacing w:line="36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Results </w:t>
      </w:r>
    </w:p>
    <w:p w14:paraId="79289A99" w14:textId="77777777" w:rsidR="002810A4" w:rsidRDefault="00000000">
      <w:pPr>
        <w:spacing w:line="360" w:lineRule="auto"/>
        <w:jc w:val="both"/>
        <w:rPr>
          <w:rFonts w:ascii="Times New Roman" w:hAnsi="Times New Roman" w:cs="Times New Roman"/>
          <w:b/>
          <w:sz w:val="24"/>
          <w:szCs w:val="24"/>
        </w:rPr>
      </w:pPr>
      <w:r>
        <w:rPr>
          <w:rFonts w:ascii="Times New Roman" w:hAnsi="Times New Roman" w:cs="Times New Roman"/>
          <w:b/>
          <w:bCs/>
          <w:sz w:val="24"/>
          <w:szCs w:val="24"/>
        </w:rPr>
        <w:t>3.4</w:t>
      </w:r>
      <w:r>
        <w:rPr>
          <w:rFonts w:ascii="Times New Roman" w:hAnsi="Times New Roman" w:cs="Times New Roman"/>
          <w:b/>
          <w:bCs/>
          <w:sz w:val="24"/>
          <w:szCs w:val="24"/>
        </w:rPr>
        <w:tab/>
        <w:t>Enzyme Inhibition Assays</w:t>
      </w:r>
    </w:p>
    <w:p w14:paraId="25BFD2C0" w14:textId="77777777" w:rsidR="002810A4"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3.4.1 </w:t>
      </w:r>
      <w:r>
        <w:rPr>
          <w:rFonts w:ascii="Times New Roman" w:hAnsi="Times New Roman" w:cs="Times New Roman"/>
          <w:b/>
          <w:bCs/>
          <w:sz w:val="24"/>
          <w:szCs w:val="24"/>
        </w:rPr>
        <w:tab/>
        <w:t>Alpha Amylase Inhibitory Activity</w:t>
      </w:r>
    </w:p>
    <w:p w14:paraId="4B04CA45"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i/>
          <w:sz w:val="24"/>
          <w:szCs w:val="24"/>
        </w:rPr>
        <w:t>in vitro</w:t>
      </w:r>
      <w:r>
        <w:rPr>
          <w:rFonts w:ascii="Times New Roman" w:hAnsi="Times New Roman" w:cs="Times New Roman"/>
          <w:sz w:val="24"/>
          <w:szCs w:val="24"/>
        </w:rPr>
        <w:t xml:space="preserve"> lime extract of </w:t>
      </w:r>
      <w:r>
        <w:rPr>
          <w:rFonts w:ascii="Times New Roman" w:hAnsi="Times New Roman" w:cs="Times New Roman"/>
          <w:i/>
          <w:sz w:val="24"/>
          <w:szCs w:val="24"/>
        </w:rPr>
        <w:t xml:space="preserve">Gossypium </w:t>
      </w:r>
      <w:proofErr w:type="spellStart"/>
      <w:r>
        <w:rPr>
          <w:rFonts w:ascii="Times New Roman" w:hAnsi="Times New Roman" w:cs="Times New Roman"/>
          <w:sz w:val="24"/>
          <w:szCs w:val="24"/>
        </w:rPr>
        <w:t>herbaceum</w:t>
      </w:r>
      <w:proofErr w:type="spellEnd"/>
      <w:r>
        <w:rPr>
          <w:rFonts w:ascii="Times New Roman" w:hAnsi="Times New Roman" w:cs="Times New Roman"/>
          <w:sz w:val="24"/>
          <w:szCs w:val="24"/>
        </w:rPr>
        <w:t xml:space="preserve"> of α-amylase inhibitory activities shows no significant difference when compare to Acarbose in a concentration-dependent pattern </w:t>
      </w:r>
      <w:r>
        <w:rPr>
          <w:rFonts w:ascii="Times New Roman" w:hAnsi="Times New Roman" w:cs="Times New Roman"/>
          <w:bCs/>
          <w:sz w:val="24"/>
          <w:szCs w:val="24"/>
        </w:rPr>
        <w:t xml:space="preserve">at p &lt; 0.05, </w:t>
      </w:r>
      <w:r>
        <w:rPr>
          <w:rFonts w:ascii="Times New Roman" w:hAnsi="Times New Roman" w:cs="Times New Roman"/>
          <w:sz w:val="24"/>
          <w:szCs w:val="24"/>
        </w:rPr>
        <w:t>as shown in figure 2. Meanwhile, Acarbose (standard antidiabetic) exhibits mild higher inhibitory activity at all concentrations compared with lime extract, indicating the presence of bioactive compounds capable of slowing carbohydrate digestion.</w:t>
      </w:r>
    </w:p>
    <w:p w14:paraId="11D08D97" w14:textId="77777777" w:rsidR="002810A4" w:rsidRDefault="00000000">
      <w:pPr>
        <w:rPr>
          <w:rFonts w:ascii="Times New Roman" w:hAnsi="Times New Roman" w:cs="Times New Roman"/>
          <w:b/>
          <w:bCs/>
          <w:sz w:val="24"/>
          <w:szCs w:val="24"/>
        </w:rPr>
      </w:pPr>
      <w:r>
        <w:rPr>
          <w:rFonts w:ascii="Times New Roman" w:hAnsi="Times New Roman" w:cs="Times New Roman"/>
          <w:b/>
          <w:sz w:val="24"/>
          <w:szCs w:val="24"/>
        </w:rPr>
        <w:t>3.4.2</w:t>
      </w:r>
      <w:r>
        <w:rPr>
          <w:rFonts w:ascii="Times New Roman" w:hAnsi="Times New Roman" w:cs="Times New Roman"/>
          <w:b/>
          <w:sz w:val="24"/>
          <w:szCs w:val="24"/>
        </w:rPr>
        <w:tab/>
        <w:t xml:space="preserve">Alpha Glucosidase </w:t>
      </w:r>
      <w:r>
        <w:rPr>
          <w:rFonts w:ascii="Times New Roman" w:hAnsi="Times New Roman" w:cs="Times New Roman"/>
          <w:b/>
          <w:bCs/>
          <w:sz w:val="24"/>
          <w:szCs w:val="24"/>
        </w:rPr>
        <w:t>Inhibitory Activity</w:t>
      </w:r>
    </w:p>
    <w:p w14:paraId="08D48924"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Alpha-glucosidase </w:t>
      </w:r>
      <w:r>
        <w:rPr>
          <w:rFonts w:ascii="Times New Roman" w:hAnsi="Times New Roman" w:cs="Times New Roman"/>
          <w:bCs/>
          <w:sz w:val="24"/>
          <w:szCs w:val="24"/>
        </w:rPr>
        <w:t xml:space="preserve">inhibitory activity </w:t>
      </w:r>
      <w:r>
        <w:rPr>
          <w:rFonts w:ascii="Times New Roman" w:hAnsi="Times New Roman" w:cs="Times New Roman"/>
          <w:sz w:val="24"/>
          <w:szCs w:val="24"/>
        </w:rPr>
        <w:t xml:space="preserve">showed </w:t>
      </w:r>
      <w:r>
        <w:rPr>
          <w:rFonts w:ascii="Times New Roman" w:hAnsi="Times New Roman" w:cs="Times New Roman"/>
          <w:bCs/>
          <w:sz w:val="24"/>
          <w:szCs w:val="24"/>
        </w:rPr>
        <w:t xml:space="preserve">significant elevation (p&lt;0.05) in </w:t>
      </w:r>
      <w:r>
        <w:rPr>
          <w:rFonts w:ascii="Times New Roman" w:hAnsi="Times New Roman" w:cs="Times New Roman"/>
          <w:sz w:val="24"/>
          <w:szCs w:val="24"/>
        </w:rPr>
        <w:t xml:space="preserve">Acarbose compared to lime extract of </w:t>
      </w:r>
      <w:r>
        <w:rPr>
          <w:rFonts w:ascii="Times New Roman" w:hAnsi="Times New Roman" w:cs="Times New Roman"/>
          <w:i/>
          <w:sz w:val="24"/>
          <w:szCs w:val="24"/>
        </w:rPr>
        <w:t xml:space="preserve">Gossypium </w:t>
      </w:r>
      <w:proofErr w:type="spellStart"/>
      <w:r>
        <w:rPr>
          <w:rFonts w:ascii="Times New Roman" w:hAnsi="Times New Roman" w:cs="Times New Roman"/>
          <w:i/>
          <w:sz w:val="24"/>
          <w:szCs w:val="24"/>
        </w:rPr>
        <w:t>herbaceum</w:t>
      </w:r>
      <w:proofErr w:type="spellEnd"/>
      <w:r>
        <w:rPr>
          <w:rFonts w:ascii="Times New Roman" w:hAnsi="Times New Roman" w:cs="Times New Roman"/>
          <w:sz w:val="24"/>
          <w:szCs w:val="24"/>
        </w:rPr>
        <w:t xml:space="preserve"> at each concentration figure 3. However, lime extract and Acarbose show a concentration-dependent increase in α- Glucosidase inhibition while lime extract of </w:t>
      </w:r>
      <w:r>
        <w:rPr>
          <w:rFonts w:ascii="Times New Roman" w:hAnsi="Times New Roman" w:cs="Times New Roman"/>
          <w:i/>
          <w:sz w:val="24"/>
          <w:szCs w:val="24"/>
        </w:rPr>
        <w:t xml:space="preserve">Gossypium </w:t>
      </w:r>
      <w:proofErr w:type="spellStart"/>
      <w:r>
        <w:rPr>
          <w:rFonts w:ascii="Times New Roman" w:hAnsi="Times New Roman" w:cs="Times New Roman"/>
          <w:i/>
          <w:sz w:val="24"/>
          <w:szCs w:val="24"/>
        </w:rPr>
        <w:t>herbaceum</w:t>
      </w:r>
      <w:proofErr w:type="spellEnd"/>
      <w:r>
        <w:rPr>
          <w:rFonts w:ascii="Times New Roman" w:hAnsi="Times New Roman" w:cs="Times New Roman"/>
          <w:sz w:val="24"/>
          <w:szCs w:val="24"/>
        </w:rPr>
        <w:t xml:space="preserve"> revealed lower activity than standard, indicating the presence of bioactive compounds and biologically relevant.</w:t>
      </w:r>
    </w:p>
    <w:p w14:paraId="5C9DCECB" w14:textId="77777777" w:rsidR="002810A4" w:rsidRDefault="00000000">
      <w:pPr>
        <w:spacing w:line="360" w:lineRule="auto"/>
        <w:jc w:val="both"/>
        <w:rPr>
          <w:rFonts w:ascii="Times New Roman" w:hAnsi="Times New Roman" w:cs="Times New Roman"/>
          <w:b/>
          <w:bCs/>
          <w:sz w:val="24"/>
          <w:szCs w:val="24"/>
        </w:rPr>
      </w:pPr>
      <w:r>
        <w:rPr>
          <w:rFonts w:ascii="Times New Roman" w:hAnsi="Times New Roman" w:cs="Times New Roman"/>
          <w:b/>
          <w:bCs/>
          <w:noProof/>
          <w:sz w:val="24"/>
          <w:szCs w:val="24"/>
        </w:rPr>
        <w:lastRenderedPageBreak/>
        <w:drawing>
          <wp:anchor distT="0" distB="0" distL="0" distR="0" simplePos="0" relativeHeight="5" behindDoc="0" locked="0" layoutInCell="1" allowOverlap="1" wp14:anchorId="430F5961" wp14:editId="3EE4AA37">
            <wp:simplePos x="0" y="0"/>
            <wp:positionH relativeFrom="column">
              <wp:posOffset>447675</wp:posOffset>
            </wp:positionH>
            <wp:positionV relativeFrom="paragraph">
              <wp:posOffset>-52070</wp:posOffset>
            </wp:positionV>
            <wp:extent cx="2525395" cy="2200275"/>
            <wp:effectExtent l="0" t="0" r="8255" b="9525"/>
            <wp:wrapNone/>
            <wp:docPr id="102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srcRect/>
                    <a:stretch/>
                  </pic:blipFill>
                  <pic:spPr>
                    <a:xfrm>
                      <a:off x="0" y="0"/>
                      <a:ext cx="2525395" cy="2200275"/>
                    </a:xfrm>
                    <a:prstGeom prst="rect">
                      <a:avLst/>
                    </a:prstGeom>
                    <a:solidFill>
                      <a:srgbClr val="FFFFFF"/>
                    </a:solidFill>
                  </pic:spPr>
                </pic:pic>
              </a:graphicData>
            </a:graphic>
          </wp:anchor>
        </w:drawing>
      </w:r>
      <w:r>
        <w:rPr>
          <w:rFonts w:ascii="Times New Roman" w:hAnsi="Times New Roman" w:cs="Times New Roman"/>
          <w:b/>
          <w:bCs/>
          <w:noProof/>
          <w:sz w:val="24"/>
          <w:szCs w:val="24"/>
        </w:rPr>
        <w:drawing>
          <wp:anchor distT="0" distB="0" distL="0" distR="0" simplePos="0" relativeHeight="6" behindDoc="0" locked="0" layoutInCell="1" allowOverlap="1" wp14:anchorId="6562E0DC" wp14:editId="1D5952CF">
            <wp:simplePos x="0" y="0"/>
            <wp:positionH relativeFrom="column">
              <wp:posOffset>2973070</wp:posOffset>
            </wp:positionH>
            <wp:positionV relativeFrom="paragraph">
              <wp:posOffset>-635</wp:posOffset>
            </wp:positionV>
            <wp:extent cx="2298699" cy="2212975"/>
            <wp:effectExtent l="0" t="0" r="6350" b="0"/>
            <wp:wrapNone/>
            <wp:docPr id="102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srcRect/>
                    <a:stretch/>
                  </pic:blipFill>
                  <pic:spPr>
                    <a:xfrm>
                      <a:off x="0" y="0"/>
                      <a:ext cx="2298699" cy="2212975"/>
                    </a:xfrm>
                    <a:prstGeom prst="rect">
                      <a:avLst/>
                    </a:prstGeom>
                    <a:solidFill>
                      <a:srgbClr val="FFFFFF"/>
                    </a:solidFill>
                  </pic:spPr>
                </pic:pic>
              </a:graphicData>
            </a:graphic>
          </wp:anchor>
        </w:drawing>
      </w:r>
      <w:r>
        <w:rPr>
          <w:rFonts w:ascii="Times New Roman" w:hAnsi="Times New Roman" w:cs="Times New Roman"/>
          <w:b/>
          <w:bCs/>
          <w:sz w:val="24"/>
          <w:szCs w:val="24"/>
        </w:rPr>
        <w:tab/>
      </w:r>
    </w:p>
    <w:p w14:paraId="2D131BBD" w14:textId="77777777" w:rsidR="002810A4" w:rsidRDefault="002810A4">
      <w:pPr>
        <w:spacing w:line="360" w:lineRule="auto"/>
        <w:jc w:val="both"/>
        <w:rPr>
          <w:rFonts w:ascii="Times New Roman" w:hAnsi="Times New Roman" w:cs="Times New Roman"/>
          <w:b/>
          <w:bCs/>
          <w:sz w:val="24"/>
          <w:szCs w:val="24"/>
        </w:rPr>
      </w:pPr>
    </w:p>
    <w:p w14:paraId="511BDAE8" w14:textId="77777777" w:rsidR="002810A4" w:rsidRDefault="002810A4">
      <w:pPr>
        <w:spacing w:line="360" w:lineRule="auto"/>
        <w:jc w:val="both"/>
        <w:rPr>
          <w:rFonts w:ascii="Times New Roman" w:hAnsi="Times New Roman" w:cs="Times New Roman"/>
          <w:b/>
          <w:bCs/>
          <w:sz w:val="24"/>
          <w:szCs w:val="24"/>
        </w:rPr>
      </w:pPr>
    </w:p>
    <w:p w14:paraId="34A9C76E" w14:textId="77777777" w:rsidR="002810A4" w:rsidRDefault="002810A4">
      <w:pPr>
        <w:spacing w:line="360" w:lineRule="auto"/>
        <w:jc w:val="both"/>
        <w:rPr>
          <w:rFonts w:ascii="Times New Roman" w:hAnsi="Times New Roman" w:cs="Times New Roman"/>
          <w:b/>
          <w:bCs/>
          <w:sz w:val="24"/>
          <w:szCs w:val="24"/>
        </w:rPr>
      </w:pPr>
    </w:p>
    <w:p w14:paraId="705495EF" w14:textId="77777777" w:rsidR="002810A4" w:rsidRDefault="002810A4">
      <w:pPr>
        <w:spacing w:line="360" w:lineRule="auto"/>
        <w:jc w:val="both"/>
        <w:rPr>
          <w:rFonts w:ascii="Times New Roman" w:hAnsi="Times New Roman" w:cs="Times New Roman"/>
          <w:b/>
          <w:bCs/>
          <w:sz w:val="24"/>
          <w:szCs w:val="24"/>
        </w:rPr>
      </w:pPr>
    </w:p>
    <w:p w14:paraId="7808DCE5" w14:textId="77777777" w:rsidR="002810A4" w:rsidRDefault="002810A4">
      <w:pPr>
        <w:spacing w:line="360" w:lineRule="auto"/>
        <w:jc w:val="both"/>
        <w:rPr>
          <w:rFonts w:ascii="Times New Roman" w:hAnsi="Times New Roman" w:cs="Times New Roman"/>
          <w:b/>
          <w:bCs/>
          <w:sz w:val="24"/>
          <w:szCs w:val="24"/>
        </w:rPr>
      </w:pPr>
    </w:p>
    <w:p w14:paraId="070F2CC3" w14:textId="77777777" w:rsidR="002810A4" w:rsidRDefault="002810A4">
      <w:pPr>
        <w:spacing w:line="360" w:lineRule="auto"/>
        <w:jc w:val="both"/>
        <w:rPr>
          <w:rFonts w:ascii="Times New Roman" w:hAnsi="Times New Roman" w:cs="Times New Roman"/>
          <w:bCs/>
          <w:sz w:val="24"/>
          <w:szCs w:val="24"/>
        </w:rPr>
      </w:pPr>
    </w:p>
    <w:p w14:paraId="6C34FA25"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2: Inhibitory effect of </w:t>
      </w:r>
      <w:r>
        <w:rPr>
          <w:rFonts w:ascii="Times New Roman" w:hAnsi="Times New Roman" w:cs="Times New Roman"/>
          <w:bCs/>
          <w:sz w:val="24"/>
          <w:szCs w:val="24"/>
        </w:rPr>
        <w:t>lime extract</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of </w:t>
      </w:r>
      <w:r>
        <w:rPr>
          <w:rFonts w:ascii="Times New Roman" w:hAnsi="Times New Roman" w:cs="Times New Roman"/>
          <w:bCs/>
          <w:i/>
          <w:iCs/>
          <w:sz w:val="24"/>
          <w:szCs w:val="24"/>
        </w:rPr>
        <w:t xml:space="preserve">Gossypium </w:t>
      </w:r>
      <w:proofErr w:type="spellStart"/>
      <w:r>
        <w:rPr>
          <w:rFonts w:ascii="Times New Roman" w:hAnsi="Times New Roman" w:cs="Times New Roman"/>
          <w:bCs/>
          <w:i/>
          <w:iCs/>
          <w:sz w:val="24"/>
          <w:szCs w:val="24"/>
        </w:rPr>
        <w:t>herbaceum</w:t>
      </w:r>
      <w:proofErr w:type="spellEnd"/>
      <w:r>
        <w:rPr>
          <w:rFonts w:ascii="Times New Roman" w:hAnsi="Times New Roman" w:cs="Times New Roman"/>
          <w:bCs/>
          <w:sz w:val="24"/>
          <w:szCs w:val="24"/>
        </w:rPr>
        <w:t xml:space="preserve"> leaves </w:t>
      </w:r>
      <w:r>
        <w:rPr>
          <w:rFonts w:ascii="Times New Roman" w:hAnsi="Times New Roman" w:cs="Times New Roman"/>
          <w:sz w:val="24"/>
          <w:szCs w:val="24"/>
        </w:rPr>
        <w:t>and Acarbose</w:t>
      </w:r>
      <w:r>
        <w:rPr>
          <w:rFonts w:ascii="Times New Roman" w:hAnsi="Times New Roman" w:cs="Times New Roman"/>
          <w:bCs/>
          <w:sz w:val="24"/>
          <w:szCs w:val="24"/>
        </w:rPr>
        <w:t xml:space="preserve"> against Alpha-amylase activity. </w:t>
      </w:r>
      <w:r>
        <w:rPr>
          <w:rFonts w:ascii="Times New Roman" w:hAnsi="Times New Roman" w:cs="Times New Roman"/>
          <w:sz w:val="24"/>
          <w:szCs w:val="24"/>
        </w:rPr>
        <w:t>Results are expressed as mean ± SD of triplicate trials (n=3).</w:t>
      </w:r>
    </w:p>
    <w:p w14:paraId="476D5E51"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3: Inhibitory effect of </w:t>
      </w:r>
      <w:r>
        <w:rPr>
          <w:rFonts w:ascii="Times New Roman" w:hAnsi="Times New Roman" w:cs="Times New Roman"/>
          <w:bCs/>
          <w:sz w:val="24"/>
          <w:szCs w:val="24"/>
        </w:rPr>
        <w:t>lime extract</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of </w:t>
      </w:r>
      <w:r>
        <w:rPr>
          <w:rFonts w:ascii="Times New Roman" w:hAnsi="Times New Roman" w:cs="Times New Roman"/>
          <w:bCs/>
          <w:i/>
          <w:iCs/>
          <w:sz w:val="24"/>
          <w:szCs w:val="24"/>
        </w:rPr>
        <w:t xml:space="preserve">Gossypium </w:t>
      </w:r>
      <w:proofErr w:type="spellStart"/>
      <w:r>
        <w:rPr>
          <w:rFonts w:ascii="Times New Roman" w:hAnsi="Times New Roman" w:cs="Times New Roman"/>
          <w:bCs/>
          <w:i/>
          <w:iCs/>
          <w:sz w:val="24"/>
          <w:szCs w:val="24"/>
        </w:rPr>
        <w:t>herbaceum</w:t>
      </w:r>
      <w:proofErr w:type="spellEnd"/>
      <w:r>
        <w:rPr>
          <w:rFonts w:ascii="Times New Roman" w:hAnsi="Times New Roman" w:cs="Times New Roman"/>
          <w:bCs/>
          <w:sz w:val="24"/>
          <w:szCs w:val="24"/>
        </w:rPr>
        <w:t xml:space="preserve"> leaves </w:t>
      </w:r>
      <w:r>
        <w:rPr>
          <w:rFonts w:ascii="Times New Roman" w:hAnsi="Times New Roman" w:cs="Times New Roman"/>
          <w:sz w:val="24"/>
          <w:szCs w:val="24"/>
        </w:rPr>
        <w:t>and Acarbose</w:t>
      </w:r>
      <w:r>
        <w:rPr>
          <w:rFonts w:ascii="Times New Roman" w:hAnsi="Times New Roman" w:cs="Times New Roman"/>
          <w:bCs/>
          <w:sz w:val="24"/>
          <w:szCs w:val="24"/>
        </w:rPr>
        <w:t xml:space="preserve"> against Alpha- glucosidase activity. </w:t>
      </w:r>
      <w:r>
        <w:rPr>
          <w:rFonts w:ascii="Times New Roman" w:hAnsi="Times New Roman" w:cs="Times New Roman"/>
          <w:sz w:val="24"/>
          <w:szCs w:val="24"/>
        </w:rPr>
        <w:t>Results are expressed as mean ± SD of triplicate trials (n=3)</w:t>
      </w:r>
    </w:p>
    <w:p w14:paraId="49C83373" w14:textId="77777777" w:rsidR="002810A4" w:rsidRDefault="00000000">
      <w:pPr>
        <w:spacing w:line="360" w:lineRule="auto"/>
        <w:jc w:val="both"/>
        <w:rPr>
          <w:rFonts w:ascii="Times New Roman" w:hAnsi="Times New Roman" w:cs="Times New Roman"/>
          <w:b/>
          <w:sz w:val="24"/>
          <w:szCs w:val="24"/>
        </w:rPr>
      </w:pPr>
      <w:r>
        <w:rPr>
          <w:rFonts w:ascii="Times New Roman" w:hAnsi="Times New Roman" w:cs="Times New Roman"/>
          <w:b/>
          <w:bCs/>
          <w:sz w:val="24"/>
          <w:szCs w:val="24"/>
        </w:rPr>
        <w:t>3.5</w:t>
      </w:r>
      <w:r>
        <w:rPr>
          <w:rFonts w:ascii="Times New Roman" w:hAnsi="Times New Roman" w:cs="Times New Roman"/>
          <w:b/>
          <w:bCs/>
          <w:sz w:val="24"/>
          <w:szCs w:val="24"/>
        </w:rPr>
        <w:tab/>
      </w:r>
      <w:r>
        <w:rPr>
          <w:rFonts w:ascii="Times New Roman" w:hAnsi="Times New Roman" w:cs="Times New Roman"/>
          <w:b/>
          <w:bCs/>
          <w:i/>
          <w:sz w:val="24"/>
          <w:szCs w:val="24"/>
        </w:rPr>
        <w:t>in vitro</w:t>
      </w:r>
      <w:r>
        <w:rPr>
          <w:rFonts w:ascii="Times New Roman" w:hAnsi="Times New Roman" w:cs="Times New Roman"/>
          <w:b/>
          <w:bCs/>
          <w:sz w:val="24"/>
          <w:szCs w:val="24"/>
        </w:rPr>
        <w:t xml:space="preserve"> antioxidant activity assays</w:t>
      </w:r>
    </w:p>
    <w:p w14:paraId="206A9D71" w14:textId="77777777" w:rsidR="002810A4"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3.5.1 </w:t>
      </w:r>
      <w:r>
        <w:rPr>
          <w:rFonts w:ascii="Times New Roman" w:hAnsi="Times New Roman" w:cs="Times New Roman"/>
          <w:b/>
          <w:bCs/>
          <w:sz w:val="24"/>
          <w:szCs w:val="24"/>
        </w:rPr>
        <w:tab/>
      </w:r>
      <w:r>
        <w:rPr>
          <w:rFonts w:ascii="Times New Roman" w:hAnsi="Times New Roman" w:cs="Times New Roman"/>
          <w:b/>
          <w:sz w:val="24"/>
          <w:szCs w:val="24"/>
        </w:rPr>
        <w:t>DPPH</w:t>
      </w:r>
      <w:r>
        <w:rPr>
          <w:rFonts w:ascii="Times New Roman" w:hAnsi="Times New Roman" w:cs="Times New Roman"/>
          <w:b/>
          <w:bCs/>
          <w:sz w:val="24"/>
          <w:szCs w:val="24"/>
        </w:rPr>
        <w:t xml:space="preserve"> Radical</w:t>
      </w:r>
      <w:r>
        <w:rPr>
          <w:rFonts w:ascii="Times New Roman" w:hAnsi="Times New Roman" w:cs="Times New Roman"/>
          <w:b/>
          <w:sz w:val="24"/>
          <w:szCs w:val="24"/>
        </w:rPr>
        <w:t xml:space="preserve"> Scavenging </w:t>
      </w:r>
      <w:r>
        <w:rPr>
          <w:rFonts w:ascii="Times New Roman" w:hAnsi="Times New Roman" w:cs="Times New Roman"/>
          <w:b/>
          <w:bCs/>
          <w:sz w:val="24"/>
          <w:szCs w:val="24"/>
        </w:rPr>
        <w:t>Activity</w:t>
      </w:r>
    </w:p>
    <w:p w14:paraId="3526C9A6"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Both lime extract and BHT show increasing percent inhibition with concentration, BHT typically exhibits greater scavenging activity at all concentrations due to strong synthetic antioxidant capacity. Lime extract of </w:t>
      </w:r>
      <w:r>
        <w:rPr>
          <w:rFonts w:ascii="Times New Roman" w:hAnsi="Times New Roman" w:cs="Times New Roman"/>
          <w:i/>
          <w:sz w:val="24"/>
          <w:szCs w:val="24"/>
        </w:rPr>
        <w:t xml:space="preserve">G. </w:t>
      </w:r>
      <w:proofErr w:type="spellStart"/>
      <w:r>
        <w:rPr>
          <w:rFonts w:ascii="Times New Roman" w:hAnsi="Times New Roman" w:cs="Times New Roman"/>
          <w:i/>
          <w:sz w:val="24"/>
          <w:szCs w:val="24"/>
        </w:rPr>
        <w:t>herbaceum</w:t>
      </w:r>
      <w:proofErr w:type="spellEnd"/>
      <w:r>
        <w:rPr>
          <w:rFonts w:ascii="Times New Roman" w:hAnsi="Times New Roman" w:cs="Times New Roman"/>
          <w:sz w:val="24"/>
          <w:szCs w:val="24"/>
        </w:rPr>
        <w:t xml:space="preserve"> bar is slightly shorter but rising steadily, demonstrates progressive antioxidant activity, especially at higher concentrations (Figure 4). Although BHT remains more potent, the plant extract shows significant natural antioxidant activity, supporting its potential use in antidiabetic therapy and oxidative stress management.</w:t>
      </w:r>
    </w:p>
    <w:p w14:paraId="2C12B7BA" w14:textId="77777777" w:rsidR="002810A4" w:rsidRDefault="00000000">
      <w:pPr>
        <w:rPr>
          <w:rFonts w:ascii="Times New Roman" w:hAnsi="Times New Roman" w:cs="Times New Roman"/>
          <w:b/>
          <w:bCs/>
          <w:sz w:val="24"/>
          <w:szCs w:val="24"/>
        </w:rPr>
      </w:pPr>
      <w:r>
        <w:rPr>
          <w:rFonts w:ascii="Times New Roman" w:hAnsi="Times New Roman" w:cs="Times New Roman"/>
          <w:b/>
          <w:bCs/>
          <w:sz w:val="24"/>
          <w:szCs w:val="24"/>
        </w:rPr>
        <w:t>3.5.2</w:t>
      </w:r>
      <w:r>
        <w:rPr>
          <w:rFonts w:ascii="Times New Roman" w:hAnsi="Times New Roman" w:cs="Times New Roman"/>
          <w:b/>
          <w:bCs/>
          <w:sz w:val="24"/>
          <w:szCs w:val="24"/>
        </w:rPr>
        <w:tab/>
        <w:t xml:space="preserve">ABTS Radical Scavenging Activity </w:t>
      </w:r>
    </w:p>
    <w:p w14:paraId="651F2CEA"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Lime extract and BHT show a dose-dependent increase in ABTS radical scavenging activity.  The lime extract of </w:t>
      </w:r>
      <w:r>
        <w:rPr>
          <w:rFonts w:ascii="Times New Roman" w:hAnsi="Times New Roman" w:cs="Times New Roman"/>
          <w:i/>
          <w:sz w:val="24"/>
          <w:szCs w:val="24"/>
        </w:rPr>
        <w:t xml:space="preserve">Gossypium </w:t>
      </w:r>
      <w:proofErr w:type="spellStart"/>
      <w:r>
        <w:rPr>
          <w:rFonts w:ascii="Times New Roman" w:hAnsi="Times New Roman" w:cs="Times New Roman"/>
          <w:i/>
          <w:sz w:val="24"/>
          <w:szCs w:val="24"/>
        </w:rPr>
        <w:t>herbaceum</w:t>
      </w:r>
      <w:proofErr w:type="spellEnd"/>
      <w:r>
        <w:rPr>
          <w:rFonts w:ascii="Times New Roman" w:hAnsi="Times New Roman" w:cs="Times New Roman"/>
          <w:sz w:val="24"/>
          <w:szCs w:val="24"/>
        </w:rPr>
        <w:t xml:space="preserve"> shows mild significant with slightly lower activity, indicating the presence of bioactive compounds. While BHT exhibits slightly higher percent inhibition at all concentrations due to its strong synthetic antioxidant capacity (F</w:t>
      </w:r>
      <w:r>
        <w:rPr>
          <w:rFonts w:ascii="Times New Roman" w:hAnsi="Times New Roman" w:cs="Times New Roman"/>
          <w:iCs/>
          <w:sz w:val="24"/>
          <w:szCs w:val="24"/>
        </w:rPr>
        <w:t>igure 5)</w:t>
      </w:r>
      <w:r>
        <w:rPr>
          <w:rFonts w:ascii="Times New Roman" w:hAnsi="Times New Roman" w:cs="Times New Roman"/>
          <w:sz w:val="24"/>
          <w:szCs w:val="24"/>
        </w:rPr>
        <w:t xml:space="preserve">. At higher concentrations, the extract’s activity approaches that of BHT, suggesting promising natural antioxidant potential, and </w:t>
      </w:r>
      <w:r>
        <w:rPr>
          <w:rFonts w:ascii="Times New Roman" w:hAnsi="Times New Roman" w:cs="Times New Roman"/>
          <w:iCs/>
          <w:sz w:val="24"/>
          <w:szCs w:val="24"/>
        </w:rPr>
        <w:t>pre-generated ABTS</w:t>
      </w:r>
      <w:r>
        <w:rPr>
          <w:rFonts w:ascii="Times New Roman" w:hAnsi="Times New Roman" w:cs="Times New Roman"/>
          <w:iCs/>
          <w:sz w:val="24"/>
          <w:szCs w:val="24"/>
          <w:vertAlign w:val="superscript"/>
        </w:rPr>
        <w:t>•+</w:t>
      </w:r>
      <w:r>
        <w:rPr>
          <w:rFonts w:ascii="Times New Roman" w:hAnsi="Times New Roman" w:cs="Times New Roman"/>
          <w:iCs/>
          <w:sz w:val="24"/>
          <w:szCs w:val="24"/>
        </w:rPr>
        <w:t> radical increases</w:t>
      </w:r>
      <w:r>
        <w:rPr>
          <w:rFonts w:ascii="Times New Roman" w:hAnsi="Times New Roman" w:cs="Times New Roman"/>
          <w:sz w:val="24"/>
          <w:szCs w:val="24"/>
        </w:rPr>
        <w:t>.</w:t>
      </w:r>
    </w:p>
    <w:p w14:paraId="780AFEBF" w14:textId="77777777" w:rsidR="002810A4" w:rsidRDefault="00000000">
      <w:pPr>
        <w:rPr>
          <w:rFonts w:ascii="Times New Roman" w:hAnsi="Times New Roman" w:cs="Times New Roman"/>
          <w:b/>
          <w:bCs/>
          <w:sz w:val="24"/>
          <w:szCs w:val="24"/>
        </w:rPr>
      </w:pPr>
      <w:r>
        <w:rPr>
          <w:rFonts w:ascii="Times New Roman" w:hAnsi="Times New Roman" w:cs="Times New Roman"/>
          <w:b/>
          <w:bCs/>
          <w:sz w:val="24"/>
          <w:szCs w:val="24"/>
        </w:rPr>
        <w:t>3.5.3</w:t>
      </w:r>
      <w:r>
        <w:rPr>
          <w:rFonts w:ascii="Times New Roman" w:hAnsi="Times New Roman" w:cs="Times New Roman"/>
          <w:b/>
          <w:bCs/>
          <w:sz w:val="24"/>
          <w:szCs w:val="24"/>
        </w:rPr>
        <w:tab/>
        <w:t xml:space="preserve">Free Hydroxyl (OH) Radical Scavenging Assay </w:t>
      </w:r>
    </w:p>
    <w:p w14:paraId="58DBDB3F"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Both the lime extract of </w:t>
      </w:r>
      <w:r>
        <w:rPr>
          <w:rFonts w:ascii="Times New Roman" w:hAnsi="Times New Roman" w:cs="Times New Roman"/>
          <w:i/>
          <w:sz w:val="24"/>
          <w:szCs w:val="24"/>
        </w:rPr>
        <w:t xml:space="preserve">Gossypium </w:t>
      </w:r>
      <w:proofErr w:type="spellStart"/>
      <w:r>
        <w:rPr>
          <w:rFonts w:ascii="Times New Roman" w:hAnsi="Times New Roman" w:cs="Times New Roman"/>
          <w:i/>
          <w:sz w:val="24"/>
          <w:szCs w:val="24"/>
        </w:rPr>
        <w:t>herbaceum</w:t>
      </w:r>
      <w:proofErr w:type="spellEnd"/>
      <w:r>
        <w:rPr>
          <w:rFonts w:ascii="Times New Roman" w:hAnsi="Times New Roman" w:cs="Times New Roman"/>
          <w:sz w:val="24"/>
          <w:szCs w:val="24"/>
        </w:rPr>
        <w:t xml:space="preserve"> leaves and BHT show a concentration-dependent increase in hydroxyl radical scavenging activity. BHT consistently shows higher percent inhibition, reflecting its strong synthetic antioxidant efficiency. The plant extract demonstrates progressive and it efficacies dropped at 31.25μg/ml comparable to the BHT, indicating fall in therapeutic effect, </w:t>
      </w:r>
      <w:r>
        <w:rPr>
          <w:rFonts w:ascii="Times New Roman" w:hAnsi="Times New Roman" w:cs="Times New Roman"/>
          <w:bCs/>
          <w:sz w:val="24"/>
          <w:szCs w:val="24"/>
        </w:rPr>
        <w:t>at this concentration</w:t>
      </w:r>
      <w:r>
        <w:rPr>
          <w:rFonts w:ascii="Times New Roman" w:hAnsi="Times New Roman" w:cs="Times New Roman"/>
          <w:sz w:val="24"/>
          <w:szCs w:val="24"/>
        </w:rPr>
        <w:t xml:space="preserve"> i</w:t>
      </w:r>
      <w:r>
        <w:rPr>
          <w:rFonts w:ascii="Times New Roman" w:hAnsi="Times New Roman" w:cs="Times New Roman"/>
          <w:bCs/>
          <w:sz w:val="24"/>
          <w:szCs w:val="24"/>
        </w:rPr>
        <w:t xml:space="preserve">t shows no significant difference between the extract and standard </w:t>
      </w:r>
      <w:r>
        <w:rPr>
          <w:rFonts w:ascii="Times New Roman" w:hAnsi="Times New Roman" w:cs="Times New Roman"/>
          <w:sz w:val="24"/>
          <w:szCs w:val="24"/>
        </w:rPr>
        <w:t>figure 6.</w:t>
      </w:r>
    </w:p>
    <w:p w14:paraId="0576F574"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0" distR="0" simplePos="0" relativeHeight="4" behindDoc="0" locked="0" layoutInCell="1" allowOverlap="1" wp14:anchorId="06CA7E7C" wp14:editId="2162FFC4">
            <wp:simplePos x="0" y="0"/>
            <wp:positionH relativeFrom="column">
              <wp:posOffset>1236980</wp:posOffset>
            </wp:positionH>
            <wp:positionV relativeFrom="paragraph">
              <wp:posOffset>2319020</wp:posOffset>
            </wp:positionV>
            <wp:extent cx="3143885" cy="1972310"/>
            <wp:effectExtent l="0" t="0" r="0" b="8890"/>
            <wp:wrapNone/>
            <wp:docPr id="1029"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1"/>
                    <pic:cNvPicPr/>
                  </pic:nvPicPr>
                  <pic:blipFill>
                    <a:blip r:embed="rId9" cstate="print"/>
                    <a:srcRect/>
                    <a:stretch/>
                  </pic:blipFill>
                  <pic:spPr>
                    <a:xfrm>
                      <a:off x="0" y="0"/>
                      <a:ext cx="3143885" cy="1972310"/>
                    </a:xfrm>
                    <a:prstGeom prst="rect">
                      <a:avLst/>
                    </a:prstGeom>
                    <a:solidFill>
                      <a:srgbClr val="FFFFFF"/>
                    </a:solidFill>
                  </pic:spPr>
                </pic:pic>
              </a:graphicData>
            </a:graphic>
          </wp:anchor>
        </w:drawing>
      </w:r>
      <w:r>
        <w:rPr>
          <w:rFonts w:ascii="Times New Roman" w:hAnsi="Times New Roman" w:cs="Times New Roman"/>
          <w:noProof/>
          <w:sz w:val="24"/>
          <w:szCs w:val="24"/>
        </w:rPr>
        <w:drawing>
          <wp:anchor distT="0" distB="0" distL="0" distR="0" simplePos="0" relativeHeight="3" behindDoc="0" locked="0" layoutInCell="1" allowOverlap="1" wp14:anchorId="6DFAB5D4" wp14:editId="461E65A0">
            <wp:simplePos x="0" y="0"/>
            <wp:positionH relativeFrom="column">
              <wp:posOffset>2908935</wp:posOffset>
            </wp:positionH>
            <wp:positionV relativeFrom="paragraph">
              <wp:posOffset>143510</wp:posOffset>
            </wp:positionV>
            <wp:extent cx="2492374" cy="2121535"/>
            <wp:effectExtent l="0" t="0" r="3175" b="0"/>
            <wp:wrapNone/>
            <wp:docPr id="103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0"/>
                    <pic:cNvPicPr/>
                  </pic:nvPicPr>
                  <pic:blipFill>
                    <a:blip r:embed="rId10" cstate="print"/>
                    <a:srcRect/>
                    <a:stretch/>
                  </pic:blipFill>
                  <pic:spPr>
                    <a:xfrm>
                      <a:off x="0" y="0"/>
                      <a:ext cx="2492374" cy="2121535"/>
                    </a:xfrm>
                    <a:prstGeom prst="rect">
                      <a:avLst/>
                    </a:prstGeom>
                    <a:solidFill>
                      <a:srgbClr val="FFFFFF"/>
                    </a:solidFill>
                  </pic:spPr>
                </pic:pic>
              </a:graphicData>
            </a:graphic>
          </wp:anchor>
        </w:drawing>
      </w:r>
      <w:r>
        <w:rPr>
          <w:rFonts w:ascii="Times New Roman" w:hAnsi="Times New Roman" w:cs="Times New Roman"/>
          <w:noProof/>
          <w:sz w:val="24"/>
          <w:szCs w:val="24"/>
        </w:rPr>
        <w:drawing>
          <wp:anchor distT="0" distB="0" distL="0" distR="0" simplePos="0" relativeHeight="2" behindDoc="0" locked="0" layoutInCell="1" allowOverlap="1" wp14:anchorId="172D7C46" wp14:editId="47055867">
            <wp:simplePos x="0" y="0"/>
            <wp:positionH relativeFrom="column">
              <wp:posOffset>9525</wp:posOffset>
            </wp:positionH>
            <wp:positionV relativeFrom="paragraph">
              <wp:posOffset>161925</wp:posOffset>
            </wp:positionV>
            <wp:extent cx="3147060" cy="2136140"/>
            <wp:effectExtent l="0" t="0" r="0" b="0"/>
            <wp:wrapNone/>
            <wp:docPr id="1031"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9"/>
                    <pic:cNvPicPr/>
                  </pic:nvPicPr>
                  <pic:blipFill>
                    <a:blip r:embed="rId11" cstate="print"/>
                    <a:srcRect/>
                    <a:stretch/>
                  </pic:blipFill>
                  <pic:spPr>
                    <a:xfrm>
                      <a:off x="0" y="0"/>
                      <a:ext cx="3147060" cy="2136140"/>
                    </a:xfrm>
                    <a:prstGeom prst="rect">
                      <a:avLst/>
                    </a:prstGeom>
                    <a:solidFill>
                      <a:srgbClr val="FFFFFF"/>
                    </a:solidFill>
                  </pic:spPr>
                </pic:pic>
              </a:graphicData>
            </a:graphic>
          </wp:anchor>
        </w:drawing>
      </w:r>
    </w:p>
    <w:p w14:paraId="3FB31664" w14:textId="77777777" w:rsidR="002810A4" w:rsidRDefault="002810A4">
      <w:pPr>
        <w:rPr>
          <w:rFonts w:ascii="Times New Roman" w:hAnsi="Times New Roman" w:cs="Times New Roman"/>
          <w:sz w:val="24"/>
          <w:szCs w:val="24"/>
        </w:rPr>
      </w:pPr>
    </w:p>
    <w:p w14:paraId="546EDD75" w14:textId="77777777" w:rsidR="002810A4" w:rsidRDefault="002810A4">
      <w:pPr>
        <w:rPr>
          <w:rFonts w:ascii="Times New Roman" w:hAnsi="Times New Roman" w:cs="Times New Roman"/>
          <w:sz w:val="24"/>
          <w:szCs w:val="24"/>
        </w:rPr>
      </w:pPr>
    </w:p>
    <w:p w14:paraId="3C32B742" w14:textId="77777777" w:rsidR="002810A4" w:rsidRDefault="002810A4">
      <w:pPr>
        <w:rPr>
          <w:rFonts w:ascii="Times New Roman" w:hAnsi="Times New Roman" w:cs="Times New Roman"/>
          <w:sz w:val="24"/>
          <w:szCs w:val="24"/>
        </w:rPr>
      </w:pPr>
    </w:p>
    <w:p w14:paraId="00AD2C15" w14:textId="77777777" w:rsidR="002810A4" w:rsidRDefault="002810A4">
      <w:pPr>
        <w:rPr>
          <w:rFonts w:ascii="Times New Roman" w:hAnsi="Times New Roman" w:cs="Times New Roman"/>
          <w:sz w:val="24"/>
          <w:szCs w:val="24"/>
        </w:rPr>
      </w:pPr>
    </w:p>
    <w:p w14:paraId="0E80D196" w14:textId="77777777" w:rsidR="002810A4" w:rsidRDefault="002810A4">
      <w:pPr>
        <w:rPr>
          <w:rFonts w:ascii="Times New Roman" w:hAnsi="Times New Roman" w:cs="Times New Roman"/>
          <w:sz w:val="24"/>
          <w:szCs w:val="24"/>
        </w:rPr>
      </w:pPr>
    </w:p>
    <w:p w14:paraId="7EF5248E" w14:textId="77777777" w:rsidR="002810A4" w:rsidRDefault="002810A4">
      <w:pPr>
        <w:rPr>
          <w:rFonts w:ascii="Times New Roman" w:hAnsi="Times New Roman" w:cs="Times New Roman"/>
          <w:sz w:val="24"/>
          <w:szCs w:val="24"/>
        </w:rPr>
      </w:pPr>
    </w:p>
    <w:p w14:paraId="1D8868B7" w14:textId="77777777" w:rsidR="002810A4" w:rsidRDefault="002810A4">
      <w:pPr>
        <w:rPr>
          <w:rFonts w:ascii="Times New Roman" w:hAnsi="Times New Roman" w:cs="Times New Roman"/>
          <w:sz w:val="24"/>
          <w:szCs w:val="24"/>
        </w:rPr>
      </w:pPr>
    </w:p>
    <w:p w14:paraId="1525FFC9" w14:textId="77777777" w:rsidR="002810A4" w:rsidRDefault="002810A4">
      <w:pPr>
        <w:rPr>
          <w:rFonts w:ascii="Times New Roman" w:hAnsi="Times New Roman" w:cs="Times New Roman"/>
          <w:sz w:val="24"/>
          <w:szCs w:val="24"/>
        </w:rPr>
      </w:pPr>
    </w:p>
    <w:p w14:paraId="6DD28A8C" w14:textId="77777777" w:rsidR="002810A4" w:rsidRDefault="002810A4">
      <w:pPr>
        <w:rPr>
          <w:rFonts w:ascii="Times New Roman" w:hAnsi="Times New Roman" w:cs="Times New Roman"/>
          <w:sz w:val="24"/>
          <w:szCs w:val="24"/>
        </w:rPr>
      </w:pPr>
    </w:p>
    <w:p w14:paraId="411A1678" w14:textId="77777777" w:rsidR="002810A4" w:rsidRDefault="002810A4">
      <w:pPr>
        <w:rPr>
          <w:rFonts w:ascii="Times New Roman" w:hAnsi="Times New Roman" w:cs="Times New Roman"/>
          <w:sz w:val="24"/>
          <w:szCs w:val="24"/>
        </w:rPr>
      </w:pPr>
    </w:p>
    <w:p w14:paraId="20DCCBF1" w14:textId="77777777" w:rsidR="002810A4" w:rsidRDefault="002810A4">
      <w:pPr>
        <w:rPr>
          <w:rFonts w:ascii="Times New Roman" w:hAnsi="Times New Roman" w:cs="Times New Roman"/>
          <w:sz w:val="24"/>
          <w:szCs w:val="24"/>
        </w:rPr>
      </w:pPr>
    </w:p>
    <w:p w14:paraId="5188A7EE" w14:textId="77777777" w:rsidR="002810A4" w:rsidRDefault="002810A4">
      <w:pPr>
        <w:rPr>
          <w:rFonts w:ascii="Times New Roman" w:hAnsi="Times New Roman" w:cs="Times New Roman"/>
          <w:sz w:val="24"/>
          <w:szCs w:val="24"/>
        </w:rPr>
      </w:pPr>
    </w:p>
    <w:p w14:paraId="029F24F7" w14:textId="77777777" w:rsidR="002810A4" w:rsidRDefault="002810A4">
      <w:pPr>
        <w:rPr>
          <w:rFonts w:ascii="Times New Roman" w:hAnsi="Times New Roman" w:cs="Times New Roman"/>
          <w:sz w:val="24"/>
          <w:szCs w:val="24"/>
        </w:rPr>
      </w:pPr>
    </w:p>
    <w:p w14:paraId="2E59C07E" w14:textId="77777777" w:rsidR="002810A4" w:rsidRDefault="002810A4">
      <w:pPr>
        <w:rPr>
          <w:rFonts w:ascii="Times New Roman" w:hAnsi="Times New Roman" w:cs="Times New Roman"/>
          <w:sz w:val="24"/>
          <w:szCs w:val="24"/>
        </w:rPr>
      </w:pPr>
    </w:p>
    <w:p w14:paraId="443A746C" w14:textId="77777777" w:rsidR="002810A4" w:rsidRDefault="002810A4">
      <w:pPr>
        <w:rPr>
          <w:rFonts w:ascii="Times New Roman" w:hAnsi="Times New Roman" w:cs="Times New Roman"/>
          <w:sz w:val="24"/>
          <w:szCs w:val="24"/>
        </w:rPr>
      </w:pPr>
    </w:p>
    <w:p w14:paraId="11912B21" w14:textId="77777777" w:rsidR="002810A4" w:rsidRDefault="00000000">
      <w:pPr>
        <w:spacing w:line="360" w:lineRule="auto"/>
        <w:rPr>
          <w:rFonts w:ascii="Times New Roman" w:hAnsi="Times New Roman" w:cs="Times New Roman"/>
          <w:sz w:val="24"/>
          <w:szCs w:val="24"/>
        </w:rPr>
      </w:pPr>
      <w:r>
        <w:rPr>
          <w:rFonts w:ascii="Times New Roman" w:hAnsi="Times New Roman" w:cs="Times New Roman"/>
          <w:sz w:val="24"/>
          <w:szCs w:val="24"/>
        </w:rPr>
        <w:t xml:space="preserve">Figure 4: Inhibitory effect of </w:t>
      </w:r>
      <w:r>
        <w:rPr>
          <w:rFonts w:ascii="Times New Roman" w:hAnsi="Times New Roman" w:cs="Times New Roman"/>
          <w:bCs/>
          <w:sz w:val="24"/>
          <w:szCs w:val="24"/>
        </w:rPr>
        <w:t>lime extract</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of </w:t>
      </w:r>
      <w:r>
        <w:rPr>
          <w:rFonts w:ascii="Times New Roman" w:hAnsi="Times New Roman" w:cs="Times New Roman"/>
          <w:bCs/>
          <w:i/>
          <w:iCs/>
          <w:sz w:val="24"/>
          <w:szCs w:val="24"/>
        </w:rPr>
        <w:t xml:space="preserve">Gossypium </w:t>
      </w:r>
      <w:proofErr w:type="spellStart"/>
      <w:r>
        <w:rPr>
          <w:rFonts w:ascii="Times New Roman" w:hAnsi="Times New Roman" w:cs="Times New Roman"/>
          <w:bCs/>
          <w:i/>
          <w:iCs/>
          <w:sz w:val="24"/>
          <w:szCs w:val="24"/>
        </w:rPr>
        <w:t>herbaceum</w:t>
      </w:r>
      <w:proofErr w:type="spellEnd"/>
      <w:r>
        <w:rPr>
          <w:rFonts w:ascii="Times New Roman" w:hAnsi="Times New Roman" w:cs="Times New Roman"/>
          <w:bCs/>
          <w:sz w:val="24"/>
          <w:szCs w:val="24"/>
        </w:rPr>
        <w:t xml:space="preserve"> leaves </w:t>
      </w:r>
      <w:r>
        <w:rPr>
          <w:rFonts w:ascii="Times New Roman" w:hAnsi="Times New Roman" w:cs="Times New Roman"/>
          <w:sz w:val="24"/>
          <w:szCs w:val="24"/>
        </w:rPr>
        <w:t>and BHT</w:t>
      </w:r>
      <w:r>
        <w:rPr>
          <w:rFonts w:ascii="Times New Roman" w:hAnsi="Times New Roman" w:cs="Times New Roman"/>
          <w:bCs/>
          <w:sz w:val="24"/>
          <w:szCs w:val="24"/>
        </w:rPr>
        <w:t xml:space="preserve"> against</w:t>
      </w:r>
      <w:r>
        <w:rPr>
          <w:rFonts w:ascii="Times New Roman" w:hAnsi="Times New Roman" w:cs="Times New Roman"/>
          <w:sz w:val="24"/>
          <w:szCs w:val="24"/>
        </w:rPr>
        <w:t xml:space="preserve"> DPPH radical scavenging activity. Results are expressed </w:t>
      </w:r>
      <w:r>
        <w:rPr>
          <w:rFonts w:ascii="Times New Roman" w:hAnsi="Times New Roman" w:cs="Times New Roman"/>
          <w:bCs/>
          <w:sz w:val="24"/>
          <w:szCs w:val="24"/>
        </w:rPr>
        <w:t xml:space="preserve">(p &lt; 0.05) </w:t>
      </w:r>
      <w:r>
        <w:rPr>
          <w:rFonts w:ascii="Times New Roman" w:hAnsi="Times New Roman" w:cs="Times New Roman"/>
          <w:sz w:val="24"/>
          <w:szCs w:val="24"/>
        </w:rPr>
        <w:t>as mean ± SD of triplicate trials (n=3).</w:t>
      </w:r>
    </w:p>
    <w:p w14:paraId="093046F1"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5: Inhibitory effect of </w:t>
      </w:r>
      <w:r>
        <w:rPr>
          <w:rFonts w:ascii="Times New Roman" w:hAnsi="Times New Roman" w:cs="Times New Roman"/>
          <w:bCs/>
          <w:sz w:val="24"/>
          <w:szCs w:val="24"/>
        </w:rPr>
        <w:t>lime extract</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of </w:t>
      </w:r>
      <w:r>
        <w:rPr>
          <w:rFonts w:ascii="Times New Roman" w:hAnsi="Times New Roman" w:cs="Times New Roman"/>
          <w:bCs/>
          <w:i/>
          <w:iCs/>
          <w:sz w:val="24"/>
          <w:szCs w:val="24"/>
        </w:rPr>
        <w:t xml:space="preserve">Gossypium </w:t>
      </w:r>
      <w:proofErr w:type="spellStart"/>
      <w:r>
        <w:rPr>
          <w:rFonts w:ascii="Times New Roman" w:hAnsi="Times New Roman" w:cs="Times New Roman"/>
          <w:bCs/>
          <w:i/>
          <w:iCs/>
          <w:sz w:val="24"/>
          <w:szCs w:val="24"/>
        </w:rPr>
        <w:t>herbaceum</w:t>
      </w:r>
      <w:proofErr w:type="spellEnd"/>
      <w:r>
        <w:rPr>
          <w:rFonts w:ascii="Times New Roman" w:hAnsi="Times New Roman" w:cs="Times New Roman"/>
          <w:bCs/>
          <w:sz w:val="24"/>
          <w:szCs w:val="24"/>
        </w:rPr>
        <w:t xml:space="preserve"> leaves </w:t>
      </w:r>
      <w:r>
        <w:rPr>
          <w:rFonts w:ascii="Times New Roman" w:hAnsi="Times New Roman" w:cs="Times New Roman"/>
          <w:sz w:val="24"/>
          <w:szCs w:val="24"/>
        </w:rPr>
        <w:t>and BHT</w:t>
      </w:r>
      <w:r>
        <w:rPr>
          <w:rFonts w:ascii="Times New Roman" w:hAnsi="Times New Roman" w:cs="Times New Roman"/>
          <w:bCs/>
          <w:sz w:val="24"/>
          <w:szCs w:val="24"/>
        </w:rPr>
        <w:t xml:space="preserve"> against</w:t>
      </w:r>
      <w:r>
        <w:rPr>
          <w:rFonts w:ascii="Times New Roman" w:hAnsi="Times New Roman" w:cs="Times New Roman"/>
          <w:sz w:val="24"/>
          <w:szCs w:val="24"/>
        </w:rPr>
        <w:t xml:space="preserve"> ABTS radical scavenging activity. Results are expressed </w:t>
      </w:r>
      <w:r>
        <w:rPr>
          <w:rFonts w:ascii="Times New Roman" w:hAnsi="Times New Roman" w:cs="Times New Roman"/>
          <w:bCs/>
          <w:sz w:val="24"/>
          <w:szCs w:val="24"/>
        </w:rPr>
        <w:t xml:space="preserve">(p &lt; 0.05) </w:t>
      </w:r>
      <w:r>
        <w:rPr>
          <w:rFonts w:ascii="Times New Roman" w:hAnsi="Times New Roman" w:cs="Times New Roman"/>
          <w:sz w:val="24"/>
          <w:szCs w:val="24"/>
        </w:rPr>
        <w:t>as mean ± SD of triplicate trials (n=3).</w:t>
      </w:r>
    </w:p>
    <w:p w14:paraId="1C1E36A3" w14:textId="77777777" w:rsidR="002810A4" w:rsidRDefault="00000000">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Figure 6: Inhibitory effect of </w:t>
      </w:r>
      <w:r>
        <w:rPr>
          <w:rFonts w:ascii="Times New Roman" w:hAnsi="Times New Roman" w:cs="Times New Roman"/>
          <w:bCs/>
          <w:sz w:val="24"/>
          <w:szCs w:val="24"/>
        </w:rPr>
        <w:t>lime extract</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of </w:t>
      </w:r>
      <w:r>
        <w:rPr>
          <w:rFonts w:ascii="Times New Roman" w:hAnsi="Times New Roman" w:cs="Times New Roman"/>
          <w:bCs/>
          <w:i/>
          <w:iCs/>
          <w:sz w:val="24"/>
          <w:szCs w:val="24"/>
        </w:rPr>
        <w:t xml:space="preserve">Gossypium </w:t>
      </w:r>
      <w:proofErr w:type="spellStart"/>
      <w:r>
        <w:rPr>
          <w:rFonts w:ascii="Times New Roman" w:hAnsi="Times New Roman" w:cs="Times New Roman"/>
          <w:bCs/>
          <w:i/>
          <w:iCs/>
          <w:sz w:val="24"/>
          <w:szCs w:val="24"/>
        </w:rPr>
        <w:t>herbaceum</w:t>
      </w:r>
      <w:proofErr w:type="spellEnd"/>
      <w:r>
        <w:rPr>
          <w:rFonts w:ascii="Times New Roman" w:hAnsi="Times New Roman" w:cs="Times New Roman"/>
          <w:bCs/>
          <w:sz w:val="24"/>
          <w:szCs w:val="24"/>
        </w:rPr>
        <w:t xml:space="preserve"> leaves </w:t>
      </w:r>
      <w:r>
        <w:rPr>
          <w:rFonts w:ascii="Times New Roman" w:hAnsi="Times New Roman" w:cs="Times New Roman"/>
          <w:sz w:val="24"/>
          <w:szCs w:val="24"/>
        </w:rPr>
        <w:t xml:space="preserve">and BHT on Free Hydroxyl radical scavenging activity. Results are expressed </w:t>
      </w:r>
      <w:r>
        <w:rPr>
          <w:rFonts w:ascii="Times New Roman" w:hAnsi="Times New Roman" w:cs="Times New Roman"/>
          <w:bCs/>
          <w:sz w:val="24"/>
          <w:szCs w:val="24"/>
        </w:rPr>
        <w:t xml:space="preserve">(p &lt; 0.05) </w:t>
      </w:r>
      <w:r>
        <w:rPr>
          <w:rFonts w:ascii="Times New Roman" w:hAnsi="Times New Roman" w:cs="Times New Roman"/>
          <w:sz w:val="24"/>
          <w:szCs w:val="24"/>
        </w:rPr>
        <w:t>as mean ± SD of triplicate trials (n=3).</w:t>
      </w:r>
    </w:p>
    <w:p w14:paraId="4E22CFB3" w14:textId="77777777" w:rsidR="002810A4"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3.6</w:t>
      </w:r>
      <w:r>
        <w:rPr>
          <w:rFonts w:ascii="Times New Roman" w:hAnsi="Times New Roman" w:cs="Times New Roman"/>
          <w:b/>
          <w:bCs/>
          <w:sz w:val="24"/>
          <w:szCs w:val="24"/>
        </w:rPr>
        <w:tab/>
        <w:t>Discussion</w:t>
      </w:r>
    </w:p>
    <w:p w14:paraId="2886E09E"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rising global burden of diabetes mellitus and its complications has increased the need for alternative therapeutic approaches due to the limitations and reduced efficacy of some existing drugs. Recent studies have demonstrated the hypoglycemic activity of </w:t>
      </w:r>
      <w:r>
        <w:rPr>
          <w:rFonts w:ascii="Times New Roman" w:hAnsi="Times New Roman" w:cs="Times New Roman"/>
          <w:i/>
          <w:sz w:val="24"/>
          <w:szCs w:val="24"/>
        </w:rPr>
        <w:t xml:space="preserve">Gossypium </w:t>
      </w:r>
      <w:proofErr w:type="spellStart"/>
      <w:r>
        <w:rPr>
          <w:rFonts w:ascii="Times New Roman" w:hAnsi="Times New Roman" w:cs="Times New Roman"/>
          <w:i/>
          <w:sz w:val="24"/>
          <w:szCs w:val="24"/>
        </w:rPr>
        <w:t>herbaceum</w:t>
      </w:r>
      <w:proofErr w:type="spellEnd"/>
      <w:r>
        <w:rPr>
          <w:rFonts w:ascii="Times New Roman" w:hAnsi="Times New Roman" w:cs="Times New Roman"/>
          <w:sz w:val="24"/>
          <w:szCs w:val="24"/>
        </w:rPr>
        <w:t xml:space="preserve"> extracts in both </w:t>
      </w:r>
      <w:r>
        <w:rPr>
          <w:rFonts w:ascii="Times New Roman" w:hAnsi="Times New Roman" w:cs="Times New Roman"/>
          <w:i/>
          <w:sz w:val="24"/>
          <w:szCs w:val="24"/>
        </w:rPr>
        <w:t>in vitro</w:t>
      </w:r>
      <w:r>
        <w:rPr>
          <w:rFonts w:ascii="Times New Roman" w:hAnsi="Times New Roman" w:cs="Times New Roman"/>
          <w:sz w:val="24"/>
          <w:szCs w:val="24"/>
        </w:rPr>
        <w:t xml:space="preserve"> and </w:t>
      </w:r>
      <w:r>
        <w:rPr>
          <w:rFonts w:ascii="Times New Roman" w:hAnsi="Times New Roman" w:cs="Times New Roman"/>
          <w:i/>
          <w:sz w:val="24"/>
          <w:szCs w:val="24"/>
        </w:rPr>
        <w:t>in vivo</w:t>
      </w:r>
      <w:r>
        <w:rPr>
          <w:rFonts w:ascii="Times New Roman" w:hAnsi="Times New Roman" w:cs="Times New Roman"/>
          <w:sz w:val="24"/>
          <w:szCs w:val="24"/>
        </w:rPr>
        <w:t xml:space="preserve"> models, showing significant anti-diabetic effects through the regulation of blood glucose levels and protection of pancreatic β-cells (</w:t>
      </w:r>
      <w:proofErr w:type="spellStart"/>
      <w:r>
        <w:rPr>
          <w:rFonts w:ascii="Times New Roman" w:hAnsi="Times New Roman" w:cs="Times New Roman"/>
          <w:sz w:val="24"/>
          <w:szCs w:val="24"/>
        </w:rPr>
        <w:t>Okunlola</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2021).</w:t>
      </w:r>
    </w:p>
    <w:p w14:paraId="5963D807" w14:textId="77777777" w:rsidR="002810A4" w:rsidRDefault="0000000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results of this study (Figures 2 and 3) on α-amylase and α-glucosidase, are consistent with earlier reports that </w:t>
      </w:r>
      <w:r>
        <w:rPr>
          <w:rFonts w:ascii="Times New Roman" w:hAnsi="Times New Roman" w:cs="Times New Roman"/>
          <w:bCs/>
          <w:i/>
          <w:sz w:val="24"/>
          <w:szCs w:val="24"/>
        </w:rPr>
        <w:t xml:space="preserve">Gossypium </w:t>
      </w:r>
      <w:proofErr w:type="spellStart"/>
      <w:r>
        <w:rPr>
          <w:rFonts w:ascii="Times New Roman" w:hAnsi="Times New Roman" w:cs="Times New Roman"/>
          <w:bCs/>
          <w:i/>
          <w:sz w:val="24"/>
          <w:szCs w:val="24"/>
        </w:rPr>
        <w:t>herbaceum</w:t>
      </w:r>
      <w:proofErr w:type="spellEnd"/>
      <w:r>
        <w:rPr>
          <w:rFonts w:ascii="Times New Roman" w:hAnsi="Times New Roman" w:cs="Times New Roman"/>
          <w:bCs/>
          <w:sz w:val="24"/>
          <w:szCs w:val="24"/>
        </w:rPr>
        <w:t xml:space="preserve"> leaf extract inhibits carbohydrate-digesting enzymes in a concentration-dependent manner published by </w:t>
      </w:r>
      <w:proofErr w:type="spellStart"/>
      <w:r>
        <w:rPr>
          <w:rFonts w:ascii="Times New Roman" w:hAnsi="Times New Roman" w:cs="Times New Roman"/>
          <w:bCs/>
          <w:sz w:val="24"/>
          <w:szCs w:val="24"/>
        </w:rPr>
        <w:t>Ogunyinka</w:t>
      </w:r>
      <w:proofErr w:type="spellEnd"/>
      <w:r>
        <w:rPr>
          <w:rFonts w:ascii="Times New Roman" w:hAnsi="Times New Roman" w:cs="Times New Roman"/>
          <w:bCs/>
          <w:sz w:val="24"/>
          <w:szCs w:val="24"/>
        </w:rPr>
        <w:t xml:space="preserve"> </w:t>
      </w:r>
      <w:r>
        <w:rPr>
          <w:rFonts w:ascii="Times New Roman" w:hAnsi="Times New Roman" w:cs="Times New Roman"/>
          <w:bCs/>
          <w:i/>
          <w:sz w:val="24"/>
          <w:szCs w:val="24"/>
        </w:rPr>
        <w:t>et al</w:t>
      </w:r>
      <w:r>
        <w:rPr>
          <w:rFonts w:ascii="Times New Roman" w:hAnsi="Times New Roman" w:cs="Times New Roman"/>
          <w:bCs/>
          <w:sz w:val="24"/>
          <w:szCs w:val="24"/>
        </w:rPr>
        <w:t xml:space="preserve">., (2016). The lime extract shows stronger inhibition of α-amylase and relatively milder inhibition of α-glucosidase, indicating a selective enzyme inhibition pattern that may be beneficial for managing postprandial hyperglycemia. Importantly, this selective inhibition may help overcome some limitations associated with current drugs such as Acarbose, which are often linked to gastrointestinal side effects due to undigested carbohydrate fermentation in the colon, leading to abdominal distention, flatulence, and diarrhea (Kazeem </w:t>
      </w:r>
      <w:r>
        <w:rPr>
          <w:rFonts w:ascii="Times New Roman" w:hAnsi="Times New Roman" w:cs="Times New Roman"/>
          <w:bCs/>
          <w:i/>
          <w:sz w:val="24"/>
          <w:szCs w:val="24"/>
        </w:rPr>
        <w:t>et al</w:t>
      </w:r>
      <w:r>
        <w:rPr>
          <w:rFonts w:ascii="Times New Roman" w:hAnsi="Times New Roman" w:cs="Times New Roman"/>
          <w:bCs/>
          <w:sz w:val="24"/>
          <w:szCs w:val="24"/>
        </w:rPr>
        <w:t xml:space="preserve">., 2013; Mazid </w:t>
      </w:r>
      <w:r>
        <w:rPr>
          <w:rFonts w:ascii="Times New Roman" w:hAnsi="Times New Roman" w:cs="Times New Roman"/>
          <w:bCs/>
          <w:i/>
          <w:sz w:val="24"/>
          <w:szCs w:val="24"/>
        </w:rPr>
        <w:t>et al</w:t>
      </w:r>
      <w:r>
        <w:rPr>
          <w:rFonts w:ascii="Times New Roman" w:hAnsi="Times New Roman" w:cs="Times New Roman"/>
          <w:bCs/>
          <w:sz w:val="24"/>
          <w:szCs w:val="24"/>
        </w:rPr>
        <w:t>., 2011).</w:t>
      </w:r>
    </w:p>
    <w:p w14:paraId="66635B15" w14:textId="77777777" w:rsidR="002810A4" w:rsidRDefault="0000000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The DPPH and ABTS radical scavenging activities of the lime extract of</w:t>
      </w:r>
      <w:r>
        <w:rPr>
          <w:rFonts w:ascii="Times New Roman" w:hAnsi="Times New Roman" w:cs="Times New Roman"/>
          <w:bCs/>
          <w:i/>
          <w:sz w:val="24"/>
          <w:szCs w:val="24"/>
        </w:rPr>
        <w:t xml:space="preserve"> Gossypium </w:t>
      </w:r>
      <w:proofErr w:type="spellStart"/>
      <w:r>
        <w:rPr>
          <w:rFonts w:ascii="Times New Roman" w:hAnsi="Times New Roman" w:cs="Times New Roman"/>
          <w:bCs/>
          <w:i/>
          <w:sz w:val="24"/>
          <w:szCs w:val="24"/>
        </w:rPr>
        <w:t>herbaceum</w:t>
      </w:r>
      <w:proofErr w:type="spellEnd"/>
      <w:r>
        <w:rPr>
          <w:rFonts w:ascii="Times New Roman" w:hAnsi="Times New Roman" w:cs="Times New Roman"/>
          <w:bCs/>
          <w:sz w:val="24"/>
          <w:szCs w:val="24"/>
        </w:rPr>
        <w:t xml:space="preserve"> leaves showed a dose-dependent antioxidant effect (Figures 4 and 5). The results indicate that the extract possesses considerable antioxidant capacity, consistent with previous reports on plant-derived antioxidants by Bhat, </w:t>
      </w:r>
      <w:r>
        <w:rPr>
          <w:rFonts w:ascii="Times New Roman" w:hAnsi="Times New Roman" w:cs="Times New Roman"/>
          <w:bCs/>
          <w:i/>
          <w:sz w:val="24"/>
          <w:szCs w:val="24"/>
        </w:rPr>
        <w:t>et al</w:t>
      </w:r>
      <w:r>
        <w:rPr>
          <w:rFonts w:ascii="Times New Roman" w:hAnsi="Times New Roman" w:cs="Times New Roman"/>
          <w:bCs/>
          <w:sz w:val="24"/>
          <w:szCs w:val="24"/>
        </w:rPr>
        <w:t>., (2005). The extract effectively scavenged DPPH radicals, as evidenced by a reduction in color intensity, which can be attributed to the presence of phenolic and flavonoid compounds.</w:t>
      </w:r>
    </w:p>
    <w:p w14:paraId="0CAA2CF8" w14:textId="77777777" w:rsidR="002810A4" w:rsidRDefault="00000000">
      <w:pPr>
        <w:spacing w:line="360" w:lineRule="auto"/>
        <w:jc w:val="both"/>
        <w:rPr>
          <w:rFonts w:ascii="Times New Roman" w:hAnsi="Times New Roman" w:cs="Times New Roman"/>
          <w:color w:val="000000"/>
          <w:sz w:val="24"/>
          <w:szCs w:val="24"/>
        </w:rPr>
      </w:pPr>
      <w:r>
        <w:rPr>
          <w:rFonts w:ascii="Times New Roman" w:hAnsi="Times New Roman" w:cs="Times New Roman"/>
          <w:bCs/>
          <w:sz w:val="24"/>
          <w:szCs w:val="24"/>
        </w:rPr>
        <w:t xml:space="preserve">In the ABTS assay, the lime extract exhibited notable radical scavenging activity, although lower than that of Butylated hydroxytoluene, suggesting moderate but biologically relevant antioxidant potential. The incorporation of lime from Citrus </w:t>
      </w:r>
      <w:r>
        <w:rPr>
          <w:rFonts w:ascii="Times New Roman" w:hAnsi="Times New Roman" w:cs="Times New Roman"/>
          <w:bCs/>
          <w:i/>
          <w:sz w:val="24"/>
          <w:szCs w:val="24"/>
        </w:rPr>
        <w:t xml:space="preserve">aurantifolia </w:t>
      </w:r>
      <w:r>
        <w:rPr>
          <w:rFonts w:ascii="Times New Roman" w:hAnsi="Times New Roman" w:cs="Times New Roman"/>
          <w:bCs/>
          <w:sz w:val="24"/>
          <w:szCs w:val="24"/>
        </w:rPr>
        <w:t xml:space="preserve">may further enhance this activity due to its high content of ascorbic acid and organic acids, which can act synergistically to improve free radical scavenging. </w:t>
      </w:r>
      <w:r>
        <w:rPr>
          <w:rFonts w:ascii="Times New Roman" w:hAnsi="Times New Roman" w:cs="Times New Roman"/>
          <w:color w:val="000000"/>
          <w:sz w:val="24"/>
          <w:szCs w:val="24"/>
        </w:rPr>
        <w:t xml:space="preserve">The DPPH and ABTS assays demonstrated strong radical scavenging activity, suggesting that the extract contains potent antioxidant compounds capable of neutralizing ROS. Oxidative stress contributes to pancreatic β-cell </w:t>
      </w:r>
      <w:r>
        <w:rPr>
          <w:rFonts w:ascii="Times New Roman" w:hAnsi="Times New Roman" w:cs="Times New Roman"/>
          <w:color w:val="000000"/>
          <w:sz w:val="24"/>
          <w:szCs w:val="24"/>
        </w:rPr>
        <w:lastRenderedPageBreak/>
        <w:t xml:space="preserve">damage and insulin resistance in diabetes, while antioxidants derived from plant extracts can play an important role in preventing diabetic complications </w:t>
      </w:r>
      <w:r>
        <w:rPr>
          <w:rFonts w:ascii="Times New Roman" w:hAnsi="Times New Roman" w:cs="Times New Roman"/>
          <w:bCs/>
          <w:sz w:val="24"/>
          <w:szCs w:val="24"/>
        </w:rPr>
        <w:t>and improving metabolic balance ((</w:t>
      </w:r>
      <w:proofErr w:type="spellStart"/>
      <w:r>
        <w:rPr>
          <w:rFonts w:ascii="Times New Roman" w:hAnsi="Times New Roman" w:cs="Times New Roman"/>
          <w:bCs/>
          <w:sz w:val="24"/>
          <w:szCs w:val="24"/>
        </w:rPr>
        <w:t>Indriyani</w:t>
      </w:r>
      <w:proofErr w:type="spellEnd"/>
      <w:r>
        <w:rPr>
          <w:rFonts w:ascii="Times New Roman" w:hAnsi="Times New Roman" w:cs="Times New Roman"/>
          <w:bCs/>
          <w:sz w:val="24"/>
          <w:szCs w:val="24"/>
        </w:rPr>
        <w:t xml:space="preserve">, </w:t>
      </w:r>
      <w:r>
        <w:rPr>
          <w:rFonts w:ascii="Times New Roman" w:hAnsi="Times New Roman" w:cs="Times New Roman"/>
          <w:bCs/>
          <w:i/>
          <w:sz w:val="24"/>
          <w:szCs w:val="24"/>
        </w:rPr>
        <w:t>et al</w:t>
      </w:r>
      <w:r>
        <w:rPr>
          <w:rFonts w:ascii="Times New Roman" w:hAnsi="Times New Roman" w:cs="Times New Roman"/>
          <w:bCs/>
          <w:sz w:val="24"/>
          <w:szCs w:val="24"/>
        </w:rPr>
        <w:t xml:space="preserve">., 2023; Saeedi, </w:t>
      </w:r>
      <w:r>
        <w:rPr>
          <w:rFonts w:ascii="Times New Roman" w:hAnsi="Times New Roman" w:cs="Times New Roman"/>
          <w:bCs/>
          <w:i/>
          <w:sz w:val="24"/>
          <w:szCs w:val="24"/>
        </w:rPr>
        <w:t>et al.</w:t>
      </w:r>
      <w:r>
        <w:rPr>
          <w:rFonts w:ascii="Times New Roman" w:hAnsi="Times New Roman" w:cs="Times New Roman"/>
          <w:bCs/>
          <w:sz w:val="24"/>
          <w:szCs w:val="24"/>
        </w:rPr>
        <w:t>, 2019)</w:t>
      </w:r>
      <w:r>
        <w:rPr>
          <w:rFonts w:ascii="Times New Roman" w:hAnsi="Times New Roman" w:cs="Times New Roman"/>
          <w:color w:val="000000"/>
          <w:sz w:val="24"/>
          <w:szCs w:val="24"/>
        </w:rPr>
        <w:t>.</w:t>
      </w:r>
    </w:p>
    <w:p w14:paraId="778BCEA0"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Lime extracts of </w:t>
      </w:r>
      <w:r>
        <w:rPr>
          <w:rFonts w:ascii="Times New Roman" w:hAnsi="Times New Roman" w:cs="Times New Roman"/>
          <w:i/>
          <w:sz w:val="24"/>
          <w:szCs w:val="24"/>
        </w:rPr>
        <w:t xml:space="preserve">Gossypium </w:t>
      </w:r>
      <w:proofErr w:type="spellStart"/>
      <w:r>
        <w:rPr>
          <w:rFonts w:ascii="Times New Roman" w:hAnsi="Times New Roman" w:cs="Times New Roman"/>
          <w:i/>
          <w:sz w:val="24"/>
          <w:szCs w:val="24"/>
        </w:rPr>
        <w:t>herbaceum</w:t>
      </w:r>
      <w:proofErr w:type="spellEnd"/>
      <w:r>
        <w:rPr>
          <w:rFonts w:ascii="Times New Roman" w:hAnsi="Times New Roman" w:cs="Times New Roman"/>
          <w:sz w:val="24"/>
          <w:szCs w:val="24"/>
        </w:rPr>
        <w:t xml:space="preserve"> leaves demonstrated the ability to inhibit carbohydrate-digesting enzymes, thereby reducing glucose absorption in the digestive system (Figure 6). The extract exhibited hydroxyl radical scavenging activity, likely due to the presence of phenolic compounds with hydroxyl groups that enhance antioxidant action. These compounds may act synergistically to neutralize reactive oxygen species, including superoxide, hypochlorite, singlet oxygen, hydroxyl (OH), and peroxyl (ROO) radicals, consistent with previous findings of Ajayi </w:t>
      </w:r>
      <w:r>
        <w:rPr>
          <w:rFonts w:ascii="Times New Roman" w:hAnsi="Times New Roman" w:cs="Times New Roman"/>
          <w:i/>
          <w:sz w:val="24"/>
          <w:szCs w:val="24"/>
        </w:rPr>
        <w:t>et al</w:t>
      </w:r>
      <w:r>
        <w:rPr>
          <w:rFonts w:ascii="Times New Roman" w:hAnsi="Times New Roman" w:cs="Times New Roman"/>
          <w:sz w:val="24"/>
          <w:szCs w:val="24"/>
        </w:rPr>
        <w:t xml:space="preserve">., (2017). Therefore, the ability of the lime-extract of </w:t>
      </w:r>
      <w:r>
        <w:rPr>
          <w:rFonts w:ascii="Times New Roman" w:hAnsi="Times New Roman" w:cs="Times New Roman"/>
          <w:i/>
          <w:sz w:val="24"/>
          <w:szCs w:val="24"/>
        </w:rPr>
        <w:t xml:space="preserve">G. </w:t>
      </w:r>
      <w:proofErr w:type="spellStart"/>
      <w:r>
        <w:rPr>
          <w:rFonts w:ascii="Times New Roman" w:hAnsi="Times New Roman" w:cs="Times New Roman"/>
          <w:i/>
          <w:sz w:val="24"/>
          <w:szCs w:val="24"/>
        </w:rPr>
        <w:t>herbaceum</w:t>
      </w:r>
      <w:proofErr w:type="spellEnd"/>
      <w:r>
        <w:rPr>
          <w:rFonts w:ascii="Times New Roman" w:hAnsi="Times New Roman" w:cs="Times New Roman"/>
          <w:sz w:val="24"/>
          <w:szCs w:val="24"/>
        </w:rPr>
        <w:t xml:space="preserve"> leaf to scavenge hydroxyl radicals suggests a protective role against oxidative damage associated with hyperglycemia. This observation aligns with reports similar to anti-diabetic and antioxidant activities in other medicinal plants such as moringa and kola nut (</w:t>
      </w:r>
      <w:proofErr w:type="spellStart"/>
      <w:r>
        <w:rPr>
          <w:rFonts w:ascii="Times New Roman" w:hAnsi="Times New Roman" w:cs="Times New Roman"/>
          <w:sz w:val="24"/>
          <w:szCs w:val="24"/>
        </w:rPr>
        <w:t>Oloruntola</w:t>
      </w:r>
      <w:proofErr w:type="spellEnd"/>
      <w:r>
        <w:rPr>
          <w:rFonts w:ascii="Times New Roman" w:hAnsi="Times New Roman" w:cs="Times New Roman"/>
          <w:sz w:val="24"/>
          <w:szCs w:val="24"/>
        </w:rPr>
        <w:t xml:space="preserve"> and Ayodele, 2022).</w:t>
      </w:r>
    </w:p>
    <w:p w14:paraId="4982DA98" w14:textId="77777777" w:rsidR="002810A4"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Conclusion </w:t>
      </w:r>
    </w:p>
    <w:p w14:paraId="3C08C678"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i/>
          <w:sz w:val="24"/>
          <w:szCs w:val="24"/>
        </w:rPr>
        <w:t xml:space="preserve">Gossypium </w:t>
      </w:r>
      <w:proofErr w:type="spellStart"/>
      <w:r>
        <w:rPr>
          <w:rFonts w:ascii="Times New Roman" w:hAnsi="Times New Roman" w:cs="Times New Roman"/>
          <w:i/>
          <w:sz w:val="24"/>
          <w:szCs w:val="24"/>
        </w:rPr>
        <w:t>herbaceum</w:t>
      </w:r>
      <w:proofErr w:type="spellEnd"/>
      <w:r>
        <w:rPr>
          <w:rFonts w:ascii="Times New Roman" w:hAnsi="Times New Roman" w:cs="Times New Roman"/>
          <w:sz w:val="24"/>
          <w:szCs w:val="24"/>
        </w:rPr>
        <w:t> is a multifaceted medicinal plant widely used in both traditional healing and modern herbal medicine. Beyond its well-known role in fiber production, the study demonstrated that, the plant exhibits inhibitory activities that provided important therapeutic benefits in the management of hyperglycemia, regulation of complex carbohydrate metabolism, and reduction of inflammation and oxidative stress. The bioactive compounds derived from this plant are increasingly attracting the attention of researchers. When used appropriately and under proper supervision, it can serve as a potent remedy for various acute and chronic conditions, reinforcing its importance in ethnomedicine.</w:t>
      </w:r>
    </w:p>
    <w:p w14:paraId="37B2CDD9"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Contribution to knowledge and Future perspectives</w:t>
      </w:r>
    </w:p>
    <w:p w14:paraId="618FD905"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establishes the anti-diabetic potential of lime juice extract of </w:t>
      </w:r>
      <w:r>
        <w:rPr>
          <w:rFonts w:ascii="Times New Roman" w:hAnsi="Times New Roman" w:cs="Times New Roman"/>
          <w:i/>
          <w:sz w:val="24"/>
          <w:szCs w:val="24"/>
        </w:rPr>
        <w:t xml:space="preserve">Gossypium </w:t>
      </w:r>
      <w:proofErr w:type="spellStart"/>
      <w:r>
        <w:rPr>
          <w:rFonts w:ascii="Times New Roman" w:hAnsi="Times New Roman" w:cs="Times New Roman"/>
          <w:i/>
          <w:sz w:val="24"/>
          <w:szCs w:val="24"/>
        </w:rPr>
        <w:t>herbaceum</w:t>
      </w:r>
      <w:proofErr w:type="spellEnd"/>
      <w:r>
        <w:rPr>
          <w:rFonts w:ascii="Times New Roman" w:hAnsi="Times New Roman" w:cs="Times New Roman"/>
          <w:i/>
          <w:sz w:val="24"/>
          <w:szCs w:val="24"/>
        </w:rPr>
        <w:t xml:space="preserve"> </w:t>
      </w:r>
      <w:r>
        <w:rPr>
          <w:rFonts w:ascii="Times New Roman" w:hAnsi="Times New Roman" w:cs="Times New Roman"/>
          <w:sz w:val="24"/>
          <w:szCs w:val="24"/>
        </w:rPr>
        <w:t>leaves through α-amylase and α-glucosidase inhibition and the radical scavenging activity of the extract, indicating its capacity to reduce oxidative stress associated with diabetes. Highlights the role of lime-mediated extraction in enhancing the release of bioactive phytochemicals found lacking from the previous studies reviewed.</w:t>
      </w:r>
    </w:p>
    <w:p w14:paraId="668570D4" w14:textId="77777777" w:rsidR="002810A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Further research and advocacy, required the understanding of the specific types of diabetes someone has which is crucial to provide the right treatment.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effects should be followed by in vivo validation and development of nutraceutical products for diabetes management.</w:t>
      </w:r>
    </w:p>
    <w:p w14:paraId="31B724D2" w14:textId="77777777" w:rsidR="00C71534" w:rsidRPr="00C71534" w:rsidRDefault="00C71534" w:rsidP="00C71534">
      <w:pPr>
        <w:spacing w:line="360" w:lineRule="auto"/>
        <w:jc w:val="both"/>
        <w:rPr>
          <w:rFonts w:ascii="Times New Roman" w:hAnsi="Times New Roman" w:cs="Times New Roman"/>
          <w:b/>
          <w:bCs/>
          <w:sz w:val="24"/>
          <w:szCs w:val="24"/>
        </w:rPr>
      </w:pPr>
      <w:r w:rsidRPr="00C71534">
        <w:rPr>
          <w:rFonts w:ascii="Times New Roman" w:hAnsi="Times New Roman" w:cs="Times New Roman"/>
          <w:b/>
          <w:bCs/>
          <w:sz w:val="24"/>
          <w:szCs w:val="24"/>
        </w:rPr>
        <w:t>Availability of Data and Materials</w:t>
      </w:r>
    </w:p>
    <w:p w14:paraId="5A0C4F20" w14:textId="77777777" w:rsidR="00C71534" w:rsidRPr="00C71534" w:rsidRDefault="00C71534" w:rsidP="00C71534">
      <w:pPr>
        <w:spacing w:line="360" w:lineRule="auto"/>
        <w:jc w:val="both"/>
        <w:rPr>
          <w:rFonts w:ascii="Times New Roman" w:hAnsi="Times New Roman" w:cs="Times New Roman"/>
          <w:sz w:val="24"/>
          <w:szCs w:val="24"/>
        </w:rPr>
      </w:pPr>
      <w:r w:rsidRPr="00C71534">
        <w:rPr>
          <w:rFonts w:ascii="Times New Roman" w:hAnsi="Times New Roman" w:cs="Times New Roman"/>
          <w:sz w:val="24"/>
          <w:szCs w:val="24"/>
        </w:rPr>
        <w:t>Materials used and data associated with this research are freely available upon reasonable request through the corresponding author.</w:t>
      </w:r>
    </w:p>
    <w:p w14:paraId="2544595D" w14:textId="77777777" w:rsidR="00C71534" w:rsidRPr="00C71534" w:rsidRDefault="00C71534" w:rsidP="00C71534">
      <w:pPr>
        <w:spacing w:line="360" w:lineRule="auto"/>
        <w:jc w:val="both"/>
        <w:rPr>
          <w:rFonts w:ascii="Times New Roman" w:hAnsi="Times New Roman" w:cs="Times New Roman"/>
          <w:b/>
          <w:bCs/>
          <w:sz w:val="24"/>
          <w:szCs w:val="24"/>
        </w:rPr>
      </w:pPr>
      <w:r w:rsidRPr="00C71534">
        <w:rPr>
          <w:rFonts w:ascii="Times New Roman" w:hAnsi="Times New Roman" w:cs="Times New Roman"/>
          <w:b/>
          <w:bCs/>
          <w:sz w:val="24"/>
          <w:szCs w:val="24"/>
        </w:rPr>
        <w:t>Declaration of competing interests</w:t>
      </w:r>
    </w:p>
    <w:p w14:paraId="4A251D5A" w14:textId="77777777" w:rsidR="00C71534" w:rsidRPr="00C71534" w:rsidRDefault="00C71534" w:rsidP="00C71534">
      <w:pPr>
        <w:spacing w:line="360" w:lineRule="auto"/>
        <w:jc w:val="both"/>
        <w:rPr>
          <w:rFonts w:ascii="Times New Roman" w:hAnsi="Times New Roman" w:cs="Times New Roman"/>
          <w:sz w:val="24"/>
          <w:szCs w:val="24"/>
        </w:rPr>
      </w:pPr>
      <w:r w:rsidRPr="00C71534">
        <w:rPr>
          <w:rFonts w:ascii="Times New Roman" w:hAnsi="Times New Roman" w:cs="Times New Roman"/>
          <w:sz w:val="24"/>
          <w:szCs w:val="24"/>
        </w:rPr>
        <w:t>The authors claim there are no competing interests.</w:t>
      </w:r>
    </w:p>
    <w:p w14:paraId="4B46620D" w14:textId="473A0B57" w:rsidR="00C71534" w:rsidRPr="00C71534" w:rsidRDefault="00C71534" w:rsidP="00C71534">
      <w:pPr>
        <w:spacing w:line="360" w:lineRule="auto"/>
        <w:jc w:val="both"/>
        <w:rPr>
          <w:rFonts w:ascii="Times New Roman" w:hAnsi="Times New Roman" w:cs="Times New Roman"/>
          <w:b/>
          <w:bCs/>
          <w:sz w:val="24"/>
          <w:szCs w:val="24"/>
        </w:rPr>
      </w:pPr>
      <w:r w:rsidRPr="00C71534">
        <w:rPr>
          <w:rFonts w:ascii="Times New Roman" w:hAnsi="Times New Roman" w:cs="Times New Roman"/>
          <w:b/>
          <w:bCs/>
          <w:sz w:val="24"/>
          <w:szCs w:val="24"/>
        </w:rPr>
        <w:t>Authors contribution</w:t>
      </w:r>
    </w:p>
    <w:p w14:paraId="477B9A7D" w14:textId="6F4C51F0" w:rsidR="00C71534" w:rsidRPr="00C71534" w:rsidRDefault="00C71534" w:rsidP="00C7153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Olufemi Ayoade Ajibade</w:t>
      </w:r>
      <w:r w:rsidRPr="00C71534">
        <w:rPr>
          <w:rFonts w:ascii="Times New Roman" w:hAnsi="Times New Roman" w:cs="Times New Roman"/>
          <w:b/>
          <w:bCs/>
          <w:sz w:val="24"/>
          <w:szCs w:val="24"/>
        </w:rPr>
        <w:t>:</w:t>
      </w:r>
      <w:r w:rsidRPr="00C71534">
        <w:rPr>
          <w:rFonts w:ascii="Times New Roman" w:hAnsi="Times New Roman" w:cs="Times New Roman"/>
          <w:sz w:val="24"/>
          <w:szCs w:val="24"/>
        </w:rPr>
        <w:t xml:space="preserve"> conceptualization; methodology; data acquisition; formal analysis and investigation; writing—original draft preparation, review and editing.</w:t>
      </w:r>
      <w:r>
        <w:rPr>
          <w:rFonts w:ascii="Times New Roman" w:hAnsi="Times New Roman" w:cs="Times New Roman"/>
          <w:sz w:val="24"/>
          <w:szCs w:val="24"/>
        </w:rPr>
        <w:t xml:space="preserve"> </w:t>
      </w:r>
      <w:r w:rsidRPr="00C71534">
        <w:rPr>
          <w:rFonts w:ascii="Times New Roman" w:hAnsi="Times New Roman" w:cs="Times New Roman"/>
          <w:b/>
          <w:bCs/>
          <w:sz w:val="24"/>
        </w:rPr>
        <w:t>Rasheed B. Ibrahim</w:t>
      </w:r>
      <w:r w:rsidRPr="00C71534">
        <w:rPr>
          <w:rFonts w:ascii="Times New Roman" w:hAnsi="Times New Roman" w:cs="Times New Roman"/>
          <w:b/>
          <w:bCs/>
          <w:sz w:val="24"/>
          <w:szCs w:val="24"/>
          <w:vertAlign w:val="superscript"/>
        </w:rPr>
        <w:t>:</w:t>
      </w:r>
      <w:r>
        <w:rPr>
          <w:rFonts w:ascii="Times New Roman" w:hAnsi="Times New Roman" w:cs="Times New Roman"/>
          <w:b/>
          <w:bCs/>
          <w:sz w:val="24"/>
          <w:szCs w:val="24"/>
          <w:vertAlign w:val="superscript"/>
        </w:rPr>
        <w:t xml:space="preserve"> </w:t>
      </w:r>
      <w:r w:rsidRPr="00C71534">
        <w:rPr>
          <w:rFonts w:ascii="Times New Roman" w:hAnsi="Times New Roman" w:cs="Times New Roman"/>
          <w:sz w:val="24"/>
          <w:szCs w:val="24"/>
        </w:rPr>
        <w:t>conceptualization; methodology; supervision; validation</w:t>
      </w:r>
      <w:r>
        <w:rPr>
          <w:rFonts w:ascii="Times New Roman" w:hAnsi="Times New Roman" w:cs="Times New Roman"/>
          <w:sz w:val="24"/>
          <w:szCs w:val="24"/>
        </w:rPr>
        <w:t>.</w:t>
      </w:r>
      <w:r>
        <w:rPr>
          <w:rFonts w:ascii="Times New Roman" w:hAnsi="Times New Roman" w:cs="Times New Roman"/>
          <w:sz w:val="24"/>
          <w:szCs w:val="24"/>
          <w:vertAlign w:val="superscript"/>
        </w:rPr>
        <w:t xml:space="preserve"> </w:t>
      </w:r>
      <w:r w:rsidRPr="00C71534">
        <w:rPr>
          <w:rFonts w:ascii="Times New Roman" w:hAnsi="Times New Roman" w:cs="Times New Roman"/>
          <w:b/>
          <w:bCs/>
          <w:sz w:val="24"/>
          <w:szCs w:val="24"/>
        </w:rPr>
        <w:t>Adewale T. Irewale:</w:t>
      </w:r>
      <w:r w:rsidRPr="00C71534">
        <w:rPr>
          <w:rFonts w:ascii="Times New Roman" w:hAnsi="Times New Roman" w:cs="Times New Roman"/>
          <w:sz w:val="24"/>
          <w:szCs w:val="24"/>
        </w:rPr>
        <w:t xml:space="preserve"> writing—original draft preparation, review and editing. </w:t>
      </w:r>
      <w:r>
        <w:rPr>
          <w:rFonts w:ascii="Times New Roman" w:hAnsi="Times New Roman" w:cs="Times New Roman"/>
          <w:b/>
          <w:bCs/>
          <w:sz w:val="24"/>
          <w:szCs w:val="24"/>
        </w:rPr>
        <w:t>Shalom Tijesuni Oluyori</w:t>
      </w:r>
      <w:r w:rsidRPr="00C71534">
        <w:rPr>
          <w:rFonts w:ascii="Times New Roman" w:hAnsi="Times New Roman" w:cs="Times New Roman"/>
          <w:b/>
          <w:bCs/>
          <w:sz w:val="24"/>
          <w:szCs w:val="24"/>
        </w:rPr>
        <w:t>:</w:t>
      </w:r>
      <w:r w:rsidRPr="00C71534">
        <w:rPr>
          <w:rFonts w:ascii="Times New Roman" w:hAnsi="Times New Roman" w:cs="Times New Roman"/>
          <w:sz w:val="24"/>
          <w:szCs w:val="24"/>
        </w:rPr>
        <w:t xml:space="preserve"> writing—original draft preparation, review and editing. </w:t>
      </w:r>
      <w:r>
        <w:rPr>
          <w:rFonts w:ascii="Times New Roman" w:hAnsi="Times New Roman" w:cs="Times New Roman"/>
          <w:b/>
          <w:bCs/>
          <w:sz w:val="24"/>
          <w:szCs w:val="24"/>
        </w:rPr>
        <w:t>Olarewaju Michael Oluba</w:t>
      </w:r>
      <w:r w:rsidRPr="00C71534">
        <w:rPr>
          <w:rFonts w:ascii="Times New Roman" w:hAnsi="Times New Roman" w:cs="Times New Roman"/>
          <w:b/>
          <w:bCs/>
          <w:sz w:val="24"/>
          <w:szCs w:val="24"/>
        </w:rPr>
        <w:t>:</w:t>
      </w:r>
      <w:r w:rsidRPr="00C71534">
        <w:rPr>
          <w:rFonts w:ascii="Times New Roman" w:hAnsi="Times New Roman" w:cs="Times New Roman"/>
          <w:sz w:val="24"/>
          <w:szCs w:val="24"/>
        </w:rPr>
        <w:t xml:space="preserve"> writing—original draft preparation, review and editing. </w:t>
      </w:r>
    </w:p>
    <w:p w14:paraId="4F14433F" w14:textId="77777777" w:rsidR="00C71534" w:rsidRPr="00C71534" w:rsidRDefault="00C71534" w:rsidP="00C71534">
      <w:pPr>
        <w:spacing w:line="480" w:lineRule="auto"/>
        <w:jc w:val="both"/>
        <w:rPr>
          <w:rFonts w:ascii="Times New Roman" w:hAnsi="Times New Roman" w:cs="Times New Roman"/>
          <w:b/>
          <w:bCs/>
          <w:sz w:val="24"/>
          <w:szCs w:val="24"/>
        </w:rPr>
      </w:pPr>
      <w:r w:rsidRPr="00C71534">
        <w:rPr>
          <w:rFonts w:ascii="Times New Roman" w:hAnsi="Times New Roman" w:cs="Times New Roman"/>
          <w:b/>
          <w:bCs/>
          <w:sz w:val="24"/>
          <w:szCs w:val="24"/>
        </w:rPr>
        <w:t>Acknowledgement</w:t>
      </w:r>
    </w:p>
    <w:p w14:paraId="15FCE551" w14:textId="2AB8D602" w:rsidR="00C71534" w:rsidRDefault="00C71534" w:rsidP="00C71534">
      <w:pPr>
        <w:spacing w:line="480" w:lineRule="auto"/>
        <w:rPr>
          <w:rFonts w:ascii="Times New Roman" w:hAnsi="Times New Roman" w:cs="Times New Roman"/>
          <w:sz w:val="24"/>
          <w:szCs w:val="24"/>
        </w:rPr>
      </w:pPr>
      <w:r w:rsidRPr="00C71534">
        <w:rPr>
          <w:rFonts w:ascii="Times New Roman" w:hAnsi="Times New Roman" w:cs="Times New Roman"/>
          <w:sz w:val="24"/>
          <w:szCs w:val="24"/>
        </w:rPr>
        <w:t xml:space="preserve">Authors acknowledge </w:t>
      </w:r>
      <w:r>
        <w:rPr>
          <w:rFonts w:ascii="Times New Roman" w:hAnsi="Times New Roman" w:cs="Times New Roman"/>
          <w:sz w:val="24"/>
          <w:szCs w:val="24"/>
        </w:rPr>
        <w:t xml:space="preserve">with appreciation the laboratory staff at the </w:t>
      </w:r>
      <w:r>
        <w:rPr>
          <w:rFonts w:ascii="Times New Roman" w:hAnsi="Times New Roman" w:cs="Times New Roman"/>
          <w:sz w:val="24"/>
          <w:szCs w:val="24"/>
        </w:rPr>
        <w:t xml:space="preserve">Department of Biochemistry, Faculty of </w:t>
      </w:r>
      <w:r>
        <w:rPr>
          <w:rFonts w:ascii="Times New Roman" w:hAnsi="Times New Roman" w:cs="Times New Roman"/>
          <w:sz w:val="24"/>
        </w:rPr>
        <w:t xml:space="preserve">Pure </w:t>
      </w:r>
      <w:r>
        <w:rPr>
          <w:rFonts w:ascii="Times New Roman" w:hAnsi="Times New Roman" w:cs="Times New Roman"/>
          <w:sz w:val="24"/>
          <w:szCs w:val="24"/>
        </w:rPr>
        <w:t xml:space="preserve">and Applied Sciences, </w:t>
      </w:r>
      <w:r>
        <w:rPr>
          <w:rFonts w:ascii="Times New Roman" w:hAnsi="Times New Roman" w:cs="Times New Roman"/>
          <w:sz w:val="24"/>
        </w:rPr>
        <w:t xml:space="preserve">Kwara </w:t>
      </w:r>
      <w:r>
        <w:rPr>
          <w:rFonts w:ascii="Times New Roman" w:hAnsi="Times New Roman" w:cs="Times New Roman"/>
          <w:sz w:val="24"/>
          <w:szCs w:val="24"/>
        </w:rPr>
        <w:t xml:space="preserve">State University, </w:t>
      </w:r>
      <w:r>
        <w:rPr>
          <w:rFonts w:ascii="Times New Roman" w:hAnsi="Times New Roman" w:cs="Times New Roman"/>
          <w:sz w:val="24"/>
        </w:rPr>
        <w:t>Malete</w:t>
      </w:r>
      <w:r>
        <w:rPr>
          <w:rFonts w:ascii="Times New Roman" w:hAnsi="Times New Roman" w:cs="Times New Roman"/>
          <w:sz w:val="24"/>
          <w:szCs w:val="24"/>
        </w:rPr>
        <w:t>, Nigeria</w:t>
      </w:r>
      <w:r>
        <w:rPr>
          <w:rFonts w:ascii="Times New Roman" w:hAnsi="Times New Roman" w:cs="Times New Roman"/>
          <w:sz w:val="24"/>
          <w:szCs w:val="24"/>
        </w:rPr>
        <w:t xml:space="preserve"> for their support during the laboratory work</w:t>
      </w:r>
    </w:p>
    <w:p w14:paraId="576494D6" w14:textId="21F612C5" w:rsidR="00C71534" w:rsidRPr="00C71534" w:rsidRDefault="00C71534" w:rsidP="00C71534">
      <w:pPr>
        <w:spacing w:line="360" w:lineRule="auto"/>
        <w:jc w:val="both"/>
        <w:rPr>
          <w:rFonts w:ascii="Times New Roman" w:hAnsi="Times New Roman" w:cs="Times New Roman"/>
          <w:sz w:val="24"/>
          <w:szCs w:val="24"/>
        </w:rPr>
      </w:pPr>
    </w:p>
    <w:p w14:paraId="10F68CC4" w14:textId="77777777" w:rsidR="00C71534" w:rsidRDefault="00C71534">
      <w:pPr>
        <w:spacing w:line="360" w:lineRule="auto"/>
        <w:jc w:val="both"/>
        <w:rPr>
          <w:rFonts w:ascii="Times New Roman" w:hAnsi="Times New Roman" w:cs="Times New Roman"/>
          <w:sz w:val="24"/>
          <w:szCs w:val="24"/>
        </w:rPr>
      </w:pPr>
    </w:p>
    <w:p w14:paraId="7A39343F" w14:textId="77777777" w:rsidR="00C71534" w:rsidRDefault="00C71534">
      <w:pPr>
        <w:rPr>
          <w:rFonts w:ascii="Times New Roman" w:hAnsi="Times New Roman" w:cs="Times New Roman"/>
          <w:b/>
          <w:sz w:val="24"/>
          <w:szCs w:val="24"/>
        </w:rPr>
      </w:pPr>
      <w:r>
        <w:rPr>
          <w:rFonts w:ascii="Times New Roman" w:hAnsi="Times New Roman" w:cs="Times New Roman"/>
          <w:b/>
          <w:sz w:val="24"/>
          <w:szCs w:val="24"/>
        </w:rPr>
        <w:br w:type="page"/>
      </w:r>
    </w:p>
    <w:p w14:paraId="284650F4" w14:textId="051E65EF" w:rsidR="002810A4"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References</w:t>
      </w:r>
    </w:p>
    <w:p w14:paraId="2C9C759C" w14:textId="77777777" w:rsidR="002810A4" w:rsidRDefault="00000000">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Ajayi, I. A., Ajibade, O. &amp; </w:t>
      </w:r>
      <w:proofErr w:type="spellStart"/>
      <w:r>
        <w:rPr>
          <w:rFonts w:ascii="Times New Roman" w:hAnsi="Times New Roman" w:cs="Times New Roman"/>
          <w:sz w:val="24"/>
          <w:szCs w:val="24"/>
        </w:rPr>
        <w:t>Oderinde</w:t>
      </w:r>
      <w:proofErr w:type="spellEnd"/>
      <w:r>
        <w:rPr>
          <w:rFonts w:ascii="Times New Roman" w:hAnsi="Times New Roman" w:cs="Times New Roman"/>
          <w:sz w:val="24"/>
          <w:szCs w:val="24"/>
        </w:rPr>
        <w:t>, R. A. (2017). Preliminary phytochemical analysis and in vitro evaluation of α-amylase and α-glucosidase inhibitory activities of selected medicinal plants used in the management of diabetes. Journal of Pharmacognosy and Phytochemistry, 6(5), 25–29.</w:t>
      </w:r>
    </w:p>
    <w:p w14:paraId="0958BAC4" w14:textId="77777777" w:rsidR="002810A4" w:rsidRDefault="00000000">
      <w:pPr>
        <w:spacing w:line="360" w:lineRule="auto"/>
        <w:ind w:left="630" w:hanging="630"/>
        <w:jc w:val="both"/>
        <w:rPr>
          <w:rFonts w:ascii="Times New Roman" w:hAnsi="Times New Roman" w:cs="Times New Roman"/>
          <w:bCs/>
          <w:sz w:val="24"/>
          <w:szCs w:val="24"/>
        </w:rPr>
      </w:pPr>
      <w:r>
        <w:rPr>
          <w:rFonts w:ascii="Times New Roman" w:hAnsi="Times New Roman" w:cs="Times New Roman"/>
          <w:bCs/>
          <w:sz w:val="24"/>
          <w:szCs w:val="24"/>
        </w:rPr>
        <w:t xml:space="preserve">Apak, R., </w:t>
      </w:r>
      <w:proofErr w:type="spellStart"/>
      <w:r>
        <w:rPr>
          <w:rFonts w:ascii="Times New Roman" w:hAnsi="Times New Roman" w:cs="Times New Roman"/>
          <w:bCs/>
          <w:sz w:val="24"/>
          <w:szCs w:val="24"/>
        </w:rPr>
        <w:t>Özyürek</w:t>
      </w:r>
      <w:proofErr w:type="spellEnd"/>
      <w:r>
        <w:rPr>
          <w:rFonts w:ascii="Times New Roman" w:hAnsi="Times New Roman" w:cs="Times New Roman"/>
          <w:bCs/>
          <w:sz w:val="24"/>
          <w:szCs w:val="24"/>
        </w:rPr>
        <w:t xml:space="preserve">, M., Güçlü, K. &amp; Çapanoğlu, E. (2022). Antioxidant activity/capacity measurement: Recent trends and advances. Journal of Food Composition and Analysis, 103, 104171. </w:t>
      </w:r>
      <w:hyperlink r:id="rId12" w:history="1">
        <w:r w:rsidR="002810A4">
          <w:rPr>
            <w:rStyle w:val="Hyperlink"/>
            <w:rFonts w:ascii="Times New Roman" w:hAnsi="Times New Roman" w:cs="Times New Roman"/>
            <w:bCs/>
            <w:sz w:val="24"/>
            <w:szCs w:val="24"/>
          </w:rPr>
          <w:t>https://doi.org/10.1016/j.jfca.2021.104171</w:t>
        </w:r>
      </w:hyperlink>
      <w:r>
        <w:rPr>
          <w:rFonts w:ascii="Times New Roman" w:hAnsi="Times New Roman" w:cs="Times New Roman"/>
          <w:bCs/>
          <w:sz w:val="24"/>
          <w:szCs w:val="24"/>
        </w:rPr>
        <w:t>.</w:t>
      </w:r>
    </w:p>
    <w:p w14:paraId="2C01A38E" w14:textId="77777777" w:rsidR="002810A4" w:rsidRDefault="00000000">
      <w:pPr>
        <w:spacing w:line="360" w:lineRule="auto"/>
        <w:ind w:left="630" w:hanging="630"/>
        <w:jc w:val="both"/>
        <w:rPr>
          <w:rFonts w:ascii="Times New Roman" w:hAnsi="Times New Roman" w:cs="Times New Roman"/>
          <w:bCs/>
          <w:sz w:val="24"/>
          <w:szCs w:val="24"/>
        </w:rPr>
      </w:pPr>
      <w:r>
        <w:rPr>
          <w:rFonts w:ascii="Times New Roman" w:hAnsi="Times New Roman" w:cs="Times New Roman"/>
          <w:bCs/>
          <w:sz w:val="24"/>
          <w:szCs w:val="24"/>
        </w:rPr>
        <w:t xml:space="preserve">Apostolidis, E., Kwon, Y.I. &amp; Setty, K. (2007). Inhibitory potential of herb, fruit, and fungal-enriched cheese against key enzymes linked to type-2 diabetes. </w:t>
      </w:r>
      <w:proofErr w:type="spellStart"/>
      <w:r>
        <w:rPr>
          <w:rFonts w:ascii="Times New Roman" w:hAnsi="Times New Roman" w:cs="Times New Roman"/>
          <w:bCs/>
          <w:sz w:val="24"/>
          <w:szCs w:val="24"/>
        </w:rPr>
        <w:t>Innov</w:t>
      </w:r>
      <w:proofErr w:type="spellEnd"/>
      <w:r>
        <w:rPr>
          <w:rFonts w:ascii="Times New Roman" w:hAnsi="Times New Roman" w:cs="Times New Roman"/>
          <w:bCs/>
          <w:sz w:val="24"/>
          <w:szCs w:val="24"/>
        </w:rPr>
        <w:t xml:space="preserve"> Food Sci Emerg Technol; 8:46–54.</w:t>
      </w:r>
    </w:p>
    <w:p w14:paraId="55EC5AD2" w14:textId="77777777" w:rsidR="002810A4" w:rsidRDefault="00000000">
      <w:pPr>
        <w:spacing w:line="360" w:lineRule="auto"/>
        <w:ind w:left="630" w:hanging="630"/>
        <w:jc w:val="both"/>
        <w:rPr>
          <w:rFonts w:ascii="Times New Roman" w:hAnsi="Times New Roman" w:cs="Times New Roman"/>
          <w:bCs/>
          <w:sz w:val="24"/>
          <w:szCs w:val="24"/>
        </w:rPr>
      </w:pPr>
      <w:r>
        <w:rPr>
          <w:rFonts w:ascii="Times New Roman" w:hAnsi="Times New Roman" w:cs="Times New Roman"/>
          <w:bCs/>
          <w:sz w:val="24"/>
          <w:szCs w:val="24"/>
        </w:rPr>
        <w:t>Banday, M. Z., Sameer, A. S. &amp; Nissar, S. (2020). Pathophysiology of diabetes: An overview Avicenna Journal of Medicine, 10(4), 174–188.https://doi.org/10.4103/ajm.ajm_53_20.</w:t>
      </w:r>
    </w:p>
    <w:p w14:paraId="67651B21" w14:textId="77777777" w:rsidR="002810A4" w:rsidRDefault="00000000">
      <w:pPr>
        <w:spacing w:line="360" w:lineRule="auto"/>
        <w:ind w:left="630" w:hanging="630"/>
        <w:jc w:val="both"/>
        <w:rPr>
          <w:rFonts w:ascii="Times New Roman" w:hAnsi="Times New Roman" w:cs="Times New Roman"/>
          <w:bCs/>
          <w:sz w:val="24"/>
          <w:szCs w:val="24"/>
        </w:rPr>
      </w:pPr>
      <w:r>
        <w:rPr>
          <w:rFonts w:ascii="Times New Roman" w:hAnsi="Times New Roman" w:cs="Times New Roman"/>
          <w:bCs/>
          <w:sz w:val="24"/>
          <w:szCs w:val="24"/>
        </w:rPr>
        <w:t xml:space="preserve">Bernfield, P. (1951). Enzymes of starch degradation and synthesis. Adv. </w:t>
      </w:r>
      <w:proofErr w:type="spellStart"/>
      <w:r>
        <w:rPr>
          <w:rFonts w:ascii="Times New Roman" w:hAnsi="Times New Roman" w:cs="Times New Roman"/>
          <w:bCs/>
          <w:sz w:val="24"/>
          <w:szCs w:val="24"/>
        </w:rPr>
        <w:t>Enzymol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Relat</w:t>
      </w:r>
      <w:proofErr w:type="spellEnd"/>
      <w:r>
        <w:rPr>
          <w:rFonts w:ascii="Times New Roman" w:hAnsi="Times New Roman" w:cs="Times New Roman"/>
          <w:bCs/>
          <w:sz w:val="24"/>
          <w:szCs w:val="24"/>
        </w:rPr>
        <w:t xml:space="preserve"> Subj </w:t>
      </w:r>
      <w:proofErr w:type="spellStart"/>
      <w:r>
        <w:rPr>
          <w:rFonts w:ascii="Times New Roman" w:hAnsi="Times New Roman" w:cs="Times New Roman"/>
          <w:bCs/>
          <w:sz w:val="24"/>
          <w:szCs w:val="24"/>
        </w:rPr>
        <w:t>Biochem</w:t>
      </w:r>
      <w:proofErr w:type="spellEnd"/>
      <w:r>
        <w:rPr>
          <w:rFonts w:ascii="Times New Roman" w:hAnsi="Times New Roman" w:cs="Times New Roman"/>
          <w:bCs/>
          <w:sz w:val="24"/>
          <w:szCs w:val="24"/>
        </w:rPr>
        <w:t>; 12:379.</w:t>
      </w:r>
    </w:p>
    <w:p w14:paraId="2CCEAFF5" w14:textId="77777777" w:rsidR="002810A4" w:rsidRDefault="00000000">
      <w:pPr>
        <w:spacing w:line="360" w:lineRule="auto"/>
        <w:ind w:left="630" w:hanging="630"/>
        <w:jc w:val="both"/>
        <w:rPr>
          <w:rFonts w:ascii="Times New Roman" w:hAnsi="Times New Roman" w:cs="Times New Roman"/>
          <w:bCs/>
          <w:sz w:val="24"/>
          <w:szCs w:val="24"/>
        </w:rPr>
      </w:pPr>
      <w:r>
        <w:rPr>
          <w:rFonts w:ascii="Times New Roman" w:hAnsi="Times New Roman" w:cs="Times New Roman"/>
          <w:bCs/>
          <w:sz w:val="24"/>
          <w:szCs w:val="24"/>
        </w:rPr>
        <w:t>Bhat S.V.,</w:t>
      </w:r>
      <w:proofErr w:type="spellStart"/>
      <w:r>
        <w:rPr>
          <w:rFonts w:ascii="Times New Roman" w:hAnsi="Times New Roman" w:cs="Times New Roman"/>
          <w:bCs/>
          <w:sz w:val="24"/>
          <w:szCs w:val="24"/>
        </w:rPr>
        <w:t>Nagasampagi</w:t>
      </w:r>
      <w:proofErr w:type="spellEnd"/>
      <w:r>
        <w:rPr>
          <w:rFonts w:ascii="Times New Roman" w:hAnsi="Times New Roman" w:cs="Times New Roman"/>
          <w:bCs/>
          <w:sz w:val="24"/>
          <w:szCs w:val="24"/>
        </w:rPr>
        <w:t xml:space="preserve"> B.A. and Sivakumar M. (2005). </w:t>
      </w:r>
      <w:r>
        <w:rPr>
          <w:rFonts w:ascii="Times New Roman" w:hAnsi="Times New Roman" w:cs="Times New Roman"/>
          <w:bCs/>
          <w:i/>
          <w:iCs/>
          <w:sz w:val="24"/>
          <w:szCs w:val="24"/>
        </w:rPr>
        <w:t>Chemistry of Natural Products</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Narosa</w:t>
      </w:r>
      <w:proofErr w:type="spellEnd"/>
      <w:r>
        <w:rPr>
          <w:rFonts w:ascii="Times New Roman" w:hAnsi="Times New Roman" w:cs="Times New Roman"/>
          <w:bCs/>
          <w:sz w:val="24"/>
          <w:szCs w:val="24"/>
        </w:rPr>
        <w:t xml:space="preserve"> publishing house: Delhi, India, 2005.</w:t>
      </w:r>
    </w:p>
    <w:p w14:paraId="10412439" w14:textId="77777777" w:rsidR="002810A4" w:rsidRDefault="00000000">
      <w:pPr>
        <w:spacing w:line="360" w:lineRule="auto"/>
        <w:ind w:left="630" w:hanging="630"/>
        <w:jc w:val="both"/>
        <w:rPr>
          <w:rFonts w:ascii="Times New Roman" w:hAnsi="Times New Roman" w:cs="Times New Roman"/>
          <w:bCs/>
          <w:sz w:val="24"/>
          <w:szCs w:val="24"/>
        </w:rPr>
      </w:pPr>
      <w:r>
        <w:rPr>
          <w:rFonts w:ascii="Times New Roman" w:hAnsi="Times New Roman" w:cs="Times New Roman"/>
          <w:bCs/>
          <w:sz w:val="24"/>
          <w:szCs w:val="24"/>
        </w:rPr>
        <w:t>Bios, M.S. (1958). Antioxidant determination by the use of stable free radical. Nature; 81:1199-2000.</w:t>
      </w:r>
    </w:p>
    <w:p w14:paraId="2E17467F" w14:textId="77777777" w:rsidR="002810A4" w:rsidRDefault="00000000">
      <w:pPr>
        <w:spacing w:line="360" w:lineRule="auto"/>
        <w:ind w:left="630" w:hanging="630"/>
        <w:jc w:val="both"/>
        <w:rPr>
          <w:rFonts w:ascii="Times New Roman" w:hAnsi="Times New Roman" w:cs="Times New Roman"/>
          <w:bCs/>
          <w:sz w:val="24"/>
          <w:szCs w:val="24"/>
        </w:rPr>
      </w:pPr>
      <w:proofErr w:type="spellStart"/>
      <w:r>
        <w:rPr>
          <w:rFonts w:ascii="Times New Roman" w:hAnsi="Times New Roman" w:cs="Times New Roman"/>
          <w:bCs/>
          <w:sz w:val="24"/>
          <w:szCs w:val="24"/>
        </w:rPr>
        <w:t>Cano</w:t>
      </w:r>
      <w:proofErr w:type="spellEnd"/>
      <w:r>
        <w:rPr>
          <w:rFonts w:ascii="Times New Roman" w:hAnsi="Times New Roman" w:cs="Times New Roman"/>
          <w:bCs/>
          <w:sz w:val="24"/>
          <w:szCs w:val="24"/>
        </w:rPr>
        <w:t xml:space="preserve">, A., Maestre, A. B., Hernández-Ruiz, J. &amp; Arnao, M. B. (2023). ABTS/TAC methodology: Main milestones and recent applications. Processes, 11(1), 185. </w:t>
      </w:r>
      <w:hyperlink r:id="rId13" w:history="1">
        <w:r w:rsidR="002810A4">
          <w:rPr>
            <w:rStyle w:val="Hyperlink"/>
            <w:rFonts w:ascii="Times New Roman" w:hAnsi="Times New Roman" w:cs="Times New Roman"/>
            <w:bCs/>
            <w:sz w:val="24"/>
            <w:szCs w:val="24"/>
          </w:rPr>
          <w:t>https://doi.org/10.3390/ pr11010185</w:t>
        </w:r>
      </w:hyperlink>
      <w:r>
        <w:rPr>
          <w:rFonts w:ascii="Times New Roman" w:hAnsi="Times New Roman" w:cs="Times New Roman"/>
          <w:bCs/>
          <w:sz w:val="24"/>
          <w:szCs w:val="24"/>
        </w:rPr>
        <w:t>.</w:t>
      </w:r>
    </w:p>
    <w:p w14:paraId="4DF83AEC" w14:textId="77777777" w:rsidR="002810A4" w:rsidRDefault="00000000">
      <w:pPr>
        <w:spacing w:line="360" w:lineRule="auto"/>
        <w:ind w:left="630" w:hanging="630"/>
        <w:jc w:val="both"/>
        <w:rPr>
          <w:rFonts w:ascii="Times New Roman" w:hAnsi="Times New Roman" w:cs="Times New Roman"/>
          <w:bCs/>
          <w:sz w:val="24"/>
          <w:szCs w:val="24"/>
        </w:rPr>
      </w:pPr>
      <w:r>
        <w:rPr>
          <w:rFonts w:ascii="Times New Roman" w:hAnsi="Times New Roman" w:cs="Times New Roman"/>
          <w:bCs/>
          <w:sz w:val="24"/>
          <w:szCs w:val="24"/>
        </w:rPr>
        <w:t xml:space="preserve">Ch’ng, Y. S. &amp; Dona, A. </w:t>
      </w:r>
      <w:r>
        <w:rPr>
          <w:rFonts w:ascii="Times New Roman" w:hAnsi="Times New Roman" w:cs="Times New Roman"/>
          <w:bCs/>
          <w:i/>
          <w:sz w:val="24"/>
          <w:szCs w:val="24"/>
        </w:rPr>
        <w:t>et al</w:t>
      </w:r>
      <w:r>
        <w:rPr>
          <w:rFonts w:ascii="Times New Roman" w:hAnsi="Times New Roman" w:cs="Times New Roman"/>
          <w:bCs/>
          <w:sz w:val="24"/>
          <w:szCs w:val="24"/>
        </w:rPr>
        <w:t>. (2020). Inhibitors of α-amylase and α-glucosidase: Potential linkage for whole cereal foods on prevention of hyperglycemia. Journal of Food Science and Nutrition, 8(1), 1–12.</w:t>
      </w:r>
    </w:p>
    <w:p w14:paraId="46F93FD5" w14:textId="77777777" w:rsidR="002810A4" w:rsidRDefault="00000000">
      <w:pPr>
        <w:spacing w:line="360" w:lineRule="auto"/>
        <w:ind w:left="630" w:hanging="630"/>
        <w:jc w:val="both"/>
        <w:rPr>
          <w:rFonts w:ascii="Times New Roman" w:hAnsi="Times New Roman" w:cs="Times New Roman"/>
          <w:bCs/>
          <w:sz w:val="24"/>
          <w:szCs w:val="24"/>
        </w:rPr>
      </w:pPr>
      <w:proofErr w:type="spellStart"/>
      <w:r>
        <w:rPr>
          <w:rFonts w:ascii="Times New Roman" w:hAnsi="Times New Roman" w:cs="Times New Roman"/>
          <w:bCs/>
          <w:sz w:val="24"/>
          <w:szCs w:val="24"/>
        </w:rPr>
        <w:t>Cotroan</w:t>
      </w:r>
      <w:proofErr w:type="spellEnd"/>
      <w:r>
        <w:rPr>
          <w:rFonts w:ascii="Times New Roman" w:hAnsi="Times New Roman" w:cs="Times New Roman"/>
          <w:bCs/>
          <w:sz w:val="24"/>
          <w:szCs w:val="24"/>
        </w:rPr>
        <w:t>, R.S., Kumar, V. &amp; Collins, T. (1999). Robbin’s pathological basis of disease. 6</w:t>
      </w:r>
      <w:r>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Ed., Noida: Thomson Press; P.1</w:t>
      </w:r>
    </w:p>
    <w:p w14:paraId="6312AEE2" w14:textId="77777777" w:rsidR="002810A4" w:rsidRDefault="00000000">
      <w:pPr>
        <w:spacing w:line="360" w:lineRule="auto"/>
        <w:ind w:left="630" w:hanging="630"/>
        <w:jc w:val="both"/>
        <w:rPr>
          <w:rFonts w:ascii="Times New Roman" w:hAnsi="Times New Roman" w:cs="Times New Roman"/>
          <w:bCs/>
          <w:sz w:val="24"/>
          <w:szCs w:val="24"/>
        </w:rPr>
      </w:pPr>
      <w:proofErr w:type="spellStart"/>
      <w:r>
        <w:rPr>
          <w:rFonts w:ascii="Times New Roman" w:hAnsi="Times New Roman" w:cs="Times New Roman"/>
          <w:bCs/>
          <w:sz w:val="24"/>
          <w:szCs w:val="24"/>
        </w:rPr>
        <w:t>Gulcin</w:t>
      </w:r>
      <w:proofErr w:type="spellEnd"/>
      <w:r>
        <w:rPr>
          <w:rFonts w:ascii="Times New Roman" w:hAnsi="Times New Roman" w:cs="Times New Roman"/>
          <w:bCs/>
          <w:sz w:val="24"/>
          <w:szCs w:val="24"/>
        </w:rPr>
        <w:t>, I. (2020). Antioxidants and antioxidant methods: An updated overview. Archives of Toxicology, 94(3), 651–715. https://doi.org/10.1007/s00204-020-02689-3</w:t>
      </w:r>
    </w:p>
    <w:p w14:paraId="5ECC1281" w14:textId="77777777" w:rsidR="002810A4" w:rsidRDefault="00000000">
      <w:pPr>
        <w:spacing w:line="360" w:lineRule="auto"/>
        <w:ind w:left="630" w:hanging="63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Hassan, H. A., Ahmed, H. S., &amp; Hassan, D. F. (2024). Free radicals and oxidative stress: Mechanisms and therapeutic targets. Human Antibodies, 32(4), 151–167. </w:t>
      </w:r>
    </w:p>
    <w:p w14:paraId="55EEC91C" w14:textId="77777777" w:rsidR="002810A4" w:rsidRDefault="00000000">
      <w:pPr>
        <w:spacing w:line="360" w:lineRule="auto"/>
        <w:ind w:left="630" w:hanging="630"/>
        <w:jc w:val="both"/>
        <w:rPr>
          <w:rFonts w:ascii="Times New Roman" w:hAnsi="Times New Roman" w:cs="Times New Roman"/>
          <w:bCs/>
          <w:sz w:val="24"/>
          <w:szCs w:val="24"/>
        </w:rPr>
      </w:pPr>
      <w:proofErr w:type="spellStart"/>
      <w:r>
        <w:rPr>
          <w:rFonts w:ascii="Times New Roman" w:hAnsi="Times New Roman" w:cs="Times New Roman"/>
          <w:bCs/>
          <w:sz w:val="24"/>
          <w:szCs w:val="24"/>
        </w:rPr>
        <w:t>Indriyani</w:t>
      </w:r>
      <w:proofErr w:type="spellEnd"/>
      <w:r>
        <w:rPr>
          <w:rFonts w:ascii="Times New Roman" w:hAnsi="Times New Roman" w:cs="Times New Roman"/>
          <w:bCs/>
          <w:sz w:val="24"/>
          <w:szCs w:val="24"/>
        </w:rPr>
        <w:t xml:space="preserve">, N. N., Al Anshori, J., </w:t>
      </w:r>
      <w:proofErr w:type="spellStart"/>
      <w:r>
        <w:rPr>
          <w:rFonts w:ascii="Times New Roman" w:hAnsi="Times New Roman" w:cs="Times New Roman"/>
          <w:bCs/>
          <w:sz w:val="24"/>
          <w:szCs w:val="24"/>
        </w:rPr>
        <w:t>Permadi</w:t>
      </w:r>
      <w:proofErr w:type="spellEnd"/>
      <w:r>
        <w:rPr>
          <w:rFonts w:ascii="Times New Roman" w:hAnsi="Times New Roman" w:cs="Times New Roman"/>
          <w:bCs/>
          <w:sz w:val="24"/>
          <w:szCs w:val="24"/>
        </w:rPr>
        <w:t xml:space="preserve">, N. &amp; </w:t>
      </w:r>
      <w:proofErr w:type="spellStart"/>
      <w:r>
        <w:rPr>
          <w:rFonts w:ascii="Times New Roman" w:hAnsi="Times New Roman" w:cs="Times New Roman"/>
          <w:bCs/>
          <w:sz w:val="24"/>
          <w:szCs w:val="24"/>
        </w:rPr>
        <w:t>Julaeha</w:t>
      </w:r>
      <w:proofErr w:type="spellEnd"/>
      <w:r>
        <w:rPr>
          <w:rFonts w:ascii="Times New Roman" w:hAnsi="Times New Roman" w:cs="Times New Roman"/>
          <w:bCs/>
          <w:sz w:val="24"/>
          <w:szCs w:val="24"/>
        </w:rPr>
        <w:t xml:space="preserve">, E. (2023). Bioactive components and biological activities of Citrus aurantifolia for food and health applications. Foods, 12(10), 2036. </w:t>
      </w:r>
      <w:hyperlink r:id="rId14" w:history="1">
        <w:r w:rsidR="002810A4">
          <w:rPr>
            <w:rStyle w:val="Hyperlink"/>
            <w:rFonts w:ascii="Times New Roman" w:hAnsi="Times New Roman" w:cs="Times New Roman"/>
            <w:bCs/>
            <w:sz w:val="24"/>
            <w:szCs w:val="24"/>
          </w:rPr>
          <w:t>https://doi.org/10.3390/foods12102036</w:t>
        </w:r>
      </w:hyperlink>
      <w:r>
        <w:rPr>
          <w:rFonts w:ascii="Times New Roman" w:hAnsi="Times New Roman" w:cs="Times New Roman"/>
          <w:bCs/>
          <w:sz w:val="24"/>
          <w:szCs w:val="24"/>
        </w:rPr>
        <w:t>.</w:t>
      </w:r>
    </w:p>
    <w:p w14:paraId="44A626BD" w14:textId="77777777" w:rsidR="002810A4" w:rsidRDefault="00000000">
      <w:pPr>
        <w:spacing w:line="360" w:lineRule="auto"/>
        <w:ind w:left="630" w:hanging="630"/>
        <w:jc w:val="both"/>
        <w:rPr>
          <w:rFonts w:ascii="Times New Roman" w:hAnsi="Times New Roman" w:cs="Times New Roman"/>
          <w:bCs/>
          <w:sz w:val="24"/>
          <w:szCs w:val="24"/>
        </w:rPr>
      </w:pPr>
      <w:r>
        <w:rPr>
          <w:rFonts w:ascii="Times New Roman" w:hAnsi="Times New Roman" w:cs="Times New Roman"/>
          <w:bCs/>
          <w:sz w:val="24"/>
          <w:szCs w:val="24"/>
        </w:rPr>
        <w:t xml:space="preserve">Kazeem, M. I., Abimbola, S. G., &amp; </w:t>
      </w:r>
      <w:proofErr w:type="spellStart"/>
      <w:r>
        <w:rPr>
          <w:rFonts w:ascii="Times New Roman" w:hAnsi="Times New Roman" w:cs="Times New Roman"/>
          <w:bCs/>
          <w:sz w:val="24"/>
          <w:szCs w:val="24"/>
        </w:rPr>
        <w:t>Ashafa</w:t>
      </w:r>
      <w:proofErr w:type="spellEnd"/>
      <w:r>
        <w:rPr>
          <w:rFonts w:ascii="Times New Roman" w:hAnsi="Times New Roman" w:cs="Times New Roman"/>
          <w:bCs/>
          <w:sz w:val="24"/>
          <w:szCs w:val="24"/>
        </w:rPr>
        <w:t xml:space="preserve">, A. O. T. (2013). Inhibitory potential of Gossypium arboreum leaf extracts on diabetes key enzymes, alpha-amylase and alpha-glucosidase. Bangladesh Journal of Pharmacology, 8(2), 149–155. </w:t>
      </w:r>
      <w:hyperlink r:id="rId15" w:history="1">
        <w:r w:rsidR="002810A4">
          <w:rPr>
            <w:rStyle w:val="Hyperlink"/>
            <w:rFonts w:ascii="Times New Roman" w:hAnsi="Times New Roman" w:cs="Times New Roman"/>
            <w:bCs/>
            <w:sz w:val="24"/>
            <w:szCs w:val="24"/>
          </w:rPr>
          <w:t>https://doi.org/10.3329/bjp.v8i2. 14152</w:t>
        </w:r>
      </w:hyperlink>
    </w:p>
    <w:p w14:paraId="35290C42" w14:textId="77777777" w:rsidR="002810A4" w:rsidRDefault="00000000">
      <w:pPr>
        <w:spacing w:line="360" w:lineRule="auto"/>
        <w:ind w:left="630" w:hanging="630"/>
        <w:jc w:val="both"/>
        <w:rPr>
          <w:rFonts w:ascii="Times New Roman" w:hAnsi="Times New Roman" w:cs="Times New Roman"/>
          <w:bCs/>
          <w:sz w:val="24"/>
          <w:szCs w:val="24"/>
        </w:rPr>
      </w:pPr>
      <w:r>
        <w:rPr>
          <w:rFonts w:ascii="Times New Roman" w:hAnsi="Times New Roman" w:cs="Times New Roman"/>
          <w:bCs/>
          <w:sz w:val="24"/>
          <w:szCs w:val="24"/>
        </w:rPr>
        <w:t>Mazid, M., Khan, T. A., &amp; Mohammad, F. (2011). Role of secondary metabolites in defense mechanisms of plants. Biology and Medicine, 3(2), 232–249.</w:t>
      </w:r>
    </w:p>
    <w:p w14:paraId="02C81387" w14:textId="77777777" w:rsidR="002810A4" w:rsidRDefault="00000000">
      <w:pPr>
        <w:spacing w:line="360" w:lineRule="auto"/>
        <w:ind w:left="630" w:hanging="630"/>
        <w:jc w:val="both"/>
        <w:rPr>
          <w:rFonts w:ascii="Times New Roman" w:hAnsi="Times New Roman" w:cs="Times New Roman"/>
          <w:bCs/>
          <w:sz w:val="24"/>
          <w:szCs w:val="24"/>
        </w:rPr>
      </w:pPr>
      <w:proofErr w:type="spellStart"/>
      <w:r>
        <w:rPr>
          <w:rFonts w:ascii="Times New Roman" w:hAnsi="Times New Roman" w:cs="Times New Roman"/>
          <w:bCs/>
          <w:sz w:val="24"/>
          <w:szCs w:val="24"/>
        </w:rPr>
        <w:t>Ogunyinka</w:t>
      </w:r>
      <w:proofErr w:type="spellEnd"/>
      <w:r>
        <w:rPr>
          <w:rFonts w:ascii="Times New Roman" w:hAnsi="Times New Roman" w:cs="Times New Roman"/>
          <w:bCs/>
          <w:sz w:val="24"/>
          <w:szCs w:val="24"/>
        </w:rPr>
        <w:t xml:space="preserve">, B. I., Oboh, G., Ademiluyi, A. O., &amp; Boligon, A. A. (2016). Inhibitory effect of aqueous extract of different parts of </w:t>
      </w:r>
      <w:r>
        <w:rPr>
          <w:rFonts w:ascii="Times New Roman" w:hAnsi="Times New Roman" w:cs="Times New Roman"/>
          <w:bCs/>
          <w:i/>
          <w:sz w:val="24"/>
          <w:szCs w:val="24"/>
        </w:rPr>
        <w:t xml:space="preserve">Gossypium </w:t>
      </w:r>
      <w:proofErr w:type="spellStart"/>
      <w:r>
        <w:rPr>
          <w:rFonts w:ascii="Times New Roman" w:hAnsi="Times New Roman" w:cs="Times New Roman"/>
          <w:bCs/>
          <w:i/>
          <w:sz w:val="24"/>
          <w:szCs w:val="24"/>
        </w:rPr>
        <w:t>herbaceum</w:t>
      </w:r>
      <w:proofErr w:type="spellEnd"/>
      <w:r>
        <w:rPr>
          <w:rFonts w:ascii="Times New Roman" w:hAnsi="Times New Roman" w:cs="Times New Roman"/>
          <w:bCs/>
          <w:sz w:val="24"/>
          <w:szCs w:val="24"/>
        </w:rPr>
        <w:t xml:space="preserve"> on key enzymes linked with type 2 diabetes and oxidative stress in rat pancreas </w:t>
      </w:r>
      <w:r>
        <w:rPr>
          <w:rFonts w:ascii="Times New Roman" w:hAnsi="Times New Roman" w:cs="Times New Roman"/>
          <w:bCs/>
          <w:i/>
          <w:sz w:val="24"/>
          <w:szCs w:val="24"/>
        </w:rPr>
        <w:t>in vitro</w:t>
      </w:r>
      <w:r>
        <w:rPr>
          <w:rFonts w:ascii="Times New Roman" w:hAnsi="Times New Roman" w:cs="Times New Roman"/>
          <w:bCs/>
          <w:sz w:val="24"/>
          <w:szCs w:val="24"/>
        </w:rPr>
        <w:t>. Journal of Basic and Applied Sciences, 5(2), 180–186. https://doi.org/10.1016/j.bjbas.2016.05.003</w:t>
      </w:r>
    </w:p>
    <w:p w14:paraId="50A1C376" w14:textId="77777777" w:rsidR="002810A4" w:rsidRDefault="00000000">
      <w:pPr>
        <w:spacing w:line="360" w:lineRule="auto"/>
        <w:ind w:left="630" w:hanging="630"/>
        <w:jc w:val="both"/>
        <w:rPr>
          <w:rFonts w:ascii="Times New Roman" w:hAnsi="Times New Roman" w:cs="Times New Roman"/>
          <w:bCs/>
          <w:sz w:val="24"/>
          <w:szCs w:val="24"/>
        </w:rPr>
      </w:pPr>
      <w:r>
        <w:rPr>
          <w:rFonts w:ascii="Times New Roman" w:hAnsi="Times New Roman" w:cs="Times New Roman"/>
          <w:bCs/>
          <w:sz w:val="24"/>
          <w:szCs w:val="24"/>
        </w:rPr>
        <w:t xml:space="preserve">Okunlola, A., </w:t>
      </w:r>
      <w:proofErr w:type="spellStart"/>
      <w:r>
        <w:rPr>
          <w:rFonts w:ascii="Times New Roman" w:hAnsi="Times New Roman" w:cs="Times New Roman"/>
          <w:bCs/>
          <w:sz w:val="24"/>
          <w:szCs w:val="24"/>
        </w:rPr>
        <w:t>Adewoyin</w:t>
      </w:r>
      <w:proofErr w:type="spellEnd"/>
      <w:r>
        <w:rPr>
          <w:rFonts w:ascii="Times New Roman" w:hAnsi="Times New Roman" w:cs="Times New Roman"/>
          <w:bCs/>
          <w:sz w:val="24"/>
          <w:szCs w:val="24"/>
        </w:rPr>
        <w:t xml:space="preserve">, A. G. &amp; Odeku, O. A. (2021). Chemical composition of </w:t>
      </w:r>
      <w:r>
        <w:rPr>
          <w:rFonts w:ascii="Times New Roman" w:hAnsi="Times New Roman" w:cs="Times New Roman"/>
          <w:bCs/>
          <w:i/>
          <w:sz w:val="24"/>
          <w:szCs w:val="24"/>
        </w:rPr>
        <w:t xml:space="preserve">Gossypium </w:t>
      </w:r>
      <w:proofErr w:type="spellStart"/>
      <w:r>
        <w:rPr>
          <w:rFonts w:ascii="Times New Roman" w:hAnsi="Times New Roman" w:cs="Times New Roman"/>
          <w:bCs/>
          <w:i/>
          <w:sz w:val="24"/>
          <w:szCs w:val="24"/>
        </w:rPr>
        <w:t>herbaceum</w:t>
      </w:r>
      <w:proofErr w:type="spellEnd"/>
      <w:r>
        <w:rPr>
          <w:rFonts w:ascii="Times New Roman" w:hAnsi="Times New Roman" w:cs="Times New Roman"/>
          <w:bCs/>
          <w:i/>
          <w:sz w:val="24"/>
          <w:szCs w:val="24"/>
        </w:rPr>
        <w:t xml:space="preserve"> Linn</w:t>
      </w:r>
      <w:r>
        <w:rPr>
          <w:rFonts w:ascii="Times New Roman" w:hAnsi="Times New Roman" w:cs="Times New Roman"/>
          <w:bCs/>
          <w:sz w:val="24"/>
          <w:szCs w:val="24"/>
        </w:rPr>
        <w:t xml:space="preserve"> and its antioxidant, antibacterial, cytotoxic and antimalarial activities. Clinical Complementary Medicine and Pharmacology, 1(1), 100008. </w:t>
      </w:r>
      <w:hyperlink r:id="rId16" w:history="1">
        <w:r w:rsidR="002810A4">
          <w:rPr>
            <w:rStyle w:val="Hyperlink"/>
            <w:rFonts w:ascii="Times New Roman" w:hAnsi="Times New Roman" w:cs="Times New Roman"/>
            <w:bCs/>
            <w:sz w:val="24"/>
            <w:szCs w:val="24"/>
          </w:rPr>
          <w:t>https://doi.org/</w:t>
        </w:r>
      </w:hyperlink>
      <w:r>
        <w:rPr>
          <w:rFonts w:ascii="Times New Roman" w:hAnsi="Times New Roman" w:cs="Times New Roman"/>
          <w:bCs/>
          <w:sz w:val="24"/>
          <w:szCs w:val="24"/>
        </w:rPr>
        <w:t xml:space="preserve"> 10.1016/ j.ccmp.2021.100008 </w:t>
      </w:r>
    </w:p>
    <w:p w14:paraId="68D46028" w14:textId="77777777" w:rsidR="002810A4" w:rsidRDefault="00000000">
      <w:pPr>
        <w:spacing w:line="360" w:lineRule="auto"/>
        <w:ind w:left="630" w:hanging="630"/>
        <w:jc w:val="both"/>
        <w:rPr>
          <w:rFonts w:ascii="Times New Roman" w:hAnsi="Times New Roman" w:cs="Times New Roman"/>
          <w:bCs/>
          <w:sz w:val="24"/>
          <w:szCs w:val="24"/>
        </w:rPr>
      </w:pPr>
      <w:proofErr w:type="spellStart"/>
      <w:r>
        <w:rPr>
          <w:rFonts w:ascii="Times New Roman" w:hAnsi="Times New Roman" w:cs="Times New Roman"/>
          <w:bCs/>
          <w:sz w:val="24"/>
          <w:szCs w:val="24"/>
        </w:rPr>
        <w:t>Oloruntola</w:t>
      </w:r>
      <w:proofErr w:type="spellEnd"/>
      <w:r>
        <w:rPr>
          <w:rFonts w:ascii="Times New Roman" w:hAnsi="Times New Roman" w:cs="Times New Roman"/>
          <w:bCs/>
          <w:sz w:val="24"/>
          <w:szCs w:val="24"/>
        </w:rPr>
        <w:t xml:space="preserve">, O.D. &amp; Ayodele, S.O. (2022). Phytochemical, proximate and mineral composition, antioxidant and antidiabetic properties evaluation and comparison of mistletoe leaves from moringa and </w:t>
      </w:r>
      <w:proofErr w:type="spellStart"/>
      <w:r>
        <w:rPr>
          <w:rFonts w:ascii="Times New Roman" w:hAnsi="Times New Roman" w:cs="Times New Roman"/>
          <w:bCs/>
          <w:sz w:val="24"/>
          <w:szCs w:val="24"/>
        </w:rPr>
        <w:t>kolanut</w:t>
      </w:r>
      <w:proofErr w:type="spellEnd"/>
      <w:r>
        <w:rPr>
          <w:rFonts w:ascii="Times New Roman" w:hAnsi="Times New Roman" w:cs="Times New Roman"/>
          <w:bCs/>
          <w:sz w:val="24"/>
          <w:szCs w:val="24"/>
        </w:rPr>
        <w:t xml:space="preserve"> trees. Turkish J Agri Food Sci Technol, 10(8): 1524-1531. </w:t>
      </w:r>
      <w:hyperlink r:id="rId17" w:history="1">
        <w:r w:rsidR="002810A4">
          <w:rPr>
            <w:rStyle w:val="Hyperlink"/>
            <w:rFonts w:ascii="Times New Roman" w:hAnsi="Times New Roman" w:cs="Times New Roman"/>
            <w:bCs/>
            <w:sz w:val="24"/>
            <w:szCs w:val="24"/>
          </w:rPr>
          <w:t>https://doi.org/1024925/turjaf.v1018.1524-1531.5134</w:t>
        </w:r>
      </w:hyperlink>
    </w:p>
    <w:p w14:paraId="3679CAA7" w14:textId="77777777" w:rsidR="002810A4" w:rsidRDefault="00000000">
      <w:pPr>
        <w:spacing w:line="360" w:lineRule="auto"/>
        <w:ind w:left="630" w:hanging="630"/>
        <w:jc w:val="both"/>
        <w:rPr>
          <w:rFonts w:ascii="Times New Roman" w:hAnsi="Times New Roman" w:cs="Times New Roman"/>
          <w:b/>
          <w:bCs/>
          <w:sz w:val="24"/>
          <w:szCs w:val="24"/>
        </w:rPr>
      </w:pPr>
      <w:proofErr w:type="spellStart"/>
      <w:r>
        <w:rPr>
          <w:rFonts w:ascii="Times New Roman" w:hAnsi="Times New Roman" w:cs="Times New Roman"/>
          <w:bCs/>
          <w:sz w:val="24"/>
          <w:szCs w:val="24"/>
        </w:rPr>
        <w:t>Onyibe</w:t>
      </w:r>
      <w:proofErr w:type="spellEnd"/>
      <w:r>
        <w:rPr>
          <w:rFonts w:ascii="Times New Roman" w:hAnsi="Times New Roman" w:cs="Times New Roman"/>
          <w:bCs/>
          <w:sz w:val="24"/>
          <w:szCs w:val="24"/>
        </w:rPr>
        <w:t>, P.N., Edo, G.I., Nwosu, L.C. and </w:t>
      </w:r>
      <w:proofErr w:type="spellStart"/>
      <w:r>
        <w:rPr>
          <w:rFonts w:ascii="Times New Roman" w:hAnsi="Times New Roman" w:cs="Times New Roman"/>
          <w:bCs/>
          <w:sz w:val="24"/>
          <w:szCs w:val="24"/>
        </w:rPr>
        <w:t>Ozgor</w:t>
      </w:r>
      <w:proofErr w:type="spellEnd"/>
      <w:r>
        <w:rPr>
          <w:rFonts w:ascii="Times New Roman" w:hAnsi="Times New Roman" w:cs="Times New Roman"/>
          <w:bCs/>
          <w:sz w:val="24"/>
          <w:szCs w:val="24"/>
        </w:rPr>
        <w:t xml:space="preserve">, E.  (2021). Effects of </w:t>
      </w:r>
      <w:r>
        <w:rPr>
          <w:rFonts w:ascii="Times New Roman" w:hAnsi="Times New Roman" w:cs="Times New Roman"/>
          <w:bCs/>
          <w:i/>
          <w:sz w:val="24"/>
          <w:szCs w:val="24"/>
        </w:rPr>
        <w:t>Vernonia amygdalina</w:t>
      </w:r>
      <w:r>
        <w:rPr>
          <w:rFonts w:ascii="Times New Roman" w:hAnsi="Times New Roman" w:cs="Times New Roman"/>
          <w:bCs/>
          <w:sz w:val="24"/>
          <w:szCs w:val="24"/>
        </w:rPr>
        <w:t xml:space="preserve"> fractionate on </w:t>
      </w:r>
      <w:r>
        <w:rPr>
          <w:rFonts w:ascii="Times New Roman" w:hAnsi="Times New Roman" w:cs="Times New Roman"/>
          <w:bCs/>
          <w:i/>
          <w:sz w:val="24"/>
          <w:szCs w:val="24"/>
        </w:rPr>
        <w:t>glutathione reductase</w:t>
      </w:r>
      <w:r>
        <w:rPr>
          <w:rFonts w:ascii="Times New Roman" w:hAnsi="Times New Roman" w:cs="Times New Roman"/>
          <w:bCs/>
          <w:sz w:val="24"/>
          <w:szCs w:val="24"/>
        </w:rPr>
        <w:t xml:space="preserve"> and </w:t>
      </w:r>
      <w:r>
        <w:rPr>
          <w:rFonts w:ascii="Times New Roman" w:hAnsi="Times New Roman" w:cs="Times New Roman"/>
          <w:bCs/>
          <w:i/>
          <w:sz w:val="24"/>
          <w:szCs w:val="24"/>
        </w:rPr>
        <w:t>glutathione-S-transferase</w:t>
      </w:r>
      <w:r>
        <w:rPr>
          <w:rFonts w:ascii="Times New Roman" w:hAnsi="Times New Roman" w:cs="Times New Roman"/>
          <w:bCs/>
          <w:sz w:val="24"/>
          <w:szCs w:val="24"/>
        </w:rPr>
        <w:t xml:space="preserve"> on </w:t>
      </w:r>
      <w:r>
        <w:rPr>
          <w:rFonts w:ascii="Times New Roman" w:hAnsi="Times New Roman" w:cs="Times New Roman"/>
          <w:bCs/>
          <w:i/>
          <w:sz w:val="24"/>
          <w:szCs w:val="24"/>
        </w:rPr>
        <w:t>alloxan</w:t>
      </w:r>
      <w:r>
        <w:rPr>
          <w:rFonts w:ascii="Times New Roman" w:hAnsi="Times New Roman" w:cs="Times New Roman"/>
          <w:bCs/>
          <w:sz w:val="24"/>
          <w:szCs w:val="24"/>
        </w:rPr>
        <w:t xml:space="preserve"> induced diabetes </w:t>
      </w:r>
      <w:proofErr w:type="spellStart"/>
      <w:r>
        <w:rPr>
          <w:rFonts w:ascii="Times New Roman" w:hAnsi="Times New Roman" w:cs="Times New Roman"/>
          <w:bCs/>
          <w:sz w:val="24"/>
          <w:szCs w:val="24"/>
        </w:rPr>
        <w:t>wistar</w:t>
      </w:r>
      <w:proofErr w:type="spellEnd"/>
      <w:r>
        <w:rPr>
          <w:rFonts w:ascii="Times New Roman" w:hAnsi="Times New Roman" w:cs="Times New Roman"/>
          <w:bCs/>
          <w:sz w:val="24"/>
          <w:szCs w:val="24"/>
        </w:rPr>
        <w:t xml:space="preserve"> rat. Biocatalysis and Agricultural Biotechnology, 36, Article 102118, 10.1016/j.bcab.2021.102118. </w:t>
      </w:r>
    </w:p>
    <w:p w14:paraId="796046A0" w14:textId="77777777" w:rsidR="002810A4" w:rsidRDefault="00000000">
      <w:pPr>
        <w:spacing w:line="360" w:lineRule="auto"/>
        <w:ind w:left="630" w:hanging="630"/>
        <w:jc w:val="both"/>
        <w:rPr>
          <w:rFonts w:ascii="Times New Roman" w:hAnsi="Times New Roman" w:cs="Times New Roman"/>
          <w:bCs/>
          <w:sz w:val="24"/>
          <w:szCs w:val="24"/>
        </w:rPr>
      </w:pPr>
      <w:r>
        <w:rPr>
          <w:rFonts w:ascii="Times New Roman" w:hAnsi="Times New Roman" w:cs="Times New Roman"/>
          <w:bCs/>
          <w:sz w:val="24"/>
          <w:szCs w:val="24"/>
        </w:rPr>
        <w:t xml:space="preserve">Pan, G., Lu, Y., Wei, Z., Li, Y., Li, L., &amp; Pan, X. (2024). A review on the in vitro and in vivo screening of α-glucosidase inhibitors. Heliyon, 10(18), e37467. </w:t>
      </w:r>
      <w:hyperlink r:id="rId18" w:history="1">
        <w:r w:rsidR="002810A4">
          <w:rPr>
            <w:rStyle w:val="Hyperlink"/>
            <w:rFonts w:ascii="Times New Roman" w:hAnsi="Times New Roman" w:cs="Times New Roman"/>
            <w:bCs/>
            <w:sz w:val="24"/>
            <w:szCs w:val="24"/>
          </w:rPr>
          <w:t>https://doi.org/10.1016/ j.heliyon.2024.e37467</w:t>
        </w:r>
      </w:hyperlink>
      <w:r>
        <w:rPr>
          <w:rFonts w:ascii="Times New Roman" w:hAnsi="Times New Roman" w:cs="Times New Roman"/>
          <w:bCs/>
          <w:sz w:val="24"/>
          <w:szCs w:val="24"/>
        </w:rPr>
        <w:t>.</w:t>
      </w:r>
    </w:p>
    <w:p w14:paraId="7D825FC8" w14:textId="77777777" w:rsidR="002810A4" w:rsidRDefault="00000000">
      <w:pPr>
        <w:spacing w:line="360" w:lineRule="auto"/>
        <w:ind w:left="630" w:hanging="63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Patel, D. K., Prasad, S. K., Kumar, R., &amp; Hemalatha, S. (2022). An overview on antidiabetic medicinal plants having insulin mimetic property. Asian Pacific Journal of Tropical Biomedicine, 12(2), 59–76. </w:t>
      </w:r>
      <w:hyperlink r:id="rId19" w:history="1">
        <w:r w:rsidR="002810A4">
          <w:rPr>
            <w:rStyle w:val="Hyperlink"/>
            <w:rFonts w:ascii="Times New Roman" w:hAnsi="Times New Roman" w:cs="Times New Roman"/>
            <w:bCs/>
            <w:sz w:val="24"/>
            <w:szCs w:val="24"/>
          </w:rPr>
          <w:t>https://doi.org/10.4103/2221-1691.337326</w:t>
        </w:r>
      </w:hyperlink>
    </w:p>
    <w:p w14:paraId="0DA17F02" w14:textId="77777777" w:rsidR="002810A4" w:rsidRDefault="00000000">
      <w:pPr>
        <w:spacing w:line="360" w:lineRule="auto"/>
        <w:ind w:left="630" w:hanging="630"/>
        <w:jc w:val="both"/>
        <w:rPr>
          <w:rFonts w:ascii="Times New Roman" w:hAnsi="Times New Roman" w:cs="Times New Roman"/>
          <w:bCs/>
          <w:sz w:val="24"/>
          <w:szCs w:val="24"/>
        </w:rPr>
      </w:pPr>
      <w:r>
        <w:rPr>
          <w:rFonts w:ascii="Times New Roman" w:hAnsi="Times New Roman" w:cs="Times New Roman"/>
          <w:bCs/>
          <w:sz w:val="24"/>
          <w:szCs w:val="24"/>
        </w:rPr>
        <w:t>Rizvi, S. I. &amp; Mishra, N. (2009). Traditional Indian medicines used for the management of diabetes mellitus. Journal of Diabetes Research and Clinical Metabolism, 1(1), 1–7.</w:t>
      </w:r>
    </w:p>
    <w:p w14:paraId="0792333E" w14:textId="77777777" w:rsidR="002810A4" w:rsidRDefault="00000000">
      <w:pPr>
        <w:spacing w:line="360" w:lineRule="auto"/>
        <w:ind w:left="630" w:hanging="630"/>
        <w:jc w:val="both"/>
        <w:rPr>
          <w:rFonts w:ascii="Times New Roman" w:hAnsi="Times New Roman" w:cs="Times New Roman"/>
          <w:bCs/>
          <w:sz w:val="24"/>
          <w:szCs w:val="24"/>
        </w:rPr>
      </w:pPr>
      <w:r>
        <w:rPr>
          <w:rFonts w:ascii="Times New Roman" w:hAnsi="Times New Roman" w:cs="Times New Roman"/>
          <w:bCs/>
          <w:sz w:val="24"/>
          <w:szCs w:val="24"/>
        </w:rPr>
        <w:t xml:space="preserve">Saeedi, P., Petersohn, I. &amp; </w:t>
      </w:r>
      <w:proofErr w:type="spellStart"/>
      <w:r>
        <w:rPr>
          <w:rFonts w:ascii="Times New Roman" w:hAnsi="Times New Roman" w:cs="Times New Roman"/>
          <w:bCs/>
          <w:sz w:val="24"/>
          <w:szCs w:val="24"/>
        </w:rPr>
        <w:t>Salpea</w:t>
      </w:r>
      <w:proofErr w:type="spellEnd"/>
      <w:r>
        <w:rPr>
          <w:rFonts w:ascii="Times New Roman" w:hAnsi="Times New Roman" w:cs="Times New Roman"/>
          <w:bCs/>
          <w:sz w:val="24"/>
          <w:szCs w:val="24"/>
        </w:rPr>
        <w:t xml:space="preserve">, P., </w:t>
      </w:r>
      <w:r>
        <w:rPr>
          <w:rFonts w:ascii="Times New Roman" w:hAnsi="Times New Roman" w:cs="Times New Roman"/>
          <w:bCs/>
          <w:i/>
          <w:sz w:val="24"/>
          <w:szCs w:val="24"/>
        </w:rPr>
        <w:t>et al</w:t>
      </w:r>
      <w:r>
        <w:rPr>
          <w:rFonts w:ascii="Times New Roman" w:hAnsi="Times New Roman" w:cs="Times New Roman"/>
          <w:bCs/>
          <w:sz w:val="24"/>
          <w:szCs w:val="24"/>
        </w:rPr>
        <w:t xml:space="preserve">. (2019). Global and regional diabetes prevalence estimates for 2019 and projections for 2030 and 2045. Diabetes Research and Clinical Practice, 157, 107843. </w:t>
      </w:r>
      <w:hyperlink r:id="rId20" w:history="1">
        <w:r w:rsidR="002810A4">
          <w:rPr>
            <w:rStyle w:val="Hyperlink"/>
            <w:rFonts w:ascii="Times New Roman" w:hAnsi="Times New Roman" w:cs="Times New Roman"/>
            <w:bCs/>
            <w:sz w:val="24"/>
            <w:szCs w:val="24"/>
          </w:rPr>
          <w:t>https://doi.org/10.1016/j.diabres.2019.107843</w:t>
        </w:r>
      </w:hyperlink>
      <w:r>
        <w:rPr>
          <w:rFonts w:ascii="Times New Roman" w:hAnsi="Times New Roman" w:cs="Times New Roman"/>
          <w:bCs/>
          <w:sz w:val="24"/>
          <w:szCs w:val="24"/>
        </w:rPr>
        <w:t>.</w:t>
      </w:r>
    </w:p>
    <w:p w14:paraId="0EC477E4" w14:textId="77777777" w:rsidR="002810A4" w:rsidRDefault="00000000">
      <w:pPr>
        <w:spacing w:line="360" w:lineRule="auto"/>
        <w:ind w:left="630" w:hanging="630"/>
        <w:jc w:val="both"/>
        <w:rPr>
          <w:rFonts w:ascii="Times New Roman" w:hAnsi="Times New Roman" w:cs="Times New Roman"/>
          <w:bCs/>
          <w:sz w:val="24"/>
          <w:szCs w:val="24"/>
        </w:rPr>
      </w:pPr>
      <w:r>
        <w:rPr>
          <w:rFonts w:ascii="Times New Roman" w:hAnsi="Times New Roman" w:cs="Times New Roman"/>
          <w:bCs/>
          <w:sz w:val="24"/>
          <w:szCs w:val="24"/>
        </w:rPr>
        <w:t xml:space="preserve">Shahidi, F. &amp; Zhong, Y. (2015). Measurement of antioxidant activity in food and biological systems. Journal of Functional Foods, 18, 757–781. </w:t>
      </w:r>
      <w:hyperlink r:id="rId21" w:history="1">
        <w:r w:rsidR="002810A4">
          <w:rPr>
            <w:rStyle w:val="Hyperlink"/>
            <w:rFonts w:ascii="Times New Roman" w:hAnsi="Times New Roman" w:cs="Times New Roman"/>
            <w:bCs/>
            <w:sz w:val="24"/>
            <w:szCs w:val="24"/>
          </w:rPr>
          <w:t>https://doi.org/10.1016/j.jff.2015. 01.047</w:t>
        </w:r>
      </w:hyperlink>
      <w:r>
        <w:rPr>
          <w:rFonts w:ascii="Times New Roman" w:hAnsi="Times New Roman" w:cs="Times New Roman"/>
          <w:bCs/>
          <w:sz w:val="24"/>
          <w:szCs w:val="24"/>
        </w:rPr>
        <w:t>.</w:t>
      </w:r>
    </w:p>
    <w:p w14:paraId="2238194E" w14:textId="77777777" w:rsidR="002810A4" w:rsidRDefault="00000000">
      <w:pPr>
        <w:spacing w:line="360" w:lineRule="auto"/>
        <w:ind w:left="630" w:hanging="630"/>
        <w:jc w:val="both"/>
        <w:rPr>
          <w:rFonts w:ascii="Times New Roman" w:hAnsi="Times New Roman" w:cs="Times New Roman"/>
          <w:bCs/>
          <w:sz w:val="24"/>
          <w:szCs w:val="24"/>
        </w:rPr>
      </w:pPr>
      <w:r>
        <w:rPr>
          <w:rFonts w:ascii="Times New Roman" w:hAnsi="Times New Roman" w:cs="Times New Roman"/>
          <w:bCs/>
          <w:sz w:val="24"/>
          <w:szCs w:val="24"/>
        </w:rPr>
        <w:t>Wackers, F.L. &amp; Wunderlin, R.</w:t>
      </w:r>
      <w:r>
        <w:rPr>
          <w:rFonts w:ascii="Times New Roman" w:hAnsi="Times New Roman" w:cs="Times New Roman"/>
          <w:bCs/>
          <w:i/>
          <w:sz w:val="24"/>
          <w:szCs w:val="24"/>
        </w:rPr>
        <w:t xml:space="preserve"> </w:t>
      </w:r>
      <w:r>
        <w:rPr>
          <w:rFonts w:ascii="Times New Roman" w:hAnsi="Times New Roman" w:cs="Times New Roman"/>
          <w:bCs/>
          <w:sz w:val="24"/>
          <w:szCs w:val="24"/>
        </w:rPr>
        <w:t xml:space="preserve"> (1999). Induction of cotton extrafloral nectar production in response to herbivory does not require a herbivore-specific elicitor. In Simpson, Mordue (Luntz), &amp; J. Hardie (Eds.), Proceedings of the 10</w:t>
      </w:r>
      <w:r>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International Symposium on Insect – Plant Relationships Series </w:t>
      </w:r>
      <w:proofErr w:type="spellStart"/>
      <w:r>
        <w:rPr>
          <w:rFonts w:ascii="Times New Roman" w:hAnsi="Times New Roman" w:cs="Times New Roman"/>
          <w:bCs/>
          <w:sz w:val="24"/>
          <w:szCs w:val="24"/>
        </w:rPr>
        <w:t>Entomologica</w:t>
      </w:r>
      <w:proofErr w:type="spellEnd"/>
      <w:r>
        <w:rPr>
          <w:rFonts w:ascii="Times New Roman" w:hAnsi="Times New Roman" w:cs="Times New Roman"/>
          <w:bCs/>
          <w:sz w:val="24"/>
          <w:szCs w:val="24"/>
        </w:rPr>
        <w:t>, Vol. 56, pp. 149-154.</w:t>
      </w:r>
    </w:p>
    <w:p w14:paraId="5D2F9702" w14:textId="77777777" w:rsidR="002810A4" w:rsidRDefault="00000000">
      <w:pPr>
        <w:spacing w:line="360" w:lineRule="auto"/>
        <w:ind w:left="630" w:hanging="630"/>
        <w:jc w:val="both"/>
        <w:rPr>
          <w:rFonts w:ascii="Times New Roman" w:hAnsi="Times New Roman" w:cs="Times New Roman"/>
          <w:bCs/>
          <w:sz w:val="24"/>
          <w:szCs w:val="24"/>
        </w:rPr>
      </w:pPr>
      <w:r>
        <w:rPr>
          <w:rFonts w:ascii="Times New Roman" w:hAnsi="Times New Roman" w:cs="Times New Roman"/>
          <w:bCs/>
          <w:sz w:val="24"/>
          <w:szCs w:val="24"/>
        </w:rPr>
        <w:t>World Health Organization (2023). Global report on diabetes and metabolic disorders.</w:t>
      </w:r>
    </w:p>
    <w:sectPr w:rsidR="002810A4">
      <w:headerReference w:type="default" r:id="rId22"/>
      <w:footerReference w:type="default" r:id="rId23"/>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46DAA" w14:textId="77777777" w:rsidR="003D5E86" w:rsidRDefault="003D5E86">
      <w:pPr>
        <w:spacing w:after="0" w:line="240" w:lineRule="auto"/>
      </w:pPr>
      <w:r>
        <w:separator/>
      </w:r>
    </w:p>
  </w:endnote>
  <w:endnote w:type="continuationSeparator" w:id="0">
    <w:p w14:paraId="1A3C2843" w14:textId="77777777" w:rsidR="003D5E86" w:rsidRDefault="003D5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E934C" w14:textId="77777777" w:rsidR="002810A4" w:rsidRDefault="00000000">
    <w:pPr>
      <w:pStyle w:val="Footer"/>
      <w:jc w:val="center"/>
    </w:pPr>
    <w:r>
      <w:fldChar w:fldCharType="begin"/>
    </w:r>
    <w:r>
      <w:instrText xml:space="preserve"> PAGE   \* MERGEFORMAT </w:instrText>
    </w:r>
    <w:r>
      <w:fldChar w:fldCharType="separate"/>
    </w:r>
    <w:r>
      <w:rPr>
        <w:noProof/>
      </w:rPr>
      <w:t>15</w:t>
    </w:r>
    <w:r>
      <w:rPr>
        <w:noProof/>
      </w:rPr>
      <w:fldChar w:fldCharType="end"/>
    </w:r>
  </w:p>
  <w:p w14:paraId="5CC5928A" w14:textId="77777777" w:rsidR="002810A4" w:rsidRDefault="00281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485EE" w14:textId="77777777" w:rsidR="003D5E86" w:rsidRDefault="003D5E86">
      <w:pPr>
        <w:spacing w:after="0" w:line="240" w:lineRule="auto"/>
      </w:pPr>
      <w:r>
        <w:separator/>
      </w:r>
    </w:p>
  </w:footnote>
  <w:footnote w:type="continuationSeparator" w:id="0">
    <w:p w14:paraId="3D21D156" w14:textId="77777777" w:rsidR="003D5E86" w:rsidRDefault="003D5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62E40" w14:textId="77777777" w:rsidR="002810A4" w:rsidRDefault="00000000">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0A4"/>
    <w:rsid w:val="002810A4"/>
    <w:rsid w:val="002D4CAC"/>
    <w:rsid w:val="00387EB6"/>
    <w:rsid w:val="00395414"/>
    <w:rsid w:val="003D5E86"/>
    <w:rsid w:val="00413CB8"/>
    <w:rsid w:val="005276E4"/>
    <w:rsid w:val="0075280A"/>
    <w:rsid w:val="008976A5"/>
    <w:rsid w:val="009052EE"/>
    <w:rsid w:val="009E35BB"/>
    <w:rsid w:val="009E75BE"/>
    <w:rsid w:val="00BC293D"/>
    <w:rsid w:val="00C71534"/>
    <w:rsid w:val="00C97494"/>
    <w:rsid w:val="00D10038"/>
    <w:rsid w:val="00E84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0C465"/>
  <w15:docId w15:val="{B63A52AB-4155-4F73-A02C-655F03BCC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Calibri" w:hAnsi="Calibri" w:cs="SimSu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Calibri" w:hAnsi="Calibri" w:cs="SimSun"/>
    </w:rPr>
  </w:style>
  <w:style w:type="character" w:styleId="Hyperlink">
    <w:name w:val="Hyperlink"/>
    <w:basedOn w:val="DefaultParagraphFont"/>
    <w:uiPriority w:val="9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yperlink" Target="https://doi.org/10.3390/%20pr11010185" TargetMode="External"/><Relationship Id="rId18" Type="http://schemas.openxmlformats.org/officeDocument/2006/relationships/hyperlink" Target="https://doi.org/10.1016/%20j.heliyon.2024.e37467" TargetMode="External"/><Relationship Id="rId3" Type="http://schemas.openxmlformats.org/officeDocument/2006/relationships/webSettings" Target="webSettings.xml"/><Relationship Id="rId21" Type="http://schemas.openxmlformats.org/officeDocument/2006/relationships/hyperlink" Target="https://doi.org/10.1016/j.jff.2015.%2001.047" TargetMode="External"/><Relationship Id="rId7" Type="http://schemas.openxmlformats.org/officeDocument/2006/relationships/image" Target="media/image2.emf"/><Relationship Id="rId12" Type="http://schemas.openxmlformats.org/officeDocument/2006/relationships/hyperlink" Target="https://doi.org/10.1016/j.jfca.2021.104171" TargetMode="External"/><Relationship Id="rId17" Type="http://schemas.openxmlformats.org/officeDocument/2006/relationships/hyperlink" Target="https://doi.org/1024925/turjaf.v1018.1524-1531.5134"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doi.org/" TargetMode="External"/><Relationship Id="rId20" Type="http://schemas.openxmlformats.org/officeDocument/2006/relationships/hyperlink" Target="https://doi.org/10.1016/j.diabres.2019.107843"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emf"/><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doi.org/10.3329/bjp.v8i2.%2014152" TargetMode="External"/><Relationship Id="rId23" Type="http://schemas.openxmlformats.org/officeDocument/2006/relationships/footer" Target="footer1.xml"/><Relationship Id="rId10" Type="http://schemas.openxmlformats.org/officeDocument/2006/relationships/image" Target="media/image5.emf"/><Relationship Id="rId19" Type="http://schemas.openxmlformats.org/officeDocument/2006/relationships/hyperlink" Target="https://doi.org/10.4103/2221-1691.337326" TargetMode="External"/><Relationship Id="rId4" Type="http://schemas.openxmlformats.org/officeDocument/2006/relationships/footnotes" Target="footnotes.xml"/><Relationship Id="rId9" Type="http://schemas.openxmlformats.org/officeDocument/2006/relationships/image" Target="media/image4.emf"/><Relationship Id="rId14" Type="http://schemas.openxmlformats.org/officeDocument/2006/relationships/hyperlink" Target="https://doi.org/10.3390/foods12102036"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20</Pages>
  <Words>6139</Words>
  <Characters>34997</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FEDPOFFA</dc:creator>
  <cp:lastModifiedBy>Adewale Irewale</cp:lastModifiedBy>
  <cp:revision>4</cp:revision>
  <dcterms:created xsi:type="dcterms:W3CDTF">2026-04-24T13:54:00Z</dcterms:created>
  <dcterms:modified xsi:type="dcterms:W3CDTF">2026-04-29T22:07:00Z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9983a5954ea24aae99f89e28c9034a93</vt:lpwstr>
  </property>
</Properties>
</file>