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DFAA0" w14:textId="77777777" w:rsidR="00E64041" w:rsidRPr="00946F1D" w:rsidRDefault="00E64041" w:rsidP="00946F1D">
      <w:pPr>
        <w:spacing w:line="360" w:lineRule="auto"/>
        <w:jc w:val="center"/>
        <w:rPr>
          <w:rFonts w:ascii="Times New Roman" w:hAnsi="Times New Roman" w:cs="Times New Roman"/>
          <w:b/>
          <w:bCs/>
          <w:sz w:val="28"/>
          <w:szCs w:val="28"/>
        </w:rPr>
      </w:pPr>
      <w:r w:rsidRPr="00946F1D">
        <w:rPr>
          <w:rFonts w:ascii="Times New Roman" w:hAnsi="Times New Roman" w:cs="Times New Roman"/>
          <w:b/>
          <w:bCs/>
          <w:sz w:val="28"/>
          <w:szCs w:val="28"/>
        </w:rPr>
        <w:t>From Decoction to Evidence: Modern Standardization of Ayurvedic Kwatha and Polyherbal Formulations</w:t>
      </w:r>
    </w:p>
    <w:p w14:paraId="4794E690" w14:textId="4F9FA6BF" w:rsidR="00E64041" w:rsidRPr="00946F1D" w:rsidRDefault="00E64041" w:rsidP="00946F1D">
      <w:pPr>
        <w:spacing w:line="360" w:lineRule="auto"/>
        <w:jc w:val="both"/>
        <w:rPr>
          <w:rFonts w:ascii="Times New Roman" w:hAnsi="Times New Roman" w:cs="Times New Roman"/>
          <w:b/>
          <w:bCs/>
        </w:rPr>
      </w:pPr>
      <w:r w:rsidRPr="00946F1D">
        <w:rPr>
          <w:rFonts w:ascii="Times New Roman" w:hAnsi="Times New Roman" w:cs="Times New Roman"/>
          <w:b/>
          <w:bCs/>
        </w:rPr>
        <w:t xml:space="preserve">Sruthi K.T.K.¹, </w:t>
      </w:r>
      <w:r w:rsidR="004005C0" w:rsidRPr="00946F1D">
        <w:rPr>
          <w:rFonts w:ascii="Times New Roman" w:hAnsi="Times New Roman" w:cs="Times New Roman"/>
          <w:b/>
          <w:bCs/>
        </w:rPr>
        <w:t>Pramod Kumar N.</w:t>
      </w:r>
      <w:r w:rsidR="004005C0" w:rsidRPr="00946F1D">
        <w:rPr>
          <w:rFonts w:ascii="Times New Roman" w:hAnsi="Times New Roman" w:cs="Times New Roman"/>
          <w:b/>
          <w:bCs/>
          <w:vertAlign w:val="superscript"/>
        </w:rPr>
        <w:t>2</w:t>
      </w:r>
      <w:r w:rsidR="004005C0" w:rsidRPr="00946F1D">
        <w:rPr>
          <w:rFonts w:ascii="Times New Roman" w:hAnsi="Times New Roman" w:cs="Times New Roman"/>
          <w:b/>
          <w:bCs/>
        </w:rPr>
        <w:t xml:space="preserve">, </w:t>
      </w:r>
      <w:r w:rsidRPr="00946F1D">
        <w:rPr>
          <w:rFonts w:ascii="Times New Roman" w:hAnsi="Times New Roman" w:cs="Times New Roman"/>
          <w:b/>
          <w:bCs/>
        </w:rPr>
        <w:t>J. B. George.</w:t>
      </w:r>
      <w:r w:rsidR="004005C0" w:rsidRPr="00946F1D">
        <w:rPr>
          <w:rFonts w:ascii="Times New Roman" w:hAnsi="Times New Roman" w:cs="Times New Roman"/>
          <w:b/>
          <w:bCs/>
          <w:vertAlign w:val="superscript"/>
        </w:rPr>
        <w:t>3</w:t>
      </w:r>
      <w:r w:rsidRPr="00946F1D">
        <w:rPr>
          <w:rFonts w:ascii="Times New Roman" w:hAnsi="Times New Roman" w:cs="Times New Roman"/>
          <w:b/>
          <w:bCs/>
        </w:rPr>
        <w:t>, Shinoj Mathew</w:t>
      </w:r>
      <w:r w:rsidR="004005C0" w:rsidRPr="00946F1D">
        <w:rPr>
          <w:rFonts w:ascii="Times New Roman" w:hAnsi="Times New Roman" w:cs="Times New Roman"/>
          <w:b/>
          <w:bCs/>
        </w:rPr>
        <w:t>.</w:t>
      </w:r>
      <w:r w:rsidR="004005C0" w:rsidRPr="00946F1D">
        <w:rPr>
          <w:rFonts w:ascii="Times New Roman" w:hAnsi="Times New Roman" w:cs="Times New Roman"/>
          <w:b/>
          <w:bCs/>
          <w:vertAlign w:val="superscript"/>
        </w:rPr>
        <w:t>4</w:t>
      </w:r>
      <w:r w:rsidRPr="00946F1D">
        <w:rPr>
          <w:rFonts w:ascii="Times New Roman" w:hAnsi="Times New Roman" w:cs="Times New Roman"/>
          <w:b/>
          <w:bCs/>
        </w:rPr>
        <w:t xml:space="preserve"> </w:t>
      </w:r>
    </w:p>
    <w:p w14:paraId="365DF376" w14:textId="6AEAC505" w:rsidR="00E64041" w:rsidRPr="00946F1D" w:rsidRDefault="00E64041" w:rsidP="00946F1D">
      <w:pPr>
        <w:spacing w:line="360" w:lineRule="auto"/>
        <w:jc w:val="both"/>
        <w:rPr>
          <w:rFonts w:ascii="Times New Roman" w:hAnsi="Times New Roman" w:cs="Times New Roman"/>
        </w:rPr>
      </w:pPr>
    </w:p>
    <w:p w14:paraId="4D51C4D7" w14:textId="77777777" w:rsidR="00E64041" w:rsidRPr="00946F1D" w:rsidRDefault="00E64041" w:rsidP="00946F1D">
      <w:pPr>
        <w:spacing w:line="360" w:lineRule="auto"/>
        <w:jc w:val="both"/>
        <w:rPr>
          <w:rFonts w:ascii="Times New Roman" w:hAnsi="Times New Roman" w:cs="Times New Roman"/>
        </w:rPr>
      </w:pPr>
      <w:r w:rsidRPr="00946F1D">
        <w:rPr>
          <w:rFonts w:ascii="Times New Roman" w:hAnsi="Times New Roman" w:cs="Times New Roman"/>
        </w:rPr>
        <w:t>¹ Research and Post Graduate Department of Botany, Mercy College Palakkad, Kerala.</w:t>
      </w:r>
    </w:p>
    <w:p w14:paraId="0425A3B4" w14:textId="4EBAEEFD" w:rsidR="004005C0" w:rsidRPr="00946F1D" w:rsidRDefault="004005C0" w:rsidP="00946F1D">
      <w:pPr>
        <w:spacing w:line="360" w:lineRule="auto"/>
        <w:jc w:val="both"/>
        <w:rPr>
          <w:rFonts w:ascii="Times New Roman" w:hAnsi="Times New Roman" w:cs="Times New Roman"/>
        </w:rPr>
      </w:pPr>
      <w:r w:rsidRPr="00946F1D">
        <w:rPr>
          <w:rFonts w:ascii="Times New Roman" w:hAnsi="Times New Roman" w:cs="Times New Roman"/>
          <w:vertAlign w:val="superscript"/>
        </w:rPr>
        <w:t>2⁎</w:t>
      </w:r>
      <w:r w:rsidRPr="00946F1D">
        <w:rPr>
          <w:rFonts w:ascii="Times New Roman" w:hAnsi="Times New Roman" w:cs="Times New Roman"/>
        </w:rPr>
        <w:t>Corresponding Author: Pramod Kumar N</w:t>
      </w:r>
      <w:r w:rsidR="00D81FBE" w:rsidRPr="00946F1D">
        <w:rPr>
          <w:rFonts w:ascii="Times New Roman" w:hAnsi="Times New Roman" w:cs="Times New Roman"/>
        </w:rPr>
        <w:t>.</w:t>
      </w:r>
      <w:r w:rsidRPr="00946F1D">
        <w:rPr>
          <w:rFonts w:ascii="Times New Roman" w:hAnsi="Times New Roman" w:cs="Times New Roman"/>
        </w:rPr>
        <w:t xml:space="preserve">, Department of Botany, NSS College, </w:t>
      </w:r>
      <w:proofErr w:type="spellStart"/>
      <w:r w:rsidRPr="00946F1D">
        <w:rPr>
          <w:rFonts w:ascii="Times New Roman" w:hAnsi="Times New Roman" w:cs="Times New Roman"/>
        </w:rPr>
        <w:t>Ottapalam</w:t>
      </w:r>
      <w:proofErr w:type="spellEnd"/>
      <w:r w:rsidRPr="00946F1D">
        <w:rPr>
          <w:rFonts w:ascii="Times New Roman" w:hAnsi="Times New Roman" w:cs="Times New Roman"/>
        </w:rPr>
        <w:t>, Palakkad, Kerala, India.</w:t>
      </w:r>
    </w:p>
    <w:p w14:paraId="7C9248D6" w14:textId="6BE06DC1" w:rsidR="00E64041" w:rsidRPr="00946F1D" w:rsidRDefault="004005C0" w:rsidP="00946F1D">
      <w:pPr>
        <w:spacing w:line="360" w:lineRule="auto"/>
        <w:jc w:val="both"/>
        <w:rPr>
          <w:rFonts w:ascii="Times New Roman" w:hAnsi="Times New Roman" w:cs="Times New Roman"/>
        </w:rPr>
      </w:pPr>
      <w:r w:rsidRPr="00946F1D">
        <w:rPr>
          <w:rFonts w:ascii="Times New Roman" w:hAnsi="Times New Roman" w:cs="Times New Roman"/>
          <w:vertAlign w:val="superscript"/>
        </w:rPr>
        <w:t>3</w:t>
      </w:r>
      <w:r w:rsidR="00E64041" w:rsidRPr="00946F1D">
        <w:rPr>
          <w:rFonts w:ascii="Times New Roman" w:hAnsi="Times New Roman" w:cs="Times New Roman"/>
        </w:rPr>
        <w:t>Post Graduate and Research Department of Chemistry, St. Berchmans College (Autonomous), Mahatma Gandhi University, Kottayam, Kerala, India.</w:t>
      </w:r>
    </w:p>
    <w:p w14:paraId="130144BD" w14:textId="6C79DD23" w:rsidR="00E64041" w:rsidRPr="00946F1D" w:rsidRDefault="004005C0" w:rsidP="00946F1D">
      <w:pPr>
        <w:spacing w:line="360" w:lineRule="auto"/>
        <w:jc w:val="both"/>
        <w:rPr>
          <w:rFonts w:ascii="Times New Roman" w:hAnsi="Times New Roman" w:cs="Times New Roman"/>
        </w:rPr>
      </w:pPr>
      <w:r w:rsidRPr="00946F1D">
        <w:rPr>
          <w:rFonts w:ascii="Times New Roman" w:hAnsi="Times New Roman" w:cs="Times New Roman"/>
          <w:vertAlign w:val="superscript"/>
        </w:rPr>
        <w:t>4</w:t>
      </w:r>
      <w:r w:rsidR="00E64041" w:rsidRPr="00946F1D">
        <w:rPr>
          <w:rFonts w:ascii="Times New Roman" w:hAnsi="Times New Roman" w:cs="Times New Roman"/>
        </w:rPr>
        <w:t>Research and Post Graduate Department of Botany, Mercy College Palakkad, Kerala</w:t>
      </w:r>
    </w:p>
    <w:p w14:paraId="09AE5F25" w14:textId="77777777" w:rsidR="00190164" w:rsidRPr="00946F1D" w:rsidRDefault="00190164" w:rsidP="00946F1D">
      <w:pPr>
        <w:spacing w:line="360" w:lineRule="auto"/>
        <w:jc w:val="both"/>
        <w:rPr>
          <w:rFonts w:ascii="Times New Roman" w:hAnsi="Times New Roman" w:cs="Times New Roman"/>
          <w:b/>
          <w:bCs/>
        </w:rPr>
      </w:pPr>
      <w:r w:rsidRPr="00946F1D">
        <w:rPr>
          <w:rFonts w:ascii="Times New Roman" w:hAnsi="Times New Roman" w:cs="Times New Roman"/>
          <w:b/>
          <w:bCs/>
          <w:vertAlign w:val="superscript"/>
        </w:rPr>
        <w:t>*</w:t>
      </w:r>
      <w:r w:rsidRPr="00946F1D">
        <w:rPr>
          <w:rFonts w:ascii="Times New Roman" w:hAnsi="Times New Roman" w:cs="Times New Roman"/>
          <w:b/>
          <w:bCs/>
        </w:rPr>
        <w:t>Corresponding Author’s E-mail: pramodkn27@gmail.com</w:t>
      </w:r>
    </w:p>
    <w:p w14:paraId="44A34B84" w14:textId="77777777" w:rsidR="00E64041" w:rsidRPr="00946F1D" w:rsidRDefault="00E64041" w:rsidP="00946F1D">
      <w:pPr>
        <w:spacing w:line="360" w:lineRule="auto"/>
        <w:jc w:val="center"/>
        <w:rPr>
          <w:rFonts w:ascii="Times New Roman" w:hAnsi="Times New Roman" w:cs="Times New Roman"/>
          <w:b/>
          <w:bCs/>
          <w:sz w:val="24"/>
          <w:szCs w:val="24"/>
        </w:rPr>
      </w:pPr>
    </w:p>
    <w:p w14:paraId="3B14842C" w14:textId="77777777" w:rsidR="00E64041" w:rsidRPr="00946F1D" w:rsidRDefault="00E64041" w:rsidP="00946F1D">
      <w:pPr>
        <w:spacing w:line="360" w:lineRule="auto"/>
        <w:jc w:val="both"/>
        <w:rPr>
          <w:rFonts w:ascii="Times New Roman" w:hAnsi="Times New Roman" w:cs="Times New Roman"/>
          <w:b/>
          <w:bCs/>
          <w:sz w:val="24"/>
          <w:szCs w:val="24"/>
        </w:rPr>
      </w:pPr>
      <w:r w:rsidRPr="00946F1D">
        <w:rPr>
          <w:rFonts w:ascii="Times New Roman" w:hAnsi="Times New Roman" w:cs="Times New Roman"/>
          <w:b/>
          <w:bCs/>
          <w:sz w:val="24"/>
          <w:szCs w:val="24"/>
        </w:rPr>
        <w:t>1. Abstract</w:t>
      </w:r>
    </w:p>
    <w:p w14:paraId="53C79AEA" w14:textId="77777777" w:rsidR="00B51A07" w:rsidRPr="00946F1D" w:rsidRDefault="00B51A07" w:rsidP="00946F1D">
      <w:pPr>
        <w:spacing w:after="0" w:line="360" w:lineRule="auto"/>
        <w:jc w:val="both"/>
        <w:rPr>
          <w:rFonts w:ascii="Times New Roman" w:eastAsia="Times New Roman" w:hAnsi="Times New Roman" w:cs="Times New Roman"/>
          <w:b/>
          <w:bCs/>
          <w:kern w:val="0"/>
          <w:lang w:eastAsia="en-IN"/>
          <w14:ligatures w14:val="none"/>
        </w:rPr>
      </w:pPr>
    </w:p>
    <w:p w14:paraId="499F1FE3" w14:textId="77777777" w:rsidR="00E64041" w:rsidRPr="00946F1D" w:rsidRDefault="00E64041" w:rsidP="00946F1D">
      <w:pPr>
        <w:spacing w:line="360" w:lineRule="auto"/>
        <w:jc w:val="both"/>
        <w:rPr>
          <w:rFonts w:ascii="Times New Roman" w:hAnsi="Times New Roman" w:cs="Times New Roman"/>
        </w:rPr>
      </w:pPr>
      <w:r w:rsidRPr="00946F1D">
        <w:rPr>
          <w:rFonts w:ascii="Times New Roman" w:hAnsi="Times New Roman" w:cs="Times New Roman"/>
        </w:rPr>
        <w:t xml:space="preserve">Standardization of Ayurvedic dosage forms have become a central priority for researchers, industry, and regulators because the clinical credibility of traditional medicines depends on reproducible composition, safety, and performance. Among classical dosage forms, Kwatha Kalpana (aqueous decoctions) represents a foundational extraction technology where heat and water mobilize primarily water-soluble phytochemicals from single or multiple herbs. Despite wide therapeutic use in classical practice, </w:t>
      </w:r>
      <w:proofErr w:type="spellStart"/>
      <w:r w:rsidRPr="00946F1D">
        <w:rPr>
          <w:rFonts w:ascii="Times New Roman" w:hAnsi="Times New Roman" w:cs="Times New Roman"/>
        </w:rPr>
        <w:t>kwathas</w:t>
      </w:r>
      <w:proofErr w:type="spellEnd"/>
      <w:r w:rsidRPr="00946F1D">
        <w:rPr>
          <w:rFonts w:ascii="Times New Roman" w:hAnsi="Times New Roman" w:cs="Times New Roman"/>
        </w:rPr>
        <w:t xml:space="preserve"> face practical barriers in contemporary care, </w:t>
      </w:r>
      <w:proofErr w:type="spellStart"/>
      <w:r w:rsidRPr="00946F1D">
        <w:rPr>
          <w:rFonts w:ascii="Times New Roman" w:hAnsi="Times New Roman" w:cs="Times New Roman"/>
        </w:rPr>
        <w:t>labor-intensive</w:t>
      </w:r>
      <w:proofErr w:type="spellEnd"/>
      <w:r w:rsidRPr="00946F1D">
        <w:rPr>
          <w:rFonts w:ascii="Times New Roman" w:hAnsi="Times New Roman" w:cs="Times New Roman"/>
        </w:rPr>
        <w:t xml:space="preserve"> preparation, short shelf life, batch-to-batch variability, microbial risk, and poor palatability. This review consolidates the historical rationale, formulation principles, preparation variables, and modernization opportunities for kwatha, while emphasizing </w:t>
      </w:r>
      <w:proofErr w:type="spellStart"/>
      <w:r w:rsidRPr="00946F1D">
        <w:rPr>
          <w:rFonts w:ascii="Times New Roman" w:hAnsi="Times New Roman" w:cs="Times New Roman"/>
        </w:rPr>
        <w:t>polyherbalism</w:t>
      </w:r>
      <w:proofErr w:type="spellEnd"/>
      <w:r w:rsidRPr="00946F1D">
        <w:rPr>
          <w:rFonts w:ascii="Times New Roman" w:hAnsi="Times New Roman" w:cs="Times New Roman"/>
        </w:rPr>
        <w:t xml:space="preserve"> as a systems-based strategy that can enhance efficacy through pharmacodynamic complementarity, improved bioavailability, and multi-target action. We synthesize current evidence on analytical standardization (organoleptic/physicochemical indices, microbial/heavy-metal limits, and chromatographic fingerprints) and highlight validated platforms such as HPTLC/HPLC marker quantification—including examples where andrographolide served as a robust marker for a classical decoction standardization workflow. We further outline practical, regulator-aligned pathways, process controls, preservative rationalization, and stability-guided formulation redesign to enable clinically relevant, scalable, and quality-assured kwatha products.</w:t>
      </w:r>
    </w:p>
    <w:p w14:paraId="78972366" w14:textId="77777777" w:rsidR="00E64041" w:rsidRPr="00946F1D" w:rsidRDefault="00E64041" w:rsidP="00946F1D">
      <w:pPr>
        <w:spacing w:line="360" w:lineRule="auto"/>
        <w:jc w:val="both"/>
        <w:rPr>
          <w:rFonts w:ascii="Times New Roman" w:hAnsi="Times New Roman" w:cs="Times New Roman"/>
        </w:rPr>
      </w:pPr>
      <w:r w:rsidRPr="00946F1D">
        <w:rPr>
          <w:rFonts w:ascii="Times New Roman" w:hAnsi="Times New Roman" w:cs="Times New Roman"/>
          <w:b/>
          <w:bCs/>
        </w:rPr>
        <w:lastRenderedPageBreak/>
        <w:t>Keywords:</w:t>
      </w:r>
      <w:r w:rsidRPr="00946F1D">
        <w:rPr>
          <w:rFonts w:ascii="Times New Roman" w:hAnsi="Times New Roman" w:cs="Times New Roman"/>
        </w:rPr>
        <w:t xml:space="preserve"> Kwatha (Kashaya), </w:t>
      </w:r>
      <w:proofErr w:type="spellStart"/>
      <w:r w:rsidRPr="00946F1D">
        <w:rPr>
          <w:rFonts w:ascii="Times New Roman" w:hAnsi="Times New Roman" w:cs="Times New Roman"/>
        </w:rPr>
        <w:t>polyherbalism</w:t>
      </w:r>
      <w:proofErr w:type="spellEnd"/>
      <w:r w:rsidRPr="00946F1D">
        <w:rPr>
          <w:rFonts w:ascii="Times New Roman" w:hAnsi="Times New Roman" w:cs="Times New Roman"/>
        </w:rPr>
        <w:t>, synergy, standardization, HPTLC, HPLC, GC–MS, LC–MS/MS, quality control.</w:t>
      </w:r>
    </w:p>
    <w:p w14:paraId="3E247092" w14:textId="77777777" w:rsidR="00976B67" w:rsidRPr="00946F1D" w:rsidRDefault="00976B67" w:rsidP="00946F1D">
      <w:pPr>
        <w:spacing w:after="0" w:line="360" w:lineRule="auto"/>
        <w:jc w:val="both"/>
        <w:rPr>
          <w:rFonts w:ascii="Times New Roman" w:eastAsia="Times New Roman" w:hAnsi="Times New Roman" w:cs="Times New Roman"/>
          <w:kern w:val="0"/>
          <w:lang w:eastAsia="en-IN"/>
          <w14:ligatures w14:val="none"/>
        </w:rPr>
      </w:pPr>
    </w:p>
    <w:p w14:paraId="185FF07E"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2F8C9EC4"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42A1E06E"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44F5739B" w14:textId="73C2244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noProof/>
          <w:kern w:val="0"/>
          <w:lang w:eastAsia="en-IN"/>
          <w14:ligatures w14:val="none"/>
        </w:rPr>
        <w:drawing>
          <wp:anchor distT="0" distB="0" distL="114300" distR="114300" simplePos="0" relativeHeight="251660288" behindDoc="0" locked="0" layoutInCell="1" allowOverlap="1" wp14:anchorId="4460B664" wp14:editId="0C56640C">
            <wp:simplePos x="0" y="0"/>
            <wp:positionH relativeFrom="column">
              <wp:posOffset>822960</wp:posOffset>
            </wp:positionH>
            <wp:positionV relativeFrom="paragraph">
              <wp:posOffset>175260</wp:posOffset>
            </wp:positionV>
            <wp:extent cx="3962400" cy="4549140"/>
            <wp:effectExtent l="0" t="0" r="0" b="3810"/>
            <wp:wrapTight wrapText="bothSides">
              <wp:wrapPolygon edited="0">
                <wp:start x="0" y="0"/>
                <wp:lineTo x="0" y="21528"/>
                <wp:lineTo x="21496" y="21528"/>
                <wp:lineTo x="21496" y="0"/>
                <wp:lineTo x="0" y="0"/>
              </wp:wrapPolygon>
            </wp:wrapTight>
            <wp:docPr id="1372493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93547" name=""/>
                    <pic:cNvPicPr/>
                  </pic:nvPicPr>
                  <pic:blipFill>
                    <a:blip r:embed="rId6"/>
                    <a:stretch>
                      <a:fillRect/>
                    </a:stretch>
                  </pic:blipFill>
                  <pic:spPr>
                    <a:xfrm>
                      <a:off x="0" y="0"/>
                      <a:ext cx="3962400" cy="4549140"/>
                    </a:xfrm>
                    <a:prstGeom prst="rect">
                      <a:avLst/>
                    </a:prstGeom>
                  </pic:spPr>
                </pic:pic>
              </a:graphicData>
            </a:graphic>
          </wp:anchor>
        </w:drawing>
      </w:r>
      <w:r w:rsidRPr="00946F1D">
        <w:rPr>
          <w:rFonts w:ascii="Times New Roman" w:eastAsia="Times New Roman" w:hAnsi="Times New Roman" w:cs="Times New Roman"/>
          <w:b/>
          <w:bCs/>
          <w:kern w:val="0"/>
          <w:lang w:eastAsia="en-IN"/>
          <w14:ligatures w14:val="none"/>
        </w:rPr>
        <w:t xml:space="preserve">                          </w:t>
      </w:r>
    </w:p>
    <w:p w14:paraId="7C47F581"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415F60D6"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048E93FE"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09276EDE"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2C21CEE7"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50E1891E"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40B0CB73"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30F88D6B"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620AC277"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2CB8EAC4"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71A55684"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47730FDE"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0E7C4892"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7181A454"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70172C47"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66107250"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784ECC9D"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37192CC7"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589AFF59"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168C9D97"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60EA672E"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6343A218"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1F7687B5"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5329B19E"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08A818FD"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4BCAA7CC"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22851DF8"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428A3F17" w14:textId="77777777" w:rsidR="00946F1D" w:rsidRDefault="00DE31A4"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 xml:space="preserve">                                                             </w:t>
      </w:r>
    </w:p>
    <w:p w14:paraId="2B2864E8" w14:textId="77777777" w:rsidR="00946F1D" w:rsidRDefault="00946F1D" w:rsidP="00946F1D">
      <w:pPr>
        <w:spacing w:after="0" w:line="360" w:lineRule="auto"/>
        <w:jc w:val="both"/>
        <w:rPr>
          <w:rFonts w:ascii="Times New Roman" w:eastAsia="Times New Roman" w:hAnsi="Times New Roman" w:cs="Times New Roman"/>
          <w:b/>
          <w:bCs/>
          <w:kern w:val="0"/>
          <w:lang w:eastAsia="en-IN"/>
          <w14:ligatures w14:val="none"/>
        </w:rPr>
      </w:pPr>
    </w:p>
    <w:p w14:paraId="5BAD3455" w14:textId="77777777" w:rsidR="00946F1D" w:rsidRDefault="00946F1D" w:rsidP="00946F1D">
      <w:pPr>
        <w:spacing w:after="0" w:line="360" w:lineRule="auto"/>
        <w:jc w:val="both"/>
        <w:rPr>
          <w:rFonts w:ascii="Times New Roman" w:eastAsia="Times New Roman" w:hAnsi="Times New Roman" w:cs="Times New Roman"/>
          <w:b/>
          <w:bCs/>
          <w:kern w:val="0"/>
          <w:lang w:eastAsia="en-IN"/>
          <w14:ligatures w14:val="none"/>
        </w:rPr>
      </w:pPr>
    </w:p>
    <w:p w14:paraId="6ADD53F6" w14:textId="47B3E6E2" w:rsidR="00E54671" w:rsidRPr="00946F1D" w:rsidRDefault="00DE31A4" w:rsidP="00946F1D">
      <w:pPr>
        <w:spacing w:after="0" w:line="360" w:lineRule="auto"/>
        <w:jc w:val="both"/>
        <w:rPr>
          <w:rFonts w:ascii="Times New Roman" w:eastAsia="Times New Roman" w:hAnsi="Times New Roman" w:cs="Times New Roman"/>
          <w:b/>
          <w:bCs/>
          <w:i/>
          <w:iCs/>
          <w:kern w:val="0"/>
          <w:lang w:eastAsia="en-IN"/>
          <w14:ligatures w14:val="none"/>
        </w:rPr>
      </w:pPr>
      <w:r w:rsidRPr="00946F1D">
        <w:rPr>
          <w:rFonts w:ascii="Times New Roman" w:eastAsia="Times New Roman" w:hAnsi="Times New Roman" w:cs="Times New Roman"/>
          <w:b/>
          <w:bCs/>
          <w:i/>
          <w:iCs/>
          <w:kern w:val="0"/>
          <w:lang w:eastAsia="en-IN"/>
          <w14:ligatures w14:val="none"/>
        </w:rPr>
        <w:t>Graphical Abstract</w:t>
      </w:r>
    </w:p>
    <w:p w14:paraId="1D12B2B0"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3485F9B0"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386A1404"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765F86D0"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7621ED01"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57985205" w14:textId="606F7DE0" w:rsidR="00DE31A4" w:rsidRPr="00946F1D" w:rsidRDefault="00DE31A4" w:rsidP="00946F1D">
      <w:pPr>
        <w:spacing w:line="360" w:lineRule="auto"/>
        <w:jc w:val="both"/>
        <w:rPr>
          <w:rFonts w:ascii="Times New Roman" w:hAnsi="Times New Roman" w:cs="Times New Roman"/>
          <w:b/>
          <w:bCs/>
          <w:sz w:val="28"/>
          <w:szCs w:val="28"/>
        </w:rPr>
      </w:pPr>
      <w:r w:rsidRPr="00946F1D">
        <w:rPr>
          <w:rFonts w:ascii="Times New Roman" w:hAnsi="Times New Roman" w:cs="Times New Roman"/>
          <w:b/>
          <w:bCs/>
          <w:sz w:val="28"/>
          <w:szCs w:val="28"/>
        </w:rPr>
        <w:t>1. Introduction</w:t>
      </w:r>
    </w:p>
    <w:p w14:paraId="098F781D" w14:textId="1A25714B" w:rsidR="00DE31A4" w:rsidRPr="00946F1D" w:rsidRDefault="00DE31A4" w:rsidP="00946F1D">
      <w:pPr>
        <w:spacing w:line="360" w:lineRule="auto"/>
        <w:ind w:firstLine="720"/>
        <w:jc w:val="both"/>
        <w:rPr>
          <w:rFonts w:ascii="Times New Roman" w:hAnsi="Times New Roman" w:cs="Times New Roman"/>
        </w:rPr>
      </w:pPr>
      <w:r w:rsidRPr="00946F1D">
        <w:rPr>
          <w:rFonts w:ascii="Times New Roman" w:hAnsi="Times New Roman" w:cs="Times New Roman"/>
        </w:rPr>
        <w:t>Ayurveda represents one of the most comprehensive and enduring medical traditions in human history, with a continuous documented practice spanning over five millennia. Rooted in the philosophical foundations of balance and harmony, Ayurveda conceptualizes health as a dynamic equilibrium among functional principles known as doshas; Vata, Pitta, and Kapha governing physiological and psychological processes, and individual constitution or prakriti, which determines susceptibility to disease and therapeutic responsiveness (Parasuraman et al., 2014). Unlike the reductionist paradigm of modern biomedicine, which frequently targets isolated molecular pathways, Ayurveda adopts a systems</w:t>
      </w:r>
      <w:r w:rsidR="004005C0" w:rsidRPr="00946F1D">
        <w:rPr>
          <w:rFonts w:ascii="Times New Roman" w:hAnsi="Times New Roman" w:cs="Times New Roman"/>
        </w:rPr>
        <w:t xml:space="preserve"> </w:t>
      </w:r>
      <w:r w:rsidRPr="00946F1D">
        <w:rPr>
          <w:rFonts w:ascii="Times New Roman" w:hAnsi="Times New Roman" w:cs="Times New Roman"/>
        </w:rPr>
        <w:t>oriented therapeutic philosophy, integrating herbs, diet, lifestyle modification, detoxification, and mind–body practices to restore systemic homeostasis.</w:t>
      </w:r>
    </w:p>
    <w:p w14:paraId="5FFFB265" w14:textId="2977FB2D" w:rsidR="00DE31A4" w:rsidRPr="00946F1D" w:rsidRDefault="00DE31A4" w:rsidP="00946F1D">
      <w:pPr>
        <w:spacing w:line="360" w:lineRule="auto"/>
        <w:ind w:firstLine="720"/>
        <w:jc w:val="both"/>
        <w:rPr>
          <w:rFonts w:ascii="Times New Roman" w:hAnsi="Times New Roman" w:cs="Times New Roman"/>
        </w:rPr>
      </w:pPr>
      <w:r w:rsidRPr="00946F1D">
        <w:rPr>
          <w:rFonts w:ascii="Times New Roman" w:hAnsi="Times New Roman" w:cs="Times New Roman"/>
        </w:rPr>
        <w:t>Central to this medical system is the formulation science that translates theoretical principles into therapeutic reality. Ayurvedic pharmaceutics recognizes multiple dosage forms (</w:t>
      </w:r>
      <w:proofErr w:type="spellStart"/>
      <w:r w:rsidRPr="00946F1D">
        <w:rPr>
          <w:rFonts w:ascii="Times New Roman" w:hAnsi="Times New Roman" w:cs="Times New Roman"/>
        </w:rPr>
        <w:t>kalpanas</w:t>
      </w:r>
      <w:proofErr w:type="spellEnd"/>
      <w:r w:rsidRPr="00946F1D">
        <w:rPr>
          <w:rFonts w:ascii="Times New Roman" w:hAnsi="Times New Roman" w:cs="Times New Roman"/>
        </w:rPr>
        <w:t>) tailored to disease stage, patient constitution, and therapeutic objective. Among these, Kwatha Kalpana, the preparation of aqueous herbal decoctions remains one of the most frequently prescribed and clinically relevant forms. Kwathas are designed to extract water</w:t>
      </w:r>
      <w:r w:rsidR="004005C0" w:rsidRPr="00946F1D">
        <w:rPr>
          <w:rFonts w:ascii="Times New Roman" w:hAnsi="Times New Roman" w:cs="Times New Roman"/>
        </w:rPr>
        <w:t xml:space="preserve"> </w:t>
      </w:r>
      <w:r w:rsidRPr="00946F1D">
        <w:rPr>
          <w:rFonts w:ascii="Times New Roman" w:hAnsi="Times New Roman" w:cs="Times New Roman"/>
        </w:rPr>
        <w:t>soluble phytochemical matrices capable of exerting rapid and potent pharmacological actions, making them particularly suitable for acute and systemic disorders.</w:t>
      </w:r>
    </w:p>
    <w:p w14:paraId="6F6BBFEE" w14:textId="400947D8" w:rsidR="00DE31A4" w:rsidRPr="00946F1D" w:rsidRDefault="00DE31A4" w:rsidP="00946F1D">
      <w:pPr>
        <w:spacing w:line="360" w:lineRule="auto"/>
        <w:ind w:firstLine="720"/>
        <w:jc w:val="both"/>
        <w:rPr>
          <w:rFonts w:ascii="Times New Roman" w:hAnsi="Times New Roman" w:cs="Times New Roman"/>
        </w:rPr>
      </w:pPr>
      <w:r w:rsidRPr="00946F1D">
        <w:rPr>
          <w:rFonts w:ascii="Times New Roman" w:hAnsi="Times New Roman" w:cs="Times New Roman"/>
        </w:rPr>
        <w:t xml:space="preserve">However, despite their extensive historical use and recognized therapeutic value, </w:t>
      </w:r>
      <w:proofErr w:type="spellStart"/>
      <w:r w:rsidRPr="00946F1D">
        <w:rPr>
          <w:rFonts w:ascii="Times New Roman" w:hAnsi="Times New Roman" w:cs="Times New Roman"/>
        </w:rPr>
        <w:t>kwathas</w:t>
      </w:r>
      <w:proofErr w:type="spellEnd"/>
      <w:r w:rsidRPr="00946F1D">
        <w:rPr>
          <w:rFonts w:ascii="Times New Roman" w:hAnsi="Times New Roman" w:cs="Times New Roman"/>
        </w:rPr>
        <w:t xml:space="preserve"> face substantial challenges in contemporary healthcare. The increasing global interest in herbal and integrative medicine demands pharmaceutical products that demonstrate reproducible quality, safety, stability, and clinical reliability. Classical kwatha preparations, when produced under traditional household or artisanal conditions, often exhibit significant batch</w:t>
      </w:r>
      <w:r w:rsidR="004005C0" w:rsidRPr="00946F1D">
        <w:rPr>
          <w:rFonts w:ascii="Times New Roman" w:hAnsi="Times New Roman" w:cs="Times New Roman"/>
        </w:rPr>
        <w:t xml:space="preserve"> </w:t>
      </w:r>
      <w:r w:rsidRPr="00946F1D">
        <w:rPr>
          <w:rFonts w:ascii="Times New Roman" w:hAnsi="Times New Roman" w:cs="Times New Roman"/>
        </w:rPr>
        <w:t>to</w:t>
      </w:r>
      <w:r w:rsidR="004005C0" w:rsidRPr="00946F1D">
        <w:rPr>
          <w:rFonts w:ascii="Times New Roman" w:hAnsi="Times New Roman" w:cs="Times New Roman"/>
        </w:rPr>
        <w:t xml:space="preserve"> </w:t>
      </w:r>
      <w:r w:rsidRPr="00946F1D">
        <w:rPr>
          <w:rFonts w:ascii="Times New Roman" w:hAnsi="Times New Roman" w:cs="Times New Roman"/>
        </w:rPr>
        <w:t xml:space="preserve">batch variability. Differences in raw material identity, geographical source, harvest season, drying methods, storage conditions, particle size, extraction parameters, and microbial exposure directly influence phytochemical composition and therapeutic performance (Shenoy &amp; </w:t>
      </w:r>
      <w:proofErr w:type="spellStart"/>
      <w:r w:rsidRPr="00946F1D">
        <w:rPr>
          <w:rFonts w:ascii="Times New Roman" w:hAnsi="Times New Roman" w:cs="Times New Roman"/>
        </w:rPr>
        <w:t>Yoganarasimhan</w:t>
      </w:r>
      <w:proofErr w:type="spellEnd"/>
      <w:r w:rsidRPr="00946F1D">
        <w:rPr>
          <w:rFonts w:ascii="Times New Roman" w:hAnsi="Times New Roman" w:cs="Times New Roman"/>
        </w:rPr>
        <w:t>, 2009; Bhatt &amp; Deshpande, 2020).</w:t>
      </w:r>
    </w:p>
    <w:p w14:paraId="13AEF53D" w14:textId="77777777" w:rsidR="00DE31A4" w:rsidRPr="00946F1D" w:rsidRDefault="00DE31A4" w:rsidP="00946F1D">
      <w:pPr>
        <w:spacing w:line="360" w:lineRule="auto"/>
        <w:ind w:firstLine="720"/>
        <w:jc w:val="both"/>
        <w:rPr>
          <w:rFonts w:ascii="Times New Roman" w:hAnsi="Times New Roman" w:cs="Times New Roman"/>
        </w:rPr>
      </w:pPr>
      <w:r w:rsidRPr="00946F1D">
        <w:rPr>
          <w:rFonts w:ascii="Times New Roman" w:hAnsi="Times New Roman" w:cs="Times New Roman"/>
        </w:rPr>
        <w:t xml:space="preserve">Such variability not only complicates scientific validation but also limits regulatory acceptance and industrial scalability. Modern healthcare systems, insurers, clinicians, and regulators require standardized formulations supported by rigorous quality control and mechanistic understanding. The </w:t>
      </w:r>
      <w:r w:rsidRPr="00946F1D">
        <w:rPr>
          <w:rFonts w:ascii="Times New Roman" w:hAnsi="Times New Roman" w:cs="Times New Roman"/>
        </w:rPr>
        <w:lastRenderedPageBreak/>
        <w:t>absence of reproducible quality parameters for many classical decoctions has historically hindered their translation into formal healthcare frameworks, despite widespread public usage.</w:t>
      </w:r>
    </w:p>
    <w:p w14:paraId="3A02EEAA" w14:textId="3F161165" w:rsidR="00DE31A4" w:rsidRPr="00946F1D" w:rsidRDefault="00DE31A4" w:rsidP="00946F1D">
      <w:pPr>
        <w:spacing w:line="360" w:lineRule="auto"/>
        <w:ind w:firstLine="720"/>
        <w:jc w:val="both"/>
        <w:rPr>
          <w:rFonts w:ascii="Times New Roman" w:hAnsi="Times New Roman" w:cs="Times New Roman"/>
        </w:rPr>
      </w:pPr>
      <w:r w:rsidRPr="00946F1D">
        <w:rPr>
          <w:rFonts w:ascii="Times New Roman" w:hAnsi="Times New Roman" w:cs="Times New Roman"/>
        </w:rPr>
        <w:t xml:space="preserve">Parallel to this challenge lies one of Ayurveda’s greatest strengths: </w:t>
      </w:r>
      <w:proofErr w:type="spellStart"/>
      <w:r w:rsidRPr="00946F1D">
        <w:rPr>
          <w:rFonts w:ascii="Times New Roman" w:hAnsi="Times New Roman" w:cs="Times New Roman"/>
        </w:rPr>
        <w:t>polyherbalism</w:t>
      </w:r>
      <w:proofErr w:type="spellEnd"/>
      <w:r w:rsidRPr="00946F1D">
        <w:rPr>
          <w:rFonts w:ascii="Times New Roman" w:hAnsi="Times New Roman" w:cs="Times New Roman"/>
        </w:rPr>
        <w:t xml:space="preserve">. Unlike modern </w:t>
      </w:r>
      <w:proofErr w:type="spellStart"/>
      <w:r w:rsidRPr="00946F1D">
        <w:rPr>
          <w:rFonts w:ascii="Times New Roman" w:hAnsi="Times New Roman" w:cs="Times New Roman"/>
        </w:rPr>
        <w:t>singlemolecule</w:t>
      </w:r>
      <w:proofErr w:type="spellEnd"/>
      <w:r w:rsidRPr="00946F1D">
        <w:rPr>
          <w:rFonts w:ascii="Times New Roman" w:hAnsi="Times New Roman" w:cs="Times New Roman"/>
        </w:rPr>
        <w:t xml:space="preserve"> pharmacotherapy, Ayurvedic formulations frequently combine multiple herbs to achieve synergistic therapeutic effects. These combinations are designed to act on multiple physiological pathways simultaneously, enhancing efficacy while minimizing adverse effects through balancing and buffering mechanisms intrinsic to classical formulation philosophy (Williamson, 2001; Mukherjee et al., 2018). The concept of synergy in Ayurveda aligns remarkably well with contemporary network pharmacology and systems biology, which recognize complex diseases as emergent properties of interacting biological networks rather than single</w:t>
      </w:r>
      <w:r w:rsidR="004005C0" w:rsidRPr="00946F1D">
        <w:rPr>
          <w:rFonts w:ascii="Times New Roman" w:hAnsi="Times New Roman" w:cs="Times New Roman"/>
        </w:rPr>
        <w:t xml:space="preserve"> </w:t>
      </w:r>
      <w:r w:rsidRPr="00946F1D">
        <w:rPr>
          <w:rFonts w:ascii="Times New Roman" w:hAnsi="Times New Roman" w:cs="Times New Roman"/>
        </w:rPr>
        <w:t>target dysfunctions.</w:t>
      </w:r>
    </w:p>
    <w:p w14:paraId="1D8AD0DE" w14:textId="77777777" w:rsidR="00DE31A4" w:rsidRPr="00946F1D" w:rsidRDefault="00DE31A4" w:rsidP="00946F1D">
      <w:pPr>
        <w:spacing w:line="360" w:lineRule="auto"/>
        <w:ind w:firstLine="720"/>
        <w:jc w:val="both"/>
        <w:rPr>
          <w:rFonts w:ascii="Times New Roman" w:hAnsi="Times New Roman" w:cs="Times New Roman"/>
        </w:rPr>
      </w:pPr>
      <w:r w:rsidRPr="00946F1D">
        <w:rPr>
          <w:rFonts w:ascii="Times New Roman" w:hAnsi="Times New Roman" w:cs="Times New Roman"/>
        </w:rPr>
        <w:t>Yet polyherbal complexity also introduces analytical challenges. A decoction may contain hundreds of chemically diverse constituents, many present in trace amounts but contributing collectively to therapeutic outcome. Conventional pharmaceutical quality control, traditionally built around single active ingredients, struggles to accommodate such chemical and functional complexity. Therefore, the modernization of kwatha formulations requires not only improved manufacturing control but also advanced analytical strategies capable of capturing the holistic chemical signature of these formulations.</w:t>
      </w:r>
    </w:p>
    <w:p w14:paraId="717B97B5" w14:textId="77777777" w:rsidR="00DE31A4" w:rsidRPr="00946F1D" w:rsidRDefault="00DE31A4" w:rsidP="00946F1D">
      <w:pPr>
        <w:spacing w:line="360" w:lineRule="auto"/>
        <w:jc w:val="both"/>
        <w:rPr>
          <w:rFonts w:ascii="Times New Roman" w:hAnsi="Times New Roman" w:cs="Times New Roman"/>
        </w:rPr>
      </w:pPr>
      <w:r w:rsidRPr="00946F1D">
        <w:rPr>
          <w:rFonts w:ascii="Times New Roman" w:hAnsi="Times New Roman" w:cs="Times New Roman"/>
        </w:rPr>
        <w:t>Over the past two decades, significant progress has been made toward this goal. The application of chromatographic and spectrometric technologies; including TLC, HPTLC, HPLC, GC–MS, and LC–MS/MS—has enabled detailed phytochemical fingerprinting, marker compound identification, and batch consistency evaluation for complex herbal formulations (Rajani &amp; Kanaki, 2008; Abraham et al., 2020). These tools allow researchers to move beyond subjective organoleptic assessment toward objective, quantitative, and reproducible quality metrics.</w:t>
      </w:r>
    </w:p>
    <w:p w14:paraId="2D77EA66" w14:textId="4CA6270F" w:rsidR="00DE31A4" w:rsidRPr="00946F1D" w:rsidRDefault="00DE31A4" w:rsidP="00946F1D">
      <w:pPr>
        <w:spacing w:line="360" w:lineRule="auto"/>
        <w:ind w:firstLine="720"/>
        <w:jc w:val="both"/>
        <w:rPr>
          <w:rFonts w:ascii="Times New Roman" w:hAnsi="Times New Roman" w:cs="Times New Roman"/>
        </w:rPr>
      </w:pPr>
      <w:r w:rsidRPr="00946F1D">
        <w:rPr>
          <w:rFonts w:ascii="Times New Roman" w:hAnsi="Times New Roman" w:cs="Times New Roman"/>
        </w:rPr>
        <w:t>In parallel, regulatory frameworks such as those promoted by the World Health Organization (WHO) and national bodies like AYUSH in India increasingly emphasize the necessity of standardization, stability testing, safety evaluation, and pharmacovigilance for traditional medicines. This regulatory evolution creates both pressure and opportunity: pressure to upgrade classical formulations to modern pharmaceutical standards, and opportunity to position standardized Ayurvedic products within evidence</w:t>
      </w:r>
      <w:r w:rsidR="004005C0" w:rsidRPr="00946F1D">
        <w:rPr>
          <w:rFonts w:ascii="Times New Roman" w:hAnsi="Times New Roman" w:cs="Times New Roman"/>
        </w:rPr>
        <w:t xml:space="preserve"> </w:t>
      </w:r>
      <w:r w:rsidRPr="00946F1D">
        <w:rPr>
          <w:rFonts w:ascii="Times New Roman" w:hAnsi="Times New Roman" w:cs="Times New Roman"/>
        </w:rPr>
        <w:t>based integrative healthcare.</w:t>
      </w:r>
    </w:p>
    <w:p w14:paraId="6C681767" w14:textId="1D353C59" w:rsidR="00DE31A4" w:rsidRPr="00946F1D" w:rsidRDefault="00DE31A4" w:rsidP="00946F1D">
      <w:pPr>
        <w:spacing w:line="360" w:lineRule="auto"/>
        <w:ind w:firstLine="720"/>
        <w:jc w:val="both"/>
        <w:rPr>
          <w:rFonts w:ascii="Times New Roman" w:hAnsi="Times New Roman" w:cs="Times New Roman"/>
        </w:rPr>
      </w:pPr>
      <w:r w:rsidRPr="00946F1D">
        <w:rPr>
          <w:rFonts w:ascii="Times New Roman" w:hAnsi="Times New Roman" w:cs="Times New Roman"/>
        </w:rPr>
        <w:t>Within this evolving landscape, Kwatha Kalpana occupies a critical junction between tradition and modernity. It embodies the core principles of Ayurvedic therapeutics—individualized treatment, polyherbal synergy, and holistic action—while also presenting clear challenges of stability, palatability, shelf life, and batch reproducibility. Addressing these challenges requires reframing kwatha not merely as a traditional preparation but as a process</w:t>
      </w:r>
      <w:r w:rsidR="004005C0" w:rsidRPr="00946F1D">
        <w:rPr>
          <w:rFonts w:ascii="Times New Roman" w:hAnsi="Times New Roman" w:cs="Times New Roman"/>
        </w:rPr>
        <w:t xml:space="preserve"> </w:t>
      </w:r>
      <w:r w:rsidRPr="00946F1D">
        <w:rPr>
          <w:rFonts w:ascii="Times New Roman" w:hAnsi="Times New Roman" w:cs="Times New Roman"/>
        </w:rPr>
        <w:t>defined pharmaceutical product whose quality is inseparable from its method of manufacture.</w:t>
      </w:r>
    </w:p>
    <w:p w14:paraId="26CB6658" w14:textId="73E91E3D" w:rsidR="00E54671" w:rsidRPr="00946F1D" w:rsidRDefault="00DE31A4" w:rsidP="00946F1D">
      <w:pPr>
        <w:spacing w:line="360" w:lineRule="auto"/>
        <w:ind w:firstLine="720"/>
        <w:jc w:val="both"/>
        <w:rPr>
          <w:rFonts w:ascii="Times New Roman" w:hAnsi="Times New Roman" w:cs="Times New Roman"/>
        </w:rPr>
      </w:pPr>
      <w:r w:rsidRPr="00946F1D">
        <w:rPr>
          <w:rFonts w:ascii="Times New Roman" w:hAnsi="Times New Roman" w:cs="Times New Roman"/>
        </w:rPr>
        <w:lastRenderedPageBreak/>
        <w:t>This review therefore seeks to bridge classical Ayurvedic knowledge with contemporary pharmaceutical science. By synthesizing evidence on polyherbal synergy, process optimization, analytical standardization, and regulatory integration, we propose a coherent roadmap for transforming kwatha from a traditionally supported remedy into a clinically credible, industrially scalable, and scientifically validated therapeutic platform. The subsequent sections examine the mechanistic foundations of polyherbal synergy, the pharmaceutical science of kwatha preparation, modern approaches to quality control and analytical characterization, and future pathways for modernization and regulatory integration.</w:t>
      </w:r>
    </w:p>
    <w:p w14:paraId="069A042F" w14:textId="77777777" w:rsidR="00E54671" w:rsidRPr="00946F1D" w:rsidRDefault="00E54671" w:rsidP="00946F1D">
      <w:pPr>
        <w:spacing w:after="0" w:line="360" w:lineRule="auto"/>
        <w:jc w:val="both"/>
        <w:rPr>
          <w:rFonts w:ascii="Times New Roman" w:eastAsia="Times New Roman" w:hAnsi="Times New Roman" w:cs="Times New Roman"/>
          <w:b/>
          <w:bCs/>
          <w:kern w:val="0"/>
          <w:lang w:eastAsia="en-IN"/>
          <w14:ligatures w14:val="none"/>
        </w:rPr>
      </w:pPr>
    </w:p>
    <w:p w14:paraId="03E66383" w14:textId="524BBC2A" w:rsidR="00AB6F90" w:rsidRPr="00946F1D" w:rsidRDefault="006A758C" w:rsidP="00946F1D">
      <w:pPr>
        <w:spacing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 xml:space="preserve">2. </w:t>
      </w:r>
      <w:r w:rsidR="00AB6F90" w:rsidRPr="00946F1D">
        <w:rPr>
          <w:rFonts w:ascii="Times New Roman" w:eastAsia="Times New Roman" w:hAnsi="Times New Roman" w:cs="Times New Roman"/>
          <w:b/>
          <w:bCs/>
          <w:kern w:val="0"/>
          <w:lang w:eastAsia="en-IN"/>
          <w14:ligatures w14:val="none"/>
        </w:rPr>
        <w:t>Polyherbal formulation,</w:t>
      </w:r>
      <w:r w:rsidR="00976B67" w:rsidRPr="00946F1D">
        <w:rPr>
          <w:rFonts w:ascii="Times New Roman" w:eastAsia="Times New Roman" w:hAnsi="Times New Roman" w:cs="Times New Roman"/>
          <w:b/>
          <w:bCs/>
          <w:kern w:val="0"/>
          <w:lang w:eastAsia="en-IN"/>
          <w14:ligatures w14:val="none"/>
        </w:rPr>
        <w:t xml:space="preserve"> </w:t>
      </w:r>
      <w:r w:rsidR="00AB6F90" w:rsidRPr="00946F1D">
        <w:rPr>
          <w:rFonts w:ascii="Times New Roman" w:eastAsia="Times New Roman" w:hAnsi="Times New Roman" w:cs="Times New Roman"/>
          <w:b/>
          <w:bCs/>
          <w:kern w:val="0"/>
          <w:lang w:eastAsia="en-IN"/>
          <w14:ligatures w14:val="none"/>
        </w:rPr>
        <w:t>principles of Ayurveda and methods of preparation of decoctions</w:t>
      </w:r>
    </w:p>
    <w:p w14:paraId="28E7A010"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 xml:space="preserve">Beyond the conventional techniques like tongue analysis and pulse reading ayurveda uses AI in improved diseases diagnosis and can create individualised treatment regimens. For the upgradation of traditional medicinal system, AI can be ethically incorporated, conserving the holistic principles and fundamental </w:t>
      </w:r>
      <w:proofErr w:type="gramStart"/>
      <w:r w:rsidRPr="00E2003F">
        <w:rPr>
          <w:rFonts w:ascii="Times New Roman" w:hAnsi="Times New Roman" w:cs="Times New Roman"/>
        </w:rPr>
        <w:t>knowledge.(</w:t>
      </w:r>
      <w:proofErr w:type="spellStart"/>
      <w:proofErr w:type="gramEnd"/>
      <w:r w:rsidRPr="00E2003F">
        <w:rPr>
          <w:rFonts w:ascii="Times New Roman" w:hAnsi="Times New Roman" w:cs="Times New Roman"/>
        </w:rPr>
        <w:t>Veerakannan</w:t>
      </w:r>
      <w:proofErr w:type="spellEnd"/>
      <w:r w:rsidRPr="00E2003F">
        <w:rPr>
          <w:rFonts w:ascii="Times New Roman" w:hAnsi="Times New Roman" w:cs="Times New Roman"/>
        </w:rPr>
        <w:t xml:space="preserve">, 2025). Ayurvedic treatment may be very fruitful when applied with proper analysis and care, and thereby overcome the problems met with surgery. Even in severe condition of cholelithiasis (gallstone), very markable changes in the visible symptoms observed and imaging tests showed stone’s shrinkage which may thought to require surgical </w:t>
      </w:r>
      <w:proofErr w:type="gramStart"/>
      <w:r w:rsidRPr="00E2003F">
        <w:rPr>
          <w:rFonts w:ascii="Times New Roman" w:hAnsi="Times New Roman" w:cs="Times New Roman"/>
        </w:rPr>
        <w:t>removal.(</w:t>
      </w:r>
      <w:proofErr w:type="gramEnd"/>
      <w:r w:rsidRPr="00E2003F">
        <w:rPr>
          <w:rFonts w:ascii="Times New Roman" w:hAnsi="Times New Roman" w:cs="Times New Roman"/>
        </w:rPr>
        <w:t xml:space="preserve">Sreeni &amp; Haris, 2024). Ayurvedic therapies like </w:t>
      </w:r>
      <w:proofErr w:type="spellStart"/>
      <w:r w:rsidRPr="00E2003F">
        <w:rPr>
          <w:rFonts w:ascii="Times New Roman" w:hAnsi="Times New Roman" w:cs="Times New Roman"/>
        </w:rPr>
        <w:t>Rookshana</w:t>
      </w:r>
      <w:proofErr w:type="spellEnd"/>
      <w:r w:rsidRPr="00E2003F">
        <w:rPr>
          <w:rFonts w:ascii="Times New Roman" w:hAnsi="Times New Roman" w:cs="Times New Roman"/>
        </w:rPr>
        <w:t xml:space="preserve">, Snigda </w:t>
      </w:r>
      <w:proofErr w:type="spellStart"/>
      <w:r w:rsidRPr="00E2003F">
        <w:rPr>
          <w:rFonts w:ascii="Times New Roman" w:hAnsi="Times New Roman" w:cs="Times New Roman"/>
        </w:rPr>
        <w:t>sweda</w:t>
      </w:r>
      <w:proofErr w:type="spellEnd"/>
      <w:r w:rsidRPr="00E2003F">
        <w:rPr>
          <w:rFonts w:ascii="Times New Roman" w:hAnsi="Times New Roman" w:cs="Times New Roman"/>
        </w:rPr>
        <w:t xml:space="preserve">, </w:t>
      </w:r>
      <w:proofErr w:type="spellStart"/>
      <w:r w:rsidRPr="00E2003F">
        <w:rPr>
          <w:rFonts w:ascii="Times New Roman" w:hAnsi="Times New Roman" w:cs="Times New Roman"/>
        </w:rPr>
        <w:t>Pizhichil</w:t>
      </w:r>
      <w:proofErr w:type="spellEnd"/>
      <w:r w:rsidRPr="00E2003F">
        <w:rPr>
          <w:rFonts w:ascii="Times New Roman" w:hAnsi="Times New Roman" w:cs="Times New Roman"/>
        </w:rPr>
        <w:t xml:space="preserve">, and </w:t>
      </w:r>
      <w:proofErr w:type="spellStart"/>
      <w:r w:rsidRPr="00E2003F">
        <w:rPr>
          <w:rFonts w:ascii="Times New Roman" w:hAnsi="Times New Roman" w:cs="Times New Roman"/>
        </w:rPr>
        <w:t>Brihmana</w:t>
      </w:r>
      <w:proofErr w:type="spellEnd"/>
      <w:r w:rsidRPr="00E2003F">
        <w:rPr>
          <w:rFonts w:ascii="Times New Roman" w:hAnsi="Times New Roman" w:cs="Times New Roman"/>
        </w:rPr>
        <w:t xml:space="preserve">, along with herbal formulations like Adarisahacharadi Kashayam, </w:t>
      </w:r>
      <w:proofErr w:type="spellStart"/>
      <w:r w:rsidRPr="00E2003F">
        <w:rPr>
          <w:rFonts w:ascii="Times New Roman" w:hAnsi="Times New Roman" w:cs="Times New Roman"/>
        </w:rPr>
        <w:t>Suntibaladi</w:t>
      </w:r>
      <w:proofErr w:type="spellEnd"/>
      <w:r w:rsidRPr="00E2003F">
        <w:rPr>
          <w:rFonts w:ascii="Times New Roman" w:hAnsi="Times New Roman" w:cs="Times New Roman"/>
        </w:rPr>
        <w:t xml:space="preserve"> </w:t>
      </w:r>
      <w:proofErr w:type="spellStart"/>
      <w:r w:rsidRPr="00E2003F">
        <w:rPr>
          <w:rFonts w:ascii="Times New Roman" w:hAnsi="Times New Roman" w:cs="Times New Roman"/>
        </w:rPr>
        <w:t>choornam</w:t>
      </w:r>
      <w:proofErr w:type="spellEnd"/>
      <w:r w:rsidRPr="00E2003F">
        <w:rPr>
          <w:rFonts w:ascii="Times New Roman" w:hAnsi="Times New Roman" w:cs="Times New Roman"/>
        </w:rPr>
        <w:t xml:space="preserve"> and </w:t>
      </w:r>
      <w:proofErr w:type="spellStart"/>
      <w:r w:rsidRPr="00E2003F">
        <w:rPr>
          <w:rFonts w:ascii="Times New Roman" w:hAnsi="Times New Roman" w:cs="Times New Roman"/>
        </w:rPr>
        <w:t>Vyoshadi</w:t>
      </w:r>
      <w:proofErr w:type="spellEnd"/>
      <w:r w:rsidRPr="00E2003F">
        <w:rPr>
          <w:rFonts w:ascii="Times New Roman" w:hAnsi="Times New Roman" w:cs="Times New Roman"/>
        </w:rPr>
        <w:t xml:space="preserve"> </w:t>
      </w:r>
      <w:proofErr w:type="spellStart"/>
      <w:r w:rsidRPr="00E2003F">
        <w:rPr>
          <w:rFonts w:ascii="Times New Roman" w:hAnsi="Times New Roman" w:cs="Times New Roman"/>
        </w:rPr>
        <w:t>gugguku</w:t>
      </w:r>
      <w:proofErr w:type="spellEnd"/>
      <w:r w:rsidRPr="00E2003F">
        <w:rPr>
          <w:rFonts w:ascii="Times New Roman" w:hAnsi="Times New Roman" w:cs="Times New Roman"/>
        </w:rPr>
        <w:t xml:space="preserve"> can enhance the quality of life and successfully reduce sciatic nerve pathological </w:t>
      </w:r>
      <w:proofErr w:type="gramStart"/>
      <w:r w:rsidRPr="00E2003F">
        <w:rPr>
          <w:rFonts w:ascii="Times New Roman" w:hAnsi="Times New Roman" w:cs="Times New Roman"/>
        </w:rPr>
        <w:t>symptoms.(</w:t>
      </w:r>
      <w:proofErr w:type="gramEnd"/>
      <w:r w:rsidRPr="00E2003F">
        <w:rPr>
          <w:rFonts w:ascii="Times New Roman" w:hAnsi="Times New Roman" w:cs="Times New Roman"/>
        </w:rPr>
        <w:t xml:space="preserve">Soman &amp; </w:t>
      </w:r>
      <w:proofErr w:type="spellStart"/>
      <w:r w:rsidRPr="00E2003F">
        <w:rPr>
          <w:rFonts w:ascii="Times New Roman" w:hAnsi="Times New Roman" w:cs="Times New Roman"/>
        </w:rPr>
        <w:t>Marikutty</w:t>
      </w:r>
      <w:proofErr w:type="spellEnd"/>
      <w:r w:rsidRPr="00E2003F">
        <w:rPr>
          <w:rFonts w:ascii="Times New Roman" w:hAnsi="Times New Roman" w:cs="Times New Roman"/>
        </w:rPr>
        <w:t>, 2024).</w:t>
      </w:r>
    </w:p>
    <w:p w14:paraId="58F44D5E"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The Ayurvedic formulation "</w:t>
      </w:r>
      <w:proofErr w:type="spellStart"/>
      <w:r w:rsidRPr="00E2003F">
        <w:rPr>
          <w:rFonts w:ascii="Times New Roman" w:hAnsi="Times New Roman" w:cs="Times New Roman"/>
        </w:rPr>
        <w:t>Amruthotharam</w:t>
      </w:r>
      <w:proofErr w:type="spellEnd"/>
      <w:r w:rsidRPr="00E2003F">
        <w:rPr>
          <w:rFonts w:ascii="Times New Roman" w:hAnsi="Times New Roman" w:cs="Times New Roman"/>
        </w:rPr>
        <w:t xml:space="preserve"> Kashayam," which is made from </w:t>
      </w:r>
      <w:proofErr w:type="spellStart"/>
      <w:r w:rsidRPr="00E2003F">
        <w:rPr>
          <w:rFonts w:ascii="Times New Roman" w:hAnsi="Times New Roman" w:cs="Times New Roman"/>
        </w:rPr>
        <w:t>Tinospora</w:t>
      </w:r>
      <w:proofErr w:type="spellEnd"/>
      <w:r w:rsidRPr="00E2003F">
        <w:rPr>
          <w:rFonts w:ascii="Times New Roman" w:hAnsi="Times New Roman" w:cs="Times New Roman"/>
        </w:rPr>
        <w:t xml:space="preserve"> cordifolia, Terminalia </w:t>
      </w:r>
      <w:proofErr w:type="spellStart"/>
      <w:r w:rsidRPr="00E2003F">
        <w:rPr>
          <w:rFonts w:ascii="Times New Roman" w:hAnsi="Times New Roman" w:cs="Times New Roman"/>
        </w:rPr>
        <w:t>chebula</w:t>
      </w:r>
      <w:proofErr w:type="spellEnd"/>
      <w:r w:rsidRPr="00E2003F">
        <w:rPr>
          <w:rFonts w:ascii="Times New Roman" w:hAnsi="Times New Roman" w:cs="Times New Roman"/>
        </w:rPr>
        <w:t xml:space="preserve">, and Zingiber officinale and was made using both traditional and contemporary methods, revealed both preparation techniques have positive pharmacological effects and notable antioxidant activity using in-vitro antioxidant assays and in-vivo investigations on Wistar rats while changing the preparation procedure affects efficacy, both approaches yield formulations that are beneficial against the symptoms of metabolic disorders.(Dhane et al., 2023). The therapeutic potency and pharmacological selectivity of kwatha can also be enhanced by appropriately standardising the characteristics including vessel selection temperature regulation, raw drug particle size, water content and heating </w:t>
      </w:r>
      <w:proofErr w:type="gramStart"/>
      <w:r w:rsidRPr="00E2003F">
        <w:rPr>
          <w:rFonts w:ascii="Times New Roman" w:hAnsi="Times New Roman" w:cs="Times New Roman"/>
        </w:rPr>
        <w:t>time.(</w:t>
      </w:r>
      <w:proofErr w:type="gramEnd"/>
      <w:r w:rsidRPr="00E2003F">
        <w:rPr>
          <w:rFonts w:ascii="Times New Roman" w:hAnsi="Times New Roman" w:cs="Times New Roman"/>
        </w:rPr>
        <w:t xml:space="preserve">K. Sharma et al., </w:t>
      </w:r>
      <w:proofErr w:type="gramStart"/>
      <w:r w:rsidRPr="00E2003F">
        <w:rPr>
          <w:rFonts w:ascii="Times New Roman" w:hAnsi="Times New Roman" w:cs="Times New Roman"/>
        </w:rPr>
        <w:t>2023)(</w:t>
      </w:r>
      <w:proofErr w:type="spellStart"/>
      <w:proofErr w:type="gramEnd"/>
      <w:r w:rsidRPr="00E2003F">
        <w:rPr>
          <w:rFonts w:ascii="Times New Roman" w:hAnsi="Times New Roman" w:cs="Times New Roman"/>
        </w:rPr>
        <w:t>Maddesiya</w:t>
      </w:r>
      <w:proofErr w:type="spellEnd"/>
      <w:r w:rsidRPr="00E2003F">
        <w:rPr>
          <w:rFonts w:ascii="Times New Roman" w:hAnsi="Times New Roman" w:cs="Times New Roman"/>
        </w:rPr>
        <w:t xml:space="preserve"> et al., 2024). Even in the chronic conditions of migraine, treatment including the intake of </w:t>
      </w:r>
      <w:proofErr w:type="spellStart"/>
      <w:r w:rsidRPr="00E2003F">
        <w:rPr>
          <w:rFonts w:ascii="Times New Roman" w:hAnsi="Times New Roman" w:cs="Times New Roman"/>
        </w:rPr>
        <w:t>Pathyashadangam</w:t>
      </w:r>
      <w:proofErr w:type="spellEnd"/>
      <w:r w:rsidRPr="00E2003F">
        <w:rPr>
          <w:rFonts w:ascii="Times New Roman" w:hAnsi="Times New Roman" w:cs="Times New Roman"/>
        </w:rPr>
        <w:t xml:space="preserve"> Kashaya and </w:t>
      </w:r>
      <w:proofErr w:type="spellStart"/>
      <w:r w:rsidRPr="00E2003F">
        <w:rPr>
          <w:rFonts w:ascii="Times New Roman" w:hAnsi="Times New Roman" w:cs="Times New Roman"/>
        </w:rPr>
        <w:t>Kumkumadi</w:t>
      </w:r>
      <w:proofErr w:type="spellEnd"/>
      <w:r w:rsidRPr="00E2003F">
        <w:rPr>
          <w:rFonts w:ascii="Times New Roman" w:hAnsi="Times New Roman" w:cs="Times New Roman"/>
        </w:rPr>
        <w:t xml:space="preserve"> </w:t>
      </w:r>
      <w:proofErr w:type="spellStart"/>
      <w:r w:rsidRPr="00E2003F">
        <w:rPr>
          <w:rFonts w:ascii="Times New Roman" w:hAnsi="Times New Roman" w:cs="Times New Roman"/>
        </w:rPr>
        <w:t>Ghrita</w:t>
      </w:r>
      <w:proofErr w:type="spellEnd"/>
      <w:r w:rsidRPr="00E2003F">
        <w:rPr>
          <w:rFonts w:ascii="Times New Roman" w:hAnsi="Times New Roman" w:cs="Times New Roman"/>
        </w:rPr>
        <w:t xml:space="preserve"> Nasya and also some internal herbal remedies can significantly reduce head-ache intensity, duration and other related symptoms. Vata and Kapha, which are thought to play a major role in the pathophysiology of migraine. Ayurvedic treatments, can be used in managing such conditions since Ayurveda have </w:t>
      </w:r>
      <w:proofErr w:type="spellStart"/>
      <w:r w:rsidRPr="00E2003F">
        <w:rPr>
          <w:rFonts w:ascii="Times New Roman" w:hAnsi="Times New Roman" w:cs="Times New Roman"/>
        </w:rPr>
        <w:t>tridosha</w:t>
      </w:r>
      <w:proofErr w:type="spellEnd"/>
      <w:r w:rsidRPr="00E2003F">
        <w:rPr>
          <w:rFonts w:ascii="Times New Roman" w:hAnsi="Times New Roman" w:cs="Times New Roman"/>
        </w:rPr>
        <w:t xml:space="preserve"> </w:t>
      </w:r>
      <w:proofErr w:type="spellStart"/>
      <w:r w:rsidRPr="00E2003F">
        <w:rPr>
          <w:rFonts w:ascii="Times New Roman" w:hAnsi="Times New Roman" w:cs="Times New Roman"/>
        </w:rPr>
        <w:t>shamaka</w:t>
      </w:r>
      <w:proofErr w:type="spellEnd"/>
      <w:r w:rsidRPr="00E2003F">
        <w:rPr>
          <w:rFonts w:ascii="Times New Roman" w:hAnsi="Times New Roman" w:cs="Times New Roman"/>
        </w:rPr>
        <w:t xml:space="preserve"> </w:t>
      </w:r>
      <w:proofErr w:type="gramStart"/>
      <w:r w:rsidRPr="00E2003F">
        <w:rPr>
          <w:rFonts w:ascii="Times New Roman" w:hAnsi="Times New Roman" w:cs="Times New Roman"/>
        </w:rPr>
        <w:t>qualities.(</w:t>
      </w:r>
      <w:proofErr w:type="gramEnd"/>
      <w:r w:rsidRPr="00E2003F">
        <w:rPr>
          <w:rFonts w:ascii="Times New Roman" w:hAnsi="Times New Roman" w:cs="Times New Roman"/>
        </w:rPr>
        <w:t>Jain et al., 2023).</w:t>
      </w:r>
    </w:p>
    <w:p w14:paraId="2F48FAE6"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lastRenderedPageBreak/>
        <w:t xml:space="preserve">The legitimacy and acceptance of the age-old systems to the larger medical community involving a range of stakeholders, practitioners, scholars and governmental organisations, when this system incorporates into contemporary health care following thorough scientific research. The studies can help understand the working of Ayurvedic treatments and make it easier to use them to treat global health issues including aging, lifestyle disorders, and pandemics, and can also prove the effectiveness, safety and uniformity of ayurvedic treatments. By combining evidence-based research with conventional knowledge holds promise for advancing comprehensive, and guaranteeing Ayurveda's ongoing applicability and advantages to individualized </w:t>
      </w:r>
      <w:proofErr w:type="gramStart"/>
      <w:r w:rsidRPr="00E2003F">
        <w:rPr>
          <w:rFonts w:ascii="Times New Roman" w:hAnsi="Times New Roman" w:cs="Times New Roman"/>
        </w:rPr>
        <w:t>treatments.(</w:t>
      </w:r>
      <w:proofErr w:type="gramEnd"/>
      <w:r w:rsidRPr="00E2003F">
        <w:rPr>
          <w:rFonts w:ascii="Times New Roman" w:hAnsi="Times New Roman" w:cs="Times New Roman"/>
        </w:rPr>
        <w:t>M. K. Sharma et al., 2023).</w:t>
      </w:r>
    </w:p>
    <w:p w14:paraId="1DCE04AD"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 xml:space="preserve">The contemporary developments including delivery techniques based on nanotechnology can improve Kwatha formulations' stability and bioavailability, The quality and efficacy of Kwatha in clinical applications can be greatly enhanced by combining modern procedures with suitable pharmacological and analytical </w:t>
      </w:r>
      <w:proofErr w:type="gramStart"/>
      <w:r w:rsidRPr="00E2003F">
        <w:rPr>
          <w:rFonts w:ascii="Times New Roman" w:hAnsi="Times New Roman" w:cs="Times New Roman"/>
        </w:rPr>
        <w:t>parameters.(</w:t>
      </w:r>
      <w:proofErr w:type="gramEnd"/>
      <w:r w:rsidRPr="00E2003F">
        <w:rPr>
          <w:rFonts w:ascii="Times New Roman" w:hAnsi="Times New Roman" w:cs="Times New Roman"/>
        </w:rPr>
        <w:t xml:space="preserve">N. Bhatt et al., n.d.). </w:t>
      </w:r>
      <w:proofErr w:type="spellStart"/>
      <w:r w:rsidRPr="00E2003F">
        <w:rPr>
          <w:rFonts w:ascii="Times New Roman" w:hAnsi="Times New Roman" w:cs="Times New Roman"/>
        </w:rPr>
        <w:t>Kabasura</w:t>
      </w:r>
      <w:proofErr w:type="spellEnd"/>
      <w:r w:rsidRPr="00E2003F">
        <w:rPr>
          <w:rFonts w:ascii="Times New Roman" w:hAnsi="Times New Roman" w:cs="Times New Roman"/>
        </w:rPr>
        <w:t xml:space="preserve"> decoction has anti-inflammatory hepatoprotective analgesic and antibacterial properties. Numerous ingredients have antiviral properties, especially when it comes to influenza viruses and the human respiratory syncytial virus. </w:t>
      </w:r>
      <w:proofErr w:type="spellStart"/>
      <w:r w:rsidRPr="00E2003F">
        <w:rPr>
          <w:rFonts w:ascii="Times New Roman" w:hAnsi="Times New Roman" w:cs="Times New Roman"/>
        </w:rPr>
        <w:t>Kabasura</w:t>
      </w:r>
      <w:proofErr w:type="spellEnd"/>
      <w:r w:rsidRPr="00E2003F">
        <w:rPr>
          <w:rFonts w:ascii="Times New Roman" w:hAnsi="Times New Roman" w:cs="Times New Roman"/>
        </w:rPr>
        <w:t xml:space="preserve"> decoction is recommended as a possible treatment for COVID-19, helping to reduce symptoms and potentially averting the disease's </w:t>
      </w:r>
      <w:proofErr w:type="gramStart"/>
      <w:r w:rsidRPr="00E2003F">
        <w:rPr>
          <w:rFonts w:ascii="Times New Roman" w:hAnsi="Times New Roman" w:cs="Times New Roman"/>
        </w:rPr>
        <w:t>consequences.(</w:t>
      </w:r>
      <w:proofErr w:type="gramEnd"/>
      <w:r w:rsidRPr="00E2003F">
        <w:rPr>
          <w:rFonts w:ascii="Times New Roman" w:hAnsi="Times New Roman" w:cs="Times New Roman"/>
        </w:rPr>
        <w:t>Sujeethasai, 2020).</w:t>
      </w:r>
    </w:p>
    <w:p w14:paraId="03962064" w14:textId="27B67D14" w:rsidR="00E2003F" w:rsidRPr="00E2003F" w:rsidRDefault="00E2003F" w:rsidP="00946F1D">
      <w:pPr>
        <w:spacing w:after="0" w:line="360" w:lineRule="auto"/>
        <w:jc w:val="both"/>
        <w:rPr>
          <w:rFonts w:ascii="Times New Roman" w:hAnsi="Times New Roman" w:cs="Times New Roman"/>
        </w:rPr>
      </w:pPr>
      <w:proofErr w:type="spellStart"/>
      <w:r w:rsidRPr="00E2003F">
        <w:rPr>
          <w:rFonts w:ascii="Times New Roman" w:hAnsi="Times New Roman" w:cs="Times New Roman"/>
        </w:rPr>
        <w:t>Polyherbalism</w:t>
      </w:r>
      <w:proofErr w:type="spellEnd"/>
      <w:r w:rsidRPr="00E2003F">
        <w:rPr>
          <w:rFonts w:ascii="Times New Roman" w:hAnsi="Times New Roman" w:cs="Times New Roman"/>
        </w:rPr>
        <w:t xml:space="preserve">, utilizing combinations of multiple herbs, achieves better therapeutic effects and reduces toxicity compared to single herb treatments. According to the World Health Organization, a sizable percentage of the world's population still uses traditional </w:t>
      </w:r>
      <w:proofErr w:type="gramStart"/>
      <w:r w:rsidRPr="00E2003F">
        <w:rPr>
          <w:rFonts w:ascii="Times New Roman" w:hAnsi="Times New Roman" w:cs="Times New Roman"/>
        </w:rPr>
        <w:t>medicines.(</w:t>
      </w:r>
      <w:proofErr w:type="gramEnd"/>
      <w:r w:rsidRPr="00E2003F">
        <w:rPr>
          <w:rFonts w:ascii="Times New Roman" w:hAnsi="Times New Roman" w:cs="Times New Roman"/>
        </w:rPr>
        <w:t xml:space="preserve">Parasuraman et al., 2014b). The therapeutic efficacy will be improved when mixing many herbs together. The potential of polyherbal formulation has been well appreciated when the preparations used after thorough clinical tests for scientific validation and public awareness campaigns regarding their </w:t>
      </w:r>
      <w:proofErr w:type="gramStart"/>
      <w:r w:rsidRPr="00E2003F">
        <w:rPr>
          <w:rFonts w:ascii="Times New Roman" w:hAnsi="Times New Roman" w:cs="Times New Roman"/>
        </w:rPr>
        <w:t>application.(</w:t>
      </w:r>
      <w:proofErr w:type="gramEnd"/>
      <w:r w:rsidRPr="00E2003F">
        <w:rPr>
          <w:rFonts w:ascii="Times New Roman" w:hAnsi="Times New Roman" w:cs="Times New Roman"/>
        </w:rPr>
        <w:t xml:space="preserve">Dattatray Shrikar &amp; </w:t>
      </w:r>
      <w:proofErr w:type="spellStart"/>
      <w:r w:rsidRPr="00E2003F">
        <w:rPr>
          <w:rFonts w:ascii="Times New Roman" w:hAnsi="Times New Roman" w:cs="Times New Roman"/>
        </w:rPr>
        <w:t>Ashpak</w:t>
      </w:r>
      <w:proofErr w:type="spellEnd"/>
      <w:r w:rsidRPr="00E2003F">
        <w:rPr>
          <w:rFonts w:ascii="Times New Roman" w:hAnsi="Times New Roman" w:cs="Times New Roman"/>
        </w:rPr>
        <w:t xml:space="preserve">, 2020). The complex preparation methods and limited </w:t>
      </w:r>
      <w:proofErr w:type="gramStart"/>
      <w:r w:rsidRPr="00E2003F">
        <w:rPr>
          <w:rFonts w:ascii="Times New Roman" w:hAnsi="Times New Roman" w:cs="Times New Roman"/>
        </w:rPr>
        <w:t>shelf life</w:t>
      </w:r>
      <w:proofErr w:type="gramEnd"/>
      <w:r w:rsidRPr="00E2003F">
        <w:rPr>
          <w:rFonts w:ascii="Times New Roman" w:hAnsi="Times New Roman" w:cs="Times New Roman"/>
        </w:rPr>
        <w:t xml:space="preserve"> advocates for the incorporation of modern techniques to increase its usability and marketability. It is much significant to standardise ayurvedic polyherbal formulation for improving the efficacy.</w:t>
      </w:r>
      <w:r w:rsidR="00946F1D">
        <w:rPr>
          <w:rFonts w:ascii="Times New Roman" w:hAnsi="Times New Roman" w:cs="Times New Roman"/>
        </w:rPr>
        <w:t xml:space="preserve"> </w:t>
      </w:r>
      <w:r w:rsidRPr="00E2003F">
        <w:rPr>
          <w:rFonts w:ascii="Times New Roman" w:hAnsi="Times New Roman" w:cs="Times New Roman"/>
        </w:rPr>
        <w:t>(N. S. Bhatt &amp; Deshpande, 2020).</w:t>
      </w:r>
    </w:p>
    <w:p w14:paraId="31655101"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 xml:space="preserve">When the quality of commercially manufactured kwatha compared with that of handmade decoction, significant differences can be assessed like pH, TDS, preservatives like sodium benzoate level and microbial load. Clinical efficacy has to be improved for the formulation by standardising </w:t>
      </w:r>
      <w:proofErr w:type="gramStart"/>
      <w:r w:rsidRPr="00E2003F">
        <w:rPr>
          <w:rFonts w:ascii="Times New Roman" w:hAnsi="Times New Roman" w:cs="Times New Roman"/>
        </w:rPr>
        <w:t>them.(</w:t>
      </w:r>
      <w:proofErr w:type="gramEnd"/>
      <w:r w:rsidRPr="00E2003F">
        <w:rPr>
          <w:rFonts w:ascii="Times New Roman" w:hAnsi="Times New Roman" w:cs="Times New Roman"/>
        </w:rPr>
        <w:t xml:space="preserve">Radha et al., 2014). Herbal medicines being prepared with the ingredients that are prone to perish easily, the safety and efficacy can be raised by the addition of preservatives. The method of preparation of kwatha nowadays employ more preservatives than the commonly advised </w:t>
      </w:r>
      <w:proofErr w:type="gramStart"/>
      <w:r w:rsidRPr="00E2003F">
        <w:rPr>
          <w:rFonts w:ascii="Times New Roman" w:hAnsi="Times New Roman" w:cs="Times New Roman"/>
        </w:rPr>
        <w:t>limit.(</w:t>
      </w:r>
      <w:proofErr w:type="gramEnd"/>
      <w:r w:rsidRPr="00E2003F">
        <w:rPr>
          <w:rFonts w:ascii="Times New Roman" w:hAnsi="Times New Roman" w:cs="Times New Roman"/>
        </w:rPr>
        <w:t xml:space="preserve">Reddy, 2018). The medicinal effectiveness of kwatha can be improved by optimizing the particle size of their ingredients, when larger particles used greater the </w:t>
      </w:r>
      <w:proofErr w:type="gramStart"/>
      <w:r w:rsidRPr="00E2003F">
        <w:rPr>
          <w:rFonts w:ascii="Times New Roman" w:hAnsi="Times New Roman" w:cs="Times New Roman"/>
        </w:rPr>
        <w:t>amount</w:t>
      </w:r>
      <w:proofErr w:type="gramEnd"/>
      <w:r w:rsidRPr="00E2003F">
        <w:rPr>
          <w:rFonts w:ascii="Times New Roman" w:hAnsi="Times New Roman" w:cs="Times New Roman"/>
        </w:rPr>
        <w:t xml:space="preserve"> of active components </w:t>
      </w:r>
      <w:proofErr w:type="gramStart"/>
      <w:r w:rsidRPr="00E2003F">
        <w:rPr>
          <w:rFonts w:ascii="Times New Roman" w:hAnsi="Times New Roman" w:cs="Times New Roman"/>
        </w:rPr>
        <w:t>extracted.(</w:t>
      </w:r>
      <w:proofErr w:type="gramEnd"/>
      <w:r w:rsidRPr="00E2003F">
        <w:rPr>
          <w:rFonts w:ascii="Times New Roman" w:hAnsi="Times New Roman" w:cs="Times New Roman"/>
        </w:rPr>
        <w:t>Baghel &amp; Chaudhary, 2018).</w:t>
      </w:r>
    </w:p>
    <w:p w14:paraId="16E16171" w14:textId="77777777" w:rsidR="00E2003F" w:rsidRPr="00E2003F" w:rsidRDefault="00E2003F" w:rsidP="00946F1D">
      <w:pPr>
        <w:spacing w:after="0" w:line="360" w:lineRule="auto"/>
        <w:jc w:val="both"/>
        <w:rPr>
          <w:rFonts w:ascii="Times New Roman" w:hAnsi="Times New Roman" w:cs="Times New Roman"/>
        </w:rPr>
      </w:pPr>
      <w:proofErr w:type="spellStart"/>
      <w:r w:rsidRPr="00E2003F">
        <w:rPr>
          <w:rFonts w:ascii="Times New Roman" w:hAnsi="Times New Roman" w:cs="Times New Roman"/>
        </w:rPr>
        <w:t>Gojihwadi</w:t>
      </w:r>
      <w:proofErr w:type="spellEnd"/>
      <w:r w:rsidRPr="00E2003F">
        <w:rPr>
          <w:rFonts w:ascii="Times New Roman" w:hAnsi="Times New Roman" w:cs="Times New Roman"/>
        </w:rPr>
        <w:t xml:space="preserve"> Kwatha (GK), a traditional Ayurvedic herbal formulation have the potential to prevent cancer. The GK sample’s chloroform extracts showed highest inhibition zone revealing the strong antibacterial activity, hence can be suggested that this kwatha is a natural anticancer agent which may be due to its potential to inhibit </w:t>
      </w:r>
      <w:proofErr w:type="spellStart"/>
      <w:proofErr w:type="gramStart"/>
      <w:r w:rsidRPr="00E2003F">
        <w:rPr>
          <w:rFonts w:ascii="Times New Roman" w:hAnsi="Times New Roman" w:cs="Times New Roman"/>
        </w:rPr>
        <w:t>tumor</w:t>
      </w:r>
      <w:proofErr w:type="spellEnd"/>
      <w:r w:rsidRPr="00E2003F">
        <w:rPr>
          <w:rFonts w:ascii="Times New Roman" w:hAnsi="Times New Roman" w:cs="Times New Roman"/>
        </w:rPr>
        <w:t>.(</w:t>
      </w:r>
      <w:proofErr w:type="gramEnd"/>
      <w:r w:rsidRPr="00E2003F">
        <w:rPr>
          <w:rFonts w:ascii="Times New Roman" w:hAnsi="Times New Roman" w:cs="Times New Roman"/>
        </w:rPr>
        <w:t>Prakash Jondhale et al., n.d.).</w:t>
      </w:r>
    </w:p>
    <w:p w14:paraId="5F63E9DD"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lastRenderedPageBreak/>
        <w:t xml:space="preserve">Ayurveda is an age-old holistic approach, which aims to keep the three doshas pitta, kapha, and vata in a balanced condition, which may decide an individual’s constitution. In addition to herbal medicines, yoga, </w:t>
      </w:r>
      <w:proofErr w:type="spellStart"/>
      <w:r w:rsidRPr="00E2003F">
        <w:rPr>
          <w:rFonts w:ascii="Times New Roman" w:hAnsi="Times New Roman" w:cs="Times New Roman"/>
        </w:rPr>
        <w:t>medication</w:t>
      </w:r>
      <w:proofErr w:type="spellEnd"/>
      <w:r w:rsidRPr="00E2003F">
        <w:rPr>
          <w:rFonts w:ascii="Times New Roman" w:hAnsi="Times New Roman" w:cs="Times New Roman"/>
        </w:rPr>
        <w:t xml:space="preserve"> and detoxification techniques, the therapeutic approach also includes other treatments for promoting health and preventing diseases and to bring body and mind back into </w:t>
      </w:r>
      <w:proofErr w:type="gramStart"/>
      <w:r w:rsidRPr="00E2003F">
        <w:rPr>
          <w:rFonts w:ascii="Times New Roman" w:hAnsi="Times New Roman" w:cs="Times New Roman"/>
        </w:rPr>
        <w:t>harmony.(</w:t>
      </w:r>
      <w:proofErr w:type="gramEnd"/>
      <w:r w:rsidRPr="00E2003F">
        <w:rPr>
          <w:rFonts w:ascii="Times New Roman" w:hAnsi="Times New Roman" w:cs="Times New Roman"/>
        </w:rPr>
        <w:t xml:space="preserve">Lata, n.d.). It is crucial to uphold the core ideas of ayurveda such as </w:t>
      </w:r>
      <w:proofErr w:type="spellStart"/>
      <w:r w:rsidRPr="00E2003F">
        <w:rPr>
          <w:rFonts w:ascii="Times New Roman" w:hAnsi="Times New Roman" w:cs="Times New Roman"/>
        </w:rPr>
        <w:t>tridosha</w:t>
      </w:r>
      <w:proofErr w:type="spellEnd"/>
      <w:r w:rsidRPr="00E2003F">
        <w:rPr>
          <w:rFonts w:ascii="Times New Roman" w:hAnsi="Times New Roman" w:cs="Times New Roman"/>
        </w:rPr>
        <w:t xml:space="preserve"> theories to meet the individual demands of contemporary world. Modern medicines sometimes are uniform and have a reductionist approach while ayurvedic treatments have inherent individuality that each patient’s unique humoral disturbances are being treated. It is much difficult to validate scientifically, and identify the active pharmacologic compounds which can ignore the system’s holistic </w:t>
      </w:r>
      <w:proofErr w:type="gramStart"/>
      <w:r w:rsidRPr="00E2003F">
        <w:rPr>
          <w:rFonts w:ascii="Times New Roman" w:hAnsi="Times New Roman" w:cs="Times New Roman"/>
        </w:rPr>
        <w:t>philosophy.(</w:t>
      </w:r>
      <w:proofErr w:type="gramEnd"/>
      <w:r w:rsidRPr="00E2003F">
        <w:rPr>
          <w:rFonts w:ascii="Times New Roman" w:hAnsi="Times New Roman" w:cs="Times New Roman"/>
        </w:rPr>
        <w:t>S. Kumar et al., 2014).</w:t>
      </w:r>
    </w:p>
    <w:p w14:paraId="170FBDDF" w14:textId="51959E5C" w:rsidR="00E2003F" w:rsidRPr="00E2003F" w:rsidRDefault="00E2003F" w:rsidP="00946F1D">
      <w:pPr>
        <w:spacing w:after="0" w:line="360" w:lineRule="auto"/>
        <w:jc w:val="both"/>
        <w:rPr>
          <w:rFonts w:ascii="Times New Roman" w:hAnsi="Times New Roman" w:cs="Times New Roman"/>
        </w:rPr>
      </w:pPr>
    </w:p>
    <w:p w14:paraId="51F3CDC8"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 xml:space="preserve">Understanding individual body make up and environmental factors, the approach of balancing the body’s energies or doshas through detoxification process, dietary changes, herbal medicines and lifestyle adjustments places a high priority on preventive and individualised </w:t>
      </w:r>
      <w:proofErr w:type="gramStart"/>
      <w:r w:rsidRPr="00E2003F">
        <w:rPr>
          <w:rFonts w:ascii="Times New Roman" w:hAnsi="Times New Roman" w:cs="Times New Roman"/>
        </w:rPr>
        <w:t>therapy.(</w:t>
      </w:r>
      <w:proofErr w:type="gramEnd"/>
      <w:r w:rsidRPr="00E2003F">
        <w:rPr>
          <w:rFonts w:ascii="Times New Roman" w:hAnsi="Times New Roman" w:cs="Times New Roman"/>
        </w:rPr>
        <w:t xml:space="preserve">L. Mishra et al., 2001). Scientific knowledge in the contemporary areas like Cell Biology, Genetics, Biochemistry and Molecular Biology can be used to comprehend and validate ayurvedic formulations and principles </w:t>
      </w:r>
      <w:proofErr w:type="spellStart"/>
      <w:r w:rsidRPr="00E2003F">
        <w:rPr>
          <w:rFonts w:ascii="Times New Roman" w:hAnsi="Times New Roman" w:cs="Times New Roman"/>
        </w:rPr>
        <w:t>inorder</w:t>
      </w:r>
      <w:proofErr w:type="spellEnd"/>
      <w:r w:rsidRPr="00E2003F">
        <w:rPr>
          <w:rFonts w:ascii="Times New Roman" w:hAnsi="Times New Roman" w:cs="Times New Roman"/>
        </w:rPr>
        <w:t xml:space="preserve"> to move beyond traditional </w:t>
      </w:r>
      <w:proofErr w:type="gramStart"/>
      <w:r w:rsidRPr="00E2003F">
        <w:rPr>
          <w:rFonts w:ascii="Times New Roman" w:hAnsi="Times New Roman" w:cs="Times New Roman"/>
        </w:rPr>
        <w:t>experience based</w:t>
      </w:r>
      <w:proofErr w:type="gramEnd"/>
      <w:r w:rsidRPr="00E2003F">
        <w:rPr>
          <w:rFonts w:ascii="Times New Roman" w:hAnsi="Times New Roman" w:cs="Times New Roman"/>
        </w:rPr>
        <w:t xml:space="preserve"> approach. Experimental validation and biological characterization of notions such as prakriti, doshas, and other classical ideas strengthens the link between traditional knowledge and contemporary science, by highlighting attempts by the Indian scientific community to investigate Ayurvedic principles using research models like Drosophila, which can change Ayurveda into a more impartial, evidence-based, and integrative healthcare </w:t>
      </w:r>
      <w:proofErr w:type="gramStart"/>
      <w:r w:rsidRPr="00E2003F">
        <w:rPr>
          <w:rFonts w:ascii="Times New Roman" w:hAnsi="Times New Roman" w:cs="Times New Roman"/>
        </w:rPr>
        <w:t>system.(</w:t>
      </w:r>
      <w:proofErr w:type="gramEnd"/>
      <w:r w:rsidRPr="00E2003F">
        <w:rPr>
          <w:rFonts w:ascii="Times New Roman" w:hAnsi="Times New Roman" w:cs="Times New Roman"/>
        </w:rPr>
        <w:t xml:space="preserve">Lakhotia, 2019a). Ayurvedic product quality control may be improved, evidence-based procedures can be produced, and a comprehensive, integrated healthcare system that builds on the advantages of both contemporary and traditional medicine can be promoted. To prove </w:t>
      </w:r>
      <w:proofErr w:type="spellStart"/>
      <w:r w:rsidRPr="00E2003F">
        <w:rPr>
          <w:rFonts w:ascii="Times New Roman" w:hAnsi="Times New Roman" w:cs="Times New Roman"/>
        </w:rPr>
        <w:t>Ayurvedic's</w:t>
      </w:r>
      <w:proofErr w:type="spellEnd"/>
      <w:r w:rsidRPr="00E2003F">
        <w:rPr>
          <w:rFonts w:ascii="Times New Roman" w:hAnsi="Times New Roman" w:cs="Times New Roman"/>
        </w:rPr>
        <w:t xml:space="preserve"> legitimacy and applicability in modern healthcare, the study calls for more cooperation between Ayurvedic practitioners and scientists, and a re-evaluation of Ayurvedic principles in light of present scientific </w:t>
      </w:r>
      <w:proofErr w:type="gramStart"/>
      <w:r w:rsidRPr="00E2003F">
        <w:rPr>
          <w:rFonts w:ascii="Times New Roman" w:hAnsi="Times New Roman" w:cs="Times New Roman"/>
        </w:rPr>
        <w:t>understanding.(</w:t>
      </w:r>
      <w:proofErr w:type="gramEnd"/>
      <w:r w:rsidRPr="00E2003F">
        <w:rPr>
          <w:rFonts w:ascii="Times New Roman" w:hAnsi="Times New Roman" w:cs="Times New Roman"/>
        </w:rPr>
        <w:t>Lakhotia, 2019b).</w:t>
      </w:r>
    </w:p>
    <w:p w14:paraId="112A4D39"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 xml:space="preserve">The epistemologically sensitive research approaches can honour patient-centred tenets of Ayurveda, including the idea of individual constitution, can bring about customized therapies. It promotes strategic documentation, quality control, and cooperative research initiatives to produce reliable scientific proof, facilitating the more seamless integration of Ayurveda into contemporary healthcare. In order to improve the efficacy, safety, and validity of Ayurvedic methods, conventional knowledge systems are to be incorporated with modern methods and personalised, medications and cutting-edge projects like personalized </w:t>
      </w:r>
      <w:proofErr w:type="gramStart"/>
      <w:r w:rsidRPr="00E2003F">
        <w:rPr>
          <w:rFonts w:ascii="Times New Roman" w:hAnsi="Times New Roman" w:cs="Times New Roman"/>
        </w:rPr>
        <w:t>medicine.(</w:t>
      </w:r>
      <w:proofErr w:type="gramEnd"/>
      <w:r w:rsidRPr="00E2003F">
        <w:rPr>
          <w:rFonts w:ascii="Times New Roman" w:hAnsi="Times New Roman" w:cs="Times New Roman"/>
        </w:rPr>
        <w:t xml:space="preserve">Patwardhan, 2014). Identification, characterization, and evaluation of the biological activities of natural products derived from higher plants have been greatly improved by the advancement in the analytical methods like Mass Spectrometry, NMR and Chromatography. Combining ethnopharmacology, traditional medicine, and biotechnology has been essential in converting traditional knowledge into medications with scientific backing, encouraging global cooperation, and advancing </w:t>
      </w:r>
      <w:r w:rsidRPr="00E2003F">
        <w:rPr>
          <w:rFonts w:ascii="Times New Roman" w:hAnsi="Times New Roman" w:cs="Times New Roman"/>
        </w:rPr>
        <w:lastRenderedPageBreak/>
        <w:t xml:space="preserve">standardization initiatives. As a result of the breakthroughs in phytochemistry and pharmacognosy, significant therapeutic molecules have been found like artemisinin which has </w:t>
      </w:r>
      <w:proofErr w:type="spellStart"/>
      <w:r w:rsidRPr="00E2003F">
        <w:rPr>
          <w:rFonts w:ascii="Times New Roman" w:hAnsi="Times New Roman" w:cs="Times New Roman"/>
        </w:rPr>
        <w:t>anti malarial</w:t>
      </w:r>
      <w:proofErr w:type="spellEnd"/>
      <w:r w:rsidRPr="00E2003F">
        <w:rPr>
          <w:rFonts w:ascii="Times New Roman" w:hAnsi="Times New Roman" w:cs="Times New Roman"/>
        </w:rPr>
        <w:t xml:space="preserve"> and </w:t>
      </w:r>
      <w:proofErr w:type="spellStart"/>
      <w:r w:rsidRPr="00E2003F">
        <w:rPr>
          <w:rFonts w:ascii="Times New Roman" w:hAnsi="Times New Roman" w:cs="Times New Roman"/>
        </w:rPr>
        <w:t>anti cancer</w:t>
      </w:r>
      <w:proofErr w:type="spellEnd"/>
      <w:r w:rsidRPr="00E2003F">
        <w:rPr>
          <w:rFonts w:ascii="Times New Roman" w:hAnsi="Times New Roman" w:cs="Times New Roman"/>
        </w:rPr>
        <w:t xml:space="preserve"> </w:t>
      </w:r>
      <w:proofErr w:type="gramStart"/>
      <w:r w:rsidRPr="00E2003F">
        <w:rPr>
          <w:rFonts w:ascii="Times New Roman" w:hAnsi="Times New Roman" w:cs="Times New Roman"/>
        </w:rPr>
        <w:t>activities.(</w:t>
      </w:r>
      <w:proofErr w:type="gramEnd"/>
      <w:r w:rsidRPr="00E2003F">
        <w:rPr>
          <w:rFonts w:ascii="Times New Roman" w:hAnsi="Times New Roman" w:cs="Times New Roman"/>
        </w:rPr>
        <w:t>Phillipson, 2007).</w:t>
      </w:r>
    </w:p>
    <w:p w14:paraId="7CC819F6" w14:textId="77777777" w:rsidR="008E79FB" w:rsidRPr="00946F1D" w:rsidRDefault="008E79FB" w:rsidP="00946F1D">
      <w:pPr>
        <w:spacing w:after="0" w:line="360" w:lineRule="auto"/>
        <w:jc w:val="both"/>
        <w:rPr>
          <w:rFonts w:ascii="Times New Roman" w:eastAsia="Times New Roman" w:hAnsi="Times New Roman" w:cs="Times New Roman"/>
          <w:kern w:val="0"/>
          <w:lang w:eastAsia="en-IN"/>
          <w14:ligatures w14:val="none"/>
        </w:rPr>
      </w:pPr>
    </w:p>
    <w:p w14:paraId="567B69BA" w14:textId="6479F743" w:rsidR="008E79FB" w:rsidRPr="00946F1D" w:rsidRDefault="008E79FB" w:rsidP="00946F1D">
      <w:pPr>
        <w:spacing w:after="0" w:line="360" w:lineRule="auto"/>
        <w:jc w:val="both"/>
        <w:rPr>
          <w:rFonts w:ascii="Times New Roman" w:eastAsia="Times New Roman" w:hAnsi="Times New Roman" w:cs="Times New Roman"/>
          <w:kern w:val="0"/>
          <w:lang w:eastAsia="en-IN"/>
          <w14:ligatures w14:val="none"/>
        </w:rPr>
      </w:pPr>
      <w:r w:rsidRPr="00946F1D">
        <w:rPr>
          <w:noProof/>
        </w:rPr>
        <w:drawing>
          <wp:inline distT="0" distB="0" distL="0" distR="0" wp14:anchorId="62277CDE" wp14:editId="4B533E86">
            <wp:extent cx="5364480" cy="3849467"/>
            <wp:effectExtent l="0" t="0" r="7620" b="0"/>
            <wp:docPr id="19910778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2945" cy="3862717"/>
                    </a:xfrm>
                    <a:prstGeom prst="rect">
                      <a:avLst/>
                    </a:prstGeom>
                    <a:noFill/>
                  </pic:spPr>
                </pic:pic>
              </a:graphicData>
            </a:graphic>
          </wp:inline>
        </w:drawing>
      </w:r>
    </w:p>
    <w:p w14:paraId="5ED9730A" w14:textId="77777777" w:rsidR="008E79FB" w:rsidRPr="00946F1D" w:rsidRDefault="008E79FB" w:rsidP="00946F1D">
      <w:pPr>
        <w:spacing w:after="0" w:line="360" w:lineRule="auto"/>
        <w:jc w:val="both"/>
        <w:rPr>
          <w:rFonts w:ascii="Times New Roman" w:eastAsia="Times New Roman" w:hAnsi="Times New Roman" w:cs="Times New Roman"/>
          <w:kern w:val="0"/>
          <w:lang w:eastAsia="en-IN"/>
          <w14:ligatures w14:val="none"/>
        </w:rPr>
      </w:pPr>
    </w:p>
    <w:p w14:paraId="283C38E0" w14:textId="77777777" w:rsidR="00E2003F" w:rsidRPr="00946F1D" w:rsidRDefault="00E2003F"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Fig. 2.1 showing graphical representation of the therapeutic activities identified in the review content.</w:t>
      </w:r>
    </w:p>
    <w:p w14:paraId="295EAE9C" w14:textId="77777777" w:rsidR="00E2003F" w:rsidRPr="00946F1D" w:rsidRDefault="00E2003F" w:rsidP="00946F1D">
      <w:pPr>
        <w:spacing w:after="0" w:line="360" w:lineRule="auto"/>
        <w:jc w:val="both"/>
        <w:rPr>
          <w:rFonts w:ascii="Times New Roman" w:eastAsia="Times New Roman" w:hAnsi="Times New Roman" w:cs="Times New Roman"/>
          <w:kern w:val="0"/>
          <w:lang w:eastAsia="en-IN"/>
          <w14:ligatures w14:val="none"/>
        </w:rPr>
      </w:pPr>
    </w:p>
    <w:p w14:paraId="1B243F16" w14:textId="5139FCCD" w:rsidR="00F51FE6" w:rsidRPr="00946F1D" w:rsidRDefault="00F51FE6" w:rsidP="00946F1D">
      <w:pPr>
        <w:spacing w:after="0" w:line="360" w:lineRule="auto"/>
        <w:ind w:left="1980"/>
        <w:jc w:val="both"/>
        <w:rPr>
          <w:rFonts w:ascii="Times New Roman" w:eastAsia="Times New Roman" w:hAnsi="Times New Roman" w:cs="Times New Roman"/>
          <w:b/>
          <w:bCs/>
          <w:kern w:val="0"/>
          <w:lang w:eastAsia="en-IN"/>
          <w14:ligatures w14:val="none"/>
        </w:rPr>
      </w:pPr>
    </w:p>
    <w:p w14:paraId="31D66B65" w14:textId="52B41F32" w:rsidR="00786C3D" w:rsidRPr="00946F1D" w:rsidRDefault="00042F2F"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 xml:space="preserve">3. </w:t>
      </w:r>
      <w:r w:rsidR="00A71633" w:rsidRPr="00946F1D">
        <w:rPr>
          <w:rFonts w:ascii="Times New Roman" w:eastAsia="Times New Roman" w:hAnsi="Times New Roman" w:cs="Times New Roman"/>
          <w:b/>
          <w:bCs/>
          <w:kern w:val="0"/>
          <w:lang w:eastAsia="en-IN"/>
          <w14:ligatures w14:val="none"/>
        </w:rPr>
        <w:t>Phytochemical analysis of Kwatha</w:t>
      </w:r>
    </w:p>
    <w:p w14:paraId="6160048A" w14:textId="77777777" w:rsidR="006208CC" w:rsidRPr="00946F1D" w:rsidRDefault="006208CC" w:rsidP="00946F1D">
      <w:pPr>
        <w:spacing w:after="0" w:line="360" w:lineRule="auto"/>
        <w:jc w:val="both"/>
        <w:rPr>
          <w:rFonts w:ascii="Times New Roman" w:eastAsia="Times New Roman" w:hAnsi="Times New Roman" w:cs="Times New Roman"/>
          <w:b/>
          <w:bCs/>
          <w:kern w:val="0"/>
          <w:lang w:eastAsia="en-IN"/>
          <w14:ligatures w14:val="none"/>
        </w:rPr>
      </w:pPr>
    </w:p>
    <w:p w14:paraId="35ADBAF7"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 xml:space="preserve">Standardisation improve safety and efficacy and can forecast how well a formulation would perform for a particular ailment due to the diversity in therapeutic </w:t>
      </w:r>
      <w:proofErr w:type="gramStart"/>
      <w:r w:rsidRPr="00E2003F">
        <w:rPr>
          <w:rFonts w:ascii="Times New Roman" w:hAnsi="Times New Roman" w:cs="Times New Roman"/>
        </w:rPr>
        <w:t>outcomes.(</w:t>
      </w:r>
      <w:proofErr w:type="gramEnd"/>
      <w:r w:rsidRPr="00E2003F">
        <w:rPr>
          <w:rFonts w:ascii="Times New Roman" w:hAnsi="Times New Roman" w:cs="Times New Roman"/>
        </w:rPr>
        <w:t xml:space="preserve">M. M. Kumar et al., 2025). </w:t>
      </w:r>
      <w:proofErr w:type="spellStart"/>
      <w:r w:rsidRPr="00E2003F">
        <w:rPr>
          <w:rFonts w:ascii="Times New Roman" w:hAnsi="Times New Roman" w:cs="Times New Roman"/>
        </w:rPr>
        <w:t>Guduchyadi</w:t>
      </w:r>
      <w:proofErr w:type="spellEnd"/>
      <w:r w:rsidRPr="00E2003F">
        <w:rPr>
          <w:rFonts w:ascii="Times New Roman" w:hAnsi="Times New Roman" w:cs="Times New Roman"/>
        </w:rPr>
        <w:t xml:space="preserve"> </w:t>
      </w:r>
      <w:proofErr w:type="spellStart"/>
      <w:r w:rsidRPr="00E2003F">
        <w:rPr>
          <w:rFonts w:ascii="Times New Roman" w:hAnsi="Times New Roman" w:cs="Times New Roman"/>
        </w:rPr>
        <w:t>kashayam</w:t>
      </w:r>
      <w:proofErr w:type="spellEnd"/>
      <w:r w:rsidRPr="00E2003F">
        <w:rPr>
          <w:rFonts w:ascii="Times New Roman" w:hAnsi="Times New Roman" w:cs="Times New Roman"/>
        </w:rPr>
        <w:t xml:space="preserve"> are contained to be very rich in phenolic compounds when examined using Liquid Chromatography Tandem Mass Spectrometry. Because of the high phytochemical concentration especially phenolic compounds are responsible for the therapeutic efficacy of the formulation like, anti-inflammatory, anti-oxidant, anti-ageing, and anti-proliferative </w:t>
      </w:r>
      <w:proofErr w:type="gramStart"/>
      <w:r w:rsidRPr="00E2003F">
        <w:rPr>
          <w:rFonts w:ascii="Times New Roman" w:hAnsi="Times New Roman" w:cs="Times New Roman"/>
        </w:rPr>
        <w:t>action.(</w:t>
      </w:r>
      <w:proofErr w:type="gramEnd"/>
      <w:r w:rsidRPr="00E2003F">
        <w:rPr>
          <w:rFonts w:ascii="Times New Roman" w:hAnsi="Times New Roman" w:cs="Times New Roman"/>
        </w:rPr>
        <w:t xml:space="preserve">S. S. Sruthi &amp; Anand, 2024). </w:t>
      </w:r>
      <w:proofErr w:type="spellStart"/>
      <w:r w:rsidRPr="00E2003F">
        <w:rPr>
          <w:rFonts w:ascii="Times New Roman" w:hAnsi="Times New Roman" w:cs="Times New Roman"/>
        </w:rPr>
        <w:t>Prasarinyadi</w:t>
      </w:r>
      <w:proofErr w:type="spellEnd"/>
      <w:r w:rsidRPr="00E2003F">
        <w:rPr>
          <w:rFonts w:ascii="Times New Roman" w:hAnsi="Times New Roman" w:cs="Times New Roman"/>
        </w:rPr>
        <w:t xml:space="preserve"> Kashayam contain 19 phytochemicals includes secondary metabolites with anti-inflammatory, immunostimulant, and antioxidant qualities which are alkaloids, flavonoids, terpenoids, and phenolic compounds revealed in the ESI-QTOF-MS </w:t>
      </w:r>
      <w:proofErr w:type="gramStart"/>
      <w:r w:rsidRPr="00E2003F">
        <w:rPr>
          <w:rFonts w:ascii="Times New Roman" w:hAnsi="Times New Roman" w:cs="Times New Roman"/>
        </w:rPr>
        <w:t>analysis.(</w:t>
      </w:r>
      <w:proofErr w:type="gramEnd"/>
      <w:r w:rsidRPr="00E2003F">
        <w:rPr>
          <w:rFonts w:ascii="Times New Roman" w:hAnsi="Times New Roman" w:cs="Times New Roman"/>
        </w:rPr>
        <w:t xml:space="preserve">Girija et al., 2024). The concentration of sodium benzoate was found to be very high in all three commercial brands of Sahacharadi kwatha, </w:t>
      </w:r>
      <w:r w:rsidRPr="00E2003F">
        <w:rPr>
          <w:rFonts w:ascii="Times New Roman" w:hAnsi="Times New Roman" w:cs="Times New Roman"/>
        </w:rPr>
        <w:lastRenderedPageBreak/>
        <w:t xml:space="preserve">also numerous </w:t>
      </w:r>
      <w:proofErr w:type="gramStart"/>
      <w:r w:rsidRPr="00E2003F">
        <w:rPr>
          <w:rFonts w:ascii="Times New Roman" w:hAnsi="Times New Roman" w:cs="Times New Roman"/>
        </w:rPr>
        <w:t>phytochemical</w:t>
      </w:r>
      <w:proofErr w:type="gramEnd"/>
      <w:r w:rsidRPr="00E2003F">
        <w:rPr>
          <w:rFonts w:ascii="Times New Roman" w:hAnsi="Times New Roman" w:cs="Times New Roman"/>
        </w:rPr>
        <w:t xml:space="preserve"> have been detected, but there is an urgent need for standardization and effective quality control procedures to improve customer safety and trust in Ayurvedic </w:t>
      </w:r>
      <w:proofErr w:type="gramStart"/>
      <w:r w:rsidRPr="00E2003F">
        <w:rPr>
          <w:rFonts w:ascii="Times New Roman" w:hAnsi="Times New Roman" w:cs="Times New Roman"/>
        </w:rPr>
        <w:t>commodities.(</w:t>
      </w:r>
      <w:proofErr w:type="gramEnd"/>
      <w:r w:rsidRPr="00E2003F">
        <w:rPr>
          <w:rFonts w:ascii="Times New Roman" w:hAnsi="Times New Roman" w:cs="Times New Roman"/>
        </w:rPr>
        <w:t xml:space="preserve">Gopal &amp; </w:t>
      </w:r>
      <w:proofErr w:type="spellStart"/>
      <w:r w:rsidRPr="00E2003F">
        <w:rPr>
          <w:rFonts w:ascii="Times New Roman" w:hAnsi="Times New Roman" w:cs="Times New Roman"/>
        </w:rPr>
        <w:t>Ittiachen</w:t>
      </w:r>
      <w:proofErr w:type="spellEnd"/>
      <w:r w:rsidRPr="00E2003F">
        <w:rPr>
          <w:rFonts w:ascii="Times New Roman" w:hAnsi="Times New Roman" w:cs="Times New Roman"/>
        </w:rPr>
        <w:t>, 2024).</w:t>
      </w:r>
    </w:p>
    <w:p w14:paraId="64EA538B" w14:textId="7480242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 xml:space="preserve">The GCMS profile of </w:t>
      </w:r>
      <w:proofErr w:type="spellStart"/>
      <w:r w:rsidRPr="00E2003F">
        <w:rPr>
          <w:rFonts w:ascii="Times New Roman" w:hAnsi="Times New Roman" w:cs="Times New Roman"/>
        </w:rPr>
        <w:t>Amrutotharanam</w:t>
      </w:r>
      <w:proofErr w:type="spellEnd"/>
      <w:r w:rsidRPr="00E2003F">
        <w:rPr>
          <w:rFonts w:ascii="Times New Roman" w:hAnsi="Times New Roman" w:cs="Times New Roman"/>
        </w:rPr>
        <w:t xml:space="preserve"> Kashayam, revealed to include imported biomolecules with cytotoxic effects on cancer cells which have notable antioxidant activity when compared to common compounds like ascorbic acid. Molecular docking and dynamics simulations also showed that these chemicals might inhibit target proteins linked to viral infections and </w:t>
      </w:r>
      <w:proofErr w:type="gramStart"/>
      <w:r w:rsidRPr="00E2003F">
        <w:rPr>
          <w:rFonts w:ascii="Times New Roman" w:hAnsi="Times New Roman" w:cs="Times New Roman"/>
        </w:rPr>
        <w:t>cancer.(</w:t>
      </w:r>
      <w:proofErr w:type="gramEnd"/>
      <w:r w:rsidRPr="00E2003F">
        <w:rPr>
          <w:rFonts w:ascii="Times New Roman" w:hAnsi="Times New Roman" w:cs="Times New Roman"/>
        </w:rPr>
        <w:t xml:space="preserve">Raman et al., 2023). Using HPTLC it has been comparatively found that significant differences are there between the ingredient plants and the finished formation. The detailed chemical finger printing and spectrophotometric assays estimated major classes of compounds like total phenolics and flavonoids. Specific bioactive molecules have accumulated by the interaction of phytoconstituents in the raw drugs both synergistically and antagonistically during the preparation of </w:t>
      </w:r>
      <w:proofErr w:type="gramStart"/>
      <w:r w:rsidRPr="00E2003F">
        <w:rPr>
          <w:rFonts w:ascii="Times New Roman" w:hAnsi="Times New Roman" w:cs="Times New Roman"/>
        </w:rPr>
        <w:t>Kashayam.(</w:t>
      </w:r>
      <w:proofErr w:type="gramEnd"/>
      <w:r w:rsidRPr="00E2003F">
        <w:rPr>
          <w:rFonts w:ascii="Times New Roman" w:hAnsi="Times New Roman" w:cs="Times New Roman"/>
        </w:rPr>
        <w:t xml:space="preserve">C. Sulaiman et al., 2023). A variety of invitro analysis such as ABTS, DPPH, FRAP, ORAC and BCB were met to identify the key phytochemicals like alkaloids, </w:t>
      </w:r>
      <w:proofErr w:type="spellStart"/>
      <w:r w:rsidRPr="00E2003F">
        <w:rPr>
          <w:rFonts w:ascii="Times New Roman" w:hAnsi="Times New Roman" w:cs="Times New Roman"/>
        </w:rPr>
        <w:t>flavanoids</w:t>
      </w:r>
      <w:proofErr w:type="spellEnd"/>
      <w:r w:rsidRPr="00E2003F">
        <w:rPr>
          <w:rFonts w:ascii="Times New Roman" w:hAnsi="Times New Roman" w:cs="Times New Roman"/>
        </w:rPr>
        <w:t xml:space="preserve">, </w:t>
      </w:r>
      <w:proofErr w:type="spellStart"/>
      <w:r w:rsidRPr="00E2003F">
        <w:rPr>
          <w:rFonts w:ascii="Times New Roman" w:hAnsi="Times New Roman" w:cs="Times New Roman"/>
        </w:rPr>
        <w:t>terpeniods</w:t>
      </w:r>
      <w:proofErr w:type="spellEnd"/>
      <w:r w:rsidRPr="00E2003F">
        <w:rPr>
          <w:rFonts w:ascii="Times New Roman" w:hAnsi="Times New Roman" w:cs="Times New Roman"/>
        </w:rPr>
        <w:t xml:space="preserve">, Saponins and glycosides present in TC-16, a novel polyherbal formulation. Result showed, TC-16 has high antioxidant qualities and potential health benefits which might be due to the synergistic effects of herbal constituents and which is mostly caused by hydrogen atom transfer </w:t>
      </w:r>
      <w:proofErr w:type="gramStart"/>
      <w:r w:rsidRPr="00E2003F">
        <w:rPr>
          <w:rFonts w:ascii="Times New Roman" w:hAnsi="Times New Roman" w:cs="Times New Roman"/>
        </w:rPr>
        <w:t>processes.(</w:t>
      </w:r>
      <w:proofErr w:type="gramEnd"/>
      <w:r w:rsidRPr="00E2003F">
        <w:rPr>
          <w:rFonts w:ascii="Times New Roman" w:hAnsi="Times New Roman" w:cs="Times New Roman"/>
        </w:rPr>
        <w:t xml:space="preserve">Yap et al., 2023). By following WHO recommendations, a thorough analysis carried out for </w:t>
      </w:r>
      <w:proofErr w:type="spellStart"/>
      <w:r w:rsidRPr="00E2003F">
        <w:rPr>
          <w:rFonts w:ascii="Times New Roman" w:hAnsi="Times New Roman" w:cs="Times New Roman"/>
        </w:rPr>
        <w:t>Patolakaturohinyadi</w:t>
      </w:r>
      <w:proofErr w:type="spellEnd"/>
      <w:r w:rsidRPr="00E2003F">
        <w:rPr>
          <w:rFonts w:ascii="Times New Roman" w:hAnsi="Times New Roman" w:cs="Times New Roman"/>
        </w:rPr>
        <w:t xml:space="preserve"> </w:t>
      </w:r>
      <w:proofErr w:type="spellStart"/>
      <w:r w:rsidRPr="00E2003F">
        <w:rPr>
          <w:rFonts w:ascii="Times New Roman" w:hAnsi="Times New Roman" w:cs="Times New Roman"/>
        </w:rPr>
        <w:t>Ghanavati</w:t>
      </w:r>
      <w:proofErr w:type="spellEnd"/>
      <w:r w:rsidRPr="00E2003F">
        <w:rPr>
          <w:rFonts w:ascii="Times New Roman" w:hAnsi="Times New Roman" w:cs="Times New Roman"/>
        </w:rPr>
        <w:t xml:space="preserve">, a polyherbal Ayurvedic formulation </w:t>
      </w:r>
      <w:proofErr w:type="spellStart"/>
      <w:r w:rsidRPr="00E2003F">
        <w:rPr>
          <w:rFonts w:ascii="Times New Roman" w:hAnsi="Times New Roman" w:cs="Times New Roman"/>
        </w:rPr>
        <w:t>derrived</w:t>
      </w:r>
      <w:proofErr w:type="spellEnd"/>
      <w:r w:rsidRPr="00E2003F">
        <w:rPr>
          <w:rFonts w:ascii="Times New Roman" w:hAnsi="Times New Roman" w:cs="Times New Roman"/>
        </w:rPr>
        <w:t xml:space="preserve"> from the traditional </w:t>
      </w:r>
      <w:proofErr w:type="spellStart"/>
      <w:r w:rsidRPr="00E2003F">
        <w:rPr>
          <w:rFonts w:ascii="Times New Roman" w:hAnsi="Times New Roman" w:cs="Times New Roman"/>
        </w:rPr>
        <w:t>Patolakaturohinyadi</w:t>
      </w:r>
      <w:proofErr w:type="spellEnd"/>
      <w:r w:rsidRPr="00E2003F">
        <w:rPr>
          <w:rFonts w:ascii="Times New Roman" w:hAnsi="Times New Roman" w:cs="Times New Roman"/>
        </w:rPr>
        <w:t xml:space="preserve"> Kashaya </w:t>
      </w:r>
      <w:proofErr w:type="spellStart"/>
      <w:r w:rsidRPr="00E2003F">
        <w:rPr>
          <w:rFonts w:ascii="Times New Roman" w:hAnsi="Times New Roman" w:cs="Times New Roman"/>
        </w:rPr>
        <w:t>inorder</w:t>
      </w:r>
      <w:proofErr w:type="spellEnd"/>
      <w:r w:rsidRPr="00E2003F">
        <w:rPr>
          <w:rFonts w:ascii="Times New Roman" w:hAnsi="Times New Roman" w:cs="Times New Roman"/>
        </w:rPr>
        <w:t xml:space="preserve"> to assess the </w:t>
      </w:r>
      <w:proofErr w:type="spellStart"/>
      <w:r w:rsidRPr="00E2003F">
        <w:rPr>
          <w:rFonts w:ascii="Times New Roman" w:hAnsi="Times New Roman" w:cs="Times New Roman"/>
        </w:rPr>
        <w:t>Ghanavati</w:t>
      </w:r>
      <w:proofErr w:type="spellEnd"/>
      <w:r w:rsidRPr="00E2003F">
        <w:rPr>
          <w:rFonts w:ascii="Times New Roman" w:hAnsi="Times New Roman" w:cs="Times New Roman"/>
        </w:rPr>
        <w:t xml:space="preserve"> form for improved palatability and transportability. The formulation had </w:t>
      </w:r>
      <w:proofErr w:type="spellStart"/>
      <w:r w:rsidRPr="00E2003F">
        <w:rPr>
          <w:rFonts w:ascii="Times New Roman" w:hAnsi="Times New Roman" w:cs="Times New Roman"/>
        </w:rPr>
        <w:t>favorable</w:t>
      </w:r>
      <w:proofErr w:type="spellEnd"/>
      <w:r w:rsidRPr="00E2003F">
        <w:rPr>
          <w:rFonts w:ascii="Times New Roman" w:hAnsi="Times New Roman" w:cs="Times New Roman"/>
        </w:rPr>
        <w:t xml:space="preserve"> properties, including a microbiological count of 38 CFU/mL, a moisture content of 6.268%, a hardness of 6.0 kg/cm, and a disintegration time of 25 minutes. The </w:t>
      </w:r>
      <w:proofErr w:type="spellStart"/>
      <w:r w:rsidR="00946F1D">
        <w:rPr>
          <w:rFonts w:ascii="Times New Roman" w:hAnsi="Times New Roman" w:cs="Times New Roman"/>
        </w:rPr>
        <w:t>G</w:t>
      </w:r>
      <w:r w:rsidRPr="00E2003F">
        <w:rPr>
          <w:rFonts w:ascii="Times New Roman" w:hAnsi="Times New Roman" w:cs="Times New Roman"/>
        </w:rPr>
        <w:t>hanavati</w:t>
      </w:r>
      <w:proofErr w:type="spellEnd"/>
      <w:r w:rsidRPr="00E2003F">
        <w:rPr>
          <w:rFonts w:ascii="Times New Roman" w:hAnsi="Times New Roman" w:cs="Times New Roman"/>
        </w:rPr>
        <w:t xml:space="preserve"> confirmed having much therapeutic effectiveness for long term condition such as for liver diseases and </w:t>
      </w:r>
      <w:proofErr w:type="spellStart"/>
      <w:proofErr w:type="gramStart"/>
      <w:r w:rsidRPr="00E2003F">
        <w:rPr>
          <w:rFonts w:ascii="Times New Roman" w:hAnsi="Times New Roman" w:cs="Times New Roman"/>
        </w:rPr>
        <w:t>kushta</w:t>
      </w:r>
      <w:proofErr w:type="spellEnd"/>
      <w:r w:rsidRPr="00E2003F">
        <w:rPr>
          <w:rFonts w:ascii="Times New Roman" w:hAnsi="Times New Roman" w:cs="Times New Roman"/>
        </w:rPr>
        <w:t>.(</w:t>
      </w:r>
      <w:proofErr w:type="gramEnd"/>
      <w:r w:rsidRPr="00E2003F">
        <w:rPr>
          <w:rFonts w:ascii="Times New Roman" w:hAnsi="Times New Roman" w:cs="Times New Roman"/>
        </w:rPr>
        <w:t>Rohini &amp; Prashanth, 2023).</w:t>
      </w:r>
    </w:p>
    <w:p w14:paraId="0C93F615"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 xml:space="preserve">The therapeutic efficacy of four medicinal plants </w:t>
      </w:r>
      <w:proofErr w:type="spellStart"/>
      <w:r w:rsidRPr="00E2003F">
        <w:rPr>
          <w:rFonts w:ascii="Times New Roman" w:hAnsi="Times New Roman" w:cs="Times New Roman"/>
        </w:rPr>
        <w:t>Xylopia</w:t>
      </w:r>
      <w:proofErr w:type="spellEnd"/>
      <w:r w:rsidRPr="00E2003F">
        <w:rPr>
          <w:rFonts w:ascii="Times New Roman" w:hAnsi="Times New Roman" w:cs="Times New Roman"/>
        </w:rPr>
        <w:t xml:space="preserve"> aethiopica, Euphorbia heterophylla, Vernonia amygdalina, and </w:t>
      </w:r>
      <w:proofErr w:type="spellStart"/>
      <w:r w:rsidRPr="00E2003F">
        <w:rPr>
          <w:rFonts w:ascii="Times New Roman" w:hAnsi="Times New Roman" w:cs="Times New Roman"/>
        </w:rPr>
        <w:t>Greenwayodendron</w:t>
      </w:r>
      <w:proofErr w:type="spellEnd"/>
      <w:r w:rsidRPr="00E2003F">
        <w:rPr>
          <w:rFonts w:ascii="Times New Roman" w:hAnsi="Times New Roman" w:cs="Times New Roman"/>
        </w:rPr>
        <w:t xml:space="preserve"> suaveolens was found to be due to the presence of rich phytochemicals, micro and macronutrients like Calcium, Magnesium, Iron, and </w:t>
      </w:r>
      <w:proofErr w:type="gramStart"/>
      <w:r w:rsidRPr="00E2003F">
        <w:rPr>
          <w:rFonts w:ascii="Times New Roman" w:hAnsi="Times New Roman" w:cs="Times New Roman"/>
        </w:rPr>
        <w:t>Manganese.(</w:t>
      </w:r>
      <w:proofErr w:type="spellStart"/>
      <w:proofErr w:type="gramEnd"/>
      <w:r w:rsidRPr="00E2003F">
        <w:rPr>
          <w:rFonts w:ascii="Times New Roman" w:hAnsi="Times New Roman" w:cs="Times New Roman"/>
        </w:rPr>
        <w:t>Oshomoh</w:t>
      </w:r>
      <w:proofErr w:type="spellEnd"/>
      <w:r w:rsidRPr="00E2003F">
        <w:rPr>
          <w:rFonts w:ascii="Times New Roman" w:hAnsi="Times New Roman" w:cs="Times New Roman"/>
        </w:rPr>
        <w:t xml:space="preserve"> et al., 2022). Using various spectroscopic techniques including HPTLC, FTIR, and tandem mass spectrometry, </w:t>
      </w:r>
      <w:proofErr w:type="spellStart"/>
      <w:r w:rsidRPr="00E2003F">
        <w:rPr>
          <w:rFonts w:ascii="Times New Roman" w:hAnsi="Times New Roman" w:cs="Times New Roman"/>
        </w:rPr>
        <w:t>Amruthotharam</w:t>
      </w:r>
      <w:proofErr w:type="spellEnd"/>
      <w:r w:rsidRPr="00E2003F">
        <w:rPr>
          <w:rFonts w:ascii="Times New Roman" w:hAnsi="Times New Roman" w:cs="Times New Roman"/>
        </w:rPr>
        <w:t xml:space="preserve"> Kashayam exhibited distinct chemical profile compared to its individual </w:t>
      </w:r>
      <w:proofErr w:type="gramStart"/>
      <w:r w:rsidRPr="00E2003F">
        <w:rPr>
          <w:rFonts w:ascii="Times New Roman" w:hAnsi="Times New Roman" w:cs="Times New Roman"/>
        </w:rPr>
        <w:t>components.(</w:t>
      </w:r>
      <w:proofErr w:type="gramEnd"/>
      <w:r w:rsidRPr="00E2003F">
        <w:rPr>
          <w:rFonts w:ascii="Times New Roman" w:hAnsi="Times New Roman" w:cs="Times New Roman"/>
        </w:rPr>
        <w:t xml:space="preserve">C. T. Sulaiman et al., 2021). The safety efficacy and quality of herbal medicines can be enhanced by implementing phytochemical standardisation, procedures like fingerprint profiling and marker compound measurement. The shift in modern pharmacology from single drug therapies to polyherbal approaches implies that mixed herbal extracts can produce better medicinal </w:t>
      </w:r>
      <w:proofErr w:type="gramStart"/>
      <w:r w:rsidRPr="00E2003F">
        <w:rPr>
          <w:rFonts w:ascii="Times New Roman" w:hAnsi="Times New Roman" w:cs="Times New Roman"/>
        </w:rPr>
        <w:t>effects.(</w:t>
      </w:r>
      <w:proofErr w:type="gramEnd"/>
      <w:r w:rsidRPr="00E2003F">
        <w:rPr>
          <w:rFonts w:ascii="Times New Roman" w:hAnsi="Times New Roman" w:cs="Times New Roman"/>
        </w:rPr>
        <w:t xml:space="preserve">Neethu et al., 2021). TLC, phytoconstituent, physicochemical, and organoleptic evaluations done to compare freshly prepared </w:t>
      </w:r>
      <w:proofErr w:type="spellStart"/>
      <w:r w:rsidRPr="00E2003F">
        <w:rPr>
          <w:rFonts w:ascii="Times New Roman" w:hAnsi="Times New Roman" w:cs="Times New Roman"/>
        </w:rPr>
        <w:t>Dasamoola</w:t>
      </w:r>
      <w:proofErr w:type="spellEnd"/>
      <w:r w:rsidRPr="00E2003F">
        <w:rPr>
          <w:rFonts w:ascii="Times New Roman" w:hAnsi="Times New Roman" w:cs="Times New Roman"/>
        </w:rPr>
        <w:t xml:space="preserve"> kwatha and commercially available ready to use formulations. Market sample had a high level of unreported sugar, which may be dangerous, particularly for diabetic individuals. potential adulterants or unlisted substances that could compromise safety and efficacy, to Ayurvedic </w:t>
      </w:r>
      <w:proofErr w:type="gramStart"/>
      <w:r w:rsidRPr="00E2003F">
        <w:rPr>
          <w:rFonts w:ascii="Times New Roman" w:hAnsi="Times New Roman" w:cs="Times New Roman"/>
        </w:rPr>
        <w:t>formulations.(</w:t>
      </w:r>
      <w:proofErr w:type="gramEnd"/>
      <w:r w:rsidRPr="00E2003F">
        <w:rPr>
          <w:rFonts w:ascii="Times New Roman" w:hAnsi="Times New Roman" w:cs="Times New Roman"/>
        </w:rPr>
        <w:t xml:space="preserve">Mehta et al., 2021). </w:t>
      </w:r>
      <w:proofErr w:type="spellStart"/>
      <w:r w:rsidRPr="00E2003F">
        <w:rPr>
          <w:rFonts w:ascii="Times New Roman" w:hAnsi="Times New Roman" w:cs="Times New Roman"/>
        </w:rPr>
        <w:t>Dhanwantaram</w:t>
      </w:r>
      <w:proofErr w:type="spellEnd"/>
      <w:r w:rsidRPr="00E2003F">
        <w:rPr>
          <w:rFonts w:ascii="Times New Roman" w:hAnsi="Times New Roman" w:cs="Times New Roman"/>
        </w:rPr>
        <w:t xml:space="preserve"> Kashayam (DK), a polyherbal Ayurvedic </w:t>
      </w:r>
      <w:r w:rsidRPr="00E2003F">
        <w:rPr>
          <w:rFonts w:ascii="Times New Roman" w:hAnsi="Times New Roman" w:cs="Times New Roman"/>
        </w:rPr>
        <w:lastRenderedPageBreak/>
        <w:t xml:space="preserve">infusion used for postpartum healing and rejuvenation, were examined for its antioxidant qualities using a variety of tests such as ferric reducing antioxidant power (FRAP) and free radical scavenging activities against DPPH, ABTS, </w:t>
      </w:r>
      <w:proofErr w:type="spellStart"/>
      <w:r w:rsidRPr="00E2003F">
        <w:rPr>
          <w:rFonts w:ascii="Times New Roman" w:hAnsi="Times New Roman" w:cs="Times New Roman"/>
        </w:rPr>
        <w:t>phosphomolybdenum</w:t>
      </w:r>
      <w:proofErr w:type="spellEnd"/>
      <w:r w:rsidRPr="00E2003F">
        <w:rPr>
          <w:rFonts w:ascii="Times New Roman" w:hAnsi="Times New Roman" w:cs="Times New Roman"/>
        </w:rPr>
        <w:t xml:space="preserve">, hydrogen peroxide, hydroxyl radical, and nitric oxide. DK showed strong antioxidant and radical scavenging properties with low IC50 </w:t>
      </w:r>
      <w:proofErr w:type="gramStart"/>
      <w:r w:rsidRPr="00E2003F">
        <w:rPr>
          <w:rFonts w:ascii="Times New Roman" w:hAnsi="Times New Roman" w:cs="Times New Roman"/>
        </w:rPr>
        <w:t>values.(</w:t>
      </w:r>
      <w:proofErr w:type="gramEnd"/>
      <w:r w:rsidRPr="00E2003F">
        <w:rPr>
          <w:rFonts w:ascii="Times New Roman" w:hAnsi="Times New Roman" w:cs="Times New Roman"/>
        </w:rPr>
        <w:t xml:space="preserve">Renganathan &amp; Pillai, 2021). The single-drug phytotherapy has recently given way to polyherbal formulations because of their improved therapeutic efficacy and fewer adverse effects. Marker based fingerprint profiling and bioactive chemical quantification can be used for the quality control assurance in such herbal </w:t>
      </w:r>
      <w:proofErr w:type="gramStart"/>
      <w:r w:rsidRPr="00E2003F">
        <w:rPr>
          <w:rFonts w:ascii="Times New Roman" w:hAnsi="Times New Roman" w:cs="Times New Roman"/>
        </w:rPr>
        <w:t>preparations.(</w:t>
      </w:r>
      <w:proofErr w:type="gramEnd"/>
      <w:r w:rsidRPr="00E2003F">
        <w:rPr>
          <w:rFonts w:ascii="Times New Roman" w:hAnsi="Times New Roman" w:cs="Times New Roman"/>
        </w:rPr>
        <w:t xml:space="preserve">Kurian et al., 2021). </w:t>
      </w:r>
      <w:proofErr w:type="spellStart"/>
      <w:r w:rsidRPr="00E2003F">
        <w:rPr>
          <w:rFonts w:ascii="Times New Roman" w:hAnsi="Times New Roman" w:cs="Times New Roman"/>
        </w:rPr>
        <w:t>Vyaghryadi</w:t>
      </w:r>
      <w:proofErr w:type="spellEnd"/>
      <w:r w:rsidRPr="00E2003F">
        <w:rPr>
          <w:rFonts w:ascii="Times New Roman" w:hAnsi="Times New Roman" w:cs="Times New Roman"/>
        </w:rPr>
        <w:t xml:space="preserve"> Kashayam (VK), exhibit efficacy against SARS-CoV-2 and can be used in the treatment of Covid-19, stressing the value of conventional formulation as a source of possible antiviral </w:t>
      </w:r>
      <w:proofErr w:type="gramStart"/>
      <w:r w:rsidRPr="00E2003F">
        <w:rPr>
          <w:rFonts w:ascii="Times New Roman" w:hAnsi="Times New Roman" w:cs="Times New Roman"/>
        </w:rPr>
        <w:t>drugs.(</w:t>
      </w:r>
      <w:proofErr w:type="gramEnd"/>
      <w:r w:rsidRPr="00E2003F">
        <w:rPr>
          <w:rFonts w:ascii="Times New Roman" w:hAnsi="Times New Roman" w:cs="Times New Roman"/>
        </w:rPr>
        <w:t>Nandakumar et al., 2021).</w:t>
      </w:r>
    </w:p>
    <w:p w14:paraId="23543D67" w14:textId="77777777" w:rsidR="00E2003F" w:rsidRPr="00E2003F" w:rsidRDefault="00E2003F" w:rsidP="00946F1D">
      <w:pPr>
        <w:spacing w:after="0" w:line="360" w:lineRule="auto"/>
        <w:jc w:val="both"/>
        <w:rPr>
          <w:rFonts w:ascii="Times New Roman" w:hAnsi="Times New Roman" w:cs="Times New Roman"/>
        </w:rPr>
      </w:pPr>
      <w:proofErr w:type="spellStart"/>
      <w:r w:rsidRPr="00E2003F">
        <w:rPr>
          <w:rFonts w:ascii="Times New Roman" w:hAnsi="Times New Roman" w:cs="Times New Roman"/>
        </w:rPr>
        <w:t>Pathyashadangam</w:t>
      </w:r>
      <w:proofErr w:type="spellEnd"/>
      <w:r w:rsidRPr="00E2003F">
        <w:rPr>
          <w:rFonts w:ascii="Times New Roman" w:hAnsi="Times New Roman" w:cs="Times New Roman"/>
        </w:rPr>
        <w:t xml:space="preserve"> </w:t>
      </w:r>
      <w:proofErr w:type="spellStart"/>
      <w:r w:rsidRPr="00E2003F">
        <w:rPr>
          <w:rFonts w:ascii="Times New Roman" w:hAnsi="Times New Roman" w:cs="Times New Roman"/>
        </w:rPr>
        <w:t>kwath</w:t>
      </w:r>
      <w:proofErr w:type="spellEnd"/>
      <w:r w:rsidRPr="00E2003F">
        <w:rPr>
          <w:rFonts w:ascii="Times New Roman" w:hAnsi="Times New Roman" w:cs="Times New Roman"/>
        </w:rPr>
        <w:t xml:space="preserve">, a traditional Ayurvedic polyherbal composition used to treat conditions like cluster headaches and upper respiratory infections, has seven important ingredients. The quality and purity of this </w:t>
      </w:r>
      <w:proofErr w:type="spellStart"/>
      <w:r w:rsidRPr="00E2003F">
        <w:rPr>
          <w:rFonts w:ascii="Times New Roman" w:hAnsi="Times New Roman" w:cs="Times New Roman"/>
        </w:rPr>
        <w:t>kwath</w:t>
      </w:r>
      <w:proofErr w:type="spellEnd"/>
      <w:r w:rsidRPr="00E2003F">
        <w:rPr>
          <w:rFonts w:ascii="Times New Roman" w:hAnsi="Times New Roman" w:cs="Times New Roman"/>
        </w:rPr>
        <w:t xml:space="preserve"> </w:t>
      </w:r>
      <w:proofErr w:type="gramStart"/>
      <w:r w:rsidRPr="00E2003F">
        <w:rPr>
          <w:rFonts w:ascii="Times New Roman" w:hAnsi="Times New Roman" w:cs="Times New Roman"/>
        </w:rPr>
        <w:t>has</w:t>
      </w:r>
      <w:proofErr w:type="gramEnd"/>
      <w:r w:rsidRPr="00E2003F">
        <w:rPr>
          <w:rFonts w:ascii="Times New Roman" w:hAnsi="Times New Roman" w:cs="Times New Roman"/>
        </w:rPr>
        <w:t xml:space="preserve"> assessed by using techniques like HPLC and HPTLC and revealed andrographolide is an appropriate marker for </w:t>
      </w:r>
      <w:proofErr w:type="spellStart"/>
      <w:r w:rsidRPr="00E2003F">
        <w:rPr>
          <w:rFonts w:ascii="Times New Roman" w:hAnsi="Times New Roman" w:cs="Times New Roman"/>
        </w:rPr>
        <w:t>kwath</w:t>
      </w:r>
      <w:proofErr w:type="spellEnd"/>
      <w:r w:rsidRPr="00E2003F">
        <w:rPr>
          <w:rFonts w:ascii="Times New Roman" w:hAnsi="Times New Roman" w:cs="Times New Roman"/>
        </w:rPr>
        <w:t xml:space="preserve"> </w:t>
      </w:r>
      <w:proofErr w:type="spellStart"/>
      <w:r w:rsidRPr="00E2003F">
        <w:rPr>
          <w:rFonts w:ascii="Times New Roman" w:hAnsi="Times New Roman" w:cs="Times New Roman"/>
        </w:rPr>
        <w:t>standandardisation</w:t>
      </w:r>
      <w:proofErr w:type="spellEnd"/>
      <w:r w:rsidRPr="00E2003F">
        <w:rPr>
          <w:rFonts w:ascii="Times New Roman" w:hAnsi="Times New Roman" w:cs="Times New Roman"/>
        </w:rPr>
        <w:t xml:space="preserve">. The crucial characteristic parameters and chromatographic profiles can be used as reference for quality control and assurance in future preparation of </w:t>
      </w:r>
      <w:proofErr w:type="spellStart"/>
      <w:r w:rsidRPr="00E2003F">
        <w:rPr>
          <w:rFonts w:ascii="Times New Roman" w:hAnsi="Times New Roman" w:cs="Times New Roman"/>
        </w:rPr>
        <w:t>Pathyashadangam</w:t>
      </w:r>
      <w:proofErr w:type="spellEnd"/>
      <w:r w:rsidRPr="00E2003F">
        <w:rPr>
          <w:rFonts w:ascii="Times New Roman" w:hAnsi="Times New Roman" w:cs="Times New Roman"/>
        </w:rPr>
        <w:t xml:space="preserve"> </w:t>
      </w:r>
      <w:proofErr w:type="gramStart"/>
      <w:r w:rsidRPr="00E2003F">
        <w:rPr>
          <w:rFonts w:ascii="Times New Roman" w:hAnsi="Times New Roman" w:cs="Times New Roman"/>
        </w:rPr>
        <w:t>kwatha.(</w:t>
      </w:r>
      <w:proofErr w:type="gramEnd"/>
      <w:r w:rsidRPr="00E2003F">
        <w:rPr>
          <w:rFonts w:ascii="Times New Roman" w:hAnsi="Times New Roman" w:cs="Times New Roman"/>
        </w:rPr>
        <w:t xml:space="preserve">Abraham, Samuel, et al., 2020). Burning Mouth Syndrome (BMS), a disorder marked by a burning or tingling feeling in the mouth that is frequently linked to dryness and changed taste, which are due to the abnormalities in mouth secretion and lubrication, is examined in this study. </w:t>
      </w:r>
      <w:proofErr w:type="spellStart"/>
      <w:r w:rsidRPr="00E2003F">
        <w:rPr>
          <w:rFonts w:ascii="Times New Roman" w:hAnsi="Times New Roman" w:cs="Times New Roman"/>
        </w:rPr>
        <w:t>Bhunimbadi</w:t>
      </w:r>
      <w:proofErr w:type="spellEnd"/>
      <w:r w:rsidRPr="00E2003F">
        <w:rPr>
          <w:rFonts w:ascii="Times New Roman" w:hAnsi="Times New Roman" w:cs="Times New Roman"/>
        </w:rPr>
        <w:t xml:space="preserve"> </w:t>
      </w:r>
      <w:proofErr w:type="spellStart"/>
      <w:r w:rsidRPr="00E2003F">
        <w:rPr>
          <w:rFonts w:ascii="Times New Roman" w:hAnsi="Times New Roman" w:cs="Times New Roman"/>
        </w:rPr>
        <w:t>Kwath</w:t>
      </w:r>
      <w:proofErr w:type="spellEnd"/>
      <w:r w:rsidRPr="00E2003F">
        <w:rPr>
          <w:rFonts w:ascii="Times New Roman" w:hAnsi="Times New Roman" w:cs="Times New Roman"/>
        </w:rPr>
        <w:t xml:space="preserve"> can be orally taken for increased lubrication and lessen burning feelings. Ayurvedic treatments are effective in controlling dosha imbalance and local symptoms of burning mouth </w:t>
      </w:r>
      <w:proofErr w:type="gramStart"/>
      <w:r w:rsidRPr="00E2003F">
        <w:rPr>
          <w:rFonts w:ascii="Times New Roman" w:hAnsi="Times New Roman" w:cs="Times New Roman"/>
        </w:rPr>
        <w:t>syndrome.(</w:t>
      </w:r>
      <w:proofErr w:type="gramEnd"/>
      <w:r w:rsidRPr="00E2003F">
        <w:rPr>
          <w:rFonts w:ascii="Times New Roman" w:hAnsi="Times New Roman" w:cs="Times New Roman"/>
        </w:rPr>
        <w:t xml:space="preserve">Deshmukh et al., 2020). Multi-herb approach, which can provide synergistic therapeutic effects, lower required doses, and lessen potential side effects. Sophisticated LC-MS techniques are useful in characterizing complicated herbal mixes and validate the formulation's therapeutic </w:t>
      </w:r>
      <w:proofErr w:type="gramStart"/>
      <w:r w:rsidRPr="00E2003F">
        <w:rPr>
          <w:rFonts w:ascii="Times New Roman" w:hAnsi="Times New Roman" w:cs="Times New Roman"/>
        </w:rPr>
        <w:t>efficacy.(</w:t>
      </w:r>
      <w:proofErr w:type="gramEnd"/>
      <w:r w:rsidRPr="00E2003F">
        <w:rPr>
          <w:rFonts w:ascii="Times New Roman" w:hAnsi="Times New Roman" w:cs="Times New Roman"/>
        </w:rPr>
        <w:t xml:space="preserve">Girija et al., </w:t>
      </w:r>
      <w:proofErr w:type="gramStart"/>
      <w:r w:rsidRPr="00E2003F">
        <w:rPr>
          <w:rFonts w:ascii="Times New Roman" w:hAnsi="Times New Roman" w:cs="Times New Roman"/>
        </w:rPr>
        <w:t>2024)(</w:t>
      </w:r>
      <w:proofErr w:type="gramEnd"/>
      <w:r w:rsidRPr="00E2003F">
        <w:rPr>
          <w:rFonts w:ascii="Times New Roman" w:hAnsi="Times New Roman" w:cs="Times New Roman"/>
        </w:rPr>
        <w:t>CT et al., 2020).</w:t>
      </w:r>
    </w:p>
    <w:p w14:paraId="71C44D9D"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 xml:space="preserve">Two varieties of </w:t>
      </w:r>
      <w:proofErr w:type="spellStart"/>
      <w:r w:rsidRPr="00E2003F">
        <w:rPr>
          <w:rFonts w:ascii="Times New Roman" w:hAnsi="Times New Roman" w:cs="Times New Roman"/>
        </w:rPr>
        <w:t>Sharibadi</w:t>
      </w:r>
      <w:proofErr w:type="spellEnd"/>
      <w:r w:rsidRPr="00E2003F">
        <w:rPr>
          <w:rFonts w:ascii="Times New Roman" w:hAnsi="Times New Roman" w:cs="Times New Roman"/>
        </w:rPr>
        <w:t xml:space="preserve"> decoctions used in Ayurveda </w:t>
      </w:r>
      <w:proofErr w:type="spellStart"/>
      <w:r w:rsidRPr="00E2003F">
        <w:rPr>
          <w:rFonts w:ascii="Times New Roman" w:hAnsi="Times New Roman" w:cs="Times New Roman"/>
        </w:rPr>
        <w:t>Sharibadi</w:t>
      </w:r>
      <w:proofErr w:type="spellEnd"/>
      <w:r w:rsidRPr="00E2003F">
        <w:rPr>
          <w:rFonts w:ascii="Times New Roman" w:hAnsi="Times New Roman" w:cs="Times New Roman"/>
        </w:rPr>
        <w:t xml:space="preserve"> decoction A contained both the Indian and local Sri Lankan varieties of </w:t>
      </w:r>
      <w:proofErr w:type="spellStart"/>
      <w:r w:rsidRPr="00E2003F">
        <w:rPr>
          <w:rFonts w:ascii="Times New Roman" w:hAnsi="Times New Roman" w:cs="Times New Roman"/>
        </w:rPr>
        <w:t>Hemidesmus</w:t>
      </w:r>
      <w:proofErr w:type="spellEnd"/>
      <w:r w:rsidRPr="00E2003F">
        <w:rPr>
          <w:rFonts w:ascii="Times New Roman" w:hAnsi="Times New Roman" w:cs="Times New Roman"/>
        </w:rPr>
        <w:t xml:space="preserve"> indicus, while </w:t>
      </w:r>
      <w:proofErr w:type="spellStart"/>
      <w:r w:rsidRPr="00E2003F">
        <w:rPr>
          <w:rFonts w:ascii="Times New Roman" w:hAnsi="Times New Roman" w:cs="Times New Roman"/>
        </w:rPr>
        <w:t>Sharibadi</w:t>
      </w:r>
      <w:proofErr w:type="spellEnd"/>
      <w:r w:rsidRPr="00E2003F">
        <w:rPr>
          <w:rFonts w:ascii="Times New Roman" w:hAnsi="Times New Roman" w:cs="Times New Roman"/>
        </w:rPr>
        <w:t xml:space="preserve"> decoction B only contained the Indian variety in double quantity were assessed. The secondary metabolites, including flavonoids, phenols, alkaloids, tannins, terpenoids, saponins, and </w:t>
      </w:r>
      <w:proofErr w:type="spellStart"/>
      <w:r w:rsidRPr="00E2003F">
        <w:rPr>
          <w:rFonts w:ascii="Times New Roman" w:hAnsi="Times New Roman" w:cs="Times New Roman"/>
        </w:rPr>
        <w:t>phytosteroids</w:t>
      </w:r>
      <w:proofErr w:type="spellEnd"/>
      <w:r w:rsidRPr="00E2003F">
        <w:rPr>
          <w:rFonts w:ascii="Times New Roman" w:hAnsi="Times New Roman" w:cs="Times New Roman"/>
        </w:rPr>
        <w:t xml:space="preserve">, were identical in both decoctions. But </w:t>
      </w:r>
      <w:proofErr w:type="spellStart"/>
      <w:r w:rsidRPr="00E2003F">
        <w:rPr>
          <w:rFonts w:ascii="Times New Roman" w:hAnsi="Times New Roman" w:cs="Times New Roman"/>
        </w:rPr>
        <w:t>Sharibadi</w:t>
      </w:r>
      <w:proofErr w:type="spellEnd"/>
      <w:r w:rsidRPr="00E2003F">
        <w:rPr>
          <w:rFonts w:ascii="Times New Roman" w:hAnsi="Times New Roman" w:cs="Times New Roman"/>
        </w:rPr>
        <w:t xml:space="preserve"> decoction A contained more flavonoids, tannins, and phenolic substances. The two have different thin layer chromatographic profiles at UV 254 </w:t>
      </w:r>
      <w:proofErr w:type="gramStart"/>
      <w:r w:rsidRPr="00E2003F">
        <w:rPr>
          <w:rFonts w:ascii="Times New Roman" w:hAnsi="Times New Roman" w:cs="Times New Roman"/>
        </w:rPr>
        <w:t>nm.(</w:t>
      </w:r>
      <w:proofErr w:type="gramEnd"/>
      <w:r w:rsidRPr="00E2003F">
        <w:rPr>
          <w:rFonts w:ascii="Times New Roman" w:hAnsi="Times New Roman" w:cs="Times New Roman"/>
        </w:rPr>
        <w:t>Kulathunga et al., 2019).</w:t>
      </w:r>
    </w:p>
    <w:p w14:paraId="12E27EE4"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 xml:space="preserve">The GCMS analysis of Sahacharadi Kashayam revealed the presence of major chemicals like </w:t>
      </w:r>
      <w:proofErr w:type="spellStart"/>
      <w:r w:rsidRPr="00E2003F">
        <w:rPr>
          <w:rFonts w:ascii="Times New Roman" w:hAnsi="Times New Roman" w:cs="Times New Roman"/>
        </w:rPr>
        <w:t>Heptanediamide</w:t>
      </w:r>
      <w:proofErr w:type="spellEnd"/>
      <w:r w:rsidRPr="00E2003F">
        <w:rPr>
          <w:rFonts w:ascii="Times New Roman" w:hAnsi="Times New Roman" w:cs="Times New Roman"/>
        </w:rPr>
        <w:t xml:space="preserve">, Eugenol, and Lupeol, which are meant for the therapeutic efficiency of the </w:t>
      </w:r>
      <w:proofErr w:type="gramStart"/>
      <w:r w:rsidRPr="00E2003F">
        <w:rPr>
          <w:rFonts w:ascii="Times New Roman" w:hAnsi="Times New Roman" w:cs="Times New Roman"/>
        </w:rPr>
        <w:t>Kashayam.(</w:t>
      </w:r>
      <w:proofErr w:type="gramEnd"/>
      <w:r w:rsidRPr="00E2003F">
        <w:rPr>
          <w:rFonts w:ascii="Times New Roman" w:hAnsi="Times New Roman" w:cs="Times New Roman"/>
        </w:rPr>
        <w:t>P. P. Kumar et al., 2018).</w:t>
      </w:r>
    </w:p>
    <w:p w14:paraId="162AB83D"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 xml:space="preserve">The novel polyherbal formulation made up of aqueous extracts of four different plant Commiphora </w:t>
      </w:r>
      <w:proofErr w:type="spellStart"/>
      <w:r w:rsidRPr="00E2003F">
        <w:rPr>
          <w:rFonts w:ascii="Times New Roman" w:hAnsi="Times New Roman" w:cs="Times New Roman"/>
        </w:rPr>
        <w:t>mukul</w:t>
      </w:r>
      <w:proofErr w:type="spellEnd"/>
      <w:r w:rsidRPr="00E2003F">
        <w:rPr>
          <w:rFonts w:ascii="Times New Roman" w:hAnsi="Times New Roman" w:cs="Times New Roman"/>
        </w:rPr>
        <w:t xml:space="preserve">, </w:t>
      </w:r>
      <w:proofErr w:type="spellStart"/>
      <w:r w:rsidRPr="00E2003F">
        <w:rPr>
          <w:rFonts w:ascii="Times New Roman" w:hAnsi="Times New Roman" w:cs="Times New Roman"/>
        </w:rPr>
        <w:t>Madhuca</w:t>
      </w:r>
      <w:proofErr w:type="spellEnd"/>
      <w:r w:rsidRPr="00E2003F">
        <w:rPr>
          <w:rFonts w:ascii="Times New Roman" w:hAnsi="Times New Roman" w:cs="Times New Roman"/>
        </w:rPr>
        <w:t xml:space="preserve"> indica, </w:t>
      </w:r>
      <w:proofErr w:type="spellStart"/>
      <w:r w:rsidRPr="00E2003F">
        <w:rPr>
          <w:rFonts w:ascii="Times New Roman" w:hAnsi="Times New Roman" w:cs="Times New Roman"/>
        </w:rPr>
        <w:t>Picrorhiza</w:t>
      </w:r>
      <w:proofErr w:type="spellEnd"/>
      <w:r w:rsidRPr="00E2003F">
        <w:rPr>
          <w:rFonts w:ascii="Times New Roman" w:hAnsi="Times New Roman" w:cs="Times New Roman"/>
        </w:rPr>
        <w:t xml:space="preserve"> </w:t>
      </w:r>
      <w:proofErr w:type="spellStart"/>
      <w:r w:rsidRPr="00E2003F">
        <w:rPr>
          <w:rFonts w:ascii="Times New Roman" w:hAnsi="Times New Roman" w:cs="Times New Roman"/>
        </w:rPr>
        <w:t>kurroa</w:t>
      </w:r>
      <w:proofErr w:type="spellEnd"/>
      <w:r w:rsidRPr="00E2003F">
        <w:rPr>
          <w:rFonts w:ascii="Times New Roman" w:hAnsi="Times New Roman" w:cs="Times New Roman"/>
        </w:rPr>
        <w:t xml:space="preserve">, and </w:t>
      </w:r>
      <w:proofErr w:type="spellStart"/>
      <w:r w:rsidRPr="00E2003F">
        <w:rPr>
          <w:rFonts w:ascii="Times New Roman" w:hAnsi="Times New Roman" w:cs="Times New Roman"/>
        </w:rPr>
        <w:t>Syzygium</w:t>
      </w:r>
      <w:proofErr w:type="spellEnd"/>
      <w:r w:rsidRPr="00E2003F">
        <w:rPr>
          <w:rFonts w:ascii="Times New Roman" w:hAnsi="Times New Roman" w:cs="Times New Roman"/>
        </w:rPr>
        <w:t xml:space="preserve"> </w:t>
      </w:r>
      <w:proofErr w:type="spellStart"/>
      <w:r w:rsidRPr="00E2003F">
        <w:rPr>
          <w:rFonts w:ascii="Times New Roman" w:hAnsi="Times New Roman" w:cs="Times New Roman"/>
        </w:rPr>
        <w:t>cumini</w:t>
      </w:r>
      <w:proofErr w:type="spellEnd"/>
      <w:r w:rsidRPr="00E2003F">
        <w:rPr>
          <w:rFonts w:ascii="Times New Roman" w:hAnsi="Times New Roman" w:cs="Times New Roman"/>
        </w:rPr>
        <w:t xml:space="preserve"> contained high amount bioactive substances like phenols and </w:t>
      </w:r>
      <w:proofErr w:type="gramStart"/>
      <w:r w:rsidRPr="00E2003F">
        <w:rPr>
          <w:rFonts w:ascii="Times New Roman" w:hAnsi="Times New Roman" w:cs="Times New Roman"/>
        </w:rPr>
        <w:t>flavonoids.(</w:t>
      </w:r>
      <w:proofErr w:type="gramEnd"/>
      <w:r w:rsidRPr="00E2003F">
        <w:rPr>
          <w:rFonts w:ascii="Times New Roman" w:hAnsi="Times New Roman" w:cs="Times New Roman"/>
        </w:rPr>
        <w:t xml:space="preserve">Iqbal &amp; Gurumurthy, 2016). The commercially available </w:t>
      </w:r>
      <w:r w:rsidRPr="00E2003F">
        <w:rPr>
          <w:rFonts w:ascii="Times New Roman" w:hAnsi="Times New Roman" w:cs="Times New Roman"/>
        </w:rPr>
        <w:lastRenderedPageBreak/>
        <w:t xml:space="preserve">Ayurvedic formulation </w:t>
      </w:r>
      <w:proofErr w:type="spellStart"/>
      <w:r w:rsidRPr="00E2003F">
        <w:rPr>
          <w:rFonts w:ascii="Times New Roman" w:hAnsi="Times New Roman" w:cs="Times New Roman"/>
        </w:rPr>
        <w:t>Balaguloochyadi</w:t>
      </w:r>
      <w:proofErr w:type="spellEnd"/>
      <w:r w:rsidRPr="00E2003F">
        <w:rPr>
          <w:rFonts w:ascii="Times New Roman" w:hAnsi="Times New Roman" w:cs="Times New Roman"/>
        </w:rPr>
        <w:t xml:space="preserve"> </w:t>
      </w:r>
      <w:proofErr w:type="spellStart"/>
      <w:r w:rsidRPr="00E2003F">
        <w:rPr>
          <w:rFonts w:ascii="Times New Roman" w:hAnsi="Times New Roman" w:cs="Times New Roman"/>
        </w:rPr>
        <w:t>kashayam</w:t>
      </w:r>
      <w:proofErr w:type="spellEnd"/>
      <w:r w:rsidRPr="00E2003F">
        <w:rPr>
          <w:rFonts w:ascii="Times New Roman" w:hAnsi="Times New Roman" w:cs="Times New Roman"/>
        </w:rPr>
        <w:t xml:space="preserve"> was found to be safe for use and have standardised it after thorough physicochemical and microbiological </w:t>
      </w:r>
      <w:proofErr w:type="gramStart"/>
      <w:r w:rsidRPr="00E2003F">
        <w:rPr>
          <w:rFonts w:ascii="Times New Roman" w:hAnsi="Times New Roman" w:cs="Times New Roman"/>
        </w:rPr>
        <w:t>tests.(</w:t>
      </w:r>
      <w:proofErr w:type="gramEnd"/>
      <w:r w:rsidRPr="00E2003F">
        <w:rPr>
          <w:rFonts w:ascii="Times New Roman" w:hAnsi="Times New Roman" w:cs="Times New Roman"/>
        </w:rPr>
        <w:t>Khan et al., 2016).</w:t>
      </w:r>
    </w:p>
    <w:p w14:paraId="7FEAB39B"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 xml:space="preserve">The antibacterial and antioxidant properties of </w:t>
      </w:r>
      <w:proofErr w:type="spellStart"/>
      <w:r w:rsidRPr="00E2003F">
        <w:rPr>
          <w:rFonts w:ascii="Times New Roman" w:hAnsi="Times New Roman" w:cs="Times New Roman"/>
        </w:rPr>
        <w:t>Kushtakhnani</w:t>
      </w:r>
      <w:proofErr w:type="spellEnd"/>
      <w:r w:rsidRPr="00E2003F">
        <w:rPr>
          <w:rFonts w:ascii="Times New Roman" w:hAnsi="Times New Roman" w:cs="Times New Roman"/>
        </w:rPr>
        <w:t xml:space="preserve"> kwatha, a polyherbal formulation traditionally been used to treat skin problems, has assessed by extracting phytochemicals using various solvents and tested invitro against common skin </w:t>
      </w:r>
      <w:proofErr w:type="gramStart"/>
      <w:r w:rsidRPr="00E2003F">
        <w:rPr>
          <w:rFonts w:ascii="Times New Roman" w:hAnsi="Times New Roman" w:cs="Times New Roman"/>
        </w:rPr>
        <w:t>pathogens.(</w:t>
      </w:r>
      <w:proofErr w:type="gramEnd"/>
      <w:r w:rsidRPr="00E2003F">
        <w:rPr>
          <w:rFonts w:ascii="Times New Roman" w:hAnsi="Times New Roman" w:cs="Times New Roman"/>
        </w:rPr>
        <w:t xml:space="preserve">Jalaj et al., 2016). The GCMS profile revealed numerous bioactive substances in Kulathadi Kashayam that has long been used to treat </w:t>
      </w:r>
      <w:proofErr w:type="gramStart"/>
      <w:r w:rsidRPr="00E2003F">
        <w:rPr>
          <w:rFonts w:ascii="Times New Roman" w:hAnsi="Times New Roman" w:cs="Times New Roman"/>
        </w:rPr>
        <w:t>amenorrhea.(</w:t>
      </w:r>
      <w:proofErr w:type="gramEnd"/>
      <w:r w:rsidRPr="00E2003F">
        <w:rPr>
          <w:rFonts w:ascii="Times New Roman" w:hAnsi="Times New Roman" w:cs="Times New Roman"/>
        </w:rPr>
        <w:t xml:space="preserve">Phillips et al., 2015). In the comparative assay of commercially available and freshly prepared </w:t>
      </w:r>
      <w:proofErr w:type="spellStart"/>
      <w:r w:rsidRPr="00E2003F">
        <w:rPr>
          <w:rFonts w:ascii="Times New Roman" w:hAnsi="Times New Roman" w:cs="Times New Roman"/>
        </w:rPr>
        <w:t>Cirivilvadi</w:t>
      </w:r>
      <w:proofErr w:type="spellEnd"/>
      <w:r w:rsidRPr="00E2003F">
        <w:rPr>
          <w:rFonts w:ascii="Times New Roman" w:hAnsi="Times New Roman" w:cs="Times New Roman"/>
        </w:rPr>
        <w:t xml:space="preserve"> Kashaya, the result showed that the preservatives and prolonged cooking times may change the physicochemical characteristics and possibly the clinical efficacy of the </w:t>
      </w:r>
      <w:proofErr w:type="gramStart"/>
      <w:r w:rsidRPr="00E2003F">
        <w:rPr>
          <w:rFonts w:ascii="Times New Roman" w:hAnsi="Times New Roman" w:cs="Times New Roman"/>
        </w:rPr>
        <w:t>formulations.(</w:t>
      </w:r>
      <w:proofErr w:type="gramEnd"/>
      <w:r w:rsidRPr="00E2003F">
        <w:rPr>
          <w:rFonts w:ascii="Times New Roman" w:hAnsi="Times New Roman" w:cs="Times New Roman"/>
        </w:rPr>
        <w:t>Mahapatra et al., 2015).</w:t>
      </w:r>
    </w:p>
    <w:p w14:paraId="69F92B08" w14:textId="77777777" w:rsidR="00E2003F" w:rsidRPr="00E2003F" w:rsidRDefault="00E2003F" w:rsidP="00946F1D">
      <w:pPr>
        <w:spacing w:after="0" w:line="360" w:lineRule="auto"/>
        <w:jc w:val="both"/>
        <w:rPr>
          <w:rFonts w:ascii="Times New Roman" w:hAnsi="Times New Roman" w:cs="Times New Roman"/>
        </w:rPr>
      </w:pPr>
      <w:r w:rsidRPr="00E2003F">
        <w:rPr>
          <w:rFonts w:ascii="Times New Roman" w:hAnsi="Times New Roman" w:cs="Times New Roman"/>
        </w:rPr>
        <w:t xml:space="preserve">Another Polyherbal Formulation made up of </w:t>
      </w:r>
      <w:proofErr w:type="spellStart"/>
      <w:r w:rsidRPr="00E2003F">
        <w:rPr>
          <w:rFonts w:ascii="Times New Roman" w:hAnsi="Times New Roman" w:cs="Times New Roman"/>
        </w:rPr>
        <w:t>Centella</w:t>
      </w:r>
      <w:proofErr w:type="spellEnd"/>
      <w:r w:rsidRPr="00E2003F">
        <w:rPr>
          <w:rFonts w:ascii="Times New Roman" w:hAnsi="Times New Roman" w:cs="Times New Roman"/>
        </w:rPr>
        <w:t xml:space="preserve"> asiatica, Bacopa </w:t>
      </w:r>
      <w:proofErr w:type="spellStart"/>
      <w:r w:rsidRPr="00E2003F">
        <w:rPr>
          <w:rFonts w:ascii="Times New Roman" w:hAnsi="Times New Roman" w:cs="Times New Roman"/>
        </w:rPr>
        <w:t>monnieri</w:t>
      </w:r>
      <w:proofErr w:type="spellEnd"/>
      <w:r w:rsidRPr="00E2003F">
        <w:rPr>
          <w:rFonts w:ascii="Times New Roman" w:hAnsi="Times New Roman" w:cs="Times New Roman"/>
        </w:rPr>
        <w:t xml:space="preserve">, and </w:t>
      </w:r>
      <w:proofErr w:type="spellStart"/>
      <w:r w:rsidRPr="00E2003F">
        <w:rPr>
          <w:rFonts w:ascii="Times New Roman" w:hAnsi="Times New Roman" w:cs="Times New Roman"/>
        </w:rPr>
        <w:t>Hippophae</w:t>
      </w:r>
      <w:proofErr w:type="spellEnd"/>
      <w:r w:rsidRPr="00E2003F">
        <w:rPr>
          <w:rFonts w:ascii="Times New Roman" w:hAnsi="Times New Roman" w:cs="Times New Roman"/>
        </w:rPr>
        <w:t xml:space="preserve"> </w:t>
      </w:r>
      <w:proofErr w:type="spellStart"/>
      <w:r w:rsidRPr="00E2003F">
        <w:rPr>
          <w:rFonts w:ascii="Times New Roman" w:hAnsi="Times New Roman" w:cs="Times New Roman"/>
        </w:rPr>
        <w:t>rhamnoides</w:t>
      </w:r>
      <w:proofErr w:type="spellEnd"/>
      <w:r w:rsidRPr="00E2003F">
        <w:rPr>
          <w:rFonts w:ascii="Times New Roman" w:hAnsi="Times New Roman" w:cs="Times New Roman"/>
        </w:rPr>
        <w:t xml:space="preserve">, have high antioxidant and free radical scavenging </w:t>
      </w:r>
      <w:proofErr w:type="gramStart"/>
      <w:r w:rsidRPr="00E2003F">
        <w:rPr>
          <w:rFonts w:ascii="Times New Roman" w:hAnsi="Times New Roman" w:cs="Times New Roman"/>
        </w:rPr>
        <w:t>activities.(</w:t>
      </w:r>
      <w:proofErr w:type="gramEnd"/>
      <w:r w:rsidRPr="00E2003F">
        <w:rPr>
          <w:rFonts w:ascii="Times New Roman" w:hAnsi="Times New Roman" w:cs="Times New Roman"/>
        </w:rPr>
        <w:t xml:space="preserve">Singh et al., 2012). </w:t>
      </w:r>
      <w:proofErr w:type="spellStart"/>
      <w:r w:rsidRPr="00E2003F">
        <w:rPr>
          <w:rFonts w:ascii="Times New Roman" w:hAnsi="Times New Roman" w:cs="Times New Roman"/>
        </w:rPr>
        <w:t>Kutajarista</w:t>
      </w:r>
      <w:proofErr w:type="spellEnd"/>
      <w:r w:rsidRPr="00E2003F">
        <w:rPr>
          <w:rFonts w:ascii="Times New Roman" w:hAnsi="Times New Roman" w:cs="Times New Roman"/>
        </w:rPr>
        <w:t xml:space="preserve">, an Ayurvedic formulation have antibacterial activity, which can be used to treat gastrointestinal problems like dysentery and </w:t>
      </w:r>
      <w:proofErr w:type="gramStart"/>
      <w:r w:rsidRPr="00E2003F">
        <w:rPr>
          <w:rFonts w:ascii="Times New Roman" w:hAnsi="Times New Roman" w:cs="Times New Roman"/>
        </w:rPr>
        <w:t>diarrhoea.(</w:t>
      </w:r>
      <w:proofErr w:type="gramEnd"/>
      <w:r w:rsidRPr="00E2003F">
        <w:rPr>
          <w:rFonts w:ascii="Times New Roman" w:hAnsi="Times New Roman" w:cs="Times New Roman"/>
        </w:rPr>
        <w:t xml:space="preserve">Shenoy KR &amp; </w:t>
      </w:r>
      <w:proofErr w:type="spellStart"/>
      <w:r w:rsidRPr="00E2003F">
        <w:rPr>
          <w:rFonts w:ascii="Times New Roman" w:hAnsi="Times New Roman" w:cs="Times New Roman"/>
        </w:rPr>
        <w:t>Yoganarasimhan</w:t>
      </w:r>
      <w:proofErr w:type="spellEnd"/>
      <w:r w:rsidRPr="00E2003F">
        <w:rPr>
          <w:rFonts w:ascii="Times New Roman" w:hAnsi="Times New Roman" w:cs="Times New Roman"/>
        </w:rPr>
        <w:t xml:space="preserve">, 2009). The phytochemicals in the herbal medications differ depending on plant species, processing technique, and storage </w:t>
      </w:r>
      <w:proofErr w:type="gramStart"/>
      <w:r w:rsidRPr="00E2003F">
        <w:rPr>
          <w:rFonts w:ascii="Times New Roman" w:hAnsi="Times New Roman" w:cs="Times New Roman"/>
        </w:rPr>
        <w:t>conditions.(</w:t>
      </w:r>
      <w:proofErr w:type="gramEnd"/>
      <w:r w:rsidRPr="00E2003F">
        <w:rPr>
          <w:rFonts w:ascii="Times New Roman" w:hAnsi="Times New Roman" w:cs="Times New Roman"/>
        </w:rPr>
        <w:t>Rajani &amp; Kanaki, 2008).</w:t>
      </w:r>
    </w:p>
    <w:p w14:paraId="495D4319" w14:textId="77777777" w:rsidR="004005C0" w:rsidRPr="00946F1D" w:rsidRDefault="004005C0" w:rsidP="00946F1D">
      <w:pPr>
        <w:spacing w:after="0" w:line="360" w:lineRule="auto"/>
        <w:jc w:val="both"/>
        <w:rPr>
          <w:rFonts w:ascii="Times New Roman" w:eastAsia="Times New Roman" w:hAnsi="Times New Roman" w:cs="Times New Roman"/>
          <w:b/>
          <w:bCs/>
          <w:kern w:val="0"/>
          <w:lang w:eastAsia="en-IN"/>
          <w14:ligatures w14:val="none"/>
        </w:rPr>
      </w:pPr>
    </w:p>
    <w:p w14:paraId="5B6C0064" w14:textId="77777777" w:rsidR="004005C0" w:rsidRPr="00946F1D" w:rsidRDefault="004005C0" w:rsidP="00946F1D">
      <w:pPr>
        <w:spacing w:after="0" w:line="360" w:lineRule="auto"/>
        <w:jc w:val="both"/>
        <w:rPr>
          <w:rFonts w:ascii="Times New Roman" w:eastAsia="Times New Roman" w:hAnsi="Times New Roman" w:cs="Times New Roman"/>
          <w:b/>
          <w:bCs/>
          <w:kern w:val="0"/>
          <w:lang w:eastAsia="en-IN"/>
          <w14:ligatures w14:val="none"/>
        </w:rPr>
      </w:pPr>
    </w:p>
    <w:p w14:paraId="1DFBB08A" w14:textId="77777777" w:rsidR="004005C0" w:rsidRPr="00946F1D" w:rsidRDefault="004005C0" w:rsidP="00946F1D">
      <w:pPr>
        <w:spacing w:after="0" w:line="360" w:lineRule="auto"/>
        <w:jc w:val="both"/>
        <w:rPr>
          <w:rFonts w:ascii="Times New Roman" w:eastAsia="Times New Roman" w:hAnsi="Times New Roman" w:cs="Times New Roman"/>
          <w:b/>
          <w:bCs/>
          <w:kern w:val="0"/>
          <w:lang w:eastAsia="en-IN"/>
          <w14:ligatures w14:val="none"/>
        </w:rPr>
      </w:pPr>
    </w:p>
    <w:p w14:paraId="19091EE3" w14:textId="77777777" w:rsidR="004005C0" w:rsidRPr="00946F1D" w:rsidRDefault="004005C0" w:rsidP="00946F1D">
      <w:pPr>
        <w:spacing w:after="0" w:line="360" w:lineRule="auto"/>
        <w:jc w:val="both"/>
        <w:rPr>
          <w:rFonts w:ascii="Times New Roman" w:eastAsia="Times New Roman" w:hAnsi="Times New Roman" w:cs="Times New Roman"/>
          <w:b/>
          <w:bCs/>
          <w:kern w:val="0"/>
          <w:lang w:eastAsia="en-IN"/>
          <w14:ligatures w14:val="none"/>
        </w:rPr>
      </w:pPr>
    </w:p>
    <w:p w14:paraId="2FC7568B" w14:textId="77777777" w:rsidR="004005C0" w:rsidRPr="00946F1D" w:rsidRDefault="004005C0" w:rsidP="00946F1D">
      <w:pPr>
        <w:spacing w:after="0" w:line="360" w:lineRule="auto"/>
        <w:jc w:val="both"/>
        <w:rPr>
          <w:rFonts w:ascii="Times New Roman" w:eastAsia="Times New Roman" w:hAnsi="Times New Roman" w:cs="Times New Roman"/>
          <w:b/>
          <w:bCs/>
          <w:kern w:val="0"/>
          <w:lang w:eastAsia="en-IN"/>
          <w14:ligatures w14:val="none"/>
        </w:rPr>
      </w:pPr>
    </w:p>
    <w:p w14:paraId="4BD1ABF1" w14:textId="77777777" w:rsidR="004005C0" w:rsidRPr="00946F1D" w:rsidRDefault="004005C0" w:rsidP="00946F1D">
      <w:pPr>
        <w:spacing w:after="0" w:line="360" w:lineRule="auto"/>
        <w:jc w:val="both"/>
        <w:rPr>
          <w:rFonts w:ascii="Times New Roman" w:eastAsia="Times New Roman" w:hAnsi="Times New Roman" w:cs="Times New Roman"/>
          <w:b/>
          <w:bCs/>
          <w:kern w:val="0"/>
          <w:lang w:eastAsia="en-IN"/>
          <w14:ligatures w14:val="none"/>
        </w:rPr>
      </w:pPr>
    </w:p>
    <w:p w14:paraId="44A10489" w14:textId="77777777" w:rsidR="004005C0" w:rsidRPr="00946F1D" w:rsidRDefault="004005C0" w:rsidP="00946F1D">
      <w:pPr>
        <w:spacing w:after="0" w:line="360" w:lineRule="auto"/>
        <w:jc w:val="both"/>
        <w:rPr>
          <w:rFonts w:ascii="Times New Roman" w:eastAsia="Times New Roman" w:hAnsi="Times New Roman" w:cs="Times New Roman"/>
          <w:b/>
          <w:bCs/>
          <w:kern w:val="0"/>
          <w:lang w:eastAsia="en-IN"/>
          <w14:ligatures w14:val="none"/>
        </w:rPr>
      </w:pPr>
    </w:p>
    <w:p w14:paraId="5E71C634" w14:textId="77777777" w:rsidR="00E2003F" w:rsidRPr="00946F1D" w:rsidRDefault="00E2003F" w:rsidP="00946F1D">
      <w:pPr>
        <w:spacing w:after="0" w:line="360" w:lineRule="auto"/>
        <w:jc w:val="both"/>
        <w:rPr>
          <w:rFonts w:ascii="Times New Roman" w:eastAsia="Times New Roman" w:hAnsi="Times New Roman" w:cs="Times New Roman"/>
          <w:b/>
          <w:bCs/>
          <w:kern w:val="0"/>
          <w:lang w:eastAsia="en-IN"/>
          <w14:ligatures w14:val="none"/>
        </w:rPr>
      </w:pPr>
    </w:p>
    <w:p w14:paraId="65CA3BD7" w14:textId="77777777" w:rsidR="00E2003F" w:rsidRPr="00946F1D" w:rsidRDefault="00E2003F" w:rsidP="00946F1D">
      <w:pPr>
        <w:spacing w:after="0" w:line="360" w:lineRule="auto"/>
        <w:jc w:val="both"/>
        <w:rPr>
          <w:rFonts w:ascii="Times New Roman" w:eastAsia="Times New Roman" w:hAnsi="Times New Roman" w:cs="Times New Roman"/>
          <w:b/>
          <w:bCs/>
          <w:kern w:val="0"/>
          <w:lang w:eastAsia="en-IN"/>
          <w14:ligatures w14:val="none"/>
        </w:rPr>
      </w:pPr>
    </w:p>
    <w:p w14:paraId="6CFFAC75" w14:textId="77777777" w:rsidR="00E2003F" w:rsidRPr="00946F1D" w:rsidRDefault="00E2003F" w:rsidP="00946F1D">
      <w:pPr>
        <w:spacing w:after="0" w:line="360" w:lineRule="auto"/>
        <w:jc w:val="both"/>
        <w:rPr>
          <w:rFonts w:ascii="Times New Roman" w:eastAsia="Times New Roman" w:hAnsi="Times New Roman" w:cs="Times New Roman"/>
          <w:b/>
          <w:bCs/>
          <w:kern w:val="0"/>
          <w:lang w:eastAsia="en-IN"/>
          <w14:ligatures w14:val="none"/>
        </w:rPr>
      </w:pPr>
    </w:p>
    <w:p w14:paraId="5BCDC1E6" w14:textId="3D641C5E" w:rsidR="006A758C" w:rsidRPr="00946F1D" w:rsidRDefault="006A758C"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 xml:space="preserve">Table </w:t>
      </w:r>
      <w:r w:rsidR="00042F2F" w:rsidRPr="00946F1D">
        <w:rPr>
          <w:rFonts w:ascii="Times New Roman" w:eastAsia="Times New Roman" w:hAnsi="Times New Roman" w:cs="Times New Roman"/>
          <w:b/>
          <w:bCs/>
          <w:kern w:val="0"/>
          <w:lang w:eastAsia="en-IN"/>
          <w14:ligatures w14:val="none"/>
        </w:rPr>
        <w:t xml:space="preserve">3.1. </w:t>
      </w:r>
      <w:r w:rsidRPr="00946F1D">
        <w:rPr>
          <w:rFonts w:ascii="Times New Roman" w:eastAsia="Times New Roman" w:hAnsi="Times New Roman" w:cs="Times New Roman"/>
          <w:b/>
          <w:bCs/>
          <w:kern w:val="0"/>
          <w:lang w:eastAsia="en-IN"/>
          <w14:ligatures w14:val="none"/>
        </w:rPr>
        <w:t>Phytochemical analysis of Kwatha</w:t>
      </w:r>
    </w:p>
    <w:p w14:paraId="167A867E" w14:textId="03E42814"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220E7470"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7"/>
        <w:gridCol w:w="1852"/>
        <w:gridCol w:w="1655"/>
        <w:gridCol w:w="1918"/>
        <w:gridCol w:w="1684"/>
      </w:tblGrid>
      <w:tr w:rsidR="00B4437B" w:rsidRPr="00946F1D" w14:paraId="60DB2FBE" w14:textId="77777777" w:rsidTr="00F5662A">
        <w:trPr>
          <w:tblHeader/>
          <w:tblCellSpacing w:w="15" w:type="dxa"/>
        </w:trPr>
        <w:tc>
          <w:tcPr>
            <w:tcW w:w="0" w:type="auto"/>
            <w:vAlign w:val="center"/>
            <w:hideMark/>
          </w:tcPr>
          <w:p w14:paraId="772ED6D4" w14:textId="2D930A5B" w:rsidR="00B4437B" w:rsidRPr="00946F1D" w:rsidRDefault="00B4437B"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Formulations</w:t>
            </w:r>
          </w:p>
        </w:tc>
        <w:tc>
          <w:tcPr>
            <w:tcW w:w="0" w:type="auto"/>
            <w:vAlign w:val="center"/>
            <w:hideMark/>
          </w:tcPr>
          <w:p w14:paraId="5AF47E6C" w14:textId="77777777" w:rsidR="00B4437B" w:rsidRPr="00946F1D" w:rsidRDefault="00B4437B"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Analytical Techniques Used</w:t>
            </w:r>
          </w:p>
        </w:tc>
        <w:tc>
          <w:tcPr>
            <w:tcW w:w="0" w:type="auto"/>
            <w:vAlign w:val="center"/>
            <w:hideMark/>
          </w:tcPr>
          <w:p w14:paraId="70A2D55D" w14:textId="77777777" w:rsidR="00B4437B" w:rsidRPr="00946F1D" w:rsidRDefault="00B4437B"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Key Phytochemicals / Markers Identified</w:t>
            </w:r>
          </w:p>
        </w:tc>
        <w:tc>
          <w:tcPr>
            <w:tcW w:w="0" w:type="auto"/>
            <w:vAlign w:val="center"/>
            <w:hideMark/>
          </w:tcPr>
          <w:p w14:paraId="31E052B6" w14:textId="7619BEF8" w:rsidR="00B4437B" w:rsidRPr="00946F1D" w:rsidRDefault="00B4437B"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Pharmacological Significance</w:t>
            </w:r>
          </w:p>
        </w:tc>
        <w:tc>
          <w:tcPr>
            <w:tcW w:w="1639" w:type="dxa"/>
            <w:vAlign w:val="center"/>
            <w:hideMark/>
          </w:tcPr>
          <w:p w14:paraId="05D1E8C3" w14:textId="77777777" w:rsidR="00B4437B" w:rsidRPr="00946F1D" w:rsidRDefault="00B4437B"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Reference</w:t>
            </w:r>
          </w:p>
        </w:tc>
      </w:tr>
      <w:tr w:rsidR="00B4437B" w:rsidRPr="00946F1D" w14:paraId="21E02ABC" w14:textId="77777777" w:rsidTr="00F5662A">
        <w:trPr>
          <w:tblCellSpacing w:w="15" w:type="dxa"/>
        </w:trPr>
        <w:tc>
          <w:tcPr>
            <w:tcW w:w="0" w:type="auto"/>
            <w:vAlign w:val="center"/>
            <w:hideMark/>
          </w:tcPr>
          <w:p w14:paraId="53C380FC"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kern w:val="0"/>
                <w:lang w:eastAsia="en-IN"/>
                <w14:ligatures w14:val="none"/>
              </w:rPr>
              <w:t>Pathyashadangam</w:t>
            </w:r>
            <w:proofErr w:type="spellEnd"/>
            <w:r w:rsidRPr="00946F1D">
              <w:rPr>
                <w:rFonts w:ascii="Times New Roman" w:eastAsia="Times New Roman" w:hAnsi="Times New Roman" w:cs="Times New Roman"/>
                <w:kern w:val="0"/>
                <w:lang w:eastAsia="en-IN"/>
                <w14:ligatures w14:val="none"/>
              </w:rPr>
              <w:t xml:space="preserve"> Kwatha</w:t>
            </w:r>
          </w:p>
        </w:tc>
        <w:tc>
          <w:tcPr>
            <w:tcW w:w="0" w:type="auto"/>
            <w:vAlign w:val="center"/>
            <w:hideMark/>
          </w:tcPr>
          <w:p w14:paraId="0E383225"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HPLC, HPTLC</w:t>
            </w:r>
          </w:p>
        </w:tc>
        <w:tc>
          <w:tcPr>
            <w:tcW w:w="0" w:type="auto"/>
            <w:vAlign w:val="center"/>
            <w:hideMark/>
          </w:tcPr>
          <w:p w14:paraId="1CE86CD1"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Andrographolide</w:t>
            </w:r>
          </w:p>
        </w:tc>
        <w:tc>
          <w:tcPr>
            <w:tcW w:w="0" w:type="auto"/>
            <w:vAlign w:val="center"/>
            <w:hideMark/>
          </w:tcPr>
          <w:p w14:paraId="1BA34A52"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 xml:space="preserve">Established andrographolide as a suitable marker; </w:t>
            </w:r>
            <w:r w:rsidRPr="00946F1D">
              <w:rPr>
                <w:rFonts w:ascii="Times New Roman" w:eastAsia="Times New Roman" w:hAnsi="Times New Roman" w:cs="Times New Roman"/>
                <w:kern w:val="0"/>
                <w:lang w:eastAsia="en-IN"/>
                <w14:ligatures w14:val="none"/>
              </w:rPr>
              <w:lastRenderedPageBreak/>
              <w:t>chromatographic fingerprints useful for quality control and standardization</w:t>
            </w:r>
          </w:p>
        </w:tc>
        <w:tc>
          <w:tcPr>
            <w:tcW w:w="1639" w:type="dxa"/>
            <w:vAlign w:val="center"/>
            <w:hideMark/>
          </w:tcPr>
          <w:p w14:paraId="6266EEB3"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lastRenderedPageBreak/>
              <w:t>Abraham et al., 2020</w:t>
            </w:r>
          </w:p>
        </w:tc>
      </w:tr>
      <w:tr w:rsidR="00B4437B" w:rsidRPr="00946F1D" w14:paraId="062A0A0A" w14:textId="77777777" w:rsidTr="00F5662A">
        <w:trPr>
          <w:tblCellSpacing w:w="15" w:type="dxa"/>
        </w:trPr>
        <w:tc>
          <w:tcPr>
            <w:tcW w:w="0" w:type="auto"/>
            <w:vAlign w:val="center"/>
            <w:hideMark/>
          </w:tcPr>
          <w:p w14:paraId="2FD442BE"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General Polyherbal Standardization</w:t>
            </w:r>
          </w:p>
        </w:tc>
        <w:tc>
          <w:tcPr>
            <w:tcW w:w="0" w:type="auto"/>
            <w:vAlign w:val="center"/>
            <w:hideMark/>
          </w:tcPr>
          <w:p w14:paraId="7D1141B2"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Fingerprinting, Marker quantification</w:t>
            </w:r>
          </w:p>
        </w:tc>
        <w:tc>
          <w:tcPr>
            <w:tcW w:w="0" w:type="auto"/>
            <w:vAlign w:val="center"/>
            <w:hideMark/>
          </w:tcPr>
          <w:p w14:paraId="1A123F3B"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Multiple bioactive compounds</w:t>
            </w:r>
          </w:p>
        </w:tc>
        <w:tc>
          <w:tcPr>
            <w:tcW w:w="0" w:type="auto"/>
            <w:vAlign w:val="center"/>
            <w:hideMark/>
          </w:tcPr>
          <w:p w14:paraId="49106DC2"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Phytochemical standardization improves safety, efficacy, and consistency of herbal medicines</w:t>
            </w:r>
          </w:p>
        </w:tc>
        <w:tc>
          <w:tcPr>
            <w:tcW w:w="1639" w:type="dxa"/>
            <w:vAlign w:val="center"/>
            <w:hideMark/>
          </w:tcPr>
          <w:p w14:paraId="164F9594"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Neethu et al., 2021</w:t>
            </w:r>
          </w:p>
        </w:tc>
      </w:tr>
      <w:tr w:rsidR="00B4437B" w:rsidRPr="00946F1D" w14:paraId="7A63B083" w14:textId="77777777" w:rsidTr="00F5662A">
        <w:trPr>
          <w:tblCellSpacing w:w="15" w:type="dxa"/>
        </w:trPr>
        <w:tc>
          <w:tcPr>
            <w:tcW w:w="0" w:type="auto"/>
            <w:vAlign w:val="center"/>
            <w:hideMark/>
          </w:tcPr>
          <w:p w14:paraId="15CFC8C0"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kern w:val="0"/>
                <w:lang w:eastAsia="en-IN"/>
                <w14:ligatures w14:val="none"/>
              </w:rPr>
              <w:t>Amruthotharam</w:t>
            </w:r>
            <w:proofErr w:type="spellEnd"/>
            <w:r w:rsidRPr="00946F1D">
              <w:rPr>
                <w:rFonts w:ascii="Times New Roman" w:eastAsia="Times New Roman" w:hAnsi="Times New Roman" w:cs="Times New Roman"/>
                <w:kern w:val="0"/>
                <w:lang w:eastAsia="en-IN"/>
                <w14:ligatures w14:val="none"/>
              </w:rPr>
              <w:t xml:space="preserve"> Kashayam</w:t>
            </w:r>
          </w:p>
        </w:tc>
        <w:tc>
          <w:tcPr>
            <w:tcW w:w="0" w:type="auto"/>
            <w:vAlign w:val="center"/>
            <w:hideMark/>
          </w:tcPr>
          <w:p w14:paraId="5F551A2E"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HPTLC, FTIR, Tandem MS</w:t>
            </w:r>
          </w:p>
        </w:tc>
        <w:tc>
          <w:tcPr>
            <w:tcW w:w="0" w:type="auto"/>
            <w:vAlign w:val="center"/>
            <w:hideMark/>
          </w:tcPr>
          <w:p w14:paraId="5EDA4BE6"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Distinct formulation-specific metabolites</w:t>
            </w:r>
          </w:p>
        </w:tc>
        <w:tc>
          <w:tcPr>
            <w:tcW w:w="0" w:type="auto"/>
            <w:vAlign w:val="center"/>
            <w:hideMark/>
          </w:tcPr>
          <w:p w14:paraId="779E93B0"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Chemical profile differed from individual ingredients, indicating formulation-induced phytochemical changes</w:t>
            </w:r>
          </w:p>
        </w:tc>
        <w:tc>
          <w:tcPr>
            <w:tcW w:w="1639" w:type="dxa"/>
            <w:vAlign w:val="center"/>
            <w:hideMark/>
          </w:tcPr>
          <w:p w14:paraId="1994BEAD"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C. T. Sulaiman et al., 2021</w:t>
            </w:r>
          </w:p>
        </w:tc>
      </w:tr>
      <w:tr w:rsidR="00B4437B" w:rsidRPr="00946F1D" w14:paraId="14187A19" w14:textId="77777777" w:rsidTr="00F5662A">
        <w:trPr>
          <w:tblCellSpacing w:w="15" w:type="dxa"/>
        </w:trPr>
        <w:tc>
          <w:tcPr>
            <w:tcW w:w="0" w:type="auto"/>
            <w:vAlign w:val="center"/>
            <w:hideMark/>
          </w:tcPr>
          <w:p w14:paraId="5D777E3C"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kern w:val="0"/>
                <w:lang w:eastAsia="en-IN"/>
                <w14:ligatures w14:val="none"/>
              </w:rPr>
              <w:t>Kushtakhnani</w:t>
            </w:r>
            <w:proofErr w:type="spellEnd"/>
            <w:r w:rsidRPr="00946F1D">
              <w:rPr>
                <w:rFonts w:ascii="Times New Roman" w:eastAsia="Times New Roman" w:hAnsi="Times New Roman" w:cs="Times New Roman"/>
                <w:kern w:val="0"/>
                <w:lang w:eastAsia="en-IN"/>
                <w14:ligatures w14:val="none"/>
              </w:rPr>
              <w:t xml:space="preserve"> Kwatha</w:t>
            </w:r>
          </w:p>
        </w:tc>
        <w:tc>
          <w:tcPr>
            <w:tcW w:w="0" w:type="auto"/>
            <w:vAlign w:val="center"/>
            <w:hideMark/>
          </w:tcPr>
          <w:p w14:paraId="4C32AC52"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Solvent extraction, In-vitro antibacterial &amp; antioxidant assays</w:t>
            </w:r>
          </w:p>
        </w:tc>
        <w:tc>
          <w:tcPr>
            <w:tcW w:w="0" w:type="auto"/>
            <w:vAlign w:val="center"/>
            <w:hideMark/>
          </w:tcPr>
          <w:p w14:paraId="4F09AE8A"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Alkaloids, flavonoids, terpenoids</w:t>
            </w:r>
          </w:p>
        </w:tc>
        <w:tc>
          <w:tcPr>
            <w:tcW w:w="0" w:type="auto"/>
            <w:vAlign w:val="center"/>
            <w:hideMark/>
          </w:tcPr>
          <w:p w14:paraId="4179BB6D"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 xml:space="preserve">Effective against </w:t>
            </w:r>
            <w:r w:rsidRPr="00946F1D">
              <w:rPr>
                <w:rFonts w:ascii="Times New Roman" w:eastAsia="Times New Roman" w:hAnsi="Times New Roman" w:cs="Times New Roman"/>
                <w:i/>
                <w:iCs/>
                <w:kern w:val="0"/>
                <w:lang w:eastAsia="en-IN"/>
                <w14:ligatures w14:val="none"/>
              </w:rPr>
              <w:t>P. aeruginosa</w:t>
            </w:r>
            <w:r w:rsidRPr="00946F1D">
              <w:rPr>
                <w:rFonts w:ascii="Times New Roman" w:eastAsia="Times New Roman" w:hAnsi="Times New Roman" w:cs="Times New Roman"/>
                <w:kern w:val="0"/>
                <w:lang w:eastAsia="en-IN"/>
                <w14:ligatures w14:val="none"/>
              </w:rPr>
              <w:t xml:space="preserve">, </w:t>
            </w:r>
            <w:r w:rsidRPr="00946F1D">
              <w:rPr>
                <w:rFonts w:ascii="Times New Roman" w:eastAsia="Times New Roman" w:hAnsi="Times New Roman" w:cs="Times New Roman"/>
                <w:i/>
                <w:iCs/>
                <w:kern w:val="0"/>
                <w:lang w:eastAsia="en-IN"/>
                <w14:ligatures w14:val="none"/>
              </w:rPr>
              <w:t>S. aureus</w:t>
            </w:r>
            <w:r w:rsidRPr="00946F1D">
              <w:rPr>
                <w:rFonts w:ascii="Times New Roman" w:eastAsia="Times New Roman" w:hAnsi="Times New Roman" w:cs="Times New Roman"/>
                <w:kern w:val="0"/>
                <w:lang w:eastAsia="en-IN"/>
                <w14:ligatures w14:val="none"/>
              </w:rPr>
              <w:t xml:space="preserve">, </w:t>
            </w:r>
            <w:r w:rsidRPr="00946F1D">
              <w:rPr>
                <w:rFonts w:ascii="Times New Roman" w:eastAsia="Times New Roman" w:hAnsi="Times New Roman" w:cs="Times New Roman"/>
                <w:i/>
                <w:iCs/>
                <w:kern w:val="0"/>
                <w:lang w:eastAsia="en-IN"/>
                <w14:ligatures w14:val="none"/>
              </w:rPr>
              <w:t>S. pyogenes</w:t>
            </w:r>
            <w:r w:rsidRPr="00946F1D">
              <w:rPr>
                <w:rFonts w:ascii="Times New Roman" w:eastAsia="Times New Roman" w:hAnsi="Times New Roman" w:cs="Times New Roman"/>
                <w:kern w:val="0"/>
                <w:lang w:eastAsia="en-IN"/>
                <w14:ligatures w14:val="none"/>
              </w:rPr>
              <w:t>; validates traditional dermatological use</w:t>
            </w:r>
          </w:p>
        </w:tc>
        <w:tc>
          <w:tcPr>
            <w:tcW w:w="1639" w:type="dxa"/>
            <w:vAlign w:val="center"/>
            <w:hideMark/>
          </w:tcPr>
          <w:p w14:paraId="76180F86"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Jalaj et al., 2016</w:t>
            </w:r>
          </w:p>
        </w:tc>
      </w:tr>
      <w:tr w:rsidR="00B4437B" w:rsidRPr="00946F1D" w14:paraId="128613CE" w14:textId="77777777" w:rsidTr="00F5662A">
        <w:trPr>
          <w:tblCellSpacing w:w="15" w:type="dxa"/>
        </w:trPr>
        <w:tc>
          <w:tcPr>
            <w:tcW w:w="0" w:type="auto"/>
            <w:vAlign w:val="center"/>
            <w:hideMark/>
          </w:tcPr>
          <w:p w14:paraId="0A10D2A6"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kern w:val="0"/>
                <w:lang w:eastAsia="en-IN"/>
                <w14:ligatures w14:val="none"/>
              </w:rPr>
              <w:t>Amrutotharanam</w:t>
            </w:r>
            <w:proofErr w:type="spellEnd"/>
            <w:r w:rsidRPr="00946F1D">
              <w:rPr>
                <w:rFonts w:ascii="Times New Roman" w:eastAsia="Times New Roman" w:hAnsi="Times New Roman" w:cs="Times New Roman"/>
                <w:kern w:val="0"/>
                <w:lang w:eastAsia="en-IN"/>
                <w14:ligatures w14:val="none"/>
              </w:rPr>
              <w:t xml:space="preserve"> Kashayam</w:t>
            </w:r>
          </w:p>
        </w:tc>
        <w:tc>
          <w:tcPr>
            <w:tcW w:w="0" w:type="auto"/>
            <w:vAlign w:val="center"/>
            <w:hideMark/>
          </w:tcPr>
          <w:p w14:paraId="426DDB4F"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GC–MS, Molecular docking &amp; dynamics</w:t>
            </w:r>
          </w:p>
        </w:tc>
        <w:tc>
          <w:tcPr>
            <w:tcW w:w="0" w:type="auto"/>
            <w:vAlign w:val="center"/>
            <w:hideMark/>
          </w:tcPr>
          <w:p w14:paraId="0B833799"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Antioxidant and cytotoxic biomolecules</w:t>
            </w:r>
          </w:p>
        </w:tc>
        <w:tc>
          <w:tcPr>
            <w:tcW w:w="0" w:type="auto"/>
            <w:vAlign w:val="center"/>
            <w:hideMark/>
          </w:tcPr>
          <w:p w14:paraId="43F8B083"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Compounds showed higher antioxidant activity than ascorbic acid and potential antiviral and anticancer activity</w:t>
            </w:r>
          </w:p>
        </w:tc>
        <w:tc>
          <w:tcPr>
            <w:tcW w:w="1639" w:type="dxa"/>
            <w:vAlign w:val="center"/>
            <w:hideMark/>
          </w:tcPr>
          <w:p w14:paraId="369879D1"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Raman et al., 2023</w:t>
            </w:r>
          </w:p>
        </w:tc>
      </w:tr>
      <w:tr w:rsidR="00B4437B" w:rsidRPr="00946F1D" w14:paraId="7E5F6067" w14:textId="77777777" w:rsidTr="00F5662A">
        <w:trPr>
          <w:tblCellSpacing w:w="15" w:type="dxa"/>
        </w:trPr>
        <w:tc>
          <w:tcPr>
            <w:tcW w:w="0" w:type="auto"/>
            <w:vAlign w:val="center"/>
            <w:hideMark/>
          </w:tcPr>
          <w:p w14:paraId="3CB28740"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lastRenderedPageBreak/>
              <w:t>Sahacharadi Kashayam</w:t>
            </w:r>
          </w:p>
        </w:tc>
        <w:tc>
          <w:tcPr>
            <w:tcW w:w="0" w:type="auto"/>
            <w:vAlign w:val="center"/>
            <w:hideMark/>
          </w:tcPr>
          <w:p w14:paraId="27FB6BAE"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GC–MS</w:t>
            </w:r>
          </w:p>
        </w:tc>
        <w:tc>
          <w:tcPr>
            <w:tcW w:w="0" w:type="auto"/>
            <w:vAlign w:val="center"/>
            <w:hideMark/>
          </w:tcPr>
          <w:p w14:paraId="735ECC59"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 xml:space="preserve">Eugenol, Lupeol, </w:t>
            </w:r>
            <w:proofErr w:type="spellStart"/>
            <w:r w:rsidRPr="00946F1D">
              <w:rPr>
                <w:rFonts w:ascii="Times New Roman" w:eastAsia="Times New Roman" w:hAnsi="Times New Roman" w:cs="Times New Roman"/>
                <w:kern w:val="0"/>
                <w:lang w:eastAsia="en-IN"/>
                <w14:ligatures w14:val="none"/>
              </w:rPr>
              <w:t>Heptanediamide</w:t>
            </w:r>
            <w:proofErr w:type="spellEnd"/>
          </w:p>
        </w:tc>
        <w:tc>
          <w:tcPr>
            <w:tcW w:w="0" w:type="auto"/>
            <w:vAlign w:val="center"/>
            <w:hideMark/>
          </w:tcPr>
          <w:p w14:paraId="16D25FE1"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Identified bioactive compounds contributing to therapeutic efficacy</w:t>
            </w:r>
          </w:p>
        </w:tc>
        <w:tc>
          <w:tcPr>
            <w:tcW w:w="1639" w:type="dxa"/>
            <w:vAlign w:val="center"/>
            <w:hideMark/>
          </w:tcPr>
          <w:p w14:paraId="1FB503CC"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 P. Kumar et al., 2018</w:t>
            </w:r>
          </w:p>
        </w:tc>
      </w:tr>
      <w:tr w:rsidR="00B4437B" w:rsidRPr="00946F1D" w14:paraId="2C0E1224" w14:textId="77777777" w:rsidTr="00F5662A">
        <w:trPr>
          <w:tblCellSpacing w:w="15" w:type="dxa"/>
        </w:trPr>
        <w:tc>
          <w:tcPr>
            <w:tcW w:w="0" w:type="auto"/>
            <w:vAlign w:val="center"/>
            <w:hideMark/>
          </w:tcPr>
          <w:p w14:paraId="2C025192"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Kashayam Preparation Process</w:t>
            </w:r>
          </w:p>
        </w:tc>
        <w:tc>
          <w:tcPr>
            <w:tcW w:w="0" w:type="auto"/>
            <w:vAlign w:val="center"/>
            <w:hideMark/>
          </w:tcPr>
          <w:p w14:paraId="70001525"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HPTLC, Spectrophotometric assays</w:t>
            </w:r>
          </w:p>
        </w:tc>
        <w:tc>
          <w:tcPr>
            <w:tcW w:w="0" w:type="auto"/>
            <w:vAlign w:val="center"/>
            <w:hideMark/>
          </w:tcPr>
          <w:p w14:paraId="4E3814BE"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Phenolics, Flavonoids</w:t>
            </w:r>
          </w:p>
        </w:tc>
        <w:tc>
          <w:tcPr>
            <w:tcW w:w="0" w:type="auto"/>
            <w:vAlign w:val="center"/>
            <w:hideMark/>
          </w:tcPr>
          <w:p w14:paraId="588090DE"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Phytochemical interactions during decoction lead to synergistic or antagonistic compound accumulation</w:t>
            </w:r>
          </w:p>
        </w:tc>
        <w:tc>
          <w:tcPr>
            <w:tcW w:w="1639" w:type="dxa"/>
            <w:vAlign w:val="center"/>
            <w:hideMark/>
          </w:tcPr>
          <w:p w14:paraId="5742784D"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C. Sulaiman et al., 2023</w:t>
            </w:r>
          </w:p>
        </w:tc>
      </w:tr>
      <w:tr w:rsidR="00B4437B" w:rsidRPr="00946F1D" w14:paraId="2F014D96" w14:textId="77777777" w:rsidTr="00F5662A">
        <w:trPr>
          <w:tblCellSpacing w:w="15" w:type="dxa"/>
        </w:trPr>
        <w:tc>
          <w:tcPr>
            <w:tcW w:w="0" w:type="auto"/>
            <w:vAlign w:val="center"/>
            <w:hideMark/>
          </w:tcPr>
          <w:p w14:paraId="32DAC5B2"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TC-16 Polyherbal Formulation</w:t>
            </w:r>
          </w:p>
        </w:tc>
        <w:tc>
          <w:tcPr>
            <w:tcW w:w="0" w:type="auto"/>
            <w:vAlign w:val="center"/>
            <w:hideMark/>
          </w:tcPr>
          <w:p w14:paraId="0DDF169B"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DPPH, ABTS, FRAP, ORAC, BCB</w:t>
            </w:r>
          </w:p>
        </w:tc>
        <w:tc>
          <w:tcPr>
            <w:tcW w:w="0" w:type="auto"/>
            <w:vAlign w:val="center"/>
            <w:hideMark/>
          </w:tcPr>
          <w:p w14:paraId="42730316"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Alkaloids, flavonoids, terpenoids, saponins</w:t>
            </w:r>
          </w:p>
        </w:tc>
        <w:tc>
          <w:tcPr>
            <w:tcW w:w="0" w:type="auto"/>
            <w:vAlign w:val="center"/>
            <w:hideMark/>
          </w:tcPr>
          <w:p w14:paraId="514A4778"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Strong antioxidant activity via hydrogen atom transfer; synergistic effects highlighted</w:t>
            </w:r>
          </w:p>
        </w:tc>
        <w:tc>
          <w:tcPr>
            <w:tcW w:w="1639" w:type="dxa"/>
            <w:vAlign w:val="center"/>
            <w:hideMark/>
          </w:tcPr>
          <w:p w14:paraId="29A4B6B0"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Yap et al., 2023</w:t>
            </w:r>
          </w:p>
        </w:tc>
      </w:tr>
      <w:tr w:rsidR="00B4437B" w:rsidRPr="00946F1D" w14:paraId="25A335AD" w14:textId="77777777" w:rsidTr="00F5662A">
        <w:trPr>
          <w:tblCellSpacing w:w="15" w:type="dxa"/>
        </w:trPr>
        <w:tc>
          <w:tcPr>
            <w:tcW w:w="0" w:type="auto"/>
            <w:vAlign w:val="center"/>
            <w:hideMark/>
          </w:tcPr>
          <w:p w14:paraId="600A508D"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Polyherbal formulation (</w:t>
            </w:r>
            <w:r w:rsidRPr="00946F1D">
              <w:rPr>
                <w:rFonts w:ascii="Times New Roman" w:eastAsia="Times New Roman" w:hAnsi="Times New Roman" w:cs="Times New Roman"/>
                <w:i/>
                <w:iCs/>
                <w:kern w:val="0"/>
                <w:lang w:eastAsia="en-IN"/>
                <w14:ligatures w14:val="none"/>
              </w:rPr>
              <w:t xml:space="preserve">C. </w:t>
            </w:r>
            <w:proofErr w:type="spellStart"/>
            <w:r w:rsidRPr="00946F1D">
              <w:rPr>
                <w:rFonts w:ascii="Times New Roman" w:eastAsia="Times New Roman" w:hAnsi="Times New Roman" w:cs="Times New Roman"/>
                <w:i/>
                <w:iCs/>
                <w:kern w:val="0"/>
                <w:lang w:eastAsia="en-IN"/>
                <w14:ligatures w14:val="none"/>
              </w:rPr>
              <w:t>mukul</w:t>
            </w:r>
            <w:proofErr w:type="spellEnd"/>
            <w:r w:rsidRPr="00946F1D">
              <w:rPr>
                <w:rFonts w:ascii="Times New Roman" w:eastAsia="Times New Roman" w:hAnsi="Times New Roman" w:cs="Times New Roman"/>
                <w:kern w:val="0"/>
                <w:lang w:eastAsia="en-IN"/>
                <w14:ligatures w14:val="none"/>
              </w:rPr>
              <w:t xml:space="preserve">, </w:t>
            </w:r>
            <w:r w:rsidRPr="00946F1D">
              <w:rPr>
                <w:rFonts w:ascii="Times New Roman" w:eastAsia="Times New Roman" w:hAnsi="Times New Roman" w:cs="Times New Roman"/>
                <w:i/>
                <w:iCs/>
                <w:kern w:val="0"/>
                <w:lang w:eastAsia="en-IN"/>
                <w14:ligatures w14:val="none"/>
              </w:rPr>
              <w:t>M. indica</w:t>
            </w:r>
            <w:r w:rsidRPr="00946F1D">
              <w:rPr>
                <w:rFonts w:ascii="Times New Roman" w:eastAsia="Times New Roman" w:hAnsi="Times New Roman" w:cs="Times New Roman"/>
                <w:kern w:val="0"/>
                <w:lang w:eastAsia="en-IN"/>
                <w14:ligatures w14:val="none"/>
              </w:rPr>
              <w:t xml:space="preserve">, </w:t>
            </w:r>
            <w:r w:rsidRPr="00946F1D">
              <w:rPr>
                <w:rFonts w:ascii="Times New Roman" w:eastAsia="Times New Roman" w:hAnsi="Times New Roman" w:cs="Times New Roman"/>
                <w:i/>
                <w:iCs/>
                <w:kern w:val="0"/>
                <w:lang w:eastAsia="en-IN"/>
                <w14:ligatures w14:val="none"/>
              </w:rPr>
              <w:t xml:space="preserve">P. </w:t>
            </w:r>
            <w:proofErr w:type="spellStart"/>
            <w:r w:rsidRPr="00946F1D">
              <w:rPr>
                <w:rFonts w:ascii="Times New Roman" w:eastAsia="Times New Roman" w:hAnsi="Times New Roman" w:cs="Times New Roman"/>
                <w:i/>
                <w:iCs/>
                <w:kern w:val="0"/>
                <w:lang w:eastAsia="en-IN"/>
                <w14:ligatures w14:val="none"/>
              </w:rPr>
              <w:t>kurroa</w:t>
            </w:r>
            <w:proofErr w:type="spellEnd"/>
            <w:r w:rsidRPr="00946F1D">
              <w:rPr>
                <w:rFonts w:ascii="Times New Roman" w:eastAsia="Times New Roman" w:hAnsi="Times New Roman" w:cs="Times New Roman"/>
                <w:kern w:val="0"/>
                <w:lang w:eastAsia="en-IN"/>
                <w14:ligatures w14:val="none"/>
              </w:rPr>
              <w:t xml:space="preserve">, </w:t>
            </w:r>
            <w:r w:rsidRPr="00946F1D">
              <w:rPr>
                <w:rFonts w:ascii="Times New Roman" w:eastAsia="Times New Roman" w:hAnsi="Times New Roman" w:cs="Times New Roman"/>
                <w:i/>
                <w:iCs/>
                <w:kern w:val="0"/>
                <w:lang w:eastAsia="en-IN"/>
                <w14:ligatures w14:val="none"/>
              </w:rPr>
              <w:t xml:space="preserve">S. </w:t>
            </w:r>
            <w:proofErr w:type="spellStart"/>
            <w:r w:rsidRPr="00946F1D">
              <w:rPr>
                <w:rFonts w:ascii="Times New Roman" w:eastAsia="Times New Roman" w:hAnsi="Times New Roman" w:cs="Times New Roman"/>
                <w:i/>
                <w:iCs/>
                <w:kern w:val="0"/>
                <w:lang w:eastAsia="en-IN"/>
                <w14:ligatures w14:val="none"/>
              </w:rPr>
              <w:t>cumini</w:t>
            </w:r>
            <w:proofErr w:type="spellEnd"/>
            <w:r w:rsidRPr="00946F1D">
              <w:rPr>
                <w:rFonts w:ascii="Times New Roman" w:eastAsia="Times New Roman" w:hAnsi="Times New Roman" w:cs="Times New Roman"/>
                <w:kern w:val="0"/>
                <w:lang w:eastAsia="en-IN"/>
                <w14:ligatures w14:val="none"/>
              </w:rPr>
              <w:t>)</w:t>
            </w:r>
          </w:p>
        </w:tc>
        <w:tc>
          <w:tcPr>
            <w:tcW w:w="0" w:type="auto"/>
            <w:vAlign w:val="center"/>
            <w:hideMark/>
          </w:tcPr>
          <w:p w14:paraId="06C121FE"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DPPH assay</w:t>
            </w:r>
          </w:p>
        </w:tc>
        <w:tc>
          <w:tcPr>
            <w:tcW w:w="0" w:type="auto"/>
            <w:vAlign w:val="center"/>
            <w:hideMark/>
          </w:tcPr>
          <w:p w14:paraId="3A41CEE9"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Phenols, Flavonoids</w:t>
            </w:r>
          </w:p>
        </w:tc>
        <w:tc>
          <w:tcPr>
            <w:tcW w:w="0" w:type="auto"/>
            <w:vAlign w:val="center"/>
            <w:hideMark/>
          </w:tcPr>
          <w:p w14:paraId="09AB9EFC"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High free-radical scavenging capacity; effective against oxidative stress</w:t>
            </w:r>
          </w:p>
        </w:tc>
        <w:tc>
          <w:tcPr>
            <w:tcW w:w="1639" w:type="dxa"/>
            <w:vAlign w:val="center"/>
            <w:hideMark/>
          </w:tcPr>
          <w:p w14:paraId="17FED0F6"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Iqbal &amp; Gurumurthy, 2016</w:t>
            </w:r>
          </w:p>
        </w:tc>
      </w:tr>
      <w:tr w:rsidR="00B4437B" w:rsidRPr="00946F1D" w14:paraId="2446B1A0" w14:textId="77777777" w:rsidTr="00F5662A">
        <w:trPr>
          <w:tblCellSpacing w:w="15" w:type="dxa"/>
        </w:trPr>
        <w:tc>
          <w:tcPr>
            <w:tcW w:w="0" w:type="auto"/>
            <w:vAlign w:val="center"/>
            <w:hideMark/>
          </w:tcPr>
          <w:p w14:paraId="014EEC31"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Polyherbal hepatoprotective formulation</w:t>
            </w:r>
          </w:p>
        </w:tc>
        <w:tc>
          <w:tcPr>
            <w:tcW w:w="0" w:type="auto"/>
            <w:vAlign w:val="center"/>
            <w:hideMark/>
          </w:tcPr>
          <w:p w14:paraId="4BC7CC12"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Antioxidant assays</w:t>
            </w:r>
          </w:p>
        </w:tc>
        <w:tc>
          <w:tcPr>
            <w:tcW w:w="0" w:type="auto"/>
            <w:vAlign w:val="center"/>
            <w:hideMark/>
          </w:tcPr>
          <w:p w14:paraId="4AECB830"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Polyphenols</w:t>
            </w:r>
          </w:p>
        </w:tc>
        <w:tc>
          <w:tcPr>
            <w:tcW w:w="0" w:type="auto"/>
            <w:vAlign w:val="center"/>
            <w:hideMark/>
          </w:tcPr>
          <w:p w14:paraId="7662F315"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Exhibited antioxidant and hepatoprotective potential</w:t>
            </w:r>
          </w:p>
        </w:tc>
        <w:tc>
          <w:tcPr>
            <w:tcW w:w="1639" w:type="dxa"/>
            <w:vAlign w:val="center"/>
            <w:hideMark/>
          </w:tcPr>
          <w:p w14:paraId="4D14712D"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Singh et al., 2012</w:t>
            </w:r>
          </w:p>
        </w:tc>
      </w:tr>
      <w:tr w:rsidR="00B4437B" w:rsidRPr="00946F1D" w14:paraId="7E54C392" w14:textId="77777777" w:rsidTr="00F5662A">
        <w:trPr>
          <w:tblCellSpacing w:w="15" w:type="dxa"/>
        </w:trPr>
        <w:tc>
          <w:tcPr>
            <w:tcW w:w="0" w:type="auto"/>
            <w:vAlign w:val="center"/>
            <w:hideMark/>
          </w:tcPr>
          <w:p w14:paraId="47191EA4"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Medicinal plant blend</w:t>
            </w:r>
          </w:p>
        </w:tc>
        <w:tc>
          <w:tcPr>
            <w:tcW w:w="0" w:type="auto"/>
            <w:vAlign w:val="center"/>
            <w:hideMark/>
          </w:tcPr>
          <w:p w14:paraId="29B9596A"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Phytochemical &amp; mineral analysis</w:t>
            </w:r>
          </w:p>
        </w:tc>
        <w:tc>
          <w:tcPr>
            <w:tcW w:w="0" w:type="auto"/>
            <w:vAlign w:val="center"/>
            <w:hideMark/>
          </w:tcPr>
          <w:p w14:paraId="46A7F732"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Alkaloids, phenolics, Ca, Mg, Fe</w:t>
            </w:r>
          </w:p>
        </w:tc>
        <w:tc>
          <w:tcPr>
            <w:tcW w:w="0" w:type="auto"/>
            <w:vAlign w:val="center"/>
            <w:hideMark/>
          </w:tcPr>
          <w:p w14:paraId="34C32224"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Therapeutic efficacy linked to phytochemicals and micronutrients</w:t>
            </w:r>
          </w:p>
        </w:tc>
        <w:tc>
          <w:tcPr>
            <w:tcW w:w="1639" w:type="dxa"/>
            <w:vAlign w:val="center"/>
            <w:hideMark/>
          </w:tcPr>
          <w:p w14:paraId="3D0184E9"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kern w:val="0"/>
                <w:lang w:eastAsia="en-IN"/>
                <w14:ligatures w14:val="none"/>
              </w:rPr>
              <w:t>Oshomoh</w:t>
            </w:r>
            <w:proofErr w:type="spellEnd"/>
            <w:r w:rsidRPr="00946F1D">
              <w:rPr>
                <w:rFonts w:ascii="Times New Roman" w:eastAsia="Times New Roman" w:hAnsi="Times New Roman" w:cs="Times New Roman"/>
                <w:kern w:val="0"/>
                <w:lang w:eastAsia="en-IN"/>
                <w14:ligatures w14:val="none"/>
              </w:rPr>
              <w:t xml:space="preserve"> et al., 2022</w:t>
            </w:r>
          </w:p>
        </w:tc>
      </w:tr>
      <w:tr w:rsidR="00B4437B" w:rsidRPr="00946F1D" w14:paraId="35AA91F4" w14:textId="77777777" w:rsidTr="00F5662A">
        <w:trPr>
          <w:tblCellSpacing w:w="15" w:type="dxa"/>
        </w:trPr>
        <w:tc>
          <w:tcPr>
            <w:tcW w:w="0" w:type="auto"/>
            <w:vAlign w:val="center"/>
            <w:hideMark/>
          </w:tcPr>
          <w:p w14:paraId="14DFAB95"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kern w:val="0"/>
                <w:lang w:eastAsia="en-IN"/>
                <w14:ligatures w14:val="none"/>
              </w:rPr>
              <w:t>Balaguloochyadi</w:t>
            </w:r>
            <w:proofErr w:type="spellEnd"/>
            <w:r w:rsidRPr="00946F1D">
              <w:rPr>
                <w:rFonts w:ascii="Times New Roman" w:eastAsia="Times New Roman" w:hAnsi="Times New Roman" w:cs="Times New Roman"/>
                <w:kern w:val="0"/>
                <w:lang w:eastAsia="en-IN"/>
                <w14:ligatures w14:val="none"/>
              </w:rPr>
              <w:t xml:space="preserve"> Kashayam</w:t>
            </w:r>
          </w:p>
        </w:tc>
        <w:tc>
          <w:tcPr>
            <w:tcW w:w="0" w:type="auto"/>
            <w:vAlign w:val="center"/>
            <w:hideMark/>
          </w:tcPr>
          <w:p w14:paraId="63C62A33"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Physicochemical, Microbiological tests, HPTLC</w:t>
            </w:r>
          </w:p>
        </w:tc>
        <w:tc>
          <w:tcPr>
            <w:tcW w:w="0" w:type="auto"/>
            <w:vAlign w:val="center"/>
            <w:hideMark/>
          </w:tcPr>
          <w:p w14:paraId="444DD3C6"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Ephedrine</w:t>
            </w:r>
          </w:p>
        </w:tc>
        <w:tc>
          <w:tcPr>
            <w:tcW w:w="0" w:type="auto"/>
            <w:vAlign w:val="center"/>
            <w:hideMark/>
          </w:tcPr>
          <w:p w14:paraId="78C22652"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 xml:space="preserve">Confirmed safety and standardization </w:t>
            </w:r>
            <w:r w:rsidRPr="00946F1D">
              <w:rPr>
                <w:rFonts w:ascii="Times New Roman" w:eastAsia="Times New Roman" w:hAnsi="Times New Roman" w:cs="Times New Roman"/>
                <w:kern w:val="0"/>
                <w:lang w:eastAsia="en-IN"/>
                <w14:ligatures w14:val="none"/>
              </w:rPr>
              <w:lastRenderedPageBreak/>
              <w:t>through marker quantification</w:t>
            </w:r>
          </w:p>
        </w:tc>
        <w:tc>
          <w:tcPr>
            <w:tcW w:w="1639" w:type="dxa"/>
            <w:vAlign w:val="center"/>
            <w:hideMark/>
          </w:tcPr>
          <w:p w14:paraId="4B451E5C"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lastRenderedPageBreak/>
              <w:t>Khan et al., 2016</w:t>
            </w:r>
          </w:p>
        </w:tc>
      </w:tr>
      <w:tr w:rsidR="00B4437B" w:rsidRPr="00946F1D" w14:paraId="758341E8" w14:textId="77777777" w:rsidTr="00F5662A">
        <w:trPr>
          <w:tblCellSpacing w:w="15" w:type="dxa"/>
        </w:trPr>
        <w:tc>
          <w:tcPr>
            <w:tcW w:w="0" w:type="auto"/>
            <w:vAlign w:val="center"/>
            <w:hideMark/>
          </w:tcPr>
          <w:p w14:paraId="6BAE1202"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Commercial Sahacharadi Kwatha</w:t>
            </w:r>
          </w:p>
        </w:tc>
        <w:tc>
          <w:tcPr>
            <w:tcW w:w="0" w:type="auto"/>
            <w:vAlign w:val="center"/>
            <w:hideMark/>
          </w:tcPr>
          <w:p w14:paraId="0FF5C4CD"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Preservative analysis</w:t>
            </w:r>
          </w:p>
        </w:tc>
        <w:tc>
          <w:tcPr>
            <w:tcW w:w="0" w:type="auto"/>
            <w:vAlign w:val="center"/>
            <w:hideMark/>
          </w:tcPr>
          <w:p w14:paraId="628B9981"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Sodium benzoate</w:t>
            </w:r>
          </w:p>
        </w:tc>
        <w:tc>
          <w:tcPr>
            <w:tcW w:w="0" w:type="auto"/>
            <w:vAlign w:val="center"/>
            <w:hideMark/>
          </w:tcPr>
          <w:p w14:paraId="208CCA13"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Excess preservative levels raise safety concerns; need for strict quality control</w:t>
            </w:r>
          </w:p>
        </w:tc>
        <w:tc>
          <w:tcPr>
            <w:tcW w:w="1639" w:type="dxa"/>
            <w:vAlign w:val="center"/>
            <w:hideMark/>
          </w:tcPr>
          <w:p w14:paraId="5430F712"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 xml:space="preserve">Gopal &amp; </w:t>
            </w:r>
            <w:proofErr w:type="spellStart"/>
            <w:r w:rsidRPr="00946F1D">
              <w:rPr>
                <w:rFonts w:ascii="Times New Roman" w:eastAsia="Times New Roman" w:hAnsi="Times New Roman" w:cs="Times New Roman"/>
                <w:kern w:val="0"/>
                <w:lang w:eastAsia="en-IN"/>
                <w14:ligatures w14:val="none"/>
              </w:rPr>
              <w:t>Ittiachen</w:t>
            </w:r>
            <w:proofErr w:type="spellEnd"/>
            <w:r w:rsidRPr="00946F1D">
              <w:rPr>
                <w:rFonts w:ascii="Times New Roman" w:eastAsia="Times New Roman" w:hAnsi="Times New Roman" w:cs="Times New Roman"/>
                <w:kern w:val="0"/>
                <w:lang w:eastAsia="en-IN"/>
                <w14:ligatures w14:val="none"/>
              </w:rPr>
              <w:t>, 2024</w:t>
            </w:r>
          </w:p>
        </w:tc>
      </w:tr>
      <w:tr w:rsidR="00B4437B" w:rsidRPr="00946F1D" w14:paraId="1EBEDCD0" w14:textId="77777777" w:rsidTr="00F5662A">
        <w:trPr>
          <w:tblCellSpacing w:w="15" w:type="dxa"/>
        </w:trPr>
        <w:tc>
          <w:tcPr>
            <w:tcW w:w="0" w:type="auto"/>
            <w:vAlign w:val="center"/>
            <w:hideMark/>
          </w:tcPr>
          <w:p w14:paraId="47844F5A"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kern w:val="0"/>
                <w:lang w:eastAsia="en-IN"/>
                <w14:ligatures w14:val="none"/>
              </w:rPr>
              <w:t>Dasamoola</w:t>
            </w:r>
            <w:proofErr w:type="spellEnd"/>
            <w:r w:rsidRPr="00946F1D">
              <w:rPr>
                <w:rFonts w:ascii="Times New Roman" w:eastAsia="Times New Roman" w:hAnsi="Times New Roman" w:cs="Times New Roman"/>
                <w:kern w:val="0"/>
                <w:lang w:eastAsia="en-IN"/>
                <w14:ligatures w14:val="none"/>
              </w:rPr>
              <w:t xml:space="preserve"> Kwatha (Fresh vs Marketed)</w:t>
            </w:r>
          </w:p>
        </w:tc>
        <w:tc>
          <w:tcPr>
            <w:tcW w:w="0" w:type="auto"/>
            <w:vAlign w:val="center"/>
            <w:hideMark/>
          </w:tcPr>
          <w:p w14:paraId="39E50317"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TLC, Physicochemical tests</w:t>
            </w:r>
          </w:p>
        </w:tc>
        <w:tc>
          <w:tcPr>
            <w:tcW w:w="0" w:type="auto"/>
            <w:vAlign w:val="center"/>
            <w:hideMark/>
          </w:tcPr>
          <w:p w14:paraId="21B46991"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Sugars, phytoconstituents</w:t>
            </w:r>
          </w:p>
        </w:tc>
        <w:tc>
          <w:tcPr>
            <w:tcW w:w="0" w:type="auto"/>
            <w:vAlign w:val="center"/>
            <w:hideMark/>
          </w:tcPr>
          <w:p w14:paraId="21429BD8"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Market samples contained unreported sugars; potential risk for diabetic patients</w:t>
            </w:r>
          </w:p>
        </w:tc>
        <w:tc>
          <w:tcPr>
            <w:tcW w:w="1639" w:type="dxa"/>
            <w:vAlign w:val="center"/>
            <w:hideMark/>
          </w:tcPr>
          <w:p w14:paraId="136181D7"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Mehta et al., 2021</w:t>
            </w:r>
          </w:p>
        </w:tc>
      </w:tr>
      <w:tr w:rsidR="00B4437B" w:rsidRPr="00946F1D" w14:paraId="70B9587F" w14:textId="77777777" w:rsidTr="00F5662A">
        <w:trPr>
          <w:tblCellSpacing w:w="15" w:type="dxa"/>
        </w:trPr>
        <w:tc>
          <w:tcPr>
            <w:tcW w:w="0" w:type="auto"/>
            <w:vAlign w:val="center"/>
            <w:hideMark/>
          </w:tcPr>
          <w:p w14:paraId="1B29EAE3"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kern w:val="0"/>
                <w:lang w:eastAsia="en-IN"/>
                <w14:ligatures w14:val="none"/>
              </w:rPr>
              <w:t>Dhanwantaram</w:t>
            </w:r>
            <w:proofErr w:type="spellEnd"/>
            <w:r w:rsidRPr="00946F1D">
              <w:rPr>
                <w:rFonts w:ascii="Times New Roman" w:eastAsia="Times New Roman" w:hAnsi="Times New Roman" w:cs="Times New Roman"/>
                <w:kern w:val="0"/>
                <w:lang w:eastAsia="en-IN"/>
                <w14:ligatures w14:val="none"/>
              </w:rPr>
              <w:t xml:space="preserve"> Kashayam</w:t>
            </w:r>
          </w:p>
        </w:tc>
        <w:tc>
          <w:tcPr>
            <w:tcW w:w="0" w:type="auto"/>
            <w:vAlign w:val="center"/>
            <w:hideMark/>
          </w:tcPr>
          <w:p w14:paraId="3224B958"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DPPH, ABTS, FRAP, Radical scavenging assays</w:t>
            </w:r>
          </w:p>
        </w:tc>
        <w:tc>
          <w:tcPr>
            <w:tcW w:w="0" w:type="auto"/>
            <w:vAlign w:val="center"/>
            <w:hideMark/>
          </w:tcPr>
          <w:p w14:paraId="45E72542"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Antioxidant metabolites</w:t>
            </w:r>
          </w:p>
        </w:tc>
        <w:tc>
          <w:tcPr>
            <w:tcW w:w="0" w:type="auto"/>
            <w:vAlign w:val="center"/>
            <w:hideMark/>
          </w:tcPr>
          <w:p w14:paraId="4F8D28F8"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Strong antioxidant and free-radical scavenging activity with low IC₅₀ values</w:t>
            </w:r>
          </w:p>
        </w:tc>
        <w:tc>
          <w:tcPr>
            <w:tcW w:w="1639" w:type="dxa"/>
            <w:vAlign w:val="center"/>
            <w:hideMark/>
          </w:tcPr>
          <w:p w14:paraId="7569A3AF"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Renganathan &amp; Pillai, 2021</w:t>
            </w:r>
          </w:p>
        </w:tc>
      </w:tr>
      <w:tr w:rsidR="00B4437B" w:rsidRPr="00946F1D" w14:paraId="0DBA83DC" w14:textId="77777777" w:rsidTr="00F5662A">
        <w:trPr>
          <w:tblCellSpacing w:w="15" w:type="dxa"/>
        </w:trPr>
        <w:tc>
          <w:tcPr>
            <w:tcW w:w="0" w:type="auto"/>
            <w:vAlign w:val="center"/>
            <w:hideMark/>
          </w:tcPr>
          <w:p w14:paraId="1184FDF2"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Kulathadi Kashayam</w:t>
            </w:r>
          </w:p>
        </w:tc>
        <w:tc>
          <w:tcPr>
            <w:tcW w:w="0" w:type="auto"/>
            <w:vAlign w:val="center"/>
            <w:hideMark/>
          </w:tcPr>
          <w:p w14:paraId="360EDF7E"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GC–MS</w:t>
            </w:r>
          </w:p>
        </w:tc>
        <w:tc>
          <w:tcPr>
            <w:tcW w:w="0" w:type="auto"/>
            <w:vAlign w:val="center"/>
            <w:hideMark/>
          </w:tcPr>
          <w:p w14:paraId="73A0AF8D"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Benzoic acid, fatty acids, alkanes</w:t>
            </w:r>
          </w:p>
        </w:tc>
        <w:tc>
          <w:tcPr>
            <w:tcW w:w="0" w:type="auto"/>
            <w:vAlign w:val="center"/>
            <w:hideMark/>
          </w:tcPr>
          <w:p w14:paraId="767B98B3"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Bioactive compounds support its use in amenorrhea</w:t>
            </w:r>
          </w:p>
        </w:tc>
        <w:tc>
          <w:tcPr>
            <w:tcW w:w="1639" w:type="dxa"/>
            <w:vAlign w:val="center"/>
            <w:hideMark/>
          </w:tcPr>
          <w:p w14:paraId="7E9DFB31"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Phillips et al., 2015</w:t>
            </w:r>
          </w:p>
        </w:tc>
      </w:tr>
      <w:tr w:rsidR="00B4437B" w:rsidRPr="00946F1D" w14:paraId="05852DA8" w14:textId="77777777" w:rsidTr="00F5662A">
        <w:trPr>
          <w:tblCellSpacing w:w="15" w:type="dxa"/>
        </w:trPr>
        <w:tc>
          <w:tcPr>
            <w:tcW w:w="0" w:type="auto"/>
            <w:vAlign w:val="center"/>
            <w:hideMark/>
          </w:tcPr>
          <w:p w14:paraId="4761488B"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kern w:val="0"/>
                <w:lang w:eastAsia="en-IN"/>
                <w14:ligatures w14:val="none"/>
              </w:rPr>
              <w:t>Kutajarista</w:t>
            </w:r>
            <w:proofErr w:type="spellEnd"/>
          </w:p>
        </w:tc>
        <w:tc>
          <w:tcPr>
            <w:tcW w:w="0" w:type="auto"/>
            <w:vAlign w:val="center"/>
            <w:hideMark/>
          </w:tcPr>
          <w:p w14:paraId="7A28CA1E"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Antibacterial assays</w:t>
            </w:r>
          </w:p>
        </w:tc>
        <w:tc>
          <w:tcPr>
            <w:tcW w:w="0" w:type="auto"/>
            <w:vAlign w:val="center"/>
            <w:hideMark/>
          </w:tcPr>
          <w:p w14:paraId="09DEE7FF"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Active phytoconstituents</w:t>
            </w:r>
          </w:p>
        </w:tc>
        <w:tc>
          <w:tcPr>
            <w:tcW w:w="0" w:type="auto"/>
            <w:vAlign w:val="center"/>
            <w:hideMark/>
          </w:tcPr>
          <w:p w14:paraId="4776E84B"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Laboratory-prepared formulation showed superior antibacterial activity</w:t>
            </w:r>
          </w:p>
        </w:tc>
        <w:tc>
          <w:tcPr>
            <w:tcW w:w="1639" w:type="dxa"/>
            <w:vAlign w:val="center"/>
            <w:hideMark/>
          </w:tcPr>
          <w:p w14:paraId="37BA6A1A"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 xml:space="preserve">Shenoy &amp; </w:t>
            </w:r>
            <w:proofErr w:type="spellStart"/>
            <w:r w:rsidRPr="00946F1D">
              <w:rPr>
                <w:rFonts w:ascii="Times New Roman" w:eastAsia="Times New Roman" w:hAnsi="Times New Roman" w:cs="Times New Roman"/>
                <w:kern w:val="0"/>
                <w:lang w:eastAsia="en-IN"/>
                <w14:ligatures w14:val="none"/>
              </w:rPr>
              <w:t>Yoganarasimhan</w:t>
            </w:r>
            <w:proofErr w:type="spellEnd"/>
            <w:r w:rsidRPr="00946F1D">
              <w:rPr>
                <w:rFonts w:ascii="Times New Roman" w:eastAsia="Times New Roman" w:hAnsi="Times New Roman" w:cs="Times New Roman"/>
                <w:kern w:val="0"/>
                <w:lang w:eastAsia="en-IN"/>
                <w14:ligatures w14:val="none"/>
              </w:rPr>
              <w:t>, 2009</w:t>
            </w:r>
          </w:p>
        </w:tc>
      </w:tr>
      <w:tr w:rsidR="00B4437B" w:rsidRPr="00946F1D" w14:paraId="1A920FE9" w14:textId="77777777" w:rsidTr="00F5662A">
        <w:trPr>
          <w:tblCellSpacing w:w="15" w:type="dxa"/>
        </w:trPr>
        <w:tc>
          <w:tcPr>
            <w:tcW w:w="0" w:type="auto"/>
            <w:vAlign w:val="center"/>
            <w:hideMark/>
          </w:tcPr>
          <w:p w14:paraId="61354113"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kern w:val="0"/>
                <w:lang w:eastAsia="en-IN"/>
                <w14:ligatures w14:val="none"/>
              </w:rPr>
              <w:t>Bhunimbadi</w:t>
            </w:r>
            <w:proofErr w:type="spellEnd"/>
            <w:r w:rsidRPr="00946F1D">
              <w:rPr>
                <w:rFonts w:ascii="Times New Roman" w:eastAsia="Times New Roman" w:hAnsi="Times New Roman" w:cs="Times New Roman"/>
                <w:kern w:val="0"/>
                <w:lang w:eastAsia="en-IN"/>
                <w14:ligatures w14:val="none"/>
              </w:rPr>
              <w:t xml:space="preserve"> Kwatha</w:t>
            </w:r>
          </w:p>
        </w:tc>
        <w:tc>
          <w:tcPr>
            <w:tcW w:w="0" w:type="auto"/>
            <w:vAlign w:val="center"/>
            <w:hideMark/>
          </w:tcPr>
          <w:p w14:paraId="530E54D6"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Clinical evaluation</w:t>
            </w:r>
          </w:p>
        </w:tc>
        <w:tc>
          <w:tcPr>
            <w:tcW w:w="0" w:type="auto"/>
            <w:vAlign w:val="center"/>
            <w:hideMark/>
          </w:tcPr>
          <w:p w14:paraId="67D974E6"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Lubricating phytochemicals</w:t>
            </w:r>
          </w:p>
        </w:tc>
        <w:tc>
          <w:tcPr>
            <w:tcW w:w="0" w:type="auto"/>
            <w:vAlign w:val="center"/>
            <w:hideMark/>
          </w:tcPr>
          <w:p w14:paraId="1C668F9F"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Reduced burning sensation and dryness in Burning Mouth Syndrome</w:t>
            </w:r>
          </w:p>
        </w:tc>
        <w:tc>
          <w:tcPr>
            <w:tcW w:w="1639" w:type="dxa"/>
            <w:vAlign w:val="center"/>
            <w:hideMark/>
          </w:tcPr>
          <w:p w14:paraId="25A0881A"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Deshmukh et al., 2020</w:t>
            </w:r>
          </w:p>
        </w:tc>
      </w:tr>
      <w:tr w:rsidR="00B4437B" w:rsidRPr="00946F1D" w14:paraId="0939B848" w14:textId="77777777" w:rsidTr="00F5662A">
        <w:trPr>
          <w:tblCellSpacing w:w="15" w:type="dxa"/>
        </w:trPr>
        <w:tc>
          <w:tcPr>
            <w:tcW w:w="0" w:type="auto"/>
            <w:vAlign w:val="center"/>
            <w:hideMark/>
          </w:tcPr>
          <w:p w14:paraId="7079158A"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kern w:val="0"/>
                <w:lang w:eastAsia="en-IN"/>
                <w14:ligatures w14:val="none"/>
              </w:rPr>
              <w:t>Sharibadi</w:t>
            </w:r>
            <w:proofErr w:type="spellEnd"/>
            <w:r w:rsidRPr="00946F1D">
              <w:rPr>
                <w:rFonts w:ascii="Times New Roman" w:eastAsia="Times New Roman" w:hAnsi="Times New Roman" w:cs="Times New Roman"/>
                <w:kern w:val="0"/>
                <w:lang w:eastAsia="en-IN"/>
                <w14:ligatures w14:val="none"/>
              </w:rPr>
              <w:t xml:space="preserve"> Decoction (A vs B)</w:t>
            </w:r>
          </w:p>
        </w:tc>
        <w:tc>
          <w:tcPr>
            <w:tcW w:w="0" w:type="auto"/>
            <w:vAlign w:val="center"/>
            <w:hideMark/>
          </w:tcPr>
          <w:p w14:paraId="703C3C4D"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TLC, Phytochemical analysis</w:t>
            </w:r>
          </w:p>
        </w:tc>
        <w:tc>
          <w:tcPr>
            <w:tcW w:w="0" w:type="auto"/>
            <w:vAlign w:val="center"/>
            <w:hideMark/>
          </w:tcPr>
          <w:p w14:paraId="51E248D6"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Flavonoids, tannins, phenols</w:t>
            </w:r>
          </w:p>
        </w:tc>
        <w:tc>
          <w:tcPr>
            <w:tcW w:w="0" w:type="auto"/>
            <w:vAlign w:val="center"/>
            <w:hideMark/>
          </w:tcPr>
          <w:p w14:paraId="7111251D"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 xml:space="preserve">Decoction with mixed plant varieties showed higher </w:t>
            </w:r>
            <w:r w:rsidRPr="00946F1D">
              <w:rPr>
                <w:rFonts w:ascii="Times New Roman" w:eastAsia="Times New Roman" w:hAnsi="Times New Roman" w:cs="Times New Roman"/>
                <w:kern w:val="0"/>
                <w:lang w:eastAsia="en-IN"/>
                <w14:ligatures w14:val="none"/>
              </w:rPr>
              <w:lastRenderedPageBreak/>
              <w:t>phytochemical content</w:t>
            </w:r>
          </w:p>
        </w:tc>
        <w:tc>
          <w:tcPr>
            <w:tcW w:w="1639" w:type="dxa"/>
            <w:vAlign w:val="center"/>
            <w:hideMark/>
          </w:tcPr>
          <w:p w14:paraId="39C9AE8A"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lastRenderedPageBreak/>
              <w:t>Kulathunga et al., 2019</w:t>
            </w:r>
          </w:p>
        </w:tc>
      </w:tr>
      <w:tr w:rsidR="00B4437B" w:rsidRPr="00946F1D" w14:paraId="1104D9FA" w14:textId="77777777" w:rsidTr="00F5662A">
        <w:trPr>
          <w:tblCellSpacing w:w="15" w:type="dxa"/>
        </w:trPr>
        <w:tc>
          <w:tcPr>
            <w:tcW w:w="0" w:type="auto"/>
            <w:vAlign w:val="center"/>
            <w:hideMark/>
          </w:tcPr>
          <w:p w14:paraId="065F54F6"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kern w:val="0"/>
                <w:lang w:eastAsia="en-IN"/>
                <w14:ligatures w14:val="none"/>
              </w:rPr>
              <w:t>Cirivilvadi</w:t>
            </w:r>
            <w:proofErr w:type="spellEnd"/>
            <w:r w:rsidRPr="00946F1D">
              <w:rPr>
                <w:rFonts w:ascii="Times New Roman" w:eastAsia="Times New Roman" w:hAnsi="Times New Roman" w:cs="Times New Roman"/>
                <w:kern w:val="0"/>
                <w:lang w:eastAsia="en-IN"/>
                <w14:ligatures w14:val="none"/>
              </w:rPr>
              <w:t xml:space="preserve"> Kashaya</w:t>
            </w:r>
          </w:p>
        </w:tc>
        <w:tc>
          <w:tcPr>
            <w:tcW w:w="0" w:type="auto"/>
            <w:vAlign w:val="center"/>
            <w:hideMark/>
          </w:tcPr>
          <w:p w14:paraId="124B1AB1"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Comparative physicochemical study</w:t>
            </w:r>
          </w:p>
        </w:tc>
        <w:tc>
          <w:tcPr>
            <w:tcW w:w="0" w:type="auto"/>
            <w:vAlign w:val="center"/>
            <w:hideMark/>
          </w:tcPr>
          <w:p w14:paraId="664BAA0D"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Altered phytochemical profile</w:t>
            </w:r>
          </w:p>
        </w:tc>
        <w:tc>
          <w:tcPr>
            <w:tcW w:w="0" w:type="auto"/>
            <w:vAlign w:val="center"/>
            <w:hideMark/>
          </w:tcPr>
          <w:p w14:paraId="7FC7A5F0"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Preservatives and prolonged cooking affected formulation quality</w:t>
            </w:r>
          </w:p>
        </w:tc>
        <w:tc>
          <w:tcPr>
            <w:tcW w:w="1639" w:type="dxa"/>
            <w:vAlign w:val="center"/>
            <w:hideMark/>
          </w:tcPr>
          <w:p w14:paraId="2935D3A3"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Mahapatra et al., 2015</w:t>
            </w:r>
          </w:p>
        </w:tc>
      </w:tr>
      <w:tr w:rsidR="00B4437B" w:rsidRPr="00946F1D" w14:paraId="10BD3A65" w14:textId="77777777" w:rsidTr="00F5662A">
        <w:trPr>
          <w:tblCellSpacing w:w="15" w:type="dxa"/>
        </w:trPr>
        <w:tc>
          <w:tcPr>
            <w:tcW w:w="0" w:type="auto"/>
            <w:vAlign w:val="center"/>
            <w:hideMark/>
          </w:tcPr>
          <w:p w14:paraId="022B036C"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kern w:val="0"/>
                <w:lang w:eastAsia="en-IN"/>
                <w14:ligatures w14:val="none"/>
              </w:rPr>
              <w:t>Patolakaturohinyadi</w:t>
            </w:r>
            <w:proofErr w:type="spellEnd"/>
            <w:r w:rsidRPr="00946F1D">
              <w:rPr>
                <w:rFonts w:ascii="Times New Roman" w:eastAsia="Times New Roman" w:hAnsi="Times New Roman" w:cs="Times New Roman"/>
                <w:kern w:val="0"/>
                <w:lang w:eastAsia="en-IN"/>
                <w14:ligatures w14:val="none"/>
              </w:rPr>
              <w:t xml:space="preserve"> </w:t>
            </w:r>
            <w:proofErr w:type="spellStart"/>
            <w:r w:rsidRPr="00946F1D">
              <w:rPr>
                <w:rFonts w:ascii="Times New Roman" w:eastAsia="Times New Roman" w:hAnsi="Times New Roman" w:cs="Times New Roman"/>
                <w:kern w:val="0"/>
                <w:lang w:eastAsia="en-IN"/>
                <w14:ligatures w14:val="none"/>
              </w:rPr>
              <w:t>Ghanavati</w:t>
            </w:r>
            <w:proofErr w:type="spellEnd"/>
          </w:p>
        </w:tc>
        <w:tc>
          <w:tcPr>
            <w:tcW w:w="0" w:type="auto"/>
            <w:vAlign w:val="center"/>
            <w:hideMark/>
          </w:tcPr>
          <w:p w14:paraId="472EF12B"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WHO-guided quality assessment</w:t>
            </w:r>
          </w:p>
        </w:tc>
        <w:tc>
          <w:tcPr>
            <w:tcW w:w="0" w:type="auto"/>
            <w:vAlign w:val="center"/>
            <w:hideMark/>
          </w:tcPr>
          <w:p w14:paraId="6EE6DB88"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 xml:space="preserve">Multiple </w:t>
            </w:r>
            <w:proofErr w:type="spellStart"/>
            <w:r w:rsidRPr="00946F1D">
              <w:rPr>
                <w:rFonts w:ascii="Times New Roman" w:eastAsia="Times New Roman" w:hAnsi="Times New Roman" w:cs="Times New Roman"/>
                <w:kern w:val="0"/>
                <w:lang w:eastAsia="en-IN"/>
                <w14:ligatures w14:val="none"/>
              </w:rPr>
              <w:t>bioactives</w:t>
            </w:r>
            <w:proofErr w:type="spellEnd"/>
          </w:p>
        </w:tc>
        <w:tc>
          <w:tcPr>
            <w:tcW w:w="0" w:type="auto"/>
            <w:vAlign w:val="center"/>
            <w:hideMark/>
          </w:tcPr>
          <w:p w14:paraId="2980EA3E"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Improved palatability, stability, and therapeutic potential</w:t>
            </w:r>
          </w:p>
        </w:tc>
        <w:tc>
          <w:tcPr>
            <w:tcW w:w="1639" w:type="dxa"/>
            <w:vAlign w:val="center"/>
            <w:hideMark/>
          </w:tcPr>
          <w:p w14:paraId="51A70D7C"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Rohini &amp; Prashanth, 2023</w:t>
            </w:r>
          </w:p>
        </w:tc>
      </w:tr>
      <w:tr w:rsidR="00B4437B" w:rsidRPr="00946F1D" w14:paraId="5CA8C390" w14:textId="77777777" w:rsidTr="00F5662A">
        <w:trPr>
          <w:tblCellSpacing w:w="15" w:type="dxa"/>
        </w:trPr>
        <w:tc>
          <w:tcPr>
            <w:tcW w:w="0" w:type="auto"/>
            <w:vAlign w:val="center"/>
            <w:hideMark/>
          </w:tcPr>
          <w:p w14:paraId="46760131"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kern w:val="0"/>
                <w:lang w:eastAsia="en-IN"/>
                <w14:ligatures w14:val="none"/>
              </w:rPr>
              <w:t>Guduchyadi</w:t>
            </w:r>
            <w:proofErr w:type="spellEnd"/>
            <w:r w:rsidRPr="00946F1D">
              <w:rPr>
                <w:rFonts w:ascii="Times New Roman" w:eastAsia="Times New Roman" w:hAnsi="Times New Roman" w:cs="Times New Roman"/>
                <w:kern w:val="0"/>
                <w:lang w:eastAsia="en-IN"/>
                <w14:ligatures w14:val="none"/>
              </w:rPr>
              <w:t xml:space="preserve"> Kashayam</w:t>
            </w:r>
          </w:p>
        </w:tc>
        <w:tc>
          <w:tcPr>
            <w:tcW w:w="0" w:type="auto"/>
            <w:vAlign w:val="center"/>
            <w:hideMark/>
          </w:tcPr>
          <w:p w14:paraId="3818A019"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LC–MS/MS</w:t>
            </w:r>
          </w:p>
        </w:tc>
        <w:tc>
          <w:tcPr>
            <w:tcW w:w="0" w:type="auto"/>
            <w:vAlign w:val="center"/>
            <w:hideMark/>
          </w:tcPr>
          <w:p w14:paraId="23C2BD1E"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Phenolic compounds</w:t>
            </w:r>
          </w:p>
        </w:tc>
        <w:tc>
          <w:tcPr>
            <w:tcW w:w="0" w:type="auto"/>
            <w:vAlign w:val="center"/>
            <w:hideMark/>
          </w:tcPr>
          <w:p w14:paraId="00DE002B"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High phenolic content linked to antioxidant, anti-inflammatory, and anti-ageing effects</w:t>
            </w:r>
          </w:p>
        </w:tc>
        <w:tc>
          <w:tcPr>
            <w:tcW w:w="1639" w:type="dxa"/>
            <w:vAlign w:val="center"/>
            <w:hideMark/>
          </w:tcPr>
          <w:p w14:paraId="5FB9240C"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 S. Sruthi &amp; Anand, 2024</w:t>
            </w:r>
          </w:p>
        </w:tc>
      </w:tr>
      <w:tr w:rsidR="00B4437B" w:rsidRPr="00946F1D" w14:paraId="6AE24AFF" w14:textId="77777777" w:rsidTr="00F5662A">
        <w:trPr>
          <w:tblCellSpacing w:w="15" w:type="dxa"/>
        </w:trPr>
        <w:tc>
          <w:tcPr>
            <w:tcW w:w="0" w:type="auto"/>
            <w:vAlign w:val="center"/>
            <w:hideMark/>
          </w:tcPr>
          <w:p w14:paraId="5163637F"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kern w:val="0"/>
                <w:lang w:eastAsia="en-IN"/>
                <w14:ligatures w14:val="none"/>
              </w:rPr>
              <w:t>Prasarinyadi</w:t>
            </w:r>
            <w:proofErr w:type="spellEnd"/>
            <w:r w:rsidRPr="00946F1D">
              <w:rPr>
                <w:rFonts w:ascii="Times New Roman" w:eastAsia="Times New Roman" w:hAnsi="Times New Roman" w:cs="Times New Roman"/>
                <w:kern w:val="0"/>
                <w:lang w:eastAsia="en-IN"/>
                <w14:ligatures w14:val="none"/>
              </w:rPr>
              <w:t xml:space="preserve"> Kashayam</w:t>
            </w:r>
          </w:p>
        </w:tc>
        <w:tc>
          <w:tcPr>
            <w:tcW w:w="0" w:type="auto"/>
            <w:vAlign w:val="center"/>
            <w:hideMark/>
          </w:tcPr>
          <w:p w14:paraId="6CECE676"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ESI-QTOF-MS</w:t>
            </w:r>
          </w:p>
        </w:tc>
        <w:tc>
          <w:tcPr>
            <w:tcW w:w="0" w:type="auto"/>
            <w:vAlign w:val="center"/>
            <w:hideMark/>
          </w:tcPr>
          <w:p w14:paraId="57522936"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Alkaloids, flavonoids, phenolics</w:t>
            </w:r>
          </w:p>
        </w:tc>
        <w:tc>
          <w:tcPr>
            <w:tcW w:w="0" w:type="auto"/>
            <w:vAlign w:val="center"/>
            <w:hideMark/>
          </w:tcPr>
          <w:p w14:paraId="0603EFA3"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Identified 19 bioactive phytochemicals with immunomodulatory effects</w:t>
            </w:r>
          </w:p>
        </w:tc>
        <w:tc>
          <w:tcPr>
            <w:tcW w:w="1639" w:type="dxa"/>
            <w:vAlign w:val="center"/>
            <w:hideMark/>
          </w:tcPr>
          <w:p w14:paraId="600CECB8"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Girija et al., 2024</w:t>
            </w:r>
          </w:p>
        </w:tc>
      </w:tr>
      <w:tr w:rsidR="00B4437B" w:rsidRPr="00946F1D" w14:paraId="2701F814" w14:textId="77777777" w:rsidTr="00F5662A">
        <w:trPr>
          <w:tblCellSpacing w:w="15" w:type="dxa"/>
        </w:trPr>
        <w:tc>
          <w:tcPr>
            <w:tcW w:w="0" w:type="auto"/>
            <w:vAlign w:val="center"/>
            <w:hideMark/>
          </w:tcPr>
          <w:p w14:paraId="06641805"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kern w:val="0"/>
                <w:lang w:eastAsia="en-IN"/>
                <w14:ligatures w14:val="none"/>
              </w:rPr>
              <w:t>Vyaghryadi</w:t>
            </w:r>
            <w:proofErr w:type="spellEnd"/>
            <w:r w:rsidRPr="00946F1D">
              <w:rPr>
                <w:rFonts w:ascii="Times New Roman" w:eastAsia="Times New Roman" w:hAnsi="Times New Roman" w:cs="Times New Roman"/>
                <w:kern w:val="0"/>
                <w:lang w:eastAsia="en-IN"/>
                <w14:ligatures w14:val="none"/>
              </w:rPr>
              <w:t xml:space="preserve"> Kashayam</w:t>
            </w:r>
          </w:p>
        </w:tc>
        <w:tc>
          <w:tcPr>
            <w:tcW w:w="0" w:type="auto"/>
            <w:vAlign w:val="center"/>
            <w:hideMark/>
          </w:tcPr>
          <w:p w14:paraId="48FA2333"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In-vitro antiviral assays</w:t>
            </w:r>
          </w:p>
        </w:tc>
        <w:tc>
          <w:tcPr>
            <w:tcW w:w="0" w:type="auto"/>
            <w:vAlign w:val="center"/>
            <w:hideMark/>
          </w:tcPr>
          <w:p w14:paraId="3F253BE3"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Multiple secondary metabolites</w:t>
            </w:r>
          </w:p>
        </w:tc>
        <w:tc>
          <w:tcPr>
            <w:tcW w:w="0" w:type="auto"/>
            <w:vAlign w:val="center"/>
            <w:hideMark/>
          </w:tcPr>
          <w:p w14:paraId="12773D92"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Demonstrated activity against SARS-CoV-2</w:t>
            </w:r>
          </w:p>
        </w:tc>
        <w:tc>
          <w:tcPr>
            <w:tcW w:w="1639" w:type="dxa"/>
            <w:vAlign w:val="center"/>
            <w:hideMark/>
          </w:tcPr>
          <w:p w14:paraId="0381D62C"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Nandakumar et al., 2021</w:t>
            </w:r>
          </w:p>
        </w:tc>
      </w:tr>
      <w:tr w:rsidR="00B4437B" w:rsidRPr="00946F1D" w14:paraId="0A35B0F0" w14:textId="77777777" w:rsidTr="00F5662A">
        <w:trPr>
          <w:tblCellSpacing w:w="15" w:type="dxa"/>
        </w:trPr>
        <w:tc>
          <w:tcPr>
            <w:tcW w:w="0" w:type="auto"/>
            <w:vAlign w:val="center"/>
            <w:hideMark/>
          </w:tcPr>
          <w:p w14:paraId="1196E38C"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General Herbal Standardization</w:t>
            </w:r>
          </w:p>
        </w:tc>
        <w:tc>
          <w:tcPr>
            <w:tcW w:w="0" w:type="auto"/>
            <w:vAlign w:val="center"/>
            <w:hideMark/>
          </w:tcPr>
          <w:p w14:paraId="64A421E3"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TLC, HPTLC, HPLC, LC-MS/MS</w:t>
            </w:r>
          </w:p>
        </w:tc>
        <w:tc>
          <w:tcPr>
            <w:tcW w:w="0" w:type="auto"/>
            <w:vAlign w:val="center"/>
            <w:hideMark/>
          </w:tcPr>
          <w:p w14:paraId="07B4EBDE"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Marker compounds</w:t>
            </w:r>
          </w:p>
        </w:tc>
        <w:tc>
          <w:tcPr>
            <w:tcW w:w="0" w:type="auto"/>
            <w:vAlign w:val="center"/>
            <w:hideMark/>
          </w:tcPr>
          <w:p w14:paraId="42C9546D"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Ensures batch consistency, authenticity, and therapeutic reliability</w:t>
            </w:r>
          </w:p>
        </w:tc>
        <w:tc>
          <w:tcPr>
            <w:tcW w:w="1639" w:type="dxa"/>
            <w:vAlign w:val="center"/>
            <w:hideMark/>
          </w:tcPr>
          <w:p w14:paraId="40B8BCF4"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Rajani &amp; Kanaki, 2008; M. M. Kumar et al., 2025</w:t>
            </w:r>
          </w:p>
        </w:tc>
      </w:tr>
    </w:tbl>
    <w:p w14:paraId="4E27CF26" w14:textId="77777777" w:rsidR="00B4437B" w:rsidRPr="00946F1D" w:rsidRDefault="00B4437B" w:rsidP="00946F1D">
      <w:pPr>
        <w:spacing w:after="0" w:line="360" w:lineRule="auto"/>
        <w:jc w:val="both"/>
        <w:rPr>
          <w:rFonts w:ascii="Times New Roman" w:eastAsia="Times New Roman" w:hAnsi="Times New Roman" w:cs="Times New Roman"/>
          <w:kern w:val="0"/>
          <w:lang w:eastAsia="en-IN"/>
          <w14:ligatures w14:val="none"/>
        </w:rPr>
      </w:pPr>
    </w:p>
    <w:p w14:paraId="3D38C41E" w14:textId="2E2C219C"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3930C751" w14:textId="6E121BC9"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noProof/>
          <w:kern w:val="0"/>
          <w:lang w:eastAsia="en-IN"/>
        </w:rPr>
        <w:lastRenderedPageBreak/>
        <w:drawing>
          <wp:anchor distT="0" distB="0" distL="114300" distR="114300" simplePos="0" relativeHeight="251658240" behindDoc="1" locked="0" layoutInCell="1" allowOverlap="1" wp14:anchorId="5ADCC6B0" wp14:editId="15765B9C">
            <wp:simplePos x="0" y="0"/>
            <wp:positionH relativeFrom="page">
              <wp:posOffset>1036320</wp:posOffset>
            </wp:positionH>
            <wp:positionV relativeFrom="paragraph">
              <wp:posOffset>137160</wp:posOffset>
            </wp:positionV>
            <wp:extent cx="4899660" cy="2512060"/>
            <wp:effectExtent l="0" t="0" r="0" b="2540"/>
            <wp:wrapTight wrapText="bothSides">
              <wp:wrapPolygon edited="0">
                <wp:start x="0" y="0"/>
                <wp:lineTo x="0" y="21458"/>
                <wp:lineTo x="21499" y="21458"/>
                <wp:lineTo x="21499" y="0"/>
                <wp:lineTo x="0" y="0"/>
              </wp:wrapPolygon>
            </wp:wrapTight>
            <wp:docPr id="8980933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9660" cy="2512060"/>
                    </a:xfrm>
                    <a:prstGeom prst="rect">
                      <a:avLst/>
                    </a:prstGeom>
                    <a:noFill/>
                  </pic:spPr>
                </pic:pic>
              </a:graphicData>
            </a:graphic>
            <wp14:sizeRelH relativeFrom="page">
              <wp14:pctWidth>0</wp14:pctWidth>
            </wp14:sizeRelH>
            <wp14:sizeRelV relativeFrom="page">
              <wp14:pctHeight>0</wp14:pctHeight>
            </wp14:sizeRelV>
          </wp:anchor>
        </w:drawing>
      </w:r>
    </w:p>
    <w:p w14:paraId="0AB9B859" w14:textId="7A9BCDDC"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1F44EF08" w14:textId="70BF6093"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45039210" w14:textId="1C84300F"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731D2349" w14:textId="117126F9"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01CABA9D" w14:textId="1D91D750"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319A2CCF" w14:textId="109C4A24"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1305FE50" w14:textId="77777777"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7AEFBAC1" w14:textId="570CC3A9"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79236F8C" w14:textId="77777777"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19AD9F48" w14:textId="07063087"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6A65DC33" w14:textId="371779E2"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604FAB2B" w14:textId="77777777"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5619FF7E" w14:textId="77777777"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376746BA" w14:textId="125F8883" w:rsidR="00F36F0F" w:rsidRPr="00946F1D" w:rsidRDefault="00F36F0F" w:rsidP="00946F1D">
      <w:pPr>
        <w:spacing w:after="0" w:line="360" w:lineRule="auto"/>
        <w:jc w:val="both"/>
        <w:rPr>
          <w:rFonts w:ascii="Times New Roman" w:eastAsia="Times New Roman" w:hAnsi="Times New Roman" w:cs="Times New Roman"/>
          <w:kern w:val="0"/>
          <w:lang w:eastAsia="en-IN"/>
          <w14:ligatures w14:val="none"/>
        </w:rPr>
      </w:pPr>
    </w:p>
    <w:p w14:paraId="78D77D98" w14:textId="77777777" w:rsidR="00AD5186" w:rsidRPr="00946F1D" w:rsidRDefault="00AD5186" w:rsidP="00946F1D">
      <w:pPr>
        <w:spacing w:after="0" w:line="360" w:lineRule="auto"/>
        <w:jc w:val="both"/>
        <w:rPr>
          <w:rFonts w:ascii="Times New Roman" w:eastAsia="Times New Roman" w:hAnsi="Times New Roman" w:cs="Times New Roman"/>
          <w:b/>
          <w:bCs/>
          <w:kern w:val="0"/>
          <w:lang w:eastAsia="en-IN"/>
          <w14:ligatures w14:val="none"/>
        </w:rPr>
      </w:pPr>
    </w:p>
    <w:p w14:paraId="57304B54" w14:textId="7AC2D0F6" w:rsidR="002135FE" w:rsidRPr="00946F1D" w:rsidRDefault="00042F2F"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 xml:space="preserve">4. </w:t>
      </w:r>
      <w:r w:rsidR="00496B4F" w:rsidRPr="00946F1D">
        <w:rPr>
          <w:rFonts w:ascii="Times New Roman" w:eastAsia="Times New Roman" w:hAnsi="Times New Roman" w:cs="Times New Roman"/>
          <w:b/>
          <w:bCs/>
          <w:kern w:val="0"/>
          <w:lang w:eastAsia="en-IN"/>
          <w14:ligatures w14:val="none"/>
        </w:rPr>
        <w:t>Synergistic interactions of herbal medicines</w:t>
      </w:r>
      <w:r w:rsidR="00AD5186" w:rsidRPr="00946F1D">
        <w:rPr>
          <w:rFonts w:ascii="Times New Roman" w:eastAsia="Times New Roman" w:hAnsi="Times New Roman" w:cs="Times New Roman"/>
          <w:b/>
          <w:bCs/>
          <w:kern w:val="0"/>
          <w:lang w:eastAsia="en-IN"/>
          <w14:ligatures w14:val="none"/>
        </w:rPr>
        <w:t xml:space="preserve"> in Ayurvedic </w:t>
      </w:r>
      <w:r w:rsidR="00F51FE6" w:rsidRPr="00946F1D">
        <w:rPr>
          <w:rFonts w:ascii="Times New Roman" w:eastAsia="Times New Roman" w:hAnsi="Times New Roman" w:cs="Times New Roman"/>
          <w:b/>
          <w:bCs/>
          <w:kern w:val="0"/>
          <w:lang w:eastAsia="en-IN"/>
          <w14:ligatures w14:val="none"/>
        </w:rPr>
        <w:t>Formulations</w:t>
      </w:r>
    </w:p>
    <w:p w14:paraId="449DB981" w14:textId="01B5B89A" w:rsidR="00307638" w:rsidRPr="00946F1D" w:rsidRDefault="00307638" w:rsidP="00946F1D">
      <w:pPr>
        <w:spacing w:after="0" w:line="360" w:lineRule="auto"/>
        <w:jc w:val="both"/>
        <w:rPr>
          <w:rFonts w:ascii="Times New Roman" w:eastAsia="Times New Roman" w:hAnsi="Times New Roman" w:cs="Times New Roman"/>
          <w:b/>
          <w:bCs/>
          <w:kern w:val="0"/>
          <w:lang w:eastAsia="en-IN"/>
          <w14:ligatures w14:val="none"/>
        </w:rPr>
      </w:pPr>
    </w:p>
    <w:p w14:paraId="3E1DE582"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 xml:space="preserve">Synergistic interactions are not consistent across antioxidant pathways, interaction effects between the components showed antagonistic effects on ferric reducing antioxidant capacity but additive effects on DPPH radical scavenging. In a polyherbal formulation made by adding five ingredients namely </w:t>
      </w:r>
      <w:r w:rsidRPr="00437B84">
        <w:rPr>
          <w:rFonts w:ascii="Times New Roman" w:eastAsia="Times New Roman" w:hAnsi="Times New Roman" w:cs="Times New Roman"/>
          <w:i/>
          <w:iCs/>
          <w:kern w:val="0"/>
          <w:lang w:eastAsia="en-IN"/>
          <w14:ligatures w14:val="none"/>
        </w:rPr>
        <w:t>Andrographis paniculata</w:t>
      </w:r>
      <w:r w:rsidRPr="00437B84">
        <w:rPr>
          <w:rFonts w:ascii="Times New Roman" w:eastAsia="Times New Roman" w:hAnsi="Times New Roman" w:cs="Times New Roman"/>
          <w:kern w:val="0"/>
          <w:lang w:eastAsia="en-IN"/>
          <w14:ligatures w14:val="none"/>
        </w:rPr>
        <w:t xml:space="preserve">, </w:t>
      </w:r>
      <w:proofErr w:type="spellStart"/>
      <w:r w:rsidRPr="00437B84">
        <w:rPr>
          <w:rFonts w:ascii="Times New Roman" w:eastAsia="Times New Roman" w:hAnsi="Times New Roman" w:cs="Times New Roman"/>
          <w:i/>
          <w:iCs/>
          <w:kern w:val="0"/>
          <w:lang w:eastAsia="en-IN"/>
          <w14:ligatures w14:val="none"/>
        </w:rPr>
        <w:t>Tinospora</w:t>
      </w:r>
      <w:proofErr w:type="spellEnd"/>
      <w:r w:rsidRPr="00437B84">
        <w:rPr>
          <w:rFonts w:ascii="Times New Roman" w:eastAsia="Times New Roman" w:hAnsi="Times New Roman" w:cs="Times New Roman"/>
          <w:i/>
          <w:iCs/>
          <w:kern w:val="0"/>
          <w:lang w:eastAsia="en-IN"/>
          <w14:ligatures w14:val="none"/>
        </w:rPr>
        <w:t xml:space="preserve"> </w:t>
      </w:r>
      <w:proofErr w:type="spellStart"/>
      <w:r w:rsidRPr="00437B84">
        <w:rPr>
          <w:rFonts w:ascii="Times New Roman" w:eastAsia="Times New Roman" w:hAnsi="Times New Roman" w:cs="Times New Roman"/>
          <w:i/>
          <w:iCs/>
          <w:kern w:val="0"/>
          <w:lang w:eastAsia="en-IN"/>
          <w14:ligatures w14:val="none"/>
        </w:rPr>
        <w:t>crispa</w:t>
      </w:r>
      <w:proofErr w:type="spellEnd"/>
      <w:r w:rsidRPr="00437B84">
        <w:rPr>
          <w:rFonts w:ascii="Times New Roman" w:eastAsia="Times New Roman" w:hAnsi="Times New Roman" w:cs="Times New Roman"/>
          <w:kern w:val="0"/>
          <w:lang w:eastAsia="en-IN"/>
          <w14:ligatures w14:val="none"/>
        </w:rPr>
        <w:t xml:space="preserve">, </w:t>
      </w:r>
      <w:r w:rsidRPr="00437B84">
        <w:rPr>
          <w:rFonts w:ascii="Times New Roman" w:eastAsia="Times New Roman" w:hAnsi="Times New Roman" w:cs="Times New Roman"/>
          <w:i/>
          <w:iCs/>
          <w:kern w:val="0"/>
          <w:lang w:eastAsia="en-IN"/>
          <w14:ligatures w14:val="none"/>
        </w:rPr>
        <w:t>Curcuma longa</w:t>
      </w:r>
      <w:r w:rsidRPr="00437B84">
        <w:rPr>
          <w:rFonts w:ascii="Times New Roman" w:eastAsia="Times New Roman" w:hAnsi="Times New Roman" w:cs="Times New Roman"/>
          <w:kern w:val="0"/>
          <w:lang w:eastAsia="en-IN"/>
          <w14:ligatures w14:val="none"/>
        </w:rPr>
        <w:t xml:space="preserve">, </w:t>
      </w:r>
      <w:r w:rsidRPr="00437B84">
        <w:rPr>
          <w:rFonts w:ascii="Times New Roman" w:eastAsia="Times New Roman" w:hAnsi="Times New Roman" w:cs="Times New Roman"/>
          <w:i/>
          <w:iCs/>
          <w:kern w:val="0"/>
          <w:lang w:eastAsia="en-IN"/>
          <w14:ligatures w14:val="none"/>
        </w:rPr>
        <w:t xml:space="preserve">Curcuma </w:t>
      </w:r>
      <w:proofErr w:type="spellStart"/>
      <w:r w:rsidRPr="00437B84">
        <w:rPr>
          <w:rFonts w:ascii="Times New Roman" w:eastAsia="Times New Roman" w:hAnsi="Times New Roman" w:cs="Times New Roman"/>
          <w:i/>
          <w:iCs/>
          <w:kern w:val="0"/>
          <w:lang w:eastAsia="en-IN"/>
          <w14:ligatures w14:val="none"/>
        </w:rPr>
        <w:t>comosa</w:t>
      </w:r>
      <w:proofErr w:type="spellEnd"/>
      <w:r w:rsidRPr="00437B84">
        <w:rPr>
          <w:rFonts w:ascii="Times New Roman" w:eastAsia="Times New Roman" w:hAnsi="Times New Roman" w:cs="Times New Roman"/>
          <w:kern w:val="0"/>
          <w:lang w:eastAsia="en-IN"/>
          <w14:ligatures w14:val="none"/>
        </w:rPr>
        <w:t xml:space="preserve">, and </w:t>
      </w:r>
      <w:r w:rsidRPr="00437B84">
        <w:rPr>
          <w:rFonts w:ascii="Times New Roman" w:eastAsia="Times New Roman" w:hAnsi="Times New Roman" w:cs="Times New Roman"/>
          <w:i/>
          <w:iCs/>
          <w:kern w:val="0"/>
          <w:lang w:eastAsia="en-IN"/>
          <w14:ligatures w14:val="none"/>
        </w:rPr>
        <w:t xml:space="preserve">Phyllanthus </w:t>
      </w:r>
      <w:proofErr w:type="spellStart"/>
      <w:r w:rsidRPr="00437B84">
        <w:rPr>
          <w:rFonts w:ascii="Times New Roman" w:eastAsia="Times New Roman" w:hAnsi="Times New Roman" w:cs="Times New Roman"/>
          <w:i/>
          <w:iCs/>
          <w:kern w:val="0"/>
          <w:lang w:eastAsia="en-IN"/>
          <w14:ligatures w14:val="none"/>
        </w:rPr>
        <w:t>niruri</w:t>
      </w:r>
      <w:proofErr w:type="spellEnd"/>
      <w:r w:rsidRPr="00437B84">
        <w:rPr>
          <w:rFonts w:ascii="Times New Roman" w:eastAsia="Times New Roman" w:hAnsi="Times New Roman" w:cs="Times New Roman"/>
          <w:kern w:val="0"/>
          <w:lang w:eastAsia="en-IN"/>
          <w14:ligatures w14:val="none"/>
        </w:rPr>
        <w:t xml:space="preserve">. The ratios of constituents in the polyherbal formulations are to be optimised and can be treated to cure disorders linked to oxidative stress such as diabetes </w:t>
      </w:r>
      <w:proofErr w:type="gramStart"/>
      <w:r w:rsidRPr="00437B84">
        <w:rPr>
          <w:rFonts w:ascii="Times New Roman" w:eastAsia="Times New Roman" w:hAnsi="Times New Roman" w:cs="Times New Roman"/>
          <w:kern w:val="0"/>
          <w:lang w:eastAsia="en-IN"/>
          <w14:ligatures w14:val="none"/>
        </w:rPr>
        <w:t>mellitus.(</w:t>
      </w:r>
      <w:proofErr w:type="spellStart"/>
      <w:proofErr w:type="gramEnd"/>
      <w:r w:rsidRPr="00437B84">
        <w:rPr>
          <w:rFonts w:ascii="Times New Roman" w:eastAsia="Times New Roman" w:hAnsi="Times New Roman" w:cs="Times New Roman"/>
          <w:kern w:val="0"/>
          <w:lang w:eastAsia="en-IN"/>
          <w14:ligatures w14:val="none"/>
        </w:rPr>
        <w:t>Hartanti</w:t>
      </w:r>
      <w:proofErr w:type="spellEnd"/>
      <w:r w:rsidRPr="00437B84">
        <w:rPr>
          <w:rFonts w:ascii="Times New Roman" w:eastAsia="Times New Roman" w:hAnsi="Times New Roman" w:cs="Times New Roman"/>
          <w:kern w:val="0"/>
          <w:lang w:eastAsia="en-IN"/>
          <w14:ligatures w14:val="none"/>
        </w:rPr>
        <w:t xml:space="preserve"> &amp; Hamad, 2023). Optimizing the ratios of constituents in polyherbal formulations are crucial to boost antioxidant efficacy for possible therapeutic uses especially for the treatment for disorders linked to oxidative stress. Synergistic interactions are not consistent across antioxidant pathways, interaction effects between the components in polyherbal formulations can show antagonistic effects </w:t>
      </w:r>
      <w:proofErr w:type="gramStart"/>
      <w:r w:rsidRPr="00437B84">
        <w:rPr>
          <w:rFonts w:ascii="Times New Roman" w:eastAsia="Times New Roman" w:hAnsi="Times New Roman" w:cs="Times New Roman"/>
          <w:kern w:val="0"/>
          <w:lang w:eastAsia="en-IN"/>
          <w14:ligatures w14:val="none"/>
        </w:rPr>
        <w:t>too.(</w:t>
      </w:r>
      <w:proofErr w:type="spellStart"/>
      <w:proofErr w:type="gramEnd"/>
      <w:r w:rsidRPr="00437B84">
        <w:rPr>
          <w:rFonts w:ascii="Times New Roman" w:eastAsia="Times New Roman" w:hAnsi="Times New Roman" w:cs="Times New Roman"/>
          <w:kern w:val="0"/>
          <w:lang w:eastAsia="en-IN"/>
          <w14:ligatures w14:val="none"/>
        </w:rPr>
        <w:t>Hartanti</w:t>
      </w:r>
      <w:proofErr w:type="spellEnd"/>
      <w:r w:rsidRPr="00437B84">
        <w:rPr>
          <w:rFonts w:ascii="Times New Roman" w:eastAsia="Times New Roman" w:hAnsi="Times New Roman" w:cs="Times New Roman"/>
          <w:kern w:val="0"/>
          <w:lang w:eastAsia="en-IN"/>
          <w14:ligatures w14:val="none"/>
        </w:rPr>
        <w:t xml:space="preserve"> &amp; Hamad, 2023). TC-16, a novel polyherbal formulation, as strong antioxidant activity and found to contain the key phytochemicals like alkaloids, flavonoids, terpenoids, saponins, and glycosides. The interactions in this formulations have antagonistic, synergistic or additive effects on antioxidant activity. The complexity of herb interactions in polyherbal formulations and potential health benefits of TC-16 can be optimized by more </w:t>
      </w:r>
      <w:proofErr w:type="gramStart"/>
      <w:r w:rsidRPr="00437B84">
        <w:rPr>
          <w:rFonts w:ascii="Times New Roman" w:eastAsia="Times New Roman" w:hAnsi="Times New Roman" w:cs="Times New Roman"/>
          <w:kern w:val="0"/>
          <w:lang w:eastAsia="en-IN"/>
          <w14:ligatures w14:val="none"/>
        </w:rPr>
        <w:t>researches.(</w:t>
      </w:r>
      <w:proofErr w:type="gramEnd"/>
      <w:r w:rsidRPr="00437B84">
        <w:rPr>
          <w:rFonts w:ascii="Times New Roman" w:eastAsia="Times New Roman" w:hAnsi="Times New Roman" w:cs="Times New Roman"/>
          <w:kern w:val="0"/>
          <w:lang w:eastAsia="en-IN"/>
          <w14:ligatures w14:val="none"/>
        </w:rPr>
        <w:t>Yap et al., 2023).</w:t>
      </w:r>
    </w:p>
    <w:p w14:paraId="1BFA71D6"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 xml:space="preserve">Notable differences between the phytochemical profiles of the final formulation and its individual plant ingredients were found in the </w:t>
      </w:r>
      <w:proofErr w:type="spellStart"/>
      <w:r w:rsidRPr="00437B84">
        <w:rPr>
          <w:rFonts w:ascii="Times New Roman" w:eastAsia="Times New Roman" w:hAnsi="Times New Roman" w:cs="Times New Roman"/>
          <w:kern w:val="0"/>
          <w:lang w:eastAsia="en-IN"/>
          <w14:ligatures w14:val="none"/>
        </w:rPr>
        <w:t>Gugguluthikthakam</w:t>
      </w:r>
      <w:proofErr w:type="spellEnd"/>
      <w:r w:rsidRPr="00437B84">
        <w:rPr>
          <w:rFonts w:ascii="Times New Roman" w:eastAsia="Times New Roman" w:hAnsi="Times New Roman" w:cs="Times New Roman"/>
          <w:kern w:val="0"/>
          <w:lang w:eastAsia="en-IN"/>
          <w14:ligatures w14:val="none"/>
        </w:rPr>
        <w:t xml:space="preserve"> Kashayam (GTK) using HPTLC and detailed fingerprinting and spectrophotometric assays. During the formulation's manufacture, phytoconstituents interacted both antagonistically and synergistically, resulting in chemical changes and the accumulation </w:t>
      </w:r>
      <w:r w:rsidRPr="00437B84">
        <w:rPr>
          <w:rFonts w:ascii="Times New Roman" w:eastAsia="Times New Roman" w:hAnsi="Times New Roman" w:cs="Times New Roman"/>
          <w:kern w:val="0"/>
          <w:lang w:eastAsia="en-IN"/>
          <w14:ligatures w14:val="none"/>
        </w:rPr>
        <w:lastRenderedPageBreak/>
        <w:t xml:space="preserve">of bioactive molecules that are specific to </w:t>
      </w:r>
      <w:proofErr w:type="gramStart"/>
      <w:r w:rsidRPr="00437B84">
        <w:rPr>
          <w:rFonts w:ascii="Times New Roman" w:eastAsia="Times New Roman" w:hAnsi="Times New Roman" w:cs="Times New Roman"/>
          <w:kern w:val="0"/>
          <w:lang w:eastAsia="en-IN"/>
          <w14:ligatures w14:val="none"/>
        </w:rPr>
        <w:t>GTK.(</w:t>
      </w:r>
      <w:proofErr w:type="gramEnd"/>
      <w:r w:rsidRPr="00437B84">
        <w:rPr>
          <w:rFonts w:ascii="Times New Roman" w:eastAsia="Times New Roman" w:hAnsi="Times New Roman" w:cs="Times New Roman"/>
          <w:kern w:val="0"/>
          <w:lang w:eastAsia="en-IN"/>
          <w14:ligatures w14:val="none"/>
        </w:rPr>
        <w:t xml:space="preserve">C. Sulaiman et al., 2023). The interaction effects on antioxidant activity of four herbal extracts lemongrass, curry leaves, ginger, and turmeric were examined </w:t>
      </w:r>
      <w:proofErr w:type="spellStart"/>
      <w:r w:rsidRPr="00437B84">
        <w:rPr>
          <w:rFonts w:ascii="Times New Roman" w:eastAsia="Times New Roman" w:hAnsi="Times New Roman" w:cs="Times New Roman"/>
          <w:kern w:val="0"/>
          <w:lang w:eastAsia="en-IN"/>
          <w14:ligatures w14:val="none"/>
        </w:rPr>
        <w:t>inorder</w:t>
      </w:r>
      <w:proofErr w:type="spellEnd"/>
      <w:r w:rsidRPr="00437B84">
        <w:rPr>
          <w:rFonts w:ascii="Times New Roman" w:eastAsia="Times New Roman" w:hAnsi="Times New Roman" w:cs="Times New Roman"/>
          <w:kern w:val="0"/>
          <w:lang w:eastAsia="en-IN"/>
          <w14:ligatures w14:val="none"/>
        </w:rPr>
        <w:t xml:space="preserve"> to formulate these herbals in a favourable and effective proportion. A 1:1 combination of turmeric and ginger showed a strong synergistic effect in DPPH but an antagonistic effect in FRAP. A mixture of lemongrass and curry leaves showed the best antioxidant activity, surpassing others in both assays. 53.7% lemongrass, 43.4% curry leaves, 2.9% ginger, and no turmeric make up the ideal </w:t>
      </w:r>
      <w:proofErr w:type="gramStart"/>
      <w:r w:rsidRPr="00437B84">
        <w:rPr>
          <w:rFonts w:ascii="Times New Roman" w:eastAsia="Times New Roman" w:hAnsi="Times New Roman" w:cs="Times New Roman"/>
          <w:kern w:val="0"/>
          <w:lang w:eastAsia="en-IN"/>
          <w14:ligatures w14:val="none"/>
        </w:rPr>
        <w:t>formulation.(</w:t>
      </w:r>
      <w:proofErr w:type="gramEnd"/>
      <w:r w:rsidRPr="00437B84">
        <w:rPr>
          <w:rFonts w:ascii="Times New Roman" w:eastAsia="Times New Roman" w:hAnsi="Times New Roman" w:cs="Times New Roman"/>
          <w:kern w:val="0"/>
          <w:lang w:eastAsia="en-IN"/>
          <w14:ligatures w14:val="none"/>
        </w:rPr>
        <w:t>Rahim et al., 2020).</w:t>
      </w:r>
    </w:p>
    <w:p w14:paraId="71EDEEC3"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 xml:space="preserve">The finished formulation exhibits a distinct chemical profile compared to its individual components that can be revealed by tandem mass spectrometry, FTIR, and </w:t>
      </w:r>
      <w:proofErr w:type="gramStart"/>
      <w:r w:rsidRPr="00437B84">
        <w:rPr>
          <w:rFonts w:ascii="Times New Roman" w:eastAsia="Times New Roman" w:hAnsi="Times New Roman" w:cs="Times New Roman"/>
          <w:kern w:val="0"/>
          <w:lang w:eastAsia="en-IN"/>
          <w14:ligatures w14:val="none"/>
        </w:rPr>
        <w:t>HPTLC.(</w:t>
      </w:r>
      <w:proofErr w:type="gramEnd"/>
      <w:r w:rsidRPr="00437B84">
        <w:rPr>
          <w:rFonts w:ascii="Times New Roman" w:eastAsia="Times New Roman" w:hAnsi="Times New Roman" w:cs="Times New Roman"/>
          <w:kern w:val="0"/>
          <w:lang w:eastAsia="en-IN"/>
          <w14:ligatures w14:val="none"/>
        </w:rPr>
        <w:t xml:space="preserve">C. T. Sulaiman et al., 2021). Diabetes is a chronic metabolic disease that is becoming more and more common and is defined by elevated blood glucose levels. Even though there are synthetic antidiabetic medications, their usage is restricted because of their negative side effects. Common in Ayurvedic medicine, polyherbal formulations take use of the synergistic interactions amongst herbal ingredients to promote therapeutic efficacy and decrease side effects through combined pharmacodynamic and pharmacokinetic actions and improved bioavailability. These compositions' strong antidiabetic and antioxidant properties are supported by a number of research, including in vitro and in vivo </w:t>
      </w:r>
      <w:proofErr w:type="gramStart"/>
      <w:r w:rsidRPr="00437B84">
        <w:rPr>
          <w:rFonts w:ascii="Times New Roman" w:eastAsia="Times New Roman" w:hAnsi="Times New Roman" w:cs="Times New Roman"/>
          <w:kern w:val="0"/>
          <w:lang w:eastAsia="en-IN"/>
          <w14:ligatures w14:val="none"/>
        </w:rPr>
        <w:t>models.(</w:t>
      </w:r>
      <w:proofErr w:type="gramEnd"/>
      <w:r w:rsidRPr="00437B84">
        <w:rPr>
          <w:rFonts w:ascii="Times New Roman" w:eastAsia="Times New Roman" w:hAnsi="Times New Roman" w:cs="Times New Roman"/>
          <w:kern w:val="0"/>
          <w:lang w:eastAsia="en-IN"/>
          <w14:ligatures w14:val="none"/>
        </w:rPr>
        <w:t>Pande &amp; Chandel, n.d.).</w:t>
      </w:r>
    </w:p>
    <w:p w14:paraId="4FEDAEBE"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437B84">
        <w:rPr>
          <w:rFonts w:ascii="Times New Roman" w:eastAsia="Times New Roman" w:hAnsi="Times New Roman" w:cs="Times New Roman"/>
          <w:kern w:val="0"/>
          <w:lang w:eastAsia="en-IN"/>
          <w14:ligatures w14:val="none"/>
        </w:rPr>
        <w:t>Ridayarishta</w:t>
      </w:r>
      <w:proofErr w:type="spellEnd"/>
      <w:r w:rsidRPr="00437B84">
        <w:rPr>
          <w:rFonts w:ascii="Times New Roman" w:eastAsia="Times New Roman" w:hAnsi="Times New Roman" w:cs="Times New Roman"/>
          <w:kern w:val="0"/>
          <w:lang w:eastAsia="en-IN"/>
          <w14:ligatures w14:val="none"/>
        </w:rPr>
        <w:t xml:space="preserve">, a traditional Ayurvedic liquid formulation standardized by fluorescence-based assays, for important phytochemicals such </w:t>
      </w:r>
      <w:proofErr w:type="spellStart"/>
      <w:r w:rsidRPr="00437B84">
        <w:rPr>
          <w:rFonts w:ascii="Times New Roman" w:eastAsia="Times New Roman" w:hAnsi="Times New Roman" w:cs="Times New Roman"/>
          <w:kern w:val="0"/>
          <w:lang w:eastAsia="en-IN"/>
          <w14:ligatures w14:val="none"/>
        </w:rPr>
        <w:t>arjunolic</w:t>
      </w:r>
      <w:proofErr w:type="spellEnd"/>
      <w:r w:rsidRPr="00437B84">
        <w:rPr>
          <w:rFonts w:ascii="Times New Roman" w:eastAsia="Times New Roman" w:hAnsi="Times New Roman" w:cs="Times New Roman"/>
          <w:kern w:val="0"/>
          <w:lang w:eastAsia="en-IN"/>
          <w14:ligatures w14:val="none"/>
        </w:rPr>
        <w:t xml:space="preserve"> acid, berberine, </w:t>
      </w:r>
      <w:proofErr w:type="spellStart"/>
      <w:r w:rsidRPr="00437B84">
        <w:rPr>
          <w:rFonts w:ascii="Times New Roman" w:eastAsia="Times New Roman" w:hAnsi="Times New Roman" w:cs="Times New Roman"/>
          <w:kern w:val="0"/>
          <w:lang w:eastAsia="en-IN"/>
          <w14:ligatures w14:val="none"/>
        </w:rPr>
        <w:t>piperine</w:t>
      </w:r>
      <w:proofErr w:type="spellEnd"/>
      <w:r w:rsidRPr="00437B84">
        <w:rPr>
          <w:rFonts w:ascii="Times New Roman" w:eastAsia="Times New Roman" w:hAnsi="Times New Roman" w:cs="Times New Roman"/>
          <w:kern w:val="0"/>
          <w:lang w:eastAsia="en-IN"/>
          <w14:ligatures w14:val="none"/>
        </w:rPr>
        <w:t xml:space="preserve">, and found having negligible inhibitory effects on important cytochrome P450 </w:t>
      </w:r>
      <w:proofErr w:type="gramStart"/>
      <w:r w:rsidRPr="00437B84">
        <w:rPr>
          <w:rFonts w:ascii="Times New Roman" w:eastAsia="Times New Roman" w:hAnsi="Times New Roman" w:cs="Times New Roman"/>
          <w:kern w:val="0"/>
          <w:lang w:eastAsia="en-IN"/>
          <w14:ligatures w14:val="none"/>
        </w:rPr>
        <w:t>enzymes.(</w:t>
      </w:r>
      <w:proofErr w:type="gramEnd"/>
      <w:r w:rsidRPr="00437B84">
        <w:rPr>
          <w:rFonts w:ascii="Times New Roman" w:eastAsia="Times New Roman" w:hAnsi="Times New Roman" w:cs="Times New Roman"/>
          <w:kern w:val="0"/>
          <w:lang w:eastAsia="en-IN"/>
          <w14:ligatures w14:val="none"/>
        </w:rPr>
        <w:t xml:space="preserve">Pandit et al., 2017). There are also possibilities of drug interactions while using ayurvedic and allopathic medications at the same time. Ayurvedic formulations including a variety of herbal drugs can interact with prescription medication by altering humoral responses, metabolism and absorption frequency through pharmacodynamic effects. Safety and potential positive synergistic effects can be maximized which includes thorough drug history, suitable timing, and sales </w:t>
      </w:r>
      <w:proofErr w:type="gramStart"/>
      <w:r w:rsidRPr="00437B84">
        <w:rPr>
          <w:rFonts w:ascii="Times New Roman" w:eastAsia="Times New Roman" w:hAnsi="Times New Roman" w:cs="Times New Roman"/>
          <w:kern w:val="0"/>
          <w:lang w:eastAsia="en-IN"/>
          <w14:ligatures w14:val="none"/>
        </w:rPr>
        <w:t>regulation.(</w:t>
      </w:r>
      <w:proofErr w:type="gramEnd"/>
      <w:r w:rsidRPr="00437B84">
        <w:rPr>
          <w:rFonts w:ascii="Times New Roman" w:eastAsia="Times New Roman" w:hAnsi="Times New Roman" w:cs="Times New Roman"/>
          <w:kern w:val="0"/>
          <w:lang w:eastAsia="en-IN"/>
          <w14:ligatures w14:val="none"/>
        </w:rPr>
        <w:t>Dhanya &amp; Shukla, 2017).</w:t>
      </w:r>
    </w:p>
    <w:p w14:paraId="6C558B42"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 xml:space="preserve">The therapeutic efficacy can be improved when combining multiple herbs together in ayurvedic </w:t>
      </w:r>
      <w:proofErr w:type="gramStart"/>
      <w:r w:rsidRPr="00437B84">
        <w:rPr>
          <w:rFonts w:ascii="Times New Roman" w:eastAsia="Times New Roman" w:hAnsi="Times New Roman" w:cs="Times New Roman"/>
          <w:kern w:val="0"/>
          <w:lang w:eastAsia="en-IN"/>
          <w14:ligatures w14:val="none"/>
        </w:rPr>
        <w:t>formulations.(</w:t>
      </w:r>
      <w:proofErr w:type="gramEnd"/>
      <w:r w:rsidRPr="00437B84">
        <w:rPr>
          <w:rFonts w:ascii="Times New Roman" w:eastAsia="Times New Roman" w:hAnsi="Times New Roman" w:cs="Times New Roman"/>
          <w:kern w:val="0"/>
          <w:lang w:eastAsia="en-IN"/>
          <w14:ligatures w14:val="none"/>
        </w:rPr>
        <w:t xml:space="preserve">Mukherjee et al., 2018). Even if synergistic interaction may </w:t>
      </w:r>
      <w:proofErr w:type="spellStart"/>
      <w:proofErr w:type="gramStart"/>
      <w:r w:rsidRPr="00437B84">
        <w:rPr>
          <w:rFonts w:ascii="Times New Roman" w:eastAsia="Times New Roman" w:hAnsi="Times New Roman" w:cs="Times New Roman"/>
          <w:kern w:val="0"/>
          <w:lang w:eastAsia="en-IN"/>
          <w14:ligatures w14:val="none"/>
        </w:rPr>
        <w:t>provides</w:t>
      </w:r>
      <w:proofErr w:type="spellEnd"/>
      <w:proofErr w:type="gramEnd"/>
      <w:r w:rsidRPr="00437B84">
        <w:rPr>
          <w:rFonts w:ascii="Times New Roman" w:eastAsia="Times New Roman" w:hAnsi="Times New Roman" w:cs="Times New Roman"/>
          <w:kern w:val="0"/>
          <w:lang w:eastAsia="en-IN"/>
          <w14:ligatures w14:val="none"/>
        </w:rPr>
        <w:t xml:space="preserve"> better therapeutic outcomes, caution may be taken in the area of antimicrobials, anticancer medicines and </w:t>
      </w:r>
      <w:proofErr w:type="spellStart"/>
      <w:r w:rsidRPr="00437B84">
        <w:rPr>
          <w:rFonts w:ascii="Times New Roman" w:eastAsia="Times New Roman" w:hAnsi="Times New Roman" w:cs="Times New Roman"/>
          <w:kern w:val="0"/>
          <w:lang w:eastAsia="en-IN"/>
          <w14:ligatures w14:val="none"/>
        </w:rPr>
        <w:t>hypoglycemics</w:t>
      </w:r>
      <w:proofErr w:type="spellEnd"/>
      <w:r w:rsidRPr="00437B84">
        <w:rPr>
          <w:rFonts w:ascii="Times New Roman" w:eastAsia="Times New Roman" w:hAnsi="Times New Roman" w:cs="Times New Roman"/>
          <w:kern w:val="0"/>
          <w:lang w:eastAsia="en-IN"/>
          <w14:ligatures w14:val="none"/>
        </w:rPr>
        <w:t xml:space="preserve">, since multiherbal formulations also have the chance for negative effects too. It is crucial to comprehend these interactions in order to maximize therapeutic advantages and prevent </w:t>
      </w:r>
      <w:proofErr w:type="gramStart"/>
      <w:r w:rsidRPr="00437B84">
        <w:rPr>
          <w:rFonts w:ascii="Times New Roman" w:eastAsia="Times New Roman" w:hAnsi="Times New Roman" w:cs="Times New Roman"/>
          <w:kern w:val="0"/>
          <w:lang w:eastAsia="en-IN"/>
          <w14:ligatures w14:val="none"/>
        </w:rPr>
        <w:t>harm.(</w:t>
      </w:r>
      <w:proofErr w:type="gramEnd"/>
      <w:r w:rsidRPr="00437B84">
        <w:rPr>
          <w:rFonts w:ascii="Times New Roman" w:eastAsia="Times New Roman" w:hAnsi="Times New Roman" w:cs="Times New Roman"/>
          <w:kern w:val="0"/>
          <w:lang w:eastAsia="en-IN"/>
          <w14:ligatures w14:val="none"/>
        </w:rPr>
        <w:t>Kapoor &amp; Singla, 2015).</w:t>
      </w:r>
    </w:p>
    <w:p w14:paraId="28CC53D2"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 xml:space="preserve">Herbal extracts have better therapeutic benefits than the sum of their constituent parts. The whole plant extracts are often be more potent than separate active substances and have lessened side effects. The analysis of each </w:t>
      </w:r>
      <w:proofErr w:type="gramStart"/>
      <w:r w:rsidRPr="00437B84">
        <w:rPr>
          <w:rFonts w:ascii="Times New Roman" w:eastAsia="Times New Roman" w:hAnsi="Times New Roman" w:cs="Times New Roman"/>
          <w:kern w:val="0"/>
          <w:lang w:eastAsia="en-IN"/>
          <w14:ligatures w14:val="none"/>
        </w:rPr>
        <w:t>components</w:t>
      </w:r>
      <w:proofErr w:type="gramEnd"/>
      <w:r w:rsidRPr="00437B84">
        <w:rPr>
          <w:rFonts w:ascii="Times New Roman" w:eastAsia="Times New Roman" w:hAnsi="Times New Roman" w:cs="Times New Roman"/>
          <w:kern w:val="0"/>
          <w:lang w:eastAsia="en-IN"/>
          <w14:ligatures w14:val="none"/>
        </w:rPr>
        <w:t xml:space="preserve"> separately can be found very difficult to evaluate synergy of herbal </w:t>
      </w:r>
      <w:proofErr w:type="gramStart"/>
      <w:r w:rsidRPr="00437B84">
        <w:rPr>
          <w:rFonts w:ascii="Times New Roman" w:eastAsia="Times New Roman" w:hAnsi="Times New Roman" w:cs="Times New Roman"/>
          <w:kern w:val="0"/>
          <w:lang w:eastAsia="en-IN"/>
          <w14:ligatures w14:val="none"/>
        </w:rPr>
        <w:t>medicines.(</w:t>
      </w:r>
      <w:proofErr w:type="gramEnd"/>
      <w:r w:rsidRPr="00437B84">
        <w:rPr>
          <w:rFonts w:ascii="Times New Roman" w:eastAsia="Times New Roman" w:hAnsi="Times New Roman" w:cs="Times New Roman"/>
          <w:kern w:val="0"/>
          <w:lang w:eastAsia="en-IN"/>
          <w14:ligatures w14:val="none"/>
        </w:rPr>
        <w:t>Williamson, 2001).</w:t>
      </w:r>
    </w:p>
    <w:p w14:paraId="76B98BC1" w14:textId="4079F246" w:rsidR="00496B4F" w:rsidRPr="00946F1D" w:rsidRDefault="00042F2F"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 xml:space="preserve">5. </w:t>
      </w:r>
      <w:r w:rsidR="00496B4F" w:rsidRPr="00946F1D">
        <w:rPr>
          <w:rFonts w:ascii="Times New Roman" w:eastAsia="Times New Roman" w:hAnsi="Times New Roman" w:cs="Times New Roman"/>
          <w:b/>
          <w:bCs/>
          <w:kern w:val="0"/>
          <w:lang w:eastAsia="en-IN"/>
          <w14:ligatures w14:val="none"/>
        </w:rPr>
        <w:t>Antiarthritic property of Kwatha</w:t>
      </w:r>
    </w:p>
    <w:p w14:paraId="1CB5D4CA" w14:textId="77777777" w:rsidR="0084218A" w:rsidRPr="00946F1D" w:rsidRDefault="0084218A" w:rsidP="00946F1D">
      <w:pPr>
        <w:spacing w:after="0" w:line="360" w:lineRule="auto"/>
        <w:jc w:val="both"/>
        <w:rPr>
          <w:rFonts w:ascii="Times New Roman" w:eastAsia="Times New Roman" w:hAnsi="Times New Roman" w:cs="Times New Roman"/>
          <w:b/>
          <w:bCs/>
          <w:kern w:val="0"/>
          <w:lang w:eastAsia="en-IN"/>
          <w14:ligatures w14:val="none"/>
        </w:rPr>
      </w:pPr>
    </w:p>
    <w:p w14:paraId="26C1D728"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lastRenderedPageBreak/>
        <w:t>BDK (</w:t>
      </w:r>
      <w:proofErr w:type="spellStart"/>
      <w:r w:rsidRPr="00437B84">
        <w:rPr>
          <w:rFonts w:ascii="Times New Roman" w:eastAsia="Times New Roman" w:hAnsi="Times New Roman" w:cs="Times New Roman"/>
          <w:kern w:val="0"/>
          <w:lang w:eastAsia="en-IN"/>
          <w14:ligatures w14:val="none"/>
        </w:rPr>
        <w:t>Bhadradarvadi</w:t>
      </w:r>
      <w:proofErr w:type="spellEnd"/>
      <w:r w:rsidRPr="00437B84">
        <w:rPr>
          <w:rFonts w:ascii="Times New Roman" w:eastAsia="Times New Roman" w:hAnsi="Times New Roman" w:cs="Times New Roman"/>
          <w:kern w:val="0"/>
          <w:lang w:eastAsia="en-IN"/>
          <w14:ligatures w14:val="none"/>
        </w:rPr>
        <w:t xml:space="preserve"> Kashayam) possesses potent anti-inflammatory properties, which may provide a valuable therapeutic approach for managing autoimmune disorders, particularly rheumatoid arthritis, through the modulation of immune response mechanisms and inflammatory pathways responsible for chronic </w:t>
      </w:r>
      <w:proofErr w:type="gramStart"/>
      <w:r w:rsidRPr="00437B84">
        <w:rPr>
          <w:rFonts w:ascii="Times New Roman" w:eastAsia="Times New Roman" w:hAnsi="Times New Roman" w:cs="Times New Roman"/>
          <w:kern w:val="0"/>
          <w:lang w:eastAsia="en-IN"/>
          <w14:ligatures w14:val="none"/>
        </w:rPr>
        <w:t>inflammation.(</w:t>
      </w:r>
      <w:proofErr w:type="gramEnd"/>
      <w:r w:rsidRPr="00437B84">
        <w:rPr>
          <w:rFonts w:ascii="Times New Roman" w:eastAsia="Times New Roman" w:hAnsi="Times New Roman" w:cs="Times New Roman"/>
          <w:kern w:val="0"/>
          <w:lang w:eastAsia="en-IN"/>
          <w14:ligatures w14:val="none"/>
        </w:rPr>
        <w:t>Ali &amp; Sundararajan, 2024).</w:t>
      </w:r>
    </w:p>
    <w:p w14:paraId="7567E2E2"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 xml:space="preserve">The molecular effects of </w:t>
      </w:r>
      <w:proofErr w:type="spellStart"/>
      <w:r w:rsidRPr="00437B84">
        <w:rPr>
          <w:rFonts w:ascii="Times New Roman" w:eastAsia="Times New Roman" w:hAnsi="Times New Roman" w:cs="Times New Roman"/>
          <w:kern w:val="0"/>
          <w:lang w:eastAsia="en-IN"/>
          <w14:ligatures w14:val="none"/>
        </w:rPr>
        <w:t>anti arthritic</w:t>
      </w:r>
      <w:proofErr w:type="spellEnd"/>
      <w:r w:rsidRPr="00437B84">
        <w:rPr>
          <w:rFonts w:ascii="Times New Roman" w:eastAsia="Times New Roman" w:hAnsi="Times New Roman" w:cs="Times New Roman"/>
          <w:kern w:val="0"/>
          <w:lang w:eastAsia="en-IN"/>
          <w14:ligatures w14:val="none"/>
        </w:rPr>
        <w:t xml:space="preserve"> effects of three classical ayurvedic polyherbal formulations </w:t>
      </w:r>
      <w:proofErr w:type="spellStart"/>
      <w:r w:rsidRPr="00437B84">
        <w:rPr>
          <w:rFonts w:ascii="Times New Roman" w:eastAsia="Times New Roman" w:hAnsi="Times New Roman" w:cs="Times New Roman"/>
          <w:kern w:val="0"/>
          <w:lang w:eastAsia="en-IN"/>
          <w14:ligatures w14:val="none"/>
        </w:rPr>
        <w:t>Balaguluchiadi</w:t>
      </w:r>
      <w:proofErr w:type="spellEnd"/>
      <w:r w:rsidRPr="00437B84">
        <w:rPr>
          <w:rFonts w:ascii="Times New Roman" w:eastAsia="Times New Roman" w:hAnsi="Times New Roman" w:cs="Times New Roman"/>
          <w:kern w:val="0"/>
          <w:lang w:eastAsia="en-IN"/>
          <w14:ligatures w14:val="none"/>
        </w:rPr>
        <w:t xml:space="preserve"> Kashayam (</w:t>
      </w:r>
      <w:proofErr w:type="spellStart"/>
      <w:r w:rsidRPr="00437B84">
        <w:rPr>
          <w:rFonts w:ascii="Times New Roman" w:eastAsia="Times New Roman" w:hAnsi="Times New Roman" w:cs="Times New Roman"/>
          <w:kern w:val="0"/>
          <w:lang w:eastAsia="en-IN"/>
          <w14:ligatures w14:val="none"/>
        </w:rPr>
        <w:t>BgK</w:t>
      </w:r>
      <w:proofErr w:type="spellEnd"/>
      <w:r w:rsidRPr="00437B84">
        <w:rPr>
          <w:rFonts w:ascii="Times New Roman" w:eastAsia="Times New Roman" w:hAnsi="Times New Roman" w:cs="Times New Roman"/>
          <w:kern w:val="0"/>
          <w:lang w:eastAsia="en-IN"/>
          <w14:ligatures w14:val="none"/>
        </w:rPr>
        <w:t xml:space="preserve">), </w:t>
      </w:r>
      <w:proofErr w:type="spellStart"/>
      <w:r w:rsidRPr="00437B84">
        <w:rPr>
          <w:rFonts w:ascii="Times New Roman" w:eastAsia="Times New Roman" w:hAnsi="Times New Roman" w:cs="Times New Roman"/>
          <w:kern w:val="0"/>
          <w:lang w:eastAsia="en-IN"/>
          <w14:ligatures w14:val="none"/>
        </w:rPr>
        <w:t>Punarnavadi</w:t>
      </w:r>
      <w:proofErr w:type="spellEnd"/>
      <w:r w:rsidRPr="00437B84">
        <w:rPr>
          <w:rFonts w:ascii="Times New Roman" w:eastAsia="Times New Roman" w:hAnsi="Times New Roman" w:cs="Times New Roman"/>
          <w:kern w:val="0"/>
          <w:lang w:eastAsia="en-IN"/>
          <w14:ligatures w14:val="none"/>
        </w:rPr>
        <w:t xml:space="preserve"> Kashayam (</w:t>
      </w:r>
      <w:proofErr w:type="spellStart"/>
      <w:r w:rsidRPr="00437B84">
        <w:rPr>
          <w:rFonts w:ascii="Times New Roman" w:eastAsia="Times New Roman" w:hAnsi="Times New Roman" w:cs="Times New Roman"/>
          <w:kern w:val="0"/>
          <w:lang w:eastAsia="en-IN"/>
          <w14:ligatures w14:val="none"/>
        </w:rPr>
        <w:t>PuK</w:t>
      </w:r>
      <w:proofErr w:type="spellEnd"/>
      <w:r w:rsidRPr="00437B84">
        <w:rPr>
          <w:rFonts w:ascii="Times New Roman" w:eastAsia="Times New Roman" w:hAnsi="Times New Roman" w:cs="Times New Roman"/>
          <w:kern w:val="0"/>
          <w:lang w:eastAsia="en-IN"/>
          <w14:ligatures w14:val="none"/>
        </w:rPr>
        <w:t xml:space="preserve">), and </w:t>
      </w:r>
      <w:proofErr w:type="spellStart"/>
      <w:r w:rsidRPr="00437B84">
        <w:rPr>
          <w:rFonts w:ascii="Times New Roman" w:eastAsia="Times New Roman" w:hAnsi="Times New Roman" w:cs="Times New Roman"/>
          <w:kern w:val="0"/>
          <w:lang w:eastAsia="en-IN"/>
          <w14:ligatures w14:val="none"/>
        </w:rPr>
        <w:t>Gugguluthiktam</w:t>
      </w:r>
      <w:proofErr w:type="spellEnd"/>
      <w:r w:rsidRPr="00437B84">
        <w:rPr>
          <w:rFonts w:ascii="Times New Roman" w:eastAsia="Times New Roman" w:hAnsi="Times New Roman" w:cs="Times New Roman"/>
          <w:kern w:val="0"/>
          <w:lang w:eastAsia="en-IN"/>
          <w14:ligatures w14:val="none"/>
        </w:rPr>
        <w:t xml:space="preserve"> Kashayam (</w:t>
      </w:r>
      <w:proofErr w:type="spellStart"/>
      <w:r w:rsidRPr="00437B84">
        <w:rPr>
          <w:rFonts w:ascii="Times New Roman" w:eastAsia="Times New Roman" w:hAnsi="Times New Roman" w:cs="Times New Roman"/>
          <w:kern w:val="0"/>
          <w:lang w:eastAsia="en-IN"/>
          <w14:ligatures w14:val="none"/>
        </w:rPr>
        <w:t>GuK</w:t>
      </w:r>
      <w:proofErr w:type="spellEnd"/>
      <w:r w:rsidRPr="00437B84">
        <w:rPr>
          <w:rFonts w:ascii="Times New Roman" w:eastAsia="Times New Roman" w:hAnsi="Times New Roman" w:cs="Times New Roman"/>
          <w:kern w:val="0"/>
          <w:lang w:eastAsia="en-IN"/>
          <w14:ligatures w14:val="none"/>
        </w:rPr>
        <w:t xml:space="preserve">) has been assessed. The histopathological analysis, cytokine profiling, and gene expression assessments confirmed the molecular effects which leads to the significant reduction in the proinflammatory mediators such as TNF-α, IL-1β, COX-2, and </w:t>
      </w:r>
      <w:proofErr w:type="spellStart"/>
      <w:r w:rsidRPr="00437B84">
        <w:rPr>
          <w:rFonts w:ascii="Times New Roman" w:eastAsia="Times New Roman" w:hAnsi="Times New Roman" w:cs="Times New Roman"/>
          <w:kern w:val="0"/>
          <w:lang w:eastAsia="en-IN"/>
          <w14:ligatures w14:val="none"/>
        </w:rPr>
        <w:t>iNOS</w:t>
      </w:r>
      <w:proofErr w:type="spellEnd"/>
      <w:r w:rsidRPr="00437B84">
        <w:rPr>
          <w:rFonts w:ascii="Times New Roman" w:eastAsia="Times New Roman" w:hAnsi="Times New Roman" w:cs="Times New Roman"/>
          <w:kern w:val="0"/>
          <w:lang w:eastAsia="en-IN"/>
          <w14:ligatures w14:val="none"/>
        </w:rPr>
        <w:t xml:space="preserve">, and promotes the expression of the anti-inflammatory cytokine IL-10. For inflammatory joint condition, and for managing rheumatoid arthritis these formulations are utmost </w:t>
      </w:r>
      <w:proofErr w:type="gramStart"/>
      <w:r w:rsidRPr="00437B84">
        <w:rPr>
          <w:rFonts w:ascii="Times New Roman" w:eastAsia="Times New Roman" w:hAnsi="Times New Roman" w:cs="Times New Roman"/>
          <w:kern w:val="0"/>
          <w:lang w:eastAsia="en-IN"/>
          <w14:ligatures w14:val="none"/>
        </w:rPr>
        <w:t>effective.(</w:t>
      </w:r>
      <w:proofErr w:type="gramEnd"/>
      <w:r w:rsidRPr="00437B84">
        <w:rPr>
          <w:rFonts w:ascii="Times New Roman" w:eastAsia="Times New Roman" w:hAnsi="Times New Roman" w:cs="Times New Roman"/>
          <w:kern w:val="0"/>
          <w:lang w:eastAsia="en-IN"/>
          <w14:ligatures w14:val="none"/>
        </w:rPr>
        <w:t>Aswathy et al., 2021).</w:t>
      </w:r>
    </w:p>
    <w:p w14:paraId="2D77F1A3"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 xml:space="preserve">Sahacharadi Kashayam have anti-arthritic potential, all the ingredients in this decoction are therapeutically effective in the treatment of vata related disorders. Further study needed to diminish the inflammatory recurrence, longer treatment periods and greater </w:t>
      </w:r>
      <w:proofErr w:type="gramStart"/>
      <w:r w:rsidRPr="00437B84">
        <w:rPr>
          <w:rFonts w:ascii="Times New Roman" w:eastAsia="Times New Roman" w:hAnsi="Times New Roman" w:cs="Times New Roman"/>
          <w:kern w:val="0"/>
          <w:lang w:eastAsia="en-IN"/>
          <w14:ligatures w14:val="none"/>
        </w:rPr>
        <w:t>doses.(</w:t>
      </w:r>
      <w:proofErr w:type="gramEnd"/>
      <w:r w:rsidRPr="00437B84">
        <w:rPr>
          <w:rFonts w:ascii="Times New Roman" w:eastAsia="Times New Roman" w:hAnsi="Times New Roman" w:cs="Times New Roman"/>
          <w:kern w:val="0"/>
          <w:lang w:eastAsia="en-IN"/>
          <w14:ligatures w14:val="none"/>
        </w:rPr>
        <w:t xml:space="preserve">P. P. Kumar et al., 2020). The polyherbal formulation consisting of the dried fruits of </w:t>
      </w:r>
      <w:proofErr w:type="spellStart"/>
      <w:r w:rsidRPr="00437B84">
        <w:rPr>
          <w:rFonts w:ascii="Times New Roman" w:eastAsia="Times New Roman" w:hAnsi="Times New Roman" w:cs="Times New Roman"/>
          <w:i/>
          <w:iCs/>
          <w:kern w:val="0"/>
          <w:lang w:eastAsia="en-IN"/>
          <w14:ligatures w14:val="none"/>
        </w:rPr>
        <w:t>Emblica</w:t>
      </w:r>
      <w:proofErr w:type="spellEnd"/>
      <w:r w:rsidRPr="00437B84">
        <w:rPr>
          <w:rFonts w:ascii="Times New Roman" w:eastAsia="Times New Roman" w:hAnsi="Times New Roman" w:cs="Times New Roman"/>
          <w:i/>
          <w:iCs/>
          <w:kern w:val="0"/>
          <w:lang w:eastAsia="en-IN"/>
          <w14:ligatures w14:val="none"/>
        </w:rPr>
        <w:t xml:space="preserve"> officinalis</w:t>
      </w:r>
      <w:r w:rsidRPr="00437B84">
        <w:rPr>
          <w:rFonts w:ascii="Times New Roman" w:eastAsia="Times New Roman" w:hAnsi="Times New Roman" w:cs="Times New Roman"/>
          <w:kern w:val="0"/>
          <w:lang w:eastAsia="en-IN"/>
          <w14:ligatures w14:val="none"/>
        </w:rPr>
        <w:t xml:space="preserve"> and the seed coat and kernel of </w:t>
      </w:r>
      <w:r w:rsidRPr="00437B84">
        <w:rPr>
          <w:rFonts w:ascii="Times New Roman" w:eastAsia="Times New Roman" w:hAnsi="Times New Roman" w:cs="Times New Roman"/>
          <w:i/>
          <w:iCs/>
          <w:kern w:val="0"/>
          <w:lang w:eastAsia="en-IN"/>
          <w14:ligatures w14:val="none"/>
        </w:rPr>
        <w:t xml:space="preserve">Terminalia </w:t>
      </w:r>
      <w:proofErr w:type="spellStart"/>
      <w:r w:rsidRPr="00437B84">
        <w:rPr>
          <w:rFonts w:ascii="Times New Roman" w:eastAsia="Times New Roman" w:hAnsi="Times New Roman" w:cs="Times New Roman"/>
          <w:i/>
          <w:iCs/>
          <w:kern w:val="0"/>
          <w:lang w:eastAsia="en-IN"/>
          <w14:ligatures w14:val="none"/>
        </w:rPr>
        <w:t>chebula</w:t>
      </w:r>
      <w:proofErr w:type="spellEnd"/>
      <w:r w:rsidRPr="00437B84">
        <w:rPr>
          <w:rFonts w:ascii="Times New Roman" w:eastAsia="Times New Roman" w:hAnsi="Times New Roman" w:cs="Times New Roman"/>
          <w:kern w:val="0"/>
          <w:lang w:eastAsia="en-IN"/>
          <w14:ligatures w14:val="none"/>
        </w:rPr>
        <w:t xml:space="preserve"> and </w:t>
      </w:r>
      <w:r w:rsidRPr="00437B84">
        <w:rPr>
          <w:rFonts w:ascii="Times New Roman" w:eastAsia="Times New Roman" w:hAnsi="Times New Roman" w:cs="Times New Roman"/>
          <w:i/>
          <w:iCs/>
          <w:kern w:val="0"/>
          <w:lang w:eastAsia="en-IN"/>
          <w14:ligatures w14:val="none"/>
        </w:rPr>
        <w:t xml:space="preserve">Terminalia </w:t>
      </w:r>
      <w:proofErr w:type="spellStart"/>
      <w:r w:rsidRPr="00437B84">
        <w:rPr>
          <w:rFonts w:ascii="Times New Roman" w:eastAsia="Times New Roman" w:hAnsi="Times New Roman" w:cs="Times New Roman"/>
          <w:i/>
          <w:iCs/>
          <w:kern w:val="0"/>
          <w:lang w:eastAsia="en-IN"/>
          <w14:ligatures w14:val="none"/>
        </w:rPr>
        <w:t>bellirica</w:t>
      </w:r>
      <w:proofErr w:type="spellEnd"/>
      <w:r w:rsidRPr="00437B84">
        <w:rPr>
          <w:rFonts w:ascii="Times New Roman" w:eastAsia="Times New Roman" w:hAnsi="Times New Roman" w:cs="Times New Roman"/>
          <w:kern w:val="0"/>
          <w:lang w:eastAsia="en-IN"/>
          <w14:ligatures w14:val="none"/>
        </w:rPr>
        <w:t xml:space="preserve"> indicates promising antiarthritic capabilities and may contribute to better health outcomes which protects against arthritis related inflammation and considerably reduce paw </w:t>
      </w:r>
      <w:proofErr w:type="spellStart"/>
      <w:proofErr w:type="gramStart"/>
      <w:r w:rsidRPr="00437B84">
        <w:rPr>
          <w:rFonts w:ascii="Times New Roman" w:eastAsia="Times New Roman" w:hAnsi="Times New Roman" w:cs="Times New Roman"/>
          <w:kern w:val="0"/>
          <w:lang w:eastAsia="en-IN"/>
          <w14:ligatures w14:val="none"/>
        </w:rPr>
        <w:t>edema</w:t>
      </w:r>
      <w:proofErr w:type="spellEnd"/>
      <w:r w:rsidRPr="00437B84">
        <w:rPr>
          <w:rFonts w:ascii="Times New Roman" w:eastAsia="Times New Roman" w:hAnsi="Times New Roman" w:cs="Times New Roman"/>
          <w:kern w:val="0"/>
          <w:lang w:eastAsia="en-IN"/>
          <w14:ligatures w14:val="none"/>
        </w:rPr>
        <w:t>.(</w:t>
      </w:r>
      <w:proofErr w:type="spellStart"/>
      <w:proofErr w:type="gramEnd"/>
      <w:r w:rsidRPr="00437B84">
        <w:rPr>
          <w:rFonts w:ascii="Times New Roman" w:eastAsia="Times New Roman" w:hAnsi="Times New Roman" w:cs="Times New Roman"/>
          <w:kern w:val="0"/>
          <w:lang w:eastAsia="en-IN"/>
          <w14:ligatures w14:val="none"/>
        </w:rPr>
        <w:t>Chimagave</w:t>
      </w:r>
      <w:proofErr w:type="spellEnd"/>
      <w:r w:rsidRPr="00437B84">
        <w:rPr>
          <w:rFonts w:ascii="Times New Roman" w:eastAsia="Times New Roman" w:hAnsi="Times New Roman" w:cs="Times New Roman"/>
          <w:kern w:val="0"/>
          <w:lang w:eastAsia="en-IN"/>
          <w14:ligatures w14:val="none"/>
        </w:rPr>
        <w:t xml:space="preserve"> et al., 2020).</w:t>
      </w:r>
    </w:p>
    <w:p w14:paraId="6D7DC5AA"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 xml:space="preserve">A combination of herbal formulations may provide a more effective treatment strategy, targeting multiple pathological processes associated with </w:t>
      </w:r>
      <w:proofErr w:type="gramStart"/>
      <w:r w:rsidRPr="00437B84">
        <w:rPr>
          <w:rFonts w:ascii="Times New Roman" w:eastAsia="Times New Roman" w:hAnsi="Times New Roman" w:cs="Times New Roman"/>
          <w:kern w:val="0"/>
          <w:lang w:eastAsia="en-IN"/>
          <w14:ligatures w14:val="none"/>
        </w:rPr>
        <w:t>arthritis.(</w:t>
      </w:r>
      <w:proofErr w:type="spellStart"/>
      <w:proofErr w:type="gramEnd"/>
      <w:r w:rsidRPr="00437B84">
        <w:rPr>
          <w:rFonts w:ascii="Times New Roman" w:eastAsia="Times New Roman" w:hAnsi="Times New Roman" w:cs="Times New Roman"/>
          <w:kern w:val="0"/>
          <w:lang w:eastAsia="en-IN"/>
          <w14:ligatures w14:val="none"/>
        </w:rPr>
        <w:t>Subramoniam</w:t>
      </w:r>
      <w:proofErr w:type="spellEnd"/>
      <w:r w:rsidRPr="00437B84">
        <w:rPr>
          <w:rFonts w:ascii="Times New Roman" w:eastAsia="Times New Roman" w:hAnsi="Times New Roman" w:cs="Times New Roman"/>
          <w:kern w:val="0"/>
          <w:lang w:eastAsia="en-IN"/>
          <w14:ligatures w14:val="none"/>
        </w:rPr>
        <w:t xml:space="preserve"> et al., 2013). </w:t>
      </w:r>
      <w:proofErr w:type="spellStart"/>
      <w:r w:rsidRPr="00437B84">
        <w:rPr>
          <w:rFonts w:ascii="Times New Roman" w:eastAsia="Times New Roman" w:hAnsi="Times New Roman" w:cs="Times New Roman"/>
          <w:kern w:val="0"/>
          <w:lang w:eastAsia="en-IN"/>
          <w14:ligatures w14:val="none"/>
        </w:rPr>
        <w:t>Punarnavasava</w:t>
      </w:r>
      <w:proofErr w:type="spellEnd"/>
      <w:r w:rsidRPr="00437B84">
        <w:rPr>
          <w:rFonts w:ascii="Times New Roman" w:eastAsia="Times New Roman" w:hAnsi="Times New Roman" w:cs="Times New Roman"/>
          <w:kern w:val="0"/>
          <w:lang w:eastAsia="en-IN"/>
          <w14:ligatures w14:val="none"/>
        </w:rPr>
        <w:t xml:space="preserve"> (PNR) have significant antinociceptive action via CNS regulations and very much effective in inflammation reaction. PNR may be pharmacologically used to treat illness such as arthritis, lumbago and </w:t>
      </w:r>
      <w:proofErr w:type="gramStart"/>
      <w:r w:rsidRPr="00437B84">
        <w:rPr>
          <w:rFonts w:ascii="Times New Roman" w:eastAsia="Times New Roman" w:hAnsi="Times New Roman" w:cs="Times New Roman"/>
          <w:kern w:val="0"/>
          <w:lang w:eastAsia="en-IN"/>
          <w14:ligatures w14:val="none"/>
        </w:rPr>
        <w:t>sciatica.(</w:t>
      </w:r>
      <w:proofErr w:type="gramEnd"/>
      <w:r w:rsidRPr="00437B84">
        <w:rPr>
          <w:rFonts w:ascii="Times New Roman" w:eastAsia="Times New Roman" w:hAnsi="Times New Roman" w:cs="Times New Roman"/>
          <w:kern w:val="0"/>
          <w:lang w:eastAsia="en-IN"/>
          <w14:ligatures w14:val="none"/>
        </w:rPr>
        <w:t>Samad et al., 2013).</w:t>
      </w:r>
    </w:p>
    <w:p w14:paraId="0D150797"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437B84">
        <w:rPr>
          <w:rFonts w:ascii="Times New Roman" w:eastAsia="Times New Roman" w:hAnsi="Times New Roman" w:cs="Times New Roman"/>
          <w:kern w:val="0"/>
          <w:lang w:eastAsia="en-IN"/>
          <w14:ligatures w14:val="none"/>
        </w:rPr>
        <w:t>Manjishtadi</w:t>
      </w:r>
      <w:proofErr w:type="spellEnd"/>
      <w:r w:rsidRPr="00437B84">
        <w:rPr>
          <w:rFonts w:ascii="Times New Roman" w:eastAsia="Times New Roman" w:hAnsi="Times New Roman" w:cs="Times New Roman"/>
          <w:kern w:val="0"/>
          <w:lang w:eastAsia="en-IN"/>
          <w14:ligatures w14:val="none"/>
        </w:rPr>
        <w:t xml:space="preserve"> </w:t>
      </w:r>
      <w:proofErr w:type="spellStart"/>
      <w:r w:rsidRPr="00437B84">
        <w:rPr>
          <w:rFonts w:ascii="Times New Roman" w:eastAsia="Times New Roman" w:hAnsi="Times New Roman" w:cs="Times New Roman"/>
          <w:kern w:val="0"/>
          <w:lang w:eastAsia="en-IN"/>
          <w14:ligatures w14:val="none"/>
        </w:rPr>
        <w:t>kashayam</w:t>
      </w:r>
      <w:proofErr w:type="spellEnd"/>
      <w:r w:rsidRPr="00437B84">
        <w:rPr>
          <w:rFonts w:ascii="Times New Roman" w:eastAsia="Times New Roman" w:hAnsi="Times New Roman" w:cs="Times New Roman"/>
          <w:kern w:val="0"/>
          <w:lang w:eastAsia="en-IN"/>
          <w14:ligatures w14:val="none"/>
        </w:rPr>
        <w:t xml:space="preserve"> (MK), Rasna </w:t>
      </w:r>
      <w:proofErr w:type="spellStart"/>
      <w:r w:rsidRPr="00437B84">
        <w:rPr>
          <w:rFonts w:ascii="Times New Roman" w:eastAsia="Times New Roman" w:hAnsi="Times New Roman" w:cs="Times New Roman"/>
          <w:kern w:val="0"/>
          <w:lang w:eastAsia="en-IN"/>
          <w14:ligatures w14:val="none"/>
        </w:rPr>
        <w:t>erandadi</w:t>
      </w:r>
      <w:proofErr w:type="spellEnd"/>
      <w:r w:rsidRPr="00437B84">
        <w:rPr>
          <w:rFonts w:ascii="Times New Roman" w:eastAsia="Times New Roman" w:hAnsi="Times New Roman" w:cs="Times New Roman"/>
          <w:kern w:val="0"/>
          <w:lang w:eastAsia="en-IN"/>
          <w14:ligatures w14:val="none"/>
        </w:rPr>
        <w:t xml:space="preserve"> </w:t>
      </w:r>
      <w:proofErr w:type="spellStart"/>
      <w:r w:rsidRPr="00437B84">
        <w:rPr>
          <w:rFonts w:ascii="Times New Roman" w:eastAsia="Times New Roman" w:hAnsi="Times New Roman" w:cs="Times New Roman"/>
          <w:kern w:val="0"/>
          <w:lang w:eastAsia="en-IN"/>
          <w14:ligatures w14:val="none"/>
        </w:rPr>
        <w:t>kashayam</w:t>
      </w:r>
      <w:proofErr w:type="spellEnd"/>
      <w:r w:rsidRPr="00437B84">
        <w:rPr>
          <w:rFonts w:ascii="Times New Roman" w:eastAsia="Times New Roman" w:hAnsi="Times New Roman" w:cs="Times New Roman"/>
          <w:kern w:val="0"/>
          <w:lang w:eastAsia="en-IN"/>
          <w14:ligatures w14:val="none"/>
        </w:rPr>
        <w:t xml:space="preserve"> (REK), </w:t>
      </w:r>
      <w:proofErr w:type="spellStart"/>
      <w:r w:rsidRPr="00437B84">
        <w:rPr>
          <w:rFonts w:ascii="Times New Roman" w:eastAsia="Times New Roman" w:hAnsi="Times New Roman" w:cs="Times New Roman"/>
          <w:kern w:val="0"/>
          <w:lang w:eastAsia="en-IN"/>
          <w14:ligatures w14:val="none"/>
        </w:rPr>
        <w:t>Sahacharadhi</w:t>
      </w:r>
      <w:proofErr w:type="spellEnd"/>
      <w:r w:rsidRPr="00437B84">
        <w:rPr>
          <w:rFonts w:ascii="Times New Roman" w:eastAsia="Times New Roman" w:hAnsi="Times New Roman" w:cs="Times New Roman"/>
          <w:kern w:val="0"/>
          <w:lang w:eastAsia="en-IN"/>
          <w14:ligatures w14:val="none"/>
        </w:rPr>
        <w:t xml:space="preserve"> </w:t>
      </w:r>
      <w:proofErr w:type="spellStart"/>
      <w:r w:rsidRPr="00437B84">
        <w:rPr>
          <w:rFonts w:ascii="Times New Roman" w:eastAsia="Times New Roman" w:hAnsi="Times New Roman" w:cs="Times New Roman"/>
          <w:kern w:val="0"/>
          <w:lang w:eastAsia="en-IN"/>
          <w14:ligatures w14:val="none"/>
        </w:rPr>
        <w:t>kashayam</w:t>
      </w:r>
      <w:proofErr w:type="spellEnd"/>
      <w:r w:rsidRPr="00437B84">
        <w:rPr>
          <w:rFonts w:ascii="Times New Roman" w:eastAsia="Times New Roman" w:hAnsi="Times New Roman" w:cs="Times New Roman"/>
          <w:kern w:val="0"/>
          <w:lang w:eastAsia="en-IN"/>
          <w14:ligatures w14:val="none"/>
        </w:rPr>
        <w:t xml:space="preserve"> (SK), </w:t>
      </w:r>
      <w:proofErr w:type="spellStart"/>
      <w:r w:rsidRPr="00437B84">
        <w:rPr>
          <w:rFonts w:ascii="Times New Roman" w:eastAsia="Times New Roman" w:hAnsi="Times New Roman" w:cs="Times New Roman"/>
          <w:kern w:val="0"/>
          <w:lang w:eastAsia="en-IN"/>
          <w14:ligatures w14:val="none"/>
        </w:rPr>
        <w:t>Maharasnadi</w:t>
      </w:r>
      <w:proofErr w:type="spellEnd"/>
      <w:r w:rsidRPr="00437B84">
        <w:rPr>
          <w:rFonts w:ascii="Times New Roman" w:eastAsia="Times New Roman" w:hAnsi="Times New Roman" w:cs="Times New Roman"/>
          <w:kern w:val="0"/>
          <w:lang w:eastAsia="en-IN"/>
          <w14:ligatures w14:val="none"/>
        </w:rPr>
        <w:t xml:space="preserve"> </w:t>
      </w:r>
      <w:proofErr w:type="spellStart"/>
      <w:r w:rsidRPr="00437B84">
        <w:rPr>
          <w:rFonts w:ascii="Times New Roman" w:eastAsia="Times New Roman" w:hAnsi="Times New Roman" w:cs="Times New Roman"/>
          <w:kern w:val="0"/>
          <w:lang w:eastAsia="en-IN"/>
          <w14:ligatures w14:val="none"/>
        </w:rPr>
        <w:t>kashayam</w:t>
      </w:r>
      <w:proofErr w:type="spellEnd"/>
      <w:r w:rsidRPr="00437B84">
        <w:rPr>
          <w:rFonts w:ascii="Times New Roman" w:eastAsia="Times New Roman" w:hAnsi="Times New Roman" w:cs="Times New Roman"/>
          <w:kern w:val="0"/>
          <w:lang w:eastAsia="en-IN"/>
          <w14:ligatures w14:val="none"/>
        </w:rPr>
        <w:t xml:space="preserve"> (MRK), and </w:t>
      </w:r>
      <w:proofErr w:type="spellStart"/>
      <w:r w:rsidRPr="00437B84">
        <w:rPr>
          <w:rFonts w:ascii="Times New Roman" w:eastAsia="Times New Roman" w:hAnsi="Times New Roman" w:cs="Times New Roman"/>
          <w:kern w:val="0"/>
          <w:lang w:eastAsia="en-IN"/>
          <w14:ligatures w14:val="none"/>
        </w:rPr>
        <w:t>Dhanwantharam</w:t>
      </w:r>
      <w:proofErr w:type="spellEnd"/>
      <w:r w:rsidRPr="00437B84">
        <w:rPr>
          <w:rFonts w:ascii="Times New Roman" w:eastAsia="Times New Roman" w:hAnsi="Times New Roman" w:cs="Times New Roman"/>
          <w:kern w:val="0"/>
          <w:lang w:eastAsia="en-IN"/>
          <w14:ligatures w14:val="none"/>
        </w:rPr>
        <w:t xml:space="preserve"> </w:t>
      </w:r>
      <w:proofErr w:type="spellStart"/>
      <w:r w:rsidRPr="00437B84">
        <w:rPr>
          <w:rFonts w:ascii="Times New Roman" w:eastAsia="Times New Roman" w:hAnsi="Times New Roman" w:cs="Times New Roman"/>
          <w:kern w:val="0"/>
          <w:lang w:eastAsia="en-IN"/>
          <w14:ligatures w14:val="none"/>
        </w:rPr>
        <w:t>kashayam</w:t>
      </w:r>
      <w:proofErr w:type="spellEnd"/>
      <w:r w:rsidRPr="00437B84">
        <w:rPr>
          <w:rFonts w:ascii="Times New Roman" w:eastAsia="Times New Roman" w:hAnsi="Times New Roman" w:cs="Times New Roman"/>
          <w:kern w:val="0"/>
          <w:lang w:eastAsia="en-IN"/>
          <w14:ligatures w14:val="none"/>
        </w:rPr>
        <w:t xml:space="preserve"> (DK) can be used to treat vata and </w:t>
      </w:r>
      <w:proofErr w:type="spellStart"/>
      <w:r w:rsidRPr="00437B84">
        <w:rPr>
          <w:rFonts w:ascii="Times New Roman" w:eastAsia="Times New Roman" w:hAnsi="Times New Roman" w:cs="Times New Roman"/>
          <w:kern w:val="0"/>
          <w:lang w:eastAsia="en-IN"/>
          <w14:ligatures w14:val="none"/>
        </w:rPr>
        <w:t>vatarakta</w:t>
      </w:r>
      <w:proofErr w:type="spellEnd"/>
      <w:r w:rsidRPr="00437B84">
        <w:rPr>
          <w:rFonts w:ascii="Times New Roman" w:eastAsia="Times New Roman" w:hAnsi="Times New Roman" w:cs="Times New Roman"/>
          <w:kern w:val="0"/>
          <w:lang w:eastAsia="en-IN"/>
          <w14:ligatures w14:val="none"/>
        </w:rPr>
        <w:t xml:space="preserve"> </w:t>
      </w:r>
      <w:proofErr w:type="spellStart"/>
      <w:r w:rsidRPr="00437B84">
        <w:rPr>
          <w:rFonts w:ascii="Times New Roman" w:eastAsia="Times New Roman" w:hAnsi="Times New Roman" w:cs="Times New Roman"/>
          <w:kern w:val="0"/>
          <w:lang w:eastAsia="en-IN"/>
          <w14:ligatures w14:val="none"/>
        </w:rPr>
        <w:t>diseaases</w:t>
      </w:r>
      <w:proofErr w:type="spellEnd"/>
      <w:r w:rsidRPr="00437B84">
        <w:rPr>
          <w:rFonts w:ascii="Times New Roman" w:eastAsia="Times New Roman" w:hAnsi="Times New Roman" w:cs="Times New Roman"/>
          <w:kern w:val="0"/>
          <w:lang w:eastAsia="en-IN"/>
          <w14:ligatures w14:val="none"/>
        </w:rPr>
        <w:t xml:space="preserve">, because these formulations possess high phenolic content and anti-oxidant </w:t>
      </w:r>
      <w:proofErr w:type="gramStart"/>
      <w:r w:rsidRPr="00437B84">
        <w:rPr>
          <w:rFonts w:ascii="Times New Roman" w:eastAsia="Times New Roman" w:hAnsi="Times New Roman" w:cs="Times New Roman"/>
          <w:kern w:val="0"/>
          <w:lang w:eastAsia="en-IN"/>
          <w14:ligatures w14:val="none"/>
        </w:rPr>
        <w:t>activities.(</w:t>
      </w:r>
      <w:proofErr w:type="gramEnd"/>
      <w:r w:rsidRPr="00437B84">
        <w:rPr>
          <w:rFonts w:ascii="Times New Roman" w:eastAsia="Times New Roman" w:hAnsi="Times New Roman" w:cs="Times New Roman"/>
          <w:kern w:val="0"/>
          <w:lang w:eastAsia="en-IN"/>
          <w14:ligatures w14:val="none"/>
        </w:rPr>
        <w:t xml:space="preserve">C. V Sruthi &amp; Sindhu, 2012). Standardized criteria, including grip strength, joint counts, and inflammatory indicators, along with improved functional ability, the results showed notable improvements in a number of measures, including decreased joint swelling, discomfort, and inflammation. Notwithstanding the lack of a control group, traditional Ayurvedic therapy is found to be safe and successful in controlling RA </w:t>
      </w:r>
      <w:proofErr w:type="gramStart"/>
      <w:r w:rsidRPr="00437B84">
        <w:rPr>
          <w:rFonts w:ascii="Times New Roman" w:eastAsia="Times New Roman" w:hAnsi="Times New Roman" w:cs="Times New Roman"/>
          <w:kern w:val="0"/>
          <w:lang w:eastAsia="en-IN"/>
          <w14:ligatures w14:val="none"/>
        </w:rPr>
        <w:t>symptoms.(</w:t>
      </w:r>
      <w:proofErr w:type="gramEnd"/>
      <w:r w:rsidRPr="00437B84">
        <w:rPr>
          <w:rFonts w:ascii="Times New Roman" w:eastAsia="Times New Roman" w:hAnsi="Times New Roman" w:cs="Times New Roman"/>
          <w:kern w:val="0"/>
          <w:lang w:eastAsia="en-IN"/>
          <w14:ligatures w14:val="none"/>
        </w:rPr>
        <w:t>Krishna, 2011).</w:t>
      </w:r>
    </w:p>
    <w:p w14:paraId="7C9476AB" w14:textId="494482D6" w:rsidR="00496B4F" w:rsidRPr="00946F1D" w:rsidRDefault="00042F2F"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 xml:space="preserve">6. </w:t>
      </w:r>
      <w:r w:rsidR="00496B4F" w:rsidRPr="00946F1D">
        <w:rPr>
          <w:rFonts w:ascii="Times New Roman" w:eastAsia="Times New Roman" w:hAnsi="Times New Roman" w:cs="Times New Roman"/>
          <w:b/>
          <w:bCs/>
          <w:kern w:val="0"/>
          <w:lang w:eastAsia="en-IN"/>
          <w14:ligatures w14:val="none"/>
        </w:rPr>
        <w:t xml:space="preserve">Antioxidant and </w:t>
      </w:r>
      <w:proofErr w:type="spellStart"/>
      <w:proofErr w:type="gramStart"/>
      <w:r w:rsidR="00496B4F" w:rsidRPr="00946F1D">
        <w:rPr>
          <w:rFonts w:ascii="Times New Roman" w:eastAsia="Times New Roman" w:hAnsi="Times New Roman" w:cs="Times New Roman"/>
          <w:b/>
          <w:bCs/>
          <w:kern w:val="0"/>
          <w:lang w:eastAsia="en-IN"/>
          <w14:ligatures w14:val="none"/>
        </w:rPr>
        <w:t>anti inflammatory</w:t>
      </w:r>
      <w:proofErr w:type="spellEnd"/>
      <w:proofErr w:type="gramEnd"/>
      <w:r w:rsidR="00496B4F" w:rsidRPr="00946F1D">
        <w:rPr>
          <w:rFonts w:ascii="Times New Roman" w:eastAsia="Times New Roman" w:hAnsi="Times New Roman" w:cs="Times New Roman"/>
          <w:b/>
          <w:bCs/>
          <w:kern w:val="0"/>
          <w:lang w:eastAsia="en-IN"/>
          <w14:ligatures w14:val="none"/>
        </w:rPr>
        <w:t xml:space="preserve"> activity </w:t>
      </w:r>
    </w:p>
    <w:p w14:paraId="4E519C0F" w14:textId="77777777" w:rsidR="0084218A" w:rsidRPr="00946F1D" w:rsidRDefault="0084218A" w:rsidP="00946F1D">
      <w:pPr>
        <w:spacing w:after="0" w:line="360" w:lineRule="auto"/>
        <w:jc w:val="both"/>
        <w:rPr>
          <w:rFonts w:ascii="Times New Roman" w:eastAsia="Times New Roman" w:hAnsi="Times New Roman" w:cs="Times New Roman"/>
          <w:kern w:val="0"/>
          <w:lang w:eastAsia="en-IN"/>
          <w14:ligatures w14:val="none"/>
        </w:rPr>
      </w:pPr>
    </w:p>
    <w:p w14:paraId="78737C05"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437B84">
        <w:rPr>
          <w:rFonts w:ascii="Times New Roman" w:eastAsia="Times New Roman" w:hAnsi="Times New Roman" w:cs="Times New Roman"/>
          <w:kern w:val="0"/>
          <w:lang w:eastAsia="en-IN"/>
          <w14:ligatures w14:val="none"/>
        </w:rPr>
        <w:t>Dhanwantaram</w:t>
      </w:r>
      <w:proofErr w:type="spellEnd"/>
      <w:r w:rsidRPr="00437B84">
        <w:rPr>
          <w:rFonts w:ascii="Times New Roman" w:eastAsia="Times New Roman" w:hAnsi="Times New Roman" w:cs="Times New Roman"/>
          <w:kern w:val="0"/>
          <w:lang w:eastAsia="en-IN"/>
          <w14:ligatures w14:val="none"/>
        </w:rPr>
        <w:t xml:space="preserve"> Kashayam (DK), a polyherbal Ayurvedic infusion contain a significant </w:t>
      </w:r>
      <w:proofErr w:type="gramStart"/>
      <w:r w:rsidRPr="00437B84">
        <w:rPr>
          <w:rFonts w:ascii="Times New Roman" w:eastAsia="Times New Roman" w:hAnsi="Times New Roman" w:cs="Times New Roman"/>
          <w:kern w:val="0"/>
          <w:lang w:eastAsia="en-IN"/>
          <w14:ligatures w14:val="none"/>
        </w:rPr>
        <w:t>amount</w:t>
      </w:r>
      <w:proofErr w:type="gramEnd"/>
      <w:r w:rsidRPr="00437B84">
        <w:rPr>
          <w:rFonts w:ascii="Times New Roman" w:eastAsia="Times New Roman" w:hAnsi="Times New Roman" w:cs="Times New Roman"/>
          <w:kern w:val="0"/>
          <w:lang w:eastAsia="en-IN"/>
          <w14:ligatures w14:val="none"/>
        </w:rPr>
        <w:t xml:space="preserve"> of flavonoids, phenolic content, which has been revealed by a variety of tests such as ferric reducing antioxidant power (FRAP) and free radical scavenging activities against DPPH, ABTS, </w:t>
      </w:r>
      <w:proofErr w:type="spellStart"/>
      <w:r w:rsidRPr="00437B84">
        <w:rPr>
          <w:rFonts w:ascii="Times New Roman" w:eastAsia="Times New Roman" w:hAnsi="Times New Roman" w:cs="Times New Roman"/>
          <w:kern w:val="0"/>
          <w:lang w:eastAsia="en-IN"/>
          <w14:ligatures w14:val="none"/>
        </w:rPr>
        <w:t>phosphomolybdenum</w:t>
      </w:r>
      <w:proofErr w:type="spellEnd"/>
      <w:r w:rsidRPr="00437B84">
        <w:rPr>
          <w:rFonts w:ascii="Times New Roman" w:eastAsia="Times New Roman" w:hAnsi="Times New Roman" w:cs="Times New Roman"/>
          <w:kern w:val="0"/>
          <w:lang w:eastAsia="en-IN"/>
          <w14:ligatures w14:val="none"/>
        </w:rPr>
        <w:t xml:space="preserve">, hydrogen peroxide, hydroxyl radical, and nitric oxide. It demonstrates strong </w:t>
      </w:r>
      <w:r w:rsidRPr="00437B84">
        <w:rPr>
          <w:rFonts w:ascii="Times New Roman" w:eastAsia="Times New Roman" w:hAnsi="Times New Roman" w:cs="Times New Roman"/>
          <w:kern w:val="0"/>
          <w:lang w:eastAsia="en-IN"/>
          <w14:ligatures w14:val="none"/>
        </w:rPr>
        <w:lastRenderedPageBreak/>
        <w:t xml:space="preserve">antioxidant and </w:t>
      </w:r>
      <w:proofErr w:type="spellStart"/>
      <w:r w:rsidRPr="00437B84">
        <w:rPr>
          <w:rFonts w:ascii="Times New Roman" w:eastAsia="Times New Roman" w:hAnsi="Times New Roman" w:cs="Times New Roman"/>
          <w:kern w:val="0"/>
          <w:lang w:eastAsia="en-IN"/>
          <w14:ligatures w14:val="none"/>
        </w:rPr>
        <w:t>and</w:t>
      </w:r>
      <w:proofErr w:type="spellEnd"/>
      <w:r w:rsidRPr="00437B84">
        <w:rPr>
          <w:rFonts w:ascii="Times New Roman" w:eastAsia="Times New Roman" w:hAnsi="Times New Roman" w:cs="Times New Roman"/>
          <w:kern w:val="0"/>
          <w:lang w:eastAsia="en-IN"/>
          <w14:ligatures w14:val="none"/>
        </w:rPr>
        <w:t xml:space="preserve"> radical scavenging properties with low IC50 values. DK can be used for postpartum healing and </w:t>
      </w:r>
      <w:proofErr w:type="gramStart"/>
      <w:r w:rsidRPr="00437B84">
        <w:rPr>
          <w:rFonts w:ascii="Times New Roman" w:eastAsia="Times New Roman" w:hAnsi="Times New Roman" w:cs="Times New Roman"/>
          <w:kern w:val="0"/>
          <w:lang w:eastAsia="en-IN"/>
          <w14:ligatures w14:val="none"/>
        </w:rPr>
        <w:t>rejuvenation.(</w:t>
      </w:r>
      <w:proofErr w:type="gramEnd"/>
      <w:r w:rsidRPr="00437B84">
        <w:rPr>
          <w:rFonts w:ascii="Times New Roman" w:eastAsia="Times New Roman" w:hAnsi="Times New Roman" w:cs="Times New Roman"/>
          <w:kern w:val="0"/>
          <w:lang w:eastAsia="en-IN"/>
          <w14:ligatures w14:val="none"/>
        </w:rPr>
        <w:t>Renganathan &amp; Pillai, 2021).</w:t>
      </w:r>
    </w:p>
    <w:p w14:paraId="0169D3AA"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437B84">
        <w:rPr>
          <w:rFonts w:ascii="Times New Roman" w:eastAsia="Times New Roman" w:hAnsi="Times New Roman" w:cs="Times New Roman"/>
          <w:kern w:val="0"/>
          <w:lang w:eastAsia="en-IN"/>
          <w14:ligatures w14:val="none"/>
        </w:rPr>
        <w:t>Balaguluchyadi</w:t>
      </w:r>
      <w:proofErr w:type="spellEnd"/>
      <w:r w:rsidRPr="00437B84">
        <w:rPr>
          <w:rFonts w:ascii="Times New Roman" w:eastAsia="Times New Roman" w:hAnsi="Times New Roman" w:cs="Times New Roman"/>
          <w:kern w:val="0"/>
          <w:lang w:eastAsia="en-IN"/>
          <w14:ligatures w14:val="none"/>
        </w:rPr>
        <w:t xml:space="preserve"> Kashayam (BK), a traditional polyherbal Ayurvedic concoction used to treat chronic inflammatory disorders, inhibits important pro inflammatory enzymes including cyclooxygenase-2, 5-, 12-, and 15-lipoxygenases (LOXs), and 15-prostaglandins which mediates inflammation. BK also reduces the cellular origins of inflammation by efficiently preventing monocytes from differentiating into macrophages. BK functions at several stages of the inflammatory pathway, most likely as a result of the synergistic action of its bioactive </w:t>
      </w:r>
      <w:proofErr w:type="gramStart"/>
      <w:r w:rsidRPr="00437B84">
        <w:rPr>
          <w:rFonts w:ascii="Times New Roman" w:eastAsia="Times New Roman" w:hAnsi="Times New Roman" w:cs="Times New Roman"/>
          <w:kern w:val="0"/>
          <w:lang w:eastAsia="en-IN"/>
          <w14:ligatures w14:val="none"/>
        </w:rPr>
        <w:t>phytoconstituents.(</w:t>
      </w:r>
      <w:proofErr w:type="gramEnd"/>
      <w:r w:rsidRPr="00437B84">
        <w:rPr>
          <w:rFonts w:ascii="Times New Roman" w:eastAsia="Times New Roman" w:hAnsi="Times New Roman" w:cs="Times New Roman"/>
          <w:kern w:val="0"/>
          <w:lang w:eastAsia="en-IN"/>
          <w14:ligatures w14:val="none"/>
        </w:rPr>
        <w:t xml:space="preserve">Rahitha Devi et al., 2020). </w:t>
      </w:r>
      <w:proofErr w:type="spellStart"/>
      <w:r w:rsidRPr="00437B84">
        <w:rPr>
          <w:rFonts w:ascii="Times New Roman" w:eastAsia="Times New Roman" w:hAnsi="Times New Roman" w:cs="Times New Roman"/>
          <w:kern w:val="0"/>
          <w:lang w:eastAsia="en-IN"/>
          <w14:ligatures w14:val="none"/>
        </w:rPr>
        <w:t>Pathyashadangam</w:t>
      </w:r>
      <w:proofErr w:type="spellEnd"/>
      <w:r w:rsidRPr="00437B84">
        <w:rPr>
          <w:rFonts w:ascii="Times New Roman" w:eastAsia="Times New Roman" w:hAnsi="Times New Roman" w:cs="Times New Roman"/>
          <w:kern w:val="0"/>
          <w:lang w:eastAsia="en-IN"/>
          <w14:ligatures w14:val="none"/>
        </w:rPr>
        <w:t xml:space="preserve"> Kashayam, a traditional Ayurvedic composition used to treat a variety of conditions such as migraines, diabetes, neurodegenerative illnesses, and problems with the eyes, ears, and teeth, shows high antioxidant activity. Among the ingredients </w:t>
      </w:r>
      <w:r w:rsidRPr="00437B84">
        <w:rPr>
          <w:rFonts w:ascii="Times New Roman" w:eastAsia="Times New Roman" w:hAnsi="Times New Roman" w:cs="Times New Roman"/>
          <w:i/>
          <w:iCs/>
          <w:kern w:val="0"/>
          <w:lang w:eastAsia="en-IN"/>
          <w14:ligatures w14:val="none"/>
        </w:rPr>
        <w:t xml:space="preserve">Phyllanthus </w:t>
      </w:r>
      <w:proofErr w:type="spellStart"/>
      <w:r w:rsidRPr="00437B84">
        <w:rPr>
          <w:rFonts w:ascii="Times New Roman" w:eastAsia="Times New Roman" w:hAnsi="Times New Roman" w:cs="Times New Roman"/>
          <w:i/>
          <w:iCs/>
          <w:kern w:val="0"/>
          <w:lang w:eastAsia="en-IN"/>
          <w14:ligatures w14:val="none"/>
        </w:rPr>
        <w:t>emblica</w:t>
      </w:r>
      <w:proofErr w:type="spellEnd"/>
      <w:r w:rsidRPr="00437B84">
        <w:rPr>
          <w:rFonts w:ascii="Times New Roman" w:eastAsia="Times New Roman" w:hAnsi="Times New Roman" w:cs="Times New Roman"/>
          <w:kern w:val="0"/>
          <w:lang w:eastAsia="en-IN"/>
          <w14:ligatures w14:val="none"/>
        </w:rPr>
        <w:t xml:space="preserve">, </w:t>
      </w:r>
      <w:r w:rsidRPr="00437B84">
        <w:rPr>
          <w:rFonts w:ascii="Times New Roman" w:eastAsia="Times New Roman" w:hAnsi="Times New Roman" w:cs="Times New Roman"/>
          <w:i/>
          <w:iCs/>
          <w:kern w:val="0"/>
          <w:lang w:eastAsia="en-IN"/>
          <w14:ligatures w14:val="none"/>
        </w:rPr>
        <w:t xml:space="preserve">Terminalia </w:t>
      </w:r>
      <w:proofErr w:type="spellStart"/>
      <w:r w:rsidRPr="00437B84">
        <w:rPr>
          <w:rFonts w:ascii="Times New Roman" w:eastAsia="Times New Roman" w:hAnsi="Times New Roman" w:cs="Times New Roman"/>
          <w:i/>
          <w:iCs/>
          <w:kern w:val="0"/>
          <w:lang w:eastAsia="en-IN"/>
          <w14:ligatures w14:val="none"/>
        </w:rPr>
        <w:t>chebula</w:t>
      </w:r>
      <w:proofErr w:type="spellEnd"/>
      <w:r w:rsidRPr="00437B84">
        <w:rPr>
          <w:rFonts w:ascii="Times New Roman" w:eastAsia="Times New Roman" w:hAnsi="Times New Roman" w:cs="Times New Roman"/>
          <w:kern w:val="0"/>
          <w:lang w:eastAsia="en-IN"/>
          <w14:ligatures w14:val="none"/>
        </w:rPr>
        <w:t xml:space="preserve">, and </w:t>
      </w:r>
      <w:r w:rsidRPr="00437B84">
        <w:rPr>
          <w:rFonts w:ascii="Times New Roman" w:eastAsia="Times New Roman" w:hAnsi="Times New Roman" w:cs="Times New Roman"/>
          <w:i/>
          <w:iCs/>
          <w:kern w:val="0"/>
          <w:lang w:eastAsia="en-IN"/>
          <w14:ligatures w14:val="none"/>
        </w:rPr>
        <w:t xml:space="preserve">Terminalia </w:t>
      </w:r>
      <w:proofErr w:type="spellStart"/>
      <w:r w:rsidRPr="00437B84">
        <w:rPr>
          <w:rFonts w:ascii="Times New Roman" w:eastAsia="Times New Roman" w:hAnsi="Times New Roman" w:cs="Times New Roman"/>
          <w:i/>
          <w:iCs/>
          <w:kern w:val="0"/>
          <w:lang w:eastAsia="en-IN"/>
          <w14:ligatures w14:val="none"/>
        </w:rPr>
        <w:t>bellirica</w:t>
      </w:r>
      <w:proofErr w:type="spellEnd"/>
      <w:r w:rsidRPr="00437B84">
        <w:rPr>
          <w:rFonts w:ascii="Times New Roman" w:eastAsia="Times New Roman" w:hAnsi="Times New Roman" w:cs="Times New Roman"/>
          <w:kern w:val="0"/>
          <w:lang w:eastAsia="en-IN"/>
          <w14:ligatures w14:val="none"/>
        </w:rPr>
        <w:t xml:space="preserve"> revealed to possess strongest radical scavenging power which indicate their significant contribution to the effectiveness of the formulation. Phenol and flavonoid levels and antioxidant activity have a positive association, and these substances play a significant role in </w:t>
      </w:r>
      <w:proofErr w:type="spellStart"/>
      <w:r w:rsidRPr="00437B84">
        <w:rPr>
          <w:rFonts w:ascii="Times New Roman" w:eastAsia="Times New Roman" w:hAnsi="Times New Roman" w:cs="Times New Roman"/>
          <w:kern w:val="0"/>
          <w:lang w:eastAsia="en-IN"/>
          <w14:ligatures w14:val="none"/>
        </w:rPr>
        <w:t>Pathyashadangam</w:t>
      </w:r>
      <w:proofErr w:type="spellEnd"/>
      <w:r w:rsidRPr="00437B84">
        <w:rPr>
          <w:rFonts w:ascii="Times New Roman" w:eastAsia="Times New Roman" w:hAnsi="Times New Roman" w:cs="Times New Roman"/>
          <w:kern w:val="0"/>
          <w:lang w:eastAsia="en-IN"/>
          <w14:ligatures w14:val="none"/>
        </w:rPr>
        <w:t xml:space="preserve"> </w:t>
      </w:r>
      <w:proofErr w:type="spellStart"/>
      <w:r w:rsidRPr="00437B84">
        <w:rPr>
          <w:rFonts w:ascii="Times New Roman" w:eastAsia="Times New Roman" w:hAnsi="Times New Roman" w:cs="Times New Roman"/>
          <w:kern w:val="0"/>
          <w:lang w:eastAsia="en-IN"/>
          <w14:ligatures w14:val="none"/>
        </w:rPr>
        <w:t>Kashayam's</w:t>
      </w:r>
      <w:proofErr w:type="spellEnd"/>
      <w:r w:rsidRPr="00437B84">
        <w:rPr>
          <w:rFonts w:ascii="Times New Roman" w:eastAsia="Times New Roman" w:hAnsi="Times New Roman" w:cs="Times New Roman"/>
          <w:kern w:val="0"/>
          <w:lang w:eastAsia="en-IN"/>
          <w14:ligatures w14:val="none"/>
        </w:rPr>
        <w:t xml:space="preserve"> therapeutic advantages and support its long-standing use in the treatment of illnesses linked to oxidative </w:t>
      </w:r>
      <w:proofErr w:type="gramStart"/>
      <w:r w:rsidRPr="00437B84">
        <w:rPr>
          <w:rFonts w:ascii="Times New Roman" w:eastAsia="Times New Roman" w:hAnsi="Times New Roman" w:cs="Times New Roman"/>
          <w:kern w:val="0"/>
          <w:lang w:eastAsia="en-IN"/>
          <w14:ligatures w14:val="none"/>
        </w:rPr>
        <w:t>stress.(</w:t>
      </w:r>
      <w:proofErr w:type="gramEnd"/>
      <w:r w:rsidRPr="00437B84">
        <w:rPr>
          <w:rFonts w:ascii="Times New Roman" w:eastAsia="Times New Roman" w:hAnsi="Times New Roman" w:cs="Times New Roman"/>
          <w:kern w:val="0"/>
          <w:lang w:eastAsia="en-IN"/>
          <w14:ligatures w14:val="none"/>
        </w:rPr>
        <w:t>Abraham, Mathew, et al., 2020).</w:t>
      </w:r>
    </w:p>
    <w:p w14:paraId="53E9E05F"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 xml:space="preserve">Polyherbal formulations with improved antioxidant activity can be developed for food and supplement industries by checking the highest phenolic contents and also for combinatorial assays for positive synergistic </w:t>
      </w:r>
      <w:proofErr w:type="gramStart"/>
      <w:r w:rsidRPr="00437B84">
        <w:rPr>
          <w:rFonts w:ascii="Times New Roman" w:eastAsia="Times New Roman" w:hAnsi="Times New Roman" w:cs="Times New Roman"/>
          <w:kern w:val="0"/>
          <w:lang w:eastAsia="en-IN"/>
          <w14:ligatures w14:val="none"/>
        </w:rPr>
        <w:t>interactions.(</w:t>
      </w:r>
      <w:proofErr w:type="gramEnd"/>
      <w:r w:rsidRPr="00437B84">
        <w:rPr>
          <w:rFonts w:ascii="Times New Roman" w:eastAsia="Times New Roman" w:hAnsi="Times New Roman" w:cs="Times New Roman"/>
          <w:kern w:val="0"/>
          <w:lang w:eastAsia="en-IN"/>
          <w14:ligatures w14:val="none"/>
        </w:rPr>
        <w:t xml:space="preserve">Rahim et al., 2019). The modified dosage forms of </w:t>
      </w:r>
      <w:proofErr w:type="spellStart"/>
      <w:r w:rsidRPr="00437B84">
        <w:rPr>
          <w:rFonts w:ascii="Times New Roman" w:eastAsia="Times New Roman" w:hAnsi="Times New Roman" w:cs="Times New Roman"/>
          <w:kern w:val="0"/>
          <w:lang w:eastAsia="en-IN"/>
          <w14:ligatures w14:val="none"/>
        </w:rPr>
        <w:t>Tamalakyadi</w:t>
      </w:r>
      <w:proofErr w:type="spellEnd"/>
      <w:r w:rsidRPr="00437B84">
        <w:rPr>
          <w:rFonts w:ascii="Times New Roman" w:eastAsia="Times New Roman" w:hAnsi="Times New Roman" w:cs="Times New Roman"/>
          <w:kern w:val="0"/>
          <w:lang w:eastAsia="en-IN"/>
          <w14:ligatures w14:val="none"/>
        </w:rPr>
        <w:t xml:space="preserve"> decoction (TD), a traditional treatment for allergic rhinitis, and its modified dosage forms, such as freeze-dried (FDF-TD) and spray-dried (SDF-TD), were examined and the former exhibits high antioxidant activity and is a good substitute for traditional </w:t>
      </w:r>
      <w:proofErr w:type="gramStart"/>
      <w:r w:rsidRPr="00437B84">
        <w:rPr>
          <w:rFonts w:ascii="Times New Roman" w:eastAsia="Times New Roman" w:hAnsi="Times New Roman" w:cs="Times New Roman"/>
          <w:kern w:val="0"/>
          <w:lang w:eastAsia="en-IN"/>
          <w14:ligatures w14:val="none"/>
        </w:rPr>
        <w:t>decoction.(</w:t>
      </w:r>
      <w:proofErr w:type="gramEnd"/>
      <w:r w:rsidRPr="00437B84">
        <w:rPr>
          <w:rFonts w:ascii="Times New Roman" w:eastAsia="Times New Roman" w:hAnsi="Times New Roman" w:cs="Times New Roman"/>
          <w:kern w:val="0"/>
          <w:lang w:eastAsia="en-IN"/>
          <w14:ligatures w14:val="none"/>
        </w:rPr>
        <w:t xml:space="preserve">Dahanayake et al., 2019). Using preclinical trials with excision and incision wound models to assess healing activity and agar diffusion and broth dilution methods for antimicrobial assessment, a polyherbal formulation made of methanolic extract of </w:t>
      </w:r>
      <w:r w:rsidRPr="00437B84">
        <w:rPr>
          <w:rFonts w:ascii="Times New Roman" w:eastAsia="Times New Roman" w:hAnsi="Times New Roman" w:cs="Times New Roman"/>
          <w:i/>
          <w:iCs/>
          <w:kern w:val="0"/>
          <w:lang w:eastAsia="en-IN"/>
          <w14:ligatures w14:val="none"/>
        </w:rPr>
        <w:t>Argemone Mexicana</w:t>
      </w:r>
      <w:r w:rsidRPr="00437B84">
        <w:rPr>
          <w:rFonts w:ascii="Times New Roman" w:eastAsia="Times New Roman" w:hAnsi="Times New Roman" w:cs="Times New Roman"/>
          <w:kern w:val="0"/>
          <w:lang w:eastAsia="en-IN"/>
          <w14:ligatures w14:val="none"/>
        </w:rPr>
        <w:t xml:space="preserve">, </w:t>
      </w:r>
      <w:r w:rsidRPr="00437B84">
        <w:rPr>
          <w:rFonts w:ascii="Times New Roman" w:eastAsia="Times New Roman" w:hAnsi="Times New Roman" w:cs="Times New Roman"/>
          <w:i/>
          <w:iCs/>
          <w:kern w:val="0"/>
          <w:lang w:eastAsia="en-IN"/>
          <w14:ligatures w14:val="none"/>
        </w:rPr>
        <w:t>Datura stramonium</w:t>
      </w:r>
      <w:r w:rsidRPr="00437B84">
        <w:rPr>
          <w:rFonts w:ascii="Times New Roman" w:eastAsia="Times New Roman" w:hAnsi="Times New Roman" w:cs="Times New Roman"/>
          <w:kern w:val="0"/>
          <w:lang w:eastAsia="en-IN"/>
          <w14:ligatures w14:val="none"/>
        </w:rPr>
        <w:t xml:space="preserve"> and </w:t>
      </w:r>
      <w:r w:rsidRPr="00437B84">
        <w:rPr>
          <w:rFonts w:ascii="Times New Roman" w:eastAsia="Times New Roman" w:hAnsi="Times New Roman" w:cs="Times New Roman"/>
          <w:i/>
          <w:iCs/>
          <w:kern w:val="0"/>
          <w:lang w:eastAsia="en-IN"/>
          <w14:ligatures w14:val="none"/>
        </w:rPr>
        <w:t>Plumbago zeylanica</w:t>
      </w:r>
      <w:r w:rsidRPr="00437B84">
        <w:rPr>
          <w:rFonts w:ascii="Times New Roman" w:eastAsia="Times New Roman" w:hAnsi="Times New Roman" w:cs="Times New Roman"/>
          <w:kern w:val="0"/>
          <w:lang w:eastAsia="en-IN"/>
          <w14:ligatures w14:val="none"/>
        </w:rPr>
        <w:t xml:space="preserve"> improves collagen synthesis, decreased healing time and increased wound </w:t>
      </w:r>
      <w:proofErr w:type="gramStart"/>
      <w:r w:rsidRPr="00437B84">
        <w:rPr>
          <w:rFonts w:ascii="Times New Roman" w:eastAsia="Times New Roman" w:hAnsi="Times New Roman" w:cs="Times New Roman"/>
          <w:kern w:val="0"/>
          <w:lang w:eastAsia="en-IN"/>
          <w14:ligatures w14:val="none"/>
        </w:rPr>
        <w:t>contraction.(</w:t>
      </w:r>
      <w:proofErr w:type="gramEnd"/>
      <w:r w:rsidRPr="00437B84">
        <w:rPr>
          <w:rFonts w:ascii="Times New Roman" w:eastAsia="Times New Roman" w:hAnsi="Times New Roman" w:cs="Times New Roman"/>
          <w:kern w:val="0"/>
          <w:lang w:eastAsia="en-IN"/>
          <w14:ligatures w14:val="none"/>
        </w:rPr>
        <w:t xml:space="preserve">Dev et al., 2019). The GCMS profile of </w:t>
      </w:r>
      <w:proofErr w:type="spellStart"/>
      <w:r w:rsidRPr="00437B84">
        <w:rPr>
          <w:rFonts w:ascii="Times New Roman" w:eastAsia="Times New Roman" w:hAnsi="Times New Roman" w:cs="Times New Roman"/>
          <w:kern w:val="0"/>
          <w:lang w:eastAsia="en-IN"/>
          <w14:ligatures w14:val="none"/>
        </w:rPr>
        <w:t>Drakshadi</w:t>
      </w:r>
      <w:proofErr w:type="spellEnd"/>
      <w:r w:rsidRPr="00437B84">
        <w:rPr>
          <w:rFonts w:ascii="Times New Roman" w:eastAsia="Times New Roman" w:hAnsi="Times New Roman" w:cs="Times New Roman"/>
          <w:kern w:val="0"/>
          <w:lang w:eastAsia="en-IN"/>
          <w14:ligatures w14:val="none"/>
        </w:rPr>
        <w:t xml:space="preserve"> Kashayam Ayurvedic medicine that has traditionally been used to treat illnesses like </w:t>
      </w:r>
      <w:proofErr w:type="spellStart"/>
      <w:r w:rsidRPr="00437B84">
        <w:rPr>
          <w:rFonts w:ascii="Times New Roman" w:eastAsia="Times New Roman" w:hAnsi="Times New Roman" w:cs="Times New Roman"/>
          <w:kern w:val="0"/>
          <w:lang w:eastAsia="en-IN"/>
          <w14:ligatures w14:val="none"/>
        </w:rPr>
        <w:t>anemia</w:t>
      </w:r>
      <w:proofErr w:type="spellEnd"/>
      <w:r w:rsidRPr="00437B84">
        <w:rPr>
          <w:rFonts w:ascii="Times New Roman" w:eastAsia="Times New Roman" w:hAnsi="Times New Roman" w:cs="Times New Roman"/>
          <w:kern w:val="0"/>
          <w:lang w:eastAsia="en-IN"/>
          <w14:ligatures w14:val="none"/>
        </w:rPr>
        <w:t xml:space="preserve"> (</w:t>
      </w:r>
      <w:proofErr w:type="spellStart"/>
      <w:r w:rsidRPr="00437B84">
        <w:rPr>
          <w:rFonts w:ascii="Times New Roman" w:eastAsia="Times New Roman" w:hAnsi="Times New Roman" w:cs="Times New Roman"/>
          <w:kern w:val="0"/>
          <w:lang w:eastAsia="en-IN"/>
          <w14:ligatures w14:val="none"/>
        </w:rPr>
        <w:t>Panduroga</w:t>
      </w:r>
      <w:proofErr w:type="spellEnd"/>
      <w:r w:rsidRPr="00437B84">
        <w:rPr>
          <w:rFonts w:ascii="Times New Roman" w:eastAsia="Times New Roman" w:hAnsi="Times New Roman" w:cs="Times New Roman"/>
          <w:kern w:val="0"/>
          <w:lang w:eastAsia="en-IN"/>
          <w14:ligatures w14:val="none"/>
        </w:rPr>
        <w:t xml:space="preserve">) and jaundice revealed numerous important biomolecules like carbonic acid, bisphenol, and histamine which supports its usage as a </w:t>
      </w:r>
      <w:proofErr w:type="spellStart"/>
      <w:proofErr w:type="gramStart"/>
      <w:r w:rsidRPr="00437B84">
        <w:rPr>
          <w:rFonts w:ascii="Times New Roman" w:eastAsia="Times New Roman" w:hAnsi="Times New Roman" w:cs="Times New Roman"/>
          <w:kern w:val="0"/>
          <w:lang w:eastAsia="en-IN"/>
          <w14:ligatures w14:val="none"/>
        </w:rPr>
        <w:t>livertonic</w:t>
      </w:r>
      <w:proofErr w:type="spellEnd"/>
      <w:r w:rsidRPr="00437B84">
        <w:rPr>
          <w:rFonts w:ascii="Times New Roman" w:eastAsia="Times New Roman" w:hAnsi="Times New Roman" w:cs="Times New Roman"/>
          <w:kern w:val="0"/>
          <w:lang w:eastAsia="en-IN"/>
          <w14:ligatures w14:val="none"/>
        </w:rPr>
        <w:t>.(</w:t>
      </w:r>
      <w:proofErr w:type="gramEnd"/>
      <w:r w:rsidRPr="00437B84">
        <w:rPr>
          <w:rFonts w:ascii="Times New Roman" w:eastAsia="Times New Roman" w:hAnsi="Times New Roman" w:cs="Times New Roman"/>
          <w:kern w:val="0"/>
          <w:lang w:eastAsia="en-IN"/>
          <w14:ligatures w14:val="none"/>
        </w:rPr>
        <w:t>Narayanan et al., 2019).</w:t>
      </w:r>
    </w:p>
    <w:p w14:paraId="4E517E85"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437B84">
        <w:rPr>
          <w:rFonts w:ascii="Times New Roman" w:eastAsia="Times New Roman" w:hAnsi="Times New Roman" w:cs="Times New Roman"/>
          <w:kern w:val="0"/>
          <w:lang w:eastAsia="en-IN"/>
          <w14:ligatures w14:val="none"/>
        </w:rPr>
        <w:t>Varanadi</w:t>
      </w:r>
      <w:proofErr w:type="spellEnd"/>
      <w:r w:rsidRPr="00437B84">
        <w:rPr>
          <w:rFonts w:ascii="Times New Roman" w:eastAsia="Times New Roman" w:hAnsi="Times New Roman" w:cs="Times New Roman"/>
          <w:kern w:val="0"/>
          <w:lang w:eastAsia="en-IN"/>
          <w14:ligatures w14:val="none"/>
        </w:rPr>
        <w:t xml:space="preserve"> Kashayam, assessed quantitatively by quantitative PCR and ELISA and found to reduce monocyte </w:t>
      </w:r>
      <w:proofErr w:type="spellStart"/>
      <w:r w:rsidRPr="00437B84">
        <w:rPr>
          <w:rFonts w:ascii="Times New Roman" w:eastAsia="Times New Roman" w:hAnsi="Times New Roman" w:cs="Times New Roman"/>
          <w:kern w:val="0"/>
          <w:lang w:eastAsia="en-IN"/>
          <w14:ligatures w14:val="none"/>
        </w:rPr>
        <w:t>differenciation</w:t>
      </w:r>
      <w:proofErr w:type="spellEnd"/>
      <w:r w:rsidRPr="00437B84">
        <w:rPr>
          <w:rFonts w:ascii="Times New Roman" w:eastAsia="Times New Roman" w:hAnsi="Times New Roman" w:cs="Times New Roman"/>
          <w:kern w:val="0"/>
          <w:lang w:eastAsia="en-IN"/>
          <w14:ligatures w14:val="none"/>
        </w:rPr>
        <w:t xml:space="preserve"> in macrophages and also can downregulate the expression of several key surface markers and cytokines associated with inflammation. Since the formulation found to be effective in suppressing the production of proinflammatory cytokines especially TNF-α and IL-1β, it may be useful in ayurvedic medication for controlling chronic inflammatory diseases and related </w:t>
      </w:r>
      <w:proofErr w:type="gramStart"/>
      <w:r w:rsidRPr="00437B84">
        <w:rPr>
          <w:rFonts w:ascii="Times New Roman" w:eastAsia="Times New Roman" w:hAnsi="Times New Roman" w:cs="Times New Roman"/>
          <w:kern w:val="0"/>
          <w:lang w:eastAsia="en-IN"/>
          <w14:ligatures w14:val="none"/>
        </w:rPr>
        <w:t>disorders.(</w:t>
      </w:r>
      <w:proofErr w:type="spellStart"/>
      <w:proofErr w:type="gramEnd"/>
      <w:r w:rsidRPr="00437B84">
        <w:rPr>
          <w:rFonts w:ascii="Times New Roman" w:eastAsia="Times New Roman" w:hAnsi="Times New Roman" w:cs="Times New Roman"/>
          <w:kern w:val="0"/>
          <w:lang w:eastAsia="en-IN"/>
          <w14:ligatures w14:val="none"/>
        </w:rPr>
        <w:t>Chinchu</w:t>
      </w:r>
      <w:proofErr w:type="spellEnd"/>
      <w:r w:rsidRPr="00437B84">
        <w:rPr>
          <w:rFonts w:ascii="Times New Roman" w:eastAsia="Times New Roman" w:hAnsi="Times New Roman" w:cs="Times New Roman"/>
          <w:kern w:val="0"/>
          <w:lang w:eastAsia="en-IN"/>
          <w14:ligatures w14:val="none"/>
        </w:rPr>
        <w:t xml:space="preserve"> et al., 2018). </w:t>
      </w:r>
      <w:proofErr w:type="spellStart"/>
      <w:r w:rsidRPr="00437B84">
        <w:rPr>
          <w:rFonts w:ascii="Times New Roman" w:eastAsia="Times New Roman" w:hAnsi="Times New Roman" w:cs="Times New Roman"/>
          <w:kern w:val="0"/>
          <w:lang w:eastAsia="en-IN"/>
          <w14:ligatures w14:val="none"/>
        </w:rPr>
        <w:t>Patolamuladi</w:t>
      </w:r>
      <w:proofErr w:type="spellEnd"/>
      <w:r w:rsidRPr="00437B84">
        <w:rPr>
          <w:rFonts w:ascii="Times New Roman" w:eastAsia="Times New Roman" w:hAnsi="Times New Roman" w:cs="Times New Roman"/>
          <w:kern w:val="0"/>
          <w:lang w:eastAsia="en-IN"/>
          <w14:ligatures w14:val="none"/>
        </w:rPr>
        <w:t xml:space="preserve"> Kashayam examined by thorough phytochemical and chromatographic techniques </w:t>
      </w:r>
      <w:proofErr w:type="spellStart"/>
      <w:r w:rsidRPr="00437B84">
        <w:rPr>
          <w:rFonts w:ascii="Times New Roman" w:eastAsia="Times New Roman" w:hAnsi="Times New Roman" w:cs="Times New Roman"/>
          <w:kern w:val="0"/>
          <w:lang w:eastAsia="en-IN"/>
          <w14:ligatures w14:val="none"/>
        </w:rPr>
        <w:t>inorder</w:t>
      </w:r>
      <w:proofErr w:type="spellEnd"/>
      <w:r w:rsidRPr="00437B84">
        <w:rPr>
          <w:rFonts w:ascii="Times New Roman" w:eastAsia="Times New Roman" w:hAnsi="Times New Roman" w:cs="Times New Roman"/>
          <w:kern w:val="0"/>
          <w:lang w:eastAsia="en-IN"/>
          <w14:ligatures w14:val="none"/>
        </w:rPr>
        <w:t xml:space="preserve"> to assess the effect of preservatives on the stability of freshly made </w:t>
      </w:r>
      <w:proofErr w:type="spellStart"/>
      <w:r w:rsidRPr="00437B84">
        <w:rPr>
          <w:rFonts w:ascii="Times New Roman" w:eastAsia="Times New Roman" w:hAnsi="Times New Roman" w:cs="Times New Roman"/>
          <w:kern w:val="0"/>
          <w:lang w:eastAsia="en-IN"/>
          <w14:ligatures w14:val="none"/>
        </w:rPr>
        <w:lastRenderedPageBreak/>
        <w:t>kashaya</w:t>
      </w:r>
      <w:proofErr w:type="spellEnd"/>
      <w:r w:rsidRPr="00437B84">
        <w:rPr>
          <w:rFonts w:ascii="Times New Roman" w:eastAsia="Times New Roman" w:hAnsi="Times New Roman" w:cs="Times New Roman"/>
          <w:kern w:val="0"/>
          <w:lang w:eastAsia="en-IN"/>
          <w14:ligatures w14:val="none"/>
        </w:rPr>
        <w:t xml:space="preserve"> without preservatives and also the sample that had been kept for six months all </w:t>
      </w:r>
      <w:proofErr w:type="gramStart"/>
      <w:r w:rsidRPr="00437B84">
        <w:rPr>
          <w:rFonts w:ascii="Times New Roman" w:eastAsia="Times New Roman" w:hAnsi="Times New Roman" w:cs="Times New Roman"/>
          <w:kern w:val="0"/>
          <w:lang w:eastAsia="en-IN"/>
          <w14:ligatures w14:val="none"/>
        </w:rPr>
        <w:t>compared.(</w:t>
      </w:r>
      <w:proofErr w:type="gramEnd"/>
      <w:r w:rsidRPr="00437B84">
        <w:rPr>
          <w:rFonts w:ascii="Times New Roman" w:eastAsia="Times New Roman" w:hAnsi="Times New Roman" w:cs="Times New Roman"/>
          <w:kern w:val="0"/>
          <w:lang w:eastAsia="en-IN"/>
          <w14:ligatures w14:val="none"/>
        </w:rPr>
        <w:t>Kar et al., 2018).</w:t>
      </w:r>
    </w:p>
    <w:p w14:paraId="276F89BD"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 xml:space="preserve">The antioxidant potential of Sukumara Kashayam, an Ayurvedic concoction that has long been used to alleviate constipation and menstrual pain, has revealed by assays like DPPH, FRAP, and Hydrogen Peroxide Scavenging </w:t>
      </w:r>
      <w:proofErr w:type="gramStart"/>
      <w:r w:rsidRPr="00437B84">
        <w:rPr>
          <w:rFonts w:ascii="Times New Roman" w:eastAsia="Times New Roman" w:hAnsi="Times New Roman" w:cs="Times New Roman"/>
          <w:kern w:val="0"/>
          <w:lang w:eastAsia="en-IN"/>
          <w14:ligatures w14:val="none"/>
        </w:rPr>
        <w:t>Activity.(</w:t>
      </w:r>
      <w:proofErr w:type="gramEnd"/>
      <w:r w:rsidRPr="00437B84">
        <w:rPr>
          <w:rFonts w:ascii="Times New Roman" w:eastAsia="Times New Roman" w:hAnsi="Times New Roman" w:cs="Times New Roman"/>
          <w:kern w:val="0"/>
          <w:lang w:eastAsia="en-IN"/>
          <w14:ligatures w14:val="none"/>
        </w:rPr>
        <w:t>Nirupa et al., 2017).</w:t>
      </w:r>
    </w:p>
    <w:p w14:paraId="7D03CDD4"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 xml:space="preserve">Another formulation made by combining the aqueous extracts of four different plants: </w:t>
      </w:r>
      <w:r w:rsidRPr="00437B84">
        <w:rPr>
          <w:rFonts w:ascii="Times New Roman" w:eastAsia="Times New Roman" w:hAnsi="Times New Roman" w:cs="Times New Roman"/>
          <w:i/>
          <w:iCs/>
          <w:kern w:val="0"/>
          <w:lang w:eastAsia="en-IN"/>
          <w14:ligatures w14:val="none"/>
        </w:rPr>
        <w:t xml:space="preserve">Commiphora </w:t>
      </w:r>
      <w:proofErr w:type="spellStart"/>
      <w:r w:rsidRPr="00437B84">
        <w:rPr>
          <w:rFonts w:ascii="Times New Roman" w:eastAsia="Times New Roman" w:hAnsi="Times New Roman" w:cs="Times New Roman"/>
          <w:i/>
          <w:iCs/>
          <w:kern w:val="0"/>
          <w:lang w:eastAsia="en-IN"/>
          <w14:ligatures w14:val="none"/>
        </w:rPr>
        <w:t>mukul</w:t>
      </w:r>
      <w:proofErr w:type="spellEnd"/>
      <w:r w:rsidRPr="00437B84">
        <w:rPr>
          <w:rFonts w:ascii="Times New Roman" w:eastAsia="Times New Roman" w:hAnsi="Times New Roman" w:cs="Times New Roman"/>
          <w:kern w:val="0"/>
          <w:lang w:eastAsia="en-IN"/>
          <w14:ligatures w14:val="none"/>
        </w:rPr>
        <w:t xml:space="preserve">, </w:t>
      </w:r>
      <w:proofErr w:type="spellStart"/>
      <w:r w:rsidRPr="00437B84">
        <w:rPr>
          <w:rFonts w:ascii="Times New Roman" w:eastAsia="Times New Roman" w:hAnsi="Times New Roman" w:cs="Times New Roman"/>
          <w:i/>
          <w:iCs/>
          <w:kern w:val="0"/>
          <w:lang w:eastAsia="en-IN"/>
          <w14:ligatures w14:val="none"/>
        </w:rPr>
        <w:t>Madhuca</w:t>
      </w:r>
      <w:proofErr w:type="spellEnd"/>
      <w:r w:rsidRPr="00437B84">
        <w:rPr>
          <w:rFonts w:ascii="Times New Roman" w:eastAsia="Times New Roman" w:hAnsi="Times New Roman" w:cs="Times New Roman"/>
          <w:i/>
          <w:iCs/>
          <w:kern w:val="0"/>
          <w:lang w:eastAsia="en-IN"/>
          <w14:ligatures w14:val="none"/>
        </w:rPr>
        <w:t xml:space="preserve"> indica</w:t>
      </w:r>
      <w:r w:rsidRPr="00437B84">
        <w:rPr>
          <w:rFonts w:ascii="Times New Roman" w:eastAsia="Times New Roman" w:hAnsi="Times New Roman" w:cs="Times New Roman"/>
          <w:kern w:val="0"/>
          <w:lang w:eastAsia="en-IN"/>
          <w14:ligatures w14:val="none"/>
        </w:rPr>
        <w:t xml:space="preserve">, </w:t>
      </w:r>
      <w:proofErr w:type="spellStart"/>
      <w:r w:rsidRPr="00437B84">
        <w:rPr>
          <w:rFonts w:ascii="Times New Roman" w:eastAsia="Times New Roman" w:hAnsi="Times New Roman" w:cs="Times New Roman"/>
          <w:i/>
          <w:iCs/>
          <w:kern w:val="0"/>
          <w:lang w:eastAsia="en-IN"/>
          <w14:ligatures w14:val="none"/>
        </w:rPr>
        <w:t>Picrorhiza</w:t>
      </w:r>
      <w:proofErr w:type="spellEnd"/>
      <w:r w:rsidRPr="00437B84">
        <w:rPr>
          <w:rFonts w:ascii="Times New Roman" w:eastAsia="Times New Roman" w:hAnsi="Times New Roman" w:cs="Times New Roman"/>
          <w:i/>
          <w:iCs/>
          <w:kern w:val="0"/>
          <w:lang w:eastAsia="en-IN"/>
          <w14:ligatures w14:val="none"/>
        </w:rPr>
        <w:t xml:space="preserve"> </w:t>
      </w:r>
      <w:proofErr w:type="spellStart"/>
      <w:r w:rsidRPr="00437B84">
        <w:rPr>
          <w:rFonts w:ascii="Times New Roman" w:eastAsia="Times New Roman" w:hAnsi="Times New Roman" w:cs="Times New Roman"/>
          <w:i/>
          <w:iCs/>
          <w:kern w:val="0"/>
          <w:lang w:eastAsia="en-IN"/>
          <w14:ligatures w14:val="none"/>
        </w:rPr>
        <w:t>kurroa</w:t>
      </w:r>
      <w:proofErr w:type="spellEnd"/>
      <w:r w:rsidRPr="00437B84">
        <w:rPr>
          <w:rFonts w:ascii="Times New Roman" w:eastAsia="Times New Roman" w:hAnsi="Times New Roman" w:cs="Times New Roman"/>
          <w:kern w:val="0"/>
          <w:lang w:eastAsia="en-IN"/>
          <w14:ligatures w14:val="none"/>
        </w:rPr>
        <w:t xml:space="preserve">, and </w:t>
      </w:r>
      <w:proofErr w:type="spellStart"/>
      <w:r w:rsidRPr="00437B84">
        <w:rPr>
          <w:rFonts w:ascii="Times New Roman" w:eastAsia="Times New Roman" w:hAnsi="Times New Roman" w:cs="Times New Roman"/>
          <w:i/>
          <w:iCs/>
          <w:kern w:val="0"/>
          <w:lang w:eastAsia="en-IN"/>
          <w14:ligatures w14:val="none"/>
        </w:rPr>
        <w:t>Syzygium</w:t>
      </w:r>
      <w:proofErr w:type="spellEnd"/>
      <w:r w:rsidRPr="00437B84">
        <w:rPr>
          <w:rFonts w:ascii="Times New Roman" w:eastAsia="Times New Roman" w:hAnsi="Times New Roman" w:cs="Times New Roman"/>
          <w:i/>
          <w:iCs/>
          <w:kern w:val="0"/>
          <w:lang w:eastAsia="en-IN"/>
          <w14:ligatures w14:val="none"/>
        </w:rPr>
        <w:t xml:space="preserve"> </w:t>
      </w:r>
      <w:proofErr w:type="spellStart"/>
      <w:r w:rsidRPr="00437B84">
        <w:rPr>
          <w:rFonts w:ascii="Times New Roman" w:eastAsia="Times New Roman" w:hAnsi="Times New Roman" w:cs="Times New Roman"/>
          <w:i/>
          <w:iCs/>
          <w:kern w:val="0"/>
          <w:lang w:eastAsia="en-IN"/>
          <w14:ligatures w14:val="none"/>
        </w:rPr>
        <w:t>cumini</w:t>
      </w:r>
      <w:proofErr w:type="spellEnd"/>
      <w:r w:rsidRPr="00437B84">
        <w:rPr>
          <w:rFonts w:ascii="Times New Roman" w:eastAsia="Times New Roman" w:hAnsi="Times New Roman" w:cs="Times New Roman"/>
          <w:kern w:val="0"/>
          <w:lang w:eastAsia="en-IN"/>
          <w14:ligatures w14:val="none"/>
        </w:rPr>
        <w:t xml:space="preserve"> showed strong antioxidant activity and the free radical scavenging </w:t>
      </w:r>
      <w:proofErr w:type="gramStart"/>
      <w:r w:rsidRPr="00437B84">
        <w:rPr>
          <w:rFonts w:ascii="Times New Roman" w:eastAsia="Times New Roman" w:hAnsi="Times New Roman" w:cs="Times New Roman"/>
          <w:kern w:val="0"/>
          <w:lang w:eastAsia="en-IN"/>
          <w14:ligatures w14:val="none"/>
        </w:rPr>
        <w:t>capabilities.(</w:t>
      </w:r>
      <w:proofErr w:type="gramEnd"/>
      <w:r w:rsidRPr="00437B84">
        <w:rPr>
          <w:rFonts w:ascii="Times New Roman" w:eastAsia="Times New Roman" w:hAnsi="Times New Roman" w:cs="Times New Roman"/>
          <w:kern w:val="0"/>
          <w:lang w:eastAsia="en-IN"/>
          <w14:ligatures w14:val="none"/>
        </w:rPr>
        <w:t xml:space="preserve">Iqbal &amp; Gurumurthy, 2016). </w:t>
      </w:r>
      <w:proofErr w:type="spellStart"/>
      <w:r w:rsidRPr="00437B84">
        <w:rPr>
          <w:rFonts w:ascii="Times New Roman" w:eastAsia="Times New Roman" w:hAnsi="Times New Roman" w:cs="Times New Roman"/>
          <w:kern w:val="0"/>
          <w:lang w:eastAsia="en-IN"/>
          <w14:ligatures w14:val="none"/>
        </w:rPr>
        <w:t>Dasamula</w:t>
      </w:r>
      <w:proofErr w:type="spellEnd"/>
      <w:r w:rsidRPr="00437B84">
        <w:rPr>
          <w:rFonts w:ascii="Times New Roman" w:eastAsia="Times New Roman" w:hAnsi="Times New Roman" w:cs="Times New Roman"/>
          <w:kern w:val="0"/>
          <w:lang w:eastAsia="en-IN"/>
          <w14:ligatures w14:val="none"/>
        </w:rPr>
        <w:t xml:space="preserve"> is traditionally used to treat pain and inflammation which indicates a high concentration of beneficial components such as alkaloids, tannins, and </w:t>
      </w:r>
      <w:proofErr w:type="gramStart"/>
      <w:r w:rsidRPr="00437B84">
        <w:rPr>
          <w:rFonts w:ascii="Times New Roman" w:eastAsia="Times New Roman" w:hAnsi="Times New Roman" w:cs="Times New Roman"/>
          <w:kern w:val="0"/>
          <w:lang w:eastAsia="en-IN"/>
          <w14:ligatures w14:val="none"/>
        </w:rPr>
        <w:t>flavonoids.(</w:t>
      </w:r>
      <w:proofErr w:type="gramEnd"/>
      <w:r w:rsidRPr="00437B84">
        <w:rPr>
          <w:rFonts w:ascii="Times New Roman" w:eastAsia="Times New Roman" w:hAnsi="Times New Roman" w:cs="Times New Roman"/>
          <w:kern w:val="0"/>
          <w:lang w:eastAsia="en-IN"/>
          <w14:ligatures w14:val="none"/>
        </w:rPr>
        <w:t>Vadivel, 2016).</w:t>
      </w:r>
    </w:p>
    <w:p w14:paraId="15FC4ABC"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 xml:space="preserve">The blooms, roots, and leaves of metabolites like saponins, tannins, flavonoids, alkaloids, glycosides </w:t>
      </w:r>
      <w:proofErr w:type="spellStart"/>
      <w:r w:rsidRPr="00437B84">
        <w:rPr>
          <w:rFonts w:ascii="Times New Roman" w:eastAsia="Times New Roman" w:hAnsi="Times New Roman" w:cs="Times New Roman"/>
          <w:i/>
          <w:iCs/>
          <w:kern w:val="0"/>
          <w:lang w:eastAsia="en-IN"/>
          <w14:ligatures w14:val="none"/>
        </w:rPr>
        <w:t>Barleria</w:t>
      </w:r>
      <w:proofErr w:type="spellEnd"/>
      <w:r w:rsidRPr="00437B84">
        <w:rPr>
          <w:rFonts w:ascii="Times New Roman" w:eastAsia="Times New Roman" w:hAnsi="Times New Roman" w:cs="Times New Roman"/>
          <w:i/>
          <w:iCs/>
          <w:kern w:val="0"/>
          <w:lang w:eastAsia="en-IN"/>
          <w14:ligatures w14:val="none"/>
        </w:rPr>
        <w:t xml:space="preserve"> </w:t>
      </w:r>
      <w:proofErr w:type="spellStart"/>
      <w:r w:rsidRPr="00437B84">
        <w:rPr>
          <w:rFonts w:ascii="Times New Roman" w:eastAsia="Times New Roman" w:hAnsi="Times New Roman" w:cs="Times New Roman"/>
          <w:i/>
          <w:iCs/>
          <w:kern w:val="0"/>
          <w:lang w:eastAsia="en-IN"/>
          <w14:ligatures w14:val="none"/>
        </w:rPr>
        <w:t>prionitis</w:t>
      </w:r>
      <w:proofErr w:type="spellEnd"/>
      <w:r w:rsidRPr="00437B84">
        <w:rPr>
          <w:rFonts w:ascii="Times New Roman" w:eastAsia="Times New Roman" w:hAnsi="Times New Roman" w:cs="Times New Roman"/>
          <w:kern w:val="0"/>
          <w:lang w:eastAsia="en-IN"/>
          <w14:ligatures w14:val="none"/>
        </w:rPr>
        <w:t xml:space="preserve"> can be used to treat conditions like pain, fever, cough, and </w:t>
      </w:r>
      <w:proofErr w:type="gramStart"/>
      <w:r w:rsidRPr="00437B84">
        <w:rPr>
          <w:rFonts w:ascii="Times New Roman" w:eastAsia="Times New Roman" w:hAnsi="Times New Roman" w:cs="Times New Roman"/>
          <w:kern w:val="0"/>
          <w:lang w:eastAsia="en-IN"/>
          <w14:ligatures w14:val="none"/>
        </w:rPr>
        <w:t>jaundice.(</w:t>
      </w:r>
      <w:proofErr w:type="gramEnd"/>
      <w:r w:rsidRPr="00437B84">
        <w:rPr>
          <w:rFonts w:ascii="Times New Roman" w:eastAsia="Times New Roman" w:hAnsi="Times New Roman" w:cs="Times New Roman"/>
          <w:kern w:val="0"/>
          <w:lang w:eastAsia="en-IN"/>
          <w14:ligatures w14:val="none"/>
        </w:rPr>
        <w:t>Talukdar et al., 2015).</w:t>
      </w:r>
    </w:p>
    <w:p w14:paraId="0ACBC692"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437B84">
        <w:rPr>
          <w:rFonts w:ascii="Times New Roman" w:eastAsia="Times New Roman" w:hAnsi="Times New Roman" w:cs="Times New Roman"/>
          <w:kern w:val="0"/>
          <w:lang w:eastAsia="en-IN"/>
          <w14:ligatures w14:val="none"/>
        </w:rPr>
        <w:t>Dashanga</w:t>
      </w:r>
      <w:proofErr w:type="spellEnd"/>
      <w:r w:rsidRPr="00437B84">
        <w:rPr>
          <w:rFonts w:ascii="Times New Roman" w:eastAsia="Times New Roman" w:hAnsi="Times New Roman" w:cs="Times New Roman"/>
          <w:kern w:val="0"/>
          <w:lang w:eastAsia="en-IN"/>
          <w14:ligatures w14:val="none"/>
        </w:rPr>
        <w:t xml:space="preserve"> Yoga demonstrates to be effective in both anti-inflammatory and analgesic characteristics, necessitating further examination of its active ingredients and mechanisms of </w:t>
      </w:r>
      <w:proofErr w:type="gramStart"/>
      <w:r w:rsidRPr="00437B84">
        <w:rPr>
          <w:rFonts w:ascii="Times New Roman" w:eastAsia="Times New Roman" w:hAnsi="Times New Roman" w:cs="Times New Roman"/>
          <w:kern w:val="0"/>
          <w:lang w:eastAsia="en-IN"/>
          <w14:ligatures w14:val="none"/>
        </w:rPr>
        <w:t>action.(</w:t>
      </w:r>
      <w:proofErr w:type="spellStart"/>
      <w:proofErr w:type="gramEnd"/>
      <w:r w:rsidRPr="00437B84">
        <w:rPr>
          <w:rFonts w:ascii="Times New Roman" w:eastAsia="Times New Roman" w:hAnsi="Times New Roman" w:cs="Times New Roman"/>
          <w:kern w:val="0"/>
          <w:lang w:eastAsia="en-IN"/>
          <w14:ligatures w14:val="none"/>
        </w:rPr>
        <w:t>Ruknuddin</w:t>
      </w:r>
      <w:proofErr w:type="spellEnd"/>
      <w:r w:rsidRPr="00437B84">
        <w:rPr>
          <w:rFonts w:ascii="Times New Roman" w:eastAsia="Times New Roman" w:hAnsi="Times New Roman" w:cs="Times New Roman"/>
          <w:kern w:val="0"/>
          <w:lang w:eastAsia="en-IN"/>
          <w14:ligatures w14:val="none"/>
        </w:rPr>
        <w:t xml:space="preserve"> et al., 2013).</w:t>
      </w:r>
    </w:p>
    <w:p w14:paraId="468D9253"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 xml:space="preserve">The antioxidant activity of a syrup prepared out of </w:t>
      </w:r>
      <w:proofErr w:type="spellStart"/>
      <w:r w:rsidRPr="00437B84">
        <w:rPr>
          <w:rFonts w:ascii="Times New Roman" w:eastAsia="Times New Roman" w:hAnsi="Times New Roman" w:cs="Times New Roman"/>
          <w:i/>
          <w:iCs/>
          <w:kern w:val="0"/>
          <w:lang w:eastAsia="en-IN"/>
          <w14:ligatures w14:val="none"/>
        </w:rPr>
        <w:t>Centella</w:t>
      </w:r>
      <w:proofErr w:type="spellEnd"/>
      <w:r w:rsidRPr="00437B84">
        <w:rPr>
          <w:rFonts w:ascii="Times New Roman" w:eastAsia="Times New Roman" w:hAnsi="Times New Roman" w:cs="Times New Roman"/>
          <w:i/>
          <w:iCs/>
          <w:kern w:val="0"/>
          <w:lang w:eastAsia="en-IN"/>
          <w14:ligatures w14:val="none"/>
        </w:rPr>
        <w:t xml:space="preserve"> asiatica</w:t>
      </w:r>
      <w:r w:rsidRPr="00437B84">
        <w:rPr>
          <w:rFonts w:ascii="Times New Roman" w:eastAsia="Times New Roman" w:hAnsi="Times New Roman" w:cs="Times New Roman"/>
          <w:kern w:val="0"/>
          <w:lang w:eastAsia="en-IN"/>
          <w14:ligatures w14:val="none"/>
        </w:rPr>
        <w:t xml:space="preserve">, </w:t>
      </w:r>
      <w:r w:rsidRPr="00437B84">
        <w:rPr>
          <w:rFonts w:ascii="Times New Roman" w:eastAsia="Times New Roman" w:hAnsi="Times New Roman" w:cs="Times New Roman"/>
          <w:i/>
          <w:iCs/>
          <w:kern w:val="0"/>
          <w:lang w:eastAsia="en-IN"/>
          <w14:ligatures w14:val="none"/>
        </w:rPr>
        <w:t xml:space="preserve">Bacopa </w:t>
      </w:r>
      <w:proofErr w:type="spellStart"/>
      <w:r w:rsidRPr="00437B84">
        <w:rPr>
          <w:rFonts w:ascii="Times New Roman" w:eastAsia="Times New Roman" w:hAnsi="Times New Roman" w:cs="Times New Roman"/>
          <w:i/>
          <w:iCs/>
          <w:kern w:val="0"/>
          <w:lang w:eastAsia="en-IN"/>
          <w14:ligatures w14:val="none"/>
        </w:rPr>
        <w:t>monnieri</w:t>
      </w:r>
      <w:proofErr w:type="spellEnd"/>
      <w:r w:rsidRPr="00437B84">
        <w:rPr>
          <w:rFonts w:ascii="Times New Roman" w:eastAsia="Times New Roman" w:hAnsi="Times New Roman" w:cs="Times New Roman"/>
          <w:kern w:val="0"/>
          <w:lang w:eastAsia="en-IN"/>
          <w14:ligatures w14:val="none"/>
        </w:rPr>
        <w:t xml:space="preserve">, and </w:t>
      </w:r>
      <w:proofErr w:type="spellStart"/>
      <w:r w:rsidRPr="00437B84">
        <w:rPr>
          <w:rFonts w:ascii="Times New Roman" w:eastAsia="Times New Roman" w:hAnsi="Times New Roman" w:cs="Times New Roman"/>
          <w:i/>
          <w:iCs/>
          <w:kern w:val="0"/>
          <w:lang w:eastAsia="en-IN"/>
          <w14:ligatures w14:val="none"/>
        </w:rPr>
        <w:t>Hippophae</w:t>
      </w:r>
      <w:proofErr w:type="spellEnd"/>
      <w:r w:rsidRPr="00437B84">
        <w:rPr>
          <w:rFonts w:ascii="Times New Roman" w:eastAsia="Times New Roman" w:hAnsi="Times New Roman" w:cs="Times New Roman"/>
          <w:i/>
          <w:iCs/>
          <w:kern w:val="0"/>
          <w:lang w:eastAsia="en-IN"/>
          <w14:ligatures w14:val="none"/>
        </w:rPr>
        <w:t xml:space="preserve"> </w:t>
      </w:r>
      <w:proofErr w:type="spellStart"/>
      <w:r w:rsidRPr="00437B84">
        <w:rPr>
          <w:rFonts w:ascii="Times New Roman" w:eastAsia="Times New Roman" w:hAnsi="Times New Roman" w:cs="Times New Roman"/>
          <w:i/>
          <w:iCs/>
          <w:kern w:val="0"/>
          <w:lang w:eastAsia="en-IN"/>
          <w14:ligatures w14:val="none"/>
        </w:rPr>
        <w:t>rhamnoides</w:t>
      </w:r>
      <w:proofErr w:type="spellEnd"/>
      <w:r w:rsidRPr="00437B84">
        <w:rPr>
          <w:rFonts w:ascii="Times New Roman" w:eastAsia="Times New Roman" w:hAnsi="Times New Roman" w:cs="Times New Roman"/>
          <w:kern w:val="0"/>
          <w:lang w:eastAsia="en-IN"/>
          <w14:ligatures w14:val="none"/>
        </w:rPr>
        <w:t xml:space="preserve"> was evaluated and showed as the created mixture have high antioxidant </w:t>
      </w:r>
      <w:proofErr w:type="gramStart"/>
      <w:r w:rsidRPr="00437B84">
        <w:rPr>
          <w:rFonts w:ascii="Times New Roman" w:eastAsia="Times New Roman" w:hAnsi="Times New Roman" w:cs="Times New Roman"/>
          <w:kern w:val="0"/>
          <w:lang w:eastAsia="en-IN"/>
          <w14:ligatures w14:val="none"/>
        </w:rPr>
        <w:t>capacity.(</w:t>
      </w:r>
      <w:proofErr w:type="gramEnd"/>
      <w:r w:rsidRPr="00437B84">
        <w:rPr>
          <w:rFonts w:ascii="Times New Roman" w:eastAsia="Times New Roman" w:hAnsi="Times New Roman" w:cs="Times New Roman"/>
          <w:kern w:val="0"/>
          <w:lang w:eastAsia="en-IN"/>
          <w14:ligatures w14:val="none"/>
        </w:rPr>
        <w:t>Singh et al., 2012).</w:t>
      </w:r>
    </w:p>
    <w:p w14:paraId="40335856"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r w:rsidRPr="00437B84">
        <w:rPr>
          <w:rFonts w:ascii="Times New Roman" w:eastAsia="Times New Roman" w:hAnsi="Times New Roman" w:cs="Times New Roman"/>
          <w:kern w:val="0"/>
          <w:lang w:eastAsia="en-IN"/>
          <w14:ligatures w14:val="none"/>
        </w:rPr>
        <w:t xml:space="preserve">Reverse pharmacology technique can be used to reveal novel </w:t>
      </w:r>
      <w:proofErr w:type="spellStart"/>
      <w:proofErr w:type="gramStart"/>
      <w:r w:rsidRPr="00437B84">
        <w:rPr>
          <w:rFonts w:ascii="Times New Roman" w:eastAsia="Times New Roman" w:hAnsi="Times New Roman" w:cs="Times New Roman"/>
          <w:kern w:val="0"/>
          <w:lang w:eastAsia="en-IN"/>
          <w14:ligatures w14:val="none"/>
        </w:rPr>
        <w:t>anti inflammatory</w:t>
      </w:r>
      <w:proofErr w:type="spellEnd"/>
      <w:proofErr w:type="gramEnd"/>
      <w:r w:rsidRPr="00437B84">
        <w:rPr>
          <w:rFonts w:ascii="Times New Roman" w:eastAsia="Times New Roman" w:hAnsi="Times New Roman" w:cs="Times New Roman"/>
          <w:kern w:val="0"/>
          <w:lang w:eastAsia="en-IN"/>
          <w14:ligatures w14:val="none"/>
        </w:rPr>
        <w:t xml:space="preserve"> compounds from ayurvedic medicines, which can connect ancient knowledge with current scientific </w:t>
      </w:r>
      <w:proofErr w:type="gramStart"/>
      <w:r w:rsidRPr="00437B84">
        <w:rPr>
          <w:rFonts w:ascii="Times New Roman" w:eastAsia="Times New Roman" w:hAnsi="Times New Roman" w:cs="Times New Roman"/>
          <w:kern w:val="0"/>
          <w:lang w:eastAsia="en-IN"/>
          <w14:ligatures w14:val="none"/>
        </w:rPr>
        <w:t>validation.(</w:t>
      </w:r>
      <w:proofErr w:type="gramEnd"/>
      <w:r w:rsidRPr="00437B84">
        <w:rPr>
          <w:rFonts w:ascii="Times New Roman" w:eastAsia="Times New Roman" w:hAnsi="Times New Roman" w:cs="Times New Roman"/>
          <w:kern w:val="0"/>
          <w:lang w:eastAsia="en-IN"/>
          <w14:ligatures w14:val="none"/>
        </w:rPr>
        <w:t xml:space="preserve">B. Aggarwal et al., 2011). </w:t>
      </w:r>
      <w:proofErr w:type="spellStart"/>
      <w:r w:rsidRPr="00437B84">
        <w:rPr>
          <w:rFonts w:ascii="Times New Roman" w:eastAsia="Times New Roman" w:hAnsi="Times New Roman" w:cs="Times New Roman"/>
          <w:kern w:val="0"/>
          <w:lang w:eastAsia="en-IN"/>
          <w14:ligatures w14:val="none"/>
        </w:rPr>
        <w:t>Triglize</w:t>
      </w:r>
      <w:proofErr w:type="spellEnd"/>
      <w:r w:rsidRPr="00437B84">
        <w:rPr>
          <w:rFonts w:ascii="Times New Roman" w:eastAsia="Times New Roman" w:hAnsi="Times New Roman" w:cs="Times New Roman"/>
          <w:kern w:val="0"/>
          <w:lang w:eastAsia="en-IN"/>
          <w14:ligatures w14:val="none"/>
        </w:rPr>
        <w:t xml:space="preserve">, a commercialized polyherbal preparation, appear to have </w:t>
      </w:r>
      <w:proofErr w:type="spellStart"/>
      <w:r w:rsidRPr="00437B84">
        <w:rPr>
          <w:rFonts w:ascii="Times New Roman" w:eastAsia="Times New Roman" w:hAnsi="Times New Roman" w:cs="Times New Roman"/>
          <w:kern w:val="0"/>
          <w:lang w:eastAsia="en-IN"/>
          <w14:ligatures w14:val="none"/>
        </w:rPr>
        <w:t>anti oxidant</w:t>
      </w:r>
      <w:proofErr w:type="spellEnd"/>
      <w:r w:rsidRPr="00437B84">
        <w:rPr>
          <w:rFonts w:ascii="Times New Roman" w:eastAsia="Times New Roman" w:hAnsi="Times New Roman" w:cs="Times New Roman"/>
          <w:kern w:val="0"/>
          <w:lang w:eastAsia="en-IN"/>
          <w14:ligatures w14:val="none"/>
        </w:rPr>
        <w:t xml:space="preserve"> and diuretic qualities and can be used in controlling hypertension and heart </w:t>
      </w:r>
      <w:proofErr w:type="gramStart"/>
      <w:r w:rsidRPr="00437B84">
        <w:rPr>
          <w:rFonts w:ascii="Times New Roman" w:eastAsia="Times New Roman" w:hAnsi="Times New Roman" w:cs="Times New Roman"/>
          <w:kern w:val="0"/>
          <w:lang w:eastAsia="en-IN"/>
          <w14:ligatures w14:val="none"/>
        </w:rPr>
        <w:t>diseases.(</w:t>
      </w:r>
      <w:proofErr w:type="gramEnd"/>
      <w:r w:rsidRPr="00437B84">
        <w:rPr>
          <w:rFonts w:ascii="Times New Roman" w:eastAsia="Times New Roman" w:hAnsi="Times New Roman" w:cs="Times New Roman"/>
          <w:kern w:val="0"/>
          <w:lang w:eastAsia="en-IN"/>
          <w14:ligatures w14:val="none"/>
        </w:rPr>
        <w:t>Parasuraman et al., 2010).</w:t>
      </w:r>
    </w:p>
    <w:p w14:paraId="0CD0C173" w14:textId="77777777" w:rsidR="00437B84" w:rsidRPr="00437B84" w:rsidRDefault="00437B84"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437B84">
        <w:rPr>
          <w:rFonts w:ascii="Times New Roman" w:eastAsia="Times New Roman" w:hAnsi="Times New Roman" w:cs="Times New Roman"/>
          <w:kern w:val="0"/>
          <w:lang w:eastAsia="en-IN"/>
          <w14:ligatures w14:val="none"/>
        </w:rPr>
        <w:t>Elakanadi</w:t>
      </w:r>
      <w:proofErr w:type="spellEnd"/>
      <w:r w:rsidRPr="00437B84">
        <w:rPr>
          <w:rFonts w:ascii="Times New Roman" w:eastAsia="Times New Roman" w:hAnsi="Times New Roman" w:cs="Times New Roman"/>
          <w:kern w:val="0"/>
          <w:lang w:eastAsia="en-IN"/>
          <w14:ligatures w14:val="none"/>
        </w:rPr>
        <w:t xml:space="preserve"> Kashayam, used to treat chronic respiratory conditions, has strong anti-inflammatory, antioxidant, and anti-cancer </w:t>
      </w:r>
      <w:proofErr w:type="gramStart"/>
      <w:r w:rsidRPr="00437B84">
        <w:rPr>
          <w:rFonts w:ascii="Times New Roman" w:eastAsia="Times New Roman" w:hAnsi="Times New Roman" w:cs="Times New Roman"/>
          <w:kern w:val="0"/>
          <w:lang w:eastAsia="en-IN"/>
          <w14:ligatures w14:val="none"/>
        </w:rPr>
        <w:t>properties.(</w:t>
      </w:r>
      <w:proofErr w:type="gramEnd"/>
      <w:r w:rsidRPr="00437B84">
        <w:rPr>
          <w:rFonts w:ascii="Times New Roman" w:eastAsia="Times New Roman" w:hAnsi="Times New Roman" w:cs="Times New Roman"/>
          <w:kern w:val="0"/>
          <w:lang w:eastAsia="en-IN"/>
          <w14:ligatures w14:val="none"/>
        </w:rPr>
        <w:t xml:space="preserve">Rao &amp; </w:t>
      </w:r>
      <w:proofErr w:type="spellStart"/>
      <w:r w:rsidRPr="00437B84">
        <w:rPr>
          <w:rFonts w:ascii="Times New Roman" w:eastAsia="Times New Roman" w:hAnsi="Times New Roman" w:cs="Times New Roman"/>
          <w:kern w:val="0"/>
          <w:lang w:eastAsia="en-IN"/>
          <w14:ligatures w14:val="none"/>
        </w:rPr>
        <w:t>Pazhanimuthu</w:t>
      </w:r>
      <w:proofErr w:type="spellEnd"/>
      <w:r w:rsidRPr="00437B84">
        <w:rPr>
          <w:rFonts w:ascii="Times New Roman" w:eastAsia="Times New Roman" w:hAnsi="Times New Roman" w:cs="Times New Roman"/>
          <w:kern w:val="0"/>
          <w:lang w:eastAsia="en-IN"/>
          <w14:ligatures w14:val="none"/>
        </w:rPr>
        <w:t xml:space="preserve">, n.d.). The methanolic extracts of </w:t>
      </w:r>
      <w:r w:rsidRPr="00437B84">
        <w:rPr>
          <w:rFonts w:ascii="Times New Roman" w:eastAsia="Times New Roman" w:hAnsi="Times New Roman" w:cs="Times New Roman"/>
          <w:i/>
          <w:iCs/>
          <w:kern w:val="0"/>
          <w:lang w:eastAsia="en-IN"/>
          <w14:ligatures w14:val="none"/>
        </w:rPr>
        <w:t xml:space="preserve">Phyllanthus </w:t>
      </w:r>
      <w:proofErr w:type="spellStart"/>
      <w:r w:rsidRPr="00437B84">
        <w:rPr>
          <w:rFonts w:ascii="Times New Roman" w:eastAsia="Times New Roman" w:hAnsi="Times New Roman" w:cs="Times New Roman"/>
          <w:i/>
          <w:iCs/>
          <w:kern w:val="0"/>
          <w:lang w:eastAsia="en-IN"/>
          <w14:ligatures w14:val="none"/>
        </w:rPr>
        <w:t>emblica</w:t>
      </w:r>
      <w:proofErr w:type="spellEnd"/>
      <w:r w:rsidRPr="00437B84">
        <w:rPr>
          <w:rFonts w:ascii="Times New Roman" w:eastAsia="Times New Roman" w:hAnsi="Times New Roman" w:cs="Times New Roman"/>
          <w:kern w:val="0"/>
          <w:lang w:eastAsia="en-IN"/>
          <w14:ligatures w14:val="none"/>
        </w:rPr>
        <w:t xml:space="preserve">, </w:t>
      </w:r>
      <w:r w:rsidRPr="00437B84">
        <w:rPr>
          <w:rFonts w:ascii="Times New Roman" w:eastAsia="Times New Roman" w:hAnsi="Times New Roman" w:cs="Times New Roman"/>
          <w:i/>
          <w:iCs/>
          <w:kern w:val="0"/>
          <w:lang w:eastAsia="en-IN"/>
          <w14:ligatures w14:val="none"/>
        </w:rPr>
        <w:t>Moringa oleifera</w:t>
      </w:r>
      <w:r w:rsidRPr="00437B84">
        <w:rPr>
          <w:rFonts w:ascii="Times New Roman" w:eastAsia="Times New Roman" w:hAnsi="Times New Roman" w:cs="Times New Roman"/>
          <w:kern w:val="0"/>
          <w:lang w:eastAsia="en-IN"/>
          <w14:ligatures w14:val="none"/>
        </w:rPr>
        <w:t xml:space="preserve">, and </w:t>
      </w:r>
      <w:r w:rsidRPr="00437B84">
        <w:rPr>
          <w:rFonts w:ascii="Times New Roman" w:eastAsia="Times New Roman" w:hAnsi="Times New Roman" w:cs="Times New Roman"/>
          <w:i/>
          <w:iCs/>
          <w:kern w:val="0"/>
          <w:lang w:eastAsia="en-IN"/>
          <w14:ligatures w14:val="none"/>
        </w:rPr>
        <w:t>Citrus limon</w:t>
      </w:r>
      <w:r w:rsidRPr="00437B84">
        <w:rPr>
          <w:rFonts w:ascii="Times New Roman" w:eastAsia="Times New Roman" w:hAnsi="Times New Roman" w:cs="Times New Roman"/>
          <w:kern w:val="0"/>
          <w:lang w:eastAsia="en-IN"/>
          <w14:ligatures w14:val="none"/>
        </w:rPr>
        <w:t xml:space="preserve"> has been assessed phytochemically to reveal the antioxidant activity of a polyherbal formulation and found to have substantial synergistic antioxidant </w:t>
      </w:r>
      <w:proofErr w:type="gramStart"/>
      <w:r w:rsidRPr="00437B84">
        <w:rPr>
          <w:rFonts w:ascii="Times New Roman" w:eastAsia="Times New Roman" w:hAnsi="Times New Roman" w:cs="Times New Roman"/>
          <w:kern w:val="0"/>
          <w:lang w:eastAsia="en-IN"/>
          <w14:ligatures w14:val="none"/>
        </w:rPr>
        <w:t>effects.(</w:t>
      </w:r>
      <w:proofErr w:type="gramEnd"/>
      <w:r w:rsidRPr="00437B84">
        <w:rPr>
          <w:rFonts w:ascii="Times New Roman" w:eastAsia="Times New Roman" w:hAnsi="Times New Roman" w:cs="Times New Roman"/>
          <w:kern w:val="0"/>
          <w:lang w:eastAsia="en-IN"/>
          <w14:ligatures w14:val="none"/>
        </w:rPr>
        <w:t>Ramasamy et al., n.d.).</w:t>
      </w:r>
    </w:p>
    <w:p w14:paraId="1183E622" w14:textId="77777777" w:rsidR="00C24AB3" w:rsidRPr="00946F1D" w:rsidRDefault="00C24AB3" w:rsidP="00946F1D">
      <w:pPr>
        <w:spacing w:after="0" w:line="360" w:lineRule="auto"/>
        <w:jc w:val="both"/>
        <w:rPr>
          <w:rFonts w:ascii="Times New Roman" w:eastAsia="Times New Roman" w:hAnsi="Times New Roman" w:cs="Times New Roman"/>
          <w:b/>
          <w:bCs/>
          <w:kern w:val="0"/>
          <w:lang w:eastAsia="en-IN"/>
          <w14:ligatures w14:val="none"/>
        </w:rPr>
      </w:pPr>
    </w:p>
    <w:p w14:paraId="07EAAE13" w14:textId="77777777" w:rsidR="009D0497" w:rsidRDefault="009D0497" w:rsidP="00946F1D">
      <w:pPr>
        <w:spacing w:after="0" w:line="360" w:lineRule="auto"/>
        <w:jc w:val="both"/>
        <w:rPr>
          <w:rFonts w:ascii="Times New Roman" w:eastAsia="Times New Roman" w:hAnsi="Times New Roman" w:cs="Times New Roman"/>
          <w:b/>
          <w:bCs/>
          <w:kern w:val="0"/>
          <w:lang w:eastAsia="en-IN"/>
          <w14:ligatures w14:val="none"/>
        </w:rPr>
      </w:pPr>
    </w:p>
    <w:p w14:paraId="0808AE85" w14:textId="77777777" w:rsidR="009D0497" w:rsidRDefault="009D0497" w:rsidP="00946F1D">
      <w:pPr>
        <w:spacing w:after="0" w:line="360" w:lineRule="auto"/>
        <w:jc w:val="both"/>
        <w:rPr>
          <w:rFonts w:ascii="Times New Roman" w:eastAsia="Times New Roman" w:hAnsi="Times New Roman" w:cs="Times New Roman"/>
          <w:b/>
          <w:bCs/>
          <w:kern w:val="0"/>
          <w:lang w:eastAsia="en-IN"/>
          <w14:ligatures w14:val="none"/>
        </w:rPr>
      </w:pPr>
    </w:p>
    <w:p w14:paraId="58ADC759" w14:textId="77777777" w:rsidR="009D0497" w:rsidRDefault="009D0497" w:rsidP="00946F1D">
      <w:pPr>
        <w:spacing w:after="0" w:line="360" w:lineRule="auto"/>
        <w:jc w:val="both"/>
        <w:rPr>
          <w:rFonts w:ascii="Times New Roman" w:eastAsia="Times New Roman" w:hAnsi="Times New Roman" w:cs="Times New Roman"/>
          <w:b/>
          <w:bCs/>
          <w:kern w:val="0"/>
          <w:lang w:eastAsia="en-IN"/>
          <w14:ligatures w14:val="none"/>
        </w:rPr>
      </w:pPr>
    </w:p>
    <w:p w14:paraId="3AF96555" w14:textId="77777777" w:rsidR="009D0497" w:rsidRDefault="009D0497" w:rsidP="00946F1D">
      <w:pPr>
        <w:spacing w:after="0" w:line="360" w:lineRule="auto"/>
        <w:jc w:val="both"/>
        <w:rPr>
          <w:rFonts w:ascii="Times New Roman" w:eastAsia="Times New Roman" w:hAnsi="Times New Roman" w:cs="Times New Roman"/>
          <w:b/>
          <w:bCs/>
          <w:kern w:val="0"/>
          <w:lang w:eastAsia="en-IN"/>
          <w14:ligatures w14:val="none"/>
        </w:rPr>
      </w:pPr>
    </w:p>
    <w:p w14:paraId="05504F98" w14:textId="77777777" w:rsidR="009D0497" w:rsidRDefault="009D0497" w:rsidP="00946F1D">
      <w:pPr>
        <w:spacing w:after="0" w:line="360" w:lineRule="auto"/>
        <w:jc w:val="both"/>
        <w:rPr>
          <w:rFonts w:ascii="Times New Roman" w:eastAsia="Times New Roman" w:hAnsi="Times New Roman" w:cs="Times New Roman"/>
          <w:b/>
          <w:bCs/>
          <w:kern w:val="0"/>
          <w:lang w:eastAsia="en-IN"/>
          <w14:ligatures w14:val="none"/>
        </w:rPr>
      </w:pPr>
    </w:p>
    <w:p w14:paraId="2065AFE9" w14:textId="77777777" w:rsidR="009D0497" w:rsidRDefault="009D0497" w:rsidP="00946F1D">
      <w:pPr>
        <w:spacing w:after="0" w:line="360" w:lineRule="auto"/>
        <w:jc w:val="both"/>
        <w:rPr>
          <w:rFonts w:ascii="Times New Roman" w:eastAsia="Times New Roman" w:hAnsi="Times New Roman" w:cs="Times New Roman"/>
          <w:b/>
          <w:bCs/>
          <w:kern w:val="0"/>
          <w:lang w:eastAsia="en-IN"/>
          <w14:ligatures w14:val="none"/>
        </w:rPr>
      </w:pPr>
    </w:p>
    <w:p w14:paraId="50ACF0FB" w14:textId="750A1F75" w:rsidR="00C24AB3" w:rsidRPr="00946F1D" w:rsidRDefault="00042F2F"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lastRenderedPageBreak/>
        <w:t xml:space="preserve">Table 6.1. </w:t>
      </w:r>
      <w:r w:rsidR="00C24AB3" w:rsidRPr="00946F1D">
        <w:rPr>
          <w:rFonts w:ascii="Times New Roman" w:eastAsia="Times New Roman" w:hAnsi="Times New Roman" w:cs="Times New Roman"/>
          <w:b/>
          <w:bCs/>
          <w:kern w:val="0"/>
          <w:lang w:eastAsia="en-IN"/>
          <w14:ligatures w14:val="none"/>
        </w:rPr>
        <w:t>Antioxidant and Anti-inflammatory Activities of Ayurvedic and Polyherbal Formulations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3"/>
        <w:gridCol w:w="1709"/>
        <w:gridCol w:w="1778"/>
        <w:gridCol w:w="2018"/>
        <w:gridCol w:w="1508"/>
      </w:tblGrid>
      <w:tr w:rsidR="00C24AB3" w:rsidRPr="00946F1D" w14:paraId="6AEFB3F9" w14:textId="77777777" w:rsidTr="00C24AB3">
        <w:trPr>
          <w:tblHeader/>
          <w:tblCellSpacing w:w="15" w:type="dxa"/>
        </w:trPr>
        <w:tc>
          <w:tcPr>
            <w:tcW w:w="0" w:type="auto"/>
            <w:vAlign w:val="center"/>
            <w:hideMark/>
          </w:tcPr>
          <w:p w14:paraId="59FF0922" w14:textId="18217399" w:rsidR="00F5662A" w:rsidRPr="00946F1D" w:rsidRDefault="00F5662A"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Formulation</w:t>
            </w:r>
            <w:r w:rsidR="00C24AB3" w:rsidRPr="00946F1D">
              <w:rPr>
                <w:rFonts w:ascii="Times New Roman" w:eastAsia="Times New Roman" w:hAnsi="Times New Roman" w:cs="Times New Roman"/>
                <w:b/>
                <w:bCs/>
                <w:kern w:val="0"/>
                <w:lang w:eastAsia="en-IN"/>
                <w14:ligatures w14:val="none"/>
              </w:rPr>
              <w:t>/</w:t>
            </w:r>
            <w:r w:rsidRPr="00946F1D">
              <w:rPr>
                <w:rFonts w:ascii="Times New Roman" w:eastAsia="Times New Roman" w:hAnsi="Times New Roman" w:cs="Times New Roman"/>
                <w:b/>
                <w:bCs/>
                <w:kern w:val="0"/>
                <w:lang w:eastAsia="en-IN"/>
                <w14:ligatures w14:val="none"/>
              </w:rPr>
              <w:t>Plant</w:t>
            </w:r>
          </w:p>
        </w:tc>
        <w:tc>
          <w:tcPr>
            <w:tcW w:w="0" w:type="auto"/>
            <w:vAlign w:val="center"/>
            <w:hideMark/>
          </w:tcPr>
          <w:p w14:paraId="280E467A" w14:textId="26BEC6E7" w:rsidR="00F5662A" w:rsidRPr="00946F1D" w:rsidRDefault="00F5662A"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Assays Used</w:t>
            </w:r>
          </w:p>
        </w:tc>
        <w:tc>
          <w:tcPr>
            <w:tcW w:w="0" w:type="auto"/>
            <w:vAlign w:val="center"/>
            <w:hideMark/>
          </w:tcPr>
          <w:p w14:paraId="46B28A17" w14:textId="159DFFCB" w:rsidR="00F5662A" w:rsidRPr="00946F1D" w:rsidRDefault="00F5662A"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Key Bioactive Constituents/ Mechanisms</w:t>
            </w:r>
          </w:p>
        </w:tc>
        <w:tc>
          <w:tcPr>
            <w:tcW w:w="1988" w:type="dxa"/>
            <w:vAlign w:val="center"/>
            <w:hideMark/>
          </w:tcPr>
          <w:p w14:paraId="4A68710B" w14:textId="082DF87B" w:rsidR="00F5662A" w:rsidRPr="00946F1D" w:rsidRDefault="00F5662A"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 xml:space="preserve"> Therapeutic Significance</w:t>
            </w:r>
          </w:p>
        </w:tc>
        <w:tc>
          <w:tcPr>
            <w:tcW w:w="1463" w:type="dxa"/>
            <w:vAlign w:val="center"/>
            <w:hideMark/>
          </w:tcPr>
          <w:p w14:paraId="23C580EC" w14:textId="77777777" w:rsidR="00F5662A" w:rsidRPr="00946F1D" w:rsidRDefault="00F5662A"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Reference</w:t>
            </w:r>
          </w:p>
        </w:tc>
      </w:tr>
      <w:tr w:rsidR="00C24AB3" w:rsidRPr="00946F1D" w14:paraId="3BACE0B6" w14:textId="77777777" w:rsidTr="00C24AB3">
        <w:trPr>
          <w:tblCellSpacing w:w="15" w:type="dxa"/>
        </w:trPr>
        <w:tc>
          <w:tcPr>
            <w:tcW w:w="0" w:type="auto"/>
            <w:vAlign w:val="center"/>
            <w:hideMark/>
          </w:tcPr>
          <w:p w14:paraId="08D85A49"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Polyherbal antioxidant formulations</w:t>
            </w:r>
          </w:p>
        </w:tc>
        <w:tc>
          <w:tcPr>
            <w:tcW w:w="0" w:type="auto"/>
            <w:vAlign w:val="center"/>
            <w:hideMark/>
          </w:tcPr>
          <w:p w14:paraId="6F0C5BB0"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Phenolic estimation, combinatorial assays</w:t>
            </w:r>
          </w:p>
        </w:tc>
        <w:tc>
          <w:tcPr>
            <w:tcW w:w="0" w:type="auto"/>
            <w:vAlign w:val="center"/>
            <w:hideMark/>
          </w:tcPr>
          <w:p w14:paraId="48265F7B"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Phenolics, flavonoids</w:t>
            </w:r>
          </w:p>
        </w:tc>
        <w:tc>
          <w:tcPr>
            <w:tcW w:w="1988" w:type="dxa"/>
            <w:vAlign w:val="center"/>
            <w:hideMark/>
          </w:tcPr>
          <w:p w14:paraId="0329C4EF"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High phenolic content and positive synergistic interactions enhance antioxidant potential for food and supplement applications</w:t>
            </w:r>
          </w:p>
        </w:tc>
        <w:tc>
          <w:tcPr>
            <w:tcW w:w="1463" w:type="dxa"/>
            <w:vAlign w:val="center"/>
            <w:hideMark/>
          </w:tcPr>
          <w:p w14:paraId="7474B0BB"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Rahim et al., 2019</w:t>
            </w:r>
          </w:p>
        </w:tc>
      </w:tr>
      <w:tr w:rsidR="00C24AB3" w:rsidRPr="00946F1D" w14:paraId="23EEB22C" w14:textId="77777777" w:rsidTr="00C24AB3">
        <w:trPr>
          <w:tblCellSpacing w:w="15" w:type="dxa"/>
        </w:trPr>
        <w:tc>
          <w:tcPr>
            <w:tcW w:w="0" w:type="auto"/>
            <w:vAlign w:val="center"/>
            <w:hideMark/>
          </w:tcPr>
          <w:p w14:paraId="72356A60"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kern w:val="0"/>
                <w:lang w:eastAsia="en-IN"/>
                <w14:ligatures w14:val="none"/>
              </w:rPr>
              <w:t>Varanadi</w:t>
            </w:r>
            <w:proofErr w:type="spellEnd"/>
            <w:r w:rsidRPr="00946F1D">
              <w:rPr>
                <w:rFonts w:ascii="Times New Roman" w:eastAsia="Times New Roman" w:hAnsi="Times New Roman" w:cs="Times New Roman"/>
                <w:kern w:val="0"/>
                <w:lang w:eastAsia="en-IN"/>
                <w14:ligatures w14:val="none"/>
              </w:rPr>
              <w:t xml:space="preserve"> Kashayam</w:t>
            </w:r>
          </w:p>
        </w:tc>
        <w:tc>
          <w:tcPr>
            <w:tcW w:w="0" w:type="auto"/>
            <w:vAlign w:val="center"/>
            <w:hideMark/>
          </w:tcPr>
          <w:p w14:paraId="063ED0ED"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qPCR, ELISA</w:t>
            </w:r>
          </w:p>
        </w:tc>
        <w:tc>
          <w:tcPr>
            <w:tcW w:w="0" w:type="auto"/>
            <w:vAlign w:val="center"/>
            <w:hideMark/>
          </w:tcPr>
          <w:p w14:paraId="32E1C4E1"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Cytokine modulation (TNF-α, IL-1β)</w:t>
            </w:r>
          </w:p>
        </w:tc>
        <w:tc>
          <w:tcPr>
            <w:tcW w:w="1988" w:type="dxa"/>
            <w:vAlign w:val="center"/>
            <w:hideMark/>
          </w:tcPr>
          <w:p w14:paraId="1A4AA8BC"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Suppressed pro-inflammatory cytokines and inhibited monocyte–macrophage differentiation; useful for chronic inflammatory disorders</w:t>
            </w:r>
          </w:p>
        </w:tc>
        <w:tc>
          <w:tcPr>
            <w:tcW w:w="1463" w:type="dxa"/>
            <w:vAlign w:val="center"/>
            <w:hideMark/>
          </w:tcPr>
          <w:p w14:paraId="3D37E23A"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kern w:val="0"/>
                <w:lang w:eastAsia="en-IN"/>
                <w14:ligatures w14:val="none"/>
              </w:rPr>
              <w:t>Chinchu</w:t>
            </w:r>
            <w:proofErr w:type="spellEnd"/>
            <w:r w:rsidRPr="00946F1D">
              <w:rPr>
                <w:rFonts w:ascii="Times New Roman" w:eastAsia="Times New Roman" w:hAnsi="Times New Roman" w:cs="Times New Roman"/>
                <w:kern w:val="0"/>
                <w:lang w:eastAsia="en-IN"/>
                <w14:ligatures w14:val="none"/>
              </w:rPr>
              <w:t xml:space="preserve"> et al., 2018</w:t>
            </w:r>
          </w:p>
        </w:tc>
      </w:tr>
      <w:tr w:rsidR="00C24AB3" w:rsidRPr="00946F1D" w14:paraId="06844E6B" w14:textId="77777777" w:rsidTr="00C24AB3">
        <w:trPr>
          <w:tblCellSpacing w:w="15" w:type="dxa"/>
        </w:trPr>
        <w:tc>
          <w:tcPr>
            <w:tcW w:w="0" w:type="auto"/>
            <w:vAlign w:val="center"/>
            <w:hideMark/>
          </w:tcPr>
          <w:p w14:paraId="1736196E"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kern w:val="0"/>
                <w:lang w:eastAsia="en-IN"/>
                <w14:ligatures w14:val="none"/>
              </w:rPr>
              <w:t>Triglize</w:t>
            </w:r>
            <w:proofErr w:type="spellEnd"/>
            <w:r w:rsidRPr="00946F1D">
              <w:rPr>
                <w:rFonts w:ascii="Times New Roman" w:eastAsia="Times New Roman" w:hAnsi="Times New Roman" w:cs="Times New Roman"/>
                <w:kern w:val="0"/>
                <w:lang w:eastAsia="en-IN"/>
                <w14:ligatures w14:val="none"/>
              </w:rPr>
              <w:t xml:space="preserve"> (commercial polyherbal)</w:t>
            </w:r>
          </w:p>
        </w:tc>
        <w:tc>
          <w:tcPr>
            <w:tcW w:w="0" w:type="auto"/>
            <w:vAlign w:val="center"/>
            <w:hideMark/>
          </w:tcPr>
          <w:p w14:paraId="117A4377"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Antioxidant &amp; diuretic assays</w:t>
            </w:r>
          </w:p>
        </w:tc>
        <w:tc>
          <w:tcPr>
            <w:tcW w:w="0" w:type="auto"/>
            <w:vAlign w:val="center"/>
            <w:hideMark/>
          </w:tcPr>
          <w:p w14:paraId="1A7AF00B"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Multiple aqueous herbal extracts</w:t>
            </w:r>
          </w:p>
        </w:tc>
        <w:tc>
          <w:tcPr>
            <w:tcW w:w="1988" w:type="dxa"/>
            <w:vAlign w:val="center"/>
            <w:hideMark/>
          </w:tcPr>
          <w:p w14:paraId="7957983B"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Exhibited antioxidant and diuretic properties; beneficial in hypertension and cardiovascular disorders</w:t>
            </w:r>
          </w:p>
        </w:tc>
        <w:tc>
          <w:tcPr>
            <w:tcW w:w="1463" w:type="dxa"/>
            <w:vAlign w:val="center"/>
            <w:hideMark/>
          </w:tcPr>
          <w:p w14:paraId="3077FF27"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Parasuraman et al., 2010</w:t>
            </w:r>
          </w:p>
        </w:tc>
      </w:tr>
      <w:tr w:rsidR="00C24AB3" w:rsidRPr="00946F1D" w14:paraId="46B8E7D9" w14:textId="77777777" w:rsidTr="00C24AB3">
        <w:trPr>
          <w:tblCellSpacing w:w="15" w:type="dxa"/>
        </w:trPr>
        <w:tc>
          <w:tcPr>
            <w:tcW w:w="0" w:type="auto"/>
            <w:vAlign w:val="center"/>
            <w:hideMark/>
          </w:tcPr>
          <w:p w14:paraId="1CC10AC8"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i/>
                <w:iCs/>
                <w:kern w:val="0"/>
                <w:lang w:eastAsia="en-IN"/>
                <w14:ligatures w14:val="none"/>
              </w:rPr>
              <w:t>Barleria</w:t>
            </w:r>
            <w:proofErr w:type="spellEnd"/>
            <w:r w:rsidRPr="00946F1D">
              <w:rPr>
                <w:rFonts w:ascii="Times New Roman" w:eastAsia="Times New Roman" w:hAnsi="Times New Roman" w:cs="Times New Roman"/>
                <w:i/>
                <w:iCs/>
                <w:kern w:val="0"/>
                <w:lang w:eastAsia="en-IN"/>
                <w14:ligatures w14:val="none"/>
              </w:rPr>
              <w:t xml:space="preserve"> </w:t>
            </w:r>
            <w:proofErr w:type="spellStart"/>
            <w:r w:rsidRPr="00946F1D">
              <w:rPr>
                <w:rFonts w:ascii="Times New Roman" w:eastAsia="Times New Roman" w:hAnsi="Times New Roman" w:cs="Times New Roman"/>
                <w:i/>
                <w:iCs/>
                <w:kern w:val="0"/>
                <w:lang w:eastAsia="en-IN"/>
                <w14:ligatures w14:val="none"/>
              </w:rPr>
              <w:t>prionitis</w:t>
            </w:r>
            <w:proofErr w:type="spellEnd"/>
          </w:p>
        </w:tc>
        <w:tc>
          <w:tcPr>
            <w:tcW w:w="0" w:type="auto"/>
            <w:vAlign w:val="center"/>
            <w:hideMark/>
          </w:tcPr>
          <w:p w14:paraId="34C75F11"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Phytochemical screening</w:t>
            </w:r>
          </w:p>
        </w:tc>
        <w:tc>
          <w:tcPr>
            <w:tcW w:w="0" w:type="auto"/>
            <w:vAlign w:val="center"/>
            <w:hideMark/>
          </w:tcPr>
          <w:p w14:paraId="5F96E2CB"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Saponins, flavonoids, alkaloids, tannins</w:t>
            </w:r>
          </w:p>
        </w:tc>
        <w:tc>
          <w:tcPr>
            <w:tcW w:w="1988" w:type="dxa"/>
            <w:vAlign w:val="center"/>
            <w:hideMark/>
          </w:tcPr>
          <w:p w14:paraId="3A877ADC"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Demonstrated antioxidant, anti-inflammatory, hepatoprotective and gastroprotective activities</w:t>
            </w:r>
          </w:p>
        </w:tc>
        <w:tc>
          <w:tcPr>
            <w:tcW w:w="1463" w:type="dxa"/>
            <w:vAlign w:val="center"/>
            <w:hideMark/>
          </w:tcPr>
          <w:p w14:paraId="7A812016"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Talukdar et al., 2015</w:t>
            </w:r>
          </w:p>
        </w:tc>
      </w:tr>
      <w:tr w:rsidR="00C24AB3" w:rsidRPr="00946F1D" w14:paraId="47777314" w14:textId="77777777" w:rsidTr="00C24AB3">
        <w:trPr>
          <w:tblCellSpacing w:w="15" w:type="dxa"/>
        </w:trPr>
        <w:tc>
          <w:tcPr>
            <w:tcW w:w="0" w:type="auto"/>
            <w:vAlign w:val="center"/>
            <w:hideMark/>
          </w:tcPr>
          <w:p w14:paraId="3EA3536A"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kern w:val="0"/>
                <w:lang w:eastAsia="en-IN"/>
                <w14:ligatures w14:val="none"/>
              </w:rPr>
              <w:lastRenderedPageBreak/>
              <w:t>Tamalakyadi</w:t>
            </w:r>
            <w:proofErr w:type="spellEnd"/>
            <w:r w:rsidRPr="00946F1D">
              <w:rPr>
                <w:rFonts w:ascii="Times New Roman" w:eastAsia="Times New Roman" w:hAnsi="Times New Roman" w:cs="Times New Roman"/>
                <w:kern w:val="0"/>
                <w:lang w:eastAsia="en-IN"/>
                <w14:ligatures w14:val="none"/>
              </w:rPr>
              <w:t xml:space="preserve"> Decoction (TD) &amp; modified forms</w:t>
            </w:r>
          </w:p>
        </w:tc>
        <w:tc>
          <w:tcPr>
            <w:tcW w:w="0" w:type="auto"/>
            <w:vAlign w:val="center"/>
            <w:hideMark/>
          </w:tcPr>
          <w:p w14:paraId="1AC3CC59"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DPPH and antioxidant assays</w:t>
            </w:r>
          </w:p>
        </w:tc>
        <w:tc>
          <w:tcPr>
            <w:tcW w:w="0" w:type="auto"/>
            <w:vAlign w:val="center"/>
            <w:hideMark/>
          </w:tcPr>
          <w:p w14:paraId="648326B4"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Polyphenols</w:t>
            </w:r>
          </w:p>
        </w:tc>
        <w:tc>
          <w:tcPr>
            <w:tcW w:w="1988" w:type="dxa"/>
            <w:vAlign w:val="center"/>
            <w:hideMark/>
          </w:tcPr>
          <w:p w14:paraId="1670C652"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Freeze-dried form showed superior antioxidant activity and serves as an effective alternative to traditional decoction</w:t>
            </w:r>
          </w:p>
        </w:tc>
        <w:tc>
          <w:tcPr>
            <w:tcW w:w="1463" w:type="dxa"/>
            <w:vAlign w:val="center"/>
            <w:hideMark/>
          </w:tcPr>
          <w:p w14:paraId="7F750616"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Dahanayake et al., 2019</w:t>
            </w:r>
          </w:p>
        </w:tc>
      </w:tr>
      <w:tr w:rsidR="00C24AB3" w:rsidRPr="00946F1D" w14:paraId="610D4874" w14:textId="77777777" w:rsidTr="00C24AB3">
        <w:trPr>
          <w:tblCellSpacing w:w="15" w:type="dxa"/>
        </w:trPr>
        <w:tc>
          <w:tcPr>
            <w:tcW w:w="0" w:type="auto"/>
            <w:vAlign w:val="center"/>
            <w:hideMark/>
          </w:tcPr>
          <w:p w14:paraId="4C868E1F"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kern w:val="0"/>
                <w:lang w:eastAsia="en-IN"/>
                <w14:ligatures w14:val="none"/>
              </w:rPr>
              <w:t>Dasamula</w:t>
            </w:r>
            <w:proofErr w:type="spellEnd"/>
          </w:p>
        </w:tc>
        <w:tc>
          <w:tcPr>
            <w:tcW w:w="0" w:type="auto"/>
            <w:vAlign w:val="center"/>
            <w:hideMark/>
          </w:tcPr>
          <w:p w14:paraId="61071C84"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Membrane stabilization assay</w:t>
            </w:r>
          </w:p>
        </w:tc>
        <w:tc>
          <w:tcPr>
            <w:tcW w:w="0" w:type="auto"/>
            <w:vAlign w:val="center"/>
            <w:hideMark/>
          </w:tcPr>
          <w:p w14:paraId="68DDEB50"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Alkaloids, tannins, flavonoids</w:t>
            </w:r>
          </w:p>
        </w:tc>
        <w:tc>
          <w:tcPr>
            <w:tcW w:w="1988" w:type="dxa"/>
            <w:vAlign w:val="center"/>
            <w:hideMark/>
          </w:tcPr>
          <w:p w14:paraId="24994377"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 xml:space="preserve">Strong anti-inflammatory activity; </w:t>
            </w:r>
            <w:r w:rsidRPr="00946F1D">
              <w:rPr>
                <w:rFonts w:ascii="Times New Roman" w:eastAsia="Times New Roman" w:hAnsi="Times New Roman" w:cs="Times New Roman"/>
                <w:i/>
                <w:iCs/>
                <w:kern w:val="0"/>
                <w:lang w:eastAsia="en-IN"/>
                <w14:ligatures w14:val="none"/>
              </w:rPr>
              <w:t xml:space="preserve">A. </w:t>
            </w:r>
            <w:proofErr w:type="spellStart"/>
            <w:r w:rsidRPr="00946F1D">
              <w:rPr>
                <w:rFonts w:ascii="Times New Roman" w:eastAsia="Times New Roman" w:hAnsi="Times New Roman" w:cs="Times New Roman"/>
                <w:i/>
                <w:iCs/>
                <w:kern w:val="0"/>
                <w:lang w:eastAsia="en-IN"/>
                <w14:ligatures w14:val="none"/>
              </w:rPr>
              <w:t>marmelos</w:t>
            </w:r>
            <w:proofErr w:type="spellEnd"/>
            <w:r w:rsidRPr="00946F1D">
              <w:rPr>
                <w:rFonts w:ascii="Times New Roman" w:eastAsia="Times New Roman" w:hAnsi="Times New Roman" w:cs="Times New Roman"/>
                <w:kern w:val="0"/>
                <w:lang w:eastAsia="en-IN"/>
                <w14:ligatures w14:val="none"/>
              </w:rPr>
              <w:t xml:space="preserve"> showed highest RBC membrane stabilization</w:t>
            </w:r>
          </w:p>
        </w:tc>
        <w:tc>
          <w:tcPr>
            <w:tcW w:w="1463" w:type="dxa"/>
            <w:vAlign w:val="center"/>
            <w:hideMark/>
          </w:tcPr>
          <w:p w14:paraId="26BDF92F"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Vadivel, 2016</w:t>
            </w:r>
          </w:p>
        </w:tc>
      </w:tr>
      <w:tr w:rsidR="00C24AB3" w:rsidRPr="00946F1D" w14:paraId="27DE0C1C" w14:textId="77777777" w:rsidTr="00C24AB3">
        <w:trPr>
          <w:tblCellSpacing w:w="15" w:type="dxa"/>
        </w:trPr>
        <w:tc>
          <w:tcPr>
            <w:tcW w:w="0" w:type="auto"/>
            <w:vAlign w:val="center"/>
            <w:hideMark/>
          </w:tcPr>
          <w:p w14:paraId="55A175D0"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kern w:val="0"/>
                <w:lang w:eastAsia="en-IN"/>
                <w14:ligatures w14:val="none"/>
              </w:rPr>
              <w:t>Patolamuladi</w:t>
            </w:r>
            <w:proofErr w:type="spellEnd"/>
            <w:r w:rsidRPr="00946F1D">
              <w:rPr>
                <w:rFonts w:ascii="Times New Roman" w:eastAsia="Times New Roman" w:hAnsi="Times New Roman" w:cs="Times New Roman"/>
                <w:kern w:val="0"/>
                <w:lang w:eastAsia="en-IN"/>
                <w14:ligatures w14:val="none"/>
              </w:rPr>
              <w:t xml:space="preserve"> Kashayam</w:t>
            </w:r>
          </w:p>
        </w:tc>
        <w:tc>
          <w:tcPr>
            <w:tcW w:w="0" w:type="auto"/>
            <w:vAlign w:val="center"/>
            <w:hideMark/>
          </w:tcPr>
          <w:p w14:paraId="2E318714"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Phytochemical &amp; physicochemical analysis</w:t>
            </w:r>
          </w:p>
        </w:tc>
        <w:tc>
          <w:tcPr>
            <w:tcW w:w="0" w:type="auto"/>
            <w:vAlign w:val="center"/>
            <w:hideMark/>
          </w:tcPr>
          <w:p w14:paraId="3D17CDED"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Alkaloids, flavonoids, tannins</w:t>
            </w:r>
          </w:p>
        </w:tc>
        <w:tc>
          <w:tcPr>
            <w:tcW w:w="1988" w:type="dxa"/>
            <w:vAlign w:val="center"/>
            <w:hideMark/>
          </w:tcPr>
          <w:p w14:paraId="5543D7C3"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Maintained chemical stability and phytochemical integrity for six months, even with preservatives</w:t>
            </w:r>
          </w:p>
        </w:tc>
        <w:tc>
          <w:tcPr>
            <w:tcW w:w="1463" w:type="dxa"/>
            <w:vAlign w:val="center"/>
            <w:hideMark/>
          </w:tcPr>
          <w:p w14:paraId="26B92570"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Kar et al., 2018</w:t>
            </w:r>
          </w:p>
        </w:tc>
      </w:tr>
      <w:tr w:rsidR="00C24AB3" w:rsidRPr="00946F1D" w14:paraId="207D5124" w14:textId="77777777" w:rsidTr="00C24AB3">
        <w:trPr>
          <w:tblCellSpacing w:w="15" w:type="dxa"/>
        </w:trPr>
        <w:tc>
          <w:tcPr>
            <w:tcW w:w="0" w:type="auto"/>
            <w:vAlign w:val="center"/>
            <w:hideMark/>
          </w:tcPr>
          <w:p w14:paraId="0C836086"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kern w:val="0"/>
                <w:lang w:eastAsia="en-IN"/>
                <w14:ligatures w14:val="none"/>
              </w:rPr>
              <w:t>Drakshadi</w:t>
            </w:r>
            <w:proofErr w:type="spellEnd"/>
            <w:r w:rsidRPr="00946F1D">
              <w:rPr>
                <w:rFonts w:ascii="Times New Roman" w:eastAsia="Times New Roman" w:hAnsi="Times New Roman" w:cs="Times New Roman"/>
                <w:kern w:val="0"/>
                <w:lang w:eastAsia="en-IN"/>
                <w14:ligatures w14:val="none"/>
              </w:rPr>
              <w:t xml:space="preserve"> Kashayam</w:t>
            </w:r>
          </w:p>
        </w:tc>
        <w:tc>
          <w:tcPr>
            <w:tcW w:w="0" w:type="auto"/>
            <w:vAlign w:val="center"/>
            <w:hideMark/>
          </w:tcPr>
          <w:p w14:paraId="271A99B2"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GC–MS</w:t>
            </w:r>
          </w:p>
        </w:tc>
        <w:tc>
          <w:tcPr>
            <w:tcW w:w="0" w:type="auto"/>
            <w:vAlign w:val="center"/>
            <w:hideMark/>
          </w:tcPr>
          <w:p w14:paraId="4287112A"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Carbonic acid, bisphenol, histamine</w:t>
            </w:r>
          </w:p>
        </w:tc>
        <w:tc>
          <w:tcPr>
            <w:tcW w:w="1988" w:type="dxa"/>
            <w:vAlign w:val="center"/>
            <w:hideMark/>
          </w:tcPr>
          <w:p w14:paraId="52AA4762"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Identified hepatoprotective biomolecules supporting its use as a liver tonic</w:t>
            </w:r>
          </w:p>
        </w:tc>
        <w:tc>
          <w:tcPr>
            <w:tcW w:w="1463" w:type="dxa"/>
            <w:vAlign w:val="center"/>
            <w:hideMark/>
          </w:tcPr>
          <w:p w14:paraId="69814D3F"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Narayanan et al., 2019</w:t>
            </w:r>
          </w:p>
        </w:tc>
      </w:tr>
      <w:tr w:rsidR="00C24AB3" w:rsidRPr="00946F1D" w14:paraId="54AB1D7D" w14:textId="77777777" w:rsidTr="00C24AB3">
        <w:trPr>
          <w:tblCellSpacing w:w="15" w:type="dxa"/>
        </w:trPr>
        <w:tc>
          <w:tcPr>
            <w:tcW w:w="0" w:type="auto"/>
            <w:vAlign w:val="center"/>
            <w:hideMark/>
          </w:tcPr>
          <w:p w14:paraId="029E9119"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kern w:val="0"/>
                <w:lang w:eastAsia="en-IN"/>
                <w14:ligatures w14:val="none"/>
              </w:rPr>
              <w:t>Dashanga</w:t>
            </w:r>
            <w:proofErr w:type="spellEnd"/>
            <w:r w:rsidRPr="00946F1D">
              <w:rPr>
                <w:rFonts w:ascii="Times New Roman" w:eastAsia="Times New Roman" w:hAnsi="Times New Roman" w:cs="Times New Roman"/>
                <w:kern w:val="0"/>
                <w:lang w:eastAsia="en-IN"/>
                <w14:ligatures w14:val="none"/>
              </w:rPr>
              <w:t xml:space="preserve"> Yoga</w:t>
            </w:r>
          </w:p>
        </w:tc>
        <w:tc>
          <w:tcPr>
            <w:tcW w:w="0" w:type="auto"/>
            <w:vAlign w:val="center"/>
            <w:hideMark/>
          </w:tcPr>
          <w:p w14:paraId="18311658"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Anti-inflammatory &amp; analgesic assays</w:t>
            </w:r>
          </w:p>
        </w:tc>
        <w:tc>
          <w:tcPr>
            <w:tcW w:w="0" w:type="auto"/>
            <w:vAlign w:val="center"/>
            <w:hideMark/>
          </w:tcPr>
          <w:p w14:paraId="2E32F288"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Multiple phytoconstituents</w:t>
            </w:r>
          </w:p>
        </w:tc>
        <w:tc>
          <w:tcPr>
            <w:tcW w:w="1988" w:type="dxa"/>
            <w:vAlign w:val="center"/>
            <w:hideMark/>
          </w:tcPr>
          <w:p w14:paraId="738F1D9A"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Demonstrated anti-inflammatory and analgesic effects; requires mechanistic studies</w:t>
            </w:r>
          </w:p>
        </w:tc>
        <w:tc>
          <w:tcPr>
            <w:tcW w:w="1463" w:type="dxa"/>
            <w:vAlign w:val="center"/>
            <w:hideMark/>
          </w:tcPr>
          <w:p w14:paraId="546F80C0"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kern w:val="0"/>
                <w:lang w:eastAsia="en-IN"/>
                <w14:ligatures w14:val="none"/>
              </w:rPr>
              <w:t>Ruknuddin</w:t>
            </w:r>
            <w:proofErr w:type="spellEnd"/>
            <w:r w:rsidRPr="00946F1D">
              <w:rPr>
                <w:rFonts w:ascii="Times New Roman" w:eastAsia="Times New Roman" w:hAnsi="Times New Roman" w:cs="Times New Roman"/>
                <w:kern w:val="0"/>
                <w:lang w:eastAsia="en-IN"/>
                <w14:ligatures w14:val="none"/>
              </w:rPr>
              <w:t xml:space="preserve"> et al., 2013</w:t>
            </w:r>
          </w:p>
        </w:tc>
      </w:tr>
      <w:tr w:rsidR="00C24AB3" w:rsidRPr="00946F1D" w14:paraId="4164A98A" w14:textId="77777777" w:rsidTr="00C24AB3">
        <w:trPr>
          <w:tblCellSpacing w:w="15" w:type="dxa"/>
        </w:trPr>
        <w:tc>
          <w:tcPr>
            <w:tcW w:w="0" w:type="auto"/>
            <w:vAlign w:val="center"/>
            <w:hideMark/>
          </w:tcPr>
          <w:p w14:paraId="43973926"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Polyherbal wound-healing formulation</w:t>
            </w:r>
          </w:p>
        </w:tc>
        <w:tc>
          <w:tcPr>
            <w:tcW w:w="0" w:type="auto"/>
            <w:vAlign w:val="center"/>
            <w:hideMark/>
          </w:tcPr>
          <w:p w14:paraId="1B78407F"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Wound models, antimicrobial assays</w:t>
            </w:r>
          </w:p>
        </w:tc>
        <w:tc>
          <w:tcPr>
            <w:tcW w:w="0" w:type="auto"/>
            <w:vAlign w:val="center"/>
            <w:hideMark/>
          </w:tcPr>
          <w:p w14:paraId="6F4F0BDF"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Methanolic extracts</w:t>
            </w:r>
          </w:p>
        </w:tc>
        <w:tc>
          <w:tcPr>
            <w:tcW w:w="1988" w:type="dxa"/>
            <w:vAlign w:val="center"/>
            <w:hideMark/>
          </w:tcPr>
          <w:p w14:paraId="46874BA5"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 xml:space="preserve">Enhanced collagen synthesis, reduced </w:t>
            </w:r>
            <w:r w:rsidRPr="00946F1D">
              <w:rPr>
                <w:rFonts w:ascii="Times New Roman" w:eastAsia="Times New Roman" w:hAnsi="Times New Roman" w:cs="Times New Roman"/>
                <w:kern w:val="0"/>
                <w:lang w:eastAsia="en-IN"/>
                <w14:ligatures w14:val="none"/>
              </w:rPr>
              <w:lastRenderedPageBreak/>
              <w:t>healing time, and lowered inflammation</w:t>
            </w:r>
          </w:p>
        </w:tc>
        <w:tc>
          <w:tcPr>
            <w:tcW w:w="1463" w:type="dxa"/>
            <w:vAlign w:val="center"/>
            <w:hideMark/>
          </w:tcPr>
          <w:p w14:paraId="4F6DC67E"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lastRenderedPageBreak/>
              <w:t>Dev et al., 2019</w:t>
            </w:r>
          </w:p>
        </w:tc>
      </w:tr>
      <w:tr w:rsidR="00C24AB3" w:rsidRPr="00946F1D" w14:paraId="17F3686D" w14:textId="77777777" w:rsidTr="00C24AB3">
        <w:trPr>
          <w:tblCellSpacing w:w="15" w:type="dxa"/>
        </w:trPr>
        <w:tc>
          <w:tcPr>
            <w:tcW w:w="0" w:type="auto"/>
            <w:vAlign w:val="center"/>
            <w:hideMark/>
          </w:tcPr>
          <w:p w14:paraId="4DC8DDD6"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i/>
                <w:iCs/>
                <w:kern w:val="0"/>
                <w:lang w:eastAsia="en-IN"/>
                <w14:ligatures w14:val="none"/>
              </w:rPr>
              <w:t xml:space="preserve">P. </w:t>
            </w:r>
            <w:proofErr w:type="spellStart"/>
            <w:r w:rsidRPr="00946F1D">
              <w:rPr>
                <w:rFonts w:ascii="Times New Roman" w:eastAsia="Times New Roman" w:hAnsi="Times New Roman" w:cs="Times New Roman"/>
                <w:i/>
                <w:iCs/>
                <w:kern w:val="0"/>
                <w:lang w:eastAsia="en-IN"/>
                <w14:ligatures w14:val="none"/>
              </w:rPr>
              <w:t>emblica</w:t>
            </w:r>
            <w:proofErr w:type="spellEnd"/>
            <w:r w:rsidRPr="00946F1D">
              <w:rPr>
                <w:rFonts w:ascii="Times New Roman" w:eastAsia="Times New Roman" w:hAnsi="Times New Roman" w:cs="Times New Roman"/>
                <w:kern w:val="0"/>
                <w:lang w:eastAsia="en-IN"/>
                <w14:ligatures w14:val="none"/>
              </w:rPr>
              <w:t xml:space="preserve">, </w:t>
            </w:r>
            <w:r w:rsidRPr="00946F1D">
              <w:rPr>
                <w:rFonts w:ascii="Times New Roman" w:eastAsia="Times New Roman" w:hAnsi="Times New Roman" w:cs="Times New Roman"/>
                <w:i/>
                <w:iCs/>
                <w:kern w:val="0"/>
                <w:lang w:eastAsia="en-IN"/>
                <w14:ligatures w14:val="none"/>
              </w:rPr>
              <w:t>M. oleifera</w:t>
            </w:r>
            <w:r w:rsidRPr="00946F1D">
              <w:rPr>
                <w:rFonts w:ascii="Times New Roman" w:eastAsia="Times New Roman" w:hAnsi="Times New Roman" w:cs="Times New Roman"/>
                <w:kern w:val="0"/>
                <w:lang w:eastAsia="en-IN"/>
                <w14:ligatures w14:val="none"/>
              </w:rPr>
              <w:t xml:space="preserve">, </w:t>
            </w:r>
            <w:r w:rsidRPr="00946F1D">
              <w:rPr>
                <w:rFonts w:ascii="Times New Roman" w:eastAsia="Times New Roman" w:hAnsi="Times New Roman" w:cs="Times New Roman"/>
                <w:i/>
                <w:iCs/>
                <w:kern w:val="0"/>
                <w:lang w:eastAsia="en-IN"/>
                <w14:ligatures w14:val="none"/>
              </w:rPr>
              <w:t>C. limon</w:t>
            </w:r>
          </w:p>
        </w:tc>
        <w:tc>
          <w:tcPr>
            <w:tcW w:w="0" w:type="auto"/>
            <w:vAlign w:val="center"/>
            <w:hideMark/>
          </w:tcPr>
          <w:p w14:paraId="2DF33841"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DPPH assay</w:t>
            </w:r>
          </w:p>
        </w:tc>
        <w:tc>
          <w:tcPr>
            <w:tcW w:w="0" w:type="auto"/>
            <w:vAlign w:val="center"/>
            <w:hideMark/>
          </w:tcPr>
          <w:p w14:paraId="66C1E376"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Synergistic polyphenols</w:t>
            </w:r>
          </w:p>
        </w:tc>
        <w:tc>
          <w:tcPr>
            <w:tcW w:w="1988" w:type="dxa"/>
            <w:vAlign w:val="center"/>
            <w:hideMark/>
          </w:tcPr>
          <w:p w14:paraId="37401B81"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Polyherbal extract showed stronger antioxidant activity than individual extracts</w:t>
            </w:r>
          </w:p>
        </w:tc>
        <w:tc>
          <w:tcPr>
            <w:tcW w:w="1463" w:type="dxa"/>
            <w:vAlign w:val="center"/>
            <w:hideMark/>
          </w:tcPr>
          <w:p w14:paraId="316C0472"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Ramasamy et al., n.d.</w:t>
            </w:r>
          </w:p>
        </w:tc>
      </w:tr>
      <w:tr w:rsidR="00C24AB3" w:rsidRPr="00946F1D" w14:paraId="5331F4A8" w14:textId="77777777" w:rsidTr="00C24AB3">
        <w:trPr>
          <w:tblCellSpacing w:w="15" w:type="dxa"/>
        </w:trPr>
        <w:tc>
          <w:tcPr>
            <w:tcW w:w="0" w:type="auto"/>
            <w:vAlign w:val="center"/>
            <w:hideMark/>
          </w:tcPr>
          <w:p w14:paraId="6FF9DD5C"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Polyherbal antioxidant blend</w:t>
            </w:r>
          </w:p>
        </w:tc>
        <w:tc>
          <w:tcPr>
            <w:tcW w:w="0" w:type="auto"/>
            <w:vAlign w:val="center"/>
            <w:hideMark/>
          </w:tcPr>
          <w:p w14:paraId="5FAE025D"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DPPH assay</w:t>
            </w:r>
          </w:p>
        </w:tc>
        <w:tc>
          <w:tcPr>
            <w:tcW w:w="0" w:type="auto"/>
            <w:vAlign w:val="center"/>
            <w:hideMark/>
          </w:tcPr>
          <w:p w14:paraId="319D9203"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Phenols, flavonoids</w:t>
            </w:r>
          </w:p>
        </w:tc>
        <w:tc>
          <w:tcPr>
            <w:tcW w:w="1988" w:type="dxa"/>
            <w:vAlign w:val="center"/>
            <w:hideMark/>
          </w:tcPr>
          <w:p w14:paraId="04F749F8"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Strong free radical scavenging and oxidative stress reduction</w:t>
            </w:r>
          </w:p>
        </w:tc>
        <w:tc>
          <w:tcPr>
            <w:tcW w:w="1463" w:type="dxa"/>
            <w:vAlign w:val="center"/>
            <w:hideMark/>
          </w:tcPr>
          <w:p w14:paraId="1DDD7082"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Iqbal &amp; Gurumurthy, 2016</w:t>
            </w:r>
          </w:p>
        </w:tc>
      </w:tr>
      <w:tr w:rsidR="00C24AB3" w:rsidRPr="00946F1D" w14:paraId="52E7F514" w14:textId="77777777" w:rsidTr="00C24AB3">
        <w:trPr>
          <w:tblCellSpacing w:w="15" w:type="dxa"/>
        </w:trPr>
        <w:tc>
          <w:tcPr>
            <w:tcW w:w="0" w:type="auto"/>
            <w:vAlign w:val="center"/>
            <w:hideMark/>
          </w:tcPr>
          <w:p w14:paraId="3E83AB2C"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Hepatoprotective syrup</w:t>
            </w:r>
          </w:p>
        </w:tc>
        <w:tc>
          <w:tcPr>
            <w:tcW w:w="0" w:type="auto"/>
            <w:vAlign w:val="center"/>
            <w:hideMark/>
          </w:tcPr>
          <w:p w14:paraId="5C4A7E2A"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Antioxidant assays</w:t>
            </w:r>
          </w:p>
        </w:tc>
        <w:tc>
          <w:tcPr>
            <w:tcW w:w="0" w:type="auto"/>
            <w:vAlign w:val="center"/>
            <w:hideMark/>
          </w:tcPr>
          <w:p w14:paraId="30D70087"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Polyphenols</w:t>
            </w:r>
          </w:p>
        </w:tc>
        <w:tc>
          <w:tcPr>
            <w:tcW w:w="1988" w:type="dxa"/>
            <w:vAlign w:val="center"/>
            <w:hideMark/>
          </w:tcPr>
          <w:p w14:paraId="433C0AC4"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High antioxidant activity useful against oxidative liver damage</w:t>
            </w:r>
          </w:p>
        </w:tc>
        <w:tc>
          <w:tcPr>
            <w:tcW w:w="1463" w:type="dxa"/>
            <w:vAlign w:val="center"/>
            <w:hideMark/>
          </w:tcPr>
          <w:p w14:paraId="7175E53B"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Singh et al., 2012</w:t>
            </w:r>
          </w:p>
        </w:tc>
      </w:tr>
      <w:tr w:rsidR="00C24AB3" w:rsidRPr="00946F1D" w14:paraId="2F1D376D" w14:textId="77777777" w:rsidTr="00C24AB3">
        <w:trPr>
          <w:tblCellSpacing w:w="15" w:type="dxa"/>
        </w:trPr>
        <w:tc>
          <w:tcPr>
            <w:tcW w:w="0" w:type="auto"/>
            <w:vAlign w:val="center"/>
            <w:hideMark/>
          </w:tcPr>
          <w:p w14:paraId="27B1E8CB"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kern w:val="0"/>
                <w:lang w:eastAsia="en-IN"/>
                <w14:ligatures w14:val="none"/>
              </w:rPr>
              <w:t>Dhanwantaram</w:t>
            </w:r>
            <w:proofErr w:type="spellEnd"/>
            <w:r w:rsidRPr="00946F1D">
              <w:rPr>
                <w:rFonts w:ascii="Times New Roman" w:eastAsia="Times New Roman" w:hAnsi="Times New Roman" w:cs="Times New Roman"/>
                <w:kern w:val="0"/>
                <w:lang w:eastAsia="en-IN"/>
                <w14:ligatures w14:val="none"/>
              </w:rPr>
              <w:t xml:space="preserve"> Kashayam</w:t>
            </w:r>
          </w:p>
        </w:tc>
        <w:tc>
          <w:tcPr>
            <w:tcW w:w="0" w:type="auto"/>
            <w:vAlign w:val="center"/>
            <w:hideMark/>
          </w:tcPr>
          <w:p w14:paraId="6F3C7621"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DPPH, ABTS, FRAP, NO scavenging</w:t>
            </w:r>
          </w:p>
        </w:tc>
        <w:tc>
          <w:tcPr>
            <w:tcW w:w="0" w:type="auto"/>
            <w:vAlign w:val="center"/>
            <w:hideMark/>
          </w:tcPr>
          <w:p w14:paraId="7D8CCDA4"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Flavonoids, phenolics</w:t>
            </w:r>
          </w:p>
        </w:tc>
        <w:tc>
          <w:tcPr>
            <w:tcW w:w="1988" w:type="dxa"/>
            <w:vAlign w:val="center"/>
            <w:hideMark/>
          </w:tcPr>
          <w:p w14:paraId="1DB9FDF2"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Strong antioxidant and radical scavenging activity; beneficial for postpartum rejuvenation</w:t>
            </w:r>
          </w:p>
        </w:tc>
        <w:tc>
          <w:tcPr>
            <w:tcW w:w="1463" w:type="dxa"/>
            <w:vAlign w:val="center"/>
            <w:hideMark/>
          </w:tcPr>
          <w:p w14:paraId="03500003"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Renganathan &amp; Pillai, 2021</w:t>
            </w:r>
          </w:p>
        </w:tc>
      </w:tr>
      <w:tr w:rsidR="00C24AB3" w:rsidRPr="00946F1D" w14:paraId="2A75C571" w14:textId="77777777" w:rsidTr="00C24AB3">
        <w:trPr>
          <w:tblCellSpacing w:w="15" w:type="dxa"/>
        </w:trPr>
        <w:tc>
          <w:tcPr>
            <w:tcW w:w="0" w:type="auto"/>
            <w:vAlign w:val="center"/>
            <w:hideMark/>
          </w:tcPr>
          <w:p w14:paraId="0EE41D41"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kern w:val="0"/>
                <w:lang w:eastAsia="en-IN"/>
                <w14:ligatures w14:val="none"/>
              </w:rPr>
              <w:t>Balaguluchyadi</w:t>
            </w:r>
            <w:proofErr w:type="spellEnd"/>
            <w:r w:rsidRPr="00946F1D">
              <w:rPr>
                <w:rFonts w:ascii="Times New Roman" w:eastAsia="Times New Roman" w:hAnsi="Times New Roman" w:cs="Times New Roman"/>
                <w:kern w:val="0"/>
                <w:lang w:eastAsia="en-IN"/>
                <w14:ligatures w14:val="none"/>
              </w:rPr>
              <w:t xml:space="preserve"> Kashayam</w:t>
            </w:r>
          </w:p>
        </w:tc>
        <w:tc>
          <w:tcPr>
            <w:tcW w:w="0" w:type="auto"/>
            <w:vAlign w:val="center"/>
            <w:hideMark/>
          </w:tcPr>
          <w:p w14:paraId="60430A1F"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Enzyme inhibition assays</w:t>
            </w:r>
          </w:p>
        </w:tc>
        <w:tc>
          <w:tcPr>
            <w:tcW w:w="0" w:type="auto"/>
            <w:vAlign w:val="center"/>
            <w:hideMark/>
          </w:tcPr>
          <w:p w14:paraId="06E83A5B"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COX-2, LOXs inhibition</w:t>
            </w:r>
          </w:p>
        </w:tc>
        <w:tc>
          <w:tcPr>
            <w:tcW w:w="1988" w:type="dxa"/>
            <w:vAlign w:val="center"/>
            <w:hideMark/>
          </w:tcPr>
          <w:p w14:paraId="1613688A"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Suppressed inflammatory enzymes and macrophage differentiation; acts at multiple inflammatory stages</w:t>
            </w:r>
          </w:p>
        </w:tc>
        <w:tc>
          <w:tcPr>
            <w:tcW w:w="1463" w:type="dxa"/>
            <w:vAlign w:val="center"/>
            <w:hideMark/>
          </w:tcPr>
          <w:p w14:paraId="019E2172"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Rahitha Devi et al., 2020</w:t>
            </w:r>
          </w:p>
        </w:tc>
      </w:tr>
      <w:tr w:rsidR="00C24AB3" w:rsidRPr="00946F1D" w14:paraId="56F4CA39" w14:textId="77777777" w:rsidTr="00C24AB3">
        <w:trPr>
          <w:tblCellSpacing w:w="15" w:type="dxa"/>
        </w:trPr>
        <w:tc>
          <w:tcPr>
            <w:tcW w:w="0" w:type="auto"/>
            <w:vAlign w:val="center"/>
            <w:hideMark/>
          </w:tcPr>
          <w:p w14:paraId="03244E48"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Sukumara Kashayam</w:t>
            </w:r>
          </w:p>
        </w:tc>
        <w:tc>
          <w:tcPr>
            <w:tcW w:w="0" w:type="auto"/>
            <w:vAlign w:val="center"/>
            <w:hideMark/>
          </w:tcPr>
          <w:p w14:paraId="22DBD10D"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DPPH, FRAP, H₂O₂ assays</w:t>
            </w:r>
          </w:p>
        </w:tc>
        <w:tc>
          <w:tcPr>
            <w:tcW w:w="0" w:type="auto"/>
            <w:vAlign w:val="center"/>
            <w:hideMark/>
          </w:tcPr>
          <w:p w14:paraId="65EF93FC"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Antioxidant phytochemicals</w:t>
            </w:r>
          </w:p>
        </w:tc>
        <w:tc>
          <w:tcPr>
            <w:tcW w:w="1988" w:type="dxa"/>
            <w:vAlign w:val="center"/>
            <w:hideMark/>
          </w:tcPr>
          <w:p w14:paraId="330D22D8"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 xml:space="preserve">High antioxidant potential supporting use in menstrual and </w:t>
            </w:r>
            <w:r w:rsidRPr="00946F1D">
              <w:rPr>
                <w:rFonts w:ascii="Times New Roman" w:eastAsia="Times New Roman" w:hAnsi="Times New Roman" w:cs="Times New Roman"/>
                <w:kern w:val="0"/>
                <w:lang w:eastAsia="en-IN"/>
                <w14:ligatures w14:val="none"/>
              </w:rPr>
              <w:lastRenderedPageBreak/>
              <w:t>gastrointestinal disorders</w:t>
            </w:r>
          </w:p>
        </w:tc>
        <w:tc>
          <w:tcPr>
            <w:tcW w:w="1463" w:type="dxa"/>
            <w:vAlign w:val="center"/>
            <w:hideMark/>
          </w:tcPr>
          <w:p w14:paraId="19FE9708"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lastRenderedPageBreak/>
              <w:t>Nirupa et al., 2017</w:t>
            </w:r>
          </w:p>
        </w:tc>
      </w:tr>
      <w:tr w:rsidR="00C24AB3" w:rsidRPr="00946F1D" w14:paraId="52541D0B" w14:textId="77777777" w:rsidTr="00C24AB3">
        <w:trPr>
          <w:tblCellSpacing w:w="15" w:type="dxa"/>
        </w:trPr>
        <w:tc>
          <w:tcPr>
            <w:tcW w:w="0" w:type="auto"/>
            <w:vAlign w:val="center"/>
            <w:hideMark/>
          </w:tcPr>
          <w:p w14:paraId="07FECF04"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kern w:val="0"/>
                <w:lang w:eastAsia="en-IN"/>
                <w14:ligatures w14:val="none"/>
              </w:rPr>
              <w:t>Elakanadi</w:t>
            </w:r>
            <w:proofErr w:type="spellEnd"/>
            <w:r w:rsidRPr="00946F1D">
              <w:rPr>
                <w:rFonts w:ascii="Times New Roman" w:eastAsia="Times New Roman" w:hAnsi="Times New Roman" w:cs="Times New Roman"/>
                <w:kern w:val="0"/>
                <w:lang w:eastAsia="en-IN"/>
                <w14:ligatures w14:val="none"/>
              </w:rPr>
              <w:t xml:space="preserve"> Kashayam</w:t>
            </w:r>
          </w:p>
        </w:tc>
        <w:tc>
          <w:tcPr>
            <w:tcW w:w="0" w:type="auto"/>
            <w:vAlign w:val="center"/>
            <w:hideMark/>
          </w:tcPr>
          <w:p w14:paraId="55588BEB"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FRAP, ABTS, membrane stabilization</w:t>
            </w:r>
          </w:p>
        </w:tc>
        <w:tc>
          <w:tcPr>
            <w:tcW w:w="0" w:type="auto"/>
            <w:vAlign w:val="center"/>
            <w:hideMark/>
          </w:tcPr>
          <w:p w14:paraId="40FC8A71"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Synergistic phytochemicals</w:t>
            </w:r>
          </w:p>
        </w:tc>
        <w:tc>
          <w:tcPr>
            <w:tcW w:w="1988" w:type="dxa"/>
            <w:vAlign w:val="center"/>
            <w:hideMark/>
          </w:tcPr>
          <w:p w14:paraId="3357E340"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Strong antioxidant, anti-inflammatory, and anticancer properties</w:t>
            </w:r>
          </w:p>
        </w:tc>
        <w:tc>
          <w:tcPr>
            <w:tcW w:w="1463" w:type="dxa"/>
            <w:vAlign w:val="center"/>
            <w:hideMark/>
          </w:tcPr>
          <w:p w14:paraId="4DB5CBB1"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 xml:space="preserve">Rao &amp; </w:t>
            </w:r>
            <w:proofErr w:type="spellStart"/>
            <w:r w:rsidRPr="00946F1D">
              <w:rPr>
                <w:rFonts w:ascii="Times New Roman" w:eastAsia="Times New Roman" w:hAnsi="Times New Roman" w:cs="Times New Roman"/>
                <w:kern w:val="0"/>
                <w:lang w:eastAsia="en-IN"/>
                <w14:ligatures w14:val="none"/>
              </w:rPr>
              <w:t>Pazhanimuthu</w:t>
            </w:r>
            <w:proofErr w:type="spellEnd"/>
            <w:r w:rsidRPr="00946F1D">
              <w:rPr>
                <w:rFonts w:ascii="Times New Roman" w:eastAsia="Times New Roman" w:hAnsi="Times New Roman" w:cs="Times New Roman"/>
                <w:kern w:val="0"/>
                <w:lang w:eastAsia="en-IN"/>
                <w14:ligatures w14:val="none"/>
              </w:rPr>
              <w:t>, n.d.</w:t>
            </w:r>
          </w:p>
        </w:tc>
      </w:tr>
      <w:tr w:rsidR="00C24AB3" w:rsidRPr="00946F1D" w14:paraId="68590887" w14:textId="77777777" w:rsidTr="00C24AB3">
        <w:trPr>
          <w:tblCellSpacing w:w="15" w:type="dxa"/>
        </w:trPr>
        <w:tc>
          <w:tcPr>
            <w:tcW w:w="0" w:type="auto"/>
            <w:vAlign w:val="center"/>
            <w:hideMark/>
          </w:tcPr>
          <w:p w14:paraId="7FEAFD5E"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proofErr w:type="spellStart"/>
            <w:r w:rsidRPr="00946F1D">
              <w:rPr>
                <w:rFonts w:ascii="Times New Roman" w:eastAsia="Times New Roman" w:hAnsi="Times New Roman" w:cs="Times New Roman"/>
                <w:kern w:val="0"/>
                <w:lang w:eastAsia="en-IN"/>
                <w14:ligatures w14:val="none"/>
              </w:rPr>
              <w:t>Pathyashadangam</w:t>
            </w:r>
            <w:proofErr w:type="spellEnd"/>
            <w:r w:rsidRPr="00946F1D">
              <w:rPr>
                <w:rFonts w:ascii="Times New Roman" w:eastAsia="Times New Roman" w:hAnsi="Times New Roman" w:cs="Times New Roman"/>
                <w:kern w:val="0"/>
                <w:lang w:eastAsia="en-IN"/>
                <w14:ligatures w14:val="none"/>
              </w:rPr>
              <w:t xml:space="preserve"> Kashayam</w:t>
            </w:r>
          </w:p>
        </w:tc>
        <w:tc>
          <w:tcPr>
            <w:tcW w:w="0" w:type="auto"/>
            <w:vAlign w:val="center"/>
            <w:hideMark/>
          </w:tcPr>
          <w:p w14:paraId="7506FF33"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DPPH, phenol &amp; flavonoid estimation</w:t>
            </w:r>
          </w:p>
        </w:tc>
        <w:tc>
          <w:tcPr>
            <w:tcW w:w="0" w:type="auto"/>
            <w:vAlign w:val="center"/>
            <w:hideMark/>
          </w:tcPr>
          <w:p w14:paraId="287931B4"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Phenolics, flavonoids</w:t>
            </w:r>
          </w:p>
        </w:tc>
        <w:tc>
          <w:tcPr>
            <w:tcW w:w="1988" w:type="dxa"/>
            <w:vAlign w:val="center"/>
            <w:hideMark/>
          </w:tcPr>
          <w:p w14:paraId="4C7488B4"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High antioxidant activity correlated with phenolic content; effective against oxidative stress-related diseases</w:t>
            </w:r>
          </w:p>
        </w:tc>
        <w:tc>
          <w:tcPr>
            <w:tcW w:w="1463" w:type="dxa"/>
            <w:vAlign w:val="center"/>
            <w:hideMark/>
          </w:tcPr>
          <w:p w14:paraId="2DAD31B7"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Abraham, Mathew, et al., 2020</w:t>
            </w:r>
          </w:p>
        </w:tc>
      </w:tr>
    </w:tbl>
    <w:p w14:paraId="22F85BDF" w14:textId="77777777" w:rsidR="00F5662A" w:rsidRPr="00946F1D" w:rsidRDefault="00F5662A" w:rsidP="00946F1D">
      <w:pPr>
        <w:spacing w:after="0" w:line="360" w:lineRule="auto"/>
        <w:jc w:val="both"/>
        <w:rPr>
          <w:rFonts w:ascii="Times New Roman" w:eastAsia="Times New Roman" w:hAnsi="Times New Roman" w:cs="Times New Roman"/>
          <w:kern w:val="0"/>
          <w:lang w:eastAsia="en-IN"/>
          <w14:ligatures w14:val="none"/>
        </w:rPr>
      </w:pPr>
    </w:p>
    <w:p w14:paraId="3511FEA2" w14:textId="77777777" w:rsidR="00EF0FE4" w:rsidRPr="00946F1D" w:rsidRDefault="00EF0FE4" w:rsidP="00946F1D">
      <w:pPr>
        <w:spacing w:after="0" w:line="360" w:lineRule="auto"/>
        <w:jc w:val="both"/>
        <w:rPr>
          <w:rFonts w:ascii="Times New Roman" w:eastAsia="Times New Roman" w:hAnsi="Times New Roman" w:cs="Times New Roman"/>
          <w:kern w:val="0"/>
          <w:lang w:eastAsia="en-IN"/>
          <w14:ligatures w14:val="none"/>
        </w:rPr>
      </w:pPr>
    </w:p>
    <w:p w14:paraId="6D0248E3" w14:textId="44D0E061" w:rsidR="00EF0FE4" w:rsidRPr="00946F1D" w:rsidRDefault="00EF0FE4"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Conclusion</w:t>
      </w:r>
    </w:p>
    <w:p w14:paraId="3A48C677" w14:textId="77777777" w:rsidR="00C24AB3" w:rsidRPr="00946F1D" w:rsidRDefault="00C24AB3"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 xml:space="preserve">The importance of Kwatha Kalpana as a traditional Ayurvedic dose form based on the concepts of </w:t>
      </w:r>
      <w:proofErr w:type="spellStart"/>
      <w:r w:rsidRPr="00946F1D">
        <w:rPr>
          <w:rFonts w:ascii="Times New Roman" w:eastAsia="Times New Roman" w:hAnsi="Times New Roman" w:cs="Times New Roman"/>
          <w:kern w:val="0"/>
          <w:lang w:eastAsia="en-IN"/>
          <w14:ligatures w14:val="none"/>
        </w:rPr>
        <w:t>polyherbalism</w:t>
      </w:r>
      <w:proofErr w:type="spellEnd"/>
      <w:r w:rsidRPr="00946F1D">
        <w:rPr>
          <w:rFonts w:ascii="Times New Roman" w:eastAsia="Times New Roman" w:hAnsi="Times New Roman" w:cs="Times New Roman"/>
          <w:kern w:val="0"/>
          <w:lang w:eastAsia="en-IN"/>
          <w14:ligatures w14:val="none"/>
        </w:rPr>
        <w:t xml:space="preserve"> and synergism is highlighted in this review. Kwathas' high concentration of water-soluble bioactive chemicals gives them significant therapeutic promise; nevertheless, issues including difficult preparation, short shelf life, inconsistent quality, and poor palatability prevent them from being widely used in contemporary healthcare.</w:t>
      </w:r>
    </w:p>
    <w:p w14:paraId="541E7A65" w14:textId="77777777" w:rsidR="007D3623" w:rsidRPr="00946F1D" w:rsidRDefault="007D3623"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The reviewed research clearly demonstrate that thorough standardization is required to assure the safety, efficacy, and uniformity of kwatha formulations. Modern analytical techniques such as TLC, HPTLC, HPLC, GC-MS, and LC-MS/MS are critical in phytochemical fingerprinting, marker compound identification, and quality control of complicated polyherbal decoctions. The optimization of preparation parameters—such as raw material selection, particle size, extraction conditions, and regulated preservative use—has a direct impact on phytochemical content and therapeutic performance.</w:t>
      </w:r>
    </w:p>
    <w:p w14:paraId="1CD0B81D" w14:textId="07E934BA" w:rsidR="007D3623" w:rsidRPr="00946F1D" w:rsidRDefault="007D3623"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t xml:space="preserve">Importantly, combining traditional Ayurvedic knowledge with modern pharmaceutical and analytical developments provides a viable avenue to improving the clinical usefulness of </w:t>
      </w:r>
      <w:proofErr w:type="spellStart"/>
      <w:r w:rsidRPr="00946F1D">
        <w:rPr>
          <w:rFonts w:ascii="Times New Roman" w:eastAsia="Times New Roman" w:hAnsi="Times New Roman" w:cs="Times New Roman"/>
          <w:kern w:val="0"/>
          <w:lang w:eastAsia="en-IN"/>
          <w14:ligatures w14:val="none"/>
        </w:rPr>
        <w:t>kwathas</w:t>
      </w:r>
      <w:proofErr w:type="spellEnd"/>
      <w:r w:rsidRPr="00946F1D">
        <w:rPr>
          <w:rFonts w:ascii="Times New Roman" w:eastAsia="Times New Roman" w:hAnsi="Times New Roman" w:cs="Times New Roman"/>
          <w:kern w:val="0"/>
          <w:lang w:eastAsia="en-IN"/>
          <w14:ligatures w14:val="none"/>
        </w:rPr>
        <w:t xml:space="preserve"> while maintaining their holistic core. The standardized and scientifically proven kwatha formulations have a high potential for use as safe, effective, and holistic therapeutic choices, allowing them to be integrated into modern integrative healthcare systems.</w:t>
      </w:r>
    </w:p>
    <w:p w14:paraId="596E0818" w14:textId="77777777" w:rsidR="00EF0FE4" w:rsidRPr="00946F1D" w:rsidRDefault="00EF0FE4" w:rsidP="00946F1D">
      <w:pPr>
        <w:spacing w:after="0" w:line="360" w:lineRule="auto"/>
        <w:jc w:val="both"/>
        <w:rPr>
          <w:rFonts w:ascii="Times New Roman" w:eastAsia="Times New Roman" w:hAnsi="Times New Roman" w:cs="Times New Roman"/>
          <w:kern w:val="0"/>
          <w:lang w:eastAsia="en-IN"/>
          <w14:ligatures w14:val="none"/>
        </w:rPr>
      </w:pPr>
    </w:p>
    <w:p w14:paraId="6B5FDDC8" w14:textId="77777777" w:rsidR="00AD5186" w:rsidRPr="00946F1D" w:rsidRDefault="00AD5186" w:rsidP="00946F1D">
      <w:pPr>
        <w:spacing w:after="0" w:line="360" w:lineRule="auto"/>
        <w:jc w:val="both"/>
        <w:rPr>
          <w:rFonts w:ascii="Times New Roman" w:eastAsia="Times New Roman" w:hAnsi="Times New Roman" w:cs="Times New Roman"/>
          <w:kern w:val="0"/>
          <w:lang w:eastAsia="en-IN"/>
          <w14:ligatures w14:val="none"/>
        </w:rPr>
      </w:pPr>
    </w:p>
    <w:p w14:paraId="52C801BB" w14:textId="651D0EF7" w:rsidR="002E2443" w:rsidRPr="00946F1D" w:rsidRDefault="002E2443" w:rsidP="00946F1D">
      <w:pPr>
        <w:spacing w:after="0" w:line="360" w:lineRule="auto"/>
        <w:jc w:val="both"/>
        <w:rPr>
          <w:rFonts w:ascii="Times New Roman" w:eastAsia="Times New Roman" w:hAnsi="Times New Roman" w:cs="Times New Roman"/>
          <w:kern w:val="0"/>
          <w:lang w:eastAsia="en-IN"/>
          <w14:ligatures w14:val="none"/>
        </w:rPr>
      </w:pPr>
    </w:p>
    <w:p w14:paraId="588743EC" w14:textId="77777777" w:rsidR="007D6CF2" w:rsidRPr="00946F1D" w:rsidRDefault="007D6CF2" w:rsidP="00946F1D">
      <w:pPr>
        <w:tabs>
          <w:tab w:val="left" w:pos="2294"/>
        </w:tabs>
        <w:spacing w:after="0" w:line="360" w:lineRule="auto"/>
        <w:jc w:val="both"/>
        <w:rPr>
          <w:rFonts w:ascii="Times New Roman" w:eastAsia="Times New Roman" w:hAnsi="Times New Roman" w:cs="Times New Roman"/>
          <w:b/>
          <w:bCs/>
          <w:kern w:val="0"/>
          <w:lang w:eastAsia="en-IN"/>
          <w14:ligatures w14:val="none"/>
        </w:rPr>
      </w:pPr>
    </w:p>
    <w:p w14:paraId="58673251" w14:textId="77777777" w:rsidR="00AD5186" w:rsidRPr="00946F1D" w:rsidRDefault="00AD5186" w:rsidP="00946F1D">
      <w:pPr>
        <w:spacing w:after="0" w:line="360" w:lineRule="auto"/>
        <w:ind w:left="360"/>
        <w:jc w:val="both"/>
        <w:rPr>
          <w:rFonts w:ascii="Times New Roman" w:eastAsia="Times New Roman" w:hAnsi="Times New Roman" w:cs="Times New Roman"/>
          <w:kern w:val="0"/>
          <w:lang w:eastAsia="en-IN"/>
          <w14:ligatures w14:val="none"/>
        </w:rPr>
      </w:pPr>
    </w:p>
    <w:p w14:paraId="1464B20C" w14:textId="04BFDD3E" w:rsidR="00E54EC9" w:rsidRPr="00946F1D" w:rsidRDefault="00E54EC9" w:rsidP="00946F1D">
      <w:pPr>
        <w:spacing w:after="0" w:line="360" w:lineRule="auto"/>
        <w:jc w:val="both"/>
        <w:rPr>
          <w:rFonts w:ascii="Times New Roman" w:eastAsia="Times New Roman" w:hAnsi="Times New Roman" w:cs="Times New Roman"/>
          <w:b/>
          <w:bCs/>
          <w:kern w:val="0"/>
          <w:lang w:eastAsia="en-IN"/>
          <w14:ligatures w14:val="none"/>
        </w:rPr>
      </w:pPr>
      <w:r w:rsidRPr="00946F1D">
        <w:rPr>
          <w:rFonts w:ascii="Times New Roman" w:eastAsia="Times New Roman" w:hAnsi="Times New Roman" w:cs="Times New Roman"/>
          <w:b/>
          <w:bCs/>
          <w:kern w:val="0"/>
          <w:lang w:eastAsia="en-IN"/>
          <w14:ligatures w14:val="none"/>
        </w:rPr>
        <w:t>References</w:t>
      </w:r>
    </w:p>
    <w:p w14:paraId="5CAA6481" w14:textId="330D1B89" w:rsidR="002E2443" w:rsidRPr="00946F1D" w:rsidRDefault="002E2443" w:rsidP="00946F1D">
      <w:pPr>
        <w:spacing w:after="0" w:line="360" w:lineRule="auto"/>
        <w:jc w:val="both"/>
        <w:rPr>
          <w:rFonts w:ascii="Times New Roman" w:eastAsia="Times New Roman" w:hAnsi="Times New Roman" w:cs="Times New Roman"/>
          <w:kern w:val="0"/>
          <w:lang w:eastAsia="en-IN"/>
          <w14:ligatures w14:val="none"/>
        </w:rPr>
      </w:pPr>
    </w:p>
    <w:p w14:paraId="0F789604" w14:textId="1BE582EB"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eastAsia="Times New Roman" w:hAnsi="Times New Roman" w:cs="Times New Roman"/>
          <w:kern w:val="0"/>
          <w:lang w:eastAsia="en-IN"/>
          <w14:ligatures w14:val="none"/>
        </w:rPr>
        <w:fldChar w:fldCharType="begin" w:fldLock="1"/>
      </w:r>
      <w:r w:rsidRPr="00946F1D">
        <w:rPr>
          <w:rFonts w:ascii="Times New Roman" w:eastAsia="Times New Roman" w:hAnsi="Times New Roman" w:cs="Times New Roman"/>
          <w:kern w:val="0"/>
          <w:lang w:eastAsia="en-IN"/>
          <w14:ligatures w14:val="none"/>
        </w:rPr>
        <w:instrText xml:space="preserve">ADDIN Mendeley Bibliography CSL_BIBLIOGRAPHY </w:instrText>
      </w:r>
      <w:r w:rsidRPr="00946F1D">
        <w:rPr>
          <w:rFonts w:ascii="Times New Roman" w:eastAsia="Times New Roman" w:hAnsi="Times New Roman" w:cs="Times New Roman"/>
          <w:kern w:val="0"/>
          <w:lang w:eastAsia="en-IN"/>
          <w14:ligatures w14:val="none"/>
        </w:rPr>
        <w:fldChar w:fldCharType="separate"/>
      </w:r>
      <w:r w:rsidRPr="00946F1D">
        <w:rPr>
          <w:rFonts w:ascii="Times New Roman" w:hAnsi="Times New Roman" w:cs="Times New Roman"/>
          <w:noProof/>
          <w:kern w:val="0"/>
        </w:rPr>
        <w:t xml:space="preserve">Abraham, A., Mathew, L., &amp; Samuel, S. (2020). </w:t>
      </w:r>
      <w:r w:rsidR="00F5662A" w:rsidRPr="00946F1D">
        <w:rPr>
          <w:rFonts w:ascii="Times New Roman" w:hAnsi="Times New Roman" w:cs="Times New Roman"/>
          <w:noProof/>
          <w:kern w:val="0"/>
        </w:rPr>
        <w:t xml:space="preserve">Antioxidant activity of Pathyashadangam Kashayam: a classical Ayurvedic Formulation and its ingredients. </w:t>
      </w:r>
      <w:r w:rsidRPr="00946F1D">
        <w:rPr>
          <w:rFonts w:ascii="Times New Roman" w:hAnsi="Times New Roman" w:cs="Times New Roman"/>
          <w:i/>
          <w:iCs/>
          <w:noProof/>
          <w:kern w:val="0"/>
        </w:rPr>
        <w:t>Plant Archives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20</w:t>
      </w:r>
      <w:r w:rsidRPr="00946F1D">
        <w:rPr>
          <w:rFonts w:ascii="Times New Roman" w:hAnsi="Times New Roman" w:cs="Times New Roman"/>
          <w:noProof/>
          <w:kern w:val="0"/>
        </w:rPr>
        <w:t>(2), 4236–4241.</w:t>
      </w:r>
    </w:p>
    <w:p w14:paraId="201FCB15"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Abraham, A., Samuel, S., &amp; Mathew, L. (2020). Phytochemical analysis of Pathyashadangam kwath and its standardization by HPLC and HPTLC. </w:t>
      </w:r>
      <w:r w:rsidRPr="00946F1D">
        <w:rPr>
          <w:rFonts w:ascii="Times New Roman" w:hAnsi="Times New Roman" w:cs="Times New Roman"/>
          <w:i/>
          <w:iCs/>
          <w:noProof/>
          <w:kern w:val="0"/>
        </w:rPr>
        <w:t>Journal of Ayurveda and Integrative Medicine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11</w:t>
      </w:r>
      <w:r w:rsidRPr="00946F1D">
        <w:rPr>
          <w:rFonts w:ascii="Times New Roman" w:hAnsi="Times New Roman" w:cs="Times New Roman"/>
          <w:noProof/>
          <w:kern w:val="0"/>
        </w:rPr>
        <w:t>(2), 153–158. https://doi.org/10.1016/j.jaim.2017.10.011</w:t>
      </w:r>
    </w:p>
    <w:p w14:paraId="7EBE9DDF"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Ali, A. M. M. T., &amp; Sundararajan, V. (2024). Omics-based Analysis of Bhadradarvadi Kashayam in Managing Rheumatoid Arthritis via CXCL8-CXCR1/2 axis, MAPK and NF-? B Signaling Pathways-A Network Pharmacology Approach. </w:t>
      </w:r>
      <w:r w:rsidRPr="00946F1D">
        <w:rPr>
          <w:rFonts w:ascii="Times New Roman" w:hAnsi="Times New Roman" w:cs="Times New Roman"/>
          <w:i/>
          <w:iCs/>
          <w:noProof/>
          <w:kern w:val="0"/>
        </w:rPr>
        <w:t>Biomedical &amp; Pharmacology Journal</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17</w:t>
      </w:r>
      <w:r w:rsidRPr="00946F1D">
        <w:rPr>
          <w:rFonts w:ascii="Times New Roman" w:hAnsi="Times New Roman" w:cs="Times New Roman"/>
          <w:noProof/>
          <w:kern w:val="0"/>
        </w:rPr>
        <w:t>(2), 1149–1164.</w:t>
      </w:r>
    </w:p>
    <w:p w14:paraId="71BB6B85"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Anwar, S., Kausar, M. A., Parveen, K., Zahra, A., Ali, A., Badraoui, R., Snoussi, M., Siddiqui, W. A., &amp; Saeed, M. (2022). Polyherbal formulation: The studies towards identification of composition and their biological activities. </w:t>
      </w:r>
      <w:r w:rsidRPr="00946F1D">
        <w:rPr>
          <w:rFonts w:ascii="Times New Roman" w:hAnsi="Times New Roman" w:cs="Times New Roman"/>
          <w:i/>
          <w:iCs/>
          <w:noProof/>
          <w:kern w:val="0"/>
        </w:rPr>
        <w:t>Journal of King Saud University - Science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34</w:t>
      </w:r>
      <w:r w:rsidRPr="00946F1D">
        <w:rPr>
          <w:rFonts w:ascii="Times New Roman" w:hAnsi="Times New Roman" w:cs="Times New Roman"/>
          <w:noProof/>
          <w:kern w:val="0"/>
        </w:rPr>
        <w:t>(7), 102256. https://doi.org/10.1016/j.jksus.2022.102256</w:t>
      </w:r>
    </w:p>
    <w:p w14:paraId="3E18C2BB"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Aswathy, I. S., Krishnan, S., Peter, J., Sabu, V., &amp; Helen, A. (2021). Scientific validation of Anti-arthritic effect of Kashayams–a polyherbal formulation in collagen induced arthritic rats. </w:t>
      </w:r>
      <w:r w:rsidRPr="00946F1D">
        <w:rPr>
          <w:rFonts w:ascii="Times New Roman" w:hAnsi="Times New Roman" w:cs="Times New Roman"/>
          <w:i/>
          <w:iCs/>
          <w:noProof/>
          <w:kern w:val="0"/>
        </w:rPr>
        <w:t>Journal of Ayurveda and Integrative Medicine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12</w:t>
      </w:r>
      <w:r w:rsidRPr="00946F1D">
        <w:rPr>
          <w:rFonts w:ascii="Times New Roman" w:hAnsi="Times New Roman" w:cs="Times New Roman"/>
          <w:noProof/>
          <w:kern w:val="0"/>
        </w:rPr>
        <w:t>(1), 20–27.</w:t>
      </w:r>
    </w:p>
    <w:p w14:paraId="56F34BAF"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B. Aggarwal, B., Prasad, S., Reuter, S., Kannappan, R., R. Yadav, V., Park, B., Hye Kim, J., C. Gupta, S., Phromnoi, K., &amp; Sundaram, C. (2011). Identification of novel anti-inflammatory agents from Ayurvedic medicine for prevention of chronic diseases:“reverse pharmacology” and “bedside to bench” approach. </w:t>
      </w:r>
      <w:r w:rsidRPr="00946F1D">
        <w:rPr>
          <w:rFonts w:ascii="Times New Roman" w:hAnsi="Times New Roman" w:cs="Times New Roman"/>
          <w:i/>
          <w:iCs/>
          <w:noProof/>
          <w:kern w:val="0"/>
        </w:rPr>
        <w:t>Current Drug Targets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12</w:t>
      </w:r>
      <w:r w:rsidRPr="00946F1D">
        <w:rPr>
          <w:rFonts w:ascii="Times New Roman" w:hAnsi="Times New Roman" w:cs="Times New Roman"/>
          <w:noProof/>
          <w:kern w:val="0"/>
        </w:rPr>
        <w:t>(11), 1595–1653.</w:t>
      </w:r>
    </w:p>
    <w:p w14:paraId="4EAB6AEA" w14:textId="72979B4C" w:rsidR="00E54EC9" w:rsidRPr="00946F1D" w:rsidRDefault="00F5662A"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Baghel, D. S., &amp; Chaudhary</w:t>
      </w:r>
      <w:r w:rsidR="00E54EC9" w:rsidRPr="00946F1D">
        <w:rPr>
          <w:rFonts w:ascii="Times New Roman" w:hAnsi="Times New Roman" w:cs="Times New Roman"/>
          <w:noProof/>
          <w:kern w:val="0"/>
        </w:rPr>
        <w:t xml:space="preserve">, A. K. (2018). Impact of particle size of Kwathyadravya (Decoction powder) in the preparation of phaltrikadi kwath. </w:t>
      </w:r>
      <w:r w:rsidR="00E54EC9" w:rsidRPr="00946F1D">
        <w:rPr>
          <w:rFonts w:ascii="Times New Roman" w:hAnsi="Times New Roman" w:cs="Times New Roman"/>
          <w:i/>
          <w:iCs/>
          <w:noProof/>
          <w:kern w:val="0"/>
        </w:rPr>
        <w:t>Asian J Pharm Clin Res</w:t>
      </w:r>
      <w:r w:rsidR="00E54EC9" w:rsidRPr="00946F1D">
        <w:rPr>
          <w:rFonts w:ascii="Times New Roman" w:hAnsi="Times New Roman" w:cs="Times New Roman"/>
          <w:noProof/>
          <w:kern w:val="0"/>
        </w:rPr>
        <w:t xml:space="preserve">, </w:t>
      </w:r>
      <w:r w:rsidR="00E54EC9" w:rsidRPr="00946F1D">
        <w:rPr>
          <w:rFonts w:ascii="Times New Roman" w:hAnsi="Times New Roman" w:cs="Times New Roman"/>
          <w:i/>
          <w:iCs/>
          <w:noProof/>
          <w:kern w:val="0"/>
        </w:rPr>
        <w:t>11</w:t>
      </w:r>
      <w:r w:rsidR="00E54EC9" w:rsidRPr="00946F1D">
        <w:rPr>
          <w:rFonts w:ascii="Times New Roman" w:hAnsi="Times New Roman" w:cs="Times New Roman"/>
          <w:noProof/>
          <w:kern w:val="0"/>
        </w:rPr>
        <w:t>(4), 262–266.</w:t>
      </w:r>
    </w:p>
    <w:p w14:paraId="213173E4"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Bhatt, N., Deshpande, M., &amp; Chaskar, S. (n.d.). A Critical Review of Standardization of Ayurvedic Dosage Form Kwatha-Part-II: Approaches and Outcome. </w:t>
      </w:r>
      <w:r w:rsidRPr="00946F1D">
        <w:rPr>
          <w:rFonts w:ascii="Times New Roman" w:hAnsi="Times New Roman" w:cs="Times New Roman"/>
          <w:i/>
          <w:iCs/>
          <w:noProof/>
          <w:kern w:val="0"/>
        </w:rPr>
        <w:t>International Journal of Ayurvedic Medicine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11</w:t>
      </w:r>
      <w:r w:rsidRPr="00946F1D">
        <w:rPr>
          <w:rFonts w:ascii="Times New Roman" w:hAnsi="Times New Roman" w:cs="Times New Roman"/>
          <w:noProof/>
          <w:kern w:val="0"/>
        </w:rPr>
        <w:t>(3), 378–386.</w:t>
      </w:r>
    </w:p>
    <w:p w14:paraId="0137C65A"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Bhatt, N. S., &amp; Deshpande, M. (2020). A critical review and significance of Ayurvedic preparation Kwatha-Herbal decoction. </w:t>
      </w:r>
      <w:r w:rsidRPr="00946F1D">
        <w:rPr>
          <w:rFonts w:ascii="Times New Roman" w:hAnsi="Times New Roman" w:cs="Times New Roman"/>
          <w:i/>
          <w:iCs/>
          <w:noProof/>
          <w:kern w:val="0"/>
        </w:rPr>
        <w:t>International Journal of Ayurvedic Medicine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11</w:t>
      </w:r>
      <w:r w:rsidRPr="00946F1D">
        <w:rPr>
          <w:rFonts w:ascii="Times New Roman" w:hAnsi="Times New Roman" w:cs="Times New Roman"/>
          <w:noProof/>
          <w:kern w:val="0"/>
        </w:rPr>
        <w:t>(2), 155–164.</w:t>
      </w:r>
    </w:p>
    <w:p w14:paraId="53C119F9"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Chimagave, S. S., Jalalpure, S. S., &amp; Kurangi, B. K. (2020). Preparation and development of polyherbal formulation of medicinal plants for antiarthritic activity. </w:t>
      </w:r>
      <w:r w:rsidRPr="00946F1D">
        <w:rPr>
          <w:rFonts w:ascii="Times New Roman" w:hAnsi="Times New Roman" w:cs="Times New Roman"/>
          <w:i/>
          <w:iCs/>
          <w:noProof/>
          <w:kern w:val="0"/>
        </w:rPr>
        <w:t xml:space="preserve">Indian Journal of Health </w:t>
      </w:r>
      <w:r w:rsidRPr="00946F1D">
        <w:rPr>
          <w:rFonts w:ascii="Times New Roman" w:hAnsi="Times New Roman" w:cs="Times New Roman"/>
          <w:i/>
          <w:iCs/>
          <w:noProof/>
          <w:kern w:val="0"/>
        </w:rPr>
        <w:lastRenderedPageBreak/>
        <w:t>Sciences and Biomedical Research Kleu</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13</w:t>
      </w:r>
      <w:r w:rsidRPr="00946F1D">
        <w:rPr>
          <w:rFonts w:ascii="Times New Roman" w:hAnsi="Times New Roman" w:cs="Times New Roman"/>
          <w:noProof/>
          <w:kern w:val="0"/>
        </w:rPr>
        <w:t>(2), 120–126.</w:t>
      </w:r>
    </w:p>
    <w:p w14:paraId="320E56E7"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Chinchu, J. U., Mohan, M. C., Devi, S. J. R., &amp; Kumar, B. P. (2018). Evaluation of anti-inflammatory effect of Varanadi Kashayam (decoction) in THP-1-derived macrophages. </w:t>
      </w:r>
      <w:r w:rsidRPr="00946F1D">
        <w:rPr>
          <w:rFonts w:ascii="Times New Roman" w:hAnsi="Times New Roman" w:cs="Times New Roman"/>
          <w:i/>
          <w:iCs/>
          <w:noProof/>
          <w:kern w:val="0"/>
        </w:rPr>
        <w:t>AYU (An International Quarterly Journal of Research in Ayurveda)</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39</w:t>
      </w:r>
      <w:r w:rsidRPr="00946F1D">
        <w:rPr>
          <w:rFonts w:ascii="Times New Roman" w:hAnsi="Times New Roman" w:cs="Times New Roman"/>
          <w:noProof/>
          <w:kern w:val="0"/>
        </w:rPr>
        <w:t>(4), 243–249.</w:t>
      </w:r>
    </w:p>
    <w:p w14:paraId="6B289B01"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CT, S., PR, R., K, M., KM, M., EM, A., &amp; Balachandran, I. (2020). Chemical profiling of a polyherbal formulation by tandem mass spectroscopic analysis with multiple ionization techniques. </w:t>
      </w:r>
      <w:r w:rsidRPr="00946F1D">
        <w:rPr>
          <w:rFonts w:ascii="Times New Roman" w:hAnsi="Times New Roman" w:cs="Times New Roman"/>
          <w:i/>
          <w:iCs/>
          <w:noProof/>
          <w:kern w:val="0"/>
        </w:rPr>
        <w:t>Future Journal of Pharmaceutical Sciences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6</w:t>
      </w:r>
      <w:r w:rsidRPr="00946F1D">
        <w:rPr>
          <w:rFonts w:ascii="Times New Roman" w:hAnsi="Times New Roman" w:cs="Times New Roman"/>
          <w:noProof/>
          <w:kern w:val="0"/>
        </w:rPr>
        <w:t>, 1–8.</w:t>
      </w:r>
    </w:p>
    <w:p w14:paraId="0FCF7352"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Dahanayake, J. M., Perera, P. K., Galappatty, P., Perera, H. D. S. M., &amp; Arawwawala, L. D. A. M. (2019). Comparative phytochemical analysis and antioxidant activities of Tamalakyadi decoction with its modified dosage forms. </w:t>
      </w:r>
      <w:r w:rsidRPr="00946F1D">
        <w:rPr>
          <w:rFonts w:ascii="Times New Roman" w:hAnsi="Times New Roman" w:cs="Times New Roman"/>
          <w:i/>
          <w:iCs/>
          <w:noProof/>
          <w:kern w:val="0"/>
        </w:rPr>
        <w:t>Evidence‐Based Complementary and Alternative Medicine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2019</w:t>
      </w:r>
      <w:r w:rsidRPr="00946F1D">
        <w:rPr>
          <w:rFonts w:ascii="Times New Roman" w:hAnsi="Times New Roman" w:cs="Times New Roman"/>
          <w:noProof/>
          <w:kern w:val="0"/>
        </w:rPr>
        <w:t>(1), 6037137.</w:t>
      </w:r>
    </w:p>
    <w:p w14:paraId="2487D14E"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Dattatray Shrikar, K., &amp; Ashpak, T. (2020). Review on Concept and Scope of Polyherbal Formulations. </w:t>
      </w:r>
      <w:r w:rsidRPr="00946F1D">
        <w:rPr>
          <w:rFonts w:ascii="Times New Roman" w:hAnsi="Times New Roman" w:cs="Times New Roman"/>
          <w:i/>
          <w:iCs/>
          <w:noProof/>
          <w:kern w:val="0"/>
        </w:rPr>
        <w:t>International Journal Of Innovative Research In Technology</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7</w:t>
      </w:r>
      <w:r w:rsidRPr="00946F1D">
        <w:rPr>
          <w:rFonts w:ascii="Times New Roman" w:hAnsi="Times New Roman" w:cs="Times New Roman"/>
          <w:noProof/>
          <w:kern w:val="0"/>
        </w:rPr>
        <w:t>(1), 282–288.</w:t>
      </w:r>
    </w:p>
    <w:p w14:paraId="09755FE0"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Deshmukh, R. D., Dhakate, V. G., Deshmukh, P. D., Barde, R. R., &amp; Ingle, A. M. (2020). A case study in the management of burning mouth syndrome through Ayurveda. </w:t>
      </w:r>
      <w:r w:rsidRPr="00946F1D">
        <w:rPr>
          <w:rFonts w:ascii="Times New Roman" w:hAnsi="Times New Roman" w:cs="Times New Roman"/>
          <w:i/>
          <w:iCs/>
          <w:noProof/>
          <w:kern w:val="0"/>
        </w:rPr>
        <w:t>World J Pharm Res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9</w:t>
      </w:r>
      <w:r w:rsidRPr="00946F1D">
        <w:rPr>
          <w:rFonts w:ascii="Times New Roman" w:hAnsi="Times New Roman" w:cs="Times New Roman"/>
          <w:noProof/>
          <w:kern w:val="0"/>
        </w:rPr>
        <w:t>, 813–818.</w:t>
      </w:r>
    </w:p>
    <w:p w14:paraId="76EBD33D"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Dev, S. K., Choudhury, P. K., Srivastava, R., &amp; Sharma, M. (2019). Antimicrobial, anti-inflammatory and wound healing activity of polyherbal formulation. </w:t>
      </w:r>
      <w:r w:rsidRPr="00946F1D">
        <w:rPr>
          <w:rFonts w:ascii="Times New Roman" w:hAnsi="Times New Roman" w:cs="Times New Roman"/>
          <w:i/>
          <w:iCs/>
          <w:noProof/>
          <w:kern w:val="0"/>
        </w:rPr>
        <w:t>Biomedicine &amp; Pharmacotherapy</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111</w:t>
      </w:r>
      <w:r w:rsidRPr="00946F1D">
        <w:rPr>
          <w:rFonts w:ascii="Times New Roman" w:hAnsi="Times New Roman" w:cs="Times New Roman"/>
          <w:noProof/>
          <w:kern w:val="0"/>
        </w:rPr>
        <w:t>, 555–567.</w:t>
      </w:r>
    </w:p>
    <w:p w14:paraId="5013B435"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Dhane, K., Gupta, M. K., Hyam, S., &amp; Patil, A. (2023). Preparation and in-vitro and in-vivo Evaluation of Ayurvedic Formulation “Amruthotharam” Formulated by Classical and Modern Technique. </w:t>
      </w:r>
      <w:r w:rsidRPr="00946F1D">
        <w:rPr>
          <w:rFonts w:ascii="Times New Roman" w:hAnsi="Times New Roman" w:cs="Times New Roman"/>
          <w:i/>
          <w:iCs/>
          <w:noProof/>
          <w:kern w:val="0"/>
        </w:rPr>
        <w:t>Indian J. Pharm. Educ. Res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57</w:t>
      </w:r>
      <w:r w:rsidRPr="00946F1D">
        <w:rPr>
          <w:rFonts w:ascii="Times New Roman" w:hAnsi="Times New Roman" w:cs="Times New Roman"/>
          <w:noProof/>
          <w:kern w:val="0"/>
        </w:rPr>
        <w:t>, S126–S134.</w:t>
      </w:r>
    </w:p>
    <w:p w14:paraId="1EF54892"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Dhanya, R., &amp; Shukla, A. K. (2017). Drug interactions between ayurvedic and allopathic medicines A review. </w:t>
      </w:r>
      <w:r w:rsidRPr="00946F1D">
        <w:rPr>
          <w:rFonts w:ascii="Times New Roman" w:hAnsi="Times New Roman" w:cs="Times New Roman"/>
          <w:i/>
          <w:iCs/>
          <w:noProof/>
          <w:kern w:val="0"/>
        </w:rPr>
        <w:t>World J. Pharm. Res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6</w:t>
      </w:r>
      <w:r w:rsidRPr="00946F1D">
        <w:rPr>
          <w:rFonts w:ascii="Times New Roman" w:hAnsi="Times New Roman" w:cs="Times New Roman"/>
          <w:noProof/>
          <w:kern w:val="0"/>
        </w:rPr>
        <w:t>, 478–486.</w:t>
      </w:r>
    </w:p>
    <w:p w14:paraId="42EDD16C"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Girija, P. V, Renuka, N. K., &amp; Vijayan, K. K. (2024). UPLC-ESI-QTOF-MS profiling of Prasarinyadi kashayam. </w:t>
      </w:r>
      <w:r w:rsidRPr="00946F1D">
        <w:rPr>
          <w:rFonts w:ascii="Times New Roman" w:hAnsi="Times New Roman" w:cs="Times New Roman"/>
          <w:i/>
          <w:iCs/>
          <w:noProof/>
          <w:kern w:val="0"/>
        </w:rPr>
        <w:t>Journal of Molecular Chemistry</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4</w:t>
      </w:r>
      <w:r w:rsidRPr="00946F1D">
        <w:rPr>
          <w:rFonts w:ascii="Times New Roman" w:hAnsi="Times New Roman" w:cs="Times New Roman"/>
          <w:noProof/>
          <w:kern w:val="0"/>
        </w:rPr>
        <w:t>(2), 691.</w:t>
      </w:r>
    </w:p>
    <w:p w14:paraId="3887E18B"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Gopal, S., &amp; Ittiachen, L. (2024). Analysis of quality parameters and preservative concentrations in Sahacharadi Kwatha: A comparative study of three commercial brands. </w:t>
      </w:r>
      <w:r w:rsidRPr="00946F1D">
        <w:rPr>
          <w:rFonts w:ascii="Times New Roman" w:hAnsi="Times New Roman" w:cs="Times New Roman"/>
          <w:i/>
          <w:iCs/>
          <w:noProof/>
          <w:kern w:val="0"/>
        </w:rPr>
        <w:t>Journal of Ayurveda and Integrative Medicine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15</w:t>
      </w:r>
      <w:r w:rsidRPr="00946F1D">
        <w:rPr>
          <w:rFonts w:ascii="Times New Roman" w:hAnsi="Times New Roman" w:cs="Times New Roman"/>
          <w:noProof/>
          <w:kern w:val="0"/>
        </w:rPr>
        <w:t>(5), 101029.</w:t>
      </w:r>
    </w:p>
    <w:p w14:paraId="4FE46C02"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Hartanti, D., &amp; Hamad, A. (2023). Antioxidant properties and interaction effects of a novel polyherbal formulation. </w:t>
      </w:r>
      <w:r w:rsidRPr="00946F1D">
        <w:rPr>
          <w:rFonts w:ascii="Times New Roman" w:hAnsi="Times New Roman" w:cs="Times New Roman"/>
          <w:i/>
          <w:iCs/>
          <w:noProof/>
          <w:kern w:val="0"/>
        </w:rPr>
        <w:t>Current Trends in Biotechnology and Pharmacy</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17</w:t>
      </w:r>
      <w:r w:rsidRPr="00946F1D">
        <w:rPr>
          <w:rFonts w:ascii="Times New Roman" w:hAnsi="Times New Roman" w:cs="Times New Roman"/>
          <w:noProof/>
          <w:kern w:val="0"/>
        </w:rPr>
        <w:t>(4A (Supplement)), 28–33.</w:t>
      </w:r>
    </w:p>
    <w:p w14:paraId="091072C1"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Iqbal, S. S., &amp; Gurumurthy, P. (2016). Evaluation of Phytochemistry, Anti-oxidant &amp; Free Radical Scavenging activity of a Novel Polyherbal Formulation. </w:t>
      </w:r>
      <w:r w:rsidRPr="00946F1D">
        <w:rPr>
          <w:rFonts w:ascii="Times New Roman" w:hAnsi="Times New Roman" w:cs="Times New Roman"/>
          <w:i/>
          <w:iCs/>
          <w:noProof/>
          <w:kern w:val="0"/>
        </w:rPr>
        <w:t>International Journal</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w:t>
      </w:r>
      <w:r w:rsidRPr="00946F1D">
        <w:rPr>
          <w:rFonts w:ascii="Times New Roman" w:hAnsi="Times New Roman" w:cs="Times New Roman"/>
          <w:noProof/>
          <w:kern w:val="0"/>
        </w:rPr>
        <w:t>, 1.</w:t>
      </w:r>
    </w:p>
    <w:p w14:paraId="570F0A6A"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Jain, R., Parmar, R., &amp; Jain, N. K. (2023). Role of Kumkumadi Ghrita and Pathyashadangam kashaya in management of Ardhavabhedaka (Migraine)-A Case study. </w:t>
      </w:r>
      <w:r w:rsidRPr="00946F1D">
        <w:rPr>
          <w:rFonts w:ascii="Times New Roman" w:hAnsi="Times New Roman" w:cs="Times New Roman"/>
          <w:i/>
          <w:iCs/>
          <w:noProof/>
          <w:kern w:val="0"/>
        </w:rPr>
        <w:t>Bull. Env. Pharmacol. Life Sci</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12</w:t>
      </w:r>
      <w:r w:rsidRPr="00946F1D">
        <w:rPr>
          <w:rFonts w:ascii="Times New Roman" w:hAnsi="Times New Roman" w:cs="Times New Roman"/>
          <w:noProof/>
          <w:kern w:val="0"/>
        </w:rPr>
        <w:t>, 379–382.</w:t>
      </w:r>
    </w:p>
    <w:p w14:paraId="770F561A"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lastRenderedPageBreak/>
        <w:t xml:space="preserve">Jalaj, A. V, Williams, B. C., &amp; Suja, R. M. (2016). Pharmacological analysis of the polyherbal formulation “Kushtakhnani kwatham”. </w:t>
      </w:r>
      <w:r w:rsidRPr="00946F1D">
        <w:rPr>
          <w:rFonts w:ascii="Times New Roman" w:hAnsi="Times New Roman" w:cs="Times New Roman"/>
          <w:i/>
          <w:iCs/>
          <w:noProof/>
          <w:kern w:val="0"/>
        </w:rPr>
        <w:t>World Journal of Pharmacy and Pharmaceutical Sciences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5</w:t>
      </w:r>
      <w:r w:rsidRPr="00946F1D">
        <w:rPr>
          <w:rFonts w:ascii="Times New Roman" w:hAnsi="Times New Roman" w:cs="Times New Roman"/>
          <w:noProof/>
          <w:kern w:val="0"/>
        </w:rPr>
        <w:t>(4), 1016–1021. https://doi.org/10.20959/wjpps20164-5997</w:t>
      </w:r>
    </w:p>
    <w:p w14:paraId="22671C3B"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Kapoor, V. K., &amp; Singla, S. (2015). Herb-drug interactions–an update on synergistic interactions. </w:t>
      </w:r>
      <w:r w:rsidRPr="00946F1D">
        <w:rPr>
          <w:rFonts w:ascii="Times New Roman" w:hAnsi="Times New Roman" w:cs="Times New Roman"/>
          <w:i/>
          <w:iCs/>
          <w:noProof/>
          <w:kern w:val="0"/>
        </w:rPr>
        <w:t>J. Alt. Med. Res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w:t>
      </w:r>
      <w:r w:rsidRPr="00946F1D">
        <w:rPr>
          <w:rFonts w:ascii="Times New Roman" w:hAnsi="Times New Roman" w:cs="Times New Roman"/>
          <w:noProof/>
          <w:kern w:val="0"/>
        </w:rPr>
        <w:t>, 1–11.</w:t>
      </w:r>
    </w:p>
    <w:p w14:paraId="68B2D5C7"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Kar, A., Mallika, K. J., &amp; Harini, A. (2018). Phytochemical analysis of an indigenous compound Patolamuladi Kashayam. </w:t>
      </w:r>
      <w:r w:rsidRPr="00946F1D">
        <w:rPr>
          <w:rFonts w:ascii="Times New Roman" w:hAnsi="Times New Roman" w:cs="Times New Roman"/>
          <w:i/>
          <w:iCs/>
          <w:noProof/>
          <w:kern w:val="0"/>
        </w:rPr>
        <w:t>Journal of Pharmacognosy and Phytochemistry</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7</w:t>
      </w:r>
      <w:r w:rsidRPr="00946F1D">
        <w:rPr>
          <w:rFonts w:ascii="Times New Roman" w:hAnsi="Times New Roman" w:cs="Times New Roman"/>
          <w:noProof/>
          <w:kern w:val="0"/>
        </w:rPr>
        <w:t>(4), 3056–3060.</w:t>
      </w:r>
    </w:p>
    <w:p w14:paraId="2FC02509"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Khan, T. A., Mallya, R., &amp; Gohel, A. (2016). Standardization of marketed Ayurvedic formulation, Balaguloochyadi kashayam-physicochemical, microbial evaluation and ephedrine content. </w:t>
      </w:r>
      <w:r w:rsidRPr="00946F1D">
        <w:rPr>
          <w:rFonts w:ascii="Times New Roman" w:hAnsi="Times New Roman" w:cs="Times New Roman"/>
          <w:i/>
          <w:iCs/>
          <w:noProof/>
          <w:kern w:val="0"/>
        </w:rPr>
        <w:t>Journal of Applied Pharmaceutical Science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6</w:t>
      </w:r>
      <w:r w:rsidRPr="00946F1D">
        <w:rPr>
          <w:rFonts w:ascii="Times New Roman" w:hAnsi="Times New Roman" w:cs="Times New Roman"/>
          <w:noProof/>
          <w:kern w:val="0"/>
        </w:rPr>
        <w:t>(12), 184–189.</w:t>
      </w:r>
    </w:p>
    <w:p w14:paraId="795999C4"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Krishna, K. P. R. (2011). The efficacy of Ayurvedic treatment for rheumatoid arthritis: Cross-sectional experiential profile of a longitudinal study. </w:t>
      </w:r>
      <w:r w:rsidRPr="00946F1D">
        <w:rPr>
          <w:rFonts w:ascii="Times New Roman" w:hAnsi="Times New Roman" w:cs="Times New Roman"/>
          <w:i/>
          <w:iCs/>
          <w:noProof/>
          <w:kern w:val="0"/>
        </w:rPr>
        <w:t>International Journal of Ayurveda Research</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2</w:t>
      </w:r>
      <w:r w:rsidRPr="00946F1D">
        <w:rPr>
          <w:rFonts w:ascii="Times New Roman" w:hAnsi="Times New Roman" w:cs="Times New Roman"/>
          <w:noProof/>
          <w:kern w:val="0"/>
        </w:rPr>
        <w:t>(1), 8.</w:t>
      </w:r>
    </w:p>
    <w:p w14:paraId="7D6CE9B0"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Kulathunga, R. D. H., Gunarathna, E., Jayawardhana, N. D. N., De Silva, R., Ranasinghe, R., Faisulhaq, M. H., Samarasinha, U. K. A., &amp; Arawwawala, L. (2019). A comparative analytical study on two types of Sharibadi decoctions: An Ayurveda preparation. </w:t>
      </w:r>
      <w:r w:rsidRPr="00946F1D">
        <w:rPr>
          <w:rFonts w:ascii="Times New Roman" w:hAnsi="Times New Roman" w:cs="Times New Roman"/>
          <w:i/>
          <w:iCs/>
          <w:noProof/>
          <w:kern w:val="0"/>
        </w:rPr>
        <w:t>Journal of Complementary and Alternative Medical Research</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8</w:t>
      </w:r>
      <w:r w:rsidRPr="00946F1D">
        <w:rPr>
          <w:rFonts w:ascii="Times New Roman" w:hAnsi="Times New Roman" w:cs="Times New Roman"/>
          <w:noProof/>
          <w:kern w:val="0"/>
        </w:rPr>
        <w:t>(3), 1–8.</w:t>
      </w:r>
    </w:p>
    <w:p w14:paraId="564DFDF2"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Kumar, M. M., Sharma, A., Rinka Juneja, D. T. P., Arif, M. M., Singh, M. A. D., &amp; Kumar, A. (2025). Biological Evaluation Of Herbal Preparations And Formulation Standardization: A Literature Study. </w:t>
      </w:r>
      <w:r w:rsidRPr="00946F1D">
        <w:rPr>
          <w:rFonts w:ascii="Times New Roman" w:hAnsi="Times New Roman" w:cs="Times New Roman"/>
          <w:i/>
          <w:iCs/>
          <w:noProof/>
          <w:kern w:val="0"/>
        </w:rPr>
        <w:t>Journal of Neonatal Surgery</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14</w:t>
      </w:r>
      <w:r w:rsidRPr="00946F1D">
        <w:rPr>
          <w:rFonts w:ascii="Times New Roman" w:hAnsi="Times New Roman" w:cs="Times New Roman"/>
          <w:noProof/>
          <w:kern w:val="0"/>
        </w:rPr>
        <w:t>(8s).</w:t>
      </w:r>
    </w:p>
    <w:p w14:paraId="0914143E"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Kumar, P. P., Prabhu, K., Rao, M. R. K., Jain, M., Kalaivani, K., Dinakar, S., Shil, S., &amp; Vijayalakshmi, N. (2020). Anti-arthritic property of Sahacharadi Kashayam against Freund’s complete. </w:t>
      </w:r>
      <w:r w:rsidRPr="00946F1D">
        <w:rPr>
          <w:rFonts w:ascii="Times New Roman" w:hAnsi="Times New Roman" w:cs="Times New Roman"/>
          <w:i/>
          <w:iCs/>
          <w:noProof/>
          <w:kern w:val="0"/>
        </w:rPr>
        <w:t>Pharmacognosy Journal</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12</w:t>
      </w:r>
      <w:r w:rsidRPr="00946F1D">
        <w:rPr>
          <w:rFonts w:ascii="Times New Roman" w:hAnsi="Times New Roman" w:cs="Times New Roman"/>
          <w:noProof/>
          <w:kern w:val="0"/>
        </w:rPr>
        <w:t>(3).</w:t>
      </w:r>
    </w:p>
    <w:p w14:paraId="62595481"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Kumar, P. P., Rao, M. R., Elizabeth, A. A., Prabhu, K., Sundaram, R. L., &amp; Dinakar, S. (2018). The GC MS analysis of one ayurvedic medicine Sahacharadi Kashayam. </w:t>
      </w:r>
      <w:r w:rsidRPr="00946F1D">
        <w:rPr>
          <w:rFonts w:ascii="Times New Roman" w:hAnsi="Times New Roman" w:cs="Times New Roman"/>
          <w:i/>
          <w:iCs/>
          <w:noProof/>
          <w:kern w:val="0"/>
        </w:rPr>
        <w:t>Int J Pharm Technol</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10</w:t>
      </w:r>
      <w:r w:rsidRPr="00946F1D">
        <w:rPr>
          <w:rFonts w:ascii="Times New Roman" w:hAnsi="Times New Roman" w:cs="Times New Roman"/>
          <w:noProof/>
          <w:kern w:val="0"/>
        </w:rPr>
        <w:t>(1), 31214–31230.</w:t>
      </w:r>
    </w:p>
    <w:p w14:paraId="180BCBBB"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Kumar, S., Toprani, N., &amp; Lakshmanan, S. (2014). Contemporary Challenges in Ayurveda: An Ancient Medical Technology. </w:t>
      </w:r>
      <w:r w:rsidRPr="00946F1D">
        <w:rPr>
          <w:rFonts w:ascii="Times New Roman" w:hAnsi="Times New Roman" w:cs="Times New Roman"/>
          <w:i/>
          <w:iCs/>
          <w:noProof/>
          <w:kern w:val="0"/>
        </w:rPr>
        <w:t>Ayurvedic</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w:t>
      </w:r>
      <w:r w:rsidRPr="00946F1D">
        <w:rPr>
          <w:rFonts w:ascii="Times New Roman" w:hAnsi="Times New Roman" w:cs="Times New Roman"/>
          <w:noProof/>
          <w:kern w:val="0"/>
        </w:rPr>
        <w:t>, 10–14.</w:t>
      </w:r>
    </w:p>
    <w:p w14:paraId="179389DF"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Kurian, A., George, S., &amp; Thomas, B. (2021). A review on phytochemical characterization of kwatha–ayurvedic polyherbal formulation. </w:t>
      </w:r>
      <w:r w:rsidRPr="00946F1D">
        <w:rPr>
          <w:rFonts w:ascii="Times New Roman" w:hAnsi="Times New Roman" w:cs="Times New Roman"/>
          <w:i/>
          <w:iCs/>
          <w:noProof/>
          <w:kern w:val="0"/>
        </w:rPr>
        <w:t>Journal of Natural Remedies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21</w:t>
      </w:r>
      <w:r w:rsidRPr="00946F1D">
        <w:rPr>
          <w:rFonts w:ascii="Times New Roman" w:hAnsi="Times New Roman" w:cs="Times New Roman"/>
          <w:noProof/>
          <w:kern w:val="0"/>
        </w:rPr>
        <w:t>(2), 87–98. https://doi.org/10.18311/jnr/2021/25730</w:t>
      </w:r>
    </w:p>
    <w:p w14:paraId="121CE7B0"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Lakhotia, S. C. (2019a). Ayurvedic Biology provides an unbiased approach to revisit and rationalize basic concepts and practices of Ayurveda. </w:t>
      </w:r>
      <w:r w:rsidRPr="00946F1D">
        <w:rPr>
          <w:rFonts w:ascii="Times New Roman" w:hAnsi="Times New Roman" w:cs="Times New Roman"/>
          <w:i/>
          <w:iCs/>
          <w:noProof/>
          <w:kern w:val="0"/>
        </w:rPr>
        <w:t>Research Gate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24</w:t>
      </w:r>
      <w:r w:rsidRPr="00946F1D">
        <w:rPr>
          <w:rFonts w:ascii="Times New Roman" w:hAnsi="Times New Roman" w:cs="Times New Roman"/>
          <w:noProof/>
          <w:kern w:val="0"/>
        </w:rPr>
        <w:t>.</w:t>
      </w:r>
    </w:p>
    <w:p w14:paraId="79F0FCD6"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Lakhotia, S. C. (2019b). Need for integration of Ayurveda with modern biology and medicine. </w:t>
      </w:r>
      <w:r w:rsidRPr="00946F1D">
        <w:rPr>
          <w:rFonts w:ascii="Times New Roman" w:hAnsi="Times New Roman" w:cs="Times New Roman"/>
          <w:i/>
          <w:iCs/>
          <w:noProof/>
          <w:kern w:val="0"/>
        </w:rPr>
        <w:t>Proc Indian Natn Sci Acad</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85</w:t>
      </w:r>
      <w:r w:rsidRPr="00946F1D">
        <w:rPr>
          <w:rFonts w:ascii="Times New Roman" w:hAnsi="Times New Roman" w:cs="Times New Roman"/>
          <w:noProof/>
          <w:kern w:val="0"/>
        </w:rPr>
        <w:t>(4), 697–703.</w:t>
      </w:r>
    </w:p>
    <w:p w14:paraId="2D209CE6"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Lakshmanan, S. (n.d.). </w:t>
      </w:r>
      <w:r w:rsidRPr="00946F1D">
        <w:rPr>
          <w:rFonts w:ascii="Times New Roman" w:hAnsi="Times New Roman" w:cs="Times New Roman"/>
          <w:i/>
          <w:iCs/>
          <w:noProof/>
          <w:kern w:val="0"/>
        </w:rPr>
        <w:t>Ayurveda-Ancient Science and Technology: A Quantum Paradigm</w:t>
      </w:r>
      <w:r w:rsidRPr="00946F1D">
        <w:rPr>
          <w:rFonts w:ascii="Times New Roman" w:hAnsi="Times New Roman" w:cs="Times New Roman"/>
          <w:noProof/>
          <w:kern w:val="0"/>
        </w:rPr>
        <w:t>.</w:t>
      </w:r>
    </w:p>
    <w:p w14:paraId="572FE078"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lastRenderedPageBreak/>
        <w:t xml:space="preserve">Lata, S. (n.d.). </w:t>
      </w:r>
      <w:r w:rsidRPr="00946F1D">
        <w:rPr>
          <w:rFonts w:ascii="Times New Roman" w:hAnsi="Times New Roman" w:cs="Times New Roman"/>
          <w:i/>
          <w:iCs/>
          <w:noProof/>
          <w:kern w:val="0"/>
        </w:rPr>
        <w:t>Ayurveda Medical System in Ancient India</w:t>
      </w:r>
      <w:r w:rsidRPr="00946F1D">
        <w:rPr>
          <w:rFonts w:ascii="Times New Roman" w:hAnsi="Times New Roman" w:cs="Times New Roman"/>
          <w:noProof/>
          <w:kern w:val="0"/>
        </w:rPr>
        <w:t>.</w:t>
      </w:r>
    </w:p>
    <w:p w14:paraId="62C34F48"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Maddesiya, S., Singh, S., &amp; Verma, N. K. (2024). A BRIEF STUDY ON AYURVEDIC KWATH: A REVIEW. </w:t>
      </w:r>
      <w:r w:rsidRPr="00946F1D">
        <w:rPr>
          <w:rFonts w:ascii="Times New Roman" w:hAnsi="Times New Roman" w:cs="Times New Roman"/>
          <w:i/>
          <w:iCs/>
          <w:noProof/>
          <w:kern w:val="0"/>
        </w:rPr>
        <w:t>IAR Journal of Medicine and Surgery Research</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5</w:t>
      </w:r>
      <w:r w:rsidRPr="00946F1D">
        <w:rPr>
          <w:rFonts w:ascii="Times New Roman" w:hAnsi="Times New Roman" w:cs="Times New Roman"/>
          <w:noProof/>
          <w:kern w:val="0"/>
        </w:rPr>
        <w:t>(4).</w:t>
      </w:r>
    </w:p>
    <w:p w14:paraId="79C56860"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Mahapatra, A., Aramya, A. R., Manohar, R., &amp; Latha, K. (2015). Comparative evaluation of specific phytochemical indicatives in Cirivilvādi Kaṣāya prepared freshly and at commercial scale. </w:t>
      </w:r>
      <w:r w:rsidRPr="00946F1D">
        <w:rPr>
          <w:rFonts w:ascii="Times New Roman" w:hAnsi="Times New Roman" w:cs="Times New Roman"/>
          <w:i/>
          <w:iCs/>
          <w:noProof/>
          <w:kern w:val="0"/>
        </w:rPr>
        <w:t>Indian Journal of Pharmaceutical Sciences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77</w:t>
      </w:r>
      <w:r w:rsidRPr="00946F1D">
        <w:rPr>
          <w:rFonts w:ascii="Times New Roman" w:hAnsi="Times New Roman" w:cs="Times New Roman"/>
          <w:noProof/>
          <w:kern w:val="0"/>
        </w:rPr>
        <w:t>(5), 650.</w:t>
      </w:r>
    </w:p>
    <w:p w14:paraId="2542284F"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Mehta, M., Kothari, V., &amp; Kotecha, K. (2021). </w:t>
      </w:r>
      <w:r w:rsidRPr="00946F1D">
        <w:rPr>
          <w:rFonts w:ascii="Times New Roman" w:hAnsi="Times New Roman" w:cs="Times New Roman"/>
          <w:i/>
          <w:iCs/>
          <w:noProof/>
          <w:kern w:val="0"/>
        </w:rPr>
        <w:t>Comparative Analytical Study of Fresh and Ready to use Dashmula Kwatha</w:t>
      </w:r>
      <w:r w:rsidRPr="00946F1D">
        <w:rPr>
          <w:rFonts w:ascii="Times New Roman" w:hAnsi="Times New Roman" w:cs="Times New Roman"/>
          <w:noProof/>
          <w:kern w:val="0"/>
        </w:rPr>
        <w:t>.</w:t>
      </w:r>
    </w:p>
    <w:p w14:paraId="761114DF"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Mishra, A. K., Gupta, A., Gupta, V., Sannd, R., &amp; Bansal, P. (2010). Asava and aristha: An ayurvedic medicine–An overview. </w:t>
      </w:r>
      <w:r w:rsidRPr="00946F1D">
        <w:rPr>
          <w:rFonts w:ascii="Times New Roman" w:hAnsi="Times New Roman" w:cs="Times New Roman"/>
          <w:i/>
          <w:iCs/>
          <w:noProof/>
          <w:kern w:val="0"/>
        </w:rPr>
        <w:t>Int J Pharm Biol Arch</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w:t>
      </w:r>
      <w:r w:rsidRPr="00946F1D">
        <w:rPr>
          <w:rFonts w:ascii="Times New Roman" w:hAnsi="Times New Roman" w:cs="Times New Roman"/>
          <w:noProof/>
          <w:kern w:val="0"/>
        </w:rPr>
        <w:t>(1), 24–30.</w:t>
      </w:r>
    </w:p>
    <w:p w14:paraId="085A955E"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Mishra, L., Singh, B. B., &amp; Dagenais, S. (2001). HEALTHCARE ANI) DISEASE MANAGEMENT IN AYURVEDA. </w:t>
      </w:r>
      <w:r w:rsidRPr="00946F1D">
        <w:rPr>
          <w:rFonts w:ascii="Times New Roman" w:hAnsi="Times New Roman" w:cs="Times New Roman"/>
          <w:i/>
          <w:iCs/>
          <w:noProof/>
          <w:kern w:val="0"/>
        </w:rPr>
        <w:t>Alternative Therapies in Health and Medicine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7</w:t>
      </w:r>
      <w:r w:rsidRPr="00946F1D">
        <w:rPr>
          <w:rFonts w:ascii="Times New Roman" w:hAnsi="Times New Roman" w:cs="Times New Roman"/>
          <w:noProof/>
          <w:kern w:val="0"/>
        </w:rPr>
        <w:t>, 2.</w:t>
      </w:r>
    </w:p>
    <w:p w14:paraId="1620EF6C"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Mukherjee, P. K., Banerjee, S., &amp; Kar, A. (2018). Exploring synergy in ayurveda and traditional Indian systems of medicine. </w:t>
      </w:r>
      <w:r w:rsidRPr="00946F1D">
        <w:rPr>
          <w:rFonts w:ascii="Times New Roman" w:hAnsi="Times New Roman" w:cs="Times New Roman"/>
          <w:i/>
          <w:iCs/>
          <w:noProof/>
          <w:kern w:val="0"/>
        </w:rPr>
        <w:t>Synergy</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7</w:t>
      </w:r>
      <w:r w:rsidRPr="00946F1D">
        <w:rPr>
          <w:rFonts w:ascii="Times New Roman" w:hAnsi="Times New Roman" w:cs="Times New Roman"/>
          <w:noProof/>
          <w:kern w:val="0"/>
        </w:rPr>
        <w:t>, 30–33.</w:t>
      </w:r>
    </w:p>
    <w:p w14:paraId="088DC586"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Nandakumar, G., Mohanan, D., Minsha, M. G., &amp; Rammanohar, P. (2021). </w:t>
      </w:r>
      <w:r w:rsidRPr="00946F1D">
        <w:rPr>
          <w:rFonts w:ascii="Times New Roman" w:hAnsi="Times New Roman" w:cs="Times New Roman"/>
          <w:i/>
          <w:iCs/>
          <w:noProof/>
          <w:kern w:val="0"/>
        </w:rPr>
        <w:t>Phytochemical Analysis and Cellular Uptake Study of an Ayurvedic Formulation, Vyaghryadi Kashayam Used in the Clinical Management of COVID-19.</w:t>
      </w:r>
    </w:p>
    <w:p w14:paraId="41DF5D80"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Narayanan, G., Prabhu, K., Rao, M. R., Kannan, K., Sundaram, R. L., Dinakar, S., &amp; Vijayalakshmi, N. (2019). Gas chromatography-mass spectrometry analysis of one ayurvedic medicine, drakshadi kashayam. </w:t>
      </w:r>
      <w:r w:rsidRPr="00946F1D">
        <w:rPr>
          <w:rFonts w:ascii="Times New Roman" w:hAnsi="Times New Roman" w:cs="Times New Roman"/>
          <w:i/>
          <w:iCs/>
          <w:noProof/>
          <w:kern w:val="0"/>
        </w:rPr>
        <w:t>Drug Invent Today</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11</w:t>
      </w:r>
      <w:r w:rsidRPr="00946F1D">
        <w:rPr>
          <w:rFonts w:ascii="Times New Roman" w:hAnsi="Times New Roman" w:cs="Times New Roman"/>
          <w:noProof/>
          <w:kern w:val="0"/>
        </w:rPr>
        <w:t>(10), 2652–2656.</w:t>
      </w:r>
    </w:p>
    <w:p w14:paraId="3112DDB4"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Neethu, S., Veena, S. K., Indulekha, V. C., Eapen, J., &amp; Radhakrishnan, K. V. (2021). Phytoconstituents assessment and development of standardization protocol for ‘Nayopayam Kwatha’, a polyherbal Ayurvedic formulation. </w:t>
      </w:r>
      <w:r w:rsidRPr="00946F1D">
        <w:rPr>
          <w:rFonts w:ascii="Times New Roman" w:hAnsi="Times New Roman" w:cs="Times New Roman"/>
          <w:i/>
          <w:iCs/>
          <w:noProof/>
          <w:kern w:val="0"/>
        </w:rPr>
        <w:t>Journal of Ayurveda and Integrative Medicine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12</w:t>
      </w:r>
      <w:r w:rsidRPr="00946F1D">
        <w:rPr>
          <w:rFonts w:ascii="Times New Roman" w:hAnsi="Times New Roman" w:cs="Times New Roman"/>
          <w:noProof/>
          <w:kern w:val="0"/>
        </w:rPr>
        <w:t>(3), 489–499. https://doi.org/10.1016/j.jaim.2021.05.002</w:t>
      </w:r>
    </w:p>
    <w:p w14:paraId="3BD012F0"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Nirupa, P., Rao, M. R., Prabhu, K., Kaliaselvi, V. S., Kumaran, D., &amp; Sivaram, E. (2017). Antioxidant study of one ayurvedic medicine,“SukumaraKashayam.” </w:t>
      </w:r>
      <w:r w:rsidRPr="00946F1D">
        <w:rPr>
          <w:rFonts w:ascii="Times New Roman" w:hAnsi="Times New Roman" w:cs="Times New Roman"/>
          <w:i/>
          <w:iCs/>
          <w:noProof/>
          <w:kern w:val="0"/>
        </w:rPr>
        <w:t>Int J Pharm Sci Rev Res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42</w:t>
      </w:r>
      <w:r w:rsidRPr="00946F1D">
        <w:rPr>
          <w:rFonts w:ascii="Times New Roman" w:hAnsi="Times New Roman" w:cs="Times New Roman"/>
          <w:noProof/>
          <w:kern w:val="0"/>
        </w:rPr>
        <w:t>, 35–41.</w:t>
      </w:r>
    </w:p>
    <w:p w14:paraId="38736525"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Oshomoh, E. O., Uwaya, D. O., &amp; Uzama-Avenbuan, O. (2022). Quantitative Analysis of Phytochemical Constituents and Invitro Antioxidant Potentials of Poly-Herbal Formulation. </w:t>
      </w:r>
      <w:r w:rsidRPr="00946F1D">
        <w:rPr>
          <w:rFonts w:ascii="Times New Roman" w:hAnsi="Times New Roman" w:cs="Times New Roman"/>
          <w:i/>
          <w:iCs/>
          <w:noProof/>
          <w:kern w:val="0"/>
        </w:rPr>
        <w:t>NIPES-Journal of Science and Technology Research</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4</w:t>
      </w:r>
      <w:r w:rsidRPr="00946F1D">
        <w:rPr>
          <w:rFonts w:ascii="Times New Roman" w:hAnsi="Times New Roman" w:cs="Times New Roman"/>
          <w:noProof/>
          <w:kern w:val="0"/>
        </w:rPr>
        <w:t>(2).</w:t>
      </w:r>
    </w:p>
    <w:p w14:paraId="3DFBFBC2"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Pande, V. B., &amp; Chandel, S. S. (n.d.). and Vishal Soni, Synergistic and Safe Antidiabetic Effect of Polyherbal Formulation: Comprehensive Overview.(2021). </w:t>
      </w:r>
      <w:r w:rsidRPr="00946F1D">
        <w:rPr>
          <w:rFonts w:ascii="Times New Roman" w:hAnsi="Times New Roman" w:cs="Times New Roman"/>
          <w:i/>
          <w:iCs/>
          <w:noProof/>
          <w:kern w:val="0"/>
        </w:rPr>
        <w:t>Int. J. Life Sci. Pharma Res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11</w:t>
      </w:r>
      <w:r w:rsidRPr="00946F1D">
        <w:rPr>
          <w:rFonts w:ascii="Times New Roman" w:hAnsi="Times New Roman" w:cs="Times New Roman"/>
          <w:noProof/>
          <w:kern w:val="0"/>
        </w:rPr>
        <w:t>(2), P51-57.</w:t>
      </w:r>
    </w:p>
    <w:p w14:paraId="06F6079D"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Pandit, S., Kanjilal, S., Awasthi, A., Chaudhary, A., Banerjee, D., Bhatt, B. N., Narwaria, A., Singh, R., Dutta, K., &amp; Jaggi, M. (2017). Evaluation of herb-drug interaction of a polyherbal Ayurvedic formulation through high throughput cytochrome P450 enzyme inhibition assay. </w:t>
      </w:r>
      <w:r w:rsidRPr="00946F1D">
        <w:rPr>
          <w:rFonts w:ascii="Times New Roman" w:hAnsi="Times New Roman" w:cs="Times New Roman"/>
          <w:i/>
          <w:iCs/>
          <w:noProof/>
          <w:kern w:val="0"/>
        </w:rPr>
        <w:t>Journal of Ethnopharmacology</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197</w:t>
      </w:r>
      <w:r w:rsidRPr="00946F1D">
        <w:rPr>
          <w:rFonts w:ascii="Times New Roman" w:hAnsi="Times New Roman" w:cs="Times New Roman"/>
          <w:noProof/>
          <w:kern w:val="0"/>
        </w:rPr>
        <w:t>, 165–172.</w:t>
      </w:r>
    </w:p>
    <w:p w14:paraId="278EC61D"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lastRenderedPageBreak/>
        <w:t xml:space="preserve">Parasuraman, S., Kumar, E. P., Kumar, A., &amp; Emerson, S. F. (2010). Free radical scavenging property and diuretic effect of triglize, a polyherbal formulation in experimental models. </w:t>
      </w:r>
      <w:r w:rsidRPr="00946F1D">
        <w:rPr>
          <w:rFonts w:ascii="Times New Roman" w:hAnsi="Times New Roman" w:cs="Times New Roman"/>
          <w:i/>
          <w:iCs/>
          <w:noProof/>
          <w:kern w:val="0"/>
        </w:rPr>
        <w:t>Journal of Pharmacology &amp; Pharmacotherapeutics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w:t>
      </w:r>
      <w:r w:rsidRPr="00946F1D">
        <w:rPr>
          <w:rFonts w:ascii="Times New Roman" w:hAnsi="Times New Roman" w:cs="Times New Roman"/>
          <w:noProof/>
          <w:kern w:val="0"/>
        </w:rPr>
        <w:t>(1), 38.</w:t>
      </w:r>
    </w:p>
    <w:p w14:paraId="2B53033B"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Parasuraman, S., Thing, G. S., &amp; Dhanaraj, S. A. (2014a). Polyherbal formulation : Concept of ayurveda : Subramani Parasuraman , ... Polyherbal formulation : Concept of ayurveda Polyherbal formulation : Concept of ayurveda : Subramani Parasuraman , ... </w:t>
      </w:r>
      <w:r w:rsidRPr="00946F1D">
        <w:rPr>
          <w:rFonts w:ascii="Times New Roman" w:hAnsi="Times New Roman" w:cs="Times New Roman"/>
          <w:i/>
          <w:iCs/>
          <w:noProof/>
          <w:kern w:val="0"/>
        </w:rPr>
        <w:t>Pharmacognosy Reviews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8</w:t>
      </w:r>
      <w:r w:rsidRPr="00946F1D">
        <w:rPr>
          <w:rFonts w:ascii="Times New Roman" w:hAnsi="Times New Roman" w:cs="Times New Roman"/>
          <w:noProof/>
          <w:kern w:val="0"/>
        </w:rPr>
        <w:t>(16), 4–8.</w:t>
      </w:r>
    </w:p>
    <w:p w14:paraId="2AAFA6DB"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Parasuraman, S., Thing, G. S., &amp; Dhanaraj, S. A. (2014b). Polyherbal formulation: Concept of ayurveda. </w:t>
      </w:r>
      <w:r w:rsidRPr="00946F1D">
        <w:rPr>
          <w:rFonts w:ascii="Times New Roman" w:hAnsi="Times New Roman" w:cs="Times New Roman"/>
          <w:i/>
          <w:iCs/>
          <w:noProof/>
          <w:kern w:val="0"/>
        </w:rPr>
        <w:t>Pharmacognosy Reviews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8</w:t>
      </w:r>
      <w:r w:rsidRPr="00946F1D">
        <w:rPr>
          <w:rFonts w:ascii="Times New Roman" w:hAnsi="Times New Roman" w:cs="Times New Roman"/>
          <w:noProof/>
          <w:kern w:val="0"/>
        </w:rPr>
        <w:t>(16), 73–80. https://doi.org/10.4103/0973-7847.134229</w:t>
      </w:r>
    </w:p>
    <w:p w14:paraId="2FA0F0C8"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Patwardhan, B. (2014). Bridging Ayurveda with evidence-based scientific approaches in medicine. </w:t>
      </w:r>
      <w:r w:rsidRPr="00946F1D">
        <w:rPr>
          <w:rFonts w:ascii="Times New Roman" w:hAnsi="Times New Roman" w:cs="Times New Roman"/>
          <w:i/>
          <w:iCs/>
          <w:noProof/>
          <w:kern w:val="0"/>
        </w:rPr>
        <w:t>EPMA Journal</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5</w:t>
      </w:r>
      <w:r w:rsidRPr="00946F1D">
        <w:rPr>
          <w:rFonts w:ascii="Times New Roman" w:hAnsi="Times New Roman" w:cs="Times New Roman"/>
          <w:noProof/>
          <w:kern w:val="0"/>
        </w:rPr>
        <w:t>, 1–7.</w:t>
      </w:r>
    </w:p>
    <w:p w14:paraId="4C41FE99"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Phillips, S., Rao, M. R. K., Prabhu, K., Priya, M., Kalaivani, S., Ravi, A., &amp; Dinakar, S. (2015). Preliminary GC-MS analysis of an Ayurvedic medicine “Kulathadi Kashayam.” </w:t>
      </w:r>
      <w:r w:rsidRPr="00946F1D">
        <w:rPr>
          <w:rFonts w:ascii="Times New Roman" w:hAnsi="Times New Roman" w:cs="Times New Roman"/>
          <w:i/>
          <w:iCs/>
          <w:noProof/>
          <w:kern w:val="0"/>
        </w:rPr>
        <w:t>Journal of Chemical and Pharmaceutical Research</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7</w:t>
      </w:r>
      <w:r w:rsidRPr="00946F1D">
        <w:rPr>
          <w:rFonts w:ascii="Times New Roman" w:hAnsi="Times New Roman" w:cs="Times New Roman"/>
          <w:noProof/>
          <w:kern w:val="0"/>
        </w:rPr>
        <w:t>(9), 393–400.</w:t>
      </w:r>
    </w:p>
    <w:p w14:paraId="1AD11A89"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Phillipson, J. D. (2007). Phytochemistry and pharmacognosy. </w:t>
      </w:r>
      <w:r w:rsidRPr="00946F1D">
        <w:rPr>
          <w:rFonts w:ascii="Times New Roman" w:hAnsi="Times New Roman" w:cs="Times New Roman"/>
          <w:i/>
          <w:iCs/>
          <w:noProof/>
          <w:kern w:val="0"/>
        </w:rPr>
        <w:t>Phytochemistry</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68</w:t>
      </w:r>
      <w:r w:rsidRPr="00946F1D">
        <w:rPr>
          <w:rFonts w:ascii="Times New Roman" w:hAnsi="Times New Roman" w:cs="Times New Roman"/>
          <w:noProof/>
          <w:kern w:val="0"/>
        </w:rPr>
        <w:t>(22–24), 2960–2972.</w:t>
      </w:r>
    </w:p>
    <w:p w14:paraId="62F3C346"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Prakash Jondhale, D. A. M., Sharma, R. P., &amp; Rao, K. S. (n.d.). </w:t>
      </w:r>
      <w:r w:rsidRPr="00946F1D">
        <w:rPr>
          <w:rFonts w:ascii="Times New Roman" w:hAnsi="Times New Roman" w:cs="Times New Roman"/>
          <w:i/>
          <w:iCs/>
          <w:noProof/>
          <w:kern w:val="0"/>
        </w:rPr>
        <w:t>ANTI-CANCEROUS STUDY OF A HERBAL COMPOUND GOJIHWADI KWA-THA</w:t>
      </w:r>
      <w:r w:rsidRPr="00946F1D">
        <w:rPr>
          <w:rFonts w:ascii="Times New Roman" w:hAnsi="Times New Roman" w:cs="Times New Roman"/>
          <w:noProof/>
          <w:kern w:val="0"/>
        </w:rPr>
        <w:t>.</w:t>
      </w:r>
    </w:p>
    <w:p w14:paraId="3C97358A"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Radha, A., Sebastian, J., Prabhakaran, M., &amp; Kumar, D. S. (2014). Observations on the Quality of commercially manufactured Ayurvedic Decoction, Maharasnadi Kvatha. </w:t>
      </w:r>
      <w:r w:rsidRPr="00946F1D">
        <w:rPr>
          <w:rFonts w:ascii="Times New Roman" w:hAnsi="Times New Roman" w:cs="Times New Roman"/>
          <w:i/>
          <w:iCs/>
          <w:noProof/>
          <w:kern w:val="0"/>
        </w:rPr>
        <w:t>Hygeia Journal of Drugs and Medicine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6</w:t>
      </w:r>
      <w:r w:rsidRPr="00946F1D">
        <w:rPr>
          <w:rFonts w:ascii="Times New Roman" w:hAnsi="Times New Roman" w:cs="Times New Roman"/>
          <w:noProof/>
          <w:kern w:val="0"/>
        </w:rPr>
        <w:t>, 74–80.</w:t>
      </w:r>
    </w:p>
    <w:p w14:paraId="0FEDB232"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Rahim, N. F. A., Muhammad, N., Abdullah, N., Talip, B. A., &amp; Poh, K. H. (2020). The interaction effect and optimal formulation of selected polyherbal extracts towards antioxidant activity. </w:t>
      </w:r>
      <w:r w:rsidRPr="00946F1D">
        <w:rPr>
          <w:rFonts w:ascii="Times New Roman" w:hAnsi="Times New Roman" w:cs="Times New Roman"/>
          <w:i/>
          <w:iCs/>
          <w:noProof/>
          <w:kern w:val="0"/>
        </w:rPr>
        <w:t>Food Research</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4</w:t>
      </w:r>
      <w:r w:rsidRPr="00946F1D">
        <w:rPr>
          <w:rFonts w:ascii="Times New Roman" w:hAnsi="Times New Roman" w:cs="Times New Roman"/>
          <w:noProof/>
          <w:kern w:val="0"/>
        </w:rPr>
        <w:t>(6), 2042–2048.</w:t>
      </w:r>
    </w:p>
    <w:p w14:paraId="2CD9F172"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Rahim, N. F. A., Muhammad, N., Putra, T. N. M. T., Marzuki, W. N. A. S. W., Abdullah, N., Talip, B. A., Bakar, M. F. A., &amp; Gul, M. T. (2019). Antioxidant activity and its interaction effect on polyherbal formulations of nephrodium inophyllum, polygonum minus Annona squamosal L. and Stevia rebaudiana. </w:t>
      </w:r>
      <w:r w:rsidRPr="00946F1D">
        <w:rPr>
          <w:rFonts w:ascii="Times New Roman" w:hAnsi="Times New Roman" w:cs="Times New Roman"/>
          <w:i/>
          <w:iCs/>
          <w:noProof/>
          <w:kern w:val="0"/>
        </w:rPr>
        <w:t>Journal of Advanced Research in Fluid Mechanics and Thermal Sciences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61</w:t>
      </w:r>
      <w:r w:rsidRPr="00946F1D">
        <w:rPr>
          <w:rFonts w:ascii="Times New Roman" w:hAnsi="Times New Roman" w:cs="Times New Roman"/>
          <w:noProof/>
          <w:kern w:val="0"/>
        </w:rPr>
        <w:t>(1), 1–9.</w:t>
      </w:r>
    </w:p>
    <w:p w14:paraId="40106E9E"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Rahitha Devi, S. J., Prakash Kumar, B., Bashi, M. B., Chinchu, J. U., &amp; Merlin, T. (2020). Evaluation of anti-inflammatory effects of polyherbal decoction, balaguluchyadi kashayam. </w:t>
      </w:r>
      <w:r w:rsidRPr="00946F1D">
        <w:rPr>
          <w:rFonts w:ascii="Times New Roman" w:hAnsi="Times New Roman" w:cs="Times New Roman"/>
          <w:i/>
          <w:iCs/>
          <w:noProof/>
          <w:kern w:val="0"/>
        </w:rPr>
        <w:t>Advances in Traditional Medicine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20</w:t>
      </w:r>
      <w:r w:rsidRPr="00946F1D">
        <w:rPr>
          <w:rFonts w:ascii="Times New Roman" w:hAnsi="Times New Roman" w:cs="Times New Roman"/>
          <w:noProof/>
          <w:kern w:val="0"/>
        </w:rPr>
        <w:t>, 631–643.</w:t>
      </w:r>
    </w:p>
    <w:p w14:paraId="517072D2"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Rajani, M., &amp; Kanaki, N. S. (2008). Phytochemical standardization of herbal drugs and polyherbal formulations. In </w:t>
      </w:r>
      <w:r w:rsidRPr="00946F1D">
        <w:rPr>
          <w:rFonts w:ascii="Times New Roman" w:hAnsi="Times New Roman" w:cs="Times New Roman"/>
          <w:i/>
          <w:iCs/>
          <w:noProof/>
          <w:kern w:val="0"/>
        </w:rPr>
        <w:t>Bioactive molecules and medicinal plants</w:t>
      </w:r>
      <w:r w:rsidRPr="00946F1D">
        <w:rPr>
          <w:rFonts w:ascii="Times New Roman" w:hAnsi="Times New Roman" w:cs="Times New Roman"/>
          <w:noProof/>
          <w:kern w:val="0"/>
        </w:rPr>
        <w:t xml:space="preserve"> (pp. 349–369). Springer.</w:t>
      </w:r>
    </w:p>
    <w:p w14:paraId="61F1D0CE"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Raman, L. S., Shanmuganathan, A., Chandrashekar, S., Kaliyaperumal, P., Perumal, E., Mudiganti, R. K. R., Nachammai, K. T., Kulanthaivel, L., Subbaraj, G. K., &amp; Chandrasekaran, K. (2023). Antioxidant, Anti‐Inflammatory, and Anticarcinogenic Efficacy of an Ayurvedic </w:t>
      </w:r>
      <w:r w:rsidRPr="00946F1D">
        <w:rPr>
          <w:rFonts w:ascii="Times New Roman" w:hAnsi="Times New Roman" w:cs="Times New Roman"/>
          <w:noProof/>
          <w:kern w:val="0"/>
        </w:rPr>
        <w:lastRenderedPageBreak/>
        <w:t xml:space="preserve">Formulation: Amritotharanam Kashyam. </w:t>
      </w:r>
      <w:r w:rsidRPr="00946F1D">
        <w:rPr>
          <w:rFonts w:ascii="Times New Roman" w:hAnsi="Times New Roman" w:cs="Times New Roman"/>
          <w:i/>
          <w:iCs/>
          <w:noProof/>
          <w:kern w:val="0"/>
        </w:rPr>
        <w:t>Advances in Pharmacological and Pharmaceutical Sciences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2023</w:t>
      </w:r>
      <w:r w:rsidRPr="00946F1D">
        <w:rPr>
          <w:rFonts w:ascii="Times New Roman" w:hAnsi="Times New Roman" w:cs="Times New Roman"/>
          <w:noProof/>
          <w:kern w:val="0"/>
        </w:rPr>
        <w:t>(1), 3387261.</w:t>
      </w:r>
    </w:p>
    <w:p w14:paraId="14E46BF8"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Ramasamy, N., Yadav, S., Bhuvaneswari, S. S., Chimbalkar, A., Sivakumar, T., Sarvadnya, A. A., Mandal, S., &amp; Deshpande, M. (n.d.). </w:t>
      </w:r>
      <w:r w:rsidRPr="00946F1D">
        <w:rPr>
          <w:rFonts w:ascii="Times New Roman" w:hAnsi="Times New Roman" w:cs="Times New Roman"/>
          <w:i/>
          <w:iCs/>
          <w:noProof/>
          <w:kern w:val="0"/>
        </w:rPr>
        <w:t>Antioxidant Potential and Phytochemical Screening of a Polyherbal Formulation</w:t>
      </w:r>
      <w:r w:rsidRPr="00946F1D">
        <w:rPr>
          <w:rFonts w:ascii="Times New Roman" w:hAnsi="Times New Roman" w:cs="Times New Roman"/>
          <w:noProof/>
          <w:kern w:val="0"/>
        </w:rPr>
        <w:t>.</w:t>
      </w:r>
    </w:p>
    <w:p w14:paraId="1A0EC99C"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Rao, K., &amp; Pazhanimuthu, A. (n.d.). </w:t>
      </w:r>
      <w:r w:rsidRPr="00946F1D">
        <w:rPr>
          <w:rFonts w:ascii="Times New Roman" w:hAnsi="Times New Roman" w:cs="Times New Roman"/>
          <w:i/>
          <w:iCs/>
          <w:noProof/>
          <w:kern w:val="0"/>
        </w:rPr>
        <w:t>The polyherbal combination Elakanadi Kashayam shows anti-inflammatory, anti-oxidative and anti-cancerous properties</w:t>
      </w:r>
      <w:r w:rsidRPr="00946F1D">
        <w:rPr>
          <w:rFonts w:ascii="Times New Roman" w:hAnsi="Times New Roman" w:cs="Times New Roman"/>
          <w:noProof/>
          <w:kern w:val="0"/>
        </w:rPr>
        <w:t>.</w:t>
      </w:r>
    </w:p>
    <w:p w14:paraId="44592835"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Reddy, S. M. B. (2018). Regulatory Perspectives of preservatives in Ayurvedic kwatha formulations. </w:t>
      </w:r>
      <w:r w:rsidRPr="00946F1D">
        <w:rPr>
          <w:rFonts w:ascii="Times New Roman" w:hAnsi="Times New Roman" w:cs="Times New Roman"/>
          <w:i/>
          <w:iCs/>
          <w:noProof/>
          <w:kern w:val="0"/>
        </w:rPr>
        <w:t>Journal of Ayurveda Medical Sciences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3</w:t>
      </w:r>
      <w:r w:rsidRPr="00946F1D">
        <w:rPr>
          <w:rFonts w:ascii="Times New Roman" w:hAnsi="Times New Roman" w:cs="Times New Roman"/>
          <w:noProof/>
          <w:kern w:val="0"/>
        </w:rPr>
        <w:t>(2).</w:t>
      </w:r>
    </w:p>
    <w:p w14:paraId="2B685E7C"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Renganathan, S., &amp; Pillai, R. G. (2021). Preliminary analysis of phytochemicals and in vitro free radical scavenging activity of Dhanwantaram Kashayam. </w:t>
      </w:r>
      <w:r w:rsidRPr="00946F1D">
        <w:rPr>
          <w:rFonts w:ascii="Times New Roman" w:hAnsi="Times New Roman" w:cs="Times New Roman"/>
          <w:i/>
          <w:iCs/>
          <w:noProof/>
          <w:kern w:val="0"/>
        </w:rPr>
        <w:t>J Adv Biotechnol Exp Ther</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4</w:t>
      </w:r>
      <w:r w:rsidRPr="00946F1D">
        <w:rPr>
          <w:rFonts w:ascii="Times New Roman" w:hAnsi="Times New Roman" w:cs="Times New Roman"/>
          <w:noProof/>
          <w:kern w:val="0"/>
        </w:rPr>
        <w:t>, 95–105.</w:t>
      </w:r>
    </w:p>
    <w:p w14:paraId="5DFD7DBB"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Rohini, H. D., &amp; Prashanth, A. S. (2023). Pharmaceutico-analytical Study of Patolakaturohinyadi Ghanavati-A Poly Herbal Formulation. </w:t>
      </w:r>
      <w:r w:rsidRPr="00946F1D">
        <w:rPr>
          <w:rFonts w:ascii="Times New Roman" w:hAnsi="Times New Roman" w:cs="Times New Roman"/>
          <w:i/>
          <w:iCs/>
          <w:noProof/>
          <w:kern w:val="0"/>
        </w:rPr>
        <w:t>RGUHS Journal of AYUSH Sciences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10</w:t>
      </w:r>
      <w:r w:rsidRPr="00946F1D">
        <w:rPr>
          <w:rFonts w:ascii="Times New Roman" w:hAnsi="Times New Roman" w:cs="Times New Roman"/>
          <w:noProof/>
          <w:kern w:val="0"/>
        </w:rPr>
        <w:t>(1).</w:t>
      </w:r>
    </w:p>
    <w:p w14:paraId="60CD6219"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Ruknuddin, G., Biswajyoti, P., Kumar, P. P., Krishnaiah, A. B., &amp; Basavaiah, R. (2013). Anti-inflammatory and analgesic activities of Dashanga Ghana: an ayurvedic compound formulation. </w:t>
      </w:r>
      <w:r w:rsidRPr="00946F1D">
        <w:rPr>
          <w:rFonts w:ascii="Times New Roman" w:hAnsi="Times New Roman" w:cs="Times New Roman"/>
          <w:i/>
          <w:iCs/>
          <w:noProof/>
          <w:kern w:val="0"/>
        </w:rPr>
        <w:t>International Journal of Nutrition, Pharmacology, Neurological Diseases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3</w:t>
      </w:r>
      <w:r w:rsidRPr="00946F1D">
        <w:rPr>
          <w:rFonts w:ascii="Times New Roman" w:hAnsi="Times New Roman" w:cs="Times New Roman"/>
          <w:noProof/>
          <w:kern w:val="0"/>
        </w:rPr>
        <w:t>(3), 303–308.</w:t>
      </w:r>
    </w:p>
    <w:p w14:paraId="423939E4"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Samad, M. Bin, D’Costa, N. M., Kabir, A., &amp; Hannan, J. M. A. (2013). Investigation on central and peripheral analgesic and anti-inflammatory activity of Punarnavasava, an Ayurvedic preparation. </w:t>
      </w:r>
      <w:r w:rsidRPr="00946F1D">
        <w:rPr>
          <w:rFonts w:ascii="Times New Roman" w:hAnsi="Times New Roman" w:cs="Times New Roman"/>
          <w:i/>
          <w:iCs/>
          <w:noProof/>
          <w:kern w:val="0"/>
        </w:rPr>
        <w:t>European J Med Plants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3</w:t>
      </w:r>
      <w:r w:rsidRPr="00946F1D">
        <w:rPr>
          <w:rFonts w:ascii="Times New Roman" w:hAnsi="Times New Roman" w:cs="Times New Roman"/>
          <w:noProof/>
          <w:kern w:val="0"/>
        </w:rPr>
        <w:t>(1), 146–162.</w:t>
      </w:r>
    </w:p>
    <w:p w14:paraId="286EAD61"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Sharma, K., Saini, A., &amp; Chahal, R. K. (2023). </w:t>
      </w:r>
      <w:r w:rsidRPr="00946F1D">
        <w:rPr>
          <w:rFonts w:ascii="Times New Roman" w:hAnsi="Times New Roman" w:cs="Times New Roman"/>
          <w:i/>
          <w:iCs/>
          <w:noProof/>
          <w:kern w:val="0"/>
        </w:rPr>
        <w:t>KWATHA KALPANA</w:t>
      </w:r>
      <w:r w:rsidRPr="00946F1D">
        <w:rPr>
          <w:rFonts w:ascii="Times New Roman" w:hAnsi="Times New Roman" w:cs="Times New Roman"/>
          <w:noProof/>
          <w:kern w:val="0"/>
        </w:rPr>
        <w:t>.</w:t>
      </w:r>
    </w:p>
    <w:p w14:paraId="38FE3C01"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Sharma, M. K., Pareek, P., Sharma, P., Sharma, R. K., &amp; Chandra, D. (2023). The Imperative Need for Research in Ayurveda: Unraveling Ancient Wisdom through Modern Science. </w:t>
      </w:r>
      <w:r w:rsidRPr="00946F1D">
        <w:rPr>
          <w:rFonts w:ascii="Times New Roman" w:hAnsi="Times New Roman" w:cs="Times New Roman"/>
          <w:i/>
          <w:iCs/>
          <w:noProof/>
          <w:kern w:val="0"/>
        </w:rPr>
        <w:t>Journal of Ayurvedic and Herbal Medicine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9</w:t>
      </w:r>
      <w:r w:rsidRPr="00946F1D">
        <w:rPr>
          <w:rFonts w:ascii="Times New Roman" w:hAnsi="Times New Roman" w:cs="Times New Roman"/>
          <w:noProof/>
          <w:kern w:val="0"/>
        </w:rPr>
        <w:t>(3), 108–110.</w:t>
      </w:r>
    </w:p>
    <w:p w14:paraId="0C50BD12"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Shenoy KR, P., &amp; Yoganarasimhan, S. N. (2009). </w:t>
      </w:r>
      <w:r w:rsidRPr="00946F1D">
        <w:rPr>
          <w:rFonts w:ascii="Times New Roman" w:hAnsi="Times New Roman" w:cs="Times New Roman"/>
          <w:i/>
          <w:iCs/>
          <w:noProof/>
          <w:kern w:val="0"/>
        </w:rPr>
        <w:t>Antibacterial activity of Kutajarista-An ayurvedic preparation</w:t>
      </w:r>
      <w:r w:rsidRPr="00946F1D">
        <w:rPr>
          <w:rFonts w:ascii="Times New Roman" w:hAnsi="Times New Roman" w:cs="Times New Roman"/>
          <w:noProof/>
          <w:kern w:val="0"/>
        </w:rPr>
        <w:t>.</w:t>
      </w:r>
    </w:p>
    <w:p w14:paraId="107212B1"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Singh, A. K., Nagpal, D., &amp; Attrey, D. P. (2012). Characterization of a prepared poly-herbal formulation and comparison of its DPPH scavenging activity with other marketed formulations. </w:t>
      </w:r>
      <w:r w:rsidRPr="00946F1D">
        <w:rPr>
          <w:rFonts w:ascii="Times New Roman" w:hAnsi="Times New Roman" w:cs="Times New Roman"/>
          <w:i/>
          <w:iCs/>
          <w:noProof/>
          <w:kern w:val="0"/>
        </w:rPr>
        <w:t>European Journal of Biological Sciences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4</w:t>
      </w:r>
      <w:r w:rsidRPr="00946F1D">
        <w:rPr>
          <w:rFonts w:ascii="Times New Roman" w:hAnsi="Times New Roman" w:cs="Times New Roman"/>
          <w:noProof/>
          <w:kern w:val="0"/>
        </w:rPr>
        <w:t>(3), 68–72.</w:t>
      </w:r>
    </w:p>
    <w:p w14:paraId="0343B7CB"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Soman, C., &amp; Marikutty, T. C. (2024). An Ayurveda Approach Towards Acute Sciatica with Paraesthesia. </w:t>
      </w:r>
      <w:r w:rsidRPr="00946F1D">
        <w:rPr>
          <w:rFonts w:ascii="Times New Roman" w:hAnsi="Times New Roman" w:cs="Times New Roman"/>
          <w:i/>
          <w:iCs/>
          <w:noProof/>
          <w:kern w:val="0"/>
        </w:rPr>
        <w:t>International Journal of Ayurveda and Pharma Research</w:t>
      </w:r>
      <w:r w:rsidRPr="00946F1D">
        <w:rPr>
          <w:rFonts w:ascii="Times New Roman" w:hAnsi="Times New Roman" w:cs="Times New Roman"/>
          <w:noProof/>
          <w:kern w:val="0"/>
        </w:rPr>
        <w:t>, 117–125.</w:t>
      </w:r>
    </w:p>
    <w:p w14:paraId="57EE8FA8"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Sreeni, T. V, &amp; Haris, M. S. (2024). </w:t>
      </w:r>
      <w:r w:rsidRPr="00946F1D">
        <w:rPr>
          <w:rFonts w:ascii="Times New Roman" w:hAnsi="Times New Roman" w:cs="Times New Roman"/>
          <w:i/>
          <w:iCs/>
          <w:noProof/>
          <w:kern w:val="0"/>
        </w:rPr>
        <w:t>MANAGEMENT OF LARGE-SIZE CHOLELITHIASIS WITH AYURVEDIC INTERVENTION-A CASE REPORT</w:t>
      </w:r>
      <w:r w:rsidRPr="00946F1D">
        <w:rPr>
          <w:rFonts w:ascii="Times New Roman" w:hAnsi="Times New Roman" w:cs="Times New Roman"/>
          <w:noProof/>
          <w:kern w:val="0"/>
        </w:rPr>
        <w:t>.</w:t>
      </w:r>
    </w:p>
    <w:p w14:paraId="760A009D"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Sruthi, S. S., &amp; Anand, S. (2024). Determination of polyphenolic compounds present in guduchyadi kashaya using liquid chromatography tandem mass spectrometry (LC-MS/MS). </w:t>
      </w:r>
      <w:r w:rsidRPr="00946F1D">
        <w:rPr>
          <w:rFonts w:ascii="Times New Roman" w:hAnsi="Times New Roman" w:cs="Times New Roman"/>
          <w:i/>
          <w:iCs/>
          <w:noProof/>
          <w:kern w:val="0"/>
        </w:rPr>
        <w:lastRenderedPageBreak/>
        <w:t>International Journal of Ayurveda and Pharma Research</w:t>
      </w:r>
      <w:r w:rsidRPr="00946F1D">
        <w:rPr>
          <w:rFonts w:ascii="Times New Roman" w:hAnsi="Times New Roman" w:cs="Times New Roman"/>
          <w:noProof/>
          <w:kern w:val="0"/>
        </w:rPr>
        <w:t>, 11–17.</w:t>
      </w:r>
    </w:p>
    <w:p w14:paraId="78C67D0B"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Sruthi, C. V, &amp; Sindhu, A. (2012). A comparison of the antioxidant property of five Ayurvedic formulations commonly used in the management of vata vyadhis. </w:t>
      </w:r>
      <w:r w:rsidRPr="00946F1D">
        <w:rPr>
          <w:rFonts w:ascii="Times New Roman" w:hAnsi="Times New Roman" w:cs="Times New Roman"/>
          <w:i/>
          <w:iCs/>
          <w:noProof/>
          <w:kern w:val="0"/>
        </w:rPr>
        <w:t>Journal of Ayurveda and Integrative Medicine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3</w:t>
      </w:r>
      <w:r w:rsidRPr="00946F1D">
        <w:rPr>
          <w:rFonts w:ascii="Times New Roman" w:hAnsi="Times New Roman" w:cs="Times New Roman"/>
          <w:noProof/>
          <w:kern w:val="0"/>
        </w:rPr>
        <w:t>(1), 29.</w:t>
      </w:r>
    </w:p>
    <w:p w14:paraId="71B8127E"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Subramoniam, A., Madhavachandran, V., &amp; Gangaprasad, A. (2013). Medicinal plants in the treatment of arthritis. </w:t>
      </w:r>
      <w:r w:rsidRPr="00946F1D">
        <w:rPr>
          <w:rFonts w:ascii="Times New Roman" w:hAnsi="Times New Roman" w:cs="Times New Roman"/>
          <w:i/>
          <w:iCs/>
          <w:noProof/>
          <w:kern w:val="0"/>
        </w:rPr>
        <w:t>Ann Phytomed</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2</w:t>
      </w:r>
      <w:r w:rsidRPr="00946F1D">
        <w:rPr>
          <w:rFonts w:ascii="Times New Roman" w:hAnsi="Times New Roman" w:cs="Times New Roman"/>
          <w:noProof/>
          <w:kern w:val="0"/>
        </w:rPr>
        <w:t>(1), 3–36.</w:t>
      </w:r>
    </w:p>
    <w:p w14:paraId="3DAA6396"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Sujeethasai, K. (2020). A review on Pharmacological activity of Kabasura decoction. </w:t>
      </w:r>
      <w:r w:rsidRPr="00946F1D">
        <w:rPr>
          <w:rFonts w:ascii="Times New Roman" w:hAnsi="Times New Roman" w:cs="Times New Roman"/>
          <w:i/>
          <w:iCs/>
          <w:noProof/>
          <w:kern w:val="0"/>
        </w:rPr>
        <w:t>Int. J. Sci. Res Publ</w:t>
      </w:r>
      <w:r w:rsidRPr="00946F1D">
        <w:rPr>
          <w:rFonts w:ascii="Times New Roman" w:hAnsi="Times New Roman" w:cs="Times New Roman"/>
          <w:noProof/>
          <w:kern w:val="0"/>
        </w:rPr>
        <w:t>.</w:t>
      </w:r>
    </w:p>
    <w:p w14:paraId="4CBB360D"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Sulaiman, C., Shafna, T., Advaya, G. R., Ramesh, P. R. V., Mahesh, K. P., Praveen, M., Anandan, E. M., &amp; Balachandran, I. (2023). Comparative chemical profiling of a polyherbal formulation with respect to its ingredient plants using spectrophotometric and high-performance thin-layer chromatographic techniques. </w:t>
      </w:r>
      <w:r w:rsidRPr="00946F1D">
        <w:rPr>
          <w:rFonts w:ascii="Times New Roman" w:hAnsi="Times New Roman" w:cs="Times New Roman"/>
          <w:i/>
          <w:iCs/>
          <w:noProof/>
          <w:kern w:val="0"/>
        </w:rPr>
        <w:t>Pharmacognosy Magazine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19</w:t>
      </w:r>
      <w:r w:rsidRPr="00946F1D">
        <w:rPr>
          <w:rFonts w:ascii="Times New Roman" w:hAnsi="Times New Roman" w:cs="Times New Roman"/>
          <w:noProof/>
          <w:kern w:val="0"/>
        </w:rPr>
        <w:t>(4), 917–925.</w:t>
      </w:r>
    </w:p>
    <w:p w14:paraId="45157248"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Sulaiman, C. T., Anju, K., Anandan, E. M., &amp; Balachandran, I. (2021). Synergistic interactions of phytochemicals in polyherbal formulation enhance the chemical transformations of active constituents. </w:t>
      </w:r>
      <w:r w:rsidRPr="00946F1D">
        <w:rPr>
          <w:rFonts w:ascii="Times New Roman" w:hAnsi="Times New Roman" w:cs="Times New Roman"/>
          <w:i/>
          <w:iCs/>
          <w:noProof/>
          <w:kern w:val="0"/>
        </w:rPr>
        <w:t>Journal of Applied Spectroscopy</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88</w:t>
      </w:r>
      <w:r w:rsidRPr="00946F1D">
        <w:rPr>
          <w:rFonts w:ascii="Times New Roman" w:hAnsi="Times New Roman" w:cs="Times New Roman"/>
          <w:noProof/>
          <w:kern w:val="0"/>
        </w:rPr>
        <w:t>(1), 181–186.</w:t>
      </w:r>
    </w:p>
    <w:p w14:paraId="62CDFAA9"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Talukdar, S. N., Rahman, M. B., &amp; Paul, S. (2015). A Review on Barleria prionitis: its pharmacognosy, phytochemicals and traditional use. </w:t>
      </w:r>
      <w:r w:rsidRPr="00946F1D">
        <w:rPr>
          <w:rFonts w:ascii="Times New Roman" w:hAnsi="Times New Roman" w:cs="Times New Roman"/>
          <w:i/>
          <w:iCs/>
          <w:noProof/>
          <w:kern w:val="0"/>
        </w:rPr>
        <w:t>Journal of Advances in Medical and Pharmaceutical Sciences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4</w:t>
      </w:r>
      <w:r w:rsidRPr="00946F1D">
        <w:rPr>
          <w:rFonts w:ascii="Times New Roman" w:hAnsi="Times New Roman" w:cs="Times New Roman"/>
          <w:noProof/>
          <w:kern w:val="0"/>
        </w:rPr>
        <w:t>(4), 1–13.</w:t>
      </w:r>
    </w:p>
    <w:p w14:paraId="131622AD"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Vadivel, V. (2016). In vitro antioxidant and anti-inflammatory activities of aqueous extract of an Ayurvedic formulation Dasamula and its herbal ingredients: A comparative study. </w:t>
      </w:r>
      <w:r w:rsidRPr="00946F1D">
        <w:rPr>
          <w:rFonts w:ascii="Times New Roman" w:hAnsi="Times New Roman" w:cs="Times New Roman"/>
          <w:i/>
          <w:iCs/>
          <w:noProof/>
          <w:kern w:val="0"/>
        </w:rPr>
        <w:t>International Journal of Green Pharmacy (IJGP)</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10</w:t>
      </w:r>
      <w:r w:rsidRPr="00946F1D">
        <w:rPr>
          <w:rFonts w:ascii="Times New Roman" w:hAnsi="Times New Roman" w:cs="Times New Roman"/>
          <w:noProof/>
          <w:kern w:val="0"/>
        </w:rPr>
        <w:t>(04).</w:t>
      </w:r>
    </w:p>
    <w:p w14:paraId="533D154C"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Veerakannan, S. (2025). Artificial Intelligence: Transforming Ayurveda, the Ancient Indian Medicine. </w:t>
      </w:r>
      <w:r w:rsidRPr="00946F1D">
        <w:rPr>
          <w:rFonts w:ascii="Times New Roman" w:hAnsi="Times New Roman" w:cs="Times New Roman"/>
          <w:i/>
          <w:iCs/>
          <w:noProof/>
          <w:kern w:val="0"/>
        </w:rPr>
        <w:t>Aathiyoga Indian Journal of Ancient Medicine and Yoga</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1</w:t>
      </w:r>
      <w:r w:rsidRPr="00946F1D">
        <w:rPr>
          <w:rFonts w:ascii="Times New Roman" w:hAnsi="Times New Roman" w:cs="Times New Roman"/>
          <w:noProof/>
          <w:kern w:val="0"/>
        </w:rPr>
        <w:t>(05), 193–200.</w:t>
      </w:r>
    </w:p>
    <w:p w14:paraId="6966E544"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kern w:val="0"/>
        </w:rPr>
      </w:pPr>
      <w:r w:rsidRPr="00946F1D">
        <w:rPr>
          <w:rFonts w:ascii="Times New Roman" w:hAnsi="Times New Roman" w:cs="Times New Roman"/>
          <w:noProof/>
          <w:kern w:val="0"/>
        </w:rPr>
        <w:t xml:space="preserve">Williamson, E. M. (2001). Synergy and other interactions in phytomedicines. </w:t>
      </w:r>
      <w:r w:rsidRPr="00946F1D">
        <w:rPr>
          <w:rFonts w:ascii="Times New Roman" w:hAnsi="Times New Roman" w:cs="Times New Roman"/>
          <w:i/>
          <w:iCs/>
          <w:noProof/>
          <w:kern w:val="0"/>
        </w:rPr>
        <w:t>Phytomedicine</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8</w:t>
      </w:r>
      <w:r w:rsidRPr="00946F1D">
        <w:rPr>
          <w:rFonts w:ascii="Times New Roman" w:hAnsi="Times New Roman" w:cs="Times New Roman"/>
          <w:noProof/>
          <w:kern w:val="0"/>
        </w:rPr>
        <w:t>(5), 401–409.</w:t>
      </w:r>
    </w:p>
    <w:p w14:paraId="2B7647AF" w14:textId="77777777" w:rsidR="00E54EC9" w:rsidRPr="00946F1D" w:rsidRDefault="00E54EC9" w:rsidP="00946F1D">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noProof/>
        </w:rPr>
      </w:pPr>
      <w:r w:rsidRPr="00946F1D">
        <w:rPr>
          <w:rFonts w:ascii="Times New Roman" w:hAnsi="Times New Roman" w:cs="Times New Roman"/>
          <w:noProof/>
          <w:kern w:val="0"/>
        </w:rPr>
        <w:t xml:space="preserve">Yap, V. L., Tan, L. F., Rajagopal, M., Wiart, C., Selvaraja, M., Leong, M. Y., &amp; Tan, P. L. (2023). Evaluation of phytochemicals and antioxidant potential of a new polyherbal formulation TC-16: additive, synergistic or antagonistic? </w:t>
      </w:r>
      <w:r w:rsidRPr="00946F1D">
        <w:rPr>
          <w:rFonts w:ascii="Times New Roman" w:hAnsi="Times New Roman" w:cs="Times New Roman"/>
          <w:i/>
          <w:iCs/>
          <w:noProof/>
          <w:kern w:val="0"/>
        </w:rPr>
        <w:t>BMC Complementary Medicine and Therapies</w:t>
      </w:r>
      <w:r w:rsidRPr="00946F1D">
        <w:rPr>
          <w:rFonts w:ascii="Times New Roman" w:hAnsi="Times New Roman" w:cs="Times New Roman"/>
          <w:noProof/>
          <w:kern w:val="0"/>
        </w:rPr>
        <w:t xml:space="preserve">, </w:t>
      </w:r>
      <w:r w:rsidRPr="00946F1D">
        <w:rPr>
          <w:rFonts w:ascii="Times New Roman" w:hAnsi="Times New Roman" w:cs="Times New Roman"/>
          <w:i/>
          <w:iCs/>
          <w:noProof/>
          <w:kern w:val="0"/>
        </w:rPr>
        <w:t>23</w:t>
      </w:r>
      <w:r w:rsidRPr="00946F1D">
        <w:rPr>
          <w:rFonts w:ascii="Times New Roman" w:hAnsi="Times New Roman" w:cs="Times New Roman"/>
          <w:noProof/>
          <w:kern w:val="0"/>
        </w:rPr>
        <w:t>(1), 93.</w:t>
      </w:r>
    </w:p>
    <w:p w14:paraId="68784FE0" w14:textId="3BDCBE3D" w:rsidR="00336A22" w:rsidRPr="00946F1D" w:rsidRDefault="00E54EC9" w:rsidP="00946F1D">
      <w:pPr>
        <w:spacing w:after="0" w:line="360" w:lineRule="auto"/>
        <w:jc w:val="both"/>
        <w:rPr>
          <w:rFonts w:ascii="Times New Roman" w:eastAsia="Times New Roman" w:hAnsi="Times New Roman" w:cs="Times New Roman"/>
          <w:kern w:val="0"/>
          <w:lang w:eastAsia="en-IN"/>
          <w14:ligatures w14:val="none"/>
        </w:rPr>
      </w:pPr>
      <w:r w:rsidRPr="00946F1D">
        <w:rPr>
          <w:rFonts w:ascii="Times New Roman" w:eastAsia="Times New Roman" w:hAnsi="Times New Roman" w:cs="Times New Roman"/>
          <w:kern w:val="0"/>
          <w:lang w:eastAsia="en-IN"/>
          <w14:ligatures w14:val="none"/>
        </w:rPr>
        <w:fldChar w:fldCharType="end"/>
      </w:r>
    </w:p>
    <w:sectPr w:rsidR="00336A22" w:rsidRPr="00946F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C79"/>
    <w:multiLevelType w:val="hybridMultilevel"/>
    <w:tmpl w:val="D64A6040"/>
    <w:lvl w:ilvl="0" w:tplc="4009000F">
      <w:start w:val="1"/>
      <w:numFmt w:val="decimal"/>
      <w:lvlText w:val="%1."/>
      <w:lvlJc w:val="left"/>
      <w:pPr>
        <w:ind w:left="1211"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991233"/>
    <w:multiLevelType w:val="multilevel"/>
    <w:tmpl w:val="C2A6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2B0ACA"/>
    <w:multiLevelType w:val="hybridMultilevel"/>
    <w:tmpl w:val="24646B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37E47379"/>
    <w:multiLevelType w:val="hybridMultilevel"/>
    <w:tmpl w:val="844E38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D4100C4"/>
    <w:multiLevelType w:val="hybridMultilevel"/>
    <w:tmpl w:val="2D3CA3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DCB4E8B"/>
    <w:multiLevelType w:val="hybridMultilevel"/>
    <w:tmpl w:val="DEBEBE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A4B5B6F"/>
    <w:multiLevelType w:val="hybridMultilevel"/>
    <w:tmpl w:val="F2ECFD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83171412">
    <w:abstractNumId w:val="0"/>
  </w:num>
  <w:num w:numId="2" w16cid:durableId="138153373">
    <w:abstractNumId w:val="6"/>
  </w:num>
  <w:num w:numId="3" w16cid:durableId="623585870">
    <w:abstractNumId w:val="2"/>
  </w:num>
  <w:num w:numId="4" w16cid:durableId="941304366">
    <w:abstractNumId w:val="5"/>
  </w:num>
  <w:num w:numId="5" w16cid:durableId="1844933554">
    <w:abstractNumId w:val="3"/>
  </w:num>
  <w:num w:numId="6" w16cid:durableId="151458347">
    <w:abstractNumId w:val="1"/>
  </w:num>
  <w:num w:numId="7" w16cid:durableId="1165316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90"/>
    <w:rsid w:val="00002F93"/>
    <w:rsid w:val="00003057"/>
    <w:rsid w:val="00007972"/>
    <w:rsid w:val="00020A89"/>
    <w:rsid w:val="00042F2F"/>
    <w:rsid w:val="00081A42"/>
    <w:rsid w:val="00083B19"/>
    <w:rsid w:val="0009386E"/>
    <w:rsid w:val="000A2314"/>
    <w:rsid w:val="000B608B"/>
    <w:rsid w:val="000F5251"/>
    <w:rsid w:val="001009BC"/>
    <w:rsid w:val="001106DE"/>
    <w:rsid w:val="0015293C"/>
    <w:rsid w:val="00162AFE"/>
    <w:rsid w:val="001643E8"/>
    <w:rsid w:val="00190164"/>
    <w:rsid w:val="00193EFD"/>
    <w:rsid w:val="001A1D85"/>
    <w:rsid w:val="001A7C02"/>
    <w:rsid w:val="001B1462"/>
    <w:rsid w:val="001B19F0"/>
    <w:rsid w:val="001C3E82"/>
    <w:rsid w:val="001F403E"/>
    <w:rsid w:val="002075C0"/>
    <w:rsid w:val="002135FE"/>
    <w:rsid w:val="00213917"/>
    <w:rsid w:val="00244CD1"/>
    <w:rsid w:val="00255D9D"/>
    <w:rsid w:val="002754C4"/>
    <w:rsid w:val="00284DD2"/>
    <w:rsid w:val="002A0169"/>
    <w:rsid w:val="002C7C8E"/>
    <w:rsid w:val="002E2443"/>
    <w:rsid w:val="002F784C"/>
    <w:rsid w:val="0030539F"/>
    <w:rsid w:val="00307638"/>
    <w:rsid w:val="003329C5"/>
    <w:rsid w:val="00336892"/>
    <w:rsid w:val="00336A22"/>
    <w:rsid w:val="003838B0"/>
    <w:rsid w:val="003868E3"/>
    <w:rsid w:val="00394C91"/>
    <w:rsid w:val="003A0ADB"/>
    <w:rsid w:val="003A40A8"/>
    <w:rsid w:val="003B0745"/>
    <w:rsid w:val="003B51FA"/>
    <w:rsid w:val="003B64C6"/>
    <w:rsid w:val="003C3A60"/>
    <w:rsid w:val="003D211C"/>
    <w:rsid w:val="003F0970"/>
    <w:rsid w:val="003F6FC0"/>
    <w:rsid w:val="004005C0"/>
    <w:rsid w:val="0041562A"/>
    <w:rsid w:val="00437B84"/>
    <w:rsid w:val="00437C5A"/>
    <w:rsid w:val="0046454E"/>
    <w:rsid w:val="00467157"/>
    <w:rsid w:val="00474417"/>
    <w:rsid w:val="004927B1"/>
    <w:rsid w:val="00493CAC"/>
    <w:rsid w:val="00496528"/>
    <w:rsid w:val="00496B4F"/>
    <w:rsid w:val="004B3F8D"/>
    <w:rsid w:val="004C0832"/>
    <w:rsid w:val="004C7DDA"/>
    <w:rsid w:val="004E60CB"/>
    <w:rsid w:val="005206B5"/>
    <w:rsid w:val="00524C3A"/>
    <w:rsid w:val="0052652B"/>
    <w:rsid w:val="00541C19"/>
    <w:rsid w:val="005443BA"/>
    <w:rsid w:val="00551A93"/>
    <w:rsid w:val="00560B5D"/>
    <w:rsid w:val="00562FFF"/>
    <w:rsid w:val="00572676"/>
    <w:rsid w:val="00590FA7"/>
    <w:rsid w:val="005A01BC"/>
    <w:rsid w:val="005D4999"/>
    <w:rsid w:val="005F595C"/>
    <w:rsid w:val="00600C8A"/>
    <w:rsid w:val="0061176A"/>
    <w:rsid w:val="006208CC"/>
    <w:rsid w:val="0063495C"/>
    <w:rsid w:val="00635611"/>
    <w:rsid w:val="00636A6C"/>
    <w:rsid w:val="00650F0B"/>
    <w:rsid w:val="0065510E"/>
    <w:rsid w:val="006741AA"/>
    <w:rsid w:val="006808B9"/>
    <w:rsid w:val="006871F7"/>
    <w:rsid w:val="006875C2"/>
    <w:rsid w:val="006A0280"/>
    <w:rsid w:val="006A2C51"/>
    <w:rsid w:val="006A758C"/>
    <w:rsid w:val="006C6B5F"/>
    <w:rsid w:val="006D1899"/>
    <w:rsid w:val="006F1EB3"/>
    <w:rsid w:val="006F34EE"/>
    <w:rsid w:val="006F4AC5"/>
    <w:rsid w:val="00707328"/>
    <w:rsid w:val="0071251A"/>
    <w:rsid w:val="007210B8"/>
    <w:rsid w:val="0072794B"/>
    <w:rsid w:val="00771711"/>
    <w:rsid w:val="0077514F"/>
    <w:rsid w:val="007764FF"/>
    <w:rsid w:val="007808F9"/>
    <w:rsid w:val="00786C3D"/>
    <w:rsid w:val="00790719"/>
    <w:rsid w:val="00793B5F"/>
    <w:rsid w:val="007A6632"/>
    <w:rsid w:val="007B5650"/>
    <w:rsid w:val="007C0F93"/>
    <w:rsid w:val="007C35B7"/>
    <w:rsid w:val="007D3623"/>
    <w:rsid w:val="007D6CF2"/>
    <w:rsid w:val="008018CC"/>
    <w:rsid w:val="0084218A"/>
    <w:rsid w:val="0087061B"/>
    <w:rsid w:val="00871135"/>
    <w:rsid w:val="0088324F"/>
    <w:rsid w:val="008A3CB1"/>
    <w:rsid w:val="008B2CCF"/>
    <w:rsid w:val="008C3676"/>
    <w:rsid w:val="008D05BA"/>
    <w:rsid w:val="008E5B18"/>
    <w:rsid w:val="008E79FB"/>
    <w:rsid w:val="00927483"/>
    <w:rsid w:val="00931060"/>
    <w:rsid w:val="0093621B"/>
    <w:rsid w:val="00940F3C"/>
    <w:rsid w:val="009430D7"/>
    <w:rsid w:val="00946F1D"/>
    <w:rsid w:val="00974033"/>
    <w:rsid w:val="00976B67"/>
    <w:rsid w:val="00991D41"/>
    <w:rsid w:val="009B5051"/>
    <w:rsid w:val="009C65E1"/>
    <w:rsid w:val="009D0497"/>
    <w:rsid w:val="009D6C43"/>
    <w:rsid w:val="009E7AED"/>
    <w:rsid w:val="009F2BFC"/>
    <w:rsid w:val="00A44382"/>
    <w:rsid w:val="00A45378"/>
    <w:rsid w:val="00A61B53"/>
    <w:rsid w:val="00A71633"/>
    <w:rsid w:val="00A743F8"/>
    <w:rsid w:val="00A90E22"/>
    <w:rsid w:val="00AB6F90"/>
    <w:rsid w:val="00AC330F"/>
    <w:rsid w:val="00AD5186"/>
    <w:rsid w:val="00AD58E7"/>
    <w:rsid w:val="00AE027F"/>
    <w:rsid w:val="00AF0114"/>
    <w:rsid w:val="00AF6D55"/>
    <w:rsid w:val="00B04449"/>
    <w:rsid w:val="00B110E8"/>
    <w:rsid w:val="00B15C5E"/>
    <w:rsid w:val="00B163E5"/>
    <w:rsid w:val="00B35325"/>
    <w:rsid w:val="00B4437B"/>
    <w:rsid w:val="00B460E6"/>
    <w:rsid w:val="00B51A07"/>
    <w:rsid w:val="00B54FA9"/>
    <w:rsid w:val="00B74D2C"/>
    <w:rsid w:val="00B81291"/>
    <w:rsid w:val="00B870D2"/>
    <w:rsid w:val="00BA6DE9"/>
    <w:rsid w:val="00BB6DA2"/>
    <w:rsid w:val="00BB7621"/>
    <w:rsid w:val="00BC5BC4"/>
    <w:rsid w:val="00BD3AAC"/>
    <w:rsid w:val="00BF2AD4"/>
    <w:rsid w:val="00BF6F19"/>
    <w:rsid w:val="00C0349C"/>
    <w:rsid w:val="00C24AB3"/>
    <w:rsid w:val="00C372E0"/>
    <w:rsid w:val="00C51428"/>
    <w:rsid w:val="00C54105"/>
    <w:rsid w:val="00C568D1"/>
    <w:rsid w:val="00C65182"/>
    <w:rsid w:val="00C70865"/>
    <w:rsid w:val="00C72890"/>
    <w:rsid w:val="00C75655"/>
    <w:rsid w:val="00C773D2"/>
    <w:rsid w:val="00C84379"/>
    <w:rsid w:val="00CB52F0"/>
    <w:rsid w:val="00CD209F"/>
    <w:rsid w:val="00CE7B66"/>
    <w:rsid w:val="00CF7FE5"/>
    <w:rsid w:val="00D07237"/>
    <w:rsid w:val="00D23F1B"/>
    <w:rsid w:val="00D41353"/>
    <w:rsid w:val="00D53844"/>
    <w:rsid w:val="00D53ECF"/>
    <w:rsid w:val="00D60634"/>
    <w:rsid w:val="00D770F9"/>
    <w:rsid w:val="00D81FBE"/>
    <w:rsid w:val="00D85E6D"/>
    <w:rsid w:val="00DA7E67"/>
    <w:rsid w:val="00DB4350"/>
    <w:rsid w:val="00DC141D"/>
    <w:rsid w:val="00DD003F"/>
    <w:rsid w:val="00DD38F5"/>
    <w:rsid w:val="00DD58CA"/>
    <w:rsid w:val="00DD64C4"/>
    <w:rsid w:val="00DE31A4"/>
    <w:rsid w:val="00DE61D3"/>
    <w:rsid w:val="00DE795A"/>
    <w:rsid w:val="00DF34F8"/>
    <w:rsid w:val="00E2003F"/>
    <w:rsid w:val="00E348B9"/>
    <w:rsid w:val="00E34DCC"/>
    <w:rsid w:val="00E371AF"/>
    <w:rsid w:val="00E46065"/>
    <w:rsid w:val="00E54671"/>
    <w:rsid w:val="00E54EC9"/>
    <w:rsid w:val="00E55284"/>
    <w:rsid w:val="00E64041"/>
    <w:rsid w:val="00E66FA7"/>
    <w:rsid w:val="00E67F8A"/>
    <w:rsid w:val="00E704D2"/>
    <w:rsid w:val="00E70CCA"/>
    <w:rsid w:val="00E718FD"/>
    <w:rsid w:val="00EA0316"/>
    <w:rsid w:val="00EC446D"/>
    <w:rsid w:val="00EF080D"/>
    <w:rsid w:val="00EF0FE4"/>
    <w:rsid w:val="00F05DDC"/>
    <w:rsid w:val="00F36F0F"/>
    <w:rsid w:val="00F51FE6"/>
    <w:rsid w:val="00F5662A"/>
    <w:rsid w:val="00F718B9"/>
    <w:rsid w:val="00F75393"/>
    <w:rsid w:val="00F75422"/>
    <w:rsid w:val="00F85B18"/>
    <w:rsid w:val="00FA1739"/>
    <w:rsid w:val="00FE74A9"/>
    <w:rsid w:val="00FE74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E4CB"/>
  <w15:chartTrackingRefBased/>
  <w15:docId w15:val="{8195E2E0-028E-421E-BFB1-8268A6B9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F90"/>
  </w:style>
  <w:style w:type="paragraph" w:styleId="Heading1">
    <w:name w:val="heading 1"/>
    <w:basedOn w:val="Normal"/>
    <w:next w:val="Normal"/>
    <w:link w:val="Heading1Char"/>
    <w:uiPriority w:val="9"/>
    <w:qFormat/>
    <w:rsid w:val="00AB6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6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F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F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F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F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F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F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F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F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6F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F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F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F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F90"/>
    <w:rPr>
      <w:rFonts w:eastAsiaTheme="majorEastAsia" w:cstheme="majorBidi"/>
      <w:color w:val="272727" w:themeColor="text1" w:themeTint="D8"/>
    </w:rPr>
  </w:style>
  <w:style w:type="paragraph" w:styleId="Title">
    <w:name w:val="Title"/>
    <w:basedOn w:val="Normal"/>
    <w:next w:val="Normal"/>
    <w:link w:val="TitleChar"/>
    <w:uiPriority w:val="10"/>
    <w:qFormat/>
    <w:rsid w:val="00AB6F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F90"/>
    <w:pPr>
      <w:spacing w:before="160"/>
      <w:jc w:val="center"/>
    </w:pPr>
    <w:rPr>
      <w:i/>
      <w:iCs/>
      <w:color w:val="404040" w:themeColor="text1" w:themeTint="BF"/>
    </w:rPr>
  </w:style>
  <w:style w:type="character" w:customStyle="1" w:styleId="QuoteChar">
    <w:name w:val="Quote Char"/>
    <w:basedOn w:val="DefaultParagraphFont"/>
    <w:link w:val="Quote"/>
    <w:uiPriority w:val="29"/>
    <w:rsid w:val="00AB6F90"/>
    <w:rPr>
      <w:i/>
      <w:iCs/>
      <w:color w:val="404040" w:themeColor="text1" w:themeTint="BF"/>
    </w:rPr>
  </w:style>
  <w:style w:type="paragraph" w:styleId="ListParagraph">
    <w:name w:val="List Paragraph"/>
    <w:basedOn w:val="Normal"/>
    <w:uiPriority w:val="34"/>
    <w:qFormat/>
    <w:rsid w:val="00AB6F90"/>
    <w:pPr>
      <w:ind w:left="720"/>
      <w:contextualSpacing/>
    </w:pPr>
  </w:style>
  <w:style w:type="character" w:styleId="IntenseEmphasis">
    <w:name w:val="Intense Emphasis"/>
    <w:basedOn w:val="DefaultParagraphFont"/>
    <w:uiPriority w:val="21"/>
    <w:qFormat/>
    <w:rsid w:val="00AB6F90"/>
    <w:rPr>
      <w:i/>
      <w:iCs/>
      <w:color w:val="0F4761" w:themeColor="accent1" w:themeShade="BF"/>
    </w:rPr>
  </w:style>
  <w:style w:type="paragraph" w:styleId="IntenseQuote">
    <w:name w:val="Intense Quote"/>
    <w:basedOn w:val="Normal"/>
    <w:next w:val="Normal"/>
    <w:link w:val="IntenseQuoteChar"/>
    <w:uiPriority w:val="30"/>
    <w:qFormat/>
    <w:rsid w:val="00AB6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F90"/>
    <w:rPr>
      <w:i/>
      <w:iCs/>
      <w:color w:val="0F4761" w:themeColor="accent1" w:themeShade="BF"/>
    </w:rPr>
  </w:style>
  <w:style w:type="character" w:styleId="IntenseReference">
    <w:name w:val="Intense Reference"/>
    <w:basedOn w:val="DefaultParagraphFont"/>
    <w:uiPriority w:val="32"/>
    <w:qFormat/>
    <w:rsid w:val="00AB6F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87543">
      <w:bodyDiv w:val="1"/>
      <w:marLeft w:val="0"/>
      <w:marRight w:val="0"/>
      <w:marTop w:val="0"/>
      <w:marBottom w:val="0"/>
      <w:divBdr>
        <w:top w:val="none" w:sz="0" w:space="0" w:color="auto"/>
        <w:left w:val="none" w:sz="0" w:space="0" w:color="auto"/>
        <w:bottom w:val="none" w:sz="0" w:space="0" w:color="auto"/>
        <w:right w:val="none" w:sz="0" w:space="0" w:color="auto"/>
      </w:divBdr>
    </w:div>
    <w:div w:id="570850909">
      <w:bodyDiv w:val="1"/>
      <w:marLeft w:val="0"/>
      <w:marRight w:val="0"/>
      <w:marTop w:val="0"/>
      <w:marBottom w:val="0"/>
      <w:divBdr>
        <w:top w:val="none" w:sz="0" w:space="0" w:color="auto"/>
        <w:left w:val="none" w:sz="0" w:space="0" w:color="auto"/>
        <w:bottom w:val="none" w:sz="0" w:space="0" w:color="auto"/>
        <w:right w:val="none" w:sz="0" w:space="0" w:color="auto"/>
      </w:divBdr>
    </w:div>
    <w:div w:id="611867132">
      <w:bodyDiv w:val="1"/>
      <w:marLeft w:val="0"/>
      <w:marRight w:val="0"/>
      <w:marTop w:val="0"/>
      <w:marBottom w:val="0"/>
      <w:divBdr>
        <w:top w:val="none" w:sz="0" w:space="0" w:color="auto"/>
        <w:left w:val="none" w:sz="0" w:space="0" w:color="auto"/>
        <w:bottom w:val="none" w:sz="0" w:space="0" w:color="auto"/>
        <w:right w:val="none" w:sz="0" w:space="0" w:color="auto"/>
      </w:divBdr>
    </w:div>
    <w:div w:id="692999526">
      <w:bodyDiv w:val="1"/>
      <w:marLeft w:val="0"/>
      <w:marRight w:val="0"/>
      <w:marTop w:val="0"/>
      <w:marBottom w:val="0"/>
      <w:divBdr>
        <w:top w:val="none" w:sz="0" w:space="0" w:color="auto"/>
        <w:left w:val="none" w:sz="0" w:space="0" w:color="auto"/>
        <w:bottom w:val="none" w:sz="0" w:space="0" w:color="auto"/>
        <w:right w:val="none" w:sz="0" w:space="0" w:color="auto"/>
      </w:divBdr>
      <w:divsChild>
        <w:div w:id="1308703478">
          <w:marLeft w:val="0"/>
          <w:marRight w:val="0"/>
          <w:marTop w:val="0"/>
          <w:marBottom w:val="0"/>
          <w:divBdr>
            <w:top w:val="none" w:sz="0" w:space="0" w:color="auto"/>
            <w:left w:val="none" w:sz="0" w:space="0" w:color="auto"/>
            <w:bottom w:val="none" w:sz="0" w:space="0" w:color="auto"/>
            <w:right w:val="none" w:sz="0" w:space="0" w:color="auto"/>
          </w:divBdr>
          <w:divsChild>
            <w:div w:id="1605069763">
              <w:marLeft w:val="0"/>
              <w:marRight w:val="0"/>
              <w:marTop w:val="0"/>
              <w:marBottom w:val="0"/>
              <w:divBdr>
                <w:top w:val="none" w:sz="0" w:space="0" w:color="auto"/>
                <w:left w:val="none" w:sz="0" w:space="0" w:color="auto"/>
                <w:bottom w:val="none" w:sz="0" w:space="0" w:color="auto"/>
                <w:right w:val="none" w:sz="0" w:space="0" w:color="auto"/>
              </w:divBdr>
              <w:divsChild>
                <w:div w:id="1350715580">
                  <w:marLeft w:val="0"/>
                  <w:marRight w:val="0"/>
                  <w:marTop w:val="0"/>
                  <w:marBottom w:val="0"/>
                  <w:divBdr>
                    <w:top w:val="none" w:sz="0" w:space="0" w:color="auto"/>
                    <w:left w:val="none" w:sz="0" w:space="0" w:color="auto"/>
                    <w:bottom w:val="none" w:sz="0" w:space="0" w:color="auto"/>
                    <w:right w:val="none" w:sz="0" w:space="0" w:color="auto"/>
                  </w:divBdr>
                  <w:divsChild>
                    <w:div w:id="1695109661">
                      <w:marLeft w:val="0"/>
                      <w:marRight w:val="0"/>
                      <w:marTop w:val="0"/>
                      <w:marBottom w:val="0"/>
                      <w:divBdr>
                        <w:top w:val="none" w:sz="0" w:space="0" w:color="auto"/>
                        <w:left w:val="none" w:sz="0" w:space="0" w:color="auto"/>
                        <w:bottom w:val="none" w:sz="0" w:space="0" w:color="auto"/>
                        <w:right w:val="none" w:sz="0" w:space="0" w:color="auto"/>
                      </w:divBdr>
                      <w:divsChild>
                        <w:div w:id="2108961041">
                          <w:marLeft w:val="0"/>
                          <w:marRight w:val="0"/>
                          <w:marTop w:val="0"/>
                          <w:marBottom w:val="0"/>
                          <w:divBdr>
                            <w:top w:val="none" w:sz="0" w:space="0" w:color="auto"/>
                            <w:left w:val="none" w:sz="0" w:space="0" w:color="auto"/>
                            <w:bottom w:val="none" w:sz="0" w:space="0" w:color="auto"/>
                            <w:right w:val="none" w:sz="0" w:space="0" w:color="auto"/>
                          </w:divBdr>
                          <w:divsChild>
                            <w:div w:id="2090733996">
                              <w:marLeft w:val="0"/>
                              <w:marRight w:val="0"/>
                              <w:marTop w:val="0"/>
                              <w:marBottom w:val="0"/>
                              <w:divBdr>
                                <w:top w:val="none" w:sz="0" w:space="0" w:color="auto"/>
                                <w:left w:val="none" w:sz="0" w:space="0" w:color="auto"/>
                                <w:bottom w:val="none" w:sz="0" w:space="0" w:color="auto"/>
                                <w:right w:val="none" w:sz="0" w:space="0" w:color="auto"/>
                              </w:divBdr>
                              <w:divsChild>
                                <w:div w:id="319582569">
                                  <w:marLeft w:val="0"/>
                                  <w:marRight w:val="0"/>
                                  <w:marTop w:val="0"/>
                                  <w:marBottom w:val="0"/>
                                  <w:divBdr>
                                    <w:top w:val="none" w:sz="0" w:space="0" w:color="auto"/>
                                    <w:left w:val="none" w:sz="0" w:space="0" w:color="auto"/>
                                    <w:bottom w:val="none" w:sz="0" w:space="0" w:color="auto"/>
                                    <w:right w:val="none" w:sz="0" w:space="0" w:color="auto"/>
                                  </w:divBdr>
                                  <w:divsChild>
                                    <w:div w:id="1306617253">
                                      <w:marLeft w:val="0"/>
                                      <w:marRight w:val="0"/>
                                      <w:marTop w:val="0"/>
                                      <w:marBottom w:val="0"/>
                                      <w:divBdr>
                                        <w:top w:val="none" w:sz="0" w:space="0" w:color="auto"/>
                                        <w:left w:val="none" w:sz="0" w:space="0" w:color="auto"/>
                                        <w:bottom w:val="none" w:sz="0" w:space="0" w:color="auto"/>
                                        <w:right w:val="none" w:sz="0" w:space="0" w:color="auto"/>
                                      </w:divBdr>
                                      <w:divsChild>
                                        <w:div w:id="949356700">
                                          <w:marLeft w:val="0"/>
                                          <w:marRight w:val="0"/>
                                          <w:marTop w:val="0"/>
                                          <w:marBottom w:val="0"/>
                                          <w:divBdr>
                                            <w:top w:val="none" w:sz="0" w:space="0" w:color="auto"/>
                                            <w:left w:val="none" w:sz="0" w:space="0" w:color="auto"/>
                                            <w:bottom w:val="none" w:sz="0" w:space="0" w:color="auto"/>
                                            <w:right w:val="none" w:sz="0" w:space="0" w:color="auto"/>
                                          </w:divBdr>
                                          <w:divsChild>
                                            <w:div w:id="10960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718057">
      <w:bodyDiv w:val="1"/>
      <w:marLeft w:val="0"/>
      <w:marRight w:val="0"/>
      <w:marTop w:val="0"/>
      <w:marBottom w:val="0"/>
      <w:divBdr>
        <w:top w:val="none" w:sz="0" w:space="0" w:color="auto"/>
        <w:left w:val="none" w:sz="0" w:space="0" w:color="auto"/>
        <w:bottom w:val="none" w:sz="0" w:space="0" w:color="auto"/>
        <w:right w:val="none" w:sz="0" w:space="0" w:color="auto"/>
      </w:divBdr>
    </w:div>
    <w:div w:id="975988787">
      <w:bodyDiv w:val="1"/>
      <w:marLeft w:val="0"/>
      <w:marRight w:val="0"/>
      <w:marTop w:val="0"/>
      <w:marBottom w:val="0"/>
      <w:divBdr>
        <w:top w:val="none" w:sz="0" w:space="0" w:color="auto"/>
        <w:left w:val="none" w:sz="0" w:space="0" w:color="auto"/>
        <w:bottom w:val="none" w:sz="0" w:space="0" w:color="auto"/>
        <w:right w:val="none" w:sz="0" w:space="0" w:color="auto"/>
      </w:divBdr>
    </w:div>
    <w:div w:id="1102796733">
      <w:bodyDiv w:val="1"/>
      <w:marLeft w:val="0"/>
      <w:marRight w:val="0"/>
      <w:marTop w:val="0"/>
      <w:marBottom w:val="0"/>
      <w:divBdr>
        <w:top w:val="none" w:sz="0" w:space="0" w:color="auto"/>
        <w:left w:val="none" w:sz="0" w:space="0" w:color="auto"/>
        <w:bottom w:val="none" w:sz="0" w:space="0" w:color="auto"/>
        <w:right w:val="none" w:sz="0" w:space="0" w:color="auto"/>
      </w:divBdr>
      <w:divsChild>
        <w:div w:id="2011980146">
          <w:marLeft w:val="0"/>
          <w:marRight w:val="0"/>
          <w:marTop w:val="0"/>
          <w:marBottom w:val="0"/>
          <w:divBdr>
            <w:top w:val="none" w:sz="0" w:space="0" w:color="auto"/>
            <w:left w:val="none" w:sz="0" w:space="0" w:color="auto"/>
            <w:bottom w:val="none" w:sz="0" w:space="0" w:color="auto"/>
            <w:right w:val="none" w:sz="0" w:space="0" w:color="auto"/>
          </w:divBdr>
          <w:divsChild>
            <w:div w:id="1353650797">
              <w:marLeft w:val="0"/>
              <w:marRight w:val="0"/>
              <w:marTop w:val="0"/>
              <w:marBottom w:val="0"/>
              <w:divBdr>
                <w:top w:val="none" w:sz="0" w:space="0" w:color="auto"/>
                <w:left w:val="none" w:sz="0" w:space="0" w:color="auto"/>
                <w:bottom w:val="none" w:sz="0" w:space="0" w:color="auto"/>
                <w:right w:val="none" w:sz="0" w:space="0" w:color="auto"/>
              </w:divBdr>
              <w:divsChild>
                <w:div w:id="208998840">
                  <w:marLeft w:val="0"/>
                  <w:marRight w:val="0"/>
                  <w:marTop w:val="0"/>
                  <w:marBottom w:val="0"/>
                  <w:divBdr>
                    <w:top w:val="none" w:sz="0" w:space="0" w:color="auto"/>
                    <w:left w:val="none" w:sz="0" w:space="0" w:color="auto"/>
                    <w:bottom w:val="none" w:sz="0" w:space="0" w:color="auto"/>
                    <w:right w:val="none" w:sz="0" w:space="0" w:color="auto"/>
                  </w:divBdr>
                  <w:divsChild>
                    <w:div w:id="772746754">
                      <w:marLeft w:val="0"/>
                      <w:marRight w:val="0"/>
                      <w:marTop w:val="0"/>
                      <w:marBottom w:val="0"/>
                      <w:divBdr>
                        <w:top w:val="none" w:sz="0" w:space="0" w:color="auto"/>
                        <w:left w:val="none" w:sz="0" w:space="0" w:color="auto"/>
                        <w:bottom w:val="none" w:sz="0" w:space="0" w:color="auto"/>
                        <w:right w:val="none" w:sz="0" w:space="0" w:color="auto"/>
                      </w:divBdr>
                      <w:divsChild>
                        <w:div w:id="1595018792">
                          <w:marLeft w:val="0"/>
                          <w:marRight w:val="0"/>
                          <w:marTop w:val="0"/>
                          <w:marBottom w:val="0"/>
                          <w:divBdr>
                            <w:top w:val="none" w:sz="0" w:space="0" w:color="auto"/>
                            <w:left w:val="none" w:sz="0" w:space="0" w:color="auto"/>
                            <w:bottom w:val="none" w:sz="0" w:space="0" w:color="auto"/>
                            <w:right w:val="none" w:sz="0" w:space="0" w:color="auto"/>
                          </w:divBdr>
                          <w:divsChild>
                            <w:div w:id="1189951010">
                              <w:marLeft w:val="0"/>
                              <w:marRight w:val="0"/>
                              <w:marTop w:val="0"/>
                              <w:marBottom w:val="0"/>
                              <w:divBdr>
                                <w:top w:val="none" w:sz="0" w:space="0" w:color="auto"/>
                                <w:left w:val="none" w:sz="0" w:space="0" w:color="auto"/>
                                <w:bottom w:val="none" w:sz="0" w:space="0" w:color="auto"/>
                                <w:right w:val="none" w:sz="0" w:space="0" w:color="auto"/>
                              </w:divBdr>
                              <w:divsChild>
                                <w:div w:id="876312760">
                                  <w:marLeft w:val="0"/>
                                  <w:marRight w:val="0"/>
                                  <w:marTop w:val="0"/>
                                  <w:marBottom w:val="0"/>
                                  <w:divBdr>
                                    <w:top w:val="none" w:sz="0" w:space="0" w:color="auto"/>
                                    <w:left w:val="none" w:sz="0" w:space="0" w:color="auto"/>
                                    <w:bottom w:val="none" w:sz="0" w:space="0" w:color="auto"/>
                                    <w:right w:val="none" w:sz="0" w:space="0" w:color="auto"/>
                                  </w:divBdr>
                                  <w:divsChild>
                                    <w:div w:id="1856654132">
                                      <w:marLeft w:val="0"/>
                                      <w:marRight w:val="0"/>
                                      <w:marTop w:val="0"/>
                                      <w:marBottom w:val="0"/>
                                      <w:divBdr>
                                        <w:top w:val="none" w:sz="0" w:space="0" w:color="auto"/>
                                        <w:left w:val="none" w:sz="0" w:space="0" w:color="auto"/>
                                        <w:bottom w:val="none" w:sz="0" w:space="0" w:color="auto"/>
                                        <w:right w:val="none" w:sz="0" w:space="0" w:color="auto"/>
                                      </w:divBdr>
                                      <w:divsChild>
                                        <w:div w:id="2055961635">
                                          <w:marLeft w:val="0"/>
                                          <w:marRight w:val="0"/>
                                          <w:marTop w:val="0"/>
                                          <w:marBottom w:val="0"/>
                                          <w:divBdr>
                                            <w:top w:val="none" w:sz="0" w:space="0" w:color="auto"/>
                                            <w:left w:val="none" w:sz="0" w:space="0" w:color="auto"/>
                                            <w:bottom w:val="none" w:sz="0" w:space="0" w:color="auto"/>
                                            <w:right w:val="none" w:sz="0" w:space="0" w:color="auto"/>
                                          </w:divBdr>
                                          <w:divsChild>
                                            <w:div w:id="43306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9156458">
      <w:bodyDiv w:val="1"/>
      <w:marLeft w:val="0"/>
      <w:marRight w:val="0"/>
      <w:marTop w:val="0"/>
      <w:marBottom w:val="0"/>
      <w:divBdr>
        <w:top w:val="none" w:sz="0" w:space="0" w:color="auto"/>
        <w:left w:val="none" w:sz="0" w:space="0" w:color="auto"/>
        <w:bottom w:val="none" w:sz="0" w:space="0" w:color="auto"/>
        <w:right w:val="none" w:sz="0" w:space="0" w:color="auto"/>
      </w:divBdr>
    </w:div>
    <w:div w:id="1462305915">
      <w:bodyDiv w:val="1"/>
      <w:marLeft w:val="0"/>
      <w:marRight w:val="0"/>
      <w:marTop w:val="0"/>
      <w:marBottom w:val="0"/>
      <w:divBdr>
        <w:top w:val="none" w:sz="0" w:space="0" w:color="auto"/>
        <w:left w:val="none" w:sz="0" w:space="0" w:color="auto"/>
        <w:bottom w:val="none" w:sz="0" w:space="0" w:color="auto"/>
        <w:right w:val="none" w:sz="0" w:space="0" w:color="auto"/>
      </w:divBdr>
    </w:div>
    <w:div w:id="1523857183">
      <w:bodyDiv w:val="1"/>
      <w:marLeft w:val="0"/>
      <w:marRight w:val="0"/>
      <w:marTop w:val="0"/>
      <w:marBottom w:val="0"/>
      <w:divBdr>
        <w:top w:val="none" w:sz="0" w:space="0" w:color="auto"/>
        <w:left w:val="none" w:sz="0" w:space="0" w:color="auto"/>
        <w:bottom w:val="none" w:sz="0" w:space="0" w:color="auto"/>
        <w:right w:val="none" w:sz="0" w:space="0" w:color="auto"/>
      </w:divBdr>
    </w:div>
    <w:div w:id="1715470749">
      <w:bodyDiv w:val="1"/>
      <w:marLeft w:val="0"/>
      <w:marRight w:val="0"/>
      <w:marTop w:val="0"/>
      <w:marBottom w:val="0"/>
      <w:divBdr>
        <w:top w:val="none" w:sz="0" w:space="0" w:color="auto"/>
        <w:left w:val="none" w:sz="0" w:space="0" w:color="auto"/>
        <w:bottom w:val="none" w:sz="0" w:space="0" w:color="auto"/>
        <w:right w:val="none" w:sz="0" w:space="0" w:color="auto"/>
      </w:divBdr>
    </w:div>
    <w:div w:id="1773549460">
      <w:bodyDiv w:val="1"/>
      <w:marLeft w:val="0"/>
      <w:marRight w:val="0"/>
      <w:marTop w:val="0"/>
      <w:marBottom w:val="0"/>
      <w:divBdr>
        <w:top w:val="none" w:sz="0" w:space="0" w:color="auto"/>
        <w:left w:val="none" w:sz="0" w:space="0" w:color="auto"/>
        <w:bottom w:val="none" w:sz="0" w:space="0" w:color="auto"/>
        <w:right w:val="none" w:sz="0" w:space="0" w:color="auto"/>
      </w:divBdr>
    </w:div>
    <w:div w:id="2115055904">
      <w:bodyDiv w:val="1"/>
      <w:marLeft w:val="0"/>
      <w:marRight w:val="0"/>
      <w:marTop w:val="0"/>
      <w:marBottom w:val="0"/>
      <w:divBdr>
        <w:top w:val="none" w:sz="0" w:space="0" w:color="auto"/>
        <w:left w:val="none" w:sz="0" w:space="0" w:color="auto"/>
        <w:bottom w:val="none" w:sz="0" w:space="0" w:color="auto"/>
        <w:right w:val="none" w:sz="0" w:space="0" w:color="auto"/>
      </w:divBdr>
    </w:div>
    <w:div w:id="21373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3F555-F730-41F0-8D03-0FF016F6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4701</TotalTime>
  <Pages>1</Pages>
  <Words>10488</Words>
  <Characters>59788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Sruthi Siju</dc:creator>
  <cp:keywords/>
  <dc:description/>
  <cp:lastModifiedBy>Sruthi Siju</cp:lastModifiedBy>
  <cp:revision>115</cp:revision>
  <dcterms:created xsi:type="dcterms:W3CDTF">2025-07-01T06:14:00Z</dcterms:created>
  <dcterms:modified xsi:type="dcterms:W3CDTF">2026-01-15T10:15:00Z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6e87b8ab-6d7b-3679-9e4e-855757d1df31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