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AC9EB">
      <w:pPr>
        <w:jc w:val="center"/>
        <w:rPr>
          <w:rFonts w:hint="default" w:ascii="Arial" w:hAnsi="Arial" w:eastAsia="SimSun" w:cs="Arial"/>
          <w:b/>
          <w:bCs/>
          <w:i w:val="0"/>
          <w:iCs w:val="0"/>
          <w:color w:val="000000"/>
          <w:kern w:val="0"/>
          <w:sz w:val="22"/>
          <w:szCs w:val="22"/>
          <w:lang w:val="en-US" w:eastAsia="zh-CN" w:bidi="ar"/>
        </w:rPr>
      </w:pPr>
      <w:r>
        <w:rPr>
          <w:rFonts w:ascii="Arial" w:hAnsi="Arial" w:eastAsia="SimSun" w:cs="Arial"/>
          <w:b/>
          <w:bCs/>
          <w:i w:val="0"/>
          <w:iCs w:val="0"/>
          <w:color w:val="000000"/>
          <w:kern w:val="0"/>
          <w:sz w:val="22"/>
          <w:szCs w:val="22"/>
          <w:lang w:val="en-US" w:eastAsia="zh-CN" w:bidi="ar"/>
        </w:rPr>
        <w:t xml:space="preserve">RUBBER INDUSTRY PROFILE: INPUT TO GROWTH AND </w:t>
      </w:r>
      <w:r>
        <w:rPr>
          <w:rFonts w:hint="default" w:ascii="Arial" w:hAnsi="Arial" w:eastAsia="SimSun" w:cs="Arial"/>
          <w:b/>
          <w:bCs/>
          <w:i w:val="0"/>
          <w:iCs w:val="0"/>
          <w:color w:val="000000"/>
          <w:kern w:val="0"/>
          <w:sz w:val="22"/>
          <w:szCs w:val="22"/>
          <w:lang w:val="en-US" w:eastAsia="zh-CN" w:bidi="ar"/>
        </w:rPr>
        <w:t>DEVELOPMENT OF START UP MANUFACTURING AND EXPORT ENTERPRISES IN PALAWAN, PHILIPPINES</w:t>
      </w:r>
    </w:p>
    <w:p w14:paraId="2DE7EEC4">
      <w:pPr>
        <w:jc w:val="center"/>
        <w:rPr>
          <w:rFonts w:hint="default" w:ascii="Arial" w:hAnsi="Arial" w:eastAsia="SimSun" w:cs="Arial"/>
          <w:b/>
          <w:bCs/>
          <w:i w:val="0"/>
          <w:iCs w:val="0"/>
          <w:color w:val="000000"/>
          <w:kern w:val="0"/>
          <w:sz w:val="22"/>
          <w:szCs w:val="22"/>
          <w:lang w:val="en-US" w:eastAsia="zh-CN" w:bidi="ar"/>
        </w:rPr>
      </w:pPr>
    </w:p>
    <w:p w14:paraId="4A3B1421">
      <w:pPr>
        <w:jc w:val="center"/>
        <w:rPr>
          <w:rFonts w:hint="default" w:ascii="Arial" w:hAnsi="Arial" w:cs="Arial"/>
          <w:sz w:val="24"/>
          <w:szCs w:val="24"/>
          <w:lang w:val="en-US"/>
        </w:rPr>
      </w:pPr>
      <w:r>
        <w:rPr>
          <w:rFonts w:hint="default" w:ascii="Arial" w:hAnsi="Arial" w:cs="Arial"/>
          <w:sz w:val="24"/>
          <w:szCs w:val="24"/>
          <w:lang w:val="en-US"/>
        </w:rPr>
        <w:t/>
      </w:r>
      <w:r>
        <w:rPr>
          <w:rFonts w:ascii="Arial" w:hAnsi="Arial" w:cs="Arial"/>
          <w:sz w:val="24"/>
          <w:szCs w:val="24"/>
        </w:rPr>
        <w:t/>
      </w:r>
      <w:r>
        <w:rPr>
          <w:rFonts w:hint="default" w:ascii="Arial" w:hAnsi="Arial" w:cs="Arial"/>
          <w:sz w:val="24"/>
          <w:szCs w:val="24"/>
          <w:lang w:val="en-US"/>
        </w:rPr>
        <w:t xml:space="preserve"/>
      </w:r>
    </w:p>
    <w:p w14:paraId="7B5C8723">
      <w:pPr>
        <w:jc w:val="center"/>
        <w:rPr>
          <w:rFonts w:ascii="Arial" w:hAnsi="Arial" w:cs="Arial"/>
          <w:sz w:val="24"/>
          <w:szCs w:val="24"/>
        </w:rPr>
      </w:pPr>
      <w:r>
        <w:rPr>
          <w:rFonts w:ascii="Arial" w:hAnsi="Arial" w:cs="Arial"/>
          <w:sz w:val="24"/>
          <w:szCs w:val="24"/>
        </w:rPr>
        <w:t/>
      </w:r>
    </w:p>
    <w:p w14:paraId="4A060843">
      <w:pPr>
        <w:pBdr>
          <w:bottom w:val="single" w:color="auto" w:sz="12" w:space="0"/>
        </w:pBdr>
        <w:jc w:val="center"/>
        <w:rPr>
          <w:rFonts w:ascii="Arial" w:hAnsi="Arial" w:cs="Arial"/>
          <w:sz w:val="21"/>
          <w:szCs w:val="21"/>
        </w:rPr>
      </w:pPr>
      <w:r>
        <w:rPr>
          <w:rFonts w:ascii="Arial" w:hAnsi="Arial" w:cs="Arial"/>
          <w:sz w:val="21"/>
          <w:szCs w:val="21"/>
        </w:rPr>
        <w:t/>
      </w:r>
      <w:r>
        <w:fldChar w:fldCharType="begin"/>
      </w:r>
      <w:r>
        <w:instrText xml:space="preserve"> HYPERLINK "mailto:dvespera@psu.palawan.edu.ph" </w:instrText>
      </w:r>
      <w:r>
        <w:fldChar w:fldCharType="separate"/>
      </w:r>
      <w:r>
        <w:rPr>
          <w:rStyle w:val="7"/>
          <w:rFonts w:ascii="Arial" w:hAnsi="Arial" w:cs="Arial"/>
          <w:sz w:val="21"/>
          <w:szCs w:val="21"/>
        </w:rPr>
        <w:t/>
      </w:r>
      <w:r>
        <w:rPr>
          <w:rStyle w:val="7"/>
          <w:rFonts w:ascii="Arial" w:hAnsi="Arial" w:cs="Arial"/>
          <w:sz w:val="21"/>
          <w:szCs w:val="21"/>
        </w:rPr>
        <w:fldChar w:fldCharType="end"/>
      </w:r>
    </w:p>
    <w:p w14:paraId="482DDDA3">
      <w:pPr>
        <w:jc w:val="center"/>
        <w:rPr>
          <w:rFonts w:ascii="Arial" w:hAnsi="Arial" w:cs="Arial"/>
          <w:i/>
          <w:iCs/>
          <w:sz w:val="24"/>
          <w:szCs w:val="24"/>
        </w:rPr>
      </w:pPr>
      <w:r>
        <w:rPr>
          <w:rFonts w:ascii="Arial" w:hAnsi="Arial" w:cs="Arial"/>
          <w:i/>
          <w:iCs/>
          <w:sz w:val="24"/>
          <w:szCs w:val="24"/>
        </w:rPr>
        <w:t/>
      </w:r>
    </w:p>
    <w:p w14:paraId="61D42B72">
      <w:pPr>
        <w:jc w:val="center"/>
        <w:rPr>
          <w:rFonts w:ascii="Arial" w:hAnsi="Arial" w:cs="Arial"/>
          <w:sz w:val="28"/>
          <w:szCs w:val="28"/>
        </w:rPr>
      </w:pPr>
    </w:p>
    <w:p w14:paraId="6AA60680">
      <w:pPr>
        <w:jc w:val="both"/>
        <w:rPr>
          <w:rFonts w:ascii="Arial" w:hAnsi="Arial" w:cs="Arial"/>
          <w:b/>
          <w:bCs/>
          <w:sz w:val="24"/>
          <w:szCs w:val="24"/>
        </w:rPr>
      </w:pPr>
      <w:r>
        <w:rPr>
          <w:rFonts w:ascii="Arial" w:hAnsi="Arial" w:cs="Arial"/>
          <w:b/>
          <w:bCs/>
          <w:sz w:val="24"/>
          <w:szCs w:val="24"/>
        </w:rPr>
        <w:t>ABSTRACT</w:t>
      </w:r>
    </w:p>
    <w:p w14:paraId="2949B9B7">
      <w:pPr>
        <w:pBdr>
          <w:bottom w:val="single" w:color="auto" w:sz="12" w:space="0"/>
        </w:pBdr>
        <w:jc w:val="both"/>
        <w:rPr>
          <w:rFonts w:ascii="Arial" w:hAnsi="Arial" w:cs="Arial"/>
          <w:sz w:val="24"/>
          <w:szCs w:val="24"/>
        </w:rPr>
      </w:pPr>
      <w:r>
        <w:rPr>
          <w:rFonts w:ascii="Arial" w:hAnsi="Arial" w:cs="Arial"/>
          <w:sz w:val="24"/>
          <w:szCs w:val="24"/>
        </w:rPr>
        <w:t xml:space="preserve">For nearly two and a half decades since it gained upward trajectory in 1997 in Palawan, rubber tree </w:t>
      </w:r>
      <w:r>
        <w:rPr>
          <w:rFonts w:ascii="Arial" w:hAnsi="Arial" w:cs="Arial"/>
          <w:i/>
          <w:iCs/>
          <w:sz w:val="24"/>
          <w:szCs w:val="24"/>
        </w:rPr>
        <w:t xml:space="preserve">(havea brazilienses) </w:t>
      </w:r>
      <w:r>
        <w:rPr>
          <w:rFonts w:ascii="Arial" w:hAnsi="Arial" w:cs="Arial"/>
          <w:sz w:val="24"/>
          <w:szCs w:val="24"/>
        </w:rPr>
        <w:t>farming</w:t>
      </w:r>
      <w:r>
        <w:rPr>
          <w:rFonts w:ascii="Arial" w:hAnsi="Arial" w:cs="Arial"/>
          <w:i/>
          <w:iCs/>
          <w:sz w:val="24"/>
          <w:szCs w:val="24"/>
        </w:rPr>
        <w:t xml:space="preserve"> </w:t>
      </w:r>
      <w:r>
        <w:rPr>
          <w:rFonts w:ascii="Arial" w:hAnsi="Arial" w:cs="Arial"/>
          <w:sz w:val="24"/>
          <w:szCs w:val="24"/>
        </w:rPr>
        <w:t>continues to motivate the minority of rural palaweño farmers to stay on the line despite its topsy- turvy market situation. Though farm gate prices for most of the times hit the break-even point or even down below, they still glued their future in this industrial commodity to at least survive the economic turmoil or even improve their living conditions. Majority of farmers remain steadfast in their hopes that current circumstances affecting the local rubber industry will overturn in their favor. This study has unearthed an important finding</w:t>
      </w:r>
      <w:r>
        <w:rPr>
          <w:rFonts w:hint="default" w:ascii="Arial" w:hAnsi="Arial" w:cs="Arial"/>
          <w:sz w:val="24"/>
          <w:szCs w:val="24"/>
          <w:lang w:val="en-US"/>
        </w:rPr>
        <w:t>s</w:t>
      </w:r>
      <w:r>
        <w:rPr>
          <w:rFonts w:ascii="Arial" w:hAnsi="Arial" w:cs="Arial"/>
          <w:sz w:val="24"/>
          <w:szCs w:val="24"/>
        </w:rPr>
        <w:t xml:space="preserve"> that may trigger </w:t>
      </w:r>
      <w:bookmarkStart w:id="0" w:name="_GoBack"/>
      <w:r>
        <w:rPr>
          <w:rFonts w:ascii="Arial" w:hAnsi="Arial" w:cs="Arial"/>
          <w:sz w:val="24"/>
          <w:szCs w:val="24"/>
        </w:rPr>
        <w:t xml:space="preserve">a new development along the rubber value chain in the </w:t>
      </w:r>
      <w:r>
        <w:rPr>
          <w:rFonts w:hint="default" w:ascii="Arial" w:hAnsi="Arial" w:cs="Arial"/>
          <w:sz w:val="24"/>
          <w:szCs w:val="24"/>
          <w:lang w:val="en-US"/>
        </w:rPr>
        <w:t>P</w:t>
      </w:r>
      <w:r>
        <w:rPr>
          <w:rFonts w:ascii="Arial" w:hAnsi="Arial" w:cs="Arial"/>
          <w:sz w:val="24"/>
          <w:szCs w:val="24"/>
        </w:rPr>
        <w:t xml:space="preserve">rovince of Palawan. </w:t>
      </w:r>
    </w:p>
    <w:bookmarkEnd w:id="0"/>
    <w:p w14:paraId="3BE8A0BD">
      <w:pPr>
        <w:jc w:val="both"/>
        <w:rPr>
          <w:rFonts w:ascii="Arial" w:hAnsi="Arial" w:cs="Arial"/>
          <w:sz w:val="24"/>
          <w:szCs w:val="24"/>
        </w:rPr>
      </w:pPr>
      <w:r>
        <w:rPr>
          <w:rFonts w:ascii="Arial" w:hAnsi="Arial" w:cs="Arial"/>
          <w:sz w:val="24"/>
          <w:szCs w:val="24"/>
        </w:rPr>
        <w:t xml:space="preserve">  </w:t>
      </w:r>
    </w:p>
    <w:p w14:paraId="42002BE7">
      <w:pPr>
        <w:jc w:val="both"/>
        <w:rPr>
          <w:rFonts w:ascii="Arial" w:hAnsi="Arial" w:cs="Arial"/>
          <w:b/>
          <w:bCs/>
          <w:sz w:val="24"/>
          <w:szCs w:val="24"/>
        </w:rPr>
      </w:pPr>
      <w:r>
        <w:rPr>
          <w:rFonts w:ascii="Arial" w:hAnsi="Arial" w:cs="Arial"/>
          <w:b/>
          <w:bCs/>
          <w:sz w:val="24"/>
          <w:szCs w:val="24"/>
        </w:rPr>
        <w:t>INTRODUCTION</w:t>
      </w:r>
    </w:p>
    <w:p w14:paraId="722DBE03">
      <w:pPr>
        <w:jc w:val="both"/>
        <w:rPr>
          <w:rFonts w:hint="default" w:ascii="Arial" w:hAnsi="Arial" w:eastAsia="SimSun" w:cs="Arial"/>
          <w:i w:val="0"/>
          <w:iCs w:val="0"/>
          <w:caps w:val="0"/>
          <w:color w:val="000000"/>
          <w:spacing w:val="0"/>
          <w:sz w:val="24"/>
          <w:szCs w:val="24"/>
          <w:shd w:val="clear" w:fill="FFFFFF"/>
          <w:lang w:val="en-US"/>
        </w:rPr>
      </w:pPr>
      <w:r>
        <w:rPr>
          <w:rFonts w:ascii="Arial" w:hAnsi="Arial" w:cs="Arial"/>
          <w:sz w:val="24"/>
          <w:szCs w:val="24"/>
        </w:rPr>
        <w:t>Natural rubber (</w:t>
      </w:r>
      <w:r>
        <w:rPr>
          <w:rFonts w:ascii="Arial" w:hAnsi="Arial" w:cs="Arial"/>
          <w:i/>
          <w:iCs/>
          <w:sz w:val="24"/>
          <w:szCs w:val="24"/>
        </w:rPr>
        <w:t>havea brasilienses</w:t>
      </w:r>
      <w:r>
        <w:rPr>
          <w:rFonts w:ascii="Arial" w:hAnsi="Arial" w:cs="Arial"/>
          <w:sz w:val="24"/>
          <w:szCs w:val="24"/>
        </w:rPr>
        <w:t>) is an important industrial commodity and a valuable export of rubber exporting countries. This includes</w:t>
      </w:r>
      <w:r>
        <w:rPr>
          <w:rFonts w:hint="default" w:ascii="Arial" w:hAnsi="Arial" w:cs="Arial"/>
          <w:sz w:val="24"/>
          <w:szCs w:val="24"/>
          <w:lang w:val="en-US"/>
        </w:rPr>
        <w:t>,</w:t>
      </w:r>
      <w:r>
        <w:rPr>
          <w:rFonts w:ascii="Arial" w:hAnsi="Arial" w:cs="Arial"/>
          <w:sz w:val="24"/>
          <w:szCs w:val="24"/>
        </w:rPr>
        <w:t xml:space="preserve"> among others</w:t>
      </w:r>
      <w:r>
        <w:rPr>
          <w:rFonts w:hint="default" w:ascii="Arial" w:hAnsi="Arial" w:cs="Arial"/>
          <w:sz w:val="24"/>
          <w:szCs w:val="24"/>
          <w:lang w:val="en-US"/>
        </w:rPr>
        <w:t>,</w:t>
      </w:r>
      <w:r>
        <w:rPr>
          <w:rFonts w:ascii="Arial" w:hAnsi="Arial" w:cs="Arial"/>
          <w:sz w:val="24"/>
          <w:szCs w:val="24"/>
        </w:rPr>
        <w:t xml:space="preserve"> </w:t>
      </w:r>
      <w:r>
        <w:rPr>
          <w:rFonts w:hint="default" w:ascii="Arial" w:hAnsi="Arial" w:cs="Arial"/>
          <w:sz w:val="24"/>
          <w:szCs w:val="24"/>
          <w:lang w:val="en-US"/>
        </w:rPr>
        <w:t>Thailand</w:t>
      </w:r>
      <w:r>
        <w:rPr>
          <w:rFonts w:ascii="Arial" w:hAnsi="Arial" w:cs="Arial"/>
          <w:sz w:val="24"/>
          <w:szCs w:val="24"/>
        </w:rPr>
        <w:t xml:space="preserve"> </w:t>
      </w:r>
      <w:r>
        <w:rPr>
          <w:rFonts w:hint="default" w:ascii="Arial" w:hAnsi="Arial" w:cs="Arial"/>
          <w:sz w:val="24"/>
          <w:szCs w:val="24"/>
          <w:lang w:val="en-US"/>
        </w:rPr>
        <w:t>in the top spot, followed by Indonesia, Vietnam, India and China</w:t>
      </w:r>
      <w:r>
        <w:rPr>
          <w:rStyle w:val="5"/>
          <w:rFonts w:hint="default" w:ascii="Arial" w:hAnsi="Arial" w:cs="Arial"/>
          <w:sz w:val="24"/>
          <w:szCs w:val="24"/>
          <w:lang w:val="en-US"/>
        </w:rPr>
        <w:footnoteReference w:id="0"/>
      </w:r>
      <w:r>
        <w:rPr>
          <w:rFonts w:hint="default" w:ascii="Arial" w:hAnsi="Arial" w:cs="Arial"/>
          <w:sz w:val="24"/>
          <w:szCs w:val="24"/>
          <w:lang w:val="en-US"/>
        </w:rPr>
        <w:t>. These are the top 5 countries that are also members of the Association of Natural Rubber Producing Countries (ANRPC). Malaysia and the Philippines landed at the 7</w:t>
      </w:r>
      <w:r>
        <w:rPr>
          <w:rFonts w:hint="default" w:ascii="Arial" w:hAnsi="Arial" w:cs="Arial"/>
          <w:sz w:val="24"/>
          <w:szCs w:val="24"/>
          <w:vertAlign w:val="superscript"/>
          <w:lang w:val="en-US"/>
        </w:rPr>
        <w:t xml:space="preserve">th </w:t>
      </w:r>
      <w:r>
        <w:rPr>
          <w:rFonts w:hint="default" w:ascii="Arial" w:hAnsi="Arial" w:cs="Arial"/>
          <w:sz w:val="24"/>
          <w:szCs w:val="24"/>
          <w:lang w:val="en-US"/>
        </w:rPr>
        <w:t xml:space="preserve"> and 8</w:t>
      </w:r>
      <w:r>
        <w:rPr>
          <w:rFonts w:hint="default" w:ascii="Arial" w:hAnsi="Arial" w:cs="Arial"/>
          <w:sz w:val="24"/>
          <w:szCs w:val="24"/>
          <w:vertAlign w:val="superscript"/>
          <w:lang w:val="en-US"/>
        </w:rPr>
        <w:t>th</w:t>
      </w:r>
      <w:r>
        <w:rPr>
          <w:rFonts w:hint="default" w:ascii="Arial" w:hAnsi="Arial" w:cs="Arial"/>
          <w:sz w:val="24"/>
          <w:szCs w:val="24"/>
          <w:lang w:val="en-US"/>
        </w:rPr>
        <w:t xml:space="preserve"> place respectively followed by Cambodia and Myanmar at the bottom. </w:t>
      </w:r>
      <w:r>
        <w:rPr>
          <w:rFonts w:hint="default" w:ascii="Arial" w:hAnsi="Arial" w:eastAsia="SimSun" w:cs="Arial"/>
          <w:i w:val="0"/>
          <w:iCs w:val="0"/>
          <w:caps w:val="0"/>
          <w:color w:val="000000"/>
          <w:spacing w:val="0"/>
          <w:sz w:val="24"/>
          <w:szCs w:val="24"/>
          <w:shd w:val="clear" w:fill="FFFFFF"/>
        </w:rPr>
        <w:t xml:space="preserve">In 2023, </w:t>
      </w:r>
      <w:r>
        <w:rPr>
          <w:rFonts w:hint="default" w:ascii="Arial" w:hAnsi="Arial" w:eastAsia="SimSun" w:cs="Arial"/>
          <w:i w:val="0"/>
          <w:iCs w:val="0"/>
          <w:caps w:val="0"/>
          <w:color w:val="000000"/>
          <w:spacing w:val="0"/>
          <w:sz w:val="24"/>
          <w:szCs w:val="24"/>
          <w:shd w:val="clear" w:fill="FFFFFF"/>
          <w:lang w:val="en-US"/>
        </w:rPr>
        <w:t>according to Sun-sirs.com, Thailand produced</w:t>
      </w:r>
      <w:r>
        <w:rPr>
          <w:rFonts w:hint="default" w:ascii="Arial" w:hAnsi="Arial" w:eastAsia="SimSun" w:cs="Arial"/>
          <w:i w:val="0"/>
          <w:iCs w:val="0"/>
          <w:caps w:val="0"/>
          <w:color w:val="000000"/>
          <w:spacing w:val="0"/>
          <w:sz w:val="24"/>
          <w:szCs w:val="24"/>
          <w:shd w:val="clear" w:fill="FFFFFF"/>
        </w:rPr>
        <w:t xml:space="preserve"> 4.707 million tons (4.636 million tons of raw rubber), </w:t>
      </w:r>
      <w:r>
        <w:rPr>
          <w:rFonts w:hint="default" w:ascii="Arial" w:hAnsi="Arial" w:eastAsia="SimSun" w:cs="Arial"/>
          <w:i w:val="0"/>
          <w:iCs w:val="0"/>
          <w:caps w:val="0"/>
          <w:color w:val="000000"/>
          <w:spacing w:val="0"/>
          <w:sz w:val="24"/>
          <w:szCs w:val="24"/>
          <w:shd w:val="clear" w:fill="FFFFFF"/>
          <w:lang w:val="en-US"/>
        </w:rPr>
        <w:t xml:space="preserve">a little lower than </w:t>
      </w:r>
      <w:r>
        <w:rPr>
          <w:rFonts w:hint="default" w:ascii="Arial" w:hAnsi="Arial" w:eastAsia="SimSun" w:cs="Arial"/>
          <w:i w:val="0"/>
          <w:iCs w:val="0"/>
          <w:caps w:val="0"/>
          <w:color w:val="000000"/>
          <w:spacing w:val="0"/>
          <w:sz w:val="24"/>
          <w:szCs w:val="24"/>
          <w:shd w:val="clear" w:fill="FFFFFF"/>
        </w:rPr>
        <w:t>4.786 million tons (4.714 million tons of raw rubber) in the same period of 2022</w:t>
      </w:r>
      <w:r>
        <w:rPr>
          <w:rStyle w:val="5"/>
          <w:rFonts w:hint="default" w:ascii="Arial" w:hAnsi="Arial" w:eastAsia="SimSun" w:cs="Arial"/>
          <w:i w:val="0"/>
          <w:iCs w:val="0"/>
          <w:caps w:val="0"/>
          <w:color w:val="000000"/>
          <w:spacing w:val="0"/>
          <w:sz w:val="24"/>
          <w:szCs w:val="24"/>
          <w:shd w:val="clear" w:fill="FFFFFF"/>
        </w:rPr>
        <w:footnoteReference w:id="1"/>
      </w:r>
      <w:r>
        <w:rPr>
          <w:rFonts w:hint="default" w:ascii="Arial" w:hAnsi="Arial" w:eastAsia="SimSun" w:cs="Arial"/>
          <w:i w:val="0"/>
          <w:iCs w:val="0"/>
          <w:caps w:val="0"/>
          <w:color w:val="000000"/>
          <w:spacing w:val="0"/>
          <w:sz w:val="24"/>
          <w:szCs w:val="24"/>
          <w:shd w:val="clear" w:fill="FFFFFF"/>
        </w:rPr>
        <w:t>.</w:t>
      </w:r>
      <w:r>
        <w:rPr>
          <w:rFonts w:hint="default" w:ascii="Arial" w:hAnsi="Arial" w:eastAsia="SimSun" w:cs="Arial"/>
          <w:i w:val="0"/>
          <w:iCs w:val="0"/>
          <w:caps w:val="0"/>
          <w:color w:val="000000"/>
          <w:spacing w:val="0"/>
          <w:sz w:val="24"/>
          <w:szCs w:val="24"/>
          <w:shd w:val="clear" w:fill="FFFFFF"/>
          <w:lang w:val="en-US"/>
        </w:rPr>
        <w:t xml:space="preserve"> This is followed by Indonesia producing </w:t>
      </w:r>
      <w:r>
        <w:rPr>
          <w:rFonts w:hint="default" w:ascii="Arial" w:hAnsi="Arial" w:eastAsia="sans-serif" w:cs="Arial"/>
          <w:i w:val="0"/>
          <w:iCs w:val="0"/>
          <w:caps w:val="0"/>
          <w:color w:val="000000"/>
          <w:spacing w:val="0"/>
          <w:sz w:val="24"/>
          <w:szCs w:val="24"/>
          <w:shd w:val="clear" w:color="auto" w:fill="auto"/>
        </w:rPr>
        <w:t>3,121,474</w:t>
      </w:r>
      <w:r>
        <w:rPr>
          <w:rFonts w:hint="default" w:ascii="Arial" w:hAnsi="Arial" w:eastAsia="SimSun" w:cs="Arial"/>
          <w:i w:val="0"/>
          <w:iCs w:val="0"/>
          <w:caps w:val="0"/>
          <w:color w:val="000000"/>
          <w:spacing w:val="0"/>
          <w:sz w:val="24"/>
          <w:szCs w:val="24"/>
          <w:shd w:val="clear" w:color="auto" w:fill="auto"/>
          <w:lang w:val="en-US"/>
        </w:rPr>
        <w:t xml:space="preserve"> metric tons in 2021 and Vietnam at </w:t>
      </w:r>
      <w:r>
        <w:rPr>
          <w:rFonts w:hint="default" w:ascii="Arial" w:hAnsi="Arial" w:eastAsia="sans-serif" w:cs="Arial"/>
          <w:i w:val="0"/>
          <w:iCs w:val="0"/>
          <w:caps w:val="0"/>
          <w:color w:val="000000"/>
          <w:spacing w:val="0"/>
          <w:sz w:val="24"/>
          <w:szCs w:val="24"/>
          <w:shd w:val="clear" w:fill="FFFFFF"/>
        </w:rPr>
        <w:t>1,271,858</w:t>
      </w:r>
      <w:r>
        <w:rPr>
          <w:rFonts w:hint="default" w:ascii="Arial" w:hAnsi="Arial" w:eastAsia="sans-serif" w:cs="Arial"/>
          <w:i w:val="0"/>
          <w:iCs w:val="0"/>
          <w:caps w:val="0"/>
          <w:color w:val="000000"/>
          <w:spacing w:val="0"/>
          <w:sz w:val="24"/>
          <w:szCs w:val="24"/>
          <w:shd w:val="clear" w:fill="FFFFFF"/>
          <w:lang w:val="en-US"/>
        </w:rPr>
        <w:t xml:space="preserve"> metric tonnes and </w:t>
      </w:r>
      <w:r>
        <w:rPr>
          <w:rFonts w:hint="default" w:ascii="Arial" w:hAnsi="Arial" w:eastAsia="Arial"/>
          <w:i w:val="0"/>
          <w:iCs w:val="0"/>
          <w:caps w:val="0"/>
          <w:color w:val="333333"/>
          <w:spacing w:val="0"/>
          <w:sz w:val="24"/>
          <w:szCs w:val="24"/>
          <w:shd w:val="clear" w:fill="FFFFFF"/>
          <w:lang w:val="en-US"/>
        </w:rPr>
        <w:t xml:space="preserve">Philippines with </w:t>
      </w:r>
      <w:r>
        <w:rPr>
          <w:rFonts w:hint="default" w:ascii="Arial" w:hAnsi="Arial" w:eastAsia="sans-serif" w:cs="Arial"/>
          <w:i w:val="0"/>
          <w:iCs w:val="0"/>
          <w:caps w:val="0"/>
          <w:color w:val="000000"/>
          <w:spacing w:val="0"/>
          <w:sz w:val="24"/>
          <w:szCs w:val="24"/>
          <w:shd w:val="clear" w:color="auto" w:fill="auto"/>
        </w:rPr>
        <w:t>430,636</w:t>
      </w:r>
      <w:r>
        <w:rPr>
          <w:rFonts w:hint="default" w:ascii="Arial" w:hAnsi="Arial" w:eastAsia="sans-serif" w:cs="Arial"/>
          <w:i w:val="0"/>
          <w:iCs w:val="0"/>
          <w:caps w:val="0"/>
          <w:color w:val="000000"/>
          <w:spacing w:val="0"/>
          <w:sz w:val="24"/>
          <w:szCs w:val="24"/>
          <w:shd w:val="clear" w:color="auto" w:fill="auto"/>
          <w:lang w:val="en-US"/>
        </w:rPr>
        <w:t xml:space="preserve"> metric tonnes,</w:t>
      </w:r>
      <w:r>
        <w:rPr>
          <w:rFonts w:hint="default" w:ascii="Arial" w:hAnsi="Arial" w:eastAsia="sans-serif" w:cs="Arial"/>
          <w:i w:val="0"/>
          <w:iCs w:val="0"/>
          <w:caps w:val="0"/>
          <w:color w:val="000000"/>
          <w:spacing w:val="0"/>
          <w:sz w:val="24"/>
          <w:szCs w:val="24"/>
          <w:shd w:val="clear" w:fill="F3F4F6"/>
          <w:lang w:val="en-US"/>
        </w:rPr>
        <w:t xml:space="preserve"> </w:t>
      </w:r>
      <w:r>
        <w:rPr>
          <w:rFonts w:hint="default" w:ascii="Arial" w:hAnsi="Arial" w:eastAsia="sans-serif" w:cs="Arial"/>
          <w:i w:val="0"/>
          <w:iCs w:val="0"/>
          <w:caps w:val="0"/>
          <w:color w:val="000000"/>
          <w:spacing w:val="0"/>
          <w:sz w:val="24"/>
          <w:szCs w:val="24"/>
          <w:shd w:val="clear" w:fill="FFFFFF"/>
          <w:lang w:val="en-US"/>
        </w:rPr>
        <w:t>according to World Population Report 2024</w:t>
      </w:r>
      <w:r>
        <w:rPr>
          <w:rFonts w:hint="default" w:ascii="Arial" w:hAnsi="Arial" w:eastAsia="SimSun" w:cs="Arial"/>
          <w:i w:val="0"/>
          <w:iCs w:val="0"/>
          <w:caps w:val="0"/>
          <w:color w:val="000000"/>
          <w:spacing w:val="0"/>
          <w:sz w:val="24"/>
          <w:szCs w:val="24"/>
          <w:shd w:val="clear" w:fill="FFFFFF"/>
          <w:lang w:val="en-US"/>
        </w:rPr>
        <w:t xml:space="preserve">. Malaysia, with  </w:t>
      </w:r>
      <w:r>
        <w:rPr>
          <w:rFonts w:hint="default" w:ascii="Arial" w:hAnsi="Arial" w:eastAsia="sans-serif" w:cs="Arial"/>
          <w:i w:val="0"/>
          <w:iCs w:val="0"/>
          <w:caps w:val="0"/>
          <w:color w:val="000000"/>
          <w:spacing w:val="0"/>
          <w:sz w:val="24"/>
          <w:szCs w:val="24"/>
          <w:shd w:val="clear" w:fill="FFFFFF"/>
        </w:rPr>
        <w:t>469,669</w:t>
      </w:r>
      <w:r>
        <w:rPr>
          <w:rFonts w:hint="default" w:ascii="Arial" w:hAnsi="Arial" w:eastAsia="sans-serif" w:cs="Arial"/>
          <w:i w:val="0"/>
          <w:iCs w:val="0"/>
          <w:caps w:val="0"/>
          <w:color w:val="000000"/>
          <w:spacing w:val="0"/>
          <w:sz w:val="24"/>
          <w:szCs w:val="24"/>
          <w:shd w:val="clear" w:fill="FFFFFF"/>
          <w:lang w:val="en-US"/>
        </w:rPr>
        <w:t xml:space="preserve"> metric tonnes,</w:t>
      </w:r>
      <w:r>
        <w:rPr>
          <w:rFonts w:hint="default" w:ascii="sans-serif" w:hAnsi="sans-serif" w:eastAsia="sans-serif" w:cs="sans-serif"/>
          <w:i w:val="0"/>
          <w:iCs w:val="0"/>
          <w:caps w:val="0"/>
          <w:color w:val="000000"/>
          <w:spacing w:val="0"/>
          <w:sz w:val="24"/>
          <w:szCs w:val="24"/>
          <w:shd w:val="clear" w:fill="FFFFFF"/>
          <w:lang w:val="en-US"/>
        </w:rPr>
        <w:t xml:space="preserve"> </w:t>
      </w:r>
      <w:r>
        <w:rPr>
          <w:rFonts w:hint="default" w:ascii="Arial" w:hAnsi="Arial" w:eastAsia="SimSun" w:cs="Arial"/>
          <w:i w:val="0"/>
          <w:iCs w:val="0"/>
          <w:caps w:val="0"/>
          <w:color w:val="000000"/>
          <w:spacing w:val="0"/>
          <w:sz w:val="24"/>
          <w:szCs w:val="24"/>
          <w:shd w:val="clear" w:fill="FFFFFF"/>
          <w:lang w:val="en-US"/>
        </w:rPr>
        <w:t>was overtaken by Vietnam at the third spot due to</w:t>
      </w:r>
      <w:r>
        <w:rPr>
          <w:rFonts w:hint="default" w:ascii="Arial" w:hAnsi="Arial" w:eastAsia="Arial" w:cs="Arial"/>
          <w:i w:val="0"/>
          <w:iCs w:val="0"/>
          <w:caps w:val="0"/>
          <w:color w:val="333333"/>
          <w:spacing w:val="0"/>
          <w:sz w:val="24"/>
          <w:szCs w:val="24"/>
          <w:shd w:val="clear" w:fill="FFFFFF"/>
        </w:rPr>
        <w:t xml:space="preserve"> lack of compliance and participation in the global exports restriction policy, insufficient national price incentives, and the absence of national import regulations</w:t>
      </w:r>
      <w:r>
        <w:rPr>
          <w:rStyle w:val="5"/>
          <w:rFonts w:hint="default" w:ascii="Arial" w:hAnsi="Arial" w:eastAsia="Arial" w:cs="Arial"/>
          <w:i w:val="0"/>
          <w:iCs w:val="0"/>
          <w:caps w:val="0"/>
          <w:color w:val="333333"/>
          <w:spacing w:val="0"/>
          <w:sz w:val="24"/>
          <w:szCs w:val="24"/>
          <w:shd w:val="clear" w:fill="FFFFFF"/>
        </w:rPr>
        <w:footnoteReference w:id="2"/>
      </w:r>
      <w:r>
        <w:rPr>
          <w:rFonts w:hint="default" w:ascii="Arial" w:hAnsi="Arial" w:eastAsia="Arial" w:cs="Arial"/>
          <w:i w:val="0"/>
          <w:iCs w:val="0"/>
          <w:caps w:val="0"/>
          <w:color w:val="333333"/>
          <w:spacing w:val="0"/>
          <w:sz w:val="24"/>
          <w:szCs w:val="24"/>
          <w:shd w:val="clear" w:fill="FFFFFF"/>
          <w:lang w:val="en-US"/>
        </w:rPr>
        <w:t xml:space="preserve"> </w:t>
      </w:r>
      <w:r>
        <w:rPr>
          <w:rFonts w:hint="default" w:ascii="Arial" w:hAnsi="Arial" w:eastAsia="Arial" w:cs="Arial"/>
          <w:i/>
          <w:iCs/>
          <w:caps w:val="0"/>
          <w:color w:val="333333"/>
          <w:spacing w:val="0"/>
          <w:sz w:val="24"/>
          <w:szCs w:val="24"/>
          <w:shd w:val="clear" w:fill="FFFFFF"/>
          <w:lang w:val="en-US"/>
        </w:rPr>
        <w:t>(</w:t>
      </w:r>
      <w:r>
        <w:rPr>
          <w:rFonts w:hint="default" w:ascii="Arial" w:hAnsi="Arial" w:eastAsia="Arial"/>
          <w:i/>
          <w:iCs/>
          <w:caps w:val="0"/>
          <w:color w:val="333333"/>
          <w:spacing w:val="0"/>
          <w:sz w:val="24"/>
          <w:szCs w:val="24"/>
          <w:shd w:val="clear" w:fill="FFFFFF"/>
          <w:lang w:val="en-US"/>
        </w:rPr>
        <w:t xml:space="preserve">Ali, Muhammad Fadzli &amp; Akber, Md &amp; Smith, Carl &amp; Aziz, Ammar, 2021). </w:t>
      </w:r>
      <w:r>
        <w:rPr>
          <w:rFonts w:hint="default" w:ascii="Arial" w:hAnsi="Arial" w:eastAsia="sans-serif" w:cs="Arial"/>
          <w:i w:val="0"/>
          <w:iCs w:val="0"/>
          <w:caps w:val="0"/>
          <w:color w:val="000000"/>
          <w:spacing w:val="0"/>
          <w:sz w:val="24"/>
          <w:szCs w:val="24"/>
          <w:shd w:val="clear" w:fill="F3F4F6"/>
          <w:lang w:val="en-US"/>
        </w:rPr>
        <w:t>.</w:t>
      </w:r>
      <w:r>
        <w:rPr>
          <w:rFonts w:hint="default" w:ascii="Arial" w:hAnsi="Arial" w:eastAsia="Arial" w:cs="Arial"/>
          <w:i/>
          <w:iCs/>
          <w:caps w:val="0"/>
          <w:color w:val="333333"/>
          <w:spacing w:val="0"/>
          <w:sz w:val="24"/>
          <w:szCs w:val="24"/>
          <w:shd w:val="clear" w:fill="FFFFFF"/>
          <w:lang w:val="en-US"/>
        </w:rPr>
        <w:t xml:space="preserve"> </w:t>
      </w:r>
      <w:r>
        <w:rPr>
          <w:rFonts w:hint="default" w:ascii="Arial" w:hAnsi="Arial" w:eastAsia="Arial"/>
          <w:i w:val="0"/>
          <w:iCs w:val="0"/>
          <w:caps w:val="0"/>
          <w:color w:val="333333"/>
          <w:spacing w:val="0"/>
          <w:sz w:val="24"/>
          <w:szCs w:val="24"/>
          <w:shd w:val="clear" w:fill="FFFFFF"/>
          <w:lang w:val="en-US"/>
        </w:rPr>
        <w:t>They argued that t</w:t>
      </w:r>
      <w:r>
        <w:rPr>
          <w:rFonts w:hint="default" w:ascii="Arial" w:hAnsi="Arial" w:eastAsia="Arial" w:cs="Arial"/>
          <w:i w:val="0"/>
          <w:iCs w:val="0"/>
          <w:caps w:val="0"/>
          <w:color w:val="333333"/>
          <w:spacing w:val="0"/>
          <w:sz w:val="24"/>
          <w:szCs w:val="24"/>
          <w:shd w:val="clear" w:fill="FFFFFF"/>
          <w:lang w:val="en-US"/>
        </w:rPr>
        <w:t xml:space="preserve">hese factors </w:t>
      </w:r>
      <w:r>
        <w:rPr>
          <w:rFonts w:hint="default" w:ascii="Arial" w:hAnsi="Arial" w:eastAsia="Arial" w:cs="Arial"/>
          <w:i w:val="0"/>
          <w:iCs w:val="0"/>
          <w:caps w:val="0"/>
          <w:color w:val="333333"/>
          <w:spacing w:val="0"/>
          <w:sz w:val="24"/>
          <w:szCs w:val="24"/>
          <w:shd w:val="clear" w:fill="FFFFFF"/>
        </w:rPr>
        <w:t xml:space="preserve">have kept rubber prices low, leading to low profitability for smallholder farmers. </w:t>
      </w:r>
      <w:r>
        <w:rPr>
          <w:rFonts w:hint="default" w:ascii="Arial" w:hAnsi="Arial" w:eastAsia="Arial" w:cs="Arial"/>
          <w:i w:val="0"/>
          <w:iCs w:val="0"/>
          <w:caps w:val="0"/>
          <w:color w:val="333333"/>
          <w:spacing w:val="0"/>
          <w:sz w:val="24"/>
          <w:szCs w:val="24"/>
          <w:shd w:val="clear" w:fill="FFFFFF"/>
          <w:lang w:val="en-US"/>
        </w:rPr>
        <w:t xml:space="preserve">Consequently, </w:t>
      </w:r>
      <w:r>
        <w:rPr>
          <w:rFonts w:hint="default" w:ascii="Arial" w:hAnsi="Arial" w:eastAsia="Arial" w:cs="Arial"/>
          <w:i w:val="0"/>
          <w:iCs w:val="0"/>
          <w:caps w:val="0"/>
          <w:color w:val="333333"/>
          <w:spacing w:val="0"/>
          <w:sz w:val="24"/>
          <w:szCs w:val="24"/>
          <w:shd w:val="clear" w:fill="FFFFFF"/>
        </w:rPr>
        <w:t xml:space="preserve">smallholder farmers </w:t>
      </w:r>
      <w:r>
        <w:rPr>
          <w:rFonts w:hint="default" w:ascii="Arial" w:hAnsi="Arial" w:eastAsia="Arial" w:cs="Arial"/>
          <w:i w:val="0"/>
          <w:iCs w:val="0"/>
          <w:caps w:val="0"/>
          <w:color w:val="333333"/>
          <w:spacing w:val="0"/>
          <w:sz w:val="24"/>
          <w:szCs w:val="24"/>
          <w:shd w:val="clear" w:fill="FFFFFF"/>
          <w:lang w:val="en-US"/>
        </w:rPr>
        <w:t>r</w:t>
      </w:r>
      <w:r>
        <w:rPr>
          <w:rFonts w:hint="default" w:ascii="Arial" w:hAnsi="Arial" w:eastAsia="Arial" w:cs="Arial"/>
          <w:i w:val="0"/>
          <w:iCs w:val="0"/>
          <w:caps w:val="0"/>
          <w:color w:val="333333"/>
          <w:spacing w:val="0"/>
          <w:sz w:val="24"/>
          <w:szCs w:val="24"/>
          <w:shd w:val="clear" w:fill="FFFFFF"/>
        </w:rPr>
        <w:t>educe</w:t>
      </w:r>
      <w:r>
        <w:rPr>
          <w:rFonts w:hint="default" w:ascii="Arial" w:hAnsi="Arial" w:eastAsia="Arial" w:cs="Arial"/>
          <w:i w:val="0"/>
          <w:iCs w:val="0"/>
          <w:caps w:val="0"/>
          <w:color w:val="333333"/>
          <w:spacing w:val="0"/>
          <w:sz w:val="24"/>
          <w:szCs w:val="24"/>
          <w:shd w:val="clear" w:fill="FFFFFF"/>
          <w:lang w:val="en-US"/>
        </w:rPr>
        <w:t>d</w:t>
      </w:r>
      <w:r>
        <w:rPr>
          <w:rFonts w:hint="default" w:ascii="Arial" w:hAnsi="Arial" w:eastAsia="Arial" w:cs="Arial"/>
          <w:i w:val="0"/>
          <w:iCs w:val="0"/>
          <w:caps w:val="0"/>
          <w:color w:val="333333"/>
          <w:spacing w:val="0"/>
          <w:sz w:val="24"/>
          <w:szCs w:val="24"/>
          <w:shd w:val="clear" w:fill="FFFFFF"/>
        </w:rPr>
        <w:t xml:space="preserve"> tapping activities and farm maintenance. Some have left rubber farming altogether</w:t>
      </w:r>
      <w:r>
        <w:rPr>
          <w:rFonts w:hint="default" w:ascii="Arial" w:hAnsi="Arial" w:eastAsia="Arial" w:cs="Arial"/>
          <w:i w:val="0"/>
          <w:iCs w:val="0"/>
          <w:caps w:val="0"/>
          <w:color w:val="333333"/>
          <w:spacing w:val="0"/>
          <w:sz w:val="24"/>
          <w:szCs w:val="24"/>
          <w:shd w:val="clear" w:fill="FFFFFF"/>
          <w:lang w:val="en-US"/>
        </w:rPr>
        <w:t xml:space="preserve"> in search for better income</w:t>
      </w:r>
      <w:r>
        <w:rPr>
          <w:rFonts w:hint="default" w:ascii="Arial" w:hAnsi="Arial" w:eastAsia="Arial" w:cs="Arial"/>
          <w:i w:val="0"/>
          <w:iCs w:val="0"/>
          <w:caps w:val="0"/>
          <w:color w:val="333333"/>
          <w:spacing w:val="0"/>
          <w:sz w:val="24"/>
          <w:szCs w:val="24"/>
          <w:shd w:val="clear" w:fill="FFFFFF"/>
        </w:rPr>
        <w:t>. This has reduced rubber plantation area and rubber productio</w:t>
      </w:r>
      <w:r>
        <w:rPr>
          <w:rFonts w:hint="default" w:ascii="Arial" w:hAnsi="Arial" w:eastAsia="Arial" w:cs="Arial"/>
          <w:i w:val="0"/>
          <w:iCs w:val="0"/>
          <w:caps w:val="0"/>
          <w:color w:val="333333"/>
          <w:spacing w:val="0"/>
          <w:sz w:val="24"/>
          <w:szCs w:val="24"/>
          <w:shd w:val="clear" w:fill="FFFFFF"/>
          <w:lang w:val="en-US"/>
        </w:rPr>
        <w:t xml:space="preserve">n. </w:t>
      </w:r>
    </w:p>
    <w:p w14:paraId="398CD0D8">
      <w:pPr>
        <w:jc w:val="both"/>
        <w:rPr>
          <w:rFonts w:ascii="Verdana" w:hAnsi="Verdana" w:eastAsia="SimSun" w:cs="Verdana"/>
          <w:i w:val="0"/>
          <w:iCs w:val="0"/>
          <w:caps w:val="0"/>
          <w:color w:val="000000"/>
          <w:spacing w:val="0"/>
          <w:sz w:val="18"/>
          <w:szCs w:val="18"/>
          <w:shd w:val="clear" w:fill="FFFFFF"/>
        </w:rPr>
      </w:pPr>
    </w:p>
    <w:p w14:paraId="41F5AB53">
      <w:pPr>
        <w:jc w:val="both"/>
        <w:rPr>
          <w:rFonts w:ascii="Arial" w:hAnsi="Arial" w:eastAsia="SourceSansPro-Regular" w:cs="Arial"/>
          <w:sz w:val="24"/>
          <w:szCs w:val="24"/>
          <w:lang w:bidi="ar"/>
        </w:rPr>
      </w:pPr>
      <w:r>
        <w:rPr>
          <w:rFonts w:ascii="Arial" w:hAnsi="Arial" w:eastAsia="SourceSansPro-Regular" w:cs="Arial"/>
          <w:sz w:val="24"/>
          <w:szCs w:val="24"/>
          <w:lang w:bidi="ar"/>
        </w:rPr>
        <w:t>The Philippines export profile</w:t>
      </w:r>
      <w:r>
        <w:rPr>
          <w:rFonts w:hint="default" w:ascii="Arial" w:hAnsi="Arial" w:eastAsia="SourceSansPro-Regular" w:cs="Arial"/>
          <w:sz w:val="24"/>
          <w:szCs w:val="24"/>
          <w:lang w:val="en-US" w:bidi="ar"/>
        </w:rPr>
        <w:t>,</w:t>
      </w:r>
      <w:r>
        <w:rPr>
          <w:rFonts w:ascii="Arial" w:hAnsi="Arial" w:eastAsia="SourceSansPro-Regular" w:cs="Arial"/>
          <w:sz w:val="24"/>
          <w:szCs w:val="24"/>
          <w:lang w:bidi="ar"/>
        </w:rPr>
        <w:t xml:space="preserve"> according to </w:t>
      </w:r>
      <w:r>
        <w:rPr>
          <w:rFonts w:hint="default" w:ascii="Arial" w:hAnsi="Arial" w:eastAsia="SourceSansPro-Regular" w:cs="Arial"/>
          <w:sz w:val="24"/>
          <w:szCs w:val="24"/>
          <w:lang w:val="en-US" w:bidi="ar"/>
        </w:rPr>
        <w:t>(</w:t>
      </w:r>
      <w:r>
        <w:rPr>
          <w:rFonts w:ascii="Arial Narrow" w:hAnsi="Arial Narrow" w:eastAsia="SourceSansPro-Regular" w:cs="Arial"/>
          <w:i/>
          <w:iCs/>
          <w:sz w:val="24"/>
          <w:szCs w:val="24"/>
          <w:lang w:bidi="ar"/>
        </w:rPr>
        <w:t>Daly and Gereffi, 201</w:t>
      </w:r>
      <w:r>
        <w:rPr>
          <w:rFonts w:hint="default" w:ascii="Arial Narrow" w:hAnsi="Arial Narrow" w:eastAsia="SourceSansPro-Regular" w:cs="Arial"/>
          <w:i/>
          <w:iCs/>
          <w:sz w:val="24"/>
          <w:szCs w:val="24"/>
          <w:lang w:val="en-US" w:bidi="ar"/>
        </w:rPr>
        <w:t xml:space="preserve">7) </w:t>
      </w:r>
      <w:r>
        <w:rPr>
          <w:rFonts w:hint="default" w:ascii="Arial" w:hAnsi="Arial" w:eastAsia="SourceSansPro-Regular" w:cs="Arial"/>
          <w:i/>
          <w:iCs/>
          <w:sz w:val="24"/>
          <w:szCs w:val="24"/>
          <w:lang w:val="en-US" w:bidi="ar"/>
        </w:rPr>
        <w:t>as corroborated by</w:t>
      </w:r>
      <w:r>
        <w:rPr>
          <w:rFonts w:hint="default" w:ascii="Arial Narrow" w:hAnsi="Arial Narrow" w:eastAsia="SourceSansPro-Regular" w:cs="Arial"/>
          <w:i/>
          <w:iCs/>
          <w:sz w:val="24"/>
          <w:szCs w:val="24"/>
          <w:lang w:val="en-US" w:bidi="ar"/>
        </w:rPr>
        <w:t xml:space="preserve"> (</w:t>
      </w:r>
      <w:r>
        <w:rPr>
          <w:rFonts w:hint="default" w:ascii="Arial" w:hAnsi="Arial" w:eastAsia="SourceSansPro-Regular" w:cs="Arial"/>
          <w:sz w:val="24"/>
          <w:szCs w:val="24"/>
          <w:lang w:val="en-US" w:bidi="ar"/>
        </w:rPr>
        <w:t>Ali, Smith, et al, 2021) in their recent report,</w:t>
      </w:r>
      <w:r>
        <w:rPr>
          <w:rFonts w:ascii="Arial" w:hAnsi="Arial" w:eastAsia="SourceSansPro-Regular" w:cs="Arial"/>
          <w:sz w:val="24"/>
          <w:szCs w:val="24"/>
          <w:lang w:bidi="ar"/>
        </w:rPr>
        <w:t xml:space="preserve"> has evolved in recent years with the country downgrading its position within the value chain. This is characterized by changing its value proposition as being one of the exporters of semi-finished and final rubber products in the past to become a net exporter of raw rubber in the form of cup lumps. Numerous factors have been cited for this shift. Two (2) of these main reasons include (1) rising energy costs that give rise to high logistical costs; and (2) producers earn more income from exporting cup lumps than in processed rubber in the Philippines due to quality issues. Consequently, 77.5%-78% of the country’s exports from 2014-2015 were cup lumps </w:t>
      </w:r>
      <w:r>
        <w:rPr>
          <w:rFonts w:ascii="Arial Narrow" w:hAnsi="Arial Narrow" w:eastAsia="SourceSansPro-Regular" w:cs="Arial"/>
          <w:i/>
          <w:iCs/>
          <w:sz w:val="24"/>
          <w:szCs w:val="24"/>
          <w:lang w:bidi="ar"/>
        </w:rPr>
        <w:t>(Daly and Gereffi, 2017).</w:t>
      </w:r>
      <w:r>
        <w:rPr>
          <w:rFonts w:hint="default" w:ascii="Arial Narrow" w:hAnsi="Arial Narrow" w:eastAsia="SourceSansPro-Regular" w:cs="Arial"/>
          <w:i/>
          <w:iCs/>
          <w:sz w:val="24"/>
          <w:szCs w:val="24"/>
          <w:lang w:val="en-US" w:bidi="ar"/>
        </w:rPr>
        <w:t xml:space="preserve"> </w:t>
      </w:r>
      <w:r>
        <w:rPr>
          <w:rFonts w:hint="default" w:ascii="Arial" w:hAnsi="Arial" w:eastAsia="SourceSansPro-Regular" w:cs="Arial"/>
          <w:i w:val="0"/>
          <w:iCs w:val="0"/>
          <w:sz w:val="24"/>
          <w:szCs w:val="24"/>
          <w:lang w:val="en-US" w:bidi="ar"/>
        </w:rPr>
        <w:t>Philippine Statistics Authority (PSA) also reported 112.59 metric tons</w:t>
      </w:r>
      <w:r>
        <w:rPr>
          <w:rStyle w:val="5"/>
          <w:rFonts w:hint="default" w:ascii="Arial" w:hAnsi="Arial" w:eastAsia="SourceSansPro-Regular" w:cs="Arial"/>
          <w:i w:val="0"/>
          <w:iCs w:val="0"/>
          <w:sz w:val="24"/>
          <w:szCs w:val="24"/>
          <w:lang w:val="en-US" w:bidi="ar"/>
        </w:rPr>
        <w:footnoteReference w:id="3"/>
      </w:r>
      <w:r>
        <w:rPr>
          <w:rFonts w:hint="default" w:ascii="Arial" w:hAnsi="Arial" w:eastAsia="SourceSansPro-Regular" w:cs="Arial"/>
          <w:i w:val="0"/>
          <w:iCs w:val="0"/>
          <w:sz w:val="24"/>
          <w:szCs w:val="24"/>
          <w:lang w:val="en-US" w:bidi="ar"/>
        </w:rPr>
        <w:t xml:space="preserve"> of cup lump in second quarter of 2023 confirming the existence and continuation of this shift in trading practices</w:t>
      </w:r>
      <w:r>
        <w:rPr>
          <w:rFonts w:hint="default" w:ascii="Arial Narrow" w:hAnsi="Arial Narrow" w:eastAsia="SourceSansPro-Regular" w:cs="Arial"/>
          <w:i w:val="0"/>
          <w:iCs w:val="0"/>
          <w:sz w:val="24"/>
          <w:szCs w:val="24"/>
          <w:lang w:val="en-US" w:bidi="ar"/>
        </w:rPr>
        <w:t>.</w:t>
      </w:r>
      <w:r>
        <w:rPr>
          <w:rFonts w:ascii="Arial" w:hAnsi="Arial" w:eastAsia="SourceSansPro-Regular" w:cs="Arial"/>
          <w:i w:val="0"/>
          <w:iCs w:val="0"/>
          <w:sz w:val="24"/>
          <w:szCs w:val="24"/>
          <w:lang w:bidi="ar"/>
        </w:rPr>
        <w:t xml:space="preserve"> </w:t>
      </w:r>
    </w:p>
    <w:p w14:paraId="124935C7">
      <w:pPr>
        <w:rPr>
          <w:rFonts w:ascii="Arial" w:hAnsi="Arial" w:cs="Arial"/>
          <w:sz w:val="24"/>
          <w:szCs w:val="24"/>
        </w:rPr>
      </w:pPr>
      <w:r>
        <w:rPr>
          <w:rFonts w:ascii="Arial" w:hAnsi="Arial" w:eastAsia="SourceSansPro-Regular" w:cs="Arial"/>
          <w:sz w:val="24"/>
          <w:szCs w:val="24"/>
          <w:lang w:bidi="ar"/>
        </w:rPr>
        <w:t xml:space="preserve"> </w:t>
      </w:r>
    </w:p>
    <w:p w14:paraId="4417D7CB">
      <w:pPr>
        <w:jc w:val="both"/>
        <w:rPr>
          <w:rFonts w:ascii="Arial" w:hAnsi="Arial" w:cs="Arial"/>
          <w:sz w:val="24"/>
          <w:szCs w:val="24"/>
        </w:rPr>
      </w:pPr>
      <w:r>
        <w:rPr>
          <w:rFonts w:ascii="Arial" w:hAnsi="Arial" w:cs="Arial"/>
          <w:sz w:val="24"/>
          <w:szCs w:val="24"/>
        </w:rPr>
        <w:t xml:space="preserve">Palawan rubber industry has witnessed the gradual meltdown of rubber prices since it peaked at the short-lived P200 price level in the late 1990s sinking ultimately to P16-P20 per kilo price levels during the 2022-2023 period. As a result, only a handful of farmers proceeded with the opening of their rubber trees for tapping. Some have gone farther by cutting their rubber trees. Some of them opted to wait for better farm gate prices to escalate. However, as of this date, no price improvement is seen to be in the immediate time horizon. It is a challenge and should be treated that way because no modern states in the world has become highly industrialized without the development of their agriculture </w:t>
      </w:r>
      <w:r>
        <w:rPr>
          <w:rFonts w:ascii="Arial Narrow" w:hAnsi="Arial Narrow" w:cs="Arial"/>
          <w:i/>
          <w:iCs/>
          <w:sz w:val="24"/>
          <w:szCs w:val="24"/>
        </w:rPr>
        <w:t>(Venita, A.S and Dr. Ramalingam, L.P, 2017).</w:t>
      </w:r>
      <w:r>
        <w:rPr>
          <w:rFonts w:ascii="Arial" w:hAnsi="Arial" w:cs="Arial"/>
          <w:i/>
          <w:iCs/>
          <w:sz w:val="24"/>
          <w:szCs w:val="24"/>
        </w:rPr>
        <w:t xml:space="preserve"> </w:t>
      </w:r>
      <w:r>
        <w:rPr>
          <w:rFonts w:ascii="Arial" w:hAnsi="Arial" w:cs="Arial"/>
          <w:sz w:val="24"/>
          <w:szCs w:val="24"/>
        </w:rPr>
        <w:t xml:space="preserve">Rubber will not be running out of its uses since it is one of the most important raw material for many industries in the world </w:t>
      </w:r>
      <w:r>
        <w:rPr>
          <w:rFonts w:ascii="Arial Narrow" w:hAnsi="Arial Narrow" w:cs="Arial"/>
          <w:i/>
          <w:iCs/>
          <w:sz w:val="24"/>
          <w:szCs w:val="24"/>
        </w:rPr>
        <w:t>(</w:t>
      </w:r>
      <w:r>
        <w:rPr>
          <w:rFonts w:ascii="Arial Narrow" w:hAnsi="Arial Narrow" w:eastAsia="SimSun" w:cs="Arial"/>
          <w:i/>
          <w:iCs/>
          <w:color w:val="000000"/>
          <w:sz w:val="24"/>
          <w:szCs w:val="24"/>
          <w:lang w:bidi="ar"/>
        </w:rPr>
        <w:t>Imade Yoga Prasada and Aura Dhamira, 2021).</w:t>
      </w:r>
      <w:r>
        <w:rPr>
          <w:rFonts w:ascii="Arial" w:hAnsi="Arial" w:eastAsia="SimSun" w:cs="Arial"/>
          <w:i/>
          <w:iCs/>
          <w:color w:val="000000"/>
          <w:sz w:val="24"/>
          <w:szCs w:val="24"/>
          <w:lang w:bidi="ar"/>
        </w:rPr>
        <w:t xml:space="preserve"> </w:t>
      </w:r>
      <w:r>
        <w:rPr>
          <w:rFonts w:ascii="Arial" w:hAnsi="Arial" w:eastAsia="SimSun" w:cs="Arial"/>
          <w:color w:val="000000"/>
          <w:sz w:val="24"/>
          <w:szCs w:val="24"/>
          <w:lang w:bidi="ar"/>
        </w:rPr>
        <w:t>With adequate and timely credit support, rubber provides livelihood to smallholder farmers. It can be an excellent alternative plantation crops to inspire the marginalized farming sector</w:t>
      </w:r>
      <w:r>
        <w:rPr>
          <w:rFonts w:ascii="Arial" w:hAnsi="Arial" w:eastAsia="SimSun" w:cs="Arial"/>
          <w:i/>
          <w:iCs/>
          <w:color w:val="000000"/>
          <w:sz w:val="24"/>
          <w:szCs w:val="24"/>
          <w:lang w:bidi="ar"/>
        </w:rPr>
        <w:t xml:space="preserve"> </w:t>
      </w:r>
      <w:r>
        <w:rPr>
          <w:rFonts w:ascii="Arial Narrow" w:hAnsi="Arial Narrow" w:eastAsia="SimSun" w:cs="Arial"/>
          <w:i/>
          <w:iCs/>
          <w:color w:val="000000"/>
          <w:sz w:val="22"/>
          <w:szCs w:val="22"/>
          <w:lang w:bidi="ar"/>
        </w:rPr>
        <w:t xml:space="preserve">(Haripada Datta, Dr. Haradhan Debnath and </w:t>
      </w:r>
      <w:r>
        <w:rPr>
          <w:rFonts w:ascii="Arial Narrow" w:hAnsi="Arial Narrow" w:eastAsia="SimSun" w:cs="Arial Narrow"/>
          <w:i/>
          <w:iCs/>
          <w:color w:val="000000"/>
          <w:sz w:val="22"/>
          <w:szCs w:val="22"/>
          <w:lang w:bidi="ar"/>
        </w:rPr>
        <w:t>Dr. Parag Shil, 2019).</w:t>
      </w:r>
      <w:r>
        <w:rPr>
          <w:rFonts w:ascii="Arial" w:hAnsi="Arial" w:eastAsia="SimSun" w:cs="Arial"/>
          <w:color w:val="000000"/>
          <w:sz w:val="24"/>
          <w:szCs w:val="24"/>
          <w:lang w:bidi="ar"/>
        </w:rPr>
        <w:t xml:space="preserve"> In view of the effects of dwindling and unstable rubber prices, income of smallholder farmers can still improve by increasing crop and land productivity.</w:t>
      </w:r>
    </w:p>
    <w:p w14:paraId="54546272">
      <w:pPr>
        <w:jc w:val="both"/>
        <w:rPr>
          <w:rFonts w:ascii="Arial" w:hAnsi="Arial" w:cs="Arial"/>
          <w:i/>
          <w:iCs/>
          <w:sz w:val="24"/>
          <w:szCs w:val="24"/>
        </w:rPr>
      </w:pPr>
    </w:p>
    <w:p w14:paraId="3106B183">
      <w:pPr>
        <w:jc w:val="both"/>
        <w:rPr>
          <w:rFonts w:ascii="Arial" w:hAnsi="Arial" w:cs="Arial"/>
          <w:sz w:val="24"/>
          <w:szCs w:val="24"/>
        </w:rPr>
      </w:pPr>
      <w:r>
        <w:rPr>
          <w:rFonts w:ascii="Arial" w:hAnsi="Arial" w:cs="Arial"/>
          <w:sz w:val="24"/>
          <w:szCs w:val="24"/>
        </w:rPr>
        <w:t xml:space="preserve">This research paper aims to create knowledge, awareness and understanding of the the rubber as an industry in Palawan with the hopes of bringing the situation into light for further study in the academic, research and business community. Primarily, it looks into economic potentials of the industry for investments in different segments along the value chain. It seeks to inform local investors of the economic value attached in value-creation or value-adding activities in rubber. Secondarily, the paper seeks to unravel the web of issues and problems that brought the entire local industry into a deep lull for nearly two (2) decades which spontaneously creates skepticism among the affected farming sector.    </w:t>
      </w:r>
    </w:p>
    <w:p w14:paraId="7C29EBDF">
      <w:pPr>
        <w:jc w:val="both"/>
        <w:rPr>
          <w:rFonts w:ascii="Arial" w:hAnsi="Arial" w:cs="Arial"/>
          <w:sz w:val="24"/>
          <w:szCs w:val="24"/>
        </w:rPr>
      </w:pPr>
    </w:p>
    <w:p w14:paraId="131C0573">
      <w:pPr>
        <w:jc w:val="both"/>
        <w:rPr>
          <w:rFonts w:ascii="Arial" w:hAnsi="Arial" w:cs="Arial"/>
          <w:sz w:val="24"/>
          <w:szCs w:val="24"/>
        </w:rPr>
      </w:pPr>
      <w:r>
        <w:rPr>
          <w:rFonts w:ascii="Arial" w:hAnsi="Arial" w:cs="Arial"/>
          <w:sz w:val="24"/>
          <w:szCs w:val="24"/>
        </w:rPr>
        <w:t xml:space="preserve">The output of this initiative will become an input to the locally borne small and medium enterprises that foresee an investment in processing and manufacturing rubber in semi-finished and final products sector. This is, by far, the strategy that the local rubber farmers consider to be the alternative way to counter the persistent low farm gate prices that dominates and further slows down the recovery of the industry.      </w:t>
      </w:r>
    </w:p>
    <w:p w14:paraId="5F3CEAD8">
      <w:pPr>
        <w:jc w:val="both"/>
        <w:rPr>
          <w:rFonts w:ascii="Arial" w:hAnsi="Arial" w:cs="Arial"/>
          <w:sz w:val="24"/>
          <w:szCs w:val="24"/>
        </w:rPr>
      </w:pPr>
    </w:p>
    <w:p w14:paraId="0ACC556A">
      <w:pPr>
        <w:rPr>
          <w:rFonts w:ascii="Arial" w:hAnsi="Arial" w:cs="Arial"/>
          <w:b/>
          <w:bCs/>
          <w:sz w:val="24"/>
          <w:szCs w:val="24"/>
        </w:rPr>
      </w:pPr>
      <w:r>
        <w:rPr>
          <w:rFonts w:ascii="Arial" w:hAnsi="Arial" w:cs="Arial"/>
          <w:b/>
          <w:bCs/>
          <w:sz w:val="24"/>
          <w:szCs w:val="24"/>
        </w:rPr>
        <w:t>METHODOLOGY</w:t>
      </w:r>
    </w:p>
    <w:p w14:paraId="213EE0DC">
      <w:pPr>
        <w:rPr>
          <w:rFonts w:ascii="Arial" w:hAnsi="Arial" w:cs="Arial"/>
          <w:b/>
          <w:bCs/>
          <w:sz w:val="24"/>
          <w:szCs w:val="24"/>
        </w:rPr>
      </w:pPr>
    </w:p>
    <w:p w14:paraId="3601D323">
      <w:pPr>
        <w:numPr>
          <w:ilvl w:val="0"/>
          <w:numId w:val="1"/>
        </w:numPr>
        <w:rPr>
          <w:rFonts w:ascii="Arial" w:hAnsi="Arial" w:cs="Arial"/>
          <w:b/>
          <w:bCs/>
          <w:sz w:val="24"/>
          <w:szCs w:val="24"/>
        </w:rPr>
      </w:pPr>
      <w:r>
        <w:rPr>
          <w:rFonts w:ascii="Arial" w:hAnsi="Arial" w:cs="Arial"/>
          <w:b/>
          <w:bCs/>
          <w:sz w:val="24"/>
          <w:szCs w:val="24"/>
        </w:rPr>
        <w:t>Study Area</w:t>
      </w:r>
    </w:p>
    <w:p w14:paraId="2B191C7C">
      <w:pPr>
        <w:jc w:val="both"/>
        <w:rPr>
          <w:rFonts w:ascii="Arial" w:hAnsi="Arial" w:cs="Arial"/>
          <w:sz w:val="24"/>
          <w:szCs w:val="24"/>
        </w:rPr>
      </w:pPr>
      <w:r>
        <w:rPr>
          <w:rFonts w:ascii="Arial" w:hAnsi="Arial" w:cs="Arial"/>
          <w:sz w:val="24"/>
          <w:szCs w:val="24"/>
        </w:rPr>
        <w:t>The first phase of this research project is conducted in Quezon and Rizal municipalities. These are the two (2) adjoining municipalities in the southwestern section of the province of Palawan that have the largest areas planted with rubber. The municipality of Quezon, with a land area of 943.19 km2 and located</w:t>
      </w:r>
      <w:r>
        <w:t xml:space="preserve"> </w:t>
      </w:r>
      <w:r>
        <w:rPr>
          <w:rFonts w:ascii="Arial" w:hAnsi="Arial" w:cs="Arial"/>
          <w:sz w:val="24"/>
          <w:szCs w:val="24"/>
        </w:rPr>
        <w:t xml:space="preserve">9° 14' North, 117° 59' East, is the pioneering town to embrace and engage in rubber farming in mid-1980s. Rizal town, on the other hand, with a larger land area standing at 1,256.47 km² and located 9° 2' North, 117° 38' East, follows relatively late starting around mid-1990s under the program of Palawan Tropical Forestry Protection Program (PTFPP) of the provincial government of Palawan. </w:t>
      </w:r>
    </w:p>
    <w:p w14:paraId="62F987E9">
      <w:pPr>
        <w:rPr>
          <w:rFonts w:ascii="Arial" w:hAnsi="Arial" w:cs="Arial"/>
          <w:sz w:val="24"/>
          <w:szCs w:val="24"/>
        </w:rPr>
      </w:pPr>
    </w:p>
    <w:p w14:paraId="42AFA0D7">
      <w:pPr>
        <w:numPr>
          <w:ilvl w:val="0"/>
          <w:numId w:val="1"/>
        </w:numPr>
        <w:rPr>
          <w:rFonts w:ascii="Arial" w:hAnsi="Arial" w:cs="Arial"/>
          <w:b/>
          <w:bCs/>
          <w:sz w:val="24"/>
          <w:szCs w:val="24"/>
        </w:rPr>
      </w:pPr>
      <w:r>
        <w:rPr>
          <w:rFonts w:ascii="Arial" w:hAnsi="Arial" w:cs="Arial"/>
          <w:b/>
          <w:bCs/>
          <w:sz w:val="24"/>
          <w:szCs w:val="24"/>
        </w:rPr>
        <w:t>Data Collection</w:t>
      </w:r>
    </w:p>
    <w:p w14:paraId="38A923E4">
      <w:pPr>
        <w:jc w:val="both"/>
        <w:rPr>
          <w:rFonts w:ascii="Arial" w:hAnsi="Arial" w:cs="Arial"/>
          <w:sz w:val="24"/>
          <w:szCs w:val="24"/>
        </w:rPr>
      </w:pPr>
      <w:r>
        <w:rPr>
          <w:rFonts w:ascii="Arial" w:hAnsi="Arial" w:cs="Arial"/>
          <w:sz w:val="24"/>
          <w:szCs w:val="24"/>
        </w:rPr>
        <w:t xml:space="preserve">Data for this study come from both primary and secondary sources. Questionnaires are distributed to get data from the sample of participants relative to their demographic profile, plantation profile, production practices and the prevailing issues and problems that affect their rubber farming. Other interesting components of the industry are also considered in this study. This includes the profile of workers, the support environment and the network of traders, logistics, processors and manufacturers are also taken into account in this study. Support environment is defined in this study as the government agencies that provide assistance, in whatever manner including those government financing institutions, to the rubber farming sector. They have been included due to the fact that rubber farming was made a flagship of past government administrations. GFIs, on other hand, should have played or should been playing a vital role during this period of rapid rubber plantation development in bringing the purposes of the program into fruition. </w:t>
      </w:r>
    </w:p>
    <w:p w14:paraId="48738B8E">
      <w:pPr>
        <w:rPr>
          <w:rFonts w:ascii="Arial" w:hAnsi="Arial" w:cs="Arial"/>
          <w:sz w:val="24"/>
          <w:szCs w:val="24"/>
        </w:rPr>
      </w:pPr>
    </w:p>
    <w:p w14:paraId="002FC603">
      <w:pPr>
        <w:numPr>
          <w:ilvl w:val="0"/>
          <w:numId w:val="1"/>
        </w:numPr>
        <w:rPr>
          <w:rFonts w:ascii="Arial" w:hAnsi="Arial" w:cs="Arial"/>
          <w:b/>
          <w:bCs/>
          <w:sz w:val="24"/>
          <w:szCs w:val="24"/>
        </w:rPr>
      </w:pPr>
      <w:r>
        <w:rPr>
          <w:rFonts w:ascii="Arial" w:hAnsi="Arial" w:cs="Arial"/>
          <w:b/>
          <w:bCs/>
          <w:sz w:val="24"/>
          <w:szCs w:val="24"/>
        </w:rPr>
        <w:t>Sampling Procedure</w:t>
      </w:r>
    </w:p>
    <w:p w14:paraId="06D26F1C">
      <w:pPr>
        <w:jc w:val="both"/>
        <w:rPr>
          <w:rFonts w:ascii="Arial" w:hAnsi="Arial" w:cs="Arial"/>
          <w:sz w:val="24"/>
          <w:szCs w:val="24"/>
        </w:rPr>
      </w:pPr>
      <w:r>
        <w:rPr>
          <w:rFonts w:ascii="Arial" w:hAnsi="Arial" w:cs="Arial"/>
          <w:sz w:val="24"/>
          <w:szCs w:val="24"/>
        </w:rPr>
        <w:t xml:space="preserve">This study uses simple random sampling method. One hundred one (101) or more or less 29.1% of the total population of farmers in both municipalities were subjected in the study. Sixty (60) farmers were studied in Quezon and forty-one (41) in Rizal. Each barangay is considered as one cluster. Farmers within the cluster are then categorized into micro, small, medium and large regardless of their legal personality whether they are individual or a group such as cooperative or corporation. Association is not taken as one or corporate. Instead, each member from the association is taken as individual. A cluster of micros is defined as those whose farms are three (3) hectares and below while small are those with four (4) to 10 hectares. Medium are those farmers whose landholdings planted with rubber range between eleven (11) to twenty (20) hectares. Large cluster are those whose farms exceeds 20 hectares. Fifty (50%) of the farmers in each category were taken as subjects to represent the cluster. </w:t>
      </w:r>
    </w:p>
    <w:p w14:paraId="469894AF">
      <w:pPr>
        <w:jc w:val="both"/>
        <w:rPr>
          <w:rFonts w:ascii="Arial" w:hAnsi="Arial" w:cs="Arial"/>
          <w:sz w:val="24"/>
          <w:szCs w:val="24"/>
        </w:rPr>
      </w:pPr>
    </w:p>
    <w:p w14:paraId="172D35B9">
      <w:pPr>
        <w:numPr>
          <w:ilvl w:val="0"/>
          <w:numId w:val="1"/>
        </w:numPr>
        <w:rPr>
          <w:rFonts w:ascii="Arial" w:hAnsi="Arial" w:cs="Arial"/>
          <w:b/>
          <w:bCs/>
          <w:sz w:val="24"/>
          <w:szCs w:val="24"/>
        </w:rPr>
      </w:pPr>
      <w:r>
        <w:rPr>
          <w:rFonts w:ascii="Arial" w:hAnsi="Arial" w:cs="Arial"/>
          <w:b/>
          <w:bCs/>
          <w:sz w:val="24"/>
          <w:szCs w:val="24"/>
        </w:rPr>
        <w:t>Data Analysis</w:t>
      </w:r>
    </w:p>
    <w:p w14:paraId="4363496A">
      <w:pPr>
        <w:jc w:val="both"/>
        <w:rPr>
          <w:rFonts w:ascii="Arial" w:hAnsi="Arial" w:cs="Arial"/>
          <w:sz w:val="24"/>
          <w:szCs w:val="24"/>
        </w:rPr>
      </w:pPr>
      <w:r>
        <w:rPr>
          <w:rFonts w:ascii="Arial" w:hAnsi="Arial" w:cs="Arial"/>
          <w:sz w:val="24"/>
          <w:szCs w:val="24"/>
        </w:rPr>
        <w:t xml:space="preserve">The data obtained from questionnaires were transferred to an Excel sheet to facilitate interpretation and analysis. Descriptive analysis is used to demonstrate what had happened in the rubber farming sector. </w:t>
      </w:r>
    </w:p>
    <w:p w14:paraId="3B21FFFD">
      <w:pPr>
        <w:rPr>
          <w:rFonts w:ascii="Arial" w:hAnsi="Arial" w:cs="Arial"/>
          <w:b/>
          <w:bCs/>
          <w:sz w:val="24"/>
          <w:szCs w:val="24"/>
        </w:rPr>
      </w:pPr>
      <w:r>
        <w:rPr>
          <w:rFonts w:ascii="Arial" w:hAnsi="Arial" w:cs="Arial"/>
          <w:b/>
          <w:bCs/>
          <w:sz w:val="24"/>
          <w:szCs w:val="24"/>
        </w:rPr>
        <w:t>RESULTS AND DISCUSSION</w:t>
      </w:r>
    </w:p>
    <w:p w14:paraId="728EAB91">
      <w:pPr>
        <w:numPr>
          <w:ilvl w:val="0"/>
          <w:numId w:val="2"/>
        </w:numPr>
        <w:rPr>
          <w:rFonts w:ascii="Arial" w:hAnsi="Arial" w:cs="Arial"/>
          <w:b/>
          <w:bCs/>
          <w:sz w:val="22"/>
          <w:szCs w:val="22"/>
        </w:rPr>
      </w:pPr>
      <w:r>
        <w:rPr>
          <w:rFonts w:ascii="Arial" w:hAnsi="Arial" w:cs="Arial"/>
          <w:b/>
          <w:bCs/>
          <w:sz w:val="22"/>
          <w:szCs w:val="22"/>
        </w:rPr>
        <w:t>Farmers Demographic Profile</w:t>
      </w:r>
    </w:p>
    <w:p w14:paraId="2328E9F1">
      <w:pPr>
        <w:numPr>
          <w:ilvl w:val="1"/>
          <w:numId w:val="2"/>
        </w:numPr>
        <w:jc w:val="both"/>
        <w:rPr>
          <w:rFonts w:ascii="Arial" w:hAnsi="Arial" w:cs="Arial"/>
          <w:sz w:val="22"/>
          <w:szCs w:val="22"/>
        </w:rPr>
      </w:pPr>
      <w:r>
        <w:rPr>
          <w:rFonts w:ascii="Arial" w:hAnsi="Arial" w:cs="Arial"/>
          <w:b/>
          <w:bCs/>
          <w:sz w:val="22"/>
          <w:szCs w:val="22"/>
        </w:rPr>
        <w:t xml:space="preserve">Farmers Distribution </w:t>
      </w:r>
      <w:r>
        <w:rPr>
          <w:rFonts w:ascii="Arial" w:hAnsi="Arial" w:cs="Arial"/>
          <w:sz w:val="22"/>
          <w:szCs w:val="22"/>
        </w:rPr>
        <w:t xml:space="preserve">- Based on the data collected from both municipalities, it was found out that there are 347 farmers currently into rubber farming. Two hundred twenty (220) of them are in Quezon and one hundred twenty-seven (127) are in Rizal municipality. The top 3 barangays in Quezon with higher concentration of farmers includes Kalatagbak, being the biggest with 80 farmers, followed by Isugod with 62 and Aramaywan with 29 farmers. In Rizal, barangay Panalingaan tops the list with 68 farmers, followed by Punta Baja with 20 and Iraan with 15. Interviews with some of the players in Kalatagbak reveals that the promotion of rubber farming by pioneers in the industry in Palawan in the mid-1980’s had attracted not only a handful of investors from outside the province. Bagong Pag-asa Foundation, the Dayrit family and the Salleva group are an example of this output of industry promotions made by private individuals. One of these pioneers is Julian Sampayan who became and being considered the legend of rubber farming in Palawan. At the dawn of 1990’s, the Provincial Government of Palawan under Governor Salvador P. Socrates, started adopting the concept of rubber farming as a strategic economic and social mechanism to protect and maintain the forest cover of the island. It was though his concept of PTFPP (Palawan Tropical Forestry Protection Program) that this rubber expanded outside the municipality of Quezon-the cradle of rubber farming. This expansion program continued with more vigor and spirit to its peak in the time of Governor Joel T. Reyes when he partnered with the then governor of Cotabato, Manny Piñol. After this period, when rubber in Palawan should have started tapping, the local industry was welcomed by global slump in prices that continued up to this day.   </w:t>
      </w:r>
    </w:p>
    <w:p w14:paraId="093C3113">
      <w:pPr>
        <w:jc w:val="both"/>
        <w:rPr>
          <w:rFonts w:ascii="Arial" w:hAnsi="Arial" w:cs="Arial"/>
          <w:b/>
          <w:bCs/>
          <w:sz w:val="22"/>
          <w:szCs w:val="22"/>
        </w:rPr>
      </w:pPr>
    </w:p>
    <w:p w14:paraId="1A933119">
      <w:pPr>
        <w:jc w:val="both"/>
        <w:rPr>
          <w:rFonts w:ascii="Arial" w:hAnsi="Arial" w:cs="Arial"/>
          <w:b/>
          <w:bCs/>
          <w:sz w:val="22"/>
          <w:szCs w:val="22"/>
        </w:rPr>
      </w:pPr>
    </w:p>
    <w:p w14:paraId="3C66986C">
      <w:pPr>
        <w:jc w:val="both"/>
        <w:rPr>
          <w:rFonts w:ascii="Arial" w:hAnsi="Arial" w:cs="Arial"/>
          <w:b/>
          <w:bCs/>
          <w:sz w:val="22"/>
          <w:szCs w:val="22"/>
        </w:rPr>
      </w:pPr>
      <w:r>
        <w:drawing>
          <wp:anchor distT="0" distB="0" distL="114300" distR="114300" simplePos="0" relativeHeight="251660288" behindDoc="0" locked="0" layoutInCell="1" allowOverlap="1">
            <wp:simplePos x="0" y="0"/>
            <wp:positionH relativeFrom="column">
              <wp:posOffset>559435</wp:posOffset>
            </wp:positionH>
            <wp:positionV relativeFrom="paragraph">
              <wp:posOffset>20955</wp:posOffset>
            </wp:positionV>
            <wp:extent cx="3797935" cy="2734310"/>
            <wp:effectExtent l="4445" t="4445" r="7620" b="23495"/>
            <wp:wrapTopAndBottom/>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18E81B19">
      <w:pPr>
        <w:jc w:val="both"/>
        <w:rPr>
          <w:rFonts w:ascii="Arial" w:hAnsi="Arial" w:cs="Arial"/>
          <w:b/>
          <w:bCs/>
          <w:sz w:val="22"/>
          <w:szCs w:val="22"/>
        </w:rPr>
      </w:pPr>
    </w:p>
    <w:p w14:paraId="4176B493">
      <w:pPr>
        <w:jc w:val="both"/>
        <w:rPr>
          <w:rFonts w:ascii="Arial" w:hAnsi="Arial" w:cs="Arial"/>
          <w:b/>
          <w:bCs/>
          <w:sz w:val="22"/>
          <w:szCs w:val="22"/>
        </w:rPr>
      </w:pPr>
    </w:p>
    <w:p w14:paraId="0DB2202F">
      <w:pPr>
        <w:jc w:val="both"/>
        <w:rPr>
          <w:rFonts w:ascii="Arial" w:hAnsi="Arial" w:cs="Arial"/>
          <w:b/>
          <w:bCs/>
          <w:sz w:val="22"/>
          <w:szCs w:val="22"/>
        </w:rPr>
      </w:pPr>
    </w:p>
    <w:p w14:paraId="0DD9C7A9">
      <w:pPr>
        <w:jc w:val="both"/>
        <w:rPr>
          <w:rFonts w:ascii="Arial" w:hAnsi="Arial" w:cs="Arial"/>
          <w:b/>
          <w:bCs/>
          <w:sz w:val="22"/>
          <w:szCs w:val="22"/>
        </w:rPr>
      </w:pPr>
    </w:p>
    <w:p w14:paraId="1099DBF1">
      <w:pPr>
        <w:jc w:val="both"/>
        <w:rPr>
          <w:rFonts w:ascii="Arial" w:hAnsi="Arial" w:cs="Arial"/>
          <w:b/>
          <w:bCs/>
          <w:sz w:val="22"/>
          <w:szCs w:val="22"/>
        </w:rPr>
      </w:pPr>
    </w:p>
    <w:p w14:paraId="4C678A10">
      <w:pPr>
        <w:jc w:val="both"/>
        <w:rPr>
          <w:rFonts w:ascii="Arial" w:hAnsi="Arial" w:cs="Arial"/>
          <w:b/>
          <w:bCs/>
          <w:sz w:val="22"/>
          <w:szCs w:val="22"/>
        </w:rPr>
      </w:pPr>
    </w:p>
    <w:p w14:paraId="3E4CD28E">
      <w:pPr>
        <w:jc w:val="both"/>
        <w:rPr>
          <w:rFonts w:ascii="Arial" w:hAnsi="Arial" w:cs="Arial"/>
          <w:b/>
          <w:bCs/>
          <w:sz w:val="22"/>
          <w:szCs w:val="22"/>
        </w:rPr>
      </w:pPr>
    </w:p>
    <w:p w14:paraId="4E084E3A">
      <w:pPr>
        <w:jc w:val="both"/>
        <w:rPr>
          <w:rFonts w:ascii="Arial" w:hAnsi="Arial" w:cs="Arial"/>
          <w:b/>
          <w:bCs/>
          <w:sz w:val="22"/>
          <w:szCs w:val="22"/>
        </w:rPr>
      </w:pPr>
    </w:p>
    <w:p w14:paraId="6B2B0CFA">
      <w:pPr>
        <w:jc w:val="both"/>
        <w:rPr>
          <w:rFonts w:ascii="Arial" w:hAnsi="Arial" w:cs="Arial"/>
          <w:b/>
          <w:bCs/>
          <w:sz w:val="22"/>
          <w:szCs w:val="22"/>
        </w:rPr>
      </w:pPr>
    </w:p>
    <w:p w14:paraId="3B8454CC">
      <w:pPr>
        <w:jc w:val="both"/>
        <w:rPr>
          <w:rFonts w:hint="default" w:ascii="Arial" w:hAnsi="Arial" w:cs="Arial"/>
          <w:b w:val="0"/>
          <w:bCs w:val="0"/>
          <w:sz w:val="22"/>
          <w:szCs w:val="22"/>
          <w:lang w:val="en-US"/>
        </w:rPr>
      </w:pPr>
      <w:r>
        <w:rPr>
          <w:rFonts w:hint="default" w:ascii="Arial" w:hAnsi="Arial" w:cs="Arial"/>
          <w:b w:val="0"/>
          <w:bCs w:val="0"/>
          <w:sz w:val="22"/>
          <w:szCs w:val="22"/>
          <w:lang w:val="en-US"/>
        </w:rPr>
        <w:t>Below is the distribution of rubber farmers in the municipality of Rizal.</w:t>
      </w:r>
    </w:p>
    <w:p w14:paraId="7E657E3C">
      <w:pPr>
        <w:jc w:val="both"/>
        <w:rPr>
          <w:rFonts w:hint="default" w:ascii="Arial" w:hAnsi="Arial" w:cs="Arial"/>
          <w:b/>
          <w:bCs/>
          <w:sz w:val="22"/>
          <w:szCs w:val="22"/>
          <w:lang w:val="en-US"/>
        </w:rPr>
      </w:pPr>
    </w:p>
    <w:p w14:paraId="16E39100">
      <w:pPr>
        <w:jc w:val="both"/>
        <w:rPr>
          <w:rFonts w:ascii="Arial" w:hAnsi="Arial" w:cs="Arial"/>
          <w:b/>
          <w:bCs/>
          <w:sz w:val="22"/>
          <w:szCs w:val="22"/>
        </w:rPr>
      </w:pPr>
      <w:r>
        <w:drawing>
          <wp:anchor distT="0" distB="0" distL="114300" distR="114300" simplePos="0" relativeHeight="251659264" behindDoc="0" locked="0" layoutInCell="1" allowOverlap="1">
            <wp:simplePos x="0" y="0"/>
            <wp:positionH relativeFrom="column">
              <wp:posOffset>875665</wp:posOffset>
            </wp:positionH>
            <wp:positionV relativeFrom="paragraph">
              <wp:posOffset>27305</wp:posOffset>
            </wp:positionV>
            <wp:extent cx="3931920" cy="2472055"/>
            <wp:effectExtent l="4445" t="4445" r="6985" b="19050"/>
            <wp:wrapTopAndBottom/>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9548B53">
      <w:pPr>
        <w:jc w:val="both"/>
        <w:rPr>
          <w:rFonts w:ascii="Arial" w:hAnsi="Arial" w:cs="Arial"/>
          <w:b/>
          <w:bCs/>
          <w:sz w:val="22"/>
          <w:szCs w:val="22"/>
        </w:rPr>
      </w:pPr>
    </w:p>
    <w:p w14:paraId="30825D75">
      <w:pPr>
        <w:jc w:val="both"/>
        <w:rPr>
          <w:rFonts w:ascii="Arial" w:hAnsi="Arial" w:cs="Arial"/>
          <w:sz w:val="22"/>
          <w:szCs w:val="22"/>
        </w:rPr>
      </w:pPr>
      <w:r>
        <w:rPr>
          <w:rFonts w:ascii="Arial" w:hAnsi="Arial" w:cs="Arial"/>
          <w:b/>
          <w:bCs/>
          <w:sz w:val="22"/>
          <w:szCs w:val="22"/>
        </w:rPr>
        <w:t>Degree of farmers participation</w:t>
      </w:r>
      <w:r>
        <w:rPr>
          <w:rFonts w:ascii="Arial" w:hAnsi="Arial" w:cs="Arial"/>
          <w:sz w:val="22"/>
          <w:szCs w:val="22"/>
        </w:rPr>
        <w:t xml:space="preserve"> - To further understand the degree of their participation, farmers are grouped into micro, small, medium and large. Micro is defined in this context as those whose farms are less than 0.25 hectares to 3 hectares. Small are those whose landholdings are between 4 and 10 hectares, medium with 11-20 hectares and lastly, large are those whose landholdings planted with rubber are over 20 hectares. In the case of Quezon municipality, 84% or 184 of all the rubber farmers are in the micro group and only 12% (27) are those whose landholdings are between 4 and 10 hectares. The group of medium and large farmers share 1% and 3% with only 2 and 6 respectively. In the municipality of Rizal, similar trend was also found with 83% of the farmers fall into the group of micros, followed by small with 14%. Both medium and large farmer-groups has 3%.</w:t>
      </w:r>
    </w:p>
    <w:p w14:paraId="71F72CBC">
      <w:pPr>
        <w:jc w:val="both"/>
        <w:rPr>
          <w:rFonts w:ascii="Arial" w:hAnsi="Arial" w:cs="Arial"/>
          <w:sz w:val="22"/>
          <w:szCs w:val="22"/>
        </w:rPr>
      </w:pPr>
    </w:p>
    <w:p w14:paraId="66DB7373">
      <w:pPr>
        <w:jc w:val="both"/>
        <w:rPr>
          <w:rFonts w:ascii="Arial" w:hAnsi="Arial" w:cs="Arial"/>
          <w:sz w:val="22"/>
          <w:szCs w:val="22"/>
        </w:rPr>
      </w:pPr>
      <w:r>
        <w:rPr>
          <w:rFonts w:ascii="Arial" w:hAnsi="Arial" w:cs="Arial"/>
          <w:sz w:val="22"/>
          <w:szCs w:val="22"/>
        </w:rPr>
        <w:t xml:space="preserve">However, in terms of area planted, data collected and analyzed in both study areas reveal a contrasting difference. While the group of micros from both municipalities tops in terms of total number of farmers engaged in rubber farming with an average of 83.5% or equivalent to 357 hectares total landholdings, the same group landed almost equal, in terms of landholdings, with that of the large group (3% of total farmers) and whose landholdings is equivalent to 308 hectares. The smallest landholding is 0.25 hectares while the biggest is 100 hectares. The large group in this grouping is primarily consist of corporate farms owned by cooperatives, foundations, corporations and partnerships.  </w:t>
      </w:r>
    </w:p>
    <w:p w14:paraId="4B71C7C2">
      <w:pPr>
        <w:jc w:val="both"/>
        <w:rPr>
          <w:rFonts w:ascii="Arial" w:hAnsi="Arial" w:cs="Arial"/>
          <w:sz w:val="22"/>
          <w:szCs w:val="22"/>
        </w:rPr>
      </w:pPr>
    </w:p>
    <w:p w14:paraId="16F96CA3">
      <w:pPr>
        <w:numPr>
          <w:ilvl w:val="1"/>
          <w:numId w:val="2"/>
        </w:numPr>
        <w:rPr>
          <w:rFonts w:ascii="Arial" w:hAnsi="Arial" w:cs="Arial"/>
          <w:b/>
          <w:bCs/>
          <w:sz w:val="22"/>
          <w:szCs w:val="22"/>
        </w:rPr>
      </w:pPr>
      <w:r>
        <w:rPr>
          <w:rFonts w:ascii="Arial" w:hAnsi="Arial" w:cs="Arial"/>
          <w:b/>
          <w:bCs/>
          <w:sz w:val="22"/>
          <w:szCs w:val="22"/>
        </w:rPr>
        <w:t xml:space="preserve">Age, </w:t>
      </w:r>
      <w:r>
        <w:rPr>
          <w:rFonts w:hint="default" w:ascii="Arial" w:hAnsi="Arial" w:cs="Arial"/>
          <w:b/>
          <w:bCs/>
          <w:sz w:val="22"/>
          <w:szCs w:val="22"/>
          <w:lang w:val="en-US"/>
        </w:rPr>
        <w:t xml:space="preserve">Education, </w:t>
      </w:r>
      <w:r>
        <w:rPr>
          <w:rFonts w:ascii="Arial" w:hAnsi="Arial" w:cs="Arial"/>
          <w:b/>
          <w:bCs/>
          <w:sz w:val="22"/>
          <w:szCs w:val="22"/>
        </w:rPr>
        <w:t xml:space="preserve">Gender and Civil Status </w:t>
      </w:r>
    </w:p>
    <w:p w14:paraId="74813F44">
      <w:pPr>
        <w:jc w:val="both"/>
        <w:rPr>
          <w:rFonts w:ascii="Arial" w:hAnsi="Arial" w:cs="Arial"/>
          <w:sz w:val="22"/>
          <w:szCs w:val="22"/>
        </w:rPr>
      </w:pPr>
      <w:r>
        <w:rPr>
          <w:rFonts w:ascii="Arial" w:hAnsi="Arial" w:cs="Arial"/>
          <w:sz w:val="22"/>
          <w:szCs w:val="22"/>
        </w:rPr>
        <w:t>Rubber farming in both municipalities is seen to be more prevalent and attractive among those in the age group of 61 years old and above. The figure slowly wanes down among those in the age group of 51-60 years old and 41-50 years old respectively.  In terms of gender and civil status, an overwhelming majority belongs to married men while participation of women in rubber farming is obviously became very negligible in terms of number.</w:t>
      </w:r>
      <w:r>
        <w:rPr>
          <w:rFonts w:ascii="Arial" w:hAnsi="Arial" w:cs="Arial"/>
          <w:sz w:val="22"/>
          <w:szCs w:val="22"/>
        </w:rPr>
        <w:tab/>
      </w:r>
    </w:p>
    <w:p w14:paraId="78CFA7EB">
      <w:pPr>
        <w:rPr>
          <w:rFonts w:ascii="Arial" w:hAnsi="Arial" w:cs="Arial"/>
          <w:sz w:val="22"/>
          <w:szCs w:val="22"/>
        </w:rPr>
      </w:pPr>
    </w:p>
    <w:p w14:paraId="5ECB7158">
      <w:pPr>
        <w:rPr>
          <w:rFonts w:ascii="Arial" w:hAnsi="Arial" w:cs="Arial"/>
          <w:sz w:val="22"/>
          <w:szCs w:val="22"/>
        </w:rPr>
      </w:pPr>
    </w:p>
    <w:p w14:paraId="11049525">
      <w:pPr>
        <w:rPr>
          <w:rFonts w:ascii="Arial" w:hAnsi="Arial" w:cs="Arial"/>
          <w:sz w:val="22"/>
          <w:szCs w:val="22"/>
        </w:rPr>
      </w:pPr>
    </w:p>
    <w:p w14:paraId="375E3A73">
      <w:pPr>
        <w:rPr>
          <w:rFonts w:ascii="Arial" w:hAnsi="Arial" w:cs="Arial"/>
          <w:sz w:val="22"/>
          <w:szCs w:val="22"/>
        </w:rPr>
      </w:pPr>
    </w:p>
    <w:p w14:paraId="039CABE6">
      <w:pPr>
        <w:rPr>
          <w:rFonts w:ascii="Arial" w:hAnsi="Arial" w:cs="Arial"/>
          <w:sz w:val="22"/>
          <w:szCs w:val="22"/>
        </w:rPr>
      </w:pPr>
    </w:p>
    <w:p w14:paraId="6C158B95">
      <w:pPr>
        <w:rPr>
          <w:rFonts w:ascii="Arial" w:hAnsi="Arial" w:cs="Arial"/>
          <w:sz w:val="22"/>
          <w:szCs w:val="22"/>
        </w:rPr>
      </w:pPr>
    </w:p>
    <w:p w14:paraId="3C767BD3">
      <w:pPr>
        <w:rPr>
          <w:rFonts w:ascii="Arial" w:hAnsi="Arial" w:cs="Arial"/>
          <w:sz w:val="22"/>
          <w:szCs w:val="22"/>
        </w:rPr>
      </w:pPr>
      <w:r>
        <w:drawing>
          <wp:anchor distT="0" distB="0" distL="114300" distR="114300" simplePos="0" relativeHeight="251664384" behindDoc="0" locked="0" layoutInCell="1" allowOverlap="1">
            <wp:simplePos x="0" y="0"/>
            <wp:positionH relativeFrom="column">
              <wp:posOffset>436880</wp:posOffset>
            </wp:positionH>
            <wp:positionV relativeFrom="paragraph">
              <wp:posOffset>104775</wp:posOffset>
            </wp:positionV>
            <wp:extent cx="4355465" cy="2633345"/>
            <wp:effectExtent l="4445" t="4445" r="21590" b="10160"/>
            <wp:wrapTopAndBottom/>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2C47632">
      <w:pPr>
        <w:rPr>
          <w:rFonts w:ascii="Arial" w:hAnsi="Arial" w:cs="Arial"/>
          <w:sz w:val="22"/>
          <w:szCs w:val="22"/>
        </w:rPr>
      </w:pPr>
    </w:p>
    <w:p w14:paraId="0C10A45C">
      <w:pPr>
        <w:rPr>
          <w:rFonts w:ascii="Arial" w:hAnsi="Arial" w:cs="Arial"/>
          <w:sz w:val="22"/>
          <w:szCs w:val="22"/>
        </w:rPr>
      </w:pPr>
    </w:p>
    <w:p w14:paraId="307A0A4F">
      <w:pPr>
        <w:rPr>
          <w:rFonts w:hint="default" w:ascii="Arial" w:hAnsi="Arial" w:cs="Arial"/>
          <w:b/>
          <w:bCs/>
          <w:sz w:val="24"/>
          <w:szCs w:val="24"/>
        </w:rPr>
      </w:pPr>
      <w:r>
        <w:rPr>
          <w:rFonts w:hint="default" w:ascii="Arial" w:hAnsi="Arial" w:cs="Arial"/>
          <w:b/>
          <w:bCs/>
          <w:sz w:val="24"/>
          <w:szCs w:val="24"/>
        </w:rPr>
        <w:t>Education</w:t>
      </w:r>
    </w:p>
    <w:p w14:paraId="164787E6">
      <w:pPr>
        <w:jc w:val="both"/>
        <w:rPr>
          <w:rFonts w:ascii="Arial Narrow" w:hAnsi="Arial Narrow" w:cs="Arial Narrow"/>
          <w:sz w:val="22"/>
          <w:szCs w:val="22"/>
        </w:rPr>
      </w:pPr>
      <w:r>
        <w:rPr>
          <w:rFonts w:ascii="Arial Narrow" w:hAnsi="Arial Narrow" w:cs="Arial Narrow"/>
          <w:sz w:val="22"/>
          <w:szCs w:val="22"/>
        </w:rPr>
        <w:t xml:space="preserve">In terms of education, most of the farmers in both study areas are either college level or high school graduates. It has been found out that bigger farms belong to those whose education are college graduates. A greater portion of farmers in micro group are either elementary, high school or non-educated formally. Education plays an important part in economic opportunities to support their rubber farming.  </w:t>
      </w:r>
    </w:p>
    <w:p w14:paraId="16A47284">
      <w:pPr>
        <w:rPr>
          <w:rFonts w:ascii="Arial" w:hAnsi="Arial" w:cs="Arial"/>
          <w:b/>
          <w:bCs/>
          <w:sz w:val="22"/>
          <w:szCs w:val="22"/>
        </w:rPr>
      </w:pPr>
    </w:p>
    <w:p w14:paraId="4BE798B8">
      <w:pPr>
        <w:rPr>
          <w:rFonts w:ascii="Arial" w:hAnsi="Arial" w:cs="Arial"/>
          <w:b/>
          <w:bCs/>
          <w:sz w:val="22"/>
          <w:szCs w:val="22"/>
        </w:rPr>
      </w:pPr>
    </w:p>
    <w:p w14:paraId="3ACE7F74">
      <w:pPr>
        <w:rPr>
          <w:rFonts w:ascii="Arial" w:hAnsi="Arial" w:cs="Arial"/>
          <w:b/>
          <w:bCs/>
          <w:sz w:val="22"/>
          <w:szCs w:val="22"/>
        </w:rPr>
      </w:pPr>
    </w:p>
    <w:p w14:paraId="1FA27131">
      <w:pPr>
        <w:rPr>
          <w:rFonts w:ascii="Arial" w:hAnsi="Arial" w:cs="Arial"/>
          <w:b/>
          <w:bCs/>
          <w:sz w:val="22"/>
          <w:szCs w:val="22"/>
        </w:rPr>
      </w:pPr>
      <w:r>
        <w:drawing>
          <wp:anchor distT="0" distB="0" distL="114300" distR="114300" simplePos="0" relativeHeight="251661312" behindDoc="0" locked="0" layoutInCell="1" allowOverlap="1">
            <wp:simplePos x="0" y="0"/>
            <wp:positionH relativeFrom="column">
              <wp:posOffset>527685</wp:posOffset>
            </wp:positionH>
            <wp:positionV relativeFrom="paragraph">
              <wp:posOffset>18415</wp:posOffset>
            </wp:positionV>
            <wp:extent cx="4121150" cy="2729230"/>
            <wp:effectExtent l="4445" t="5080" r="8255" b="8890"/>
            <wp:wrapTopAndBottom/>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2B43E59">
      <w:pPr>
        <w:rPr>
          <w:rFonts w:ascii="Arial" w:hAnsi="Arial" w:cs="Arial"/>
          <w:b/>
          <w:bCs/>
          <w:sz w:val="22"/>
          <w:szCs w:val="22"/>
        </w:rPr>
      </w:pPr>
    </w:p>
    <w:p w14:paraId="7FAD2048">
      <w:pPr>
        <w:rPr>
          <w:rFonts w:ascii="Arial" w:hAnsi="Arial" w:cs="Arial"/>
          <w:b/>
          <w:bCs/>
          <w:sz w:val="22"/>
          <w:szCs w:val="22"/>
        </w:rPr>
      </w:pPr>
    </w:p>
    <w:p w14:paraId="3ECD30AE">
      <w:pPr>
        <w:numPr>
          <w:ilvl w:val="1"/>
          <w:numId w:val="2"/>
        </w:numPr>
        <w:rPr>
          <w:rFonts w:ascii="Arial" w:hAnsi="Arial" w:cs="Arial"/>
          <w:b/>
          <w:bCs/>
          <w:sz w:val="24"/>
          <w:szCs w:val="24"/>
        </w:rPr>
      </w:pPr>
      <w:r>
        <w:rPr>
          <w:rFonts w:ascii="Arial" w:hAnsi="Arial" w:cs="Arial"/>
          <w:b/>
          <w:bCs/>
          <w:sz w:val="24"/>
          <w:szCs w:val="24"/>
        </w:rPr>
        <w:t>Source of Income and Investor Type</w:t>
      </w:r>
    </w:p>
    <w:p w14:paraId="111D7527">
      <w:pPr>
        <w:jc w:val="both"/>
        <w:rPr>
          <w:rFonts w:ascii="Arial" w:hAnsi="Arial" w:cs="Arial"/>
          <w:sz w:val="22"/>
          <w:szCs w:val="22"/>
        </w:rPr>
      </w:pPr>
      <w:r>
        <w:rPr>
          <w:rFonts w:ascii="Arial" w:hAnsi="Arial" w:cs="Arial"/>
          <w:sz w:val="22"/>
          <w:szCs w:val="22"/>
        </w:rPr>
        <w:t xml:space="preserve">Most farmers admitted that </w:t>
      </w:r>
    </w:p>
    <w:p w14:paraId="720F5DD7">
      <w:pPr>
        <w:jc w:val="both"/>
        <w:rPr>
          <w:rFonts w:ascii="Arial" w:hAnsi="Arial" w:cs="Arial"/>
          <w:sz w:val="22"/>
          <w:szCs w:val="22"/>
        </w:rPr>
      </w:pPr>
      <w:r>
        <w:rPr>
          <w:rFonts w:ascii="Arial" w:hAnsi="Arial" w:cs="Arial"/>
          <w:sz w:val="22"/>
          <w:szCs w:val="22"/>
        </w:rPr>
        <w:t>they are doing their farming on their own without the benefit of external investments in the form stocks or loans. They engage in rubber farming even without the support local government. They did it on an expectation that this commodity would improve their standard of living or at least pull them out of poverty Some of them particularly those in the micro group disclosed that their seedlings were part of the dispersal program of the provincial government where each family is entitled for a soft loan of 500 PE bags of plantable rubber. Those who cannot afford to buy budded planting materials or failed to qualify for the program, for whatever reasons, resorted to planting just seeds. This practice of planting non-budded seedlings has led to lower production per tree based on their experience.</w:t>
      </w:r>
    </w:p>
    <w:p w14:paraId="41D38C59">
      <w:pPr>
        <w:jc w:val="both"/>
        <w:rPr>
          <w:rFonts w:ascii="Arial" w:hAnsi="Arial" w:cs="Arial"/>
          <w:sz w:val="22"/>
          <w:szCs w:val="22"/>
        </w:rPr>
      </w:pPr>
    </w:p>
    <w:p w14:paraId="7CD76690">
      <w:pPr>
        <w:jc w:val="both"/>
        <w:rPr>
          <w:rFonts w:ascii="Arial" w:hAnsi="Arial" w:cs="Arial"/>
          <w:sz w:val="22"/>
          <w:szCs w:val="22"/>
        </w:rPr>
      </w:pPr>
      <w:r>
        <w:drawing>
          <wp:anchor distT="0" distB="0" distL="114300" distR="114300" simplePos="0" relativeHeight="251662336" behindDoc="0" locked="0" layoutInCell="1" allowOverlap="1">
            <wp:simplePos x="0" y="0"/>
            <wp:positionH relativeFrom="column">
              <wp:posOffset>212725</wp:posOffset>
            </wp:positionH>
            <wp:positionV relativeFrom="paragraph">
              <wp:posOffset>114300</wp:posOffset>
            </wp:positionV>
            <wp:extent cx="4185920" cy="2281555"/>
            <wp:effectExtent l="4445" t="4445" r="19685" b="19050"/>
            <wp:wrapTopAndBottom/>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3B2FB9E">
      <w:pPr>
        <w:numPr>
          <w:ilvl w:val="1"/>
          <w:numId w:val="2"/>
        </w:numPr>
        <w:rPr>
          <w:rFonts w:ascii="Arial" w:hAnsi="Arial" w:cs="Arial"/>
          <w:b/>
          <w:bCs/>
          <w:sz w:val="22"/>
          <w:szCs w:val="22"/>
        </w:rPr>
      </w:pPr>
      <w:r>
        <w:rPr>
          <w:rFonts w:ascii="Arial" w:hAnsi="Arial" w:cs="Arial"/>
          <w:b/>
          <w:bCs/>
          <w:sz w:val="22"/>
          <w:szCs w:val="22"/>
        </w:rPr>
        <w:t>Corporate Farmers</w:t>
      </w:r>
    </w:p>
    <w:p w14:paraId="1F6291CE">
      <w:pPr>
        <w:jc w:val="both"/>
        <w:rPr>
          <w:rFonts w:ascii="Arial" w:hAnsi="Arial" w:cs="Arial"/>
          <w:sz w:val="22"/>
          <w:szCs w:val="22"/>
        </w:rPr>
      </w:pPr>
      <w:r>
        <w:rPr>
          <w:rFonts w:ascii="Arial" w:hAnsi="Arial" w:cs="Arial"/>
          <w:sz w:val="22"/>
          <w:szCs w:val="22"/>
        </w:rPr>
        <w:t xml:space="preserve">Farms that are relatively larger in terms of lot size or area and whose management belongs to a group of persons responsible for decisions and daily management of the plantations are considered corporate farms regardless of their legal identities. In Quezon, there four (4) of this type of investors. This includes Bagong Pag-asa Foundation, JB Group, KB, Inc and Salleva &amp; Co. Inc. Western Philippines University (WPU), is also located in Quezon holding and operating 9 hectares of rubber.  In the municipality of Rizal, large farms are predominantly owned by individuals who formed into informal groups like in the case of Filipino-American Adventists who run their enterprise like a company. They occupy large areas approximately 200 hectares in Barangay Bunog in Rizal and Barangay Quinlogan in Quezon. Palawan State University has also its plantation under SIFMA (Socialized Integrated Forest Management Agreement) in Barangay Culasian in Rizal. They hold more or less 500 hectares, 75 hectares of which is planted with rubber.  </w:t>
      </w:r>
    </w:p>
    <w:p w14:paraId="30956A1A">
      <w:pPr>
        <w:rPr>
          <w:rFonts w:ascii="Arial" w:hAnsi="Arial" w:cs="Arial"/>
          <w:sz w:val="22"/>
          <w:szCs w:val="22"/>
        </w:rPr>
      </w:pPr>
    </w:p>
    <w:p w14:paraId="5D266DF9">
      <w:pPr>
        <w:numPr>
          <w:ilvl w:val="0"/>
          <w:numId w:val="2"/>
        </w:numPr>
        <w:rPr>
          <w:rFonts w:ascii="Arial" w:hAnsi="Arial" w:cs="Arial"/>
          <w:b/>
          <w:bCs/>
          <w:sz w:val="22"/>
          <w:szCs w:val="22"/>
        </w:rPr>
      </w:pPr>
      <w:r>
        <w:rPr>
          <w:rFonts w:ascii="Arial" w:hAnsi="Arial" w:cs="Arial"/>
          <w:b/>
          <w:bCs/>
          <w:sz w:val="22"/>
          <w:szCs w:val="22"/>
        </w:rPr>
        <w:t>Plantation Profile</w:t>
      </w:r>
    </w:p>
    <w:p w14:paraId="1FAD11B2">
      <w:pPr>
        <w:numPr>
          <w:ilvl w:val="1"/>
          <w:numId w:val="2"/>
        </w:numPr>
        <w:jc w:val="both"/>
        <w:rPr>
          <w:rFonts w:ascii="Arial" w:hAnsi="Arial" w:cs="Arial"/>
          <w:sz w:val="22"/>
          <w:szCs w:val="22"/>
        </w:rPr>
      </w:pPr>
      <w:r>
        <w:rPr>
          <w:rFonts w:ascii="Arial" w:hAnsi="Arial" w:cs="Arial"/>
          <w:b/>
          <w:bCs/>
          <w:sz w:val="22"/>
          <w:szCs w:val="22"/>
        </w:rPr>
        <w:t xml:space="preserve">Security of Tenure </w:t>
      </w:r>
      <w:r>
        <w:rPr>
          <w:rFonts w:ascii="Arial" w:hAnsi="Arial" w:cs="Arial"/>
          <w:sz w:val="22"/>
          <w:szCs w:val="22"/>
        </w:rPr>
        <w:t>- It was found out that rubber plantations in most parts of the study areas are devoid of tenurial instrument to secure their ownership on their landholdings. All of rubber farms in Rizal are situated in purely timberland areas. It represents 44% of the total landholdings utilized for rubber farming in both municipalities. In Quezon, about 23%, based on the initial interview are holding patents or titles for their farms. The rest of these farmers mostly the small ones encounters financial difficulties to apply and secure special patents for their landholdings.</w:t>
      </w:r>
    </w:p>
    <w:p w14:paraId="308AA87C">
      <w:pPr>
        <w:jc w:val="both"/>
        <w:rPr>
          <w:rFonts w:ascii="Arial" w:hAnsi="Arial" w:cs="Arial"/>
          <w:sz w:val="22"/>
          <w:szCs w:val="22"/>
        </w:rPr>
      </w:pPr>
    </w:p>
    <w:p w14:paraId="43C3382B">
      <w:pPr>
        <w:numPr>
          <w:ilvl w:val="1"/>
          <w:numId w:val="2"/>
        </w:numPr>
        <w:jc w:val="both"/>
        <w:rPr>
          <w:rFonts w:ascii="Arial" w:hAnsi="Arial" w:cs="Arial"/>
          <w:sz w:val="22"/>
          <w:szCs w:val="22"/>
        </w:rPr>
      </w:pPr>
      <w:r>
        <w:rPr>
          <w:rFonts w:ascii="Arial" w:hAnsi="Arial" w:cs="Arial"/>
          <w:b/>
          <w:bCs/>
          <w:sz w:val="22"/>
          <w:szCs w:val="22"/>
        </w:rPr>
        <w:t>Age of Plantation</w:t>
      </w:r>
      <w:r>
        <w:rPr>
          <w:rFonts w:ascii="Arial" w:hAnsi="Arial" w:cs="Arial"/>
          <w:sz w:val="22"/>
          <w:szCs w:val="22"/>
        </w:rPr>
        <w:t xml:space="preserve"> - Of the total rubber planted in both Quezon and Rizal municipalities, 55% are 5-10 years old, 21% ages 10-15 years, 21% 15-20 years. Only 3% are either under 5 years and 25 years and above. Older farms are found in Quezon commonly 15-20 years. About 2% of the total farms are the oldest planted in Kalatagbak, Quezon. According to the interview, it was Julian Sampayan who brought this into the municipality from the province of Basilan where he originated and had previously worked as a rubber plantation manager. </w:t>
      </w:r>
    </w:p>
    <w:p w14:paraId="5A1FD5BC">
      <w:pPr>
        <w:rPr>
          <w:rFonts w:ascii="Arial" w:hAnsi="Arial" w:cs="Arial"/>
          <w:sz w:val="22"/>
          <w:szCs w:val="22"/>
        </w:rPr>
      </w:pPr>
      <w:r>
        <w:rPr>
          <w:rFonts w:ascii="Arial" w:hAnsi="Arial" w:cs="Arial"/>
          <w:sz w:val="22"/>
          <w:szCs w:val="22"/>
        </w:rPr>
        <w:t xml:space="preserve">  </w:t>
      </w:r>
    </w:p>
    <w:p w14:paraId="752C5907">
      <w:pPr>
        <w:jc w:val="both"/>
        <w:rPr>
          <w:rFonts w:ascii="Arial" w:hAnsi="Arial" w:cs="Arial"/>
          <w:sz w:val="22"/>
          <w:szCs w:val="22"/>
        </w:rPr>
      </w:pPr>
      <w:r>
        <w:rPr>
          <w:rFonts w:ascii="Arial" w:hAnsi="Arial" w:cs="Arial"/>
          <w:b/>
          <w:bCs/>
          <w:sz w:val="22"/>
          <w:szCs w:val="22"/>
        </w:rPr>
        <w:t xml:space="preserve">2.3 Production Capacity - </w:t>
      </w:r>
      <w:r>
        <w:rPr>
          <w:rFonts w:ascii="Arial" w:hAnsi="Arial" w:cs="Arial"/>
          <w:sz w:val="22"/>
          <w:szCs w:val="22"/>
        </w:rPr>
        <w:t>Out of the 1,297.75 hectares planted in both municipalities, only 48% are producing on a continuous basis, 13% are intermittent and the rest accounting for 39% are said to be dormant or non-productive. These farms have opted not to open their rubber trees for tapping and production due to issues in market prices.</w:t>
      </w:r>
    </w:p>
    <w:p w14:paraId="7F5404BB">
      <w:pPr>
        <w:rPr>
          <w:rFonts w:ascii="Arial" w:hAnsi="Arial" w:cs="Arial"/>
          <w:sz w:val="22"/>
          <w:szCs w:val="22"/>
        </w:rPr>
      </w:pPr>
      <w:r>
        <w:rPr>
          <w:rFonts w:ascii="Arial" w:hAnsi="Arial" w:cs="Arial"/>
          <w:sz w:val="22"/>
          <w:szCs w:val="22"/>
        </w:rPr>
        <w:t xml:space="preserve">  </w:t>
      </w:r>
    </w:p>
    <w:p w14:paraId="34F732B2">
      <w:pPr>
        <w:numPr>
          <w:ilvl w:val="0"/>
          <w:numId w:val="2"/>
        </w:numPr>
        <w:rPr>
          <w:rFonts w:ascii="Arial" w:hAnsi="Arial" w:cs="Arial"/>
          <w:b/>
          <w:bCs/>
          <w:sz w:val="22"/>
          <w:szCs w:val="22"/>
        </w:rPr>
      </w:pPr>
      <w:r>
        <w:rPr>
          <w:rFonts w:ascii="Arial" w:hAnsi="Arial" w:cs="Arial"/>
          <w:b/>
          <w:bCs/>
          <w:sz w:val="22"/>
          <w:szCs w:val="22"/>
        </w:rPr>
        <w:t>Production Practices</w:t>
      </w:r>
    </w:p>
    <w:p w14:paraId="7C1E2C91">
      <w:pPr>
        <w:jc w:val="both"/>
        <w:rPr>
          <w:rFonts w:ascii="Arial" w:hAnsi="Arial" w:cs="Arial"/>
          <w:sz w:val="22"/>
          <w:szCs w:val="22"/>
        </w:rPr>
      </w:pPr>
      <w:r>
        <w:rPr>
          <w:rFonts w:ascii="Arial" w:hAnsi="Arial" w:cs="Arial"/>
          <w:sz w:val="22"/>
          <w:szCs w:val="22"/>
        </w:rPr>
        <w:t>Production practices such as tapping remain manual using tapping knife to extract the latex from the bark of the rubber tree. Collection is made using coconut shell or a plastic container of soft drinks usually 1.5-liter PE bottle. Due to difficulties in sourcing manpower, most farms except for owners of 1 hectare or even less, resorted to 60/40 profit-sharing where workers receive 40% of the gross output during the day. This practice is common among the small, medium and large groups. The local rubber industry remains dependent on Mindanao for their tools, skills and marketing.</w:t>
      </w:r>
    </w:p>
    <w:p w14:paraId="5E6D052F">
      <w:pPr>
        <w:jc w:val="both"/>
        <w:rPr>
          <w:rFonts w:ascii="Arial" w:hAnsi="Arial" w:cs="Arial"/>
          <w:sz w:val="22"/>
          <w:szCs w:val="22"/>
        </w:rPr>
      </w:pPr>
    </w:p>
    <w:p w14:paraId="5F56E2A5">
      <w:pPr>
        <w:numPr>
          <w:ilvl w:val="0"/>
          <w:numId w:val="2"/>
        </w:numPr>
        <w:rPr>
          <w:rFonts w:ascii="Arial" w:hAnsi="Arial" w:cs="Arial"/>
          <w:b/>
          <w:bCs/>
          <w:sz w:val="22"/>
          <w:szCs w:val="22"/>
        </w:rPr>
      </w:pPr>
      <w:r>
        <w:rPr>
          <w:rFonts w:ascii="Arial" w:hAnsi="Arial" w:cs="Arial"/>
          <w:b/>
          <w:bCs/>
          <w:sz w:val="22"/>
          <w:szCs w:val="22"/>
        </w:rPr>
        <w:t>Workers</w:t>
      </w:r>
    </w:p>
    <w:p w14:paraId="0ACB74D5">
      <w:pPr>
        <w:jc w:val="both"/>
        <w:rPr>
          <w:rFonts w:ascii="Arial" w:hAnsi="Arial" w:cs="Arial"/>
          <w:sz w:val="22"/>
          <w:szCs w:val="22"/>
        </w:rPr>
      </w:pPr>
      <w:r>
        <w:rPr>
          <w:rFonts w:ascii="Arial" w:hAnsi="Arial" w:cs="Arial"/>
          <w:sz w:val="22"/>
          <w:szCs w:val="22"/>
        </w:rPr>
        <w:t xml:space="preserve">Workers in the plantation are commonly an opportunity for less fortunate people. They are usually the tribal groups who have gained experience and actual tapping lessons from their predecessors and land lords. Job opportunities are also open to non-indigenous groups. They are usually those who were not fortunate enough to go to school for a diploma in elementary, high school and college. Seventy per cent (70%) of the farm owners who attended a recent consultation meeting with DTI in Puerto Princesa City reported to have experienced difficulties in hiring and retaining workers.  </w:t>
      </w:r>
    </w:p>
    <w:p w14:paraId="3E04C12C">
      <w:pPr>
        <w:rPr>
          <w:rFonts w:ascii="Arial" w:hAnsi="Arial" w:cs="Arial"/>
          <w:sz w:val="22"/>
          <w:szCs w:val="22"/>
        </w:rPr>
      </w:pPr>
    </w:p>
    <w:p w14:paraId="49046AF6">
      <w:pPr>
        <w:numPr>
          <w:ilvl w:val="0"/>
          <w:numId w:val="2"/>
        </w:numPr>
        <w:rPr>
          <w:rFonts w:ascii="Arial" w:hAnsi="Arial" w:cs="Arial"/>
          <w:b/>
          <w:bCs/>
          <w:sz w:val="22"/>
          <w:szCs w:val="22"/>
        </w:rPr>
      </w:pPr>
      <w:r>
        <w:rPr>
          <w:rFonts w:ascii="Arial" w:hAnsi="Arial" w:cs="Arial"/>
          <w:b/>
          <w:bCs/>
          <w:sz w:val="22"/>
          <w:szCs w:val="22"/>
        </w:rPr>
        <w:t>Traders, Processors, Haulers and Manufacturers</w:t>
      </w:r>
    </w:p>
    <w:p w14:paraId="2D8F73CF">
      <w:pPr>
        <w:jc w:val="both"/>
        <w:rPr>
          <w:rFonts w:ascii="Arial" w:hAnsi="Arial" w:cs="Arial"/>
          <w:sz w:val="22"/>
          <w:szCs w:val="22"/>
        </w:rPr>
      </w:pPr>
      <w:r>
        <w:rPr>
          <w:rFonts w:ascii="Arial" w:hAnsi="Arial" w:cs="Arial"/>
          <w:sz w:val="22"/>
          <w:szCs w:val="22"/>
        </w:rPr>
        <w:t>Below are the traders who currently engaged into buying and processing raw rubber into different sizes and shapes according to market specifications.</w:t>
      </w:r>
    </w:p>
    <w:p w14:paraId="086D336D">
      <w:pPr>
        <w:numPr>
          <w:ilvl w:val="1"/>
          <w:numId w:val="2"/>
        </w:numPr>
        <w:jc w:val="both"/>
        <w:rPr>
          <w:rFonts w:ascii="Arial" w:hAnsi="Arial" w:cs="Arial"/>
          <w:sz w:val="22"/>
          <w:szCs w:val="22"/>
        </w:rPr>
      </w:pPr>
      <w:r>
        <w:rPr>
          <w:rFonts w:ascii="Arial" w:hAnsi="Arial" w:cs="Arial"/>
          <w:sz w:val="22"/>
          <w:szCs w:val="22"/>
        </w:rPr>
        <w:t>Jojo Mulato, with office in Puerto Princesa City, he is an independent trader operating all over Palawan. He ships his trade to Zamboanga for processing prior to selling in his intended market.</w:t>
      </w:r>
    </w:p>
    <w:p w14:paraId="11258828">
      <w:pPr>
        <w:numPr>
          <w:ilvl w:val="1"/>
          <w:numId w:val="2"/>
        </w:numPr>
        <w:jc w:val="both"/>
        <w:rPr>
          <w:rFonts w:ascii="Arial" w:hAnsi="Arial" w:cs="Arial"/>
          <w:sz w:val="22"/>
          <w:szCs w:val="22"/>
        </w:rPr>
      </w:pPr>
      <w:r>
        <w:rPr>
          <w:rFonts w:ascii="Arial" w:hAnsi="Arial" w:cs="Arial"/>
          <w:sz w:val="22"/>
          <w:szCs w:val="22"/>
        </w:rPr>
        <w:t>Arol Halon, a farmer and turned agent for a Zamboanga -based processor.</w:t>
      </w:r>
    </w:p>
    <w:p w14:paraId="23B1E519">
      <w:pPr>
        <w:jc w:val="both"/>
        <w:rPr>
          <w:rFonts w:ascii="Arial" w:hAnsi="Arial" w:cs="Arial"/>
          <w:sz w:val="22"/>
          <w:szCs w:val="22"/>
        </w:rPr>
      </w:pPr>
      <w:r>
        <w:rPr>
          <w:rFonts w:ascii="Arial" w:hAnsi="Arial" w:cs="Arial"/>
          <w:sz w:val="22"/>
          <w:szCs w:val="22"/>
        </w:rPr>
        <w:t>Both of these traders brought their commodity to Zamboanga to be processed before it became available to the intended market.</w:t>
      </w:r>
    </w:p>
    <w:p w14:paraId="483027AA">
      <w:pPr>
        <w:numPr>
          <w:ilvl w:val="1"/>
          <w:numId w:val="2"/>
        </w:numPr>
        <w:jc w:val="both"/>
        <w:rPr>
          <w:rFonts w:ascii="Arial" w:hAnsi="Arial" w:cs="Arial"/>
          <w:sz w:val="22"/>
          <w:szCs w:val="22"/>
          <w:vertAlign w:val="baseline"/>
        </w:rPr>
      </w:pPr>
      <w:r>
        <w:rPr>
          <w:rFonts w:ascii="Arial" w:hAnsi="Arial" w:cs="Arial"/>
          <w:sz w:val="22"/>
          <w:szCs w:val="22"/>
        </w:rPr>
        <w:t>Currently, there are small scale rubber processors operating in Quezon municipality. Bagong Pag-asa Foundation started their operation in Kalatagbak Quezon in 1985 producing RSS (rib-smoked sheets). Brothers Charles and Dennis Dugan started in 2008, Salleva &amp; Co. In 2012. They both produce RSS. Engr. Bernard Sampayan, son of Julian Sampayan is producing pale crepe with a rated production capacity of 0.5-0.8MT of dry rubber every day. Mary Jennifer Dayrit who hails from Manila is</w:t>
      </w:r>
    </w:p>
    <w:p w14:paraId="387B9C1E">
      <w:pPr>
        <w:numPr>
          <w:ilvl w:val="0"/>
          <w:numId w:val="0"/>
        </w:numPr>
        <w:ind w:leftChars="0"/>
        <w:jc w:val="both"/>
        <w:rPr>
          <w:rFonts w:ascii="Arial" w:hAnsi="Arial" w:cs="Arial"/>
          <w:sz w:val="22"/>
          <w:szCs w:val="22"/>
        </w:rPr>
      </w:pPr>
    </w:p>
    <w:p w14:paraId="2FA107FD">
      <w:pPr>
        <w:numPr>
          <w:ilvl w:val="0"/>
          <w:numId w:val="0"/>
        </w:numPr>
        <w:ind w:leftChars="0"/>
        <w:jc w:val="both"/>
        <w:rPr>
          <w:rFonts w:ascii="Arial" w:hAnsi="Arial" w:cs="Arial"/>
          <w:sz w:val="22"/>
          <w:szCs w:val="22"/>
        </w:rPr>
      </w:pPr>
    </w:p>
    <w:p w14:paraId="36C0028A">
      <w:pPr>
        <w:numPr>
          <w:ilvl w:val="0"/>
          <w:numId w:val="0"/>
        </w:numPr>
        <w:ind w:leftChars="0"/>
        <w:jc w:val="both"/>
        <w:rPr>
          <w:rFonts w:ascii="Arial" w:hAnsi="Arial" w:cs="Arial"/>
          <w:sz w:val="22"/>
          <w:szCs w:val="22"/>
        </w:rPr>
      </w:pPr>
    </w:p>
    <w:p w14:paraId="3CDAF4A2">
      <w:pPr>
        <w:numPr>
          <w:ilvl w:val="0"/>
          <w:numId w:val="0"/>
        </w:numPr>
        <w:ind w:leftChars="0"/>
        <w:jc w:val="both"/>
        <w:rPr>
          <w:rFonts w:ascii="Arial" w:hAnsi="Arial" w:cs="Arial"/>
          <w:sz w:val="22"/>
          <w:szCs w:val="22"/>
        </w:rPr>
      </w:pPr>
    </w:p>
    <w:p w14:paraId="7C5F961F">
      <w:pPr>
        <w:numPr>
          <w:ilvl w:val="0"/>
          <w:numId w:val="0"/>
        </w:numPr>
        <w:ind w:leftChars="0"/>
        <w:jc w:val="both"/>
        <w:rPr>
          <w:rFonts w:ascii="Arial" w:hAnsi="Arial" w:cs="Arial"/>
          <w:sz w:val="22"/>
          <w:szCs w:val="22"/>
        </w:rPr>
      </w:pPr>
    </w:p>
    <w:p w14:paraId="24CCF009">
      <w:pPr>
        <w:numPr>
          <w:ilvl w:val="0"/>
          <w:numId w:val="0"/>
        </w:numPr>
        <w:ind w:leftChars="0"/>
        <w:jc w:val="both"/>
        <w:rPr>
          <w:rFonts w:ascii="Arial" w:hAnsi="Arial" w:cs="Arial"/>
          <w:sz w:val="22"/>
          <w:szCs w:val="22"/>
        </w:rPr>
      </w:pPr>
    </w:p>
    <w:p w14:paraId="42748F82">
      <w:pPr>
        <w:numPr>
          <w:ilvl w:val="0"/>
          <w:numId w:val="0"/>
        </w:numPr>
        <w:ind w:leftChars="0"/>
        <w:jc w:val="both"/>
        <w:rPr>
          <w:rFonts w:ascii="Arial" w:hAnsi="Arial" w:cs="Arial"/>
          <w:sz w:val="22"/>
          <w:szCs w:val="22"/>
        </w:rPr>
      </w:pPr>
    </w:p>
    <w:p w14:paraId="2B32D8D3">
      <w:pPr>
        <w:numPr>
          <w:ilvl w:val="0"/>
          <w:numId w:val="0"/>
        </w:numPr>
        <w:ind w:leftChars="0"/>
        <w:jc w:val="both"/>
        <w:rPr>
          <w:rFonts w:ascii="Arial" w:hAnsi="Arial" w:cs="Arial"/>
          <w:sz w:val="22"/>
          <w:szCs w:val="22"/>
        </w:rPr>
      </w:pPr>
    </w:p>
    <w:p w14:paraId="5B5E1AE7">
      <w:pPr>
        <w:numPr>
          <w:ilvl w:val="0"/>
          <w:numId w:val="0"/>
        </w:numPr>
        <w:ind w:leftChars="0"/>
        <w:jc w:val="both"/>
        <w:rPr>
          <w:rFonts w:ascii="Arial" w:hAnsi="Arial" w:cs="Arial"/>
          <w:sz w:val="22"/>
          <w:szCs w:val="22"/>
        </w:rPr>
      </w:pPr>
    </w:p>
    <w:tbl>
      <w:tblPr>
        <w:tblStyle w:val="8"/>
        <w:tblpPr w:leftFromText="180" w:rightFromText="180" w:vertAnchor="text" w:horzAnchor="page" w:tblpX="1815" w:tblpY="6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8"/>
        <w:gridCol w:w="1869"/>
        <w:gridCol w:w="1800"/>
        <w:gridCol w:w="1854"/>
      </w:tblGrid>
      <w:tr w14:paraId="3404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tcBorders>
              <w:top w:val="single" w:color="auto" w:sz="4" w:space="0"/>
              <w:left w:val="nil"/>
              <w:bottom w:val="single" w:color="auto" w:sz="4" w:space="0"/>
              <w:right w:val="nil"/>
            </w:tcBorders>
            <w:shd w:val="clear" w:color="auto" w:fill="auto"/>
            <w:vAlign w:val="top"/>
          </w:tcPr>
          <w:p w14:paraId="3BC5BF23">
            <w:pPr>
              <w:widowControl w:val="0"/>
              <w:numPr>
                <w:ilvl w:val="0"/>
                <w:numId w:val="0"/>
              </w:numPr>
              <w:ind w:leftChars="0"/>
              <w:jc w:val="center"/>
              <w:rPr>
                <w:rFonts w:hint="default" w:ascii="Arial" w:hAnsi="Arial" w:cs="Arial"/>
                <w:b/>
                <w:bCs/>
                <w:sz w:val="22"/>
                <w:szCs w:val="22"/>
                <w:vertAlign w:val="baseline"/>
                <w:lang w:val="en-US"/>
              </w:rPr>
            </w:pPr>
            <w:r>
              <w:rPr>
                <w:rFonts w:hint="default" w:ascii="Arial" w:hAnsi="Arial" w:cs="Arial"/>
                <w:b/>
                <w:bCs/>
                <w:sz w:val="22"/>
                <w:szCs w:val="22"/>
                <w:vertAlign w:val="baseline"/>
                <w:lang w:val="en-US"/>
              </w:rPr>
              <w:t>Name of Buyer.Processor</w:t>
            </w:r>
          </w:p>
        </w:tc>
        <w:tc>
          <w:tcPr>
            <w:tcW w:w="1869" w:type="dxa"/>
            <w:tcBorders>
              <w:top w:val="single" w:color="auto" w:sz="4" w:space="0"/>
              <w:left w:val="nil"/>
              <w:bottom w:val="single" w:color="auto" w:sz="4" w:space="0"/>
              <w:right w:val="nil"/>
            </w:tcBorders>
            <w:shd w:val="clear" w:color="auto" w:fill="auto"/>
            <w:vAlign w:val="top"/>
          </w:tcPr>
          <w:p w14:paraId="5882C704">
            <w:pPr>
              <w:widowControl w:val="0"/>
              <w:numPr>
                <w:ilvl w:val="0"/>
                <w:numId w:val="0"/>
              </w:numPr>
              <w:ind w:leftChars="0"/>
              <w:jc w:val="center"/>
              <w:rPr>
                <w:rFonts w:hint="default" w:ascii="Arial" w:hAnsi="Arial" w:cs="Arial"/>
                <w:b/>
                <w:bCs/>
                <w:sz w:val="22"/>
                <w:szCs w:val="22"/>
                <w:vertAlign w:val="baseline"/>
                <w:lang w:val="en-US"/>
              </w:rPr>
            </w:pPr>
            <w:r>
              <w:rPr>
                <w:rFonts w:hint="default" w:ascii="Arial" w:hAnsi="Arial" w:cs="Arial"/>
                <w:b/>
                <w:bCs/>
                <w:sz w:val="22"/>
                <w:szCs w:val="22"/>
                <w:vertAlign w:val="baseline"/>
                <w:lang w:val="en-US"/>
              </w:rPr>
              <w:t>Location/ Address</w:t>
            </w:r>
          </w:p>
        </w:tc>
        <w:tc>
          <w:tcPr>
            <w:tcW w:w="1800" w:type="dxa"/>
            <w:tcBorders>
              <w:top w:val="single" w:color="auto" w:sz="4" w:space="0"/>
              <w:left w:val="nil"/>
              <w:bottom w:val="single" w:color="auto" w:sz="4" w:space="0"/>
              <w:right w:val="nil"/>
            </w:tcBorders>
            <w:shd w:val="clear" w:color="auto" w:fill="auto"/>
            <w:vAlign w:val="top"/>
          </w:tcPr>
          <w:p w14:paraId="172E1A81">
            <w:pPr>
              <w:widowControl w:val="0"/>
              <w:numPr>
                <w:ilvl w:val="0"/>
                <w:numId w:val="0"/>
              </w:numPr>
              <w:ind w:leftChars="0"/>
              <w:jc w:val="center"/>
              <w:rPr>
                <w:rFonts w:hint="default" w:ascii="Arial" w:hAnsi="Arial" w:cs="Arial"/>
                <w:b/>
                <w:bCs/>
                <w:sz w:val="22"/>
                <w:szCs w:val="22"/>
                <w:vertAlign w:val="baseline"/>
                <w:lang w:val="en-US"/>
              </w:rPr>
            </w:pPr>
            <w:r>
              <w:rPr>
                <w:rFonts w:hint="default" w:ascii="Arial" w:hAnsi="Arial" w:cs="Arial"/>
                <w:b/>
                <w:bCs/>
                <w:sz w:val="22"/>
                <w:szCs w:val="22"/>
                <w:vertAlign w:val="baseline"/>
                <w:lang w:val="en-US"/>
              </w:rPr>
              <w:t>Output Type</w:t>
            </w:r>
          </w:p>
        </w:tc>
        <w:tc>
          <w:tcPr>
            <w:tcW w:w="1854" w:type="dxa"/>
            <w:tcBorders>
              <w:top w:val="single" w:color="auto" w:sz="4" w:space="0"/>
              <w:left w:val="nil"/>
              <w:bottom w:val="single" w:color="auto" w:sz="4" w:space="0"/>
              <w:right w:val="nil"/>
            </w:tcBorders>
            <w:shd w:val="clear" w:color="auto" w:fill="auto"/>
            <w:vAlign w:val="top"/>
          </w:tcPr>
          <w:p w14:paraId="19C74DFC">
            <w:pPr>
              <w:widowControl w:val="0"/>
              <w:numPr>
                <w:ilvl w:val="0"/>
                <w:numId w:val="0"/>
              </w:numPr>
              <w:ind w:leftChars="0"/>
              <w:jc w:val="center"/>
              <w:rPr>
                <w:rFonts w:hint="default" w:ascii="Arial" w:hAnsi="Arial" w:cs="Arial"/>
                <w:b/>
                <w:bCs/>
                <w:sz w:val="22"/>
                <w:szCs w:val="22"/>
                <w:vertAlign w:val="baseline"/>
                <w:lang w:val="en-US"/>
              </w:rPr>
            </w:pPr>
            <w:r>
              <w:rPr>
                <w:rFonts w:hint="default" w:ascii="Arial" w:hAnsi="Arial" w:cs="Arial"/>
                <w:b/>
                <w:bCs/>
                <w:sz w:val="22"/>
                <w:szCs w:val="22"/>
                <w:vertAlign w:val="baseline"/>
                <w:lang w:val="en-US"/>
              </w:rPr>
              <w:t xml:space="preserve">Capacity </w:t>
            </w:r>
          </w:p>
          <w:p w14:paraId="5B9439F1">
            <w:pPr>
              <w:widowControl w:val="0"/>
              <w:numPr>
                <w:ilvl w:val="0"/>
                <w:numId w:val="0"/>
              </w:numPr>
              <w:ind w:leftChars="0"/>
              <w:jc w:val="center"/>
              <w:rPr>
                <w:rFonts w:hint="default" w:ascii="Arial" w:hAnsi="Arial" w:cs="Arial"/>
                <w:b/>
                <w:bCs/>
                <w:sz w:val="22"/>
                <w:szCs w:val="22"/>
                <w:vertAlign w:val="baseline"/>
                <w:lang w:val="en-US"/>
              </w:rPr>
            </w:pPr>
            <w:r>
              <w:rPr>
                <w:rFonts w:hint="default" w:ascii="Arial" w:hAnsi="Arial" w:cs="Arial"/>
                <w:b/>
                <w:bCs/>
                <w:sz w:val="22"/>
                <w:szCs w:val="22"/>
                <w:vertAlign w:val="baseline"/>
                <w:lang w:val="en-US"/>
              </w:rPr>
              <w:t>(in kgs)</w:t>
            </w:r>
          </w:p>
        </w:tc>
      </w:tr>
      <w:tr w14:paraId="3505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tcBorders>
              <w:top w:val="single" w:color="auto" w:sz="4" w:space="0"/>
              <w:left w:val="nil"/>
              <w:bottom w:val="nil"/>
              <w:right w:val="nil"/>
            </w:tcBorders>
            <w:shd w:val="clear" w:color="auto" w:fill="auto"/>
            <w:vAlign w:val="top"/>
          </w:tcPr>
          <w:p w14:paraId="75B51C4A">
            <w:pPr>
              <w:widowControl w:val="0"/>
              <w:numPr>
                <w:ilvl w:val="0"/>
                <w:numId w:val="3"/>
              </w:numPr>
              <w:ind w:leftChars="0"/>
              <w:jc w:val="both"/>
              <w:rPr>
                <w:rFonts w:hint="default" w:ascii="Arial" w:hAnsi="Arial" w:cs="Arial"/>
                <w:sz w:val="22"/>
                <w:szCs w:val="22"/>
                <w:vertAlign w:val="baseline"/>
                <w:lang w:val="en-US"/>
              </w:rPr>
            </w:pPr>
            <w:r>
              <w:rPr>
                <w:rFonts w:hint="default" w:ascii="Arial" w:hAnsi="Arial" w:cs="Arial"/>
                <w:sz w:val="22"/>
                <w:szCs w:val="22"/>
                <w:vertAlign w:val="baseline"/>
                <w:lang w:val="en-US"/>
              </w:rPr>
              <w:t>Sampayan</w:t>
            </w:r>
          </w:p>
        </w:tc>
        <w:tc>
          <w:tcPr>
            <w:tcW w:w="1869" w:type="dxa"/>
            <w:tcBorders>
              <w:top w:val="single" w:color="auto" w:sz="4" w:space="0"/>
              <w:left w:val="nil"/>
              <w:bottom w:val="nil"/>
              <w:right w:val="nil"/>
            </w:tcBorders>
            <w:shd w:val="clear" w:color="auto" w:fill="auto"/>
            <w:vAlign w:val="top"/>
          </w:tcPr>
          <w:p w14:paraId="172FE060">
            <w:pPr>
              <w:widowControl w:val="0"/>
              <w:numPr>
                <w:ilvl w:val="0"/>
                <w:numId w:val="0"/>
              </w:numPr>
              <w:jc w:val="both"/>
              <w:rPr>
                <w:rFonts w:hint="default" w:ascii="Arial" w:hAnsi="Arial" w:cs="Arial"/>
                <w:sz w:val="22"/>
                <w:szCs w:val="22"/>
                <w:vertAlign w:val="baseline"/>
                <w:lang w:val="en-US"/>
              </w:rPr>
            </w:pPr>
          </w:p>
        </w:tc>
        <w:tc>
          <w:tcPr>
            <w:tcW w:w="1800" w:type="dxa"/>
            <w:tcBorders>
              <w:top w:val="single" w:color="auto" w:sz="4" w:space="0"/>
              <w:left w:val="nil"/>
              <w:bottom w:val="nil"/>
              <w:right w:val="nil"/>
            </w:tcBorders>
            <w:shd w:val="clear" w:color="auto" w:fill="auto"/>
            <w:vAlign w:val="top"/>
          </w:tcPr>
          <w:p w14:paraId="543D72BC">
            <w:pPr>
              <w:widowControl w:val="0"/>
              <w:numPr>
                <w:ilvl w:val="0"/>
                <w:numId w:val="0"/>
              </w:numPr>
              <w:ind w:leftChars="0"/>
              <w:jc w:val="both"/>
              <w:rPr>
                <w:rFonts w:hint="default" w:ascii="Arial" w:hAnsi="Arial" w:cs="Arial"/>
                <w:sz w:val="22"/>
                <w:szCs w:val="22"/>
                <w:vertAlign w:val="baseline"/>
                <w:lang w:val="en-US"/>
              </w:rPr>
            </w:pPr>
            <w:r>
              <w:rPr>
                <w:rFonts w:hint="default" w:ascii="Arial" w:hAnsi="Arial" w:cs="Arial"/>
                <w:sz w:val="22"/>
                <w:szCs w:val="22"/>
                <w:vertAlign w:val="baseline"/>
                <w:lang w:val="en-US"/>
              </w:rPr>
              <w:t>Pale Crepe</w:t>
            </w:r>
          </w:p>
        </w:tc>
        <w:tc>
          <w:tcPr>
            <w:tcW w:w="1854" w:type="dxa"/>
            <w:tcBorders>
              <w:top w:val="single" w:color="auto" w:sz="4" w:space="0"/>
              <w:left w:val="nil"/>
              <w:bottom w:val="nil"/>
              <w:right w:val="nil"/>
            </w:tcBorders>
            <w:shd w:val="clear" w:color="auto" w:fill="auto"/>
            <w:vAlign w:val="top"/>
          </w:tcPr>
          <w:p w14:paraId="42BA06BE">
            <w:pPr>
              <w:widowControl w:val="0"/>
              <w:numPr>
                <w:ilvl w:val="0"/>
                <w:numId w:val="0"/>
              </w:numPr>
              <w:ind w:leftChars="0"/>
              <w:jc w:val="right"/>
              <w:rPr>
                <w:rFonts w:hint="default" w:ascii="Arial" w:hAnsi="Arial" w:cs="Arial"/>
                <w:sz w:val="22"/>
                <w:szCs w:val="22"/>
                <w:vertAlign w:val="baseline"/>
                <w:lang w:val="en-US"/>
              </w:rPr>
            </w:pPr>
            <w:r>
              <w:rPr>
                <w:rFonts w:hint="default" w:ascii="Arial" w:hAnsi="Arial" w:cs="Arial"/>
                <w:sz w:val="22"/>
                <w:szCs w:val="22"/>
                <w:vertAlign w:val="baseline"/>
                <w:lang w:val="en-US"/>
              </w:rPr>
              <w:t>800.00</w:t>
            </w:r>
          </w:p>
        </w:tc>
      </w:tr>
      <w:tr w14:paraId="5BB4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tcBorders>
              <w:top w:val="nil"/>
              <w:left w:val="nil"/>
              <w:bottom w:val="nil"/>
              <w:right w:val="nil"/>
            </w:tcBorders>
            <w:shd w:val="clear" w:color="auto" w:fill="auto"/>
            <w:vAlign w:val="top"/>
          </w:tcPr>
          <w:p w14:paraId="7572D168">
            <w:pPr>
              <w:widowControl w:val="0"/>
              <w:numPr>
                <w:ilvl w:val="0"/>
                <w:numId w:val="0"/>
              </w:numPr>
              <w:ind w:leftChars="0"/>
              <w:jc w:val="both"/>
              <w:rPr>
                <w:rFonts w:hint="default" w:ascii="Arial" w:hAnsi="Arial" w:cs="Arial"/>
                <w:sz w:val="22"/>
                <w:szCs w:val="22"/>
                <w:vertAlign w:val="baseline"/>
                <w:lang w:val="en-US"/>
              </w:rPr>
            </w:pPr>
            <w:r>
              <w:rPr>
                <w:rFonts w:hint="default" w:ascii="Arial" w:hAnsi="Arial" w:cs="Arial"/>
                <w:sz w:val="22"/>
                <w:szCs w:val="22"/>
                <w:vertAlign w:val="baseline"/>
                <w:lang w:val="en-US"/>
              </w:rPr>
              <w:t>M.J Dayrit</w:t>
            </w:r>
          </w:p>
        </w:tc>
        <w:tc>
          <w:tcPr>
            <w:tcW w:w="1869" w:type="dxa"/>
            <w:tcBorders>
              <w:top w:val="nil"/>
              <w:left w:val="nil"/>
              <w:bottom w:val="nil"/>
              <w:right w:val="nil"/>
            </w:tcBorders>
            <w:shd w:val="clear" w:color="auto" w:fill="auto"/>
            <w:vAlign w:val="top"/>
          </w:tcPr>
          <w:p w14:paraId="1C0059B6">
            <w:pPr>
              <w:widowControl w:val="0"/>
              <w:numPr>
                <w:ilvl w:val="0"/>
                <w:numId w:val="0"/>
              </w:numPr>
              <w:ind w:leftChars="0"/>
              <w:jc w:val="both"/>
              <w:rPr>
                <w:rFonts w:hint="default" w:ascii="Arial" w:hAnsi="Arial" w:cs="Arial"/>
                <w:sz w:val="22"/>
                <w:szCs w:val="22"/>
                <w:vertAlign w:val="baseline"/>
                <w:lang w:val="en-US"/>
              </w:rPr>
            </w:pPr>
          </w:p>
        </w:tc>
        <w:tc>
          <w:tcPr>
            <w:tcW w:w="1800" w:type="dxa"/>
            <w:tcBorders>
              <w:top w:val="nil"/>
              <w:left w:val="nil"/>
              <w:bottom w:val="nil"/>
              <w:right w:val="nil"/>
            </w:tcBorders>
            <w:shd w:val="clear" w:color="auto" w:fill="auto"/>
            <w:vAlign w:val="top"/>
          </w:tcPr>
          <w:p w14:paraId="4DD2468E">
            <w:pPr>
              <w:widowControl w:val="0"/>
              <w:numPr>
                <w:ilvl w:val="0"/>
                <w:numId w:val="0"/>
              </w:numPr>
              <w:ind w:leftChars="0"/>
              <w:jc w:val="both"/>
              <w:rPr>
                <w:rFonts w:hint="default" w:ascii="Arial" w:hAnsi="Arial" w:cs="Arial"/>
                <w:sz w:val="22"/>
                <w:szCs w:val="22"/>
                <w:vertAlign w:val="baseline"/>
                <w:lang w:val="en-US"/>
              </w:rPr>
            </w:pPr>
            <w:r>
              <w:rPr>
                <w:rFonts w:hint="default" w:ascii="Arial" w:hAnsi="Arial" w:cs="Arial"/>
                <w:sz w:val="22"/>
                <w:szCs w:val="22"/>
                <w:vertAlign w:val="baseline"/>
                <w:lang w:val="en-US"/>
              </w:rPr>
              <w:t>Pale Crepe</w:t>
            </w:r>
          </w:p>
        </w:tc>
        <w:tc>
          <w:tcPr>
            <w:tcW w:w="1854" w:type="dxa"/>
            <w:tcBorders>
              <w:top w:val="nil"/>
              <w:left w:val="nil"/>
              <w:bottom w:val="nil"/>
              <w:right w:val="nil"/>
            </w:tcBorders>
            <w:shd w:val="clear" w:color="auto" w:fill="auto"/>
            <w:vAlign w:val="top"/>
          </w:tcPr>
          <w:p w14:paraId="402569A1">
            <w:pPr>
              <w:widowControl w:val="0"/>
              <w:numPr>
                <w:ilvl w:val="0"/>
                <w:numId w:val="0"/>
              </w:numPr>
              <w:ind w:leftChars="0"/>
              <w:jc w:val="right"/>
              <w:rPr>
                <w:rFonts w:hint="default" w:ascii="Arial" w:hAnsi="Arial" w:cs="Arial"/>
                <w:sz w:val="22"/>
                <w:szCs w:val="22"/>
                <w:vertAlign w:val="baseline"/>
                <w:lang w:val="en-US"/>
              </w:rPr>
            </w:pPr>
            <w:r>
              <w:rPr>
                <w:rFonts w:hint="default" w:ascii="Arial" w:hAnsi="Arial" w:cs="Arial"/>
                <w:sz w:val="22"/>
                <w:szCs w:val="22"/>
                <w:vertAlign w:val="baseline"/>
                <w:lang w:val="en-US"/>
              </w:rPr>
              <w:t>1,200.00</w:t>
            </w:r>
          </w:p>
        </w:tc>
      </w:tr>
      <w:tr w14:paraId="0CC9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tcBorders>
              <w:top w:val="nil"/>
              <w:left w:val="nil"/>
              <w:bottom w:val="nil"/>
              <w:right w:val="nil"/>
            </w:tcBorders>
            <w:shd w:val="clear" w:color="auto" w:fill="auto"/>
            <w:vAlign w:val="top"/>
          </w:tcPr>
          <w:p w14:paraId="1D6DEACA">
            <w:pPr>
              <w:widowControl w:val="0"/>
              <w:numPr>
                <w:ilvl w:val="0"/>
                <w:numId w:val="0"/>
              </w:numPr>
              <w:ind w:leftChars="0"/>
              <w:jc w:val="both"/>
              <w:rPr>
                <w:rFonts w:hint="default" w:ascii="Arial" w:hAnsi="Arial" w:cs="Arial"/>
                <w:sz w:val="22"/>
                <w:szCs w:val="22"/>
                <w:vertAlign w:val="baseline"/>
                <w:lang w:val="en-US"/>
              </w:rPr>
            </w:pPr>
            <w:r>
              <w:rPr>
                <w:rFonts w:hint="default" w:ascii="Arial" w:hAnsi="Arial" w:cs="Arial"/>
                <w:sz w:val="22"/>
                <w:szCs w:val="22"/>
                <w:vertAlign w:val="baseline"/>
                <w:lang w:val="en-US"/>
              </w:rPr>
              <w:t>Salleva &amp; Co</w:t>
            </w:r>
          </w:p>
        </w:tc>
        <w:tc>
          <w:tcPr>
            <w:tcW w:w="1869" w:type="dxa"/>
            <w:tcBorders>
              <w:top w:val="nil"/>
              <w:left w:val="nil"/>
              <w:bottom w:val="nil"/>
              <w:right w:val="nil"/>
            </w:tcBorders>
            <w:shd w:val="clear" w:color="auto" w:fill="auto"/>
            <w:vAlign w:val="top"/>
          </w:tcPr>
          <w:p w14:paraId="42A88CF4">
            <w:pPr>
              <w:widowControl w:val="0"/>
              <w:numPr>
                <w:ilvl w:val="0"/>
                <w:numId w:val="0"/>
              </w:numPr>
              <w:ind w:leftChars="0"/>
              <w:jc w:val="both"/>
              <w:rPr>
                <w:rFonts w:hint="default" w:ascii="Arial" w:hAnsi="Arial" w:cs="Arial"/>
                <w:sz w:val="22"/>
                <w:szCs w:val="22"/>
                <w:vertAlign w:val="baseline"/>
                <w:lang w:val="en-US"/>
              </w:rPr>
            </w:pPr>
          </w:p>
        </w:tc>
        <w:tc>
          <w:tcPr>
            <w:tcW w:w="1800" w:type="dxa"/>
            <w:tcBorders>
              <w:top w:val="nil"/>
              <w:left w:val="nil"/>
              <w:bottom w:val="nil"/>
              <w:right w:val="nil"/>
            </w:tcBorders>
            <w:shd w:val="clear" w:color="auto" w:fill="auto"/>
            <w:vAlign w:val="top"/>
          </w:tcPr>
          <w:p w14:paraId="2229D6EC">
            <w:pPr>
              <w:widowControl w:val="0"/>
              <w:numPr>
                <w:ilvl w:val="0"/>
                <w:numId w:val="0"/>
              </w:numPr>
              <w:ind w:leftChars="0"/>
              <w:jc w:val="both"/>
              <w:rPr>
                <w:rFonts w:hint="default" w:ascii="Arial" w:hAnsi="Arial" w:cs="Arial"/>
                <w:sz w:val="22"/>
                <w:szCs w:val="22"/>
                <w:vertAlign w:val="baseline"/>
                <w:lang w:val="en-US"/>
              </w:rPr>
            </w:pPr>
            <w:r>
              <w:rPr>
                <w:rFonts w:hint="default" w:ascii="Arial" w:hAnsi="Arial" w:cs="Arial"/>
                <w:sz w:val="22"/>
                <w:szCs w:val="22"/>
                <w:vertAlign w:val="baseline"/>
                <w:lang w:val="en-US"/>
              </w:rPr>
              <w:t>RSS</w:t>
            </w:r>
          </w:p>
        </w:tc>
        <w:tc>
          <w:tcPr>
            <w:tcW w:w="1854" w:type="dxa"/>
            <w:tcBorders>
              <w:top w:val="nil"/>
              <w:left w:val="nil"/>
              <w:bottom w:val="nil"/>
              <w:right w:val="nil"/>
            </w:tcBorders>
            <w:shd w:val="clear" w:color="auto" w:fill="auto"/>
            <w:vAlign w:val="top"/>
          </w:tcPr>
          <w:p w14:paraId="26B45E07">
            <w:pPr>
              <w:widowControl w:val="0"/>
              <w:numPr>
                <w:ilvl w:val="0"/>
                <w:numId w:val="0"/>
              </w:numPr>
              <w:ind w:leftChars="0"/>
              <w:jc w:val="right"/>
              <w:rPr>
                <w:rFonts w:hint="default" w:ascii="Arial" w:hAnsi="Arial" w:cs="Arial"/>
                <w:sz w:val="22"/>
                <w:szCs w:val="22"/>
                <w:vertAlign w:val="baseline"/>
                <w:lang w:val="en-US"/>
              </w:rPr>
            </w:pPr>
            <w:r>
              <w:rPr>
                <w:rFonts w:hint="default" w:ascii="Arial" w:hAnsi="Arial" w:cs="Arial"/>
                <w:sz w:val="22"/>
                <w:szCs w:val="22"/>
                <w:vertAlign w:val="baseline"/>
                <w:lang w:val="en-US"/>
              </w:rPr>
              <w:t>300.00</w:t>
            </w:r>
          </w:p>
        </w:tc>
      </w:tr>
      <w:tr w14:paraId="6C5D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tcBorders>
              <w:top w:val="nil"/>
              <w:left w:val="nil"/>
              <w:bottom w:val="nil"/>
              <w:right w:val="nil"/>
            </w:tcBorders>
            <w:shd w:val="clear" w:color="auto" w:fill="auto"/>
            <w:vAlign w:val="top"/>
          </w:tcPr>
          <w:p w14:paraId="18B76809">
            <w:pPr>
              <w:widowControl w:val="0"/>
              <w:numPr>
                <w:ilvl w:val="0"/>
                <w:numId w:val="0"/>
              </w:numPr>
              <w:ind w:leftChars="0"/>
              <w:jc w:val="both"/>
              <w:rPr>
                <w:rFonts w:hint="default" w:ascii="Arial" w:hAnsi="Arial" w:cs="Arial"/>
                <w:sz w:val="22"/>
                <w:szCs w:val="22"/>
                <w:vertAlign w:val="baseline"/>
                <w:lang w:val="en-US"/>
              </w:rPr>
            </w:pPr>
            <w:r>
              <w:rPr>
                <w:rFonts w:hint="default" w:ascii="Arial" w:hAnsi="Arial" w:cs="Arial"/>
                <w:sz w:val="22"/>
                <w:szCs w:val="22"/>
                <w:vertAlign w:val="baseline"/>
                <w:lang w:val="en-US"/>
              </w:rPr>
              <w:t>Pediapco</w:t>
            </w:r>
          </w:p>
        </w:tc>
        <w:tc>
          <w:tcPr>
            <w:tcW w:w="1869" w:type="dxa"/>
            <w:tcBorders>
              <w:top w:val="nil"/>
              <w:left w:val="nil"/>
              <w:bottom w:val="nil"/>
              <w:right w:val="nil"/>
            </w:tcBorders>
            <w:shd w:val="clear" w:color="auto" w:fill="auto"/>
            <w:vAlign w:val="top"/>
          </w:tcPr>
          <w:p w14:paraId="0192EAF3">
            <w:pPr>
              <w:widowControl w:val="0"/>
              <w:numPr>
                <w:ilvl w:val="0"/>
                <w:numId w:val="0"/>
              </w:numPr>
              <w:ind w:leftChars="0"/>
              <w:jc w:val="both"/>
              <w:rPr>
                <w:rFonts w:hint="default" w:ascii="Arial" w:hAnsi="Arial" w:cs="Arial"/>
                <w:sz w:val="22"/>
                <w:szCs w:val="22"/>
                <w:vertAlign w:val="baseline"/>
                <w:lang w:val="en-US"/>
              </w:rPr>
            </w:pPr>
          </w:p>
        </w:tc>
        <w:tc>
          <w:tcPr>
            <w:tcW w:w="1800" w:type="dxa"/>
            <w:tcBorders>
              <w:top w:val="nil"/>
              <w:left w:val="nil"/>
              <w:bottom w:val="nil"/>
              <w:right w:val="nil"/>
            </w:tcBorders>
            <w:shd w:val="clear" w:color="auto" w:fill="auto"/>
            <w:vAlign w:val="top"/>
          </w:tcPr>
          <w:p w14:paraId="56F3D7DB">
            <w:pPr>
              <w:widowControl w:val="0"/>
              <w:numPr>
                <w:ilvl w:val="0"/>
                <w:numId w:val="0"/>
              </w:numPr>
              <w:ind w:leftChars="0"/>
              <w:jc w:val="both"/>
              <w:rPr>
                <w:rFonts w:hint="default" w:ascii="Arial" w:hAnsi="Arial" w:cs="Arial"/>
                <w:sz w:val="22"/>
                <w:szCs w:val="22"/>
                <w:vertAlign w:val="baseline"/>
                <w:lang w:val="en-US"/>
              </w:rPr>
            </w:pPr>
            <w:r>
              <w:rPr>
                <w:rFonts w:hint="default" w:ascii="Arial" w:hAnsi="Arial" w:cs="Arial"/>
                <w:sz w:val="22"/>
                <w:szCs w:val="22"/>
                <w:vertAlign w:val="baseline"/>
                <w:lang w:val="en-US"/>
              </w:rPr>
              <w:t>RSS</w:t>
            </w:r>
          </w:p>
        </w:tc>
        <w:tc>
          <w:tcPr>
            <w:tcW w:w="1854" w:type="dxa"/>
            <w:tcBorders>
              <w:top w:val="nil"/>
              <w:left w:val="nil"/>
              <w:bottom w:val="nil"/>
              <w:right w:val="nil"/>
            </w:tcBorders>
            <w:shd w:val="clear" w:color="auto" w:fill="auto"/>
            <w:vAlign w:val="top"/>
          </w:tcPr>
          <w:p w14:paraId="1970FDAB">
            <w:pPr>
              <w:widowControl w:val="0"/>
              <w:numPr>
                <w:ilvl w:val="0"/>
                <w:numId w:val="0"/>
              </w:numPr>
              <w:ind w:leftChars="0"/>
              <w:jc w:val="right"/>
              <w:rPr>
                <w:rFonts w:hint="default" w:ascii="Arial" w:hAnsi="Arial" w:cs="Arial"/>
                <w:sz w:val="22"/>
                <w:szCs w:val="22"/>
                <w:vertAlign w:val="baseline"/>
                <w:lang w:val="en-US"/>
              </w:rPr>
            </w:pPr>
            <w:r>
              <w:rPr>
                <w:rFonts w:hint="default" w:ascii="Arial" w:hAnsi="Arial" w:cs="Arial"/>
                <w:sz w:val="22"/>
                <w:szCs w:val="22"/>
                <w:vertAlign w:val="baseline"/>
                <w:lang w:val="en-US"/>
              </w:rPr>
              <w:t>300.00</w:t>
            </w:r>
          </w:p>
        </w:tc>
      </w:tr>
      <w:tr w14:paraId="6EFF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tcBorders>
              <w:top w:val="nil"/>
              <w:left w:val="nil"/>
              <w:bottom w:val="nil"/>
              <w:right w:val="nil"/>
            </w:tcBorders>
            <w:shd w:val="clear" w:color="auto" w:fill="auto"/>
            <w:vAlign w:val="top"/>
          </w:tcPr>
          <w:p w14:paraId="798BCF33">
            <w:pPr>
              <w:widowControl w:val="0"/>
              <w:numPr>
                <w:ilvl w:val="0"/>
                <w:numId w:val="0"/>
              </w:numPr>
              <w:ind w:leftChars="0"/>
              <w:jc w:val="both"/>
              <w:rPr>
                <w:rFonts w:hint="default" w:ascii="Arial" w:hAnsi="Arial" w:cs="Arial"/>
                <w:sz w:val="22"/>
                <w:szCs w:val="22"/>
                <w:vertAlign w:val="baseline"/>
                <w:lang w:val="en-US"/>
              </w:rPr>
            </w:pPr>
            <w:r>
              <w:rPr>
                <w:rFonts w:hint="default" w:ascii="Arial" w:hAnsi="Arial" w:cs="Arial"/>
                <w:sz w:val="22"/>
                <w:szCs w:val="22"/>
                <w:vertAlign w:val="baseline"/>
                <w:lang w:val="en-US"/>
              </w:rPr>
              <w:t>Charles &amp; Debbis Dugan</w:t>
            </w:r>
          </w:p>
        </w:tc>
        <w:tc>
          <w:tcPr>
            <w:tcW w:w="1869" w:type="dxa"/>
            <w:tcBorders>
              <w:top w:val="nil"/>
              <w:left w:val="nil"/>
              <w:bottom w:val="nil"/>
              <w:right w:val="nil"/>
            </w:tcBorders>
            <w:shd w:val="clear" w:color="auto" w:fill="auto"/>
            <w:vAlign w:val="top"/>
          </w:tcPr>
          <w:p w14:paraId="6C8EB8BB">
            <w:pPr>
              <w:widowControl w:val="0"/>
              <w:numPr>
                <w:ilvl w:val="0"/>
                <w:numId w:val="0"/>
              </w:numPr>
              <w:ind w:leftChars="0"/>
              <w:jc w:val="both"/>
              <w:rPr>
                <w:rFonts w:hint="default" w:ascii="Arial" w:hAnsi="Arial" w:cs="Arial"/>
                <w:sz w:val="22"/>
                <w:szCs w:val="22"/>
                <w:vertAlign w:val="baseline"/>
                <w:lang w:val="en-US"/>
              </w:rPr>
            </w:pPr>
          </w:p>
        </w:tc>
        <w:tc>
          <w:tcPr>
            <w:tcW w:w="1800" w:type="dxa"/>
            <w:tcBorders>
              <w:top w:val="nil"/>
              <w:left w:val="nil"/>
              <w:bottom w:val="nil"/>
              <w:right w:val="nil"/>
            </w:tcBorders>
            <w:shd w:val="clear" w:color="auto" w:fill="auto"/>
            <w:vAlign w:val="top"/>
          </w:tcPr>
          <w:p w14:paraId="32C43B38">
            <w:pPr>
              <w:widowControl w:val="0"/>
              <w:numPr>
                <w:ilvl w:val="0"/>
                <w:numId w:val="0"/>
              </w:numPr>
              <w:ind w:leftChars="0"/>
              <w:jc w:val="both"/>
              <w:rPr>
                <w:rFonts w:hint="default" w:ascii="Arial" w:hAnsi="Arial" w:cs="Arial"/>
                <w:sz w:val="22"/>
                <w:szCs w:val="22"/>
                <w:vertAlign w:val="baseline"/>
                <w:lang w:val="en-US"/>
              </w:rPr>
            </w:pPr>
            <w:r>
              <w:rPr>
                <w:rFonts w:hint="default" w:ascii="Arial" w:hAnsi="Arial" w:cs="Arial"/>
                <w:sz w:val="22"/>
                <w:szCs w:val="22"/>
                <w:vertAlign w:val="baseline"/>
                <w:lang w:val="en-US"/>
              </w:rPr>
              <w:t>RSS</w:t>
            </w:r>
          </w:p>
        </w:tc>
        <w:tc>
          <w:tcPr>
            <w:tcW w:w="1854" w:type="dxa"/>
            <w:tcBorders>
              <w:top w:val="nil"/>
              <w:left w:val="nil"/>
              <w:bottom w:val="nil"/>
              <w:right w:val="nil"/>
            </w:tcBorders>
            <w:shd w:val="clear" w:color="auto" w:fill="auto"/>
            <w:vAlign w:val="top"/>
          </w:tcPr>
          <w:p w14:paraId="16722B6C">
            <w:pPr>
              <w:widowControl w:val="0"/>
              <w:numPr>
                <w:ilvl w:val="0"/>
                <w:numId w:val="0"/>
              </w:numPr>
              <w:ind w:leftChars="0"/>
              <w:jc w:val="right"/>
              <w:rPr>
                <w:rFonts w:hint="default" w:ascii="Arial" w:hAnsi="Arial" w:cs="Arial"/>
                <w:sz w:val="22"/>
                <w:szCs w:val="22"/>
                <w:vertAlign w:val="baseline"/>
                <w:lang w:val="en-US"/>
              </w:rPr>
            </w:pPr>
            <w:r>
              <w:rPr>
                <w:rFonts w:hint="default" w:ascii="Arial" w:hAnsi="Arial" w:cs="Arial"/>
                <w:sz w:val="22"/>
                <w:szCs w:val="22"/>
                <w:vertAlign w:val="baseline"/>
                <w:lang w:val="en-US"/>
              </w:rPr>
              <w:t>300.00</w:t>
            </w:r>
          </w:p>
        </w:tc>
      </w:tr>
      <w:tr w14:paraId="5954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998" w:type="dxa"/>
            <w:tcBorders>
              <w:top w:val="nil"/>
              <w:left w:val="nil"/>
              <w:bottom w:val="single" w:color="auto" w:sz="4" w:space="0"/>
              <w:right w:val="nil"/>
            </w:tcBorders>
            <w:shd w:val="clear" w:color="auto" w:fill="auto"/>
            <w:vAlign w:val="top"/>
          </w:tcPr>
          <w:p w14:paraId="35F3589D">
            <w:pPr>
              <w:widowControl w:val="0"/>
              <w:numPr>
                <w:ilvl w:val="0"/>
                <w:numId w:val="0"/>
              </w:numPr>
              <w:ind w:leftChars="0"/>
              <w:jc w:val="both"/>
              <w:rPr>
                <w:rFonts w:hint="default" w:ascii="Arial" w:hAnsi="Arial" w:cs="Arial"/>
                <w:sz w:val="22"/>
                <w:szCs w:val="22"/>
                <w:vertAlign w:val="baseline"/>
                <w:lang w:val="en-US"/>
              </w:rPr>
            </w:pPr>
            <w:r>
              <w:rPr>
                <w:rFonts w:hint="default" w:ascii="Arial" w:hAnsi="Arial" w:cs="Arial"/>
                <w:b/>
                <w:bCs/>
                <w:sz w:val="22"/>
                <w:szCs w:val="22"/>
                <w:vertAlign w:val="baseline"/>
                <w:lang w:val="en-US"/>
              </w:rPr>
              <w:t>TOTAL</w:t>
            </w:r>
          </w:p>
        </w:tc>
        <w:tc>
          <w:tcPr>
            <w:tcW w:w="1869" w:type="dxa"/>
            <w:tcBorders>
              <w:top w:val="nil"/>
              <w:left w:val="nil"/>
              <w:bottom w:val="single" w:color="auto" w:sz="4" w:space="0"/>
              <w:right w:val="nil"/>
            </w:tcBorders>
            <w:shd w:val="clear" w:color="auto" w:fill="auto"/>
            <w:vAlign w:val="top"/>
          </w:tcPr>
          <w:p w14:paraId="1275FA47">
            <w:pPr>
              <w:widowControl w:val="0"/>
              <w:numPr>
                <w:ilvl w:val="0"/>
                <w:numId w:val="0"/>
              </w:numPr>
              <w:ind w:leftChars="0"/>
              <w:jc w:val="both"/>
              <w:rPr>
                <w:rFonts w:ascii="Arial" w:hAnsi="Arial" w:cs="Arial"/>
                <w:sz w:val="22"/>
                <w:szCs w:val="22"/>
                <w:vertAlign w:val="baseline"/>
              </w:rPr>
            </w:pPr>
          </w:p>
        </w:tc>
        <w:tc>
          <w:tcPr>
            <w:tcW w:w="1800" w:type="dxa"/>
            <w:tcBorders>
              <w:top w:val="nil"/>
              <w:left w:val="nil"/>
              <w:bottom w:val="single" w:color="auto" w:sz="4" w:space="0"/>
              <w:right w:val="nil"/>
            </w:tcBorders>
            <w:shd w:val="clear" w:color="auto" w:fill="auto"/>
            <w:vAlign w:val="top"/>
          </w:tcPr>
          <w:p w14:paraId="56C0E3C2">
            <w:pPr>
              <w:widowControl w:val="0"/>
              <w:numPr>
                <w:ilvl w:val="0"/>
                <w:numId w:val="0"/>
              </w:numPr>
              <w:ind w:leftChars="0"/>
              <w:jc w:val="both"/>
              <w:rPr>
                <w:rFonts w:ascii="Arial" w:hAnsi="Arial" w:cs="Arial"/>
                <w:sz w:val="22"/>
                <w:szCs w:val="22"/>
                <w:vertAlign w:val="baseline"/>
              </w:rPr>
            </w:pPr>
          </w:p>
        </w:tc>
        <w:tc>
          <w:tcPr>
            <w:tcW w:w="1854" w:type="dxa"/>
            <w:tcBorders>
              <w:top w:val="nil"/>
              <w:left w:val="nil"/>
              <w:bottom w:val="single" w:color="auto" w:sz="4" w:space="0"/>
              <w:right w:val="nil"/>
            </w:tcBorders>
            <w:shd w:val="clear" w:color="auto" w:fill="auto"/>
            <w:vAlign w:val="top"/>
          </w:tcPr>
          <w:p w14:paraId="53A3F778">
            <w:pPr>
              <w:widowControl w:val="0"/>
              <w:numPr>
                <w:ilvl w:val="0"/>
                <w:numId w:val="0"/>
              </w:numPr>
              <w:ind w:leftChars="0"/>
              <w:jc w:val="right"/>
              <w:rPr>
                <w:rFonts w:hint="default" w:ascii="Arial" w:hAnsi="Arial" w:cs="Arial"/>
                <w:b/>
                <w:bCs/>
                <w:sz w:val="22"/>
                <w:szCs w:val="22"/>
                <w:vertAlign w:val="baseline"/>
                <w:lang w:val="en-US"/>
              </w:rPr>
            </w:pPr>
            <w:r>
              <w:rPr>
                <w:rFonts w:hint="default" w:ascii="Arial" w:hAnsi="Arial" w:cs="Arial"/>
                <w:b/>
                <w:bCs/>
                <w:sz w:val="22"/>
                <w:szCs w:val="22"/>
                <w:vertAlign w:val="baseline"/>
                <w:lang w:val="en-US"/>
              </w:rPr>
              <w:t>2,900.00</w:t>
            </w:r>
          </w:p>
        </w:tc>
      </w:tr>
      <w:tr w14:paraId="4716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998" w:type="dxa"/>
            <w:tcBorders>
              <w:top w:val="single" w:color="auto" w:sz="4" w:space="0"/>
              <w:left w:val="nil"/>
              <w:bottom w:val="nil"/>
              <w:right w:val="nil"/>
            </w:tcBorders>
            <w:shd w:val="clear" w:color="auto" w:fill="auto"/>
          </w:tcPr>
          <w:p w14:paraId="6AB46610">
            <w:pPr>
              <w:widowControl w:val="0"/>
              <w:numPr>
                <w:ilvl w:val="0"/>
                <w:numId w:val="0"/>
              </w:numPr>
              <w:ind w:leftChars="0"/>
              <w:jc w:val="both"/>
              <w:rPr>
                <w:rFonts w:hint="default" w:ascii="Arial" w:hAnsi="Arial" w:cs="Arial"/>
                <w:b/>
                <w:bCs/>
                <w:sz w:val="22"/>
                <w:szCs w:val="22"/>
                <w:vertAlign w:val="baseline"/>
                <w:lang w:val="en-US"/>
              </w:rPr>
            </w:pPr>
          </w:p>
        </w:tc>
        <w:tc>
          <w:tcPr>
            <w:tcW w:w="1869" w:type="dxa"/>
            <w:tcBorders>
              <w:top w:val="single" w:color="auto" w:sz="4" w:space="0"/>
              <w:left w:val="nil"/>
              <w:bottom w:val="nil"/>
              <w:right w:val="nil"/>
            </w:tcBorders>
            <w:shd w:val="clear" w:color="auto" w:fill="auto"/>
          </w:tcPr>
          <w:p w14:paraId="24EE1258">
            <w:pPr>
              <w:widowControl w:val="0"/>
              <w:numPr>
                <w:ilvl w:val="0"/>
                <w:numId w:val="0"/>
              </w:numPr>
              <w:ind w:leftChars="0"/>
              <w:jc w:val="both"/>
              <w:rPr>
                <w:rFonts w:ascii="Arial" w:hAnsi="Arial" w:cs="Arial"/>
                <w:sz w:val="22"/>
                <w:szCs w:val="22"/>
                <w:vertAlign w:val="baseline"/>
              </w:rPr>
            </w:pPr>
          </w:p>
        </w:tc>
        <w:tc>
          <w:tcPr>
            <w:tcW w:w="1800" w:type="dxa"/>
            <w:tcBorders>
              <w:top w:val="single" w:color="auto" w:sz="4" w:space="0"/>
              <w:left w:val="nil"/>
              <w:bottom w:val="nil"/>
              <w:right w:val="nil"/>
            </w:tcBorders>
            <w:shd w:val="clear" w:color="auto" w:fill="auto"/>
          </w:tcPr>
          <w:p w14:paraId="6E25C7D4">
            <w:pPr>
              <w:widowControl w:val="0"/>
              <w:numPr>
                <w:ilvl w:val="0"/>
                <w:numId w:val="0"/>
              </w:numPr>
              <w:ind w:leftChars="0"/>
              <w:jc w:val="both"/>
              <w:rPr>
                <w:rFonts w:ascii="Arial" w:hAnsi="Arial" w:cs="Arial"/>
                <w:sz w:val="22"/>
                <w:szCs w:val="22"/>
                <w:vertAlign w:val="baseline"/>
              </w:rPr>
            </w:pPr>
          </w:p>
        </w:tc>
        <w:tc>
          <w:tcPr>
            <w:tcW w:w="1854" w:type="dxa"/>
            <w:tcBorders>
              <w:top w:val="single" w:color="auto" w:sz="4" w:space="0"/>
              <w:left w:val="nil"/>
              <w:bottom w:val="nil"/>
              <w:right w:val="nil"/>
            </w:tcBorders>
            <w:shd w:val="clear" w:color="auto" w:fill="auto"/>
          </w:tcPr>
          <w:p w14:paraId="7E75AB47">
            <w:pPr>
              <w:widowControl w:val="0"/>
              <w:numPr>
                <w:ilvl w:val="0"/>
                <w:numId w:val="0"/>
              </w:numPr>
              <w:ind w:leftChars="0"/>
              <w:jc w:val="right"/>
              <w:rPr>
                <w:rFonts w:hint="default" w:ascii="Arial" w:hAnsi="Arial" w:cs="Arial"/>
                <w:b/>
                <w:bCs/>
                <w:sz w:val="22"/>
                <w:szCs w:val="22"/>
                <w:vertAlign w:val="baseline"/>
                <w:lang w:val="en-US"/>
              </w:rPr>
            </w:pPr>
          </w:p>
        </w:tc>
      </w:tr>
    </w:tbl>
    <w:p w14:paraId="60BB891C">
      <w:pPr>
        <w:bidi w:val="0"/>
        <w:rPr>
          <w:sz w:val="22"/>
          <w:szCs w:val="22"/>
        </w:rPr>
      </w:pPr>
      <w:r>
        <w:rPr>
          <w:rFonts w:hint="default" w:ascii="Arial" w:hAnsi="Arial" w:cs="Arial"/>
          <w:b/>
          <w:bCs/>
          <w:sz w:val="22"/>
          <w:szCs w:val="28"/>
          <w:lang w:val="en-US"/>
        </w:rPr>
        <w:t>Table 1 Currently Installed Capacities, Daily Basis</w:t>
      </w:r>
      <w:r>
        <w:rPr>
          <w:rFonts w:ascii="Arial" w:hAnsi="Arial" w:cs="Arial"/>
          <w:b/>
          <w:bCs/>
          <w:sz w:val="22"/>
          <w:szCs w:val="28"/>
        </w:rPr>
        <w:t xml:space="preserve"> </w:t>
      </w:r>
    </w:p>
    <w:p w14:paraId="3BEC2BAA">
      <w:pPr>
        <w:bidi w:val="0"/>
        <w:rPr>
          <w:sz w:val="22"/>
          <w:szCs w:val="22"/>
        </w:rPr>
      </w:pPr>
    </w:p>
    <w:p w14:paraId="76402632">
      <w:pPr>
        <w:numPr>
          <w:ilvl w:val="1"/>
          <w:numId w:val="2"/>
        </w:numPr>
        <w:jc w:val="both"/>
        <w:rPr>
          <w:rFonts w:ascii="Arial" w:hAnsi="Arial" w:cs="Arial"/>
          <w:sz w:val="22"/>
          <w:szCs w:val="22"/>
        </w:rPr>
      </w:pPr>
      <w:r>
        <w:rPr>
          <w:rFonts w:ascii="Arial" w:hAnsi="Arial" w:cs="Arial"/>
          <w:sz w:val="22"/>
          <w:szCs w:val="22"/>
        </w:rPr>
        <w:t xml:space="preserve">producing pale crepe with an installed capacity of 1.2 MT tons of rubber every day. </w:t>
      </w:r>
    </w:p>
    <w:p w14:paraId="6B7D067C">
      <w:pPr>
        <w:numPr>
          <w:ilvl w:val="1"/>
          <w:numId w:val="2"/>
        </w:numPr>
        <w:jc w:val="both"/>
        <w:rPr>
          <w:rFonts w:ascii="Arial" w:hAnsi="Arial" w:cs="Arial"/>
          <w:sz w:val="22"/>
          <w:szCs w:val="22"/>
        </w:rPr>
      </w:pPr>
      <w:r>
        <w:rPr>
          <w:rFonts w:ascii="Arial" w:hAnsi="Arial" w:cs="Arial"/>
          <w:sz w:val="22"/>
          <w:szCs w:val="22"/>
        </w:rPr>
        <w:t xml:space="preserve">Hauling services can be available anytime as number of logistics companies in Palawan is gaining upward trajectory. Hauling services is sought by traders at any time depending on needs and price. </w:t>
      </w:r>
    </w:p>
    <w:p w14:paraId="19026265">
      <w:pPr>
        <w:numPr>
          <w:ilvl w:val="1"/>
          <w:numId w:val="2"/>
        </w:numPr>
        <w:jc w:val="both"/>
        <w:rPr>
          <w:rFonts w:ascii="Arial" w:hAnsi="Arial" w:cs="Arial"/>
          <w:sz w:val="22"/>
          <w:szCs w:val="22"/>
        </w:rPr>
      </w:pPr>
      <w:r>
        <w:rPr>
          <w:rFonts w:ascii="Arial" w:hAnsi="Arial" w:cs="Arial"/>
          <w:sz w:val="22"/>
          <w:szCs w:val="22"/>
        </w:rPr>
        <w:t>As of the moment, Palawan Rubber Ventures, Inc. a startup company positions itself to manufacture rubber into EVA sheets for slipper production. Its facility is now under construction to process raw rubber into pale crepe. According to them, the facility will likely to operate beginning 2024 and their slipper manufacturing to begin 2 years thereafter.</w:t>
      </w:r>
    </w:p>
    <w:p w14:paraId="0238B999">
      <w:pPr>
        <w:numPr>
          <w:ilvl w:val="0"/>
          <w:numId w:val="0"/>
        </w:numPr>
        <w:ind w:leftChars="0"/>
        <w:jc w:val="both"/>
        <w:rPr>
          <w:rFonts w:ascii="Arial" w:hAnsi="Arial" w:cs="Arial"/>
          <w:sz w:val="22"/>
          <w:szCs w:val="22"/>
        </w:rPr>
      </w:pPr>
    </w:p>
    <w:p w14:paraId="68E00A46">
      <w:pPr>
        <w:numPr>
          <w:ilvl w:val="0"/>
          <w:numId w:val="2"/>
        </w:numPr>
        <w:ind w:left="0" w:leftChars="0" w:firstLine="0" w:firstLineChars="0"/>
        <w:jc w:val="both"/>
        <w:rPr>
          <w:rFonts w:hint="default" w:ascii="Arial" w:hAnsi="Arial" w:cs="Arial"/>
          <w:b/>
          <w:bCs/>
          <w:sz w:val="22"/>
          <w:szCs w:val="22"/>
          <w:lang w:val="en-US"/>
        </w:rPr>
      </w:pPr>
      <w:r>
        <w:rPr>
          <w:rFonts w:hint="default" w:ascii="Arial" w:hAnsi="Arial" w:cs="Arial"/>
          <w:b/>
          <w:bCs/>
          <w:sz w:val="22"/>
          <w:szCs w:val="22"/>
          <w:lang w:val="en-US"/>
        </w:rPr>
        <w:t>Potential Regional demand for rubber products</w:t>
      </w:r>
    </w:p>
    <w:p w14:paraId="3BA57D9F">
      <w:pPr>
        <w:numPr>
          <w:ilvl w:val="1"/>
          <w:numId w:val="2"/>
        </w:numPr>
        <w:ind w:left="0" w:leftChars="0" w:firstLine="0" w:firstLineChars="0"/>
        <w:jc w:val="both"/>
        <w:rPr>
          <w:rFonts w:hint="default" w:ascii="Arial" w:hAnsi="Arial"/>
          <w:b w:val="0"/>
          <w:bCs w:val="0"/>
          <w:sz w:val="22"/>
          <w:szCs w:val="22"/>
          <w:lang w:val="en-US"/>
        </w:rPr>
      </w:pPr>
      <w:r>
        <w:rPr>
          <w:rFonts w:hint="default" w:ascii="Arial" w:hAnsi="Arial" w:cs="Arial"/>
          <w:b w:val="0"/>
          <w:bCs w:val="0"/>
          <w:sz w:val="22"/>
          <w:szCs w:val="22"/>
          <w:lang w:val="en-US"/>
        </w:rPr>
        <w:t xml:space="preserve">Palawan </w:t>
      </w:r>
      <w:r>
        <w:rPr>
          <w:rFonts w:hint="default" w:ascii="Arial" w:hAnsi="Arial"/>
          <w:b w:val="0"/>
          <w:bCs w:val="0"/>
          <w:sz w:val="22"/>
          <w:szCs w:val="22"/>
          <w:lang w:val="en-US"/>
        </w:rPr>
        <w:t xml:space="preserve">Palawan total population of the province including Princesa City stands at 1,246,673 with a growth rate of 2.14% for 5 years. </w:t>
      </w:r>
    </w:p>
    <w:p w14:paraId="700A590A">
      <w:pPr>
        <w:numPr>
          <w:ilvl w:val="1"/>
          <w:numId w:val="2"/>
        </w:numPr>
        <w:ind w:left="0" w:leftChars="0" w:firstLine="0" w:firstLineChars="0"/>
        <w:jc w:val="both"/>
        <w:rPr>
          <w:rFonts w:hint="default" w:ascii="Arial" w:hAnsi="Arial"/>
          <w:b w:val="0"/>
          <w:bCs w:val="0"/>
          <w:sz w:val="22"/>
          <w:szCs w:val="22"/>
          <w:lang w:val="en-US"/>
        </w:rPr>
      </w:pPr>
      <w:r>
        <w:rPr>
          <w:rFonts w:hint="default" w:ascii="Arial" w:hAnsi="Arial"/>
          <w:b w:val="0"/>
          <w:bCs w:val="0"/>
          <w:sz w:val="22"/>
          <w:szCs w:val="22"/>
          <w:lang w:val="en-US"/>
        </w:rPr>
        <w:t>307,079 or 24.6% of this is in Puerto Princesa City while 939,594 are shared by the 27 municipalities</w:t>
      </w:r>
    </w:p>
    <w:p w14:paraId="0BB0325A">
      <w:pPr>
        <w:numPr>
          <w:ilvl w:val="1"/>
          <w:numId w:val="2"/>
        </w:numPr>
        <w:ind w:left="0" w:leftChars="0" w:firstLine="0" w:firstLineChars="0"/>
        <w:jc w:val="both"/>
        <w:rPr>
          <w:rFonts w:hint="default" w:ascii="Arial" w:hAnsi="Arial"/>
          <w:b w:val="0"/>
          <w:bCs w:val="0"/>
          <w:sz w:val="22"/>
          <w:szCs w:val="22"/>
          <w:lang w:val="en-US"/>
        </w:rPr>
      </w:pPr>
      <w:r>
        <w:rPr>
          <w:rFonts w:hint="default" w:ascii="Arial" w:hAnsi="Arial" w:cs="Arial"/>
          <w:b w:val="0"/>
          <w:bCs w:val="0"/>
          <w:sz w:val="22"/>
          <w:szCs w:val="22"/>
          <w:lang w:val="en-US"/>
        </w:rPr>
        <w:t>MIMAROPA</w:t>
      </w:r>
      <w:r>
        <w:rPr>
          <w:rFonts w:hint="default" w:ascii="Arial" w:hAnsi="Arial"/>
          <w:b w:val="0"/>
          <w:bCs w:val="0"/>
          <w:sz w:val="22"/>
          <w:szCs w:val="22"/>
          <w:lang w:val="en-US"/>
        </w:rPr>
        <w:t>The total population of the region stands at 3,228,558 in 2020 according to the latest census of the Philippine Statistics Authority (PSA) with a positive growth rate of 1.82%, or an increase of 265,198 people from the previous population of 2,963,360 in 2015.</w:t>
      </w:r>
    </w:p>
    <w:p w14:paraId="3ED6CCA7">
      <w:pPr>
        <w:numPr>
          <w:ilvl w:val="0"/>
          <w:numId w:val="0"/>
        </w:numPr>
        <w:ind w:leftChars="0"/>
        <w:jc w:val="both"/>
        <w:rPr>
          <w:rFonts w:hint="default" w:ascii="Arial" w:hAnsi="Arial" w:cs="Arial"/>
          <w:b w:val="0"/>
          <w:bCs w:val="0"/>
          <w:sz w:val="22"/>
          <w:szCs w:val="22"/>
          <w:lang w:val="en-US"/>
        </w:rPr>
      </w:pPr>
    </w:p>
    <w:p w14:paraId="2F10722C">
      <w:pPr>
        <w:numPr>
          <w:ilvl w:val="0"/>
          <w:numId w:val="0"/>
        </w:numPr>
        <w:ind w:leftChars="0"/>
        <w:jc w:val="both"/>
        <w:rPr>
          <w:rFonts w:hint="default" w:ascii="Arial" w:hAnsi="Arial" w:cs="Arial"/>
          <w:b w:val="0"/>
          <w:bCs w:val="0"/>
          <w:sz w:val="22"/>
          <w:szCs w:val="22"/>
          <w:lang w:val="en-US"/>
        </w:rPr>
      </w:pPr>
    </w:p>
    <w:p w14:paraId="0DD029CC">
      <w:pPr>
        <w:numPr>
          <w:ilvl w:val="0"/>
          <w:numId w:val="2"/>
        </w:numPr>
        <w:rPr>
          <w:rFonts w:ascii="Arial" w:hAnsi="Arial" w:cs="Arial"/>
          <w:b/>
          <w:bCs/>
          <w:sz w:val="22"/>
          <w:szCs w:val="22"/>
        </w:rPr>
      </w:pPr>
      <w:r>
        <w:rPr>
          <w:rFonts w:ascii="Arial" w:hAnsi="Arial" w:cs="Arial"/>
          <w:b/>
          <w:bCs/>
          <w:sz w:val="22"/>
          <w:szCs w:val="22"/>
        </w:rPr>
        <w:t>Support Environment</w:t>
      </w:r>
    </w:p>
    <w:p w14:paraId="1E4FD27F">
      <w:pPr>
        <w:jc w:val="both"/>
        <w:rPr>
          <w:rFonts w:ascii="Arial" w:hAnsi="Arial" w:cs="Arial"/>
          <w:sz w:val="22"/>
          <w:szCs w:val="22"/>
        </w:rPr>
      </w:pPr>
      <w:r>
        <w:rPr>
          <w:rFonts w:ascii="Arial" w:hAnsi="Arial" w:cs="Arial"/>
          <w:sz w:val="22"/>
          <w:szCs w:val="22"/>
        </w:rPr>
        <w:t xml:space="preserve">The Philippine Rubber Research Institute (PRRI) refers to it as the enabling environment </w:t>
      </w:r>
      <w:r>
        <w:rPr>
          <w:rFonts w:ascii="Arial" w:hAnsi="Arial" w:cs="Arial"/>
          <w:i/>
          <w:iCs/>
          <w:sz w:val="22"/>
          <w:szCs w:val="22"/>
        </w:rPr>
        <w:t>(Philippine Rubber Road Map 2022).</w:t>
      </w:r>
      <w:r>
        <w:rPr>
          <w:rFonts w:ascii="Arial" w:hAnsi="Arial" w:cs="Arial"/>
          <w:sz w:val="22"/>
          <w:szCs w:val="22"/>
        </w:rPr>
        <w:t xml:space="preserve"> This includes, among others, the government financing institutions such as the Landbank, the SBC and DBP. Other enablers would have been the academe, the DA, DTI, DOST and other agencies of the government. Of all these, the DTI has been consistent for the past 3 years in providing assistance through trainings to the rubber farmers. GFIs, DOST, SBC and DTI grant loans based on the financial track record of borrowers of not less than 3 years. In short, they do not provide loans for startups. According to rubber farmers intending to engage in processing, the guidelines are tedious and very difficult for startups to comply. Some of the farmer groups says that there is a mismatch in the assistance needed by farmers and the assistance provided by the government. Local; governments are also reluctant to provide allocations for soft loan and other forms of loan assistance to rubber sector due to unhealthy market conditions for rubber in the past.  </w:t>
      </w:r>
      <w:r>
        <w:rPr>
          <w:rFonts w:ascii="Arial" w:hAnsi="Arial" w:cs="Arial"/>
          <w:color w:val="FF0000"/>
          <w:sz w:val="22"/>
          <w:szCs w:val="22"/>
        </w:rPr>
        <w:t xml:space="preserve"> </w:t>
      </w:r>
    </w:p>
    <w:p w14:paraId="555A643F">
      <w:pPr>
        <w:rPr>
          <w:rFonts w:ascii="Arial" w:hAnsi="Arial" w:cs="Arial"/>
          <w:sz w:val="24"/>
          <w:szCs w:val="24"/>
        </w:rPr>
      </w:pPr>
    </w:p>
    <w:p w14:paraId="0BB5EE7C">
      <w:pPr>
        <w:rPr>
          <w:rFonts w:ascii="Arial" w:hAnsi="Arial" w:cs="Arial"/>
          <w:b/>
          <w:bCs/>
          <w:sz w:val="24"/>
          <w:szCs w:val="24"/>
        </w:rPr>
      </w:pPr>
      <w:r>
        <w:rPr>
          <w:rFonts w:ascii="Arial" w:hAnsi="Arial" w:cs="Arial"/>
          <w:b/>
          <w:bCs/>
          <w:sz w:val="24"/>
          <w:szCs w:val="24"/>
        </w:rPr>
        <w:t>CONCLUSION AND RECOMMENDATION</w:t>
      </w:r>
    </w:p>
    <w:p w14:paraId="5A4FE53B">
      <w:pPr>
        <w:jc w:val="both"/>
        <w:rPr>
          <w:rFonts w:ascii="Arial" w:hAnsi="Arial" w:cs="Arial"/>
          <w:sz w:val="23"/>
          <w:szCs w:val="23"/>
        </w:rPr>
      </w:pPr>
      <w:r>
        <w:rPr>
          <w:rFonts w:ascii="Arial" w:hAnsi="Arial" w:cs="Arial"/>
          <w:sz w:val="23"/>
          <w:szCs w:val="23"/>
        </w:rPr>
        <w:t xml:space="preserve">In view of the above discussions, it is hereby concluded that the local rubber industry has not yet harnessed its full potentials to generate income and jobs for the community. There is still a huge room for improvement of the segments along the rubber value chain particularly in the processing, manufacturing and export sectors. Above all these, the industry is in need of support from the government to revitalize the sector by ensuring loan securities in the form of guarantee fund in </w:t>
      </w:r>
    </w:p>
    <w:p w14:paraId="5BD759D0">
      <w:pPr>
        <w:jc w:val="both"/>
        <w:rPr>
          <w:rFonts w:ascii="Arial" w:hAnsi="Arial" w:cs="Arial"/>
          <w:sz w:val="23"/>
          <w:szCs w:val="23"/>
        </w:rPr>
      </w:pPr>
      <w:r>
        <w:rPr>
          <w:rFonts w:hint="default" w:ascii="Arial" w:hAnsi="Arial" w:cs="Arial"/>
          <w:sz w:val="23"/>
          <w:szCs w:val="23"/>
        </w:rPr>
        <w:drawing>
          <wp:anchor distT="0" distB="0" distL="114300" distR="114300" simplePos="0" relativeHeight="251663360" behindDoc="0" locked="0" layoutInCell="1" allowOverlap="1">
            <wp:simplePos x="0" y="0"/>
            <wp:positionH relativeFrom="column">
              <wp:posOffset>-41275</wp:posOffset>
            </wp:positionH>
            <wp:positionV relativeFrom="paragraph">
              <wp:posOffset>1233805</wp:posOffset>
            </wp:positionV>
            <wp:extent cx="5408295" cy="3407410"/>
            <wp:effectExtent l="0" t="0" r="1905" b="2540"/>
            <wp:wrapTopAndBottom/>
            <wp:docPr id="6"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ent Placeholder 3"/>
                    <pic:cNvPicPr>
                      <a:picLocks noChangeAspect="1"/>
                    </pic:cNvPicPr>
                  </pic:nvPicPr>
                  <pic:blipFill>
                    <a:blip r:embed="rId10"/>
                    <a:stretch>
                      <a:fillRect/>
                    </a:stretch>
                  </pic:blipFill>
                  <pic:spPr>
                    <a:xfrm>
                      <a:off x="0" y="0"/>
                      <a:ext cx="5408295" cy="3407410"/>
                    </a:xfrm>
                    <a:prstGeom prst="rect">
                      <a:avLst/>
                    </a:prstGeom>
                  </pic:spPr>
                </pic:pic>
              </a:graphicData>
            </a:graphic>
          </wp:anchor>
        </w:drawing>
      </w:r>
    </w:p>
    <w:p w14:paraId="798F802B">
      <w:pPr>
        <w:jc w:val="both"/>
        <w:rPr>
          <w:rFonts w:ascii="Arial" w:hAnsi="Arial" w:cs="Arial"/>
          <w:sz w:val="23"/>
          <w:szCs w:val="23"/>
        </w:rPr>
      </w:pPr>
      <w:r>
        <w:rPr>
          <w:rFonts w:ascii="Arial" w:hAnsi="Arial" w:cs="Arial"/>
          <w:sz w:val="23"/>
          <w:szCs w:val="23"/>
        </w:rPr>
        <w:t xml:space="preserve">the absence of land titles. Creating private companies and cooperatives can also be a viable approach to solve the gaps in funding startups. </w:t>
      </w:r>
    </w:p>
    <w:p w14:paraId="1CA22081">
      <w:pPr>
        <w:jc w:val="both"/>
        <w:rPr>
          <w:rFonts w:ascii="Arial" w:hAnsi="Arial" w:cs="Arial"/>
          <w:sz w:val="23"/>
          <w:szCs w:val="23"/>
        </w:rPr>
      </w:pPr>
    </w:p>
    <w:p w14:paraId="3FD89469">
      <w:pPr>
        <w:jc w:val="left"/>
        <w:rPr>
          <w:rFonts w:hint="default" w:ascii="Arial" w:hAnsi="Arial" w:cs="Arial"/>
          <w:sz w:val="23"/>
          <w:szCs w:val="23"/>
          <w:lang w:val="en-US"/>
        </w:rPr>
      </w:pPr>
      <w:r>
        <w:rPr>
          <w:rFonts w:hint="default" w:ascii="Arial" w:hAnsi="Arial" w:cs="Arial"/>
          <w:sz w:val="23"/>
          <w:szCs w:val="23"/>
          <w:lang w:val="en-US"/>
        </w:rPr>
        <w:t>The authors</w:t>
      </w:r>
      <w:r>
        <w:rPr>
          <w:rFonts w:hint="default"/>
          <w:sz w:val="23"/>
          <w:szCs w:val="23"/>
          <w:lang w:val="en-US"/>
        </w:rPr>
        <w:t xml:space="preserve"> </w:t>
      </w:r>
      <w:r>
        <w:rPr>
          <w:rFonts w:hint="default" w:ascii="Arial" w:hAnsi="Arial" w:cs="Arial"/>
          <w:sz w:val="23"/>
          <w:szCs w:val="23"/>
          <w:lang w:val="en-US"/>
        </w:rPr>
        <w:t xml:space="preserve">further recommend for a law to be enacted by congress that will encapsulate the policies to improve the country’s rubber industry. The diagram illustrates how this unification of government policies will work. </w:t>
      </w:r>
    </w:p>
    <w:p w14:paraId="7819E880">
      <w:pPr>
        <w:jc w:val="left"/>
        <w:rPr>
          <w:rFonts w:hint="default" w:ascii="Arial" w:hAnsi="Arial" w:cs="Arial"/>
          <w:sz w:val="23"/>
          <w:szCs w:val="23"/>
          <w:lang w:val="en-US"/>
        </w:rPr>
      </w:pPr>
    </w:p>
    <w:p w14:paraId="7F4B9524">
      <w:pPr>
        <w:numPr>
          <w:ilvl w:val="0"/>
          <w:numId w:val="4"/>
        </w:numPr>
        <w:jc w:val="both"/>
        <w:rPr>
          <w:rFonts w:hint="default" w:ascii="Arial" w:hAnsi="Arial" w:cs="Arial"/>
          <w:sz w:val="23"/>
          <w:szCs w:val="23"/>
          <w:lang w:val="en-US"/>
        </w:rPr>
      </w:pPr>
      <w:r>
        <w:rPr>
          <w:rFonts w:hint="default" w:ascii="Arial" w:hAnsi="Arial" w:cs="Arial"/>
          <w:sz w:val="23"/>
          <w:szCs w:val="23"/>
          <w:lang w:val="en-US"/>
        </w:rPr>
        <w:t xml:space="preserve">Plantation development- as a strategy, this entails tasking of the agencies of the government during the initial phase of determining the requirements prior to actual plantation development. In Palawan where environment protection occupies the most important facet of sustainable development, it becomes more imperative to comply with pertinent laws and other regulations. Under this recommendation, labeled green, the Department of Environment and Natural Resources (DENR) and its appropriate allied agencies including the Palawan Council for Sustainable Development (PCSD) are tasked to proactively promote and guide the farmers or group of farmers including corporate farmers by means of identifying the area suitable for rubber under existing and applicable laws. The DENR serves the project proponents in proactive manner by assisting them to secure their lands by issuing appropriate tenurial instruments without so much burdens and hassles to farmers making government policies much friendlier and accommodating for developers. </w:t>
      </w:r>
    </w:p>
    <w:p w14:paraId="27FDE96C">
      <w:pPr>
        <w:numPr>
          <w:ilvl w:val="0"/>
          <w:numId w:val="0"/>
        </w:numPr>
        <w:jc w:val="both"/>
        <w:rPr>
          <w:rFonts w:hint="default" w:ascii="Arial" w:hAnsi="Arial" w:cs="Arial"/>
          <w:sz w:val="24"/>
          <w:szCs w:val="24"/>
          <w:lang w:val="en-US"/>
        </w:rPr>
      </w:pPr>
    </w:p>
    <w:p w14:paraId="15C7B4E8">
      <w:pPr>
        <w:numPr>
          <w:ilvl w:val="0"/>
          <w:numId w:val="0"/>
        </w:numPr>
        <w:jc w:val="both"/>
        <w:rPr>
          <w:rFonts w:hint="default" w:ascii="Arial" w:hAnsi="Arial" w:cs="Arial"/>
          <w:sz w:val="24"/>
          <w:szCs w:val="24"/>
          <w:lang w:val="en-US"/>
        </w:rPr>
      </w:pPr>
    </w:p>
    <w:p w14:paraId="65803E36">
      <w:pPr>
        <w:numPr>
          <w:ilvl w:val="0"/>
          <w:numId w:val="0"/>
        </w:numPr>
        <w:spacing w:after="0" w:line="240" w:lineRule="auto"/>
        <w:ind w:leftChars="0"/>
        <w:contextualSpacing/>
        <w:rPr>
          <w:rFonts w:hint="default" w:ascii="Times New Roman" w:hAnsi="Times New Roman" w:eastAsia="MS Mincho" w:cs="Times New Roman"/>
          <w:b w:val="0"/>
          <w:bCs w:val="0"/>
          <w:sz w:val="22"/>
          <w:szCs w:val="22"/>
          <w:lang w:val="en-US" w:eastAsia="ja-JP"/>
        </w:rPr>
      </w:pPr>
    </w:p>
    <w:p w14:paraId="305542D3">
      <w:pPr>
        <w:numPr>
          <w:ilvl w:val="0"/>
          <w:numId w:val="0"/>
        </w:numPr>
        <w:spacing w:after="0" w:line="240" w:lineRule="auto"/>
        <w:ind w:leftChars="0"/>
        <w:contextualSpacing/>
        <w:rPr>
          <w:rFonts w:hint="default" w:ascii="Times New Roman" w:hAnsi="Times New Roman" w:eastAsia="MS Mincho" w:cs="Times New Roman"/>
          <w:b w:val="0"/>
          <w:bCs w:val="0"/>
          <w:sz w:val="22"/>
          <w:szCs w:val="22"/>
          <w:lang w:val="en-US" w:eastAsia="ja-JP"/>
        </w:rPr>
      </w:pPr>
    </w:p>
    <w:p w14:paraId="4F3E87A2">
      <w:pPr>
        <w:numPr>
          <w:ilvl w:val="0"/>
          <w:numId w:val="0"/>
        </w:numPr>
        <w:spacing w:after="0" w:line="240" w:lineRule="auto"/>
        <w:ind w:leftChars="0"/>
        <w:contextualSpacing/>
        <w:rPr>
          <w:rFonts w:hint="default" w:ascii="Times New Roman" w:hAnsi="Times New Roman" w:eastAsia="MS Mincho" w:cs="Times New Roman"/>
          <w:b w:val="0"/>
          <w:bCs w:val="0"/>
          <w:sz w:val="22"/>
          <w:szCs w:val="22"/>
          <w:lang w:val="en-US" w:eastAsia="ja-JP"/>
        </w:rPr>
      </w:pPr>
    </w:p>
    <w:p w14:paraId="2A08206A">
      <w:pPr>
        <w:numPr>
          <w:ilvl w:val="0"/>
          <w:numId w:val="0"/>
        </w:numPr>
        <w:spacing w:after="0" w:line="240" w:lineRule="auto"/>
        <w:ind w:leftChars="0"/>
        <w:contextualSpacing/>
        <w:rPr>
          <w:rFonts w:hint="default" w:ascii="Times New Roman" w:hAnsi="Times New Roman" w:eastAsia="MS Mincho" w:cs="Times New Roman"/>
          <w:b w:val="0"/>
          <w:bCs w:val="0"/>
          <w:sz w:val="22"/>
          <w:szCs w:val="22"/>
          <w:lang w:val="en-US" w:eastAsia="ja-JP"/>
        </w:rPr>
      </w:pPr>
    </w:p>
    <w:p w14:paraId="1286544F">
      <w:pPr>
        <w:numPr>
          <w:ilvl w:val="0"/>
          <w:numId w:val="0"/>
        </w:numPr>
        <w:spacing w:after="0" w:line="240" w:lineRule="auto"/>
        <w:ind w:leftChars="0"/>
        <w:contextualSpacing/>
        <w:rPr>
          <w:rFonts w:hint="default" w:ascii="Times New Roman" w:hAnsi="Times New Roman" w:eastAsia="MS Mincho" w:cs="Times New Roman"/>
          <w:b w:val="0"/>
          <w:bCs w:val="0"/>
          <w:sz w:val="22"/>
          <w:szCs w:val="22"/>
          <w:lang w:val="en-US" w:eastAsia="ja-JP"/>
        </w:rPr>
      </w:pPr>
    </w:p>
    <w:p w14:paraId="03BB43BD">
      <w:pPr>
        <w:numPr>
          <w:ilvl w:val="0"/>
          <w:numId w:val="0"/>
        </w:numPr>
        <w:spacing w:after="0" w:line="240" w:lineRule="auto"/>
        <w:ind w:leftChars="0"/>
        <w:contextualSpacing/>
        <w:rPr>
          <w:rFonts w:hint="default" w:ascii="Times New Roman" w:hAnsi="Times New Roman" w:eastAsia="MS Mincho" w:cs="Times New Roman"/>
          <w:b w:val="0"/>
          <w:bCs w:val="0"/>
          <w:sz w:val="22"/>
          <w:szCs w:val="22"/>
          <w:lang w:val="en-US" w:eastAsia="ja-JP"/>
        </w:rPr>
      </w:pPr>
    </w:p>
    <w:p w14:paraId="4414C245">
      <w:pPr>
        <w:numPr>
          <w:ilvl w:val="0"/>
          <w:numId w:val="0"/>
        </w:numPr>
        <w:spacing w:after="0" w:line="240" w:lineRule="auto"/>
        <w:ind w:leftChars="0"/>
        <w:contextualSpacing/>
        <w:rPr>
          <w:rFonts w:hint="default" w:ascii="Arial" w:hAnsi="Arial" w:eastAsia="MS Mincho" w:cs="Arial"/>
          <w:b/>
          <w:bCs/>
          <w:sz w:val="22"/>
          <w:szCs w:val="22"/>
          <w:lang w:val="en-US" w:eastAsia="ja-JP"/>
        </w:rPr>
      </w:pPr>
      <w:r>
        <w:rPr>
          <w:rFonts w:hint="default" w:ascii="Arial" w:hAnsi="Arial" w:eastAsia="MS Mincho" w:cs="Arial"/>
          <w:b/>
          <w:bCs/>
          <w:sz w:val="22"/>
          <w:szCs w:val="22"/>
          <w:lang w:val="en-US" w:eastAsia="ja-JP"/>
        </w:rPr>
        <w:t>ACKNOWLEDGEMENT</w:t>
      </w:r>
    </w:p>
    <w:p w14:paraId="42D1566B">
      <w:pPr>
        <w:numPr>
          <w:ilvl w:val="0"/>
          <w:numId w:val="0"/>
        </w:numPr>
        <w:jc w:val="both"/>
        <w:rPr>
          <w:rFonts w:hint="default" w:ascii="Arial" w:hAnsi="Arial" w:cs="Arial"/>
          <w:sz w:val="24"/>
          <w:szCs w:val="24"/>
          <w:lang w:val="en-US"/>
        </w:rPr>
      </w:pPr>
      <w:r>
        <w:rPr>
          <w:rFonts w:hint="default" w:ascii="Arial" w:hAnsi="Arial" w:eastAsia="MS Mincho" w:cs="Arial"/>
          <w:b w:val="0"/>
          <w:bCs w:val="0"/>
          <w:sz w:val="22"/>
          <w:szCs w:val="22"/>
          <w:lang w:val="en-US" w:eastAsia="ja-JP"/>
        </w:rPr>
        <w:t>This piece of work would not have been complete without the inspiration of my family, to my wife Melchie and kids Michelle and Mart, Dean and Dwayne who supported me emotionally and financially, the rubber farmers to whom I dedicate this work. Thank you to all of you.</w:t>
      </w:r>
    </w:p>
    <w:p w14:paraId="6AF90012">
      <w:pPr>
        <w:numPr>
          <w:ilvl w:val="0"/>
          <w:numId w:val="0"/>
        </w:numPr>
        <w:jc w:val="both"/>
        <w:rPr>
          <w:rFonts w:hint="default" w:ascii="Arial" w:hAnsi="Arial" w:cs="Arial"/>
          <w:sz w:val="24"/>
          <w:szCs w:val="24"/>
          <w:lang w:val="en-US"/>
        </w:rPr>
      </w:pPr>
    </w:p>
    <w:p w14:paraId="6EF345AC">
      <w:pPr>
        <w:numPr>
          <w:ilvl w:val="0"/>
          <w:numId w:val="0"/>
        </w:numPr>
        <w:jc w:val="both"/>
        <w:rPr>
          <w:rFonts w:hint="default" w:ascii="Arial" w:hAnsi="Arial" w:cs="Arial"/>
          <w:sz w:val="24"/>
          <w:szCs w:val="24"/>
          <w:lang w:val="en-US"/>
        </w:rPr>
      </w:pPr>
    </w:p>
    <w:p w14:paraId="3847FDAA">
      <w:pPr>
        <w:numPr>
          <w:ilvl w:val="0"/>
          <w:numId w:val="0"/>
        </w:numPr>
        <w:jc w:val="both"/>
        <w:rPr>
          <w:rFonts w:ascii="Arial" w:hAnsi="Arial" w:cs="Arial"/>
          <w:b/>
          <w:bCs/>
          <w:sz w:val="24"/>
          <w:szCs w:val="24"/>
        </w:rPr>
      </w:pPr>
      <w:r>
        <w:rPr>
          <w:rFonts w:ascii="Arial" w:hAnsi="Arial" w:cs="Arial"/>
          <w:b/>
          <w:bCs/>
          <w:sz w:val="24"/>
          <w:szCs w:val="24"/>
        </w:rPr>
        <w:t>REFERENCES</w:t>
      </w:r>
    </w:p>
    <w:p w14:paraId="7C922313">
      <w:pPr>
        <w:rPr>
          <w:rFonts w:hint="default" w:ascii="Arial" w:hAnsi="Arial" w:eastAsia="Gill Sans MT" w:cs="Arial"/>
          <w:sz w:val="22"/>
          <w:szCs w:val="22"/>
        </w:rPr>
      </w:pPr>
      <w:r>
        <w:rPr>
          <w:rFonts w:hint="default" w:ascii="Arial" w:hAnsi="Arial" w:eastAsia="Gill Sans MT" w:cs="Arial"/>
          <w:sz w:val="22"/>
          <w:szCs w:val="22"/>
        </w:rPr>
        <w:t xml:space="preserve">Ali, Muhammad Fadzli &amp; Akber, Md &amp; Smith, Carl &amp; Aziz, Ammar. (2021). The dynamics of rubber production in Malaysia: Potential impacts, challenges and proposed interventions. Forest Policy and Economics. 127. 102449. 10.1016/j.forpol.2021.102449. </w:t>
      </w:r>
    </w:p>
    <w:p w14:paraId="7917435C">
      <w:pPr>
        <w:rPr>
          <w:rFonts w:hint="default" w:ascii="Arial" w:hAnsi="Arial" w:cs="Arial"/>
          <w:sz w:val="22"/>
          <w:szCs w:val="22"/>
        </w:rPr>
      </w:pPr>
      <w:r>
        <w:rPr>
          <w:rFonts w:hint="default" w:ascii="Arial" w:hAnsi="Arial" w:eastAsia="Gill Sans MT" w:cs="Arial"/>
          <w:sz w:val="22"/>
          <w:szCs w:val="22"/>
          <w:lang w:bidi="ar"/>
        </w:rPr>
        <w:t xml:space="preserve"> </w:t>
      </w:r>
    </w:p>
    <w:p w14:paraId="6A6E206F">
      <w:pPr>
        <w:rPr>
          <w:rFonts w:hint="default" w:ascii="Arial" w:hAnsi="Arial" w:eastAsia="Martel-Regular" w:cs="Arial"/>
          <w:sz w:val="22"/>
          <w:szCs w:val="22"/>
          <w:lang w:bidi="ar"/>
        </w:rPr>
      </w:pPr>
      <w:r>
        <w:rPr>
          <w:rFonts w:hint="default" w:ascii="Arial" w:hAnsi="Arial" w:eastAsia="SourceSansPro-Regular" w:cs="Arial"/>
          <w:sz w:val="22"/>
          <w:szCs w:val="22"/>
          <w:lang w:bidi="ar"/>
        </w:rPr>
        <w:t xml:space="preserve">Beckline Mukete, </w:t>
      </w:r>
      <w:r>
        <w:rPr>
          <w:rFonts w:hint="default" w:ascii="Arial" w:hAnsi="Arial" w:eastAsia="Martel-Regular" w:cs="Arial"/>
          <w:sz w:val="22"/>
          <w:szCs w:val="22"/>
          <w:lang w:bidi="ar"/>
        </w:rPr>
        <w:t xml:space="preserve">Socioeconomic and Ecological Impact Analysis of Rubber Cultivation in Southeast Asia, 2016 </w:t>
      </w:r>
    </w:p>
    <w:p w14:paraId="268F2644">
      <w:pPr>
        <w:rPr>
          <w:rFonts w:hint="default" w:ascii="Arial" w:hAnsi="Arial" w:eastAsia="Martel-Regular" w:cs="Arial"/>
          <w:sz w:val="22"/>
          <w:szCs w:val="22"/>
          <w:lang w:bidi="ar"/>
        </w:rPr>
      </w:pPr>
    </w:p>
    <w:p w14:paraId="4A15C2F0">
      <w:pPr>
        <w:numPr>
          <w:ilvl w:val="0"/>
          <w:numId w:val="5"/>
        </w:numPr>
        <w:rPr>
          <w:rFonts w:hint="default" w:ascii="Arial" w:hAnsi="Arial" w:eastAsia="Times-Bold" w:cs="Arial"/>
          <w:sz w:val="22"/>
          <w:szCs w:val="22"/>
          <w:lang w:bidi="ar"/>
        </w:rPr>
      </w:pPr>
      <w:r>
        <w:rPr>
          <w:rFonts w:hint="default" w:ascii="Arial" w:hAnsi="Arial" w:eastAsia="Times-Bold" w:cs="Arial"/>
          <w:sz w:val="22"/>
          <w:szCs w:val="22"/>
          <w:lang w:bidi="ar"/>
        </w:rPr>
        <w:t xml:space="preserve">M.P Dissanayake, Thivahary Geretharan and G. Harihara, A study on smallholder rubber production in Monaragala </w:t>
      </w:r>
      <w:r>
        <w:rPr>
          <w:rFonts w:hint="default" w:ascii="Arial" w:hAnsi="Arial" w:eastAsia="Times-Bold" w:cs="Arial"/>
          <w:sz w:val="22"/>
          <w:szCs w:val="22"/>
          <w:lang w:val="en-US" w:bidi="ar"/>
        </w:rPr>
        <w:t>D</w:t>
      </w:r>
      <w:r>
        <w:rPr>
          <w:rFonts w:hint="default" w:ascii="Arial" w:hAnsi="Arial" w:eastAsia="Times-Bold" w:cs="Arial"/>
          <w:sz w:val="22"/>
          <w:szCs w:val="22"/>
          <w:lang w:bidi="ar"/>
        </w:rPr>
        <w:t>istrict, Sri Lanka, 2016</w:t>
      </w:r>
    </w:p>
    <w:p w14:paraId="582307B5">
      <w:pPr>
        <w:rPr>
          <w:rFonts w:hint="default" w:ascii="Arial" w:hAnsi="Arial" w:eastAsia="Times-Bold" w:cs="Arial"/>
          <w:sz w:val="22"/>
          <w:szCs w:val="22"/>
          <w:lang w:bidi="ar"/>
        </w:rPr>
      </w:pPr>
    </w:p>
    <w:p w14:paraId="5FD1A779">
      <w:pPr>
        <w:rPr>
          <w:rFonts w:hint="default" w:ascii="Arial" w:hAnsi="Arial" w:cs="Arial"/>
          <w:sz w:val="22"/>
          <w:szCs w:val="22"/>
        </w:rPr>
      </w:pPr>
      <w:r>
        <w:rPr>
          <w:rFonts w:hint="default" w:ascii="Arial" w:hAnsi="Arial" w:eastAsia="Times-Italic" w:cs="Arial"/>
          <w:sz w:val="22"/>
          <w:szCs w:val="22"/>
          <w:lang w:bidi="ar"/>
        </w:rPr>
        <w:t xml:space="preserve">Venita, A.S, Dr. Ramalingam, L.P: Scenario of Rubber Production and Consumption in India, 2017 </w:t>
      </w:r>
      <w:r>
        <w:rPr>
          <w:rFonts w:hint="default" w:ascii="Arial" w:hAnsi="Arial" w:eastAsia="Cambria" w:cs="Arial"/>
          <w:sz w:val="22"/>
          <w:szCs w:val="22"/>
          <w:lang w:bidi="ar"/>
        </w:rPr>
        <w:t xml:space="preserve">ISSN: 2321-7782 </w:t>
      </w:r>
    </w:p>
    <w:p w14:paraId="213C831C">
      <w:pPr>
        <w:rPr>
          <w:rFonts w:hint="default" w:ascii="Arial" w:hAnsi="Arial" w:eastAsia="Times-Italic" w:cs="Arial"/>
          <w:sz w:val="22"/>
          <w:szCs w:val="22"/>
          <w:lang w:bidi="ar"/>
        </w:rPr>
      </w:pPr>
    </w:p>
    <w:p w14:paraId="3B8A4A4A">
      <w:pPr>
        <w:rPr>
          <w:rFonts w:hint="default" w:ascii="Arial" w:hAnsi="Arial" w:eastAsia="Times-Roman" w:cs="Arial"/>
          <w:color w:val="231F20"/>
          <w:sz w:val="22"/>
          <w:szCs w:val="22"/>
          <w:lang w:bidi="ar"/>
        </w:rPr>
      </w:pPr>
      <w:r>
        <w:rPr>
          <w:rFonts w:hint="default" w:ascii="Arial" w:hAnsi="Arial" w:eastAsia="SimSun" w:cs="Arial"/>
          <w:color w:val="000000"/>
          <w:sz w:val="22"/>
          <w:szCs w:val="22"/>
          <w:lang w:bidi="ar"/>
        </w:rPr>
        <w:t xml:space="preserve">Imade Yoga Prasada1 and Aura Dhamira; The competitiveness of natural rubber by exporting countries in the global market, 2021, </w:t>
      </w:r>
      <w:r>
        <w:rPr>
          <w:rFonts w:hint="default" w:ascii="Arial" w:hAnsi="Arial" w:eastAsia="Times-Roman" w:cs="Arial"/>
          <w:color w:val="231F20"/>
          <w:sz w:val="22"/>
          <w:szCs w:val="22"/>
          <w:lang w:bidi="ar"/>
        </w:rPr>
        <w:t xml:space="preserve">E3S Web of Conferences </w:t>
      </w:r>
    </w:p>
    <w:p w14:paraId="7FA52451">
      <w:pPr>
        <w:rPr>
          <w:rFonts w:hint="default" w:ascii="Arial" w:hAnsi="Arial" w:eastAsia="Times-Roman" w:cs="Arial"/>
          <w:color w:val="231F20"/>
          <w:sz w:val="22"/>
          <w:szCs w:val="22"/>
          <w:lang w:bidi="ar"/>
        </w:rPr>
      </w:pPr>
    </w:p>
    <w:p w14:paraId="4373EA9D">
      <w:pPr>
        <w:rPr>
          <w:rFonts w:hint="default" w:ascii="Arial" w:hAnsi="Arial" w:cs="Arial"/>
          <w:sz w:val="22"/>
          <w:szCs w:val="22"/>
        </w:rPr>
      </w:pPr>
      <w:r>
        <w:rPr>
          <w:rFonts w:hint="default" w:ascii="Arial" w:hAnsi="Arial" w:eastAsia="SimSun" w:cs="Arial"/>
          <w:color w:val="000000"/>
          <w:sz w:val="22"/>
          <w:szCs w:val="22"/>
          <w:lang w:bidi="ar"/>
        </w:rPr>
        <w:t xml:space="preserve">Haripada Datta, Dr. Haradhan Debnath and Dr. Parag Shil: Production and productivity of natural rubber: a study on growthtrends of rubber plantation in Tripura, 2019, ISSN Print: 0976-6502 and ISSN Online: 0976-6510 </w:t>
      </w:r>
    </w:p>
    <w:p w14:paraId="66EC1BF6">
      <w:pPr>
        <w:jc w:val="both"/>
        <w:rPr>
          <w:rFonts w:hint="default" w:ascii="Arial" w:hAnsi="Arial" w:cs="Arial"/>
          <w:sz w:val="22"/>
          <w:szCs w:val="22"/>
        </w:rPr>
      </w:pPr>
    </w:p>
    <w:p w14:paraId="2BF85F92">
      <w:pPr>
        <w:rPr>
          <w:rFonts w:hint="default" w:ascii="Arial" w:hAnsi="Arial" w:eastAsia="SimSun" w:cs="Arial"/>
          <w:color w:val="000000"/>
          <w:sz w:val="22"/>
          <w:szCs w:val="22"/>
          <w:lang w:bidi="ar"/>
        </w:rPr>
      </w:pPr>
      <w:r>
        <w:rPr>
          <w:rFonts w:hint="default" w:ascii="Arial" w:hAnsi="Arial" w:eastAsia="TimesNewRomanPS-BoldMT" w:cs="Arial"/>
          <w:color w:val="000000"/>
          <w:sz w:val="22"/>
          <w:szCs w:val="22"/>
          <w:lang w:bidi="ar"/>
        </w:rPr>
        <w:t>Iman Satra Nugraha*; Aprizal Alamsyah; Sahuri</w:t>
      </w:r>
      <w:r>
        <w:rPr>
          <w:rFonts w:hint="default" w:ascii="Arial" w:hAnsi="Arial" w:cs="Arial"/>
          <w:sz w:val="22"/>
          <w:szCs w:val="22"/>
        </w:rPr>
        <w:t xml:space="preserve">: </w:t>
      </w:r>
      <w:r>
        <w:rPr>
          <w:rFonts w:hint="default" w:ascii="Arial" w:hAnsi="Arial" w:eastAsia="TimesNewRomanPS-BoldMT" w:cs="Arial"/>
          <w:color w:val="000000"/>
          <w:sz w:val="22"/>
          <w:szCs w:val="22"/>
          <w:lang w:bidi="ar"/>
        </w:rPr>
        <w:t xml:space="preserve">Effort to increase rubber farmers’ income when rubber low prices, 2018, ISSN: 2338-4603 (print); 2355-8520 (online), </w:t>
      </w:r>
      <w:r>
        <w:rPr>
          <w:rFonts w:hint="default" w:ascii="Arial" w:hAnsi="Arial" w:eastAsia="SimSun" w:cs="Arial"/>
          <w:color w:val="000000"/>
          <w:sz w:val="22"/>
          <w:szCs w:val="22"/>
          <w:lang w:bidi="ar"/>
        </w:rPr>
        <w:t>Sembawa Research Center, Indonesian Rubber Research Institute,</w:t>
      </w:r>
    </w:p>
    <w:p w14:paraId="04011E63">
      <w:pPr>
        <w:rPr>
          <w:rFonts w:hint="default" w:ascii="Arial" w:hAnsi="Arial" w:eastAsia="SimSun" w:cs="Arial"/>
          <w:color w:val="000000"/>
          <w:sz w:val="22"/>
          <w:szCs w:val="22"/>
          <w:lang w:bidi="ar"/>
        </w:rPr>
      </w:pPr>
    </w:p>
    <w:p w14:paraId="41FF7DC2">
      <w:pPr>
        <w:rPr>
          <w:rFonts w:hint="default" w:ascii="Arial" w:hAnsi="Arial" w:eastAsia="SimSun" w:cs="Arial"/>
          <w:color w:val="000000"/>
          <w:sz w:val="22"/>
          <w:szCs w:val="22"/>
          <w:lang w:val="en-US" w:bidi="ar"/>
        </w:rPr>
      </w:pPr>
      <w:r>
        <w:rPr>
          <w:rFonts w:hint="default" w:ascii="Arial" w:hAnsi="Arial" w:eastAsia="SimSun" w:cs="Arial"/>
          <w:color w:val="000000"/>
          <w:sz w:val="22"/>
          <w:szCs w:val="22"/>
          <w:lang w:bidi="ar"/>
        </w:rPr>
        <w:t>Philippine Rubber Industry Road Map 2022</w:t>
      </w:r>
      <w:r>
        <w:rPr>
          <w:rFonts w:hint="default" w:ascii="Arial" w:hAnsi="Arial" w:eastAsia="SimSun" w:cs="Arial"/>
          <w:color w:val="000000"/>
          <w:sz w:val="22"/>
          <w:szCs w:val="22"/>
          <w:lang w:val="en-US" w:bidi="ar"/>
        </w:rPr>
        <w:t>, Department of Agriculture, Republic of the Philippines</w:t>
      </w:r>
    </w:p>
    <w:p w14:paraId="4E0F2DCE">
      <w:pPr>
        <w:rPr>
          <w:rFonts w:hint="default" w:ascii="Arial" w:hAnsi="Arial" w:eastAsia="SimSun" w:cs="Arial"/>
          <w:color w:val="000000"/>
          <w:sz w:val="22"/>
          <w:szCs w:val="22"/>
          <w:lang w:val="en-US" w:bidi="ar"/>
        </w:rPr>
      </w:pPr>
    </w:p>
    <w:p w14:paraId="40262C5E">
      <w:pPr>
        <w:rPr>
          <w:rFonts w:hint="default" w:ascii="Arial" w:hAnsi="Arial" w:eastAsia="SimSun" w:cs="Arial"/>
          <w:color w:val="000000"/>
          <w:sz w:val="22"/>
          <w:szCs w:val="22"/>
        </w:rPr>
      </w:pPr>
      <w:r>
        <w:rPr>
          <w:rFonts w:hint="default" w:ascii="Arial" w:hAnsi="Arial" w:eastAsia="SimSun" w:cs="Arial"/>
          <w:color w:val="000000"/>
          <w:sz w:val="22"/>
          <w:szCs w:val="22"/>
        </w:rPr>
        <w:fldChar w:fldCharType="begin"/>
      </w:r>
      <w:r>
        <w:rPr>
          <w:rFonts w:hint="default" w:ascii="Arial" w:hAnsi="Arial" w:eastAsia="SimSun" w:cs="Arial"/>
          <w:color w:val="000000"/>
          <w:sz w:val="22"/>
          <w:szCs w:val="22"/>
        </w:rPr>
        <w:instrText xml:space="preserve"> HYPERLINK "https://worldpopulationreview.com/country-rankings/rubber-production-by-country" </w:instrText>
      </w:r>
      <w:r>
        <w:rPr>
          <w:rFonts w:hint="default" w:ascii="Arial" w:hAnsi="Arial" w:eastAsia="SimSun" w:cs="Arial"/>
          <w:color w:val="000000"/>
          <w:sz w:val="22"/>
          <w:szCs w:val="22"/>
        </w:rPr>
        <w:fldChar w:fldCharType="separate"/>
      </w:r>
      <w:r>
        <w:rPr>
          <w:rStyle w:val="7"/>
          <w:rFonts w:hint="default" w:ascii="Arial" w:hAnsi="Arial" w:eastAsia="SimSun" w:cs="Arial"/>
          <w:sz w:val="22"/>
          <w:szCs w:val="22"/>
        </w:rPr>
        <w:t>https://worldpopulationreview.com/country-rankings/rubber-production-by-country</w:t>
      </w:r>
      <w:r>
        <w:rPr>
          <w:rFonts w:hint="default" w:ascii="Arial" w:hAnsi="Arial" w:eastAsia="SimSun" w:cs="Arial"/>
          <w:color w:val="000000"/>
          <w:sz w:val="22"/>
          <w:szCs w:val="22"/>
        </w:rPr>
        <w:fldChar w:fldCharType="end"/>
      </w:r>
    </w:p>
    <w:p w14:paraId="4F057DE5">
      <w:pPr>
        <w:rPr>
          <w:rFonts w:hint="default" w:ascii="Arial" w:hAnsi="Arial" w:eastAsia="SimSun" w:cs="Arial"/>
          <w:color w:val="000000"/>
          <w:sz w:val="22"/>
          <w:szCs w:val="22"/>
        </w:rPr>
      </w:pPr>
    </w:p>
    <w:p w14:paraId="515AFC5B">
      <w:pPr>
        <w:rPr>
          <w:rStyle w:val="7"/>
          <w:rFonts w:hint="default" w:ascii="Arial" w:hAnsi="Arial" w:eastAsia="SimSun" w:cs="Arial"/>
          <w:sz w:val="22"/>
          <w:szCs w:val="22"/>
          <w:lang w:bidi="ar"/>
        </w:rPr>
      </w:pPr>
      <w:r>
        <w:rPr>
          <w:rFonts w:hint="default" w:ascii="Arial" w:hAnsi="Arial" w:cs="Arial"/>
          <w:sz w:val="22"/>
          <w:szCs w:val="22"/>
        </w:rPr>
        <w:fldChar w:fldCharType="begin"/>
      </w:r>
      <w:r>
        <w:rPr>
          <w:rFonts w:hint="default" w:ascii="Arial" w:hAnsi="Arial" w:cs="Arial"/>
          <w:sz w:val="22"/>
          <w:szCs w:val="22"/>
        </w:rPr>
        <w:instrText xml:space="preserve"> HYPERLINK "https://www.philatlas.com/luzon/mimaropa/palawan/quezon.html" </w:instrText>
      </w:r>
      <w:r>
        <w:rPr>
          <w:rFonts w:hint="default" w:ascii="Arial" w:hAnsi="Arial" w:cs="Arial"/>
          <w:sz w:val="22"/>
          <w:szCs w:val="22"/>
        </w:rPr>
        <w:fldChar w:fldCharType="separate"/>
      </w:r>
      <w:r>
        <w:rPr>
          <w:rStyle w:val="7"/>
          <w:rFonts w:hint="default" w:ascii="Arial" w:hAnsi="Arial" w:eastAsia="SimSun" w:cs="Arial"/>
          <w:sz w:val="22"/>
          <w:szCs w:val="22"/>
          <w:lang w:bidi="ar"/>
        </w:rPr>
        <w:t>https://www.philatlas.com/luzon/mimaropa/palawan/quezon.html</w:t>
      </w:r>
      <w:r>
        <w:rPr>
          <w:rStyle w:val="7"/>
          <w:rFonts w:hint="default" w:ascii="Arial" w:hAnsi="Arial" w:eastAsia="SimSun" w:cs="Arial"/>
          <w:sz w:val="22"/>
          <w:szCs w:val="22"/>
          <w:lang w:bidi="ar"/>
        </w:rPr>
        <w:fldChar w:fldCharType="end"/>
      </w:r>
    </w:p>
    <w:p w14:paraId="6D9EA7A8">
      <w:pPr>
        <w:rPr>
          <w:rStyle w:val="7"/>
          <w:rFonts w:hint="default" w:ascii="Arial" w:hAnsi="Arial" w:eastAsia="SimSun" w:cs="Arial"/>
          <w:sz w:val="22"/>
          <w:szCs w:val="22"/>
          <w:lang w:bidi="ar"/>
        </w:rPr>
      </w:pPr>
    </w:p>
    <w:p w14:paraId="3B2A66B5">
      <w:pPr>
        <w:rPr>
          <w:rFonts w:hint="default" w:ascii="Arial" w:hAnsi="Arial" w:eastAsia="SimSun" w:cs="Arial"/>
          <w:color w:val="000000"/>
          <w:sz w:val="22"/>
          <w:szCs w:val="22"/>
          <w:lang w:bidi="ar"/>
        </w:rPr>
      </w:pPr>
      <w:r>
        <w:rPr>
          <w:rFonts w:hint="default" w:ascii="Arial" w:hAnsi="Arial" w:cs="Arial"/>
          <w:sz w:val="22"/>
          <w:szCs w:val="22"/>
        </w:rPr>
        <w:fldChar w:fldCharType="begin"/>
      </w:r>
      <w:r>
        <w:rPr>
          <w:rFonts w:hint="default" w:ascii="Arial" w:hAnsi="Arial" w:cs="Arial"/>
          <w:sz w:val="22"/>
          <w:szCs w:val="22"/>
        </w:rPr>
        <w:instrText xml:space="preserve"> HYPERLINK "https://www.philatlas.com/luzon/mimaropa/palawan/rizal.html" </w:instrText>
      </w:r>
      <w:r>
        <w:rPr>
          <w:rFonts w:hint="default" w:ascii="Arial" w:hAnsi="Arial" w:cs="Arial"/>
          <w:sz w:val="22"/>
          <w:szCs w:val="22"/>
        </w:rPr>
        <w:fldChar w:fldCharType="separate"/>
      </w:r>
      <w:r>
        <w:rPr>
          <w:rStyle w:val="7"/>
          <w:rFonts w:hint="default" w:ascii="Arial" w:hAnsi="Arial" w:eastAsia="SimSun" w:cs="Arial"/>
          <w:sz w:val="22"/>
          <w:szCs w:val="22"/>
          <w:lang w:bidi="ar"/>
        </w:rPr>
        <w:t>https://www.philatlas.com/luzon/mimaropa/palawan/rizal.html</w:t>
      </w:r>
      <w:r>
        <w:rPr>
          <w:rStyle w:val="7"/>
          <w:rFonts w:hint="default" w:ascii="Arial" w:hAnsi="Arial" w:eastAsia="SimSun" w:cs="Arial"/>
          <w:sz w:val="22"/>
          <w:szCs w:val="22"/>
          <w:lang w:bidi="ar"/>
        </w:rPr>
        <w:fldChar w:fldCharType="end"/>
      </w:r>
    </w:p>
    <w:p w14:paraId="60C904FE">
      <w:pPr>
        <w:rPr>
          <w:rFonts w:hint="default" w:ascii="Arial" w:hAnsi="Arial" w:eastAsia="SimSun" w:cs="Arial"/>
          <w:color w:val="000000"/>
          <w:sz w:val="22"/>
          <w:szCs w:val="22"/>
          <w:lang w:bidi="ar"/>
        </w:rPr>
      </w:pPr>
    </w:p>
    <w:p w14:paraId="4C49541E">
      <w:pPr>
        <w:rPr>
          <w:rFonts w:hint="default" w:ascii="Arial" w:hAnsi="Arial" w:eastAsia="SimSun" w:cs="Arial"/>
          <w:color w:val="000000"/>
          <w:sz w:val="22"/>
          <w:szCs w:val="22"/>
          <w:lang w:bidi="ar"/>
        </w:rPr>
      </w:pPr>
    </w:p>
    <w:p w14:paraId="2BFFA83A">
      <w:pPr>
        <w:rPr>
          <w:rFonts w:hint="default" w:ascii="Arial" w:hAnsi="Arial" w:eastAsia="SimSun" w:cs="Arial"/>
          <w:color w:val="000000"/>
          <w:sz w:val="22"/>
          <w:szCs w:val="22"/>
          <w:lang w:bidi="ar"/>
        </w:rPr>
      </w:pPr>
    </w:p>
    <w:p w14:paraId="17F1241F">
      <w:pPr>
        <w:rPr>
          <w:rFonts w:hint="default" w:ascii="Arial" w:hAnsi="Arial" w:cs="Arial"/>
          <w:sz w:val="22"/>
          <w:szCs w:val="22"/>
        </w:rPr>
      </w:pPr>
    </w:p>
    <w:p w14:paraId="37354FD6">
      <w:pPr>
        <w:rPr>
          <w:rFonts w:hint="default" w:ascii="Arial" w:hAnsi="Arial" w:eastAsia="SimSun" w:cs="Arial"/>
          <w:color w:val="000000"/>
          <w:sz w:val="22"/>
          <w:szCs w:val="22"/>
          <w:lang w:bidi="ar"/>
        </w:rPr>
      </w:pPr>
    </w:p>
    <w:p w14:paraId="36D08EA1">
      <w:pPr>
        <w:rPr>
          <w:rFonts w:hint="default" w:ascii="Arial" w:hAnsi="Arial" w:eastAsia="SimSun" w:cs="Arial"/>
          <w:color w:val="000000"/>
          <w:sz w:val="22"/>
          <w:szCs w:val="22"/>
          <w:lang w:bidi="ar"/>
        </w:rPr>
      </w:pPr>
    </w:p>
    <w:p w14:paraId="4A2662E7">
      <w:pPr>
        <w:rPr>
          <w:rFonts w:hint="default" w:ascii="Arial" w:hAnsi="Arial" w:eastAsia="SimSun" w:cs="Arial"/>
          <w:color w:val="000000"/>
          <w:sz w:val="22"/>
          <w:szCs w:val="22"/>
          <w:lang w:bidi="ar"/>
        </w:rPr>
      </w:pPr>
    </w:p>
    <w:p w14:paraId="308E112E">
      <w:pPr>
        <w:rPr>
          <w:rFonts w:hint="default" w:ascii="Arial" w:hAnsi="Arial" w:eastAsia="SimSun" w:cs="Arial"/>
          <w:color w:val="000000"/>
          <w:sz w:val="22"/>
          <w:szCs w:val="22"/>
          <w:lang w:bidi="ar"/>
        </w:rPr>
      </w:pPr>
    </w:p>
    <w:p w14:paraId="6F9C9277">
      <w:pPr>
        <w:rPr>
          <w:rFonts w:hint="default" w:ascii="Arial" w:hAnsi="Arial" w:eastAsia="Times-Italic" w:cs="Arial"/>
          <w:sz w:val="22"/>
          <w:szCs w:val="22"/>
          <w:lang w:bidi="ar"/>
        </w:rPr>
      </w:pPr>
    </w:p>
    <w:p w14:paraId="09B8A2C8">
      <w:pPr>
        <w:rPr>
          <w:rFonts w:hint="default" w:ascii="Arial" w:hAnsi="Arial" w:eastAsia="Times-Bold" w:cs="Arial"/>
          <w:sz w:val="22"/>
          <w:szCs w:val="22"/>
          <w:lang w:bidi="ar"/>
        </w:rPr>
      </w:pPr>
    </w:p>
    <w:p w14:paraId="13678571">
      <w:pPr>
        <w:rPr>
          <w:rFonts w:ascii="Arial Narrow" w:hAnsi="Arial Narrow" w:eastAsia="Times-Bold" w:cs="Arial Narrow"/>
          <w:color w:val="000000"/>
          <w:sz w:val="22"/>
          <w:szCs w:val="22"/>
          <w:lang w:bidi="ar"/>
        </w:rPr>
      </w:pPr>
    </w:p>
    <w:p w14:paraId="1DA6C2E8">
      <w:pPr>
        <w:rPr>
          <w:rFonts w:ascii="Arial" w:hAnsi="Arial" w:eastAsia="Martel-Regular" w:cs="Arial"/>
          <w:color w:val="000000"/>
          <w:sz w:val="22"/>
          <w:szCs w:val="22"/>
          <w:lang w:bidi="ar"/>
        </w:rPr>
      </w:pPr>
    </w:p>
    <w:p w14:paraId="2AB54A67">
      <w:pPr>
        <w:rPr>
          <w:rFonts w:ascii="Arial" w:hAnsi="Arial" w:eastAsia="Martel-Regular" w:cs="Arial"/>
          <w:color w:val="000000"/>
          <w:sz w:val="22"/>
          <w:szCs w:val="22"/>
          <w:lang w:bidi="ar"/>
        </w:rPr>
      </w:pPr>
    </w:p>
    <w:p w14:paraId="4938C3DD">
      <w:pPr>
        <w:rPr>
          <w:rFonts w:ascii="Arial" w:hAnsi="Arial" w:eastAsia="Martel-Regular" w:cs="Arial"/>
          <w:color w:val="000000"/>
          <w:sz w:val="22"/>
          <w:szCs w:val="22"/>
          <w:lang w:bidi="ar"/>
        </w:rPr>
      </w:pPr>
    </w:p>
    <w:p w14:paraId="043CEEC0">
      <w:pPr>
        <w:rPr>
          <w:rFonts w:ascii="Arial" w:hAnsi="Arial" w:cs="Arial"/>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imHei">
    <w:altName w:val="SimSun"/>
    <w:panose1 w:val="02010600030101010101"/>
    <w:charset w:val="86"/>
    <w:family w:val="modern"/>
    <w:pitch w:val="default"/>
    <w:sig w:usb0="00000000" w:usb1="00000000"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auto"/>
    <w:pitch w:val="default"/>
    <w:sig w:usb0="A00006FF" w:usb1="4000205B" w:usb2="00000010" w:usb3="00000000" w:csb0="2000019F" w:csb1="00000000"/>
  </w:font>
  <w:font w:name="SourceSansPro-Regular">
    <w:altName w:val="Segoe Print"/>
    <w:panose1 w:val="00000000000000000000"/>
    <w:charset w:val="00"/>
    <w:family w:val="auto"/>
    <w:pitch w:val="default"/>
    <w:sig w:usb0="00000000" w:usb1="00000000" w:usb2="00000000" w:usb3="00000000" w:csb0="00000000" w:csb1="00000000"/>
  </w:font>
  <w:font w:name="MS Mincho">
    <w:altName w:val="Yu Gothic"/>
    <w:panose1 w:val="02020609040205080304"/>
    <w:charset w:val="80"/>
    <w:family w:val="moder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Gill Sans MT">
    <w:panose1 w:val="020B0502020104020203"/>
    <w:charset w:val="00"/>
    <w:family w:val="swiss"/>
    <w:pitch w:val="default"/>
    <w:sig w:usb0="00000003" w:usb1="00000000" w:usb2="00000000" w:usb3="00000000" w:csb0="20000003" w:csb1="00000000"/>
  </w:font>
  <w:font w:name="Martel-Regular">
    <w:altName w:val="Segoe Print"/>
    <w:panose1 w:val="00000000000000000000"/>
    <w:charset w:val="00"/>
    <w:family w:val="auto"/>
    <w:pitch w:val="default"/>
    <w:sig w:usb0="00000000" w:usb1="00000000" w:usb2="00000000" w:usb3="00000000" w:csb0="00000000" w:csb1="00000000"/>
  </w:font>
  <w:font w:name="Times-Bold">
    <w:altName w:val="Segoe Print"/>
    <w:panose1 w:val="00000000000000000000"/>
    <w:charset w:val="00"/>
    <w:family w:val="auto"/>
    <w:pitch w:val="default"/>
    <w:sig w:usb0="00000000" w:usb1="00000000" w:usb2="00000000" w:usb3="00000000" w:csb0="00000000" w:csb1="00000000"/>
  </w:font>
  <w:font w:name="Times-Italic">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Roman">
    <w:altName w:val="Times New Roman"/>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6654CF8C">
      <w:pPr>
        <w:pStyle w:val="6"/>
        <w:snapToGrid w:val="0"/>
        <w:rPr>
          <w:rFonts w:hint="default" w:ascii="Arial Narrow" w:hAnsi="Arial Narrow" w:cs="Arial Narrow"/>
        </w:rPr>
      </w:pPr>
      <w:r>
        <w:rPr>
          <w:rStyle w:val="5"/>
          <w:rFonts w:hint="default" w:ascii="Arial Narrow" w:hAnsi="Arial Narrow" w:cs="Arial Narrow"/>
        </w:rPr>
        <w:footnoteRef/>
      </w:r>
      <w:r>
        <w:rPr>
          <w:rFonts w:hint="default" w:ascii="Arial Narrow" w:hAnsi="Arial Narrow" w:cs="Arial Narrow"/>
        </w:rPr>
        <w:t xml:space="preserve"> https://worldpopulationreview.com/country-rankings/rubber-production-by-country</w:t>
      </w:r>
    </w:p>
  </w:footnote>
  <w:footnote w:id="1">
    <w:p w14:paraId="1E735548">
      <w:pPr>
        <w:pStyle w:val="6"/>
        <w:snapToGrid w:val="0"/>
        <w:rPr>
          <w:rFonts w:hint="default" w:ascii="Arial Narrow" w:hAnsi="Arial Narrow" w:cs="Arial Narrow"/>
        </w:rPr>
      </w:pPr>
      <w:r>
        <w:rPr>
          <w:rStyle w:val="5"/>
          <w:rFonts w:hint="default" w:ascii="Arial Narrow" w:hAnsi="Arial Narrow" w:cs="Arial Narrow"/>
        </w:rPr>
        <w:footnoteRef/>
      </w:r>
      <w:r>
        <w:rPr>
          <w:rFonts w:hint="default" w:ascii="Arial Narrow" w:hAnsi="Arial Narrow" w:cs="Arial Narrow"/>
        </w:rPr>
        <w:t xml:space="preserve"> https://www.sunsirs.com/uk/detail_news-17010.html</w:t>
      </w:r>
    </w:p>
  </w:footnote>
  <w:footnote w:id="2">
    <w:p w14:paraId="2D3F45F2">
      <w:pPr>
        <w:pStyle w:val="6"/>
        <w:snapToGrid w:val="0"/>
      </w:pPr>
      <w:r>
        <w:rPr>
          <w:rStyle w:val="5"/>
        </w:rPr>
        <w:footnoteRef/>
      </w:r>
      <w:r>
        <w:t xml:space="preserve"> </w:t>
      </w:r>
    </w:p>
  </w:footnote>
  <w:footnote w:id="3">
    <w:p w14:paraId="1DB40CEE">
      <w:pPr>
        <w:pStyle w:val="6"/>
        <w:snapToGrid w:val="0"/>
        <w:rPr>
          <w:rFonts w:hint="default" w:ascii="Arial Narrow" w:hAnsi="Arial Narrow" w:cs="Arial Narrow"/>
        </w:rPr>
      </w:pPr>
      <w:r>
        <w:rPr>
          <w:rStyle w:val="5"/>
          <w:rFonts w:hint="default" w:ascii="Arial" w:hAnsi="Arial" w:cs="Arial"/>
        </w:rPr>
        <w:footnoteRef/>
      </w:r>
      <w:r>
        <w:rPr>
          <w:rFonts w:hint="default" w:ascii="Arial" w:hAnsi="Arial" w:cs="Arial"/>
        </w:rPr>
        <w:t xml:space="preserve"> </w:t>
      </w:r>
      <w:r>
        <w:rPr>
          <w:rFonts w:hint="default" w:ascii="Arial Narrow" w:hAnsi="Arial Narrow" w:cs="Arial Narrow"/>
        </w:rPr>
        <w:t>https://www.psa.gov.ph/major-non-food-industrial-crops/rubber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43F4C"/>
    <w:multiLevelType w:val="multilevel"/>
    <w:tmpl w:val="AD343F4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F3867547"/>
    <w:multiLevelType w:val="singleLevel"/>
    <w:tmpl w:val="F3867547"/>
    <w:lvl w:ilvl="0" w:tentative="0">
      <w:start w:val="2"/>
      <w:numFmt w:val="upperLetter"/>
      <w:suff w:val="space"/>
      <w:lvlText w:val="%1."/>
      <w:lvlJc w:val="left"/>
    </w:lvl>
  </w:abstractNum>
  <w:abstractNum w:abstractNumId="2">
    <w:nsid w:val="0A7FD491"/>
    <w:multiLevelType w:val="singleLevel"/>
    <w:tmpl w:val="0A7FD491"/>
    <w:lvl w:ilvl="0" w:tentative="0">
      <w:start w:val="4"/>
      <w:numFmt w:val="upperLetter"/>
      <w:suff w:val="space"/>
      <w:lvlText w:val="%1."/>
      <w:lvlJc w:val="left"/>
    </w:lvl>
  </w:abstractNum>
  <w:abstractNum w:abstractNumId="3">
    <w:nsid w:val="1A4D9044"/>
    <w:multiLevelType w:val="singleLevel"/>
    <w:tmpl w:val="1A4D9044"/>
    <w:lvl w:ilvl="0" w:tentative="0">
      <w:start w:val="1"/>
      <w:numFmt w:val="decimal"/>
      <w:suff w:val="space"/>
      <w:lvlText w:val="%1."/>
      <w:lvlJc w:val="left"/>
    </w:lvl>
  </w:abstractNum>
  <w:abstractNum w:abstractNumId="4">
    <w:nsid w:val="2340BAB1"/>
    <w:multiLevelType w:val="singleLevel"/>
    <w:tmpl w:val="2340BAB1"/>
    <w:lvl w:ilvl="0" w:tentative="0">
      <w:start w:val="1"/>
      <w:numFmt w:val="decimal"/>
      <w:suff w:val="space"/>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8"/>
    <w:footnote w:id="9"/>
  </w:footnotePr>
  <w:compat>
    <w:doNotExpandShiftReturn/>
    <w:doNotWrapTextWithPunct/>
    <w:doNotUseEastAsianBreakRules/>
    <w:doNotUseIndentAsNumberingTabStop/>
    <w:compatSetting w:name="compatibilityMode" w:uri="http://schemas.microsoft.com/office/word" w:val="12"/>
  </w:compat>
  <w:rsids>
    <w:rsidRoot w:val="256B49C1"/>
    <w:rsid w:val="00080290"/>
    <w:rsid w:val="00257430"/>
    <w:rsid w:val="00320BFE"/>
    <w:rsid w:val="00365C39"/>
    <w:rsid w:val="00395CA3"/>
    <w:rsid w:val="003E1FEC"/>
    <w:rsid w:val="004361DE"/>
    <w:rsid w:val="005431C0"/>
    <w:rsid w:val="005817F7"/>
    <w:rsid w:val="005B1187"/>
    <w:rsid w:val="00682520"/>
    <w:rsid w:val="009068C6"/>
    <w:rsid w:val="009846B3"/>
    <w:rsid w:val="00D7116F"/>
    <w:rsid w:val="00F52A00"/>
    <w:rsid w:val="019F1CAA"/>
    <w:rsid w:val="01A473FF"/>
    <w:rsid w:val="04AA7AB6"/>
    <w:rsid w:val="04D1797A"/>
    <w:rsid w:val="04F62CDF"/>
    <w:rsid w:val="05F83E92"/>
    <w:rsid w:val="06266DF1"/>
    <w:rsid w:val="07DD1824"/>
    <w:rsid w:val="09D76F02"/>
    <w:rsid w:val="0B207BCE"/>
    <w:rsid w:val="0C6C4968"/>
    <w:rsid w:val="0CAC277B"/>
    <w:rsid w:val="0DAF7D84"/>
    <w:rsid w:val="0DE977D3"/>
    <w:rsid w:val="11001CF2"/>
    <w:rsid w:val="116062DB"/>
    <w:rsid w:val="12A62E25"/>
    <w:rsid w:val="141E7144"/>
    <w:rsid w:val="159C41D6"/>
    <w:rsid w:val="18E11D5F"/>
    <w:rsid w:val="1973304D"/>
    <w:rsid w:val="1B026CAA"/>
    <w:rsid w:val="1BB12EB5"/>
    <w:rsid w:val="1D1411A6"/>
    <w:rsid w:val="1D3E6637"/>
    <w:rsid w:val="1DD3267D"/>
    <w:rsid w:val="1E982F7E"/>
    <w:rsid w:val="1F516C2C"/>
    <w:rsid w:val="1F9A6382"/>
    <w:rsid w:val="21F429C2"/>
    <w:rsid w:val="22392531"/>
    <w:rsid w:val="22DE2CC9"/>
    <w:rsid w:val="2316758A"/>
    <w:rsid w:val="24AA6528"/>
    <w:rsid w:val="256B49C1"/>
    <w:rsid w:val="281F6039"/>
    <w:rsid w:val="29AE1BF3"/>
    <w:rsid w:val="29FF3178"/>
    <w:rsid w:val="2C287027"/>
    <w:rsid w:val="2C2F1949"/>
    <w:rsid w:val="2EA240D7"/>
    <w:rsid w:val="2F456C74"/>
    <w:rsid w:val="2FD0227E"/>
    <w:rsid w:val="31D773D3"/>
    <w:rsid w:val="32200BE4"/>
    <w:rsid w:val="328D5D6D"/>
    <w:rsid w:val="32A233A1"/>
    <w:rsid w:val="330721AD"/>
    <w:rsid w:val="33FB4545"/>
    <w:rsid w:val="360714B4"/>
    <w:rsid w:val="3625534E"/>
    <w:rsid w:val="369F0533"/>
    <w:rsid w:val="37A07506"/>
    <w:rsid w:val="37CD4971"/>
    <w:rsid w:val="394D408C"/>
    <w:rsid w:val="39F32C0E"/>
    <w:rsid w:val="3A1357D6"/>
    <w:rsid w:val="3C7E77FF"/>
    <w:rsid w:val="3E925D6B"/>
    <w:rsid w:val="3E9333AA"/>
    <w:rsid w:val="3F021EC6"/>
    <w:rsid w:val="3F054E32"/>
    <w:rsid w:val="3F315799"/>
    <w:rsid w:val="3F8F3A42"/>
    <w:rsid w:val="3FF7137F"/>
    <w:rsid w:val="40A816C7"/>
    <w:rsid w:val="41904D10"/>
    <w:rsid w:val="41E02B55"/>
    <w:rsid w:val="423324F9"/>
    <w:rsid w:val="42B11578"/>
    <w:rsid w:val="44FC1834"/>
    <w:rsid w:val="4509026F"/>
    <w:rsid w:val="45A2504D"/>
    <w:rsid w:val="45DD01B5"/>
    <w:rsid w:val="463446BC"/>
    <w:rsid w:val="46546721"/>
    <w:rsid w:val="469700D5"/>
    <w:rsid w:val="47B44C4F"/>
    <w:rsid w:val="4913343B"/>
    <w:rsid w:val="4A453A6E"/>
    <w:rsid w:val="4B9B6376"/>
    <w:rsid w:val="50366DE6"/>
    <w:rsid w:val="526C092E"/>
    <w:rsid w:val="529C3096"/>
    <w:rsid w:val="53BC2AA1"/>
    <w:rsid w:val="54F72FFA"/>
    <w:rsid w:val="552C6FAA"/>
    <w:rsid w:val="5600188E"/>
    <w:rsid w:val="56135F3E"/>
    <w:rsid w:val="57743C96"/>
    <w:rsid w:val="588163D1"/>
    <w:rsid w:val="58E66363"/>
    <w:rsid w:val="5A5D394D"/>
    <w:rsid w:val="5AB72D62"/>
    <w:rsid w:val="5B6C4988"/>
    <w:rsid w:val="5BF31303"/>
    <w:rsid w:val="5C0316AB"/>
    <w:rsid w:val="5DFB7289"/>
    <w:rsid w:val="60BC4C2A"/>
    <w:rsid w:val="60E96A0A"/>
    <w:rsid w:val="614C6B95"/>
    <w:rsid w:val="619D2BDE"/>
    <w:rsid w:val="61C001AC"/>
    <w:rsid w:val="627969DE"/>
    <w:rsid w:val="63841BD1"/>
    <w:rsid w:val="6453583A"/>
    <w:rsid w:val="64A70518"/>
    <w:rsid w:val="65FF5591"/>
    <w:rsid w:val="66BE3101"/>
    <w:rsid w:val="678F07BF"/>
    <w:rsid w:val="67A254ED"/>
    <w:rsid w:val="67DD0136"/>
    <w:rsid w:val="68232153"/>
    <w:rsid w:val="68BD4E1A"/>
    <w:rsid w:val="6BB83058"/>
    <w:rsid w:val="6DFC322D"/>
    <w:rsid w:val="6E004F03"/>
    <w:rsid w:val="6F2B6BEF"/>
    <w:rsid w:val="706B6034"/>
    <w:rsid w:val="70FB4E7F"/>
    <w:rsid w:val="714F1FD3"/>
    <w:rsid w:val="71DA709F"/>
    <w:rsid w:val="75593578"/>
    <w:rsid w:val="75BB06E6"/>
    <w:rsid w:val="76BC712E"/>
    <w:rsid w:val="783B6377"/>
    <w:rsid w:val="79262620"/>
    <w:rsid w:val="7A046272"/>
    <w:rsid w:val="7AC77DFB"/>
    <w:rsid w:val="7C520C06"/>
    <w:rsid w:val="7F92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rPr>
      <w:rFonts w:ascii="Arial" w:hAnsi="Arial" w:eastAsia="SimHei" w:cs="Arial"/>
    </w:rPr>
  </w:style>
  <w:style w:type="character" w:styleId="5">
    <w:name w:val="footnote reference"/>
    <w:basedOn w:val="2"/>
    <w:qFormat/>
    <w:uiPriority w:val="0"/>
    <w:rPr>
      <w:vertAlign w:val="superscript"/>
    </w:rPr>
  </w:style>
  <w:style w:type="paragraph" w:styleId="6">
    <w:name w:val="footnote text"/>
    <w:basedOn w:val="1"/>
    <w:qFormat/>
    <w:uiPriority w:val="0"/>
    <w:pPr>
      <w:snapToGrid w:val="0"/>
    </w:pPr>
    <w:rPr>
      <w:sz w:val="18"/>
      <w:szCs w:val="18"/>
    </w:rPr>
  </w:style>
  <w:style w:type="character" w:styleId="7">
    <w:name w:val="Hyperlink"/>
    <w:basedOn w:val="2"/>
    <w:qFormat/>
    <w:uiPriority w:val="0"/>
    <w:rPr>
      <w:color w:val="0000FF"/>
      <w:u w:val="single"/>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ravelmate\Desktop\Research%20Proposal%202023\Rubber%20Reearch-UPSSI\Farmers%20Distribu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ravelmate\Desktop\Research%20Proposal%202023\Rubber%20Reearch-UPSSI\Farmers%20Distribution.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Travelmate\Desktop\Research%20Proposal%202023\Rubber%20Reearch-UPSSI\Tally%20Sheet.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Travelmate\Desktop\Research%20Proposal%202023\Rubber%20Reearch-UPSSI\Tally%20Sheet.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Travelmate\Desktop\Research%20Proposal%202023\Rubber%20Reearch-UPSSI\Tally%20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40" b="1" i="0" u="none" strike="noStrike" kern="1200" baseline="0">
                <a:solidFill>
                  <a:schemeClr val="dk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r>
              <a:rPr lang="en-US" sz="1440"/>
              <a:t>Fig 1-Distribution of Farmers by Barangay In Quezon Municipality</a:t>
            </a:r>
            <a:endParaRPr lang="en-US" sz="1440"/>
          </a:p>
        </c:rich>
      </c:tx>
      <c:layout>
        <c:manualLayout>
          <c:xMode val="edge"/>
          <c:yMode val="edge"/>
          <c:x val="0.126462884946112"/>
          <c:y val="0.00833564879133093"/>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98132427843803"/>
          <c:y val="0.132899179932465"/>
          <c:w val="0.718166383701188"/>
          <c:h val="0.48986975397974"/>
        </c:manualLayout>
      </c:layout>
      <c:pie3DChart>
        <c:varyColors val="1"/>
        <c:ser>
          <c:idx val="0"/>
          <c:order val="0"/>
          <c:spPr>
            <a:scene3d>
              <a:camera prst="orthographicFront"/>
              <a:lightRig rig="threePt" dir="t"/>
            </a:scene3d>
            <a:sp3d contourW="9525"/>
          </c:spPr>
          <c:explosion val="0"/>
          <c:dPt>
            <c:idx val="0"/>
            <c:bubble3D val="0"/>
            <c:spPr>
              <a:solidFill>
                <a:schemeClr val="accent1"/>
              </a:solidFill>
              <a:ln>
                <a:noFill/>
              </a:ln>
              <a:effectLst>
                <a:outerShdw blurRad="88900" sx="102000" sy="102000" algn="ctr" rotWithShape="0">
                  <a:prstClr val="black">
                    <a:alpha val="20000"/>
                  </a:prstClr>
                </a:outerShdw>
              </a:effectLst>
            </c:spPr>
          </c:dPt>
          <c:dPt>
            <c:idx val="1"/>
            <c:bubble3D val="0"/>
            <c:spPr>
              <a:solidFill>
                <a:schemeClr val="accent2"/>
              </a:solidFill>
              <a:ln>
                <a:noFill/>
              </a:ln>
              <a:effectLst>
                <a:outerShdw blurRad="88900" sx="102000" sy="102000" algn="ctr" rotWithShape="0">
                  <a:prstClr val="black">
                    <a:alpha val="20000"/>
                  </a:prstClr>
                </a:outerShdw>
              </a:effectLst>
            </c:spPr>
          </c:dPt>
          <c:dPt>
            <c:idx val="2"/>
            <c:bubble3D val="0"/>
            <c:spPr>
              <a:solidFill>
                <a:schemeClr val="accent3"/>
              </a:solidFill>
              <a:ln>
                <a:noFill/>
              </a:ln>
              <a:effectLst>
                <a:outerShdw blurRad="88900" sx="102000" sy="102000" algn="ctr" rotWithShape="0">
                  <a:prstClr val="black">
                    <a:alpha val="20000"/>
                  </a:prstClr>
                </a:outerShdw>
              </a:effectLst>
            </c:spPr>
          </c:dPt>
          <c:dPt>
            <c:idx val="3"/>
            <c:bubble3D val="0"/>
            <c:spPr>
              <a:solidFill>
                <a:schemeClr val="accent4"/>
              </a:solidFill>
              <a:ln>
                <a:noFill/>
              </a:ln>
              <a:effectLst>
                <a:outerShdw blurRad="88900" sx="102000" sy="102000" algn="ctr" rotWithShape="0">
                  <a:prstClr val="black">
                    <a:alpha val="20000"/>
                  </a:prstClr>
                </a:outerShdw>
              </a:effectLst>
            </c:spPr>
          </c:dPt>
          <c:dPt>
            <c:idx val="4"/>
            <c:bubble3D val="0"/>
            <c:spPr>
              <a:solidFill>
                <a:schemeClr val="accent5"/>
              </a:solidFill>
              <a:ln>
                <a:noFill/>
              </a:ln>
              <a:effectLst>
                <a:outerShdw blurRad="88900" sx="102000" sy="102000" algn="ctr" rotWithShape="0">
                  <a:prstClr val="black">
                    <a:alpha val="20000"/>
                  </a:prstClr>
                </a:outerShdw>
              </a:effectLst>
            </c:spPr>
          </c:dPt>
          <c:dPt>
            <c:idx val="5"/>
            <c:bubble3D val="0"/>
            <c:spPr>
              <a:solidFill>
                <a:schemeClr val="accent6"/>
              </a:solidFill>
              <a:ln>
                <a:noFill/>
              </a:ln>
              <a:effectLst>
                <a:outerShdw blurRad="88900" sx="102000" sy="102000" algn="ctr" rotWithShape="0">
                  <a:prstClr val="black">
                    <a:alpha val="20000"/>
                  </a:prstClr>
                </a:outerShdw>
              </a:effectLst>
            </c:spPr>
          </c:dPt>
          <c:dPt>
            <c:idx val="6"/>
            <c:bubble3D val="0"/>
            <c:spPr>
              <a:solidFill>
                <a:schemeClr val="accent1">
                  <a:lumMod val="60000"/>
                </a:schemeClr>
              </a:solidFill>
              <a:ln>
                <a:noFill/>
              </a:ln>
              <a:effectLst>
                <a:outerShdw blurRad="88900" sx="102000" sy="102000" algn="ctr" rotWithShape="0">
                  <a:prstClr val="black">
                    <a:alpha val="20000"/>
                  </a:prstClr>
                </a:outerShdw>
              </a:effectLst>
            </c:spPr>
          </c:dPt>
          <c:dPt>
            <c:idx val="7"/>
            <c:bubble3D val="0"/>
            <c:spPr>
              <a:solidFill>
                <a:schemeClr val="accent2">
                  <a:lumMod val="60000"/>
                </a:schemeClr>
              </a:solidFill>
              <a:ln>
                <a:noFill/>
              </a:ln>
              <a:effectLst>
                <a:outerShdw blurRad="88900" sx="102000" sy="102000" algn="ctr" rotWithShape="0">
                  <a:prstClr val="black">
                    <a:alpha val="20000"/>
                  </a:prstClr>
                </a:outerShdw>
              </a:effectLst>
            </c:spPr>
          </c:dPt>
          <c:dPt>
            <c:idx val="8"/>
            <c:bubble3D val="0"/>
            <c:spPr>
              <a:solidFill>
                <a:schemeClr val="accent3">
                  <a:lumMod val="60000"/>
                </a:schemeClr>
              </a:solidFill>
              <a:ln>
                <a:noFill/>
              </a:ln>
              <a:effectLst>
                <a:outerShdw blurRad="88900" sx="102000" sy="102000" algn="ctr" rotWithShape="0">
                  <a:prstClr val="black">
                    <a:alpha val="20000"/>
                  </a:prstClr>
                </a:outerShdw>
              </a:effectLst>
            </c:spPr>
          </c:dPt>
          <c:dPt>
            <c:idx val="9"/>
            <c:bubble3D val="0"/>
            <c:spPr>
              <a:solidFill>
                <a:schemeClr val="accent4">
                  <a:lumMod val="60000"/>
                </a:schemeClr>
              </a:solidFill>
              <a:ln>
                <a:noFill/>
              </a:ln>
              <a:effectLst>
                <a:outerShdw blurRad="88900" sx="102000" sy="102000" algn="ctr" rotWithShape="0">
                  <a:prstClr val="black">
                    <a:alpha val="20000"/>
                  </a:prstClr>
                </a:outerShdw>
              </a:effectLst>
            </c:spPr>
          </c:dPt>
          <c:dLbls>
            <c:delete val="1"/>
          </c:dLbls>
          <c:cat>
            <c:strRef>
              <c:f>'[Farmers Distribution.xlsx]Quezon'!$D$132:$D$141</c:f>
              <c:strCache>
                <c:ptCount val="10"/>
                <c:pt idx="0">
                  <c:v>A. Maasin</c:v>
                </c:pt>
                <c:pt idx="1">
                  <c:v>B. Araamaywan</c:v>
                </c:pt>
                <c:pt idx="2">
                  <c:v>C. Panitian</c:v>
                </c:pt>
                <c:pt idx="3">
                  <c:v>D. Alfonso XIII</c:v>
                </c:pt>
                <c:pt idx="4">
                  <c:v>E. Malatgao</c:v>
                </c:pt>
                <c:pt idx="5">
                  <c:v>F. Quinlogan</c:v>
                </c:pt>
                <c:pt idx="6">
                  <c:v>G. Isugod</c:v>
                </c:pt>
                <c:pt idx="7">
                  <c:v>H. Kalatagbak</c:v>
                </c:pt>
                <c:pt idx="8">
                  <c:v>I. Tabon</c:v>
                </c:pt>
                <c:pt idx="9">
                  <c:v>J. Sowangan</c:v>
                </c:pt>
              </c:strCache>
            </c:strRef>
          </c:cat>
          <c:val>
            <c:numRef>
              <c:f>'[Farmers Distribution.xlsx]Quezon'!$E$132:$E$141</c:f>
              <c:numCache>
                <c:formatCode>General</c:formatCode>
                <c:ptCount val="10"/>
                <c:pt idx="0">
                  <c:v>12</c:v>
                </c:pt>
                <c:pt idx="1" c:formatCode="0.0">
                  <c:v>5</c:v>
                </c:pt>
                <c:pt idx="2" c:formatCode="0.0">
                  <c:v>2</c:v>
                </c:pt>
                <c:pt idx="3" c:formatCode="0.0">
                  <c:v>2</c:v>
                </c:pt>
                <c:pt idx="4" c:formatCode="0.0">
                  <c:v>3</c:v>
                </c:pt>
                <c:pt idx="5" c:formatCode="0.0">
                  <c:v>18</c:v>
                </c:pt>
                <c:pt idx="6">
                  <c:v>62</c:v>
                </c:pt>
                <c:pt idx="7">
                  <c:v>80</c:v>
                </c:pt>
                <c:pt idx="8">
                  <c:v>7</c:v>
                </c:pt>
                <c:pt idx="9">
                  <c:v>1</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en-US" sz="1200" b="0" i="0" u="none" strike="noStrike" kern="1200" baseline="0">
                <a:solidFill>
                  <a:schemeClr val="dk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1"/>
        <c:txPr>
          <a:bodyPr rot="0" spcFirstLastPara="0" vertOverflow="ellipsis" vert="horz" wrap="square" anchor="ctr" anchorCtr="1"/>
          <a:lstStyle/>
          <a:p>
            <a:pPr>
              <a:defRPr lang="en-US" sz="1200" b="0" i="0" u="none" strike="noStrike" kern="1200" baseline="0">
                <a:solidFill>
                  <a:schemeClr val="dk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2"/>
        <c:txPr>
          <a:bodyPr rot="0" spcFirstLastPara="0" vertOverflow="ellipsis" vert="horz" wrap="square" anchor="ctr" anchorCtr="1"/>
          <a:lstStyle/>
          <a:p>
            <a:pPr>
              <a:defRPr lang="en-US" sz="1200" b="0" i="0" u="none" strike="noStrike" kern="1200" baseline="0">
                <a:solidFill>
                  <a:schemeClr val="dk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3"/>
        <c:txPr>
          <a:bodyPr rot="0" spcFirstLastPara="0" vertOverflow="ellipsis" vert="horz" wrap="square" anchor="ctr" anchorCtr="1"/>
          <a:lstStyle/>
          <a:p>
            <a:pPr>
              <a:defRPr lang="en-US" sz="1200" b="0" i="0" u="none" strike="noStrike" kern="1200" baseline="0">
                <a:solidFill>
                  <a:schemeClr val="dk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4"/>
        <c:txPr>
          <a:bodyPr rot="0" spcFirstLastPara="0" vertOverflow="ellipsis" vert="horz" wrap="square" anchor="ctr" anchorCtr="1"/>
          <a:lstStyle/>
          <a:p>
            <a:pPr>
              <a:defRPr lang="en-US" sz="1200" b="0" i="0" u="none" strike="noStrike" kern="1200" baseline="0">
                <a:solidFill>
                  <a:schemeClr val="dk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5"/>
        <c:txPr>
          <a:bodyPr rot="0" spcFirstLastPara="0" vertOverflow="ellipsis" vert="horz" wrap="square" anchor="ctr" anchorCtr="1"/>
          <a:lstStyle/>
          <a:p>
            <a:pPr>
              <a:defRPr lang="en-US" sz="1200" b="0" i="0" u="none" strike="noStrike" kern="1200" baseline="0">
                <a:solidFill>
                  <a:schemeClr val="dk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6"/>
        <c:txPr>
          <a:bodyPr rot="0" spcFirstLastPara="0" vertOverflow="ellipsis" vert="horz" wrap="square" anchor="ctr" anchorCtr="1"/>
          <a:lstStyle/>
          <a:p>
            <a:pPr>
              <a:defRPr lang="en-US" sz="1200" b="0" i="0" u="none" strike="noStrike" kern="1200" baseline="0">
                <a:solidFill>
                  <a:schemeClr val="dk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7"/>
        <c:txPr>
          <a:bodyPr rot="0" spcFirstLastPara="0" vertOverflow="ellipsis" vert="horz" wrap="square" anchor="ctr" anchorCtr="1"/>
          <a:lstStyle/>
          <a:p>
            <a:pPr>
              <a:defRPr lang="en-US" sz="1200" b="0" i="0" u="none" strike="noStrike" kern="1200" baseline="0">
                <a:solidFill>
                  <a:schemeClr val="dk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8"/>
        <c:txPr>
          <a:bodyPr rot="0" spcFirstLastPara="0" vertOverflow="ellipsis" vert="horz" wrap="square" anchor="ctr" anchorCtr="1"/>
          <a:lstStyle/>
          <a:p>
            <a:pPr>
              <a:defRPr lang="en-US" sz="1200" b="0" i="0" u="none" strike="noStrike" kern="1200" baseline="0">
                <a:solidFill>
                  <a:schemeClr val="dk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9"/>
        <c:txPr>
          <a:bodyPr rot="0" spcFirstLastPara="0" vertOverflow="ellipsis" vert="horz" wrap="square" anchor="ctr" anchorCtr="1"/>
          <a:lstStyle/>
          <a:p>
            <a:pPr>
              <a:defRPr lang="en-US" sz="1200" b="0" i="0" u="none" strike="noStrike" kern="1200" baseline="0">
                <a:solidFill>
                  <a:schemeClr val="dk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ayout>
        <c:manualLayout>
          <c:xMode val="edge"/>
          <c:yMode val="edge"/>
          <c:x val="0.112259615384615"/>
          <c:y val="0.621639131843214"/>
          <c:w val="0.795673076923077"/>
          <c:h val="0.350502105604146"/>
        </c:manualLayout>
      </c:layout>
      <c:overlay val="0"/>
      <c:spPr>
        <a:solidFill>
          <a:schemeClr val="lt1">
            <a:alpha val="78000"/>
          </a:schemeClr>
        </a:solidFill>
        <a:ln>
          <a:noFill/>
        </a:ln>
        <a:effectLst/>
      </c:spPr>
      <c:txPr>
        <a:bodyPr rot="0" spcFirstLastPara="0" vertOverflow="ellipsis" vert="horz" wrap="square" anchor="ctr" anchorCtr="1"/>
        <a:lstStyle/>
        <a:p>
          <a:pPr>
            <a:defRPr lang="en-US" sz="1200" b="0" i="0" u="none" strike="noStrike" kern="1200" baseline="0">
              <a:solidFill>
                <a:schemeClr val="dk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
    <c:plotVisOnly val="1"/>
    <c:dispBlanksAs val="gap"/>
    <c:showDLblsOverMax val="0"/>
    <c:extLst>
      <c:ext uri="{0b15fc19-7d7d-44ad-8c2d-2c3a37ce22c3}">
        <chartProps xmlns="https://web.wps.cn/et/2018/main" chartId="{4b2d36ae-908a-4012-aa46-41be8bde5c63}"/>
      </c:ext>
    </c:extLst>
  </c:chart>
  <c:spPr>
    <a:solidFill>
      <a:schemeClr val="accent6">
        <a:lumMod val="60000"/>
        <a:lumOff val="40000"/>
      </a:schemeClr>
    </a:solidFill>
    <a:ln w="9525" cap="flat" cmpd="sng" algn="ctr">
      <a:solidFill>
        <a:schemeClr val="dk1">
          <a:lumMod val="15000"/>
          <a:lumOff val="85000"/>
        </a:schemeClr>
      </a:solidFill>
      <a:prstDash val="solid"/>
      <a:round/>
    </a:ln>
    <a:effectLst/>
  </c:spPr>
  <c:txPr>
    <a:bodyPr/>
    <a:lstStyle/>
    <a:p>
      <a:pPr>
        <a:defRPr lang="en-US" sz="1200">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40" b="0" i="0" u="none" strike="noStrike" kern="1200" spc="0" baseline="0">
                <a:solidFill>
                  <a:sysClr val="windowText" lastClr="000000"/>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r>
              <a:rPr lang="en-US" sz="1440" b="1">
                <a:solidFill>
                  <a:schemeClr val="tx1"/>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rPr>
              <a:t>Fig 2- Distribution of Farmers by Barangay in Rizal Municipality</a:t>
            </a:r>
            <a:endParaRPr lang="en-US" sz="1440" b="1">
              <a:solidFill>
                <a:schemeClr val="tx1"/>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endParaRPr>
          </a:p>
        </c:rich>
      </c:tx>
      <c:layout>
        <c:manualLayout>
          <c:xMode val="edge"/>
          <c:yMode val="edge"/>
          <c:x val="0.102526315789474"/>
          <c:y val="0.00910746812386157"/>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520025839793282"/>
          <c:y val="0.145902902645774"/>
          <c:w val="0.838662790697674"/>
          <c:h val="0.549961469303879"/>
        </c:manualLayout>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Pt>
            <c:idx val="4"/>
            <c:bubble3D val="0"/>
            <c:spPr>
              <a:solidFill>
                <a:schemeClr val="accent5"/>
              </a:solidFill>
              <a:ln w="25400">
                <a:solidFill>
                  <a:schemeClr val="lt1"/>
                </a:solidFill>
              </a:ln>
              <a:effectLst/>
            </c:spPr>
          </c:dPt>
          <c:dPt>
            <c:idx val="5"/>
            <c:bubble3D val="0"/>
            <c:spPr>
              <a:solidFill>
                <a:schemeClr val="accent6"/>
              </a:solidFill>
              <a:ln w="25400">
                <a:solidFill>
                  <a:schemeClr val="lt1"/>
                </a:solidFill>
              </a:ln>
              <a:effectLst/>
            </c:spPr>
          </c:dPt>
          <c:dPt>
            <c:idx val="6"/>
            <c:bubble3D val="0"/>
            <c:spPr>
              <a:solidFill>
                <a:schemeClr val="accent1">
                  <a:lumMod val="60000"/>
                </a:schemeClr>
              </a:solidFill>
              <a:ln w="25400">
                <a:solidFill>
                  <a:schemeClr val="lt1"/>
                </a:solidFill>
              </a:ln>
              <a:effectLst/>
            </c:spPr>
          </c:dPt>
          <c:dPt>
            <c:idx val="7"/>
            <c:bubble3D val="0"/>
            <c:spPr>
              <a:solidFill>
                <a:schemeClr val="accent2">
                  <a:lumMod val="60000"/>
                </a:schemeClr>
              </a:solidFill>
              <a:ln w="25400">
                <a:solidFill>
                  <a:schemeClr val="lt1"/>
                </a:solidFill>
              </a:ln>
              <a:effectLst/>
            </c:spPr>
          </c:dPt>
          <c:dLbls>
            <c:delete val="1"/>
          </c:dLbls>
          <c:cat>
            <c:strRef>
              <c:f>'[Farmers Distribution.xlsx]Rizal'!$E$16:$E$23</c:f>
              <c:strCache>
                <c:ptCount val="8"/>
                <c:pt idx="0">
                  <c:v>A. Bunog</c:v>
                </c:pt>
                <c:pt idx="1">
                  <c:v>B. Iraan</c:v>
                </c:pt>
                <c:pt idx="2">
                  <c:v>C. Punta Baja</c:v>
                </c:pt>
                <c:pt idx="3">
                  <c:v>D. Campong Ulay</c:v>
                </c:pt>
                <c:pt idx="4">
                  <c:v>E. Ransang</c:v>
                </c:pt>
                <c:pt idx="5">
                  <c:v>F. Candawaga</c:v>
                </c:pt>
                <c:pt idx="6">
                  <c:v>G. Culasian</c:v>
                </c:pt>
                <c:pt idx="7">
                  <c:v>H. Pangalingaan</c:v>
                </c:pt>
              </c:strCache>
            </c:strRef>
          </c:cat>
          <c:val>
            <c:numRef>
              <c:f>'[Farmers Distribution.xlsx]Rizal'!$F$16:$F$23</c:f>
              <c:numCache>
                <c:formatCode>General</c:formatCode>
                <c:ptCount val="8"/>
                <c:pt idx="0">
                  <c:v>9</c:v>
                </c:pt>
                <c:pt idx="1">
                  <c:v>15</c:v>
                </c:pt>
                <c:pt idx="2">
                  <c:v>20</c:v>
                </c:pt>
                <c:pt idx="3">
                  <c:v>3</c:v>
                </c:pt>
                <c:pt idx="4">
                  <c:v>5</c:v>
                </c:pt>
                <c:pt idx="5">
                  <c:v>3</c:v>
                </c:pt>
                <c:pt idx="6">
                  <c:v>3</c:v>
                </c:pt>
                <c:pt idx="7">
                  <c:v>68</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en-US" sz="1200" b="0" i="0" u="none" strike="noStrike" kern="1200" baseline="0">
                <a:solidFill>
                  <a:sysClr val="windowText" lastClr="000000"/>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1"/>
        <c:txPr>
          <a:bodyPr rot="0" spcFirstLastPara="0" vertOverflow="ellipsis" vert="horz" wrap="square" anchor="ctr" anchorCtr="1"/>
          <a:lstStyle/>
          <a:p>
            <a:pPr>
              <a:defRPr lang="en-US" sz="1200" b="0" i="0" u="none" strike="noStrike" kern="1200" baseline="0">
                <a:solidFill>
                  <a:sysClr val="windowText" lastClr="000000"/>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2"/>
        <c:txPr>
          <a:bodyPr rot="0" spcFirstLastPara="0" vertOverflow="ellipsis" vert="horz" wrap="square" anchor="ctr" anchorCtr="1"/>
          <a:lstStyle/>
          <a:p>
            <a:pPr>
              <a:defRPr lang="en-US" sz="1200" b="0" i="0" u="none" strike="noStrike" kern="1200" baseline="0">
                <a:solidFill>
                  <a:sysClr val="windowText" lastClr="000000"/>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3"/>
        <c:txPr>
          <a:bodyPr rot="0" spcFirstLastPara="0" vertOverflow="ellipsis" vert="horz" wrap="square" anchor="ctr" anchorCtr="1"/>
          <a:lstStyle/>
          <a:p>
            <a:pPr>
              <a:defRPr lang="en-US" sz="1200" b="0" i="0" u="none" strike="noStrike" kern="1200" baseline="0">
                <a:solidFill>
                  <a:sysClr val="windowText" lastClr="000000"/>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4"/>
        <c:txPr>
          <a:bodyPr rot="0" spcFirstLastPara="0" vertOverflow="ellipsis" vert="horz" wrap="square" anchor="ctr" anchorCtr="1"/>
          <a:lstStyle/>
          <a:p>
            <a:pPr>
              <a:defRPr lang="en-US" sz="1200" b="0" i="0" u="none" strike="noStrike" kern="1200" baseline="0">
                <a:solidFill>
                  <a:sysClr val="windowText" lastClr="000000"/>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5"/>
        <c:txPr>
          <a:bodyPr rot="0" spcFirstLastPara="0" vertOverflow="ellipsis" vert="horz" wrap="square" anchor="ctr" anchorCtr="1"/>
          <a:lstStyle/>
          <a:p>
            <a:pPr>
              <a:defRPr lang="en-US" sz="1200" b="0" i="0" u="none" strike="noStrike" kern="1200" baseline="0">
                <a:solidFill>
                  <a:sysClr val="windowText" lastClr="000000"/>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6"/>
        <c:txPr>
          <a:bodyPr rot="0" spcFirstLastPara="0" vertOverflow="ellipsis" vert="horz" wrap="square" anchor="ctr" anchorCtr="1"/>
          <a:lstStyle/>
          <a:p>
            <a:pPr>
              <a:defRPr lang="en-US" sz="1200" b="0" i="0" u="none" strike="noStrike" kern="1200" baseline="0">
                <a:solidFill>
                  <a:sysClr val="windowText" lastClr="000000"/>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egendEntry>
        <c:idx val="7"/>
        <c:txPr>
          <a:bodyPr rot="0" spcFirstLastPara="0" vertOverflow="ellipsis" vert="horz" wrap="square" anchor="ctr" anchorCtr="1"/>
          <a:lstStyle/>
          <a:p>
            <a:pPr>
              <a:defRPr lang="en-US" sz="1200" b="0" i="0" u="none" strike="noStrike" kern="1200" baseline="0">
                <a:solidFill>
                  <a:sysClr val="windowText" lastClr="000000"/>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Entry>
      <c:layout>
        <c:manualLayout>
          <c:xMode val="edge"/>
          <c:yMode val="edge"/>
          <c:x val="0.0930232558139535"/>
          <c:y val="0.701772412021577"/>
          <c:w val="0.84609173126615"/>
          <c:h val="0.261751862316979"/>
        </c:manualLayout>
      </c:layout>
      <c:overlay val="0"/>
      <c:spPr>
        <a:noFill/>
        <a:ln>
          <a:noFill/>
        </a:ln>
        <a:effectLst/>
      </c:spPr>
      <c:txPr>
        <a:bodyPr rot="0" spcFirstLastPara="0" vertOverflow="ellipsis" vert="horz" wrap="square" anchor="ctr" anchorCtr="1"/>
        <a:lstStyle/>
        <a:p>
          <a:pPr>
            <a:defRPr lang="en-US" sz="1200" b="0" i="0" u="none" strike="noStrike" kern="1200" baseline="0">
              <a:solidFill>
                <a:sysClr val="windowText" lastClr="000000"/>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legend>
    <c:plotVisOnly val="1"/>
    <c:dispBlanksAs val="gap"/>
    <c:showDLblsOverMax val="0"/>
    <c:extLst>
      <c:ext uri="{0b15fc19-7d7d-44ad-8c2d-2c3a37ce22c3}">
        <chartProps xmlns="https://web.wps.cn/et/2018/main" chartId="{a11f7b8f-69a6-41ef-9b3b-288ebd1f691c}"/>
      </c:ext>
    </c:extLst>
  </c:chart>
  <c:spPr>
    <a:pattFill prst="dkDnDiag">
      <a:fgClr>
        <a:schemeClr val="accent1"/>
      </a:fgClr>
      <a:bgClr>
        <a:schemeClr val="lt1"/>
      </a:bgClr>
    </a:pattFill>
    <a:ln w="9525" cap="flat" cmpd="sng" algn="ctr">
      <a:solidFill>
        <a:schemeClr val="tx1">
          <a:lumMod val="15000"/>
          <a:lumOff val="85000"/>
        </a:schemeClr>
      </a:solidFill>
      <a:prstDash val="solid"/>
      <a:round/>
    </a:ln>
    <a:effectLst/>
  </c:spPr>
  <c:txPr>
    <a:bodyPr/>
    <a:lstStyle/>
    <a:p>
      <a:pPr>
        <a:defRPr lang="en-US" sz="1200">
          <a:solidFill>
            <a:sysClr val="windowText" lastClr="000000"/>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Fig 3 Distribution of Farmers by Age</a:t>
            </a:r>
          </a:p>
        </c:rich>
      </c:tx>
      <c:layout>
        <c:manualLayout>
          <c:xMode val="edge"/>
          <c:yMode val="edge"/>
          <c:x val="0.0838597596237532"/>
          <c:y val="0.0247121595057568"/>
        </c:manualLayout>
      </c:layout>
      <c:overlay val="0"/>
      <c:spPr>
        <a:noFill/>
        <a:ln>
          <a:noFill/>
        </a:ln>
        <a:effectLst/>
      </c:spPr>
    </c:title>
    <c:autoTitleDeleted val="0"/>
    <c:plotArea>
      <c:layout>
        <c:manualLayout>
          <c:layoutTarget val="inner"/>
          <c:xMode val="edge"/>
          <c:yMode val="edge"/>
          <c:x val="0.132439131068669"/>
          <c:y val="0.192658603861659"/>
          <c:w val="0.846129173348885"/>
          <c:h val="0.303119032463399"/>
        </c:manualLayout>
      </c:layout>
      <c:barChart>
        <c:barDir val="col"/>
        <c:grouping val="stacked"/>
        <c:varyColors val="0"/>
        <c:ser>
          <c:idx val="0"/>
          <c:order val="0"/>
          <c:spPr>
            <a:solidFill>
              <a:schemeClr val="accent1"/>
            </a:solidFill>
            <a:ln>
              <a:solidFill>
                <a:schemeClr val="bg1"/>
              </a:solidFill>
            </a:ln>
            <a:effectLst/>
          </c:spPr>
          <c:invertIfNegative val="0"/>
          <c:dLbls>
            <c:delete val="1"/>
          </c:dLbls>
          <c:cat>
            <c:strRef>
              <c:f>'[Tally Sheet.xlsx]Demographic'!$B$111:$B$116</c:f>
              <c:strCache>
                <c:ptCount val="6"/>
                <c:pt idx="0">
                  <c:v>&lt;20 years old</c:v>
                </c:pt>
                <c:pt idx="1">
                  <c:v>21-30 years old</c:v>
                </c:pt>
                <c:pt idx="2">
                  <c:v>31-40 years old</c:v>
                </c:pt>
                <c:pt idx="3">
                  <c:v>41-50 years old</c:v>
                </c:pt>
                <c:pt idx="4">
                  <c:v>51-60 years old</c:v>
                </c:pt>
                <c:pt idx="5">
                  <c:v>Over 61 years old</c:v>
                </c:pt>
              </c:strCache>
            </c:strRef>
          </c:cat>
          <c:val>
            <c:numRef>
              <c:f>'[Tally Sheet.xlsx]Demographic'!$C$111:$C$116</c:f>
              <c:numCache>
                <c:formatCode>General</c:formatCode>
                <c:ptCount val="6"/>
                <c:pt idx="0">
                  <c:v>1</c:v>
                </c:pt>
                <c:pt idx="1">
                  <c:v>1</c:v>
                </c:pt>
                <c:pt idx="2">
                  <c:v>1</c:v>
                </c:pt>
                <c:pt idx="3">
                  <c:v>17</c:v>
                </c:pt>
                <c:pt idx="4">
                  <c:v>31</c:v>
                </c:pt>
                <c:pt idx="5">
                  <c:v>42</c:v>
                </c:pt>
              </c:numCache>
            </c:numRef>
          </c:val>
        </c:ser>
        <c:dLbls>
          <c:showLegendKey val="0"/>
          <c:showVal val="0"/>
          <c:showCatName val="0"/>
          <c:showSerName val="0"/>
          <c:showPercent val="0"/>
          <c:showBubbleSize val="0"/>
        </c:dLbls>
        <c:gapWidth val="216"/>
        <c:overlap val="100"/>
        <c:axId val="770533107"/>
        <c:axId val="775116417"/>
      </c:barChart>
      <c:catAx>
        <c:axId val="77053310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75116417"/>
        <c:crosses val="autoZero"/>
        <c:auto val="1"/>
        <c:lblAlgn val="ctr"/>
        <c:lblOffset val="100"/>
        <c:noMultiLvlLbl val="0"/>
      </c:catAx>
      <c:valAx>
        <c:axId val="775116417"/>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t>Number of Farmers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7053310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9a49180c-c143-4f24-a92b-bd6cdf90aa30}"/>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spc="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Fig 4 Distribution of Farmers by Educational Attainment</a:t>
            </a:r>
            <a:endParaRPr lang="en-US"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207920817132517"/>
          <c:y val="0.0102459016393443"/>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114483821263482"/>
          <c:y val="0.204048394602141"/>
          <c:w val="0.766255778120185"/>
          <c:h val="0.510004653327129"/>
        </c:manualLayout>
      </c:layout>
      <c:pie3DChart>
        <c:varyColors val="1"/>
        <c:ser>
          <c:idx val="0"/>
          <c:order val="0"/>
          <c:spPr>
            <a:scene3d>
              <a:camera prst="orthographicFront"/>
              <a:lightRig rig="threePt" dir="t"/>
            </a:scene3d>
            <a:sp3d contourW="25400"/>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Lbls>
            <c:delete val="1"/>
          </c:dLbls>
          <c:cat>
            <c:strRef>
              <c:f>'[Tally Sheet.xlsx]Demographic'!$X$109:$AC$109</c:f>
              <c:strCache>
                <c:ptCount val="6"/>
                <c:pt idx="0">
                  <c:v>No education</c:v>
                </c:pt>
                <c:pt idx="1">
                  <c:v>Elementary</c:v>
                </c:pt>
                <c:pt idx="2">
                  <c:v>High School</c:v>
                </c:pt>
                <c:pt idx="3">
                  <c:v>College</c:v>
                </c:pt>
                <c:pt idx="4">
                  <c:v>TESDA</c:v>
                </c:pt>
                <c:pt idx="5">
                  <c:v>Graduate/ Post</c:v>
                </c:pt>
              </c:strCache>
            </c:strRef>
          </c:cat>
          <c:val>
            <c:numRef>
              <c:f>'[Tally Sheet.xlsx]Demographic'!$X$110:$AC$110</c:f>
              <c:numCache>
                <c:formatCode>General</c:formatCode>
                <c:ptCount val="6"/>
                <c:pt idx="0">
                  <c:v>4</c:v>
                </c:pt>
                <c:pt idx="1">
                  <c:v>20</c:v>
                </c:pt>
                <c:pt idx="2">
                  <c:v>82</c:v>
                </c:pt>
                <c:pt idx="3">
                  <c:v>68</c:v>
                </c:pt>
                <c:pt idx="4">
                  <c:v>4</c:v>
                </c:pt>
                <c:pt idx="5">
                  <c:v>10</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1"/>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2"/>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3"/>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4"/>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5"/>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ayout>
        <c:manualLayout>
          <c:xMode val="edge"/>
          <c:yMode val="edge"/>
          <c:x val="0.132357473035439"/>
          <c:y val="0.714053047929269"/>
          <c:w val="0.707550077041602"/>
          <c:h val="0.265937645416473"/>
        </c:manualLayout>
      </c:layout>
      <c:overlay val="0"/>
      <c:spPr>
        <a:noFill/>
        <a:ln>
          <a:noFill/>
        </a:ln>
        <a:effectLst/>
      </c:spPr>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
    <c:plotVisOnly val="1"/>
    <c:dispBlanksAs val="gap"/>
    <c:showDLblsOverMax val="0"/>
    <c:extLst>
      <c:ext uri="{0b15fc19-7d7d-44ad-8c2d-2c3a37ce22c3}">
        <chartProps xmlns="https://web.wps.cn/et/2018/main" chartId="{58bd7ea7-cbf7-4175-9c03-68003eddf64c}"/>
      </c:ext>
    </c:extLst>
  </c:chart>
  <c:spPr>
    <a:pattFill prst="pct60">
      <a:fgClr>
        <a:schemeClr val="accent1"/>
      </a:fgClr>
      <a:bgClr>
        <a:schemeClr val="lt1"/>
      </a:bgClr>
    </a:pattFill>
    <a:ln w="9525" cap="flat" cmpd="sng" algn="ctr">
      <a:solidFill>
        <a:schemeClr val="tx1"/>
      </a:solidFill>
      <a:prstDash val="solid"/>
      <a:round/>
    </a:ln>
    <a:effectLst/>
  </c:spPr>
  <c:txPr>
    <a:bodyPr/>
    <a:lstStyle/>
    <a:p>
      <a:pPr>
        <a:defRPr lang="en-US"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Fig 5- Distribution of Farmers by Income Source</a:t>
            </a:r>
          </a:p>
        </c:rich>
      </c:tx>
      <c:layout>
        <c:manualLayout>
          <c:xMode val="edge"/>
          <c:yMode val="edge"/>
          <c:x val="0.13502836297055"/>
          <c:y val="0.0612367255488014"/>
        </c:manualLayout>
      </c:layout>
      <c:overlay val="0"/>
      <c:spPr>
        <a:noFill/>
        <a:ln>
          <a:noFill/>
        </a:ln>
        <a:effectLst/>
      </c:spPr>
    </c:title>
    <c:autoTitleDeleted val="0"/>
    <c:plotArea>
      <c:layout>
        <c:manualLayout>
          <c:layoutTarget val="inner"/>
          <c:xMode val="edge"/>
          <c:yMode val="edge"/>
          <c:x val="0.390024506270722"/>
          <c:y val="0.239655584788328"/>
          <c:w val="0.563269424823411"/>
          <c:h val="0.593733556565415"/>
        </c:manualLayout>
      </c:layout>
      <c:barChart>
        <c:barDir val="bar"/>
        <c:grouping val="stacked"/>
        <c:varyColors val="0"/>
        <c:ser>
          <c:idx val="0"/>
          <c:order val="0"/>
          <c:spPr>
            <a:gradFill>
              <a:gsLst>
                <a:gs pos="0">
                  <a:schemeClr val="accent1">
                    <a:lumMod val="40000"/>
                    <a:lumOff val="60000"/>
                    <a:alpha val="91000"/>
                  </a:schemeClr>
                </a:gs>
                <a:gs pos="90000">
                  <a:schemeClr val="accent1"/>
                </a:gs>
              </a:gsLst>
              <a:lin ang="10800000" scaled="0"/>
            </a:gradFill>
            <a:ln>
              <a:gradFill>
                <a:gsLst>
                  <a:gs pos="0">
                    <a:schemeClr val="accent1"/>
                  </a:gs>
                  <a:gs pos="100000">
                    <a:schemeClr val="accent1">
                      <a:lumMod val="75000"/>
                    </a:schemeClr>
                  </a:gs>
                </a:gsLst>
                <a:lin ang="10800000" scaled="0"/>
              </a:gradFill>
            </a:ln>
            <a:effectLst>
              <a:outerShdw blurRad="76200" dist="25400" dir="2700000" algn="tl" rotWithShape="0">
                <a:schemeClr val="accent1">
                  <a:lumMod val="50000"/>
                  <a:alpha val="30000"/>
                </a:schemeClr>
              </a:outerShdw>
            </a:effectLst>
          </c:spPr>
          <c:invertIfNegative val="0"/>
          <c:dLbls>
            <c:delete val="1"/>
          </c:dLbls>
          <c:cat>
            <c:strRef>
              <c:f>'[Tally Sheet.xlsx]Demographic'!$AH$109:$AO$109</c:f>
              <c:strCache>
                <c:ptCount val="8"/>
                <c:pt idx="0">
                  <c:v>Pure Rubber farming</c:v>
                </c:pt>
                <c:pt idx="1">
                  <c:v>Mixed Farming</c:v>
                </c:pt>
                <c:pt idx="2">
                  <c:v>Govt Employee</c:v>
                </c:pt>
                <c:pt idx="3">
                  <c:v>Private Employee</c:v>
                </c:pt>
                <c:pt idx="4">
                  <c:v>OFW</c:v>
                </c:pt>
                <c:pt idx="5">
                  <c:v>Self-employment</c:v>
                </c:pt>
                <c:pt idx="6">
                  <c:v>Business</c:v>
                </c:pt>
                <c:pt idx="7">
                  <c:v>Others</c:v>
                </c:pt>
              </c:strCache>
            </c:strRef>
          </c:cat>
          <c:val>
            <c:numRef>
              <c:f>'[Tally Sheet.xlsx]Demographic'!$AH$110:$AO$110</c:f>
              <c:numCache>
                <c:formatCode>General</c:formatCode>
                <c:ptCount val="8"/>
                <c:pt idx="0">
                  <c:v>39</c:v>
                </c:pt>
                <c:pt idx="1">
                  <c:v>118</c:v>
                </c:pt>
                <c:pt idx="2">
                  <c:v>20</c:v>
                </c:pt>
                <c:pt idx="3">
                  <c:v>13</c:v>
                </c:pt>
                <c:pt idx="4">
                  <c:v>5</c:v>
                </c:pt>
                <c:pt idx="5">
                  <c:v>40</c:v>
                </c:pt>
                <c:pt idx="6">
                  <c:v>32</c:v>
                </c:pt>
                <c:pt idx="7">
                  <c:v>0</c:v>
                </c:pt>
              </c:numCache>
            </c:numRef>
          </c:val>
        </c:ser>
        <c:dLbls>
          <c:showLegendKey val="0"/>
          <c:showVal val="0"/>
          <c:showCatName val="0"/>
          <c:showSerName val="0"/>
          <c:showPercent val="0"/>
          <c:showBubbleSize val="0"/>
        </c:dLbls>
        <c:gapWidth val="140"/>
        <c:overlap val="100"/>
        <c:axId val="24916601"/>
        <c:axId val="863778590"/>
      </c:barChart>
      <c:catAx>
        <c:axId val="24916601"/>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63778590"/>
        <c:crosses val="autoZero"/>
        <c:auto val="1"/>
        <c:lblAlgn val="ctr"/>
        <c:lblOffset val="100"/>
        <c:noMultiLvlLbl val="0"/>
      </c:catAx>
      <c:valAx>
        <c:axId val="863778590"/>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4916601"/>
        <c:crosses val="autoZero"/>
        <c:crossBetween val="between"/>
      </c:valAx>
      <c:spPr>
        <a:noFill/>
        <a:ln>
          <a:noFill/>
        </a:ln>
        <a:effectLst/>
      </c:spPr>
    </c:plotArea>
    <c:plotVisOnly val="1"/>
    <c:dispBlanksAs val="gap"/>
    <c:showDLblsOverMax val="0"/>
    <c:extLst>
      <c:ext uri="{0b15fc19-7d7d-44ad-8c2d-2c3a37ce22c3}">
        <chartProps xmlns="https://web.wps.cn/et/2018/main" chartId="{59663fb9-1414-4306-b1d4-cfb51b4f7ce9}"/>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alpha val="91000"/>
            </a:schemeClr>
          </a:gs>
          <a:gs pos="90000">
            <a:schemeClr val="phClr"/>
          </a:gs>
        </a:gsLst>
        <a:lin ang="10800000" scaled="0"/>
      </a:gradFill>
      <a:ln>
        <a:gradFill>
          <a:gsLst>
            <a:gs pos="0">
              <a:schemeClr val="phClr"/>
            </a:gs>
            <a:gs pos="100000">
              <a:schemeClr val="phClr">
                <a:lumMod val="75000"/>
              </a:schemeClr>
            </a:gs>
          </a:gsLst>
          <a:lin ang="10800000" scaled="0"/>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791</Words>
  <Characters>4247</Characters>
  <Lines>156</Lines>
  <Paragraphs>44</Paragraphs>
  <TotalTime>130</TotalTime>
  <ScaleCrop>false</ScaleCrop>
  <LinksUpToDate>false</LinksUpToDate>
  <CharactersWithSpaces>5034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2023-05-29T06:16:00Z</dcterms:created>
  <dc:creator>Danilo Espera</dc:creator>
  <cp:lastModifiedBy>Danilo Espera</cp:lastModifiedBy>
  <cp:lastPrinted>2024-07-02T02:20:00Z</cp:lastPrinted>
  <dcterms:modified xsi:type="dcterms:W3CDTF">2026-04-22T03:06:13Z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50AD3B8D86714FBE8C2018CF96F9AFF6</vt:lpwstr>
  </property>
  <property fmtid="{D5CDD505-2E9C-101B-9397-08002B2CF9AE}" pid="4" name="KSOTemplateDocerSaveRecord">
    <vt:lpwstr>eyJoZGlkIjoiYjU2MzJhZDllMzY3MzFiYjIzZTcxZjlhYjM0M2NmMzMiLCJ1c2VySWQiOiI3MDUwNDQ4MTMxNjUifQ==</vt:lpwstr>
  </property>
</Properties>
</file>