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64D" w14:textId="3B7B02D7" w:rsidR="00E54CE6" w:rsidRPr="00B57915" w:rsidRDefault="00E54CE6" w:rsidP="00F86BD2">
      <w:pPr>
        <w:jc w:val="center"/>
        <w:rPr>
          <w:rFonts w:ascii="Times New Roman" w:hAnsi="Times New Roman" w:cs="Times New Roman"/>
          <w:b/>
          <w:bCs/>
        </w:rPr>
      </w:pPr>
      <w:r w:rsidRPr="00B57915">
        <w:rPr>
          <w:rFonts w:ascii="Times New Roman" w:hAnsi="Times New Roman" w:cs="Times New Roman"/>
          <w:b/>
          <w:bCs/>
        </w:rPr>
        <w:t>Development of Processing Protocols for Tomato-Based Products</w:t>
      </w:r>
    </w:p>
    <w:p w14:paraId="551A3503" w14:textId="77777777" w:rsidR="00E54CE6" w:rsidRPr="00B57915" w:rsidRDefault="00E54CE6" w:rsidP="00700B1A">
      <w:pPr>
        <w:jc w:val="center"/>
        <w:rPr>
          <w:rFonts w:ascii="Times New Roman" w:hAnsi="Times New Roman" w:cs="Times New Roman"/>
        </w:rPr>
      </w:pPr>
      <w:r w:rsidRPr="00B57915">
        <w:rPr>
          <w:rFonts w:ascii="Times New Roman" w:hAnsi="Times New Roman" w:cs="Times New Roman"/>
        </w:rPr>
        <w:t xml:space="preserve"/>
      </w:r>
      <w:proofErr w:type="spellStart"/>
      <w:r w:rsidRPr="00B57915">
        <w:rPr>
          <w:rFonts w:ascii="Times New Roman" w:hAnsi="Times New Roman" w:cs="Times New Roman"/>
        </w:rPr>
        <w:t/>
      </w:r>
      <w:proofErr w:type="spellEnd"/>
      <w:r w:rsidRPr="00B57915">
        <w:rPr>
          <w:rFonts w:ascii="Times New Roman" w:hAnsi="Times New Roman" w:cs="Times New Roman"/>
        </w:rPr>
        <w:t/>
      </w:r>
    </w:p>
    <w:p w14:paraId="51479E2C" w14:textId="77777777" w:rsidR="00700B1A" w:rsidRPr="00B57915" w:rsidRDefault="00700B1A" w:rsidP="002F4F44">
      <w:pPr>
        <w:jc w:val="both"/>
        <w:rPr>
          <w:rFonts w:ascii="Times New Roman" w:hAnsi="Times New Roman" w:cs="Times New Roman"/>
        </w:rPr>
      </w:pPr>
    </w:p>
    <w:p w14:paraId="665F5145" w14:textId="77777777" w:rsidR="00700B1A" w:rsidRPr="00B57915" w:rsidRDefault="00700B1A" w:rsidP="002F4F44">
      <w:pPr>
        <w:jc w:val="both"/>
        <w:rPr>
          <w:rFonts w:ascii="Times New Roman" w:hAnsi="Times New Roman" w:cs="Times New Roman"/>
        </w:rPr>
      </w:pPr>
    </w:p>
    <w:p w14:paraId="697095CB" w14:textId="438BD460" w:rsidR="00E54CE6" w:rsidRPr="00B57915" w:rsidRDefault="00E54CE6" w:rsidP="00700B1A">
      <w:pPr>
        <w:jc w:val="center"/>
        <w:rPr>
          <w:rFonts w:ascii="Times New Roman" w:hAnsi="Times New Roman" w:cs="Times New Roman"/>
        </w:rPr>
      </w:pPr>
      <w:r w:rsidRPr="00B57915">
        <w:rPr>
          <w:rFonts w:ascii="Times New Roman" w:hAnsi="Times New Roman" w:cs="Times New Roman"/>
        </w:rPr>
        <w:t>ABSTRACT</w:t>
      </w:r>
    </w:p>
    <w:p w14:paraId="1F2F878E"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 xml:space="preserve">This study developed and evaluated processing protocols for tomato-based products as a post-harvest intervention for seasonal tomato overproduction in </w:t>
      </w:r>
      <w:proofErr w:type="spellStart"/>
      <w:r w:rsidRPr="00B57915">
        <w:rPr>
          <w:rFonts w:ascii="Times New Roman" w:hAnsi="Times New Roman" w:cs="Times New Roman"/>
        </w:rPr>
        <w:t>Roxas</w:t>
      </w:r>
      <w:proofErr w:type="spellEnd"/>
      <w:r w:rsidRPr="00B57915">
        <w:rPr>
          <w:rFonts w:ascii="Times New Roman" w:hAnsi="Times New Roman" w:cs="Times New Roman"/>
        </w:rPr>
        <w:t xml:space="preserve"> City, Isabela. Using a product-development and descriptive-evaluative design, the research converted ripe tomatoes into tomato jam and tomato seasoning and assessed their sensory acceptability and shelf-life stability under refrigerated, room-temperature, and direct-sunlight storage conditions. Sixty evaluators composed of administrative personnel, faculty members, and students of Isabela State University participated in sensory evaluation across two observation periods: three months and six months. Data were analyzed using weighted means and one-way analysis of variance. Findings showed that both products remained generally acceptable to highly acceptable after six months, with refrigerated storage producing the most stable sensory profile. Analysis of variance indicated no significant difference between the three-month and six-month observations for both tomato jam and tomato seasoning across all storage conditions. The results suggest that tomato jam and tomato seasoning are viable value-added products that may help reduce post-harvest losses, improve utilization of surplus tomatoes, and support local livelihood and entrepreneurship initiatives.</w:t>
      </w:r>
    </w:p>
    <w:p w14:paraId="7D702142"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Keywords: tomato processing, tomato jam, tomato seasoning, post-harvest loss, sensory evaluation, shelf-life stability, product development, Isabela, Philippines</w:t>
      </w:r>
    </w:p>
    <w:p w14:paraId="3DEA1B19" w14:textId="77777777" w:rsidR="00700B1A" w:rsidRPr="00B57915" w:rsidRDefault="00700B1A" w:rsidP="002F4F44">
      <w:pPr>
        <w:jc w:val="both"/>
        <w:rPr>
          <w:rFonts w:ascii="Times New Roman" w:hAnsi="Times New Roman" w:cs="Times New Roman"/>
        </w:rPr>
      </w:pPr>
    </w:p>
    <w:p w14:paraId="51B8D68A" w14:textId="5F5E40D5" w:rsidR="00E54CE6" w:rsidRPr="001B0D78" w:rsidRDefault="00E54CE6" w:rsidP="002F4F44">
      <w:pPr>
        <w:jc w:val="both"/>
        <w:rPr>
          <w:rFonts w:ascii="Times New Roman" w:hAnsi="Times New Roman" w:cs="Times New Roman"/>
          <w:b/>
          <w:bCs/>
        </w:rPr>
      </w:pPr>
      <w:r w:rsidRPr="001B0D78">
        <w:rPr>
          <w:rFonts w:ascii="Times New Roman" w:hAnsi="Times New Roman" w:cs="Times New Roman"/>
          <w:b/>
          <w:bCs/>
        </w:rPr>
        <w:t>Introduction</w:t>
      </w:r>
    </w:p>
    <w:p w14:paraId="3B0B45D3"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Tomato (</w:t>
      </w:r>
      <w:proofErr w:type="spellStart"/>
      <w:r w:rsidRPr="00B57915">
        <w:rPr>
          <w:rFonts w:ascii="Times New Roman" w:hAnsi="Times New Roman" w:cs="Times New Roman"/>
        </w:rPr>
        <w:t>Solanum</w:t>
      </w:r>
      <w:proofErr w:type="spellEnd"/>
      <w:r w:rsidRPr="00B57915">
        <w:rPr>
          <w:rFonts w:ascii="Times New Roman" w:hAnsi="Times New Roman" w:cs="Times New Roman"/>
        </w:rPr>
        <w:t xml:space="preserve"> </w:t>
      </w:r>
      <w:proofErr w:type="spellStart"/>
      <w:r w:rsidRPr="00B57915">
        <w:rPr>
          <w:rFonts w:ascii="Times New Roman" w:hAnsi="Times New Roman" w:cs="Times New Roman"/>
        </w:rPr>
        <w:t>lycopersicum</w:t>
      </w:r>
      <w:proofErr w:type="spellEnd"/>
      <w:r w:rsidRPr="00B57915">
        <w:rPr>
          <w:rFonts w:ascii="Times New Roman" w:hAnsi="Times New Roman" w:cs="Times New Roman"/>
        </w:rPr>
        <w:t xml:space="preserve"> L.) is an economically important horticultural crop and a widely consumed food commodity because of its versatility, affordability, and nutritional value. Tomatoes are consumed fresh and are also processed into sauces, juices, ketchup, paste, puree, seasonings, and other value-added products. Their nutritional relevance is largely associated with antioxidant compounds such as lycopene, ascorbic acid, carotenoids, and phenolic compounds, which have been linked to potential protective effects against oxidative stress and chronic diseases (</w:t>
      </w:r>
      <w:proofErr w:type="spellStart"/>
      <w:r w:rsidRPr="00B57915">
        <w:rPr>
          <w:rFonts w:ascii="Times New Roman" w:hAnsi="Times New Roman" w:cs="Times New Roman"/>
        </w:rPr>
        <w:t>Borguini</w:t>
      </w:r>
      <w:proofErr w:type="spellEnd"/>
      <w:r w:rsidRPr="00B57915">
        <w:rPr>
          <w:rFonts w:ascii="Times New Roman" w:hAnsi="Times New Roman" w:cs="Times New Roman"/>
        </w:rPr>
        <w:t xml:space="preserve"> &amp; Torres, 2009; Burton-Freeman &amp; </w:t>
      </w:r>
      <w:proofErr w:type="spellStart"/>
      <w:r w:rsidRPr="00B57915">
        <w:rPr>
          <w:rFonts w:ascii="Times New Roman" w:hAnsi="Times New Roman" w:cs="Times New Roman"/>
        </w:rPr>
        <w:t>Reimers</w:t>
      </w:r>
      <w:proofErr w:type="spellEnd"/>
      <w:r w:rsidRPr="00B57915">
        <w:rPr>
          <w:rFonts w:ascii="Times New Roman" w:hAnsi="Times New Roman" w:cs="Times New Roman"/>
        </w:rPr>
        <w:t xml:space="preserve">, 2011; </w:t>
      </w:r>
      <w:proofErr w:type="spellStart"/>
      <w:r w:rsidRPr="00B57915">
        <w:rPr>
          <w:rFonts w:ascii="Times New Roman" w:hAnsi="Times New Roman" w:cs="Times New Roman"/>
        </w:rPr>
        <w:t>Raiola</w:t>
      </w:r>
      <w:proofErr w:type="spellEnd"/>
      <w:r w:rsidRPr="00B57915">
        <w:rPr>
          <w:rFonts w:ascii="Times New Roman" w:hAnsi="Times New Roman" w:cs="Times New Roman"/>
        </w:rPr>
        <w:t xml:space="preserve"> et al., 2014).</w:t>
      </w:r>
    </w:p>
    <w:p w14:paraId="3A827363"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 xml:space="preserve">In agricultural communities, the value of tomato production is often constrained by perishability and post-harvest losses. Fresh tomatoes deteriorate rapidly when exposed to poor handling, delayed marketing, high temperature, and inadequate storage conditions. Post-harvest loss is not only a food-supply concern but also an income issue for farmers and local producers. McNamara and Tata (2015) emphasized that reducing post-harvest loss requires practical extension strategies, </w:t>
      </w:r>
      <w:r w:rsidRPr="00B57915">
        <w:rPr>
          <w:rFonts w:ascii="Times New Roman" w:hAnsi="Times New Roman" w:cs="Times New Roman"/>
        </w:rPr>
        <w:lastRenderedPageBreak/>
        <w:t>appropriate processing technologies, and market-oriented interventions that enable communities to transform surplus produce into products with longer shelf life.</w:t>
      </w:r>
    </w:p>
    <w:p w14:paraId="39917E99"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 xml:space="preserve">The situation in </w:t>
      </w:r>
      <w:proofErr w:type="spellStart"/>
      <w:r w:rsidRPr="00B57915">
        <w:rPr>
          <w:rFonts w:ascii="Times New Roman" w:hAnsi="Times New Roman" w:cs="Times New Roman"/>
        </w:rPr>
        <w:t>Roxas</w:t>
      </w:r>
      <w:proofErr w:type="spellEnd"/>
      <w:r w:rsidRPr="00B57915">
        <w:rPr>
          <w:rFonts w:ascii="Times New Roman" w:hAnsi="Times New Roman" w:cs="Times New Roman"/>
        </w:rPr>
        <w:t xml:space="preserve"> City, Isabela reflects this challenge. Local observations and interviews reported in the terminal research document indicate that tomato overproduction occurs during cropping cycles, resulting in excess produce at drop-off points and reduced economic returns for farmers. This condition establishes a clear need for locally appropriate processing protocols that can convert surplus tomatoes into stable and acceptable products. Product development is therefore positioned not merely as a food-processing activity but as a community-based intervention that may reduce waste, increase product diversity, and create opportunities for microenterprise development.</w:t>
      </w:r>
    </w:p>
    <w:p w14:paraId="1DB2810F"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This study focused on the development of processing protocols for tomato jam and tomato seasoning. It assessed whether these products could remain acceptable under different storage conditions over three- and six-month observation periods. The study specifically sought to develop tomato-based products from surplus produce, evaluate their sensory acceptability in terms of appearance, aroma, taste, and texture, determine their shelf-life stability under refrigerated, room-temperature, and direct-sunlight exposure, and establish whether significant differences existed between the two observation periods.</w:t>
      </w:r>
    </w:p>
    <w:p w14:paraId="350D699C" w14:textId="77777777" w:rsidR="008B15AE" w:rsidRPr="00B57915" w:rsidRDefault="008B15AE" w:rsidP="002F4F44">
      <w:pPr>
        <w:jc w:val="both"/>
        <w:rPr>
          <w:rFonts w:ascii="Times New Roman" w:hAnsi="Times New Roman" w:cs="Times New Roman"/>
        </w:rPr>
      </w:pPr>
    </w:p>
    <w:p w14:paraId="3C651C99" w14:textId="77777777" w:rsidR="008B15AE" w:rsidRPr="00B57915" w:rsidRDefault="008B15AE" w:rsidP="002F4F44">
      <w:pPr>
        <w:jc w:val="both"/>
        <w:rPr>
          <w:rFonts w:ascii="Times New Roman" w:hAnsi="Times New Roman" w:cs="Times New Roman"/>
        </w:rPr>
      </w:pPr>
    </w:p>
    <w:p w14:paraId="640DEF3E" w14:textId="5E995BD6" w:rsidR="00E54CE6" w:rsidRPr="001B0D78" w:rsidRDefault="00E54CE6" w:rsidP="002F4F44">
      <w:pPr>
        <w:jc w:val="both"/>
        <w:rPr>
          <w:rFonts w:ascii="Times New Roman" w:hAnsi="Times New Roman" w:cs="Times New Roman"/>
          <w:b/>
          <w:bCs/>
        </w:rPr>
      </w:pPr>
      <w:r w:rsidRPr="001B0D78">
        <w:rPr>
          <w:rFonts w:ascii="Times New Roman" w:hAnsi="Times New Roman" w:cs="Times New Roman"/>
          <w:b/>
          <w:bCs/>
        </w:rPr>
        <w:t>Methodology</w:t>
      </w:r>
    </w:p>
    <w:p w14:paraId="05A012B7"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The study used a product-development and descriptive-evaluative research design. The product-development component involved the preparation and refinement of tomato jam and tomato seasoning protocols, while the descriptive-evaluative component assessed the sensory acceptability and shelf-life stability of the developed products. This design was appropriate because the study aimed to generate practical processing outputs and evaluate their performance using quantitative sensory data.</w:t>
      </w:r>
    </w:p>
    <w:p w14:paraId="68FAAD40"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Ripe tomatoes served as the primary raw material. For tomato jam, the process involved sorting, washing, cooking, and packaging. For tomato seasoning, the process involved sorting, washing, slicing, drying, dehydrating, cooking, and packaging. Control recipes were initially produced and evaluated, after which the most preferred formulation was reproduced for shelf-life and stability observation. The original project workflow included procurement of raw materials, preparation of products, collection and collation of quantitative and qualitative data, ranking of participant evaluations, selection of the most preferred recipe, and further shelf-life observation.</w:t>
      </w:r>
    </w:p>
    <w:p w14:paraId="73D567FC"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 xml:space="preserve">The sensory evaluation involved sixty participants composed of administrative personnel, faculty members, and students of Isabela State University. Twenty participants evaluated the products after three months of storage, while forty participants evaluated the products after six months of storage. </w:t>
      </w:r>
      <w:r w:rsidRPr="00B57915">
        <w:rPr>
          <w:rFonts w:ascii="Times New Roman" w:hAnsi="Times New Roman" w:cs="Times New Roman"/>
        </w:rPr>
        <w:lastRenderedPageBreak/>
        <w:t>Participants assessed the products using a structured sensory evaluation instrument that measured sight-related attributes, smell-related attributes, taste-related attributes, and texture.</w:t>
      </w:r>
    </w:p>
    <w:p w14:paraId="5D03126D"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The products were stored under three conditions: refrigerated storage, room-temperature storage, and direct-sunlight exposure. Sensory acceptability was measured using a five-point scale in which scores from 4.21 to 5.00 were interpreted as highly acceptable, 3.41 to 4.20 as acceptable, 2.61 to 3.40 as slightly acceptable, 1.81 to 2.60 as unacceptable, and 1.00 to 1.80 as highly unacceptable. Weighted means were used to summarize sensory ratings. One-way analysis of variance was used to compare the three-month and six-month observations for each storage condition. A result was interpreted as significant when the p-value was less than .05.</w:t>
      </w:r>
    </w:p>
    <w:p w14:paraId="2E9D2047" w14:textId="5CEC0C3F" w:rsidR="00072353" w:rsidRPr="00B57915" w:rsidRDefault="00E54CE6" w:rsidP="002F4F44">
      <w:pPr>
        <w:jc w:val="both"/>
        <w:rPr>
          <w:rFonts w:ascii="Times New Roman" w:hAnsi="Times New Roman" w:cs="Times New Roman"/>
        </w:rPr>
      </w:pPr>
      <w:r w:rsidRPr="00B57915">
        <w:rPr>
          <w:rFonts w:ascii="Times New Roman" w:hAnsi="Times New Roman" w:cs="Times New Roman"/>
        </w:rPr>
        <w:t>Table 1</w:t>
      </w:r>
    </w:p>
    <w:p w14:paraId="042286D4"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Sensory Evaluation Scale Used in the Study</w:t>
      </w:r>
    </w:p>
    <w:tbl>
      <w:tblPr>
        <w:tblStyle w:val="TableGrid"/>
        <w:tblW w:w="0" w:type="auto"/>
        <w:tblLook w:val="04A0" w:firstRow="1" w:lastRow="0" w:firstColumn="1" w:lastColumn="0" w:noHBand="0" w:noVBand="1"/>
      </w:tblPr>
      <w:tblGrid>
        <w:gridCol w:w="3116"/>
        <w:gridCol w:w="3117"/>
      </w:tblGrid>
      <w:tr w:rsidR="00B70896" w:rsidRPr="00166282" w14:paraId="3F8C1860" w14:textId="77777777" w:rsidTr="00072353">
        <w:tc>
          <w:tcPr>
            <w:tcW w:w="3116" w:type="dxa"/>
          </w:tcPr>
          <w:p w14:paraId="0951693C" w14:textId="7B581B42" w:rsidR="00B70896" w:rsidRPr="00166282" w:rsidRDefault="00B70896" w:rsidP="002F4F44">
            <w:pPr>
              <w:jc w:val="both"/>
              <w:rPr>
                <w:rFonts w:ascii="Times New Roman" w:hAnsi="Times New Roman" w:cs="Times New Roman"/>
                <w:b/>
                <w:bCs/>
              </w:rPr>
            </w:pPr>
            <w:r w:rsidRPr="00166282">
              <w:rPr>
                <w:rFonts w:ascii="Times New Roman" w:hAnsi="Times New Roman" w:cs="Times New Roman"/>
                <w:b/>
                <w:bCs/>
              </w:rPr>
              <w:t>Mean Range</w:t>
            </w:r>
          </w:p>
        </w:tc>
        <w:tc>
          <w:tcPr>
            <w:tcW w:w="3117" w:type="dxa"/>
          </w:tcPr>
          <w:p w14:paraId="133EE39D" w14:textId="447DAE63" w:rsidR="00B70896" w:rsidRPr="00166282" w:rsidRDefault="00B70896" w:rsidP="002F4F44">
            <w:pPr>
              <w:jc w:val="both"/>
              <w:rPr>
                <w:rFonts w:ascii="Times New Roman" w:hAnsi="Times New Roman" w:cs="Times New Roman"/>
                <w:b/>
                <w:bCs/>
              </w:rPr>
            </w:pPr>
            <w:r w:rsidRPr="00166282">
              <w:rPr>
                <w:rFonts w:ascii="Times New Roman" w:hAnsi="Times New Roman" w:cs="Times New Roman"/>
                <w:b/>
                <w:bCs/>
              </w:rPr>
              <w:t>Descriptive Interpretation</w:t>
            </w:r>
          </w:p>
        </w:tc>
      </w:tr>
      <w:tr w:rsidR="00B70896" w14:paraId="4D26C0C7" w14:textId="77777777" w:rsidTr="00072353">
        <w:tc>
          <w:tcPr>
            <w:tcW w:w="3116" w:type="dxa"/>
          </w:tcPr>
          <w:p w14:paraId="7C8FDF22" w14:textId="71158B8A" w:rsidR="00B70896" w:rsidRDefault="008E296F" w:rsidP="002F4F44">
            <w:pPr>
              <w:jc w:val="both"/>
              <w:rPr>
                <w:rFonts w:ascii="Times New Roman" w:hAnsi="Times New Roman" w:cs="Times New Roman"/>
              </w:rPr>
            </w:pPr>
            <w:r w:rsidRPr="00B57915">
              <w:rPr>
                <w:rFonts w:ascii="Times New Roman" w:hAnsi="Times New Roman" w:cs="Times New Roman"/>
              </w:rPr>
              <w:t>4.21–5.00</w:t>
            </w:r>
          </w:p>
        </w:tc>
        <w:tc>
          <w:tcPr>
            <w:tcW w:w="3117" w:type="dxa"/>
          </w:tcPr>
          <w:p w14:paraId="36700766" w14:textId="728DAD40" w:rsidR="00B70896" w:rsidRDefault="008E296F" w:rsidP="002F4F44">
            <w:pPr>
              <w:jc w:val="both"/>
              <w:rPr>
                <w:rFonts w:ascii="Times New Roman" w:hAnsi="Times New Roman" w:cs="Times New Roman"/>
              </w:rPr>
            </w:pPr>
            <w:r w:rsidRPr="00B57915">
              <w:rPr>
                <w:rFonts w:ascii="Times New Roman" w:hAnsi="Times New Roman" w:cs="Times New Roman"/>
              </w:rPr>
              <w:t>Highly Acceptable</w:t>
            </w:r>
          </w:p>
        </w:tc>
      </w:tr>
      <w:tr w:rsidR="00B70896" w14:paraId="75922BFF" w14:textId="77777777" w:rsidTr="00072353">
        <w:tc>
          <w:tcPr>
            <w:tcW w:w="3116" w:type="dxa"/>
          </w:tcPr>
          <w:p w14:paraId="62BE6ED4" w14:textId="3C4F70CA" w:rsidR="00B70896" w:rsidRDefault="008E296F" w:rsidP="002F4F44">
            <w:pPr>
              <w:jc w:val="both"/>
              <w:rPr>
                <w:rFonts w:ascii="Times New Roman" w:hAnsi="Times New Roman" w:cs="Times New Roman"/>
              </w:rPr>
            </w:pPr>
            <w:r w:rsidRPr="00B57915">
              <w:rPr>
                <w:rFonts w:ascii="Times New Roman" w:hAnsi="Times New Roman" w:cs="Times New Roman"/>
              </w:rPr>
              <w:t>3.41–4.20</w:t>
            </w:r>
          </w:p>
        </w:tc>
        <w:tc>
          <w:tcPr>
            <w:tcW w:w="3117" w:type="dxa"/>
          </w:tcPr>
          <w:p w14:paraId="3EAEB85F" w14:textId="709CA96F" w:rsidR="00B70896" w:rsidRDefault="008E296F" w:rsidP="002F4F44">
            <w:pPr>
              <w:jc w:val="both"/>
              <w:rPr>
                <w:rFonts w:ascii="Times New Roman" w:hAnsi="Times New Roman" w:cs="Times New Roman"/>
              </w:rPr>
            </w:pPr>
            <w:r w:rsidRPr="00B57915">
              <w:rPr>
                <w:rFonts w:ascii="Times New Roman" w:hAnsi="Times New Roman" w:cs="Times New Roman"/>
              </w:rPr>
              <w:t>Acceptable</w:t>
            </w:r>
          </w:p>
        </w:tc>
      </w:tr>
      <w:tr w:rsidR="008E296F" w14:paraId="36F52FF1" w14:textId="77777777" w:rsidTr="00072353">
        <w:tc>
          <w:tcPr>
            <w:tcW w:w="3116" w:type="dxa"/>
          </w:tcPr>
          <w:p w14:paraId="3AB31B3F" w14:textId="62DAB8A3" w:rsidR="008E296F" w:rsidRDefault="008E296F" w:rsidP="002F4F44">
            <w:pPr>
              <w:jc w:val="both"/>
              <w:rPr>
                <w:rFonts w:ascii="Times New Roman" w:hAnsi="Times New Roman" w:cs="Times New Roman"/>
              </w:rPr>
            </w:pPr>
            <w:r w:rsidRPr="00B57915">
              <w:rPr>
                <w:rFonts w:ascii="Times New Roman" w:hAnsi="Times New Roman" w:cs="Times New Roman"/>
              </w:rPr>
              <w:t>2.61–3.40</w:t>
            </w:r>
          </w:p>
        </w:tc>
        <w:tc>
          <w:tcPr>
            <w:tcW w:w="3117" w:type="dxa"/>
          </w:tcPr>
          <w:p w14:paraId="0429141C" w14:textId="1D725762" w:rsidR="008E296F" w:rsidRDefault="008E296F" w:rsidP="002F4F44">
            <w:pPr>
              <w:jc w:val="both"/>
              <w:rPr>
                <w:rFonts w:ascii="Times New Roman" w:hAnsi="Times New Roman" w:cs="Times New Roman"/>
              </w:rPr>
            </w:pPr>
            <w:r w:rsidRPr="00B57915">
              <w:rPr>
                <w:rFonts w:ascii="Times New Roman" w:hAnsi="Times New Roman" w:cs="Times New Roman"/>
              </w:rPr>
              <w:t>Slightly Acceptable</w:t>
            </w:r>
          </w:p>
        </w:tc>
      </w:tr>
      <w:tr w:rsidR="008E296F" w14:paraId="6D94A996" w14:textId="77777777" w:rsidTr="00072353">
        <w:tc>
          <w:tcPr>
            <w:tcW w:w="3116" w:type="dxa"/>
          </w:tcPr>
          <w:p w14:paraId="225D0CF4" w14:textId="5399B60B" w:rsidR="008E296F" w:rsidRDefault="008E296F" w:rsidP="002F4F44">
            <w:pPr>
              <w:jc w:val="both"/>
              <w:rPr>
                <w:rFonts w:ascii="Times New Roman" w:hAnsi="Times New Roman" w:cs="Times New Roman"/>
              </w:rPr>
            </w:pPr>
            <w:r w:rsidRPr="00B57915">
              <w:rPr>
                <w:rFonts w:ascii="Times New Roman" w:hAnsi="Times New Roman" w:cs="Times New Roman"/>
              </w:rPr>
              <w:t>1.81–2.60</w:t>
            </w:r>
          </w:p>
        </w:tc>
        <w:tc>
          <w:tcPr>
            <w:tcW w:w="3117" w:type="dxa"/>
          </w:tcPr>
          <w:p w14:paraId="66C6A429" w14:textId="7B4F881F" w:rsidR="008E296F" w:rsidRDefault="008E296F" w:rsidP="002F4F44">
            <w:pPr>
              <w:jc w:val="both"/>
              <w:rPr>
                <w:rFonts w:ascii="Times New Roman" w:hAnsi="Times New Roman" w:cs="Times New Roman"/>
              </w:rPr>
            </w:pPr>
            <w:r w:rsidRPr="00B57915">
              <w:rPr>
                <w:rFonts w:ascii="Times New Roman" w:hAnsi="Times New Roman" w:cs="Times New Roman"/>
              </w:rPr>
              <w:t>Unacceptable</w:t>
            </w:r>
          </w:p>
        </w:tc>
      </w:tr>
      <w:tr w:rsidR="008E296F" w14:paraId="16DA4D9D" w14:textId="77777777" w:rsidTr="00072353">
        <w:tc>
          <w:tcPr>
            <w:tcW w:w="3116" w:type="dxa"/>
          </w:tcPr>
          <w:p w14:paraId="3B996710" w14:textId="3DE636C9" w:rsidR="008E296F" w:rsidRDefault="008E296F" w:rsidP="002F4F44">
            <w:pPr>
              <w:jc w:val="both"/>
              <w:rPr>
                <w:rFonts w:ascii="Times New Roman" w:hAnsi="Times New Roman" w:cs="Times New Roman"/>
              </w:rPr>
            </w:pPr>
            <w:r w:rsidRPr="00B57915">
              <w:rPr>
                <w:rFonts w:ascii="Times New Roman" w:hAnsi="Times New Roman" w:cs="Times New Roman"/>
              </w:rPr>
              <w:t>1.00–1.80</w:t>
            </w:r>
          </w:p>
        </w:tc>
        <w:tc>
          <w:tcPr>
            <w:tcW w:w="3117" w:type="dxa"/>
          </w:tcPr>
          <w:p w14:paraId="07139F7E" w14:textId="09F70793" w:rsidR="008E296F" w:rsidRDefault="008E296F" w:rsidP="002F4F44">
            <w:pPr>
              <w:jc w:val="both"/>
              <w:rPr>
                <w:rFonts w:ascii="Times New Roman" w:hAnsi="Times New Roman" w:cs="Times New Roman"/>
              </w:rPr>
            </w:pPr>
            <w:r w:rsidRPr="00B57915">
              <w:rPr>
                <w:rFonts w:ascii="Times New Roman" w:hAnsi="Times New Roman" w:cs="Times New Roman"/>
              </w:rPr>
              <w:t>Highly Unacceptable</w:t>
            </w:r>
          </w:p>
        </w:tc>
      </w:tr>
    </w:tbl>
    <w:p w14:paraId="7326746F" w14:textId="77777777" w:rsidR="00072353" w:rsidRDefault="00072353" w:rsidP="002F4F44">
      <w:pPr>
        <w:jc w:val="both"/>
        <w:rPr>
          <w:rFonts w:ascii="Times New Roman" w:hAnsi="Times New Roman" w:cs="Times New Roman"/>
        </w:rPr>
      </w:pPr>
    </w:p>
    <w:p w14:paraId="166DBA52" w14:textId="77777777" w:rsidR="00E54CE6" w:rsidRPr="00EE06B4" w:rsidRDefault="00E54CE6" w:rsidP="002F4F44">
      <w:pPr>
        <w:jc w:val="both"/>
        <w:rPr>
          <w:rFonts w:ascii="Times New Roman" w:hAnsi="Times New Roman" w:cs="Times New Roman"/>
          <w:b/>
          <w:bCs/>
        </w:rPr>
      </w:pPr>
      <w:r w:rsidRPr="00EE06B4">
        <w:rPr>
          <w:rFonts w:ascii="Times New Roman" w:hAnsi="Times New Roman" w:cs="Times New Roman"/>
          <w:b/>
          <w:bCs/>
        </w:rPr>
        <w:t>Analysis and Discussion</w:t>
      </w:r>
    </w:p>
    <w:p w14:paraId="0A918BBF"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The sensory evaluation results indicate that both tomato jam and tomato seasoning retained favorable acceptability ratings over the six-month observation period. The overall mean scores were derived from the fourteen sensory indicators used in the study. The findings are presented in table form to provide a concise summary of the product performance across storage conditions and observation periods.</w:t>
      </w:r>
    </w:p>
    <w:p w14:paraId="0CAADB75"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Table 2</w:t>
      </w:r>
    </w:p>
    <w:p w14:paraId="11B1CC68"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Overall Sensory Acceptability of Tomato Jam and Tomato Seasoning After Three and Six Months</w:t>
      </w:r>
    </w:p>
    <w:tbl>
      <w:tblPr>
        <w:tblStyle w:val="TableGrid"/>
        <w:tblW w:w="0" w:type="auto"/>
        <w:tblLook w:val="04A0" w:firstRow="1" w:lastRow="0" w:firstColumn="1" w:lastColumn="0" w:noHBand="0" w:noVBand="1"/>
      </w:tblPr>
      <w:tblGrid>
        <w:gridCol w:w="1244"/>
        <w:gridCol w:w="1416"/>
        <w:gridCol w:w="1094"/>
        <w:gridCol w:w="1679"/>
        <w:gridCol w:w="1094"/>
        <w:gridCol w:w="1679"/>
        <w:gridCol w:w="1144"/>
      </w:tblGrid>
      <w:tr w:rsidR="009D38A7" w:rsidRPr="00166282" w14:paraId="2EC94A47" w14:textId="4A653630" w:rsidTr="001A7CFF">
        <w:tc>
          <w:tcPr>
            <w:tcW w:w="1285" w:type="dxa"/>
          </w:tcPr>
          <w:p w14:paraId="3DAD83CB" w14:textId="77777777" w:rsidR="00D82A6E" w:rsidRPr="00166282" w:rsidRDefault="00D82A6E" w:rsidP="00E843E7">
            <w:pPr>
              <w:jc w:val="center"/>
              <w:rPr>
                <w:rFonts w:ascii="Times New Roman" w:hAnsi="Times New Roman" w:cs="Times New Roman"/>
                <w:b/>
                <w:bCs/>
              </w:rPr>
            </w:pPr>
            <w:r w:rsidRPr="00166282">
              <w:rPr>
                <w:rFonts w:ascii="Times New Roman" w:hAnsi="Times New Roman" w:cs="Times New Roman"/>
                <w:b/>
                <w:bCs/>
              </w:rPr>
              <w:t>Product</w:t>
            </w:r>
          </w:p>
          <w:p w14:paraId="47F823E5" w14:textId="77777777" w:rsidR="009D38A7" w:rsidRPr="00166282" w:rsidRDefault="009D38A7" w:rsidP="00E843E7">
            <w:pPr>
              <w:jc w:val="center"/>
              <w:rPr>
                <w:rFonts w:ascii="Times New Roman" w:hAnsi="Times New Roman" w:cs="Times New Roman"/>
                <w:b/>
                <w:bCs/>
              </w:rPr>
            </w:pPr>
          </w:p>
        </w:tc>
        <w:tc>
          <w:tcPr>
            <w:tcW w:w="1416" w:type="dxa"/>
          </w:tcPr>
          <w:p w14:paraId="1585D90B" w14:textId="631359BD" w:rsidR="009D38A7" w:rsidRPr="00166282" w:rsidRDefault="00D82A6E" w:rsidP="00E843E7">
            <w:pPr>
              <w:jc w:val="center"/>
              <w:rPr>
                <w:rFonts w:ascii="Times New Roman" w:hAnsi="Times New Roman" w:cs="Times New Roman"/>
                <w:b/>
                <w:bCs/>
              </w:rPr>
            </w:pPr>
            <w:r w:rsidRPr="00166282">
              <w:rPr>
                <w:rFonts w:ascii="Times New Roman" w:hAnsi="Times New Roman" w:cs="Times New Roman"/>
                <w:b/>
                <w:bCs/>
              </w:rPr>
              <w:t>Storage Condition</w:t>
            </w:r>
          </w:p>
        </w:tc>
        <w:tc>
          <w:tcPr>
            <w:tcW w:w="1192" w:type="dxa"/>
          </w:tcPr>
          <w:p w14:paraId="4AE42E19" w14:textId="68DCB6E1" w:rsidR="009D38A7" w:rsidRPr="00166282" w:rsidRDefault="00D82A6E" w:rsidP="00E843E7">
            <w:pPr>
              <w:jc w:val="center"/>
              <w:rPr>
                <w:rFonts w:ascii="Times New Roman" w:hAnsi="Times New Roman" w:cs="Times New Roman"/>
                <w:b/>
                <w:bCs/>
              </w:rPr>
            </w:pPr>
            <w:r w:rsidRPr="00166282">
              <w:rPr>
                <w:rFonts w:ascii="Times New Roman" w:hAnsi="Times New Roman" w:cs="Times New Roman"/>
                <w:b/>
                <w:bCs/>
              </w:rPr>
              <w:t>3-Month Mean</w:t>
            </w:r>
          </w:p>
        </w:tc>
        <w:tc>
          <w:tcPr>
            <w:tcW w:w="1523" w:type="dxa"/>
          </w:tcPr>
          <w:p w14:paraId="1E23AD69" w14:textId="764A650F" w:rsidR="009D38A7" w:rsidRPr="00166282" w:rsidRDefault="00D82A6E" w:rsidP="00E843E7">
            <w:pPr>
              <w:jc w:val="center"/>
              <w:rPr>
                <w:rFonts w:ascii="Times New Roman" w:hAnsi="Times New Roman" w:cs="Times New Roman"/>
                <w:b/>
                <w:bCs/>
              </w:rPr>
            </w:pPr>
            <w:r w:rsidRPr="00166282">
              <w:rPr>
                <w:rFonts w:ascii="Times New Roman" w:hAnsi="Times New Roman" w:cs="Times New Roman"/>
                <w:b/>
                <w:bCs/>
              </w:rPr>
              <w:t>3-Month Interpretation</w:t>
            </w:r>
          </w:p>
        </w:tc>
        <w:tc>
          <w:tcPr>
            <w:tcW w:w="1192" w:type="dxa"/>
          </w:tcPr>
          <w:p w14:paraId="07A115FC" w14:textId="4D5823FA" w:rsidR="009D38A7" w:rsidRPr="00166282" w:rsidRDefault="00D82A6E" w:rsidP="00E843E7">
            <w:pPr>
              <w:jc w:val="center"/>
              <w:rPr>
                <w:rFonts w:ascii="Times New Roman" w:hAnsi="Times New Roman" w:cs="Times New Roman"/>
                <w:b/>
                <w:bCs/>
              </w:rPr>
            </w:pPr>
            <w:r w:rsidRPr="00166282">
              <w:rPr>
                <w:rFonts w:ascii="Times New Roman" w:hAnsi="Times New Roman" w:cs="Times New Roman"/>
                <w:b/>
                <w:bCs/>
              </w:rPr>
              <w:t>6-Month Mean</w:t>
            </w:r>
          </w:p>
        </w:tc>
        <w:tc>
          <w:tcPr>
            <w:tcW w:w="1523" w:type="dxa"/>
          </w:tcPr>
          <w:p w14:paraId="40648FE4" w14:textId="707CF628" w:rsidR="009D38A7" w:rsidRPr="00166282" w:rsidRDefault="00D82A6E" w:rsidP="00E843E7">
            <w:pPr>
              <w:jc w:val="center"/>
              <w:rPr>
                <w:rFonts w:ascii="Times New Roman" w:hAnsi="Times New Roman" w:cs="Times New Roman"/>
                <w:b/>
                <w:bCs/>
              </w:rPr>
            </w:pPr>
            <w:r w:rsidRPr="00166282">
              <w:rPr>
                <w:rFonts w:ascii="Times New Roman" w:hAnsi="Times New Roman" w:cs="Times New Roman"/>
                <w:b/>
                <w:bCs/>
              </w:rPr>
              <w:t>6-Month Interpretation</w:t>
            </w:r>
          </w:p>
        </w:tc>
        <w:tc>
          <w:tcPr>
            <w:tcW w:w="1219" w:type="dxa"/>
          </w:tcPr>
          <w:p w14:paraId="27DCB7AA" w14:textId="324F2E64" w:rsidR="009D38A7" w:rsidRPr="00166282" w:rsidRDefault="00D82A6E" w:rsidP="00E843E7">
            <w:pPr>
              <w:jc w:val="center"/>
              <w:rPr>
                <w:rFonts w:ascii="Times New Roman" w:hAnsi="Times New Roman" w:cs="Times New Roman"/>
                <w:b/>
                <w:bCs/>
              </w:rPr>
            </w:pPr>
            <w:r w:rsidRPr="00166282">
              <w:rPr>
                <w:rFonts w:ascii="Times New Roman" w:hAnsi="Times New Roman" w:cs="Times New Roman"/>
                <w:b/>
                <w:bCs/>
              </w:rPr>
              <w:t>Mean Change</w:t>
            </w:r>
          </w:p>
        </w:tc>
      </w:tr>
      <w:tr w:rsidR="009D38A7" w14:paraId="29FD6870" w14:textId="597EC1A2" w:rsidTr="001A7CFF">
        <w:tc>
          <w:tcPr>
            <w:tcW w:w="1285" w:type="dxa"/>
          </w:tcPr>
          <w:p w14:paraId="7B334D6C" w14:textId="27DA3DB9" w:rsidR="009D38A7" w:rsidRDefault="00E843E7" w:rsidP="002F4F44">
            <w:pPr>
              <w:jc w:val="both"/>
              <w:rPr>
                <w:rFonts w:ascii="Times New Roman" w:hAnsi="Times New Roman" w:cs="Times New Roman"/>
              </w:rPr>
            </w:pPr>
            <w:r w:rsidRPr="00B57915">
              <w:rPr>
                <w:rFonts w:ascii="Times New Roman" w:hAnsi="Times New Roman" w:cs="Times New Roman"/>
              </w:rPr>
              <w:t>Tomato jam</w:t>
            </w:r>
          </w:p>
        </w:tc>
        <w:tc>
          <w:tcPr>
            <w:tcW w:w="1416" w:type="dxa"/>
          </w:tcPr>
          <w:p w14:paraId="7A2E1AF2" w14:textId="60D33037" w:rsidR="009D38A7" w:rsidRDefault="00E843E7" w:rsidP="002F4F44">
            <w:pPr>
              <w:jc w:val="both"/>
              <w:rPr>
                <w:rFonts w:ascii="Times New Roman" w:hAnsi="Times New Roman" w:cs="Times New Roman"/>
              </w:rPr>
            </w:pPr>
            <w:r w:rsidRPr="00B57915">
              <w:rPr>
                <w:rFonts w:ascii="Times New Roman" w:hAnsi="Times New Roman" w:cs="Times New Roman"/>
              </w:rPr>
              <w:t>Refrigerated</w:t>
            </w:r>
          </w:p>
        </w:tc>
        <w:tc>
          <w:tcPr>
            <w:tcW w:w="1192" w:type="dxa"/>
          </w:tcPr>
          <w:p w14:paraId="5349B76B" w14:textId="77777777" w:rsidR="00E843E7" w:rsidRPr="00B57915" w:rsidRDefault="00E843E7" w:rsidP="00DF671B">
            <w:pPr>
              <w:jc w:val="both"/>
              <w:rPr>
                <w:rFonts w:ascii="Times New Roman" w:hAnsi="Times New Roman" w:cs="Times New Roman"/>
              </w:rPr>
            </w:pPr>
            <w:r w:rsidRPr="00B57915">
              <w:rPr>
                <w:rFonts w:ascii="Times New Roman" w:hAnsi="Times New Roman" w:cs="Times New Roman"/>
              </w:rPr>
              <w:t>4.31</w:t>
            </w:r>
          </w:p>
          <w:p w14:paraId="55CCB9B6" w14:textId="77777777" w:rsidR="009D38A7" w:rsidRDefault="009D38A7" w:rsidP="002F4F44">
            <w:pPr>
              <w:jc w:val="both"/>
              <w:rPr>
                <w:rFonts w:ascii="Times New Roman" w:hAnsi="Times New Roman" w:cs="Times New Roman"/>
              </w:rPr>
            </w:pPr>
          </w:p>
        </w:tc>
        <w:tc>
          <w:tcPr>
            <w:tcW w:w="1523" w:type="dxa"/>
          </w:tcPr>
          <w:p w14:paraId="409AAE57" w14:textId="2935B322" w:rsidR="009D38A7" w:rsidRDefault="00E843E7" w:rsidP="002F4F44">
            <w:pPr>
              <w:jc w:val="both"/>
              <w:rPr>
                <w:rFonts w:ascii="Times New Roman" w:hAnsi="Times New Roman" w:cs="Times New Roman"/>
              </w:rPr>
            </w:pPr>
            <w:r w:rsidRPr="00B57915">
              <w:rPr>
                <w:rFonts w:ascii="Times New Roman" w:hAnsi="Times New Roman" w:cs="Times New Roman"/>
              </w:rPr>
              <w:t>Highly Acceptable</w:t>
            </w:r>
          </w:p>
        </w:tc>
        <w:tc>
          <w:tcPr>
            <w:tcW w:w="1192" w:type="dxa"/>
          </w:tcPr>
          <w:p w14:paraId="26EFA8D2" w14:textId="77777777" w:rsidR="00E843E7" w:rsidRPr="00B57915" w:rsidRDefault="00E843E7" w:rsidP="00DF671B">
            <w:pPr>
              <w:jc w:val="both"/>
              <w:rPr>
                <w:rFonts w:ascii="Times New Roman" w:hAnsi="Times New Roman" w:cs="Times New Roman"/>
              </w:rPr>
            </w:pPr>
            <w:r w:rsidRPr="00B57915">
              <w:rPr>
                <w:rFonts w:ascii="Times New Roman" w:hAnsi="Times New Roman" w:cs="Times New Roman"/>
              </w:rPr>
              <w:t>4.09</w:t>
            </w:r>
          </w:p>
          <w:p w14:paraId="0FB9A7D6" w14:textId="77777777" w:rsidR="009D38A7" w:rsidRDefault="009D38A7" w:rsidP="002F4F44">
            <w:pPr>
              <w:jc w:val="both"/>
              <w:rPr>
                <w:rFonts w:ascii="Times New Roman" w:hAnsi="Times New Roman" w:cs="Times New Roman"/>
              </w:rPr>
            </w:pPr>
          </w:p>
        </w:tc>
        <w:tc>
          <w:tcPr>
            <w:tcW w:w="1523" w:type="dxa"/>
          </w:tcPr>
          <w:p w14:paraId="65235155" w14:textId="77777777" w:rsidR="00E843E7" w:rsidRPr="00B57915" w:rsidRDefault="00E843E7" w:rsidP="00DF671B">
            <w:pPr>
              <w:jc w:val="both"/>
              <w:rPr>
                <w:rFonts w:ascii="Times New Roman" w:hAnsi="Times New Roman" w:cs="Times New Roman"/>
              </w:rPr>
            </w:pPr>
            <w:r w:rsidRPr="00B57915">
              <w:rPr>
                <w:rFonts w:ascii="Times New Roman" w:hAnsi="Times New Roman" w:cs="Times New Roman"/>
              </w:rPr>
              <w:t>Acceptable</w:t>
            </w:r>
          </w:p>
          <w:p w14:paraId="703B10BE" w14:textId="77777777" w:rsidR="009D38A7" w:rsidRDefault="009D38A7" w:rsidP="002F4F44">
            <w:pPr>
              <w:jc w:val="both"/>
              <w:rPr>
                <w:rFonts w:ascii="Times New Roman" w:hAnsi="Times New Roman" w:cs="Times New Roman"/>
              </w:rPr>
            </w:pPr>
          </w:p>
        </w:tc>
        <w:tc>
          <w:tcPr>
            <w:tcW w:w="1219" w:type="dxa"/>
          </w:tcPr>
          <w:p w14:paraId="2FDCBADB" w14:textId="77777777" w:rsidR="00E843E7" w:rsidRPr="00B57915" w:rsidRDefault="00E843E7" w:rsidP="00DF671B">
            <w:pPr>
              <w:jc w:val="both"/>
              <w:rPr>
                <w:rFonts w:ascii="Times New Roman" w:hAnsi="Times New Roman" w:cs="Times New Roman"/>
              </w:rPr>
            </w:pPr>
            <w:r w:rsidRPr="00B57915">
              <w:rPr>
                <w:rFonts w:ascii="Times New Roman" w:hAnsi="Times New Roman" w:cs="Times New Roman"/>
              </w:rPr>
              <w:t>-0.22</w:t>
            </w:r>
          </w:p>
          <w:p w14:paraId="6ED74BA0" w14:textId="77777777" w:rsidR="009D38A7" w:rsidRDefault="009D38A7" w:rsidP="002F4F44">
            <w:pPr>
              <w:jc w:val="both"/>
              <w:rPr>
                <w:rFonts w:ascii="Times New Roman" w:hAnsi="Times New Roman" w:cs="Times New Roman"/>
              </w:rPr>
            </w:pPr>
          </w:p>
        </w:tc>
      </w:tr>
      <w:tr w:rsidR="009D38A7" w14:paraId="21D2D988" w14:textId="547D28EB" w:rsidTr="001A7CFF">
        <w:tc>
          <w:tcPr>
            <w:tcW w:w="1285" w:type="dxa"/>
          </w:tcPr>
          <w:p w14:paraId="799C6B0C" w14:textId="102F046B" w:rsidR="009D38A7" w:rsidRDefault="00E843E7" w:rsidP="002F4F44">
            <w:pPr>
              <w:jc w:val="both"/>
              <w:rPr>
                <w:rFonts w:ascii="Times New Roman" w:hAnsi="Times New Roman" w:cs="Times New Roman"/>
              </w:rPr>
            </w:pPr>
            <w:r w:rsidRPr="00B57915">
              <w:rPr>
                <w:rFonts w:ascii="Times New Roman" w:hAnsi="Times New Roman" w:cs="Times New Roman"/>
              </w:rPr>
              <w:t>Tomato jam</w:t>
            </w:r>
          </w:p>
        </w:tc>
        <w:tc>
          <w:tcPr>
            <w:tcW w:w="1416" w:type="dxa"/>
          </w:tcPr>
          <w:p w14:paraId="1FCC3272" w14:textId="77777777" w:rsidR="00E843E7" w:rsidRPr="00B57915" w:rsidRDefault="00E843E7" w:rsidP="00DF671B">
            <w:pPr>
              <w:jc w:val="both"/>
              <w:rPr>
                <w:rFonts w:ascii="Times New Roman" w:hAnsi="Times New Roman" w:cs="Times New Roman"/>
              </w:rPr>
            </w:pPr>
            <w:r w:rsidRPr="00B57915">
              <w:rPr>
                <w:rFonts w:ascii="Times New Roman" w:hAnsi="Times New Roman" w:cs="Times New Roman"/>
              </w:rPr>
              <w:t>Room temperature</w:t>
            </w:r>
          </w:p>
          <w:p w14:paraId="00C3ADD0" w14:textId="77777777" w:rsidR="009D38A7" w:rsidRDefault="009D38A7" w:rsidP="002F4F44">
            <w:pPr>
              <w:jc w:val="both"/>
              <w:rPr>
                <w:rFonts w:ascii="Times New Roman" w:hAnsi="Times New Roman" w:cs="Times New Roman"/>
              </w:rPr>
            </w:pPr>
          </w:p>
        </w:tc>
        <w:tc>
          <w:tcPr>
            <w:tcW w:w="1192" w:type="dxa"/>
          </w:tcPr>
          <w:p w14:paraId="69100DED" w14:textId="77777777" w:rsidR="00E843E7" w:rsidRPr="00B57915" w:rsidRDefault="00E843E7" w:rsidP="00DF671B">
            <w:pPr>
              <w:jc w:val="both"/>
              <w:rPr>
                <w:rFonts w:ascii="Times New Roman" w:hAnsi="Times New Roman" w:cs="Times New Roman"/>
              </w:rPr>
            </w:pPr>
            <w:r w:rsidRPr="00B57915">
              <w:rPr>
                <w:rFonts w:ascii="Times New Roman" w:hAnsi="Times New Roman" w:cs="Times New Roman"/>
              </w:rPr>
              <w:t>4.14</w:t>
            </w:r>
          </w:p>
          <w:p w14:paraId="6DEFC12D" w14:textId="77777777" w:rsidR="009D38A7" w:rsidRDefault="009D38A7" w:rsidP="002F4F44">
            <w:pPr>
              <w:jc w:val="both"/>
              <w:rPr>
                <w:rFonts w:ascii="Times New Roman" w:hAnsi="Times New Roman" w:cs="Times New Roman"/>
              </w:rPr>
            </w:pPr>
          </w:p>
        </w:tc>
        <w:tc>
          <w:tcPr>
            <w:tcW w:w="1523" w:type="dxa"/>
          </w:tcPr>
          <w:p w14:paraId="3716A094" w14:textId="77777777" w:rsidR="00E843E7" w:rsidRPr="00B57915" w:rsidRDefault="00E843E7" w:rsidP="00DF671B">
            <w:pPr>
              <w:jc w:val="both"/>
              <w:rPr>
                <w:rFonts w:ascii="Times New Roman" w:hAnsi="Times New Roman" w:cs="Times New Roman"/>
              </w:rPr>
            </w:pPr>
            <w:r w:rsidRPr="00B57915">
              <w:rPr>
                <w:rFonts w:ascii="Times New Roman" w:hAnsi="Times New Roman" w:cs="Times New Roman"/>
              </w:rPr>
              <w:t>Acceptable</w:t>
            </w:r>
          </w:p>
          <w:p w14:paraId="07A1AD4A" w14:textId="77777777" w:rsidR="009D38A7" w:rsidRDefault="009D38A7" w:rsidP="002F4F44">
            <w:pPr>
              <w:jc w:val="both"/>
              <w:rPr>
                <w:rFonts w:ascii="Times New Roman" w:hAnsi="Times New Roman" w:cs="Times New Roman"/>
              </w:rPr>
            </w:pPr>
          </w:p>
        </w:tc>
        <w:tc>
          <w:tcPr>
            <w:tcW w:w="1192" w:type="dxa"/>
          </w:tcPr>
          <w:p w14:paraId="7FE4EA4E" w14:textId="77777777" w:rsidR="00E843E7" w:rsidRPr="00B57915" w:rsidRDefault="00E843E7" w:rsidP="00DF671B">
            <w:pPr>
              <w:jc w:val="both"/>
              <w:rPr>
                <w:rFonts w:ascii="Times New Roman" w:hAnsi="Times New Roman" w:cs="Times New Roman"/>
              </w:rPr>
            </w:pPr>
            <w:r w:rsidRPr="00B57915">
              <w:rPr>
                <w:rFonts w:ascii="Times New Roman" w:hAnsi="Times New Roman" w:cs="Times New Roman"/>
              </w:rPr>
              <w:t>3.91</w:t>
            </w:r>
          </w:p>
          <w:p w14:paraId="2388D04A" w14:textId="77777777" w:rsidR="009D38A7" w:rsidRDefault="009D38A7" w:rsidP="002F4F44">
            <w:pPr>
              <w:jc w:val="both"/>
              <w:rPr>
                <w:rFonts w:ascii="Times New Roman" w:hAnsi="Times New Roman" w:cs="Times New Roman"/>
              </w:rPr>
            </w:pPr>
          </w:p>
        </w:tc>
        <w:tc>
          <w:tcPr>
            <w:tcW w:w="1523" w:type="dxa"/>
          </w:tcPr>
          <w:p w14:paraId="1B9DCD93" w14:textId="77777777" w:rsidR="00E843E7" w:rsidRPr="00B57915" w:rsidRDefault="00E843E7" w:rsidP="00DF671B">
            <w:pPr>
              <w:jc w:val="both"/>
              <w:rPr>
                <w:rFonts w:ascii="Times New Roman" w:hAnsi="Times New Roman" w:cs="Times New Roman"/>
              </w:rPr>
            </w:pPr>
            <w:r w:rsidRPr="00B57915">
              <w:rPr>
                <w:rFonts w:ascii="Times New Roman" w:hAnsi="Times New Roman" w:cs="Times New Roman"/>
              </w:rPr>
              <w:t>Acceptable</w:t>
            </w:r>
          </w:p>
          <w:p w14:paraId="497191A5" w14:textId="77777777" w:rsidR="009D38A7" w:rsidRDefault="009D38A7" w:rsidP="002F4F44">
            <w:pPr>
              <w:jc w:val="both"/>
              <w:rPr>
                <w:rFonts w:ascii="Times New Roman" w:hAnsi="Times New Roman" w:cs="Times New Roman"/>
              </w:rPr>
            </w:pPr>
          </w:p>
        </w:tc>
        <w:tc>
          <w:tcPr>
            <w:tcW w:w="1219" w:type="dxa"/>
          </w:tcPr>
          <w:p w14:paraId="455B7A39" w14:textId="77777777" w:rsidR="00E843E7" w:rsidRPr="00B57915" w:rsidRDefault="00E843E7" w:rsidP="00DF671B">
            <w:pPr>
              <w:jc w:val="both"/>
              <w:rPr>
                <w:rFonts w:ascii="Times New Roman" w:hAnsi="Times New Roman" w:cs="Times New Roman"/>
              </w:rPr>
            </w:pPr>
            <w:r w:rsidRPr="00B57915">
              <w:rPr>
                <w:rFonts w:ascii="Times New Roman" w:hAnsi="Times New Roman" w:cs="Times New Roman"/>
              </w:rPr>
              <w:t>-0.23</w:t>
            </w:r>
          </w:p>
          <w:p w14:paraId="60979982" w14:textId="77777777" w:rsidR="009D38A7" w:rsidRDefault="009D38A7" w:rsidP="002F4F44">
            <w:pPr>
              <w:jc w:val="both"/>
              <w:rPr>
                <w:rFonts w:ascii="Times New Roman" w:hAnsi="Times New Roman" w:cs="Times New Roman"/>
              </w:rPr>
            </w:pPr>
          </w:p>
        </w:tc>
      </w:tr>
      <w:tr w:rsidR="009D38A7" w14:paraId="7F2C5440" w14:textId="77777777" w:rsidTr="001A7CFF">
        <w:tc>
          <w:tcPr>
            <w:tcW w:w="1285" w:type="dxa"/>
          </w:tcPr>
          <w:p w14:paraId="45E14694" w14:textId="4862B000" w:rsidR="009D38A7" w:rsidRDefault="00E843E7" w:rsidP="002F4F44">
            <w:pPr>
              <w:jc w:val="both"/>
              <w:rPr>
                <w:rFonts w:ascii="Times New Roman" w:hAnsi="Times New Roman" w:cs="Times New Roman"/>
              </w:rPr>
            </w:pPr>
            <w:r w:rsidRPr="00B57915">
              <w:rPr>
                <w:rFonts w:ascii="Times New Roman" w:hAnsi="Times New Roman" w:cs="Times New Roman"/>
              </w:rPr>
              <w:t>Tomato jam</w:t>
            </w:r>
          </w:p>
        </w:tc>
        <w:tc>
          <w:tcPr>
            <w:tcW w:w="1416" w:type="dxa"/>
          </w:tcPr>
          <w:p w14:paraId="6E5D6604" w14:textId="1162008B" w:rsidR="009D38A7" w:rsidRDefault="00E843E7" w:rsidP="002F4F44">
            <w:pPr>
              <w:jc w:val="both"/>
              <w:rPr>
                <w:rFonts w:ascii="Times New Roman" w:hAnsi="Times New Roman" w:cs="Times New Roman"/>
              </w:rPr>
            </w:pPr>
            <w:r w:rsidRPr="00B57915">
              <w:rPr>
                <w:rFonts w:ascii="Times New Roman" w:hAnsi="Times New Roman" w:cs="Times New Roman"/>
              </w:rPr>
              <w:t>Direct sunlight exposure</w:t>
            </w:r>
          </w:p>
        </w:tc>
        <w:tc>
          <w:tcPr>
            <w:tcW w:w="1192" w:type="dxa"/>
          </w:tcPr>
          <w:p w14:paraId="209A5A38" w14:textId="77777777" w:rsidR="00E843E7" w:rsidRPr="00B57915" w:rsidRDefault="00E843E7" w:rsidP="00DF671B">
            <w:pPr>
              <w:jc w:val="both"/>
              <w:rPr>
                <w:rFonts w:ascii="Times New Roman" w:hAnsi="Times New Roman" w:cs="Times New Roman"/>
              </w:rPr>
            </w:pPr>
            <w:r w:rsidRPr="00B57915">
              <w:rPr>
                <w:rFonts w:ascii="Times New Roman" w:hAnsi="Times New Roman" w:cs="Times New Roman"/>
              </w:rPr>
              <w:t>4.16</w:t>
            </w:r>
          </w:p>
          <w:p w14:paraId="101FA7E2" w14:textId="77777777" w:rsidR="009D38A7" w:rsidRDefault="009D38A7" w:rsidP="002F4F44">
            <w:pPr>
              <w:jc w:val="both"/>
              <w:rPr>
                <w:rFonts w:ascii="Times New Roman" w:hAnsi="Times New Roman" w:cs="Times New Roman"/>
              </w:rPr>
            </w:pPr>
          </w:p>
        </w:tc>
        <w:tc>
          <w:tcPr>
            <w:tcW w:w="1523" w:type="dxa"/>
          </w:tcPr>
          <w:p w14:paraId="49904FCC" w14:textId="77777777" w:rsidR="00271475" w:rsidRPr="00B57915" w:rsidRDefault="00271475" w:rsidP="00DF671B">
            <w:pPr>
              <w:jc w:val="both"/>
              <w:rPr>
                <w:rFonts w:ascii="Times New Roman" w:hAnsi="Times New Roman" w:cs="Times New Roman"/>
              </w:rPr>
            </w:pPr>
            <w:r w:rsidRPr="00B57915">
              <w:rPr>
                <w:rFonts w:ascii="Times New Roman" w:hAnsi="Times New Roman" w:cs="Times New Roman"/>
              </w:rPr>
              <w:t>Acceptable</w:t>
            </w:r>
          </w:p>
          <w:p w14:paraId="29784951" w14:textId="77777777" w:rsidR="009D38A7" w:rsidRDefault="009D38A7" w:rsidP="002F4F44">
            <w:pPr>
              <w:jc w:val="both"/>
              <w:rPr>
                <w:rFonts w:ascii="Times New Roman" w:hAnsi="Times New Roman" w:cs="Times New Roman"/>
              </w:rPr>
            </w:pPr>
          </w:p>
        </w:tc>
        <w:tc>
          <w:tcPr>
            <w:tcW w:w="1192" w:type="dxa"/>
          </w:tcPr>
          <w:p w14:paraId="2BECC5C2" w14:textId="77777777" w:rsidR="00271475" w:rsidRPr="00B57915" w:rsidRDefault="00271475" w:rsidP="00DF671B">
            <w:pPr>
              <w:jc w:val="both"/>
              <w:rPr>
                <w:rFonts w:ascii="Times New Roman" w:hAnsi="Times New Roman" w:cs="Times New Roman"/>
              </w:rPr>
            </w:pPr>
            <w:r w:rsidRPr="00B57915">
              <w:rPr>
                <w:rFonts w:ascii="Times New Roman" w:hAnsi="Times New Roman" w:cs="Times New Roman"/>
              </w:rPr>
              <w:t>3.82</w:t>
            </w:r>
          </w:p>
          <w:p w14:paraId="06A17575" w14:textId="77777777" w:rsidR="009D38A7" w:rsidRDefault="009D38A7" w:rsidP="002F4F44">
            <w:pPr>
              <w:jc w:val="both"/>
              <w:rPr>
                <w:rFonts w:ascii="Times New Roman" w:hAnsi="Times New Roman" w:cs="Times New Roman"/>
              </w:rPr>
            </w:pPr>
          </w:p>
        </w:tc>
        <w:tc>
          <w:tcPr>
            <w:tcW w:w="1523" w:type="dxa"/>
          </w:tcPr>
          <w:p w14:paraId="753AFA8C" w14:textId="77777777" w:rsidR="00271475" w:rsidRPr="00B57915" w:rsidRDefault="00271475" w:rsidP="00DF671B">
            <w:pPr>
              <w:jc w:val="both"/>
              <w:rPr>
                <w:rFonts w:ascii="Times New Roman" w:hAnsi="Times New Roman" w:cs="Times New Roman"/>
              </w:rPr>
            </w:pPr>
            <w:r w:rsidRPr="00B57915">
              <w:rPr>
                <w:rFonts w:ascii="Times New Roman" w:hAnsi="Times New Roman" w:cs="Times New Roman"/>
              </w:rPr>
              <w:t>Acceptable</w:t>
            </w:r>
          </w:p>
          <w:p w14:paraId="7B23B27D" w14:textId="77777777" w:rsidR="009D38A7" w:rsidRDefault="009D38A7" w:rsidP="002F4F44">
            <w:pPr>
              <w:jc w:val="both"/>
              <w:rPr>
                <w:rFonts w:ascii="Times New Roman" w:hAnsi="Times New Roman" w:cs="Times New Roman"/>
              </w:rPr>
            </w:pPr>
          </w:p>
        </w:tc>
        <w:tc>
          <w:tcPr>
            <w:tcW w:w="1219" w:type="dxa"/>
          </w:tcPr>
          <w:p w14:paraId="1B5C09A7" w14:textId="77777777" w:rsidR="00271475" w:rsidRPr="00B57915" w:rsidRDefault="00271475" w:rsidP="00DF671B">
            <w:pPr>
              <w:jc w:val="both"/>
              <w:rPr>
                <w:rFonts w:ascii="Times New Roman" w:hAnsi="Times New Roman" w:cs="Times New Roman"/>
              </w:rPr>
            </w:pPr>
            <w:r w:rsidRPr="00B57915">
              <w:rPr>
                <w:rFonts w:ascii="Times New Roman" w:hAnsi="Times New Roman" w:cs="Times New Roman"/>
              </w:rPr>
              <w:t>-0.34</w:t>
            </w:r>
          </w:p>
          <w:p w14:paraId="23834CF7" w14:textId="77777777" w:rsidR="009D38A7" w:rsidRDefault="009D38A7" w:rsidP="002F4F44">
            <w:pPr>
              <w:jc w:val="both"/>
              <w:rPr>
                <w:rFonts w:ascii="Times New Roman" w:hAnsi="Times New Roman" w:cs="Times New Roman"/>
              </w:rPr>
            </w:pPr>
          </w:p>
        </w:tc>
      </w:tr>
      <w:tr w:rsidR="009D38A7" w14:paraId="4E625633" w14:textId="77777777" w:rsidTr="001A7CFF">
        <w:tc>
          <w:tcPr>
            <w:tcW w:w="1285" w:type="dxa"/>
          </w:tcPr>
          <w:p w14:paraId="7CA161EC" w14:textId="0BF6AD46" w:rsidR="009D38A7" w:rsidRDefault="00271475" w:rsidP="002F4F44">
            <w:pPr>
              <w:jc w:val="both"/>
              <w:rPr>
                <w:rFonts w:ascii="Times New Roman" w:hAnsi="Times New Roman" w:cs="Times New Roman"/>
              </w:rPr>
            </w:pPr>
            <w:r w:rsidRPr="00B57915">
              <w:rPr>
                <w:rFonts w:ascii="Times New Roman" w:hAnsi="Times New Roman" w:cs="Times New Roman"/>
              </w:rPr>
              <w:lastRenderedPageBreak/>
              <w:t>Tomato seasoning</w:t>
            </w:r>
          </w:p>
        </w:tc>
        <w:tc>
          <w:tcPr>
            <w:tcW w:w="1416" w:type="dxa"/>
          </w:tcPr>
          <w:p w14:paraId="70D4E7B2" w14:textId="77777777" w:rsidR="00271475" w:rsidRPr="00B57915" w:rsidRDefault="00271475" w:rsidP="00DF671B">
            <w:pPr>
              <w:jc w:val="both"/>
              <w:rPr>
                <w:rFonts w:ascii="Times New Roman" w:hAnsi="Times New Roman" w:cs="Times New Roman"/>
              </w:rPr>
            </w:pPr>
            <w:r w:rsidRPr="00B57915">
              <w:rPr>
                <w:rFonts w:ascii="Times New Roman" w:hAnsi="Times New Roman" w:cs="Times New Roman"/>
              </w:rPr>
              <w:t>Refrigerated</w:t>
            </w:r>
          </w:p>
          <w:p w14:paraId="56369C36" w14:textId="77777777" w:rsidR="009D38A7" w:rsidRDefault="009D38A7" w:rsidP="002F4F44">
            <w:pPr>
              <w:jc w:val="both"/>
              <w:rPr>
                <w:rFonts w:ascii="Times New Roman" w:hAnsi="Times New Roman" w:cs="Times New Roman"/>
              </w:rPr>
            </w:pPr>
          </w:p>
        </w:tc>
        <w:tc>
          <w:tcPr>
            <w:tcW w:w="1192" w:type="dxa"/>
          </w:tcPr>
          <w:p w14:paraId="77D1940D" w14:textId="77777777" w:rsidR="00271475" w:rsidRPr="00B57915" w:rsidRDefault="00271475" w:rsidP="00DF671B">
            <w:pPr>
              <w:jc w:val="both"/>
              <w:rPr>
                <w:rFonts w:ascii="Times New Roman" w:hAnsi="Times New Roman" w:cs="Times New Roman"/>
              </w:rPr>
            </w:pPr>
            <w:r w:rsidRPr="00B57915">
              <w:rPr>
                <w:rFonts w:ascii="Times New Roman" w:hAnsi="Times New Roman" w:cs="Times New Roman"/>
              </w:rPr>
              <w:t>4.15</w:t>
            </w:r>
          </w:p>
          <w:p w14:paraId="081398AA" w14:textId="77777777" w:rsidR="009D38A7" w:rsidRDefault="009D38A7" w:rsidP="002F4F44">
            <w:pPr>
              <w:jc w:val="both"/>
              <w:rPr>
                <w:rFonts w:ascii="Times New Roman" w:hAnsi="Times New Roman" w:cs="Times New Roman"/>
              </w:rPr>
            </w:pPr>
          </w:p>
        </w:tc>
        <w:tc>
          <w:tcPr>
            <w:tcW w:w="1523" w:type="dxa"/>
          </w:tcPr>
          <w:p w14:paraId="611F167C" w14:textId="77777777" w:rsidR="00271475" w:rsidRPr="00B57915" w:rsidRDefault="00271475" w:rsidP="00DF671B">
            <w:pPr>
              <w:jc w:val="both"/>
              <w:rPr>
                <w:rFonts w:ascii="Times New Roman" w:hAnsi="Times New Roman" w:cs="Times New Roman"/>
              </w:rPr>
            </w:pPr>
            <w:r w:rsidRPr="00B57915">
              <w:rPr>
                <w:rFonts w:ascii="Times New Roman" w:hAnsi="Times New Roman" w:cs="Times New Roman"/>
              </w:rPr>
              <w:t>Acceptable</w:t>
            </w:r>
          </w:p>
          <w:p w14:paraId="72D46B73" w14:textId="77777777" w:rsidR="009D38A7" w:rsidRDefault="009D38A7" w:rsidP="002F4F44">
            <w:pPr>
              <w:jc w:val="both"/>
              <w:rPr>
                <w:rFonts w:ascii="Times New Roman" w:hAnsi="Times New Roman" w:cs="Times New Roman"/>
              </w:rPr>
            </w:pPr>
          </w:p>
        </w:tc>
        <w:tc>
          <w:tcPr>
            <w:tcW w:w="1192" w:type="dxa"/>
          </w:tcPr>
          <w:p w14:paraId="25214FF3" w14:textId="77777777" w:rsidR="001A7CFF" w:rsidRPr="00B57915" w:rsidRDefault="001A7CFF" w:rsidP="00DF671B">
            <w:pPr>
              <w:jc w:val="both"/>
              <w:rPr>
                <w:rFonts w:ascii="Times New Roman" w:hAnsi="Times New Roman" w:cs="Times New Roman"/>
              </w:rPr>
            </w:pPr>
            <w:r w:rsidRPr="00B57915">
              <w:rPr>
                <w:rFonts w:ascii="Times New Roman" w:hAnsi="Times New Roman" w:cs="Times New Roman"/>
              </w:rPr>
              <w:t>3.92</w:t>
            </w:r>
          </w:p>
          <w:p w14:paraId="5A2B15BC" w14:textId="77777777" w:rsidR="009D38A7" w:rsidRDefault="009D38A7" w:rsidP="002F4F44">
            <w:pPr>
              <w:jc w:val="both"/>
              <w:rPr>
                <w:rFonts w:ascii="Times New Roman" w:hAnsi="Times New Roman" w:cs="Times New Roman"/>
              </w:rPr>
            </w:pPr>
          </w:p>
        </w:tc>
        <w:tc>
          <w:tcPr>
            <w:tcW w:w="1523" w:type="dxa"/>
          </w:tcPr>
          <w:p w14:paraId="41EDA9FC" w14:textId="1354F60A" w:rsidR="009D38A7" w:rsidRDefault="001A7CFF" w:rsidP="002F4F44">
            <w:pPr>
              <w:jc w:val="both"/>
              <w:rPr>
                <w:rFonts w:ascii="Times New Roman" w:hAnsi="Times New Roman" w:cs="Times New Roman"/>
              </w:rPr>
            </w:pPr>
            <w:r w:rsidRPr="00B57915">
              <w:rPr>
                <w:rFonts w:ascii="Times New Roman" w:hAnsi="Times New Roman" w:cs="Times New Roman"/>
              </w:rPr>
              <w:t>Acceptable</w:t>
            </w:r>
          </w:p>
        </w:tc>
        <w:tc>
          <w:tcPr>
            <w:tcW w:w="1219" w:type="dxa"/>
          </w:tcPr>
          <w:p w14:paraId="003AC184" w14:textId="77777777" w:rsidR="001A7CFF" w:rsidRPr="00B57915" w:rsidRDefault="001A7CFF" w:rsidP="00DF671B">
            <w:pPr>
              <w:jc w:val="both"/>
              <w:rPr>
                <w:rFonts w:ascii="Times New Roman" w:hAnsi="Times New Roman" w:cs="Times New Roman"/>
              </w:rPr>
            </w:pPr>
            <w:r w:rsidRPr="00B57915">
              <w:rPr>
                <w:rFonts w:ascii="Times New Roman" w:hAnsi="Times New Roman" w:cs="Times New Roman"/>
              </w:rPr>
              <w:t>-0.23</w:t>
            </w:r>
          </w:p>
          <w:p w14:paraId="559EF679" w14:textId="77777777" w:rsidR="009D38A7" w:rsidRDefault="009D38A7" w:rsidP="002F4F44">
            <w:pPr>
              <w:jc w:val="both"/>
              <w:rPr>
                <w:rFonts w:ascii="Times New Roman" w:hAnsi="Times New Roman" w:cs="Times New Roman"/>
              </w:rPr>
            </w:pPr>
          </w:p>
        </w:tc>
      </w:tr>
      <w:tr w:rsidR="009D38A7" w14:paraId="517CB4FF" w14:textId="77777777" w:rsidTr="001A7CFF">
        <w:tc>
          <w:tcPr>
            <w:tcW w:w="1285" w:type="dxa"/>
          </w:tcPr>
          <w:p w14:paraId="102A476E" w14:textId="774001FE" w:rsidR="009D38A7" w:rsidRDefault="001A7CFF" w:rsidP="002F4F44">
            <w:pPr>
              <w:jc w:val="both"/>
              <w:rPr>
                <w:rFonts w:ascii="Times New Roman" w:hAnsi="Times New Roman" w:cs="Times New Roman"/>
              </w:rPr>
            </w:pPr>
            <w:r w:rsidRPr="00B57915">
              <w:rPr>
                <w:rFonts w:ascii="Times New Roman" w:hAnsi="Times New Roman" w:cs="Times New Roman"/>
              </w:rPr>
              <w:t>Tomato seasoning</w:t>
            </w:r>
          </w:p>
        </w:tc>
        <w:tc>
          <w:tcPr>
            <w:tcW w:w="1416" w:type="dxa"/>
          </w:tcPr>
          <w:p w14:paraId="4102F677" w14:textId="25841991" w:rsidR="009D38A7" w:rsidRDefault="001A7CFF" w:rsidP="002F4F44">
            <w:pPr>
              <w:jc w:val="both"/>
              <w:rPr>
                <w:rFonts w:ascii="Times New Roman" w:hAnsi="Times New Roman" w:cs="Times New Roman"/>
              </w:rPr>
            </w:pPr>
            <w:r w:rsidRPr="00B57915">
              <w:rPr>
                <w:rFonts w:ascii="Times New Roman" w:hAnsi="Times New Roman" w:cs="Times New Roman"/>
              </w:rPr>
              <w:t>Room temperature</w:t>
            </w:r>
          </w:p>
        </w:tc>
        <w:tc>
          <w:tcPr>
            <w:tcW w:w="1192" w:type="dxa"/>
          </w:tcPr>
          <w:p w14:paraId="382BBD47" w14:textId="77777777" w:rsidR="001A7CFF" w:rsidRPr="00B57915" w:rsidRDefault="001A7CFF" w:rsidP="00DF671B">
            <w:pPr>
              <w:jc w:val="both"/>
              <w:rPr>
                <w:rFonts w:ascii="Times New Roman" w:hAnsi="Times New Roman" w:cs="Times New Roman"/>
              </w:rPr>
            </w:pPr>
            <w:r w:rsidRPr="00B57915">
              <w:rPr>
                <w:rFonts w:ascii="Times New Roman" w:hAnsi="Times New Roman" w:cs="Times New Roman"/>
              </w:rPr>
              <w:t>4.01</w:t>
            </w:r>
          </w:p>
          <w:p w14:paraId="29B61337" w14:textId="77777777" w:rsidR="009D38A7" w:rsidRDefault="009D38A7" w:rsidP="002F4F44">
            <w:pPr>
              <w:jc w:val="both"/>
              <w:rPr>
                <w:rFonts w:ascii="Times New Roman" w:hAnsi="Times New Roman" w:cs="Times New Roman"/>
              </w:rPr>
            </w:pPr>
          </w:p>
        </w:tc>
        <w:tc>
          <w:tcPr>
            <w:tcW w:w="1523" w:type="dxa"/>
          </w:tcPr>
          <w:p w14:paraId="53EE6B1F" w14:textId="77777777" w:rsidR="001A7CFF" w:rsidRPr="00B57915" w:rsidRDefault="001A7CFF" w:rsidP="00DF671B">
            <w:pPr>
              <w:jc w:val="both"/>
              <w:rPr>
                <w:rFonts w:ascii="Times New Roman" w:hAnsi="Times New Roman" w:cs="Times New Roman"/>
              </w:rPr>
            </w:pPr>
            <w:r w:rsidRPr="00B57915">
              <w:rPr>
                <w:rFonts w:ascii="Times New Roman" w:hAnsi="Times New Roman" w:cs="Times New Roman"/>
              </w:rPr>
              <w:t>Acceptable</w:t>
            </w:r>
          </w:p>
          <w:p w14:paraId="490BF29B" w14:textId="77777777" w:rsidR="009D38A7" w:rsidRDefault="009D38A7" w:rsidP="002F4F44">
            <w:pPr>
              <w:jc w:val="both"/>
              <w:rPr>
                <w:rFonts w:ascii="Times New Roman" w:hAnsi="Times New Roman" w:cs="Times New Roman"/>
              </w:rPr>
            </w:pPr>
          </w:p>
        </w:tc>
        <w:tc>
          <w:tcPr>
            <w:tcW w:w="1192" w:type="dxa"/>
          </w:tcPr>
          <w:p w14:paraId="4BB2EED8" w14:textId="77777777" w:rsidR="001A7CFF" w:rsidRPr="00B57915" w:rsidRDefault="001A7CFF" w:rsidP="00DF671B">
            <w:pPr>
              <w:jc w:val="both"/>
              <w:rPr>
                <w:rFonts w:ascii="Times New Roman" w:hAnsi="Times New Roman" w:cs="Times New Roman"/>
              </w:rPr>
            </w:pPr>
            <w:r w:rsidRPr="00B57915">
              <w:rPr>
                <w:rFonts w:ascii="Times New Roman" w:hAnsi="Times New Roman" w:cs="Times New Roman"/>
              </w:rPr>
              <w:t>3.94</w:t>
            </w:r>
          </w:p>
          <w:p w14:paraId="6A67050A" w14:textId="77777777" w:rsidR="009D38A7" w:rsidRDefault="009D38A7" w:rsidP="002F4F44">
            <w:pPr>
              <w:jc w:val="both"/>
              <w:rPr>
                <w:rFonts w:ascii="Times New Roman" w:hAnsi="Times New Roman" w:cs="Times New Roman"/>
              </w:rPr>
            </w:pPr>
          </w:p>
        </w:tc>
        <w:tc>
          <w:tcPr>
            <w:tcW w:w="1523" w:type="dxa"/>
          </w:tcPr>
          <w:p w14:paraId="4E5903BB" w14:textId="77777777" w:rsidR="001A7CFF" w:rsidRPr="00B57915" w:rsidRDefault="001A7CFF" w:rsidP="00DF671B">
            <w:pPr>
              <w:jc w:val="both"/>
              <w:rPr>
                <w:rFonts w:ascii="Times New Roman" w:hAnsi="Times New Roman" w:cs="Times New Roman"/>
              </w:rPr>
            </w:pPr>
            <w:r w:rsidRPr="00B57915">
              <w:rPr>
                <w:rFonts w:ascii="Times New Roman" w:hAnsi="Times New Roman" w:cs="Times New Roman"/>
              </w:rPr>
              <w:t>Acceptable</w:t>
            </w:r>
          </w:p>
          <w:p w14:paraId="0D393D95" w14:textId="77777777" w:rsidR="009D38A7" w:rsidRDefault="009D38A7" w:rsidP="002F4F44">
            <w:pPr>
              <w:jc w:val="both"/>
              <w:rPr>
                <w:rFonts w:ascii="Times New Roman" w:hAnsi="Times New Roman" w:cs="Times New Roman"/>
              </w:rPr>
            </w:pPr>
          </w:p>
        </w:tc>
        <w:tc>
          <w:tcPr>
            <w:tcW w:w="1219" w:type="dxa"/>
          </w:tcPr>
          <w:p w14:paraId="0168E4EB" w14:textId="77777777" w:rsidR="001A7CFF" w:rsidRPr="00B57915" w:rsidRDefault="001A7CFF" w:rsidP="00DF671B">
            <w:pPr>
              <w:jc w:val="both"/>
              <w:rPr>
                <w:rFonts w:ascii="Times New Roman" w:hAnsi="Times New Roman" w:cs="Times New Roman"/>
              </w:rPr>
            </w:pPr>
            <w:r w:rsidRPr="00B57915">
              <w:rPr>
                <w:rFonts w:ascii="Times New Roman" w:hAnsi="Times New Roman" w:cs="Times New Roman"/>
              </w:rPr>
              <w:t>-0.07</w:t>
            </w:r>
          </w:p>
          <w:p w14:paraId="67FC34A6" w14:textId="77777777" w:rsidR="009D38A7" w:rsidRDefault="009D38A7" w:rsidP="002F4F44">
            <w:pPr>
              <w:jc w:val="both"/>
              <w:rPr>
                <w:rFonts w:ascii="Times New Roman" w:hAnsi="Times New Roman" w:cs="Times New Roman"/>
              </w:rPr>
            </w:pPr>
          </w:p>
        </w:tc>
      </w:tr>
      <w:tr w:rsidR="001A7CFF" w14:paraId="6DB6814D" w14:textId="77777777" w:rsidTr="001A7CFF">
        <w:tc>
          <w:tcPr>
            <w:tcW w:w="1285" w:type="dxa"/>
          </w:tcPr>
          <w:p w14:paraId="7D1E6AF2" w14:textId="4EEFC58E" w:rsidR="001A7CFF" w:rsidRPr="00B57915" w:rsidRDefault="001A7CFF" w:rsidP="002F4F44">
            <w:pPr>
              <w:jc w:val="both"/>
              <w:rPr>
                <w:rFonts w:ascii="Times New Roman" w:hAnsi="Times New Roman" w:cs="Times New Roman"/>
              </w:rPr>
            </w:pPr>
            <w:r w:rsidRPr="00B57915">
              <w:rPr>
                <w:rFonts w:ascii="Times New Roman" w:hAnsi="Times New Roman" w:cs="Times New Roman"/>
              </w:rPr>
              <w:t>Tomato seasoning</w:t>
            </w:r>
          </w:p>
        </w:tc>
        <w:tc>
          <w:tcPr>
            <w:tcW w:w="1416" w:type="dxa"/>
          </w:tcPr>
          <w:p w14:paraId="12F9C4C5" w14:textId="65B51C3B" w:rsidR="001A7CFF" w:rsidRPr="00B57915" w:rsidRDefault="001A7CFF" w:rsidP="002F4F44">
            <w:pPr>
              <w:jc w:val="both"/>
              <w:rPr>
                <w:rFonts w:ascii="Times New Roman" w:hAnsi="Times New Roman" w:cs="Times New Roman"/>
              </w:rPr>
            </w:pPr>
            <w:r w:rsidRPr="00B57915">
              <w:rPr>
                <w:rFonts w:ascii="Times New Roman" w:hAnsi="Times New Roman" w:cs="Times New Roman"/>
              </w:rPr>
              <w:t>Direct sunlight exposure</w:t>
            </w:r>
          </w:p>
        </w:tc>
        <w:tc>
          <w:tcPr>
            <w:tcW w:w="1192" w:type="dxa"/>
          </w:tcPr>
          <w:p w14:paraId="1FDB4F91" w14:textId="77777777" w:rsidR="001A7CFF" w:rsidRPr="00B57915" w:rsidRDefault="001A7CFF" w:rsidP="00DF671B">
            <w:pPr>
              <w:jc w:val="both"/>
              <w:rPr>
                <w:rFonts w:ascii="Times New Roman" w:hAnsi="Times New Roman" w:cs="Times New Roman"/>
              </w:rPr>
            </w:pPr>
            <w:r w:rsidRPr="00B57915">
              <w:rPr>
                <w:rFonts w:ascii="Times New Roman" w:hAnsi="Times New Roman" w:cs="Times New Roman"/>
              </w:rPr>
              <w:t>3.92</w:t>
            </w:r>
          </w:p>
          <w:p w14:paraId="12FE80FA" w14:textId="77777777" w:rsidR="001A7CFF" w:rsidRPr="00B57915" w:rsidRDefault="001A7CFF" w:rsidP="00DF671B">
            <w:pPr>
              <w:jc w:val="both"/>
              <w:rPr>
                <w:rFonts w:ascii="Times New Roman" w:hAnsi="Times New Roman" w:cs="Times New Roman"/>
              </w:rPr>
            </w:pPr>
          </w:p>
        </w:tc>
        <w:tc>
          <w:tcPr>
            <w:tcW w:w="1523" w:type="dxa"/>
          </w:tcPr>
          <w:p w14:paraId="7596EB59" w14:textId="77777777" w:rsidR="001A7CFF" w:rsidRPr="00B57915" w:rsidRDefault="001A7CFF" w:rsidP="00DF671B">
            <w:pPr>
              <w:jc w:val="both"/>
              <w:rPr>
                <w:rFonts w:ascii="Times New Roman" w:hAnsi="Times New Roman" w:cs="Times New Roman"/>
              </w:rPr>
            </w:pPr>
            <w:r w:rsidRPr="00B57915">
              <w:rPr>
                <w:rFonts w:ascii="Times New Roman" w:hAnsi="Times New Roman" w:cs="Times New Roman"/>
              </w:rPr>
              <w:t>Acceptable</w:t>
            </w:r>
          </w:p>
          <w:p w14:paraId="48A6AE44" w14:textId="77777777" w:rsidR="001A7CFF" w:rsidRPr="00B57915" w:rsidRDefault="001A7CFF" w:rsidP="00DF671B">
            <w:pPr>
              <w:jc w:val="both"/>
              <w:rPr>
                <w:rFonts w:ascii="Times New Roman" w:hAnsi="Times New Roman" w:cs="Times New Roman"/>
              </w:rPr>
            </w:pPr>
          </w:p>
        </w:tc>
        <w:tc>
          <w:tcPr>
            <w:tcW w:w="1192" w:type="dxa"/>
          </w:tcPr>
          <w:p w14:paraId="6E0176B5" w14:textId="77777777" w:rsidR="001A7CFF" w:rsidRPr="00B57915" w:rsidRDefault="001A7CFF" w:rsidP="00DF671B">
            <w:pPr>
              <w:jc w:val="both"/>
              <w:rPr>
                <w:rFonts w:ascii="Times New Roman" w:hAnsi="Times New Roman" w:cs="Times New Roman"/>
              </w:rPr>
            </w:pPr>
            <w:r w:rsidRPr="00B57915">
              <w:rPr>
                <w:rFonts w:ascii="Times New Roman" w:hAnsi="Times New Roman" w:cs="Times New Roman"/>
              </w:rPr>
              <w:t>3.87</w:t>
            </w:r>
          </w:p>
          <w:p w14:paraId="3D78506D" w14:textId="77777777" w:rsidR="001A7CFF" w:rsidRPr="00B57915" w:rsidRDefault="001A7CFF" w:rsidP="00DF671B">
            <w:pPr>
              <w:jc w:val="both"/>
              <w:rPr>
                <w:rFonts w:ascii="Times New Roman" w:hAnsi="Times New Roman" w:cs="Times New Roman"/>
              </w:rPr>
            </w:pPr>
          </w:p>
        </w:tc>
        <w:tc>
          <w:tcPr>
            <w:tcW w:w="1523" w:type="dxa"/>
          </w:tcPr>
          <w:p w14:paraId="6843ECF6" w14:textId="77777777" w:rsidR="001A7CFF" w:rsidRPr="00B57915" w:rsidRDefault="001A7CFF" w:rsidP="00DF671B">
            <w:pPr>
              <w:jc w:val="both"/>
              <w:rPr>
                <w:rFonts w:ascii="Times New Roman" w:hAnsi="Times New Roman" w:cs="Times New Roman"/>
              </w:rPr>
            </w:pPr>
            <w:r w:rsidRPr="00B57915">
              <w:rPr>
                <w:rFonts w:ascii="Times New Roman" w:hAnsi="Times New Roman" w:cs="Times New Roman"/>
              </w:rPr>
              <w:t>Acceptable</w:t>
            </w:r>
          </w:p>
          <w:p w14:paraId="4BB24AC0" w14:textId="77777777" w:rsidR="001A7CFF" w:rsidRPr="00B57915" w:rsidRDefault="001A7CFF" w:rsidP="00DF671B">
            <w:pPr>
              <w:jc w:val="both"/>
              <w:rPr>
                <w:rFonts w:ascii="Times New Roman" w:hAnsi="Times New Roman" w:cs="Times New Roman"/>
              </w:rPr>
            </w:pPr>
          </w:p>
        </w:tc>
        <w:tc>
          <w:tcPr>
            <w:tcW w:w="1219" w:type="dxa"/>
          </w:tcPr>
          <w:p w14:paraId="77A17E99" w14:textId="77777777" w:rsidR="001A7CFF" w:rsidRPr="00B57915" w:rsidRDefault="001A7CFF" w:rsidP="00DF671B">
            <w:pPr>
              <w:jc w:val="both"/>
              <w:rPr>
                <w:rFonts w:ascii="Times New Roman" w:hAnsi="Times New Roman" w:cs="Times New Roman"/>
              </w:rPr>
            </w:pPr>
            <w:r w:rsidRPr="00B57915">
              <w:rPr>
                <w:rFonts w:ascii="Times New Roman" w:hAnsi="Times New Roman" w:cs="Times New Roman"/>
              </w:rPr>
              <w:t>-0.05</w:t>
            </w:r>
          </w:p>
          <w:p w14:paraId="11EA89D6" w14:textId="77777777" w:rsidR="001A7CFF" w:rsidRPr="00B57915" w:rsidRDefault="001A7CFF" w:rsidP="00DF671B">
            <w:pPr>
              <w:jc w:val="both"/>
              <w:rPr>
                <w:rFonts w:ascii="Times New Roman" w:hAnsi="Times New Roman" w:cs="Times New Roman"/>
              </w:rPr>
            </w:pPr>
          </w:p>
        </w:tc>
      </w:tr>
    </w:tbl>
    <w:p w14:paraId="2B078C61" w14:textId="77777777" w:rsidR="00A94506" w:rsidRDefault="00A94506" w:rsidP="002F4F44">
      <w:pPr>
        <w:jc w:val="both"/>
        <w:rPr>
          <w:rFonts w:ascii="Times New Roman" w:hAnsi="Times New Roman" w:cs="Times New Roman"/>
        </w:rPr>
      </w:pPr>
    </w:p>
    <w:p w14:paraId="3DE5899A"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As shown in Table 2, tomato jam received highly acceptable ratings after three months in refrigerated storage and acceptable ratings in room-temperature and direct-sunlight storage. After six months, refrigerated tomato jam remained acceptable, while room-temperature and direct-sunlight samples also remained acceptable. The decline in mean scores was expected because storage duration can affect color, aroma, and flavor stability in fruit-based products. Nevertheless, the product remained within the acceptable range, suggesting that the processing protocol was able to maintain consumer acceptability over time.</w:t>
      </w:r>
    </w:p>
    <w:p w14:paraId="29DCADE0"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Tomato seasoning also demonstrated favorable sensory performance. At three months, all storage conditions were rated acceptable, with refrigerated storage recording the highest overall mean. At six months, all storage conditions remained acceptable. These results suggest that the seasoning formulation was comparatively stable, particularly because dehydration and seasoning processes generally reduce moisture availability and may contribute to longer shelf stability. However, the lower scores observed in some taste-related indicators, especially bitterness in selected conditions, suggest that refinement of the formulation may further improve product quality.</w:t>
      </w:r>
    </w:p>
    <w:p w14:paraId="12073C33"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Figure 1</w:t>
      </w:r>
    </w:p>
    <w:p w14:paraId="3A9D317E"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Overall Sensory Acceptability of Tomato Jam by Storage Condition</w:t>
      </w:r>
    </w:p>
    <w:p w14:paraId="3B8074C2"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Figure description: The figure compares the overall weighted mean scores of tomato jam after three and six months under refrigerated, room-temperature, and direct-sunlight storage conditions. The chart shows a slight decline in mean scores across all conditions after six months, with refrigerated storage maintaining the highest acceptability.</w:t>
      </w:r>
    </w:p>
    <w:p w14:paraId="4A0C02FA"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Figure 2</w:t>
      </w:r>
    </w:p>
    <w:p w14:paraId="49DB1C1E"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Overall Sensory Acceptability of Tomato Seasoning by Storage Condition</w:t>
      </w:r>
    </w:p>
    <w:p w14:paraId="75D288EE"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Figure description: The figure compares the overall weighted mean scores of tomato seasoning after three and six months under refrigerated, room-temperature, and direct-sunlight storage conditions. The chart shows that tomato seasoning remained generally stable across the three storage conditions, with only minimal decline from three months to six months.</w:t>
      </w:r>
    </w:p>
    <w:p w14:paraId="28DC1117"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Table 3</w:t>
      </w:r>
    </w:p>
    <w:p w14:paraId="1D887826"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ANOVA Summary for Tomato Jam Comparing Three-Month and Six-Month Observations</w:t>
      </w:r>
    </w:p>
    <w:tbl>
      <w:tblPr>
        <w:tblStyle w:val="TableGrid"/>
        <w:tblW w:w="0" w:type="auto"/>
        <w:tblLook w:val="04A0" w:firstRow="1" w:lastRow="0" w:firstColumn="1" w:lastColumn="0" w:noHBand="0" w:noVBand="1"/>
      </w:tblPr>
      <w:tblGrid>
        <w:gridCol w:w="2336"/>
        <w:gridCol w:w="2338"/>
        <w:gridCol w:w="2338"/>
        <w:gridCol w:w="2338"/>
      </w:tblGrid>
      <w:tr w:rsidR="0012471E" w:rsidRPr="00166282" w14:paraId="3F257E9B" w14:textId="08EC8B09" w:rsidTr="0012471E">
        <w:tc>
          <w:tcPr>
            <w:tcW w:w="2336" w:type="dxa"/>
          </w:tcPr>
          <w:p w14:paraId="5C19BBB8" w14:textId="7823C160" w:rsidR="0012471E" w:rsidRPr="00166282" w:rsidRDefault="0012471E" w:rsidP="00166282">
            <w:pPr>
              <w:jc w:val="center"/>
              <w:rPr>
                <w:rFonts w:ascii="Times New Roman" w:hAnsi="Times New Roman" w:cs="Times New Roman"/>
                <w:b/>
                <w:bCs/>
              </w:rPr>
            </w:pPr>
            <w:r w:rsidRPr="00166282">
              <w:rPr>
                <w:rFonts w:ascii="Times New Roman" w:hAnsi="Times New Roman" w:cs="Times New Roman"/>
                <w:b/>
                <w:bCs/>
              </w:rPr>
              <w:lastRenderedPageBreak/>
              <w:t>Storage Condition</w:t>
            </w:r>
          </w:p>
        </w:tc>
        <w:tc>
          <w:tcPr>
            <w:tcW w:w="2338" w:type="dxa"/>
          </w:tcPr>
          <w:p w14:paraId="62435B75" w14:textId="088050B5" w:rsidR="0012471E" w:rsidRPr="00166282" w:rsidRDefault="0012471E" w:rsidP="00166282">
            <w:pPr>
              <w:jc w:val="center"/>
              <w:rPr>
                <w:rFonts w:ascii="Times New Roman" w:hAnsi="Times New Roman" w:cs="Times New Roman"/>
                <w:b/>
                <w:bCs/>
              </w:rPr>
            </w:pPr>
            <w:r w:rsidRPr="00166282">
              <w:rPr>
                <w:rFonts w:ascii="Times New Roman" w:hAnsi="Times New Roman" w:cs="Times New Roman"/>
                <w:b/>
                <w:bCs/>
              </w:rPr>
              <w:t>F Value</w:t>
            </w:r>
          </w:p>
        </w:tc>
        <w:tc>
          <w:tcPr>
            <w:tcW w:w="2338" w:type="dxa"/>
          </w:tcPr>
          <w:p w14:paraId="4D187AA2" w14:textId="4B85B16B" w:rsidR="0012471E" w:rsidRPr="00166282" w:rsidRDefault="0012471E" w:rsidP="00166282">
            <w:pPr>
              <w:jc w:val="center"/>
              <w:rPr>
                <w:rFonts w:ascii="Times New Roman" w:hAnsi="Times New Roman" w:cs="Times New Roman"/>
                <w:b/>
                <w:bCs/>
              </w:rPr>
            </w:pPr>
            <w:r w:rsidRPr="00166282">
              <w:rPr>
                <w:rFonts w:ascii="Times New Roman" w:hAnsi="Times New Roman" w:cs="Times New Roman"/>
                <w:b/>
                <w:bCs/>
              </w:rPr>
              <w:t>p-value</w:t>
            </w:r>
          </w:p>
        </w:tc>
        <w:tc>
          <w:tcPr>
            <w:tcW w:w="2338" w:type="dxa"/>
          </w:tcPr>
          <w:p w14:paraId="759E878C" w14:textId="50758AB4" w:rsidR="0012471E" w:rsidRPr="00166282" w:rsidRDefault="0012471E" w:rsidP="00166282">
            <w:pPr>
              <w:jc w:val="center"/>
              <w:rPr>
                <w:rFonts w:ascii="Times New Roman" w:hAnsi="Times New Roman" w:cs="Times New Roman"/>
                <w:b/>
                <w:bCs/>
              </w:rPr>
            </w:pPr>
            <w:r w:rsidRPr="00166282">
              <w:rPr>
                <w:rFonts w:ascii="Times New Roman" w:hAnsi="Times New Roman" w:cs="Times New Roman"/>
                <w:b/>
                <w:bCs/>
              </w:rPr>
              <w:t>Decision</w:t>
            </w:r>
          </w:p>
        </w:tc>
      </w:tr>
      <w:tr w:rsidR="0012471E" w14:paraId="2391EBE0" w14:textId="5DC2F74D" w:rsidTr="0012471E">
        <w:tc>
          <w:tcPr>
            <w:tcW w:w="2336" w:type="dxa"/>
          </w:tcPr>
          <w:p w14:paraId="1C76CD6A" w14:textId="0EA6EBD8" w:rsidR="0012471E" w:rsidRDefault="0012471E" w:rsidP="002F4F44">
            <w:pPr>
              <w:jc w:val="both"/>
              <w:rPr>
                <w:rFonts w:ascii="Times New Roman" w:hAnsi="Times New Roman" w:cs="Times New Roman"/>
              </w:rPr>
            </w:pPr>
            <w:r w:rsidRPr="00B57915">
              <w:rPr>
                <w:rFonts w:ascii="Times New Roman" w:hAnsi="Times New Roman" w:cs="Times New Roman"/>
              </w:rPr>
              <w:t>Refrigerated</w:t>
            </w:r>
          </w:p>
        </w:tc>
        <w:tc>
          <w:tcPr>
            <w:tcW w:w="2338" w:type="dxa"/>
          </w:tcPr>
          <w:p w14:paraId="14B30B77" w14:textId="36A11F0B" w:rsidR="0012471E" w:rsidRDefault="0012471E" w:rsidP="002F4F44">
            <w:pPr>
              <w:jc w:val="both"/>
              <w:rPr>
                <w:rFonts w:ascii="Times New Roman" w:hAnsi="Times New Roman" w:cs="Times New Roman"/>
              </w:rPr>
            </w:pPr>
            <w:r w:rsidRPr="00B57915">
              <w:rPr>
                <w:rFonts w:ascii="Times New Roman" w:hAnsi="Times New Roman" w:cs="Times New Roman"/>
              </w:rPr>
              <w:t>2.320733</w:t>
            </w:r>
          </w:p>
        </w:tc>
        <w:tc>
          <w:tcPr>
            <w:tcW w:w="2338" w:type="dxa"/>
          </w:tcPr>
          <w:p w14:paraId="33CB914C" w14:textId="5BEFC29F" w:rsidR="0012471E" w:rsidRDefault="0012471E" w:rsidP="002F4F44">
            <w:pPr>
              <w:jc w:val="both"/>
              <w:rPr>
                <w:rFonts w:ascii="Times New Roman" w:hAnsi="Times New Roman" w:cs="Times New Roman"/>
              </w:rPr>
            </w:pPr>
            <w:r w:rsidRPr="00B57915">
              <w:rPr>
                <w:rFonts w:ascii="Times New Roman" w:hAnsi="Times New Roman" w:cs="Times New Roman"/>
              </w:rPr>
              <w:t>0.140729</w:t>
            </w:r>
          </w:p>
        </w:tc>
        <w:tc>
          <w:tcPr>
            <w:tcW w:w="2338" w:type="dxa"/>
          </w:tcPr>
          <w:p w14:paraId="1B961EF7" w14:textId="445AC66D" w:rsidR="0012471E" w:rsidRDefault="0012471E" w:rsidP="002F4F44">
            <w:pPr>
              <w:jc w:val="both"/>
              <w:rPr>
                <w:rFonts w:ascii="Times New Roman" w:hAnsi="Times New Roman" w:cs="Times New Roman"/>
              </w:rPr>
            </w:pPr>
            <w:r w:rsidRPr="00B57915">
              <w:rPr>
                <w:rFonts w:ascii="Times New Roman" w:hAnsi="Times New Roman" w:cs="Times New Roman"/>
              </w:rPr>
              <w:t>Not significant</w:t>
            </w:r>
          </w:p>
        </w:tc>
      </w:tr>
      <w:tr w:rsidR="0012471E" w14:paraId="2D98F799" w14:textId="692EA2F9" w:rsidTr="0012471E">
        <w:tc>
          <w:tcPr>
            <w:tcW w:w="2336" w:type="dxa"/>
          </w:tcPr>
          <w:p w14:paraId="3012ACFE" w14:textId="4EC112E1" w:rsidR="0012471E" w:rsidRDefault="0012471E" w:rsidP="002F4F44">
            <w:pPr>
              <w:jc w:val="both"/>
              <w:rPr>
                <w:rFonts w:ascii="Times New Roman" w:hAnsi="Times New Roman" w:cs="Times New Roman"/>
              </w:rPr>
            </w:pPr>
            <w:r w:rsidRPr="00B57915">
              <w:rPr>
                <w:rFonts w:ascii="Times New Roman" w:hAnsi="Times New Roman" w:cs="Times New Roman"/>
              </w:rPr>
              <w:t>Room temperature</w:t>
            </w:r>
          </w:p>
        </w:tc>
        <w:tc>
          <w:tcPr>
            <w:tcW w:w="2338" w:type="dxa"/>
          </w:tcPr>
          <w:p w14:paraId="57836417" w14:textId="33CB506F" w:rsidR="0012471E" w:rsidRDefault="0012471E" w:rsidP="002F4F44">
            <w:pPr>
              <w:jc w:val="both"/>
              <w:rPr>
                <w:rFonts w:ascii="Times New Roman" w:hAnsi="Times New Roman" w:cs="Times New Roman"/>
              </w:rPr>
            </w:pPr>
            <w:r w:rsidRPr="00B57915">
              <w:rPr>
                <w:rFonts w:ascii="Times New Roman" w:hAnsi="Times New Roman" w:cs="Times New Roman"/>
              </w:rPr>
              <w:t>0.936311</w:t>
            </w:r>
          </w:p>
        </w:tc>
        <w:tc>
          <w:tcPr>
            <w:tcW w:w="2338" w:type="dxa"/>
          </w:tcPr>
          <w:p w14:paraId="66A39BB2" w14:textId="5CAD6085" w:rsidR="0012471E" w:rsidRDefault="0012471E" w:rsidP="002F4F44">
            <w:pPr>
              <w:jc w:val="both"/>
              <w:rPr>
                <w:rFonts w:ascii="Times New Roman" w:hAnsi="Times New Roman" w:cs="Times New Roman"/>
              </w:rPr>
            </w:pPr>
            <w:r w:rsidRPr="00B57915">
              <w:rPr>
                <w:rFonts w:ascii="Times New Roman" w:hAnsi="Times New Roman" w:cs="Times New Roman"/>
              </w:rPr>
              <w:t>0.342144</w:t>
            </w:r>
          </w:p>
        </w:tc>
        <w:tc>
          <w:tcPr>
            <w:tcW w:w="2338" w:type="dxa"/>
          </w:tcPr>
          <w:p w14:paraId="3D2F21F8" w14:textId="3CDF9E99" w:rsidR="0012471E" w:rsidRDefault="0012471E" w:rsidP="002F4F44">
            <w:pPr>
              <w:jc w:val="both"/>
              <w:rPr>
                <w:rFonts w:ascii="Times New Roman" w:hAnsi="Times New Roman" w:cs="Times New Roman"/>
              </w:rPr>
            </w:pPr>
            <w:r w:rsidRPr="00B57915">
              <w:rPr>
                <w:rFonts w:ascii="Times New Roman" w:hAnsi="Times New Roman" w:cs="Times New Roman"/>
              </w:rPr>
              <w:t>Not significant</w:t>
            </w:r>
          </w:p>
        </w:tc>
      </w:tr>
      <w:tr w:rsidR="0012471E" w14:paraId="5D10B190" w14:textId="77777777" w:rsidTr="0012471E">
        <w:tc>
          <w:tcPr>
            <w:tcW w:w="2336" w:type="dxa"/>
          </w:tcPr>
          <w:p w14:paraId="517FB6F8" w14:textId="1E38E43C" w:rsidR="0012471E" w:rsidRPr="00B57915" w:rsidRDefault="0012471E" w:rsidP="002F4F44">
            <w:pPr>
              <w:jc w:val="both"/>
              <w:rPr>
                <w:rFonts w:ascii="Times New Roman" w:hAnsi="Times New Roman" w:cs="Times New Roman"/>
              </w:rPr>
            </w:pPr>
            <w:r w:rsidRPr="00B57915">
              <w:rPr>
                <w:rFonts w:ascii="Times New Roman" w:hAnsi="Times New Roman" w:cs="Times New Roman"/>
              </w:rPr>
              <w:t>Direct sunlight exposure</w:t>
            </w:r>
          </w:p>
        </w:tc>
        <w:tc>
          <w:tcPr>
            <w:tcW w:w="2338" w:type="dxa"/>
          </w:tcPr>
          <w:p w14:paraId="2B9B2F59" w14:textId="7762CCAA" w:rsidR="0012471E" w:rsidRPr="00B57915" w:rsidRDefault="006612D0" w:rsidP="002F4F44">
            <w:pPr>
              <w:jc w:val="both"/>
              <w:rPr>
                <w:rFonts w:ascii="Times New Roman" w:hAnsi="Times New Roman" w:cs="Times New Roman"/>
              </w:rPr>
            </w:pPr>
            <w:r w:rsidRPr="00B57915">
              <w:rPr>
                <w:rFonts w:ascii="Times New Roman" w:hAnsi="Times New Roman" w:cs="Times New Roman"/>
              </w:rPr>
              <w:t>2.806085</w:t>
            </w:r>
          </w:p>
        </w:tc>
        <w:tc>
          <w:tcPr>
            <w:tcW w:w="2338" w:type="dxa"/>
          </w:tcPr>
          <w:p w14:paraId="0C7B70B5" w14:textId="77777777" w:rsidR="006612D0" w:rsidRPr="00B57915" w:rsidRDefault="006612D0" w:rsidP="00DF671B">
            <w:pPr>
              <w:jc w:val="both"/>
              <w:rPr>
                <w:rFonts w:ascii="Times New Roman" w:hAnsi="Times New Roman" w:cs="Times New Roman"/>
              </w:rPr>
            </w:pPr>
            <w:r w:rsidRPr="00B57915">
              <w:rPr>
                <w:rFonts w:ascii="Times New Roman" w:hAnsi="Times New Roman" w:cs="Times New Roman"/>
              </w:rPr>
              <w:t>0.106890</w:t>
            </w:r>
          </w:p>
          <w:p w14:paraId="7B742858" w14:textId="77777777" w:rsidR="0012471E" w:rsidRPr="00B57915" w:rsidRDefault="0012471E" w:rsidP="002F4F44">
            <w:pPr>
              <w:jc w:val="both"/>
              <w:rPr>
                <w:rFonts w:ascii="Times New Roman" w:hAnsi="Times New Roman" w:cs="Times New Roman"/>
              </w:rPr>
            </w:pPr>
          </w:p>
        </w:tc>
        <w:tc>
          <w:tcPr>
            <w:tcW w:w="2338" w:type="dxa"/>
          </w:tcPr>
          <w:p w14:paraId="61DBD032" w14:textId="77777777" w:rsidR="006612D0" w:rsidRPr="00B57915" w:rsidRDefault="006612D0" w:rsidP="00DF671B">
            <w:pPr>
              <w:jc w:val="both"/>
              <w:rPr>
                <w:rFonts w:ascii="Times New Roman" w:hAnsi="Times New Roman" w:cs="Times New Roman"/>
              </w:rPr>
            </w:pPr>
            <w:r w:rsidRPr="00B57915">
              <w:rPr>
                <w:rFonts w:ascii="Times New Roman" w:hAnsi="Times New Roman" w:cs="Times New Roman"/>
              </w:rPr>
              <w:t>Not significant</w:t>
            </w:r>
          </w:p>
          <w:p w14:paraId="323CAEF5" w14:textId="77777777" w:rsidR="0012471E" w:rsidRPr="00B57915" w:rsidRDefault="0012471E" w:rsidP="002F4F44">
            <w:pPr>
              <w:jc w:val="both"/>
              <w:rPr>
                <w:rFonts w:ascii="Times New Roman" w:hAnsi="Times New Roman" w:cs="Times New Roman"/>
              </w:rPr>
            </w:pPr>
          </w:p>
        </w:tc>
      </w:tr>
    </w:tbl>
    <w:p w14:paraId="57B3A0D1" w14:textId="77777777" w:rsidR="009F2B67" w:rsidRDefault="009F2B67" w:rsidP="002F4F44">
      <w:pPr>
        <w:jc w:val="both"/>
        <w:rPr>
          <w:rFonts w:ascii="Times New Roman" w:hAnsi="Times New Roman" w:cs="Times New Roman"/>
        </w:rPr>
      </w:pPr>
    </w:p>
    <w:p w14:paraId="75E6E43E"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Table 3 shows that no statistically significant difference was found between the three-month and six-month observations of tomato jam across the three storage conditions. The p-values for refrigerated storage, room-temperature storage, and direct-sunlight exposure were all greater than .05. This indicates that although sensory scores decreased slightly over time, the changes were not large enough to be considered statistically significant. The result supports the shelf-life stability of tomato jam for up to six months under the tested conditions.</w:t>
      </w:r>
    </w:p>
    <w:p w14:paraId="35CF02DA"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Table 4</w:t>
      </w:r>
    </w:p>
    <w:p w14:paraId="61AD476D"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ANOVA Summary for Tomato Seasoning Comparing Three-Month and Six-Month Observations</w:t>
      </w:r>
    </w:p>
    <w:tbl>
      <w:tblPr>
        <w:tblStyle w:val="TableGrid"/>
        <w:tblW w:w="0" w:type="auto"/>
        <w:tblLook w:val="04A0" w:firstRow="1" w:lastRow="0" w:firstColumn="1" w:lastColumn="0" w:noHBand="0" w:noVBand="1"/>
      </w:tblPr>
      <w:tblGrid>
        <w:gridCol w:w="2336"/>
        <w:gridCol w:w="2338"/>
        <w:gridCol w:w="2338"/>
        <w:gridCol w:w="2338"/>
      </w:tblGrid>
      <w:tr w:rsidR="004637F3" w:rsidRPr="00166282" w14:paraId="64D0C92D" w14:textId="524357A0" w:rsidTr="004637F3">
        <w:tc>
          <w:tcPr>
            <w:tcW w:w="2336" w:type="dxa"/>
          </w:tcPr>
          <w:p w14:paraId="09444AC6" w14:textId="3F284A97" w:rsidR="004637F3" w:rsidRPr="00166282" w:rsidRDefault="004637F3" w:rsidP="00166282">
            <w:pPr>
              <w:jc w:val="center"/>
              <w:rPr>
                <w:rFonts w:ascii="Times New Roman" w:hAnsi="Times New Roman" w:cs="Times New Roman"/>
                <w:b/>
                <w:bCs/>
              </w:rPr>
            </w:pPr>
            <w:r w:rsidRPr="00166282">
              <w:rPr>
                <w:rFonts w:ascii="Times New Roman" w:hAnsi="Times New Roman" w:cs="Times New Roman"/>
                <w:b/>
                <w:bCs/>
              </w:rPr>
              <w:t>Storage Condition</w:t>
            </w:r>
          </w:p>
        </w:tc>
        <w:tc>
          <w:tcPr>
            <w:tcW w:w="2338" w:type="dxa"/>
          </w:tcPr>
          <w:p w14:paraId="1BF53292" w14:textId="61D63B33" w:rsidR="004637F3" w:rsidRPr="00166282" w:rsidRDefault="004637F3" w:rsidP="00166282">
            <w:pPr>
              <w:jc w:val="center"/>
              <w:rPr>
                <w:rFonts w:ascii="Times New Roman" w:hAnsi="Times New Roman" w:cs="Times New Roman"/>
                <w:b/>
                <w:bCs/>
              </w:rPr>
            </w:pPr>
            <w:r w:rsidRPr="00166282">
              <w:rPr>
                <w:rFonts w:ascii="Times New Roman" w:hAnsi="Times New Roman" w:cs="Times New Roman"/>
                <w:b/>
                <w:bCs/>
              </w:rPr>
              <w:t>F Value</w:t>
            </w:r>
          </w:p>
        </w:tc>
        <w:tc>
          <w:tcPr>
            <w:tcW w:w="2338" w:type="dxa"/>
          </w:tcPr>
          <w:p w14:paraId="28A1DE10" w14:textId="4248FB87" w:rsidR="004637F3" w:rsidRPr="00166282" w:rsidRDefault="004637F3" w:rsidP="00166282">
            <w:pPr>
              <w:jc w:val="center"/>
              <w:rPr>
                <w:rFonts w:ascii="Times New Roman" w:hAnsi="Times New Roman" w:cs="Times New Roman"/>
                <w:b/>
                <w:bCs/>
              </w:rPr>
            </w:pPr>
            <w:r w:rsidRPr="00166282">
              <w:rPr>
                <w:rFonts w:ascii="Times New Roman" w:hAnsi="Times New Roman" w:cs="Times New Roman"/>
                <w:b/>
                <w:bCs/>
              </w:rPr>
              <w:t>p-value</w:t>
            </w:r>
          </w:p>
        </w:tc>
        <w:tc>
          <w:tcPr>
            <w:tcW w:w="2338" w:type="dxa"/>
          </w:tcPr>
          <w:p w14:paraId="7C856D2A" w14:textId="63778963" w:rsidR="004637F3" w:rsidRPr="00166282" w:rsidRDefault="004637F3" w:rsidP="00166282">
            <w:pPr>
              <w:jc w:val="center"/>
              <w:rPr>
                <w:rFonts w:ascii="Times New Roman" w:hAnsi="Times New Roman" w:cs="Times New Roman"/>
                <w:b/>
                <w:bCs/>
              </w:rPr>
            </w:pPr>
            <w:r w:rsidRPr="00166282">
              <w:rPr>
                <w:rFonts w:ascii="Times New Roman" w:hAnsi="Times New Roman" w:cs="Times New Roman"/>
                <w:b/>
                <w:bCs/>
              </w:rPr>
              <w:t>Decision</w:t>
            </w:r>
          </w:p>
        </w:tc>
      </w:tr>
      <w:tr w:rsidR="004637F3" w14:paraId="54E64CD1" w14:textId="25B9CE82" w:rsidTr="004637F3">
        <w:tc>
          <w:tcPr>
            <w:tcW w:w="2336" w:type="dxa"/>
          </w:tcPr>
          <w:p w14:paraId="38C2BA7C" w14:textId="114ADB4C" w:rsidR="004637F3" w:rsidRDefault="00166282" w:rsidP="002F4F44">
            <w:pPr>
              <w:jc w:val="both"/>
              <w:rPr>
                <w:rFonts w:ascii="Times New Roman" w:hAnsi="Times New Roman" w:cs="Times New Roman"/>
              </w:rPr>
            </w:pPr>
            <w:r w:rsidRPr="00B57915">
              <w:rPr>
                <w:rFonts w:ascii="Times New Roman" w:hAnsi="Times New Roman" w:cs="Times New Roman"/>
              </w:rPr>
              <w:t>Refrigerated</w:t>
            </w:r>
          </w:p>
        </w:tc>
        <w:tc>
          <w:tcPr>
            <w:tcW w:w="2338" w:type="dxa"/>
          </w:tcPr>
          <w:p w14:paraId="2178F98C" w14:textId="34FEC847" w:rsidR="004637F3" w:rsidRDefault="00166282" w:rsidP="002F4F44">
            <w:pPr>
              <w:jc w:val="both"/>
              <w:rPr>
                <w:rFonts w:ascii="Times New Roman" w:hAnsi="Times New Roman" w:cs="Times New Roman"/>
              </w:rPr>
            </w:pPr>
            <w:r w:rsidRPr="00B57915">
              <w:rPr>
                <w:rFonts w:ascii="Times New Roman" w:hAnsi="Times New Roman" w:cs="Times New Roman"/>
              </w:rPr>
              <w:t>2.974375</w:t>
            </w:r>
          </w:p>
        </w:tc>
        <w:tc>
          <w:tcPr>
            <w:tcW w:w="2338" w:type="dxa"/>
          </w:tcPr>
          <w:p w14:paraId="390A22D0" w14:textId="26986C16" w:rsidR="004637F3" w:rsidRDefault="00166282" w:rsidP="002F4F44">
            <w:pPr>
              <w:jc w:val="both"/>
              <w:rPr>
                <w:rFonts w:ascii="Times New Roman" w:hAnsi="Times New Roman" w:cs="Times New Roman"/>
              </w:rPr>
            </w:pPr>
            <w:r w:rsidRPr="00B57915">
              <w:rPr>
                <w:rFonts w:ascii="Times New Roman" w:hAnsi="Times New Roman" w:cs="Times New Roman"/>
              </w:rPr>
              <w:t>0.096464</w:t>
            </w:r>
          </w:p>
        </w:tc>
        <w:tc>
          <w:tcPr>
            <w:tcW w:w="2338" w:type="dxa"/>
          </w:tcPr>
          <w:p w14:paraId="64341A6E" w14:textId="5B741E23" w:rsidR="004637F3" w:rsidRDefault="00166282" w:rsidP="002F4F44">
            <w:pPr>
              <w:jc w:val="both"/>
              <w:rPr>
                <w:rFonts w:ascii="Times New Roman" w:hAnsi="Times New Roman" w:cs="Times New Roman"/>
              </w:rPr>
            </w:pPr>
            <w:r w:rsidRPr="00B57915">
              <w:rPr>
                <w:rFonts w:ascii="Times New Roman" w:hAnsi="Times New Roman" w:cs="Times New Roman"/>
              </w:rPr>
              <w:t>Not significant</w:t>
            </w:r>
          </w:p>
        </w:tc>
      </w:tr>
      <w:tr w:rsidR="004637F3" w14:paraId="7D59FF46" w14:textId="3DE6D98F" w:rsidTr="004637F3">
        <w:tc>
          <w:tcPr>
            <w:tcW w:w="2336" w:type="dxa"/>
          </w:tcPr>
          <w:p w14:paraId="221DE42A" w14:textId="2F8F337D" w:rsidR="004637F3" w:rsidRDefault="00166282" w:rsidP="002F4F44">
            <w:pPr>
              <w:jc w:val="both"/>
              <w:rPr>
                <w:rFonts w:ascii="Times New Roman" w:hAnsi="Times New Roman" w:cs="Times New Roman"/>
              </w:rPr>
            </w:pPr>
            <w:r w:rsidRPr="00B57915">
              <w:rPr>
                <w:rFonts w:ascii="Times New Roman" w:hAnsi="Times New Roman" w:cs="Times New Roman"/>
              </w:rPr>
              <w:t>Room temperature</w:t>
            </w:r>
          </w:p>
        </w:tc>
        <w:tc>
          <w:tcPr>
            <w:tcW w:w="2338" w:type="dxa"/>
          </w:tcPr>
          <w:p w14:paraId="6FC6EADC" w14:textId="09CD45A0" w:rsidR="004637F3" w:rsidRDefault="00166282" w:rsidP="002F4F44">
            <w:pPr>
              <w:jc w:val="both"/>
              <w:rPr>
                <w:rFonts w:ascii="Times New Roman" w:hAnsi="Times New Roman" w:cs="Times New Roman"/>
              </w:rPr>
            </w:pPr>
            <w:r w:rsidRPr="00B57915">
              <w:rPr>
                <w:rFonts w:ascii="Times New Roman" w:hAnsi="Times New Roman" w:cs="Times New Roman"/>
              </w:rPr>
              <w:t>0.428415</w:t>
            </w:r>
          </w:p>
        </w:tc>
        <w:tc>
          <w:tcPr>
            <w:tcW w:w="2338" w:type="dxa"/>
          </w:tcPr>
          <w:p w14:paraId="3D2CDE54" w14:textId="33C7053D" w:rsidR="004637F3" w:rsidRDefault="00166282" w:rsidP="002F4F44">
            <w:pPr>
              <w:jc w:val="both"/>
              <w:rPr>
                <w:rFonts w:ascii="Times New Roman" w:hAnsi="Times New Roman" w:cs="Times New Roman"/>
              </w:rPr>
            </w:pPr>
            <w:r w:rsidRPr="00B57915">
              <w:rPr>
                <w:rFonts w:ascii="Times New Roman" w:hAnsi="Times New Roman" w:cs="Times New Roman"/>
              </w:rPr>
              <w:t>0.518517</w:t>
            </w:r>
          </w:p>
        </w:tc>
        <w:tc>
          <w:tcPr>
            <w:tcW w:w="2338" w:type="dxa"/>
          </w:tcPr>
          <w:p w14:paraId="5C35167E" w14:textId="53735C15" w:rsidR="004637F3" w:rsidRDefault="00166282" w:rsidP="002F4F44">
            <w:pPr>
              <w:jc w:val="both"/>
              <w:rPr>
                <w:rFonts w:ascii="Times New Roman" w:hAnsi="Times New Roman" w:cs="Times New Roman"/>
              </w:rPr>
            </w:pPr>
            <w:r w:rsidRPr="00B57915">
              <w:rPr>
                <w:rFonts w:ascii="Times New Roman" w:hAnsi="Times New Roman" w:cs="Times New Roman"/>
              </w:rPr>
              <w:t>Not significant</w:t>
            </w:r>
          </w:p>
        </w:tc>
      </w:tr>
      <w:tr w:rsidR="00166282" w14:paraId="4DD80DCF" w14:textId="77777777" w:rsidTr="004637F3">
        <w:tc>
          <w:tcPr>
            <w:tcW w:w="2336" w:type="dxa"/>
          </w:tcPr>
          <w:p w14:paraId="2FB55B96" w14:textId="51CC185D" w:rsidR="00166282" w:rsidRPr="00B57915" w:rsidRDefault="00166282" w:rsidP="002F4F44">
            <w:pPr>
              <w:jc w:val="both"/>
              <w:rPr>
                <w:rFonts w:ascii="Times New Roman" w:hAnsi="Times New Roman" w:cs="Times New Roman"/>
              </w:rPr>
            </w:pPr>
            <w:r w:rsidRPr="00B57915">
              <w:rPr>
                <w:rFonts w:ascii="Times New Roman" w:hAnsi="Times New Roman" w:cs="Times New Roman"/>
              </w:rPr>
              <w:t>Direct sunlight exposure</w:t>
            </w:r>
          </w:p>
        </w:tc>
        <w:tc>
          <w:tcPr>
            <w:tcW w:w="2338" w:type="dxa"/>
          </w:tcPr>
          <w:p w14:paraId="3C33EE3B" w14:textId="77777777" w:rsidR="00166282" w:rsidRPr="00B57915" w:rsidRDefault="00166282" w:rsidP="00DF671B">
            <w:pPr>
              <w:jc w:val="both"/>
              <w:rPr>
                <w:rFonts w:ascii="Times New Roman" w:hAnsi="Times New Roman" w:cs="Times New Roman"/>
              </w:rPr>
            </w:pPr>
            <w:r w:rsidRPr="00B57915">
              <w:rPr>
                <w:rFonts w:ascii="Times New Roman" w:hAnsi="Times New Roman" w:cs="Times New Roman"/>
              </w:rPr>
              <w:t>0.107820</w:t>
            </w:r>
          </w:p>
          <w:p w14:paraId="5B875518" w14:textId="77777777" w:rsidR="00166282" w:rsidRPr="00B57915" w:rsidRDefault="00166282" w:rsidP="002F4F44">
            <w:pPr>
              <w:jc w:val="both"/>
              <w:rPr>
                <w:rFonts w:ascii="Times New Roman" w:hAnsi="Times New Roman" w:cs="Times New Roman"/>
              </w:rPr>
            </w:pPr>
          </w:p>
        </w:tc>
        <w:tc>
          <w:tcPr>
            <w:tcW w:w="2338" w:type="dxa"/>
          </w:tcPr>
          <w:p w14:paraId="54DA9B35" w14:textId="77777777" w:rsidR="00166282" w:rsidRPr="00B57915" w:rsidRDefault="00166282" w:rsidP="00DF671B">
            <w:pPr>
              <w:jc w:val="both"/>
              <w:rPr>
                <w:rFonts w:ascii="Times New Roman" w:hAnsi="Times New Roman" w:cs="Times New Roman"/>
              </w:rPr>
            </w:pPr>
            <w:r w:rsidRPr="00B57915">
              <w:rPr>
                <w:rFonts w:ascii="Times New Roman" w:hAnsi="Times New Roman" w:cs="Times New Roman"/>
              </w:rPr>
              <w:t>0.745270</w:t>
            </w:r>
          </w:p>
          <w:p w14:paraId="71D85E1F" w14:textId="77777777" w:rsidR="00166282" w:rsidRPr="00B57915" w:rsidRDefault="00166282" w:rsidP="002F4F44">
            <w:pPr>
              <w:jc w:val="both"/>
              <w:rPr>
                <w:rFonts w:ascii="Times New Roman" w:hAnsi="Times New Roman" w:cs="Times New Roman"/>
              </w:rPr>
            </w:pPr>
          </w:p>
        </w:tc>
        <w:tc>
          <w:tcPr>
            <w:tcW w:w="2338" w:type="dxa"/>
          </w:tcPr>
          <w:p w14:paraId="33A17C0F" w14:textId="77777777" w:rsidR="00166282" w:rsidRPr="00B57915" w:rsidRDefault="00166282" w:rsidP="00DF671B">
            <w:pPr>
              <w:jc w:val="both"/>
              <w:rPr>
                <w:rFonts w:ascii="Times New Roman" w:hAnsi="Times New Roman" w:cs="Times New Roman"/>
              </w:rPr>
            </w:pPr>
            <w:r w:rsidRPr="00B57915">
              <w:rPr>
                <w:rFonts w:ascii="Times New Roman" w:hAnsi="Times New Roman" w:cs="Times New Roman"/>
              </w:rPr>
              <w:t>Not significant</w:t>
            </w:r>
          </w:p>
          <w:p w14:paraId="149FB464" w14:textId="77777777" w:rsidR="00166282" w:rsidRPr="00B57915" w:rsidRDefault="00166282" w:rsidP="002F4F44">
            <w:pPr>
              <w:jc w:val="both"/>
              <w:rPr>
                <w:rFonts w:ascii="Times New Roman" w:hAnsi="Times New Roman" w:cs="Times New Roman"/>
              </w:rPr>
            </w:pPr>
          </w:p>
        </w:tc>
      </w:tr>
    </w:tbl>
    <w:p w14:paraId="08605BE3" w14:textId="77777777" w:rsidR="004637F3" w:rsidRDefault="004637F3" w:rsidP="002F4F44">
      <w:pPr>
        <w:jc w:val="both"/>
        <w:rPr>
          <w:rFonts w:ascii="Times New Roman" w:hAnsi="Times New Roman" w:cs="Times New Roman"/>
        </w:rPr>
      </w:pPr>
    </w:p>
    <w:p w14:paraId="12430410"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Table 4 shows that tomato seasoning also had no statistically significant differences between the three-month and six-month observations. The p-values for all storage conditions exceeded .05, indicating that the product remained statistically stable over time. The highest p-value was observed under direct-sunlight exposure, suggesting minimal measurable difference between the two observation periods for the sensory scores summarized in the original dataset.</w:t>
      </w:r>
    </w:p>
    <w:p w14:paraId="2FFFA006" w14:textId="77777777" w:rsidR="00E54CE6" w:rsidRDefault="00E54CE6" w:rsidP="002F4F44">
      <w:pPr>
        <w:jc w:val="both"/>
        <w:rPr>
          <w:rFonts w:ascii="Times New Roman" w:hAnsi="Times New Roman" w:cs="Times New Roman"/>
        </w:rPr>
      </w:pPr>
      <w:r w:rsidRPr="00B57915">
        <w:rPr>
          <w:rFonts w:ascii="Times New Roman" w:hAnsi="Times New Roman" w:cs="Times New Roman"/>
        </w:rPr>
        <w:t>Table 5</w:t>
      </w:r>
    </w:p>
    <w:p w14:paraId="203583BA" w14:textId="0A751C36" w:rsidR="00013688" w:rsidRPr="00B57915" w:rsidRDefault="00013688" w:rsidP="002F4F44">
      <w:pPr>
        <w:jc w:val="both"/>
        <w:rPr>
          <w:rFonts w:ascii="Times New Roman" w:hAnsi="Times New Roman" w:cs="Times New Roman"/>
        </w:rPr>
      </w:pPr>
      <w:r w:rsidRPr="00B57915">
        <w:rPr>
          <w:rFonts w:ascii="Times New Roman" w:hAnsi="Times New Roman" w:cs="Times New Roman"/>
        </w:rPr>
        <w:t>Findings of the Study</w:t>
      </w:r>
    </w:p>
    <w:tbl>
      <w:tblPr>
        <w:tblStyle w:val="TableGrid"/>
        <w:tblW w:w="0" w:type="auto"/>
        <w:tblLook w:val="04A0" w:firstRow="1" w:lastRow="0" w:firstColumn="1" w:lastColumn="0" w:noHBand="0" w:noVBand="1"/>
      </w:tblPr>
      <w:tblGrid>
        <w:gridCol w:w="4945"/>
        <w:gridCol w:w="3870"/>
      </w:tblGrid>
      <w:tr w:rsidR="00E425C6" w:rsidRPr="00013688" w14:paraId="01C226A3" w14:textId="77777777" w:rsidTr="00013688">
        <w:tc>
          <w:tcPr>
            <w:tcW w:w="4945" w:type="dxa"/>
          </w:tcPr>
          <w:p w14:paraId="71726954" w14:textId="7AE57FB4" w:rsidR="00E425C6" w:rsidRPr="00013688" w:rsidRDefault="00013688" w:rsidP="00013688">
            <w:pPr>
              <w:jc w:val="center"/>
              <w:rPr>
                <w:rFonts w:ascii="Times New Roman" w:hAnsi="Times New Roman" w:cs="Times New Roman"/>
                <w:b/>
                <w:bCs/>
              </w:rPr>
            </w:pPr>
            <w:r w:rsidRPr="00013688">
              <w:rPr>
                <w:rFonts w:ascii="Times New Roman" w:hAnsi="Times New Roman" w:cs="Times New Roman"/>
                <w:b/>
                <w:bCs/>
              </w:rPr>
              <w:t>Finding</w:t>
            </w:r>
          </w:p>
        </w:tc>
        <w:tc>
          <w:tcPr>
            <w:tcW w:w="3870" w:type="dxa"/>
          </w:tcPr>
          <w:p w14:paraId="4D3FB08E" w14:textId="36CD4FF6" w:rsidR="00E425C6" w:rsidRPr="00013688" w:rsidRDefault="00013688" w:rsidP="00013688">
            <w:pPr>
              <w:jc w:val="center"/>
              <w:rPr>
                <w:rFonts w:ascii="Times New Roman" w:hAnsi="Times New Roman" w:cs="Times New Roman"/>
                <w:b/>
                <w:bCs/>
              </w:rPr>
            </w:pPr>
            <w:r w:rsidRPr="00013688">
              <w:rPr>
                <w:rFonts w:ascii="Times New Roman" w:hAnsi="Times New Roman" w:cs="Times New Roman"/>
                <w:b/>
                <w:bCs/>
              </w:rPr>
              <w:t>Evidence from Results</w:t>
            </w:r>
          </w:p>
        </w:tc>
      </w:tr>
      <w:tr w:rsidR="00E425C6" w14:paraId="06887E80" w14:textId="77777777" w:rsidTr="00013688">
        <w:tc>
          <w:tcPr>
            <w:tcW w:w="4945" w:type="dxa"/>
          </w:tcPr>
          <w:p w14:paraId="1050F7FC" w14:textId="622403B2" w:rsidR="00E425C6" w:rsidRDefault="00013688" w:rsidP="002F4F44">
            <w:pPr>
              <w:jc w:val="both"/>
              <w:rPr>
                <w:rFonts w:ascii="Times New Roman" w:hAnsi="Times New Roman" w:cs="Times New Roman"/>
              </w:rPr>
            </w:pPr>
            <w:r w:rsidRPr="00B57915">
              <w:rPr>
                <w:rFonts w:ascii="Times New Roman" w:hAnsi="Times New Roman" w:cs="Times New Roman"/>
              </w:rPr>
              <w:t>Tomato jam maintained acceptable to highly acceptable ratings after six months.</w:t>
            </w:r>
          </w:p>
        </w:tc>
        <w:tc>
          <w:tcPr>
            <w:tcW w:w="3870" w:type="dxa"/>
          </w:tcPr>
          <w:p w14:paraId="0D463DF1" w14:textId="01668B92" w:rsidR="00E425C6" w:rsidRDefault="00013688" w:rsidP="002F4F44">
            <w:pPr>
              <w:jc w:val="both"/>
              <w:rPr>
                <w:rFonts w:ascii="Times New Roman" w:hAnsi="Times New Roman" w:cs="Times New Roman"/>
              </w:rPr>
            </w:pPr>
            <w:r w:rsidRPr="00B57915">
              <w:rPr>
                <w:rFonts w:ascii="Times New Roman" w:hAnsi="Times New Roman" w:cs="Times New Roman"/>
              </w:rPr>
              <w:t>Six-month means ranged from 3.82 to 4.09.</w:t>
            </w:r>
          </w:p>
        </w:tc>
      </w:tr>
      <w:tr w:rsidR="00E425C6" w14:paraId="09F65FAC" w14:textId="77777777" w:rsidTr="00013688">
        <w:tc>
          <w:tcPr>
            <w:tcW w:w="4945" w:type="dxa"/>
          </w:tcPr>
          <w:p w14:paraId="3D69B264" w14:textId="2B471CAE" w:rsidR="00E425C6" w:rsidRDefault="00013688" w:rsidP="002F4F44">
            <w:pPr>
              <w:jc w:val="both"/>
              <w:rPr>
                <w:rFonts w:ascii="Times New Roman" w:hAnsi="Times New Roman" w:cs="Times New Roman"/>
              </w:rPr>
            </w:pPr>
            <w:r w:rsidRPr="00B57915">
              <w:rPr>
                <w:rFonts w:ascii="Times New Roman" w:hAnsi="Times New Roman" w:cs="Times New Roman"/>
              </w:rPr>
              <w:t>Tomato seasoning maintained acceptable ratings across all storage conditions after six months.</w:t>
            </w:r>
          </w:p>
        </w:tc>
        <w:tc>
          <w:tcPr>
            <w:tcW w:w="3870" w:type="dxa"/>
          </w:tcPr>
          <w:p w14:paraId="1AED8185" w14:textId="0A359712" w:rsidR="00E425C6" w:rsidRDefault="00013688" w:rsidP="002F4F44">
            <w:pPr>
              <w:jc w:val="both"/>
              <w:rPr>
                <w:rFonts w:ascii="Times New Roman" w:hAnsi="Times New Roman" w:cs="Times New Roman"/>
              </w:rPr>
            </w:pPr>
            <w:r w:rsidRPr="00B57915">
              <w:rPr>
                <w:rFonts w:ascii="Times New Roman" w:hAnsi="Times New Roman" w:cs="Times New Roman"/>
              </w:rPr>
              <w:t>Six-month means ranged from 3.87 to 3.94.</w:t>
            </w:r>
          </w:p>
        </w:tc>
      </w:tr>
      <w:tr w:rsidR="00E425C6" w14:paraId="36EEF469" w14:textId="77777777" w:rsidTr="00013688">
        <w:tc>
          <w:tcPr>
            <w:tcW w:w="4945" w:type="dxa"/>
          </w:tcPr>
          <w:p w14:paraId="73C91246" w14:textId="15ADBB64" w:rsidR="00E425C6" w:rsidRDefault="00013688" w:rsidP="002F4F44">
            <w:pPr>
              <w:jc w:val="both"/>
              <w:rPr>
                <w:rFonts w:ascii="Times New Roman" w:hAnsi="Times New Roman" w:cs="Times New Roman"/>
              </w:rPr>
            </w:pPr>
            <w:r w:rsidRPr="00B57915">
              <w:rPr>
                <w:rFonts w:ascii="Times New Roman" w:hAnsi="Times New Roman" w:cs="Times New Roman"/>
              </w:rPr>
              <w:t>Refrigerated storage produced the most favorable overall mean for tomato jam after six months</w:t>
            </w:r>
            <w:r>
              <w:rPr>
                <w:rFonts w:ascii="Times New Roman" w:hAnsi="Times New Roman" w:cs="Times New Roman"/>
              </w:rPr>
              <w:t>.</w:t>
            </w:r>
          </w:p>
        </w:tc>
        <w:tc>
          <w:tcPr>
            <w:tcW w:w="3870" w:type="dxa"/>
          </w:tcPr>
          <w:p w14:paraId="03CEFDE5" w14:textId="778A9E89" w:rsidR="00E425C6" w:rsidRDefault="00013688" w:rsidP="002F4F44">
            <w:pPr>
              <w:jc w:val="both"/>
              <w:rPr>
                <w:rFonts w:ascii="Times New Roman" w:hAnsi="Times New Roman" w:cs="Times New Roman"/>
              </w:rPr>
            </w:pPr>
            <w:r w:rsidRPr="00B57915">
              <w:rPr>
                <w:rFonts w:ascii="Times New Roman" w:hAnsi="Times New Roman" w:cs="Times New Roman"/>
              </w:rPr>
              <w:t>Refrigerated tomato jam recorded a six-month overall mean of 4.09.</w:t>
            </w:r>
          </w:p>
        </w:tc>
      </w:tr>
      <w:tr w:rsidR="00E425C6" w14:paraId="184515E5" w14:textId="77777777" w:rsidTr="00013688">
        <w:tc>
          <w:tcPr>
            <w:tcW w:w="4945" w:type="dxa"/>
          </w:tcPr>
          <w:p w14:paraId="234AAA31" w14:textId="4B13578A" w:rsidR="00E425C6" w:rsidRDefault="00013688" w:rsidP="002F4F44">
            <w:pPr>
              <w:jc w:val="both"/>
              <w:rPr>
                <w:rFonts w:ascii="Times New Roman" w:hAnsi="Times New Roman" w:cs="Times New Roman"/>
              </w:rPr>
            </w:pPr>
            <w:r w:rsidRPr="00B57915">
              <w:rPr>
                <w:rFonts w:ascii="Times New Roman" w:hAnsi="Times New Roman" w:cs="Times New Roman"/>
              </w:rPr>
              <w:t>No significant difference was found between three-month and six-month observations for tomato jam.</w:t>
            </w:r>
          </w:p>
        </w:tc>
        <w:tc>
          <w:tcPr>
            <w:tcW w:w="3870" w:type="dxa"/>
          </w:tcPr>
          <w:p w14:paraId="026FDB84" w14:textId="0C031C7D" w:rsidR="00E425C6" w:rsidRDefault="00013688" w:rsidP="002F4F44">
            <w:pPr>
              <w:jc w:val="both"/>
              <w:rPr>
                <w:rFonts w:ascii="Times New Roman" w:hAnsi="Times New Roman" w:cs="Times New Roman"/>
              </w:rPr>
            </w:pPr>
            <w:r w:rsidRPr="00B57915">
              <w:rPr>
                <w:rFonts w:ascii="Times New Roman" w:hAnsi="Times New Roman" w:cs="Times New Roman"/>
              </w:rPr>
              <w:t>All tomato jam p-values were greater than .05.</w:t>
            </w:r>
          </w:p>
        </w:tc>
      </w:tr>
      <w:tr w:rsidR="00E425C6" w14:paraId="47558FDA" w14:textId="77777777" w:rsidTr="00013688">
        <w:tc>
          <w:tcPr>
            <w:tcW w:w="4945" w:type="dxa"/>
          </w:tcPr>
          <w:p w14:paraId="7C64C711" w14:textId="0F6FDF8C" w:rsidR="00E425C6" w:rsidRDefault="00E82A5A" w:rsidP="002F4F44">
            <w:pPr>
              <w:jc w:val="both"/>
              <w:rPr>
                <w:rFonts w:ascii="Times New Roman" w:hAnsi="Times New Roman" w:cs="Times New Roman"/>
              </w:rPr>
            </w:pPr>
            <w:r w:rsidRPr="00B57915">
              <w:rPr>
                <w:rFonts w:ascii="Times New Roman" w:hAnsi="Times New Roman" w:cs="Times New Roman"/>
              </w:rPr>
              <w:lastRenderedPageBreak/>
              <w:t>No significant difference was found between three-month and six-month observations for tomato seasoning.</w:t>
            </w:r>
          </w:p>
        </w:tc>
        <w:tc>
          <w:tcPr>
            <w:tcW w:w="3870" w:type="dxa"/>
          </w:tcPr>
          <w:p w14:paraId="4135C865" w14:textId="00B8F27A" w:rsidR="00E425C6" w:rsidRDefault="00E82A5A" w:rsidP="002F4F44">
            <w:pPr>
              <w:jc w:val="both"/>
              <w:rPr>
                <w:rFonts w:ascii="Times New Roman" w:hAnsi="Times New Roman" w:cs="Times New Roman"/>
              </w:rPr>
            </w:pPr>
            <w:r w:rsidRPr="00B57915">
              <w:rPr>
                <w:rFonts w:ascii="Times New Roman" w:hAnsi="Times New Roman" w:cs="Times New Roman"/>
              </w:rPr>
              <w:t>All tomato seasoning p-values were greater than .05.</w:t>
            </w:r>
          </w:p>
        </w:tc>
      </w:tr>
      <w:tr w:rsidR="00E425C6" w14:paraId="1AA904BC" w14:textId="77777777" w:rsidTr="00013688">
        <w:tc>
          <w:tcPr>
            <w:tcW w:w="4945" w:type="dxa"/>
          </w:tcPr>
          <w:p w14:paraId="11353A4C" w14:textId="54FAA3DA" w:rsidR="00E425C6" w:rsidRDefault="00E82A5A" w:rsidP="002F4F44">
            <w:pPr>
              <w:jc w:val="both"/>
              <w:rPr>
                <w:rFonts w:ascii="Times New Roman" w:hAnsi="Times New Roman" w:cs="Times New Roman"/>
              </w:rPr>
            </w:pPr>
            <w:r w:rsidRPr="00B57915">
              <w:rPr>
                <w:rFonts w:ascii="Times New Roman" w:hAnsi="Times New Roman" w:cs="Times New Roman"/>
              </w:rPr>
              <w:t>Taste-related attributes, particularly bitterness and saltiness in some samples, require formulation refinement.</w:t>
            </w:r>
          </w:p>
        </w:tc>
        <w:tc>
          <w:tcPr>
            <w:tcW w:w="3870" w:type="dxa"/>
          </w:tcPr>
          <w:p w14:paraId="420A27E3" w14:textId="4CBD4950" w:rsidR="00E425C6" w:rsidRDefault="00E82A5A" w:rsidP="002F4F44">
            <w:pPr>
              <w:jc w:val="both"/>
              <w:rPr>
                <w:rFonts w:ascii="Times New Roman" w:hAnsi="Times New Roman" w:cs="Times New Roman"/>
              </w:rPr>
            </w:pPr>
            <w:r w:rsidRPr="00B57915">
              <w:rPr>
                <w:rFonts w:ascii="Times New Roman" w:hAnsi="Times New Roman" w:cs="Times New Roman"/>
              </w:rPr>
              <w:t>Several bitterness and saltiness ratings were slightly acceptable or unacceptable in the detailed sensory tables.</w:t>
            </w:r>
          </w:p>
        </w:tc>
      </w:tr>
    </w:tbl>
    <w:p w14:paraId="64D1BC53" w14:textId="44FAA94B" w:rsidR="00E54CE6" w:rsidRPr="00B57915" w:rsidRDefault="00E54CE6" w:rsidP="002F4F44">
      <w:pPr>
        <w:jc w:val="both"/>
        <w:rPr>
          <w:rFonts w:ascii="Times New Roman" w:hAnsi="Times New Roman" w:cs="Times New Roman"/>
        </w:rPr>
      </w:pPr>
    </w:p>
    <w:p w14:paraId="4A38D749"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The findings in Table 5 demonstrate that the developed processing protocols produced products with promising acceptability and stability. From a food-product development perspective, the results are important because consumer acceptability is a key indicator of market potential. The stability of the products over six months also suggests practical relevance for local processors who may not have access to advanced storage systems. However, the taste-related concerns observed in selected samples indicate that formulation refinement remains necessary before full commercialization.</w:t>
      </w:r>
    </w:p>
    <w:p w14:paraId="01A7DF12"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The results are consistent with the broader literature on tomato processing. Tomato-based products are widely recognized as valuable because processing can extend shelf life, reduce waste, and preserve desirable nutritional and sensory properties (</w:t>
      </w:r>
      <w:proofErr w:type="spellStart"/>
      <w:r w:rsidRPr="00B57915">
        <w:rPr>
          <w:rFonts w:ascii="Times New Roman" w:hAnsi="Times New Roman" w:cs="Times New Roman"/>
        </w:rPr>
        <w:t>Borguini</w:t>
      </w:r>
      <w:proofErr w:type="spellEnd"/>
      <w:r w:rsidRPr="00B57915">
        <w:rPr>
          <w:rFonts w:ascii="Times New Roman" w:hAnsi="Times New Roman" w:cs="Times New Roman"/>
        </w:rPr>
        <w:t xml:space="preserve"> &amp; Torres, 2009; Kaur et al., 2008; </w:t>
      </w:r>
      <w:proofErr w:type="spellStart"/>
      <w:r w:rsidRPr="00B57915">
        <w:rPr>
          <w:rFonts w:ascii="Times New Roman" w:hAnsi="Times New Roman" w:cs="Times New Roman"/>
        </w:rPr>
        <w:t>Pinela</w:t>
      </w:r>
      <w:proofErr w:type="spellEnd"/>
      <w:r w:rsidRPr="00B57915">
        <w:rPr>
          <w:rFonts w:ascii="Times New Roman" w:hAnsi="Times New Roman" w:cs="Times New Roman"/>
        </w:rPr>
        <w:t xml:space="preserve"> et al., 2012). Processing surplus tomatoes into jam and seasoning aligns with post-harvest loss reduction strategies because it transforms a highly perishable commodity into products that can be stored, transported, and marketed for a longer period. This is especially relevant in local agricultural economies where seasonal oversupply often leads to reduced farm-gate prices and product wastage.</w:t>
      </w:r>
    </w:p>
    <w:p w14:paraId="202556F6"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 xml:space="preserve">The study also contributes practical evidence for community-level product development. The absence of significant differences between the three-month and six-month observations indicates that the products have sufficient stability for small-scale enterprise exploration. Nevertheless, publication and commercialization would benefit from additional laboratory tests, including microbial load, water activity, pH, </w:t>
      </w:r>
      <w:proofErr w:type="spellStart"/>
      <w:r w:rsidRPr="00B57915">
        <w:rPr>
          <w:rFonts w:ascii="Times New Roman" w:hAnsi="Times New Roman" w:cs="Times New Roman"/>
        </w:rPr>
        <w:t>titratable</w:t>
      </w:r>
      <w:proofErr w:type="spellEnd"/>
      <w:r w:rsidRPr="00B57915">
        <w:rPr>
          <w:rFonts w:ascii="Times New Roman" w:hAnsi="Times New Roman" w:cs="Times New Roman"/>
        </w:rPr>
        <w:t xml:space="preserve"> acidity, and nutrient retention. These analyses would strengthen claims about product safety and quality beyond sensory acceptability.</w:t>
      </w:r>
    </w:p>
    <w:p w14:paraId="44A0E01C" w14:textId="01421768" w:rsidR="00EE06B4" w:rsidRDefault="00EE06B4" w:rsidP="00EE06B4">
      <w:pPr>
        <w:rPr>
          <w:rFonts w:ascii="Times New Roman" w:hAnsi="Times New Roman" w:cs="Times New Roman"/>
        </w:rPr>
      </w:pPr>
    </w:p>
    <w:p w14:paraId="41E9E76A" w14:textId="77777777" w:rsidR="00EE06B4" w:rsidRDefault="00EE06B4">
      <w:pPr>
        <w:rPr>
          <w:rFonts w:ascii="Times New Roman" w:hAnsi="Times New Roman" w:cs="Times New Roman"/>
        </w:rPr>
      </w:pPr>
      <w:r>
        <w:rPr>
          <w:rFonts w:ascii="Times New Roman" w:hAnsi="Times New Roman" w:cs="Times New Roman"/>
        </w:rPr>
        <w:br w:type="page"/>
      </w:r>
    </w:p>
    <w:p w14:paraId="16016173" w14:textId="4E042E47" w:rsidR="00EE06B4" w:rsidRPr="00EE06B4" w:rsidRDefault="00E54CE6" w:rsidP="002F4F44">
      <w:pPr>
        <w:jc w:val="both"/>
        <w:rPr>
          <w:rFonts w:ascii="Times New Roman" w:hAnsi="Times New Roman" w:cs="Times New Roman"/>
          <w:b/>
          <w:bCs/>
        </w:rPr>
      </w:pPr>
      <w:r w:rsidRPr="00EE06B4">
        <w:rPr>
          <w:rFonts w:ascii="Times New Roman" w:hAnsi="Times New Roman" w:cs="Times New Roman"/>
          <w:b/>
          <w:bCs/>
        </w:rPr>
        <w:lastRenderedPageBreak/>
        <w:t>Conclusion and Recommendations</w:t>
      </w:r>
    </w:p>
    <w:p w14:paraId="4F6E50DE" w14:textId="5F889678" w:rsidR="00E54CE6" w:rsidRPr="00B57915" w:rsidRDefault="00E54CE6" w:rsidP="002F4F44">
      <w:pPr>
        <w:jc w:val="both"/>
        <w:rPr>
          <w:rFonts w:ascii="Times New Roman" w:hAnsi="Times New Roman" w:cs="Times New Roman"/>
        </w:rPr>
      </w:pPr>
      <w:r w:rsidRPr="00B57915">
        <w:rPr>
          <w:rFonts w:ascii="Times New Roman" w:hAnsi="Times New Roman" w:cs="Times New Roman"/>
        </w:rPr>
        <w:t xml:space="preserve">This study successfully developed processing protocols for tomato jam and tomato seasoning as value-added products from surplus tomatoes in </w:t>
      </w:r>
      <w:proofErr w:type="spellStart"/>
      <w:r w:rsidRPr="00B57915">
        <w:rPr>
          <w:rFonts w:ascii="Times New Roman" w:hAnsi="Times New Roman" w:cs="Times New Roman"/>
        </w:rPr>
        <w:t>Roxas</w:t>
      </w:r>
      <w:proofErr w:type="spellEnd"/>
      <w:r w:rsidRPr="00B57915">
        <w:rPr>
          <w:rFonts w:ascii="Times New Roman" w:hAnsi="Times New Roman" w:cs="Times New Roman"/>
        </w:rPr>
        <w:t xml:space="preserve"> City, Isabela. The sensory evaluation results showed that both products were generally acceptable to highly acceptable across storage conditions and remained stable after six months. The ANOVA results further indicated that there were no significant differences between the three-month and six-month observations for both products under refrigerated, room-temperature, and direct-sunlight storage conditions. These findings support the potential of tomato-based product development as a practical intervention for reducing post-harvest losses and promoting local enterprise opportunities.</w:t>
      </w:r>
    </w:p>
    <w:p w14:paraId="562123FF"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For publication and future development, it is recommended that the processing protocols be subjected to further laboratory validation. Microbiological testing, physicochemical analysis, nutritional profiling, and packaging evaluation should be conducted to establish stronger evidence of product safety, quality, and shelf-life stability. The formulation of both products should also be refined, particularly in relation to bitterness, saltiness, and sourness, because these attributes received lower ratings in selected storage conditions. Future studies may include a larger and more diverse consumer panel, compare alternative packaging materials, and conduct cost-return analysis to determine commercial feasibility.</w:t>
      </w:r>
    </w:p>
    <w:p w14:paraId="506ED530"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Local government units, agricultural extension offices, DOST, TESDA, and other development agencies may use the findings as a basis for training programs on tomato processing and value addition. If supported by appropriate technical assistance, packaging development, labeling compliance, and market testing, tomato jam and tomato seasoning may become viable community-based products that help farmers manage seasonal surplus and improve income opportunities.</w:t>
      </w:r>
    </w:p>
    <w:p w14:paraId="73256ED6" w14:textId="0B18038F" w:rsidR="00EE06B4" w:rsidRDefault="00EE06B4" w:rsidP="00AA41F6">
      <w:pPr>
        <w:rPr>
          <w:rFonts w:ascii="Times New Roman" w:hAnsi="Times New Roman" w:cs="Times New Roman"/>
        </w:rPr>
      </w:pPr>
    </w:p>
    <w:p w14:paraId="45AD17BC" w14:textId="77777777" w:rsidR="00EE06B4" w:rsidRDefault="00EE06B4">
      <w:pPr>
        <w:rPr>
          <w:rFonts w:ascii="Times New Roman" w:hAnsi="Times New Roman" w:cs="Times New Roman"/>
        </w:rPr>
      </w:pPr>
      <w:r>
        <w:rPr>
          <w:rFonts w:ascii="Times New Roman" w:hAnsi="Times New Roman" w:cs="Times New Roman"/>
        </w:rPr>
        <w:br w:type="page"/>
      </w:r>
    </w:p>
    <w:p w14:paraId="46F56D53" w14:textId="7E19FA87" w:rsidR="00E54CE6" w:rsidRPr="00AA41F6" w:rsidRDefault="00E54CE6" w:rsidP="002F4F44">
      <w:pPr>
        <w:jc w:val="both"/>
        <w:rPr>
          <w:rFonts w:ascii="Times New Roman" w:hAnsi="Times New Roman" w:cs="Times New Roman"/>
          <w:b/>
          <w:bCs/>
        </w:rPr>
      </w:pPr>
      <w:r w:rsidRPr="00AA41F6">
        <w:rPr>
          <w:rFonts w:ascii="Times New Roman" w:hAnsi="Times New Roman" w:cs="Times New Roman"/>
          <w:b/>
          <w:bCs/>
        </w:rPr>
        <w:lastRenderedPageBreak/>
        <w:t>References</w:t>
      </w:r>
    </w:p>
    <w:p w14:paraId="506FEFA7" w14:textId="77777777" w:rsidR="00E54CE6" w:rsidRPr="00B57915" w:rsidRDefault="00E54CE6" w:rsidP="002F4F44">
      <w:pPr>
        <w:jc w:val="both"/>
        <w:rPr>
          <w:rFonts w:ascii="Times New Roman" w:hAnsi="Times New Roman" w:cs="Times New Roman"/>
        </w:rPr>
      </w:pPr>
      <w:proofErr w:type="spellStart"/>
      <w:r w:rsidRPr="00B57915">
        <w:rPr>
          <w:rFonts w:ascii="Times New Roman" w:hAnsi="Times New Roman" w:cs="Times New Roman"/>
        </w:rPr>
        <w:t>Borguini</w:t>
      </w:r>
      <w:proofErr w:type="spellEnd"/>
      <w:r w:rsidRPr="00B57915">
        <w:rPr>
          <w:rFonts w:ascii="Times New Roman" w:hAnsi="Times New Roman" w:cs="Times New Roman"/>
        </w:rPr>
        <w:t>, R. G., &amp; Torres, E. A. F. (2009). Tomatoes and tomato products as dietary sources of antioxidants. Food Reviews International, 25(4), 313–325. https://doi.org/10.1080/87559120903155859⁠�</w:t>
      </w:r>
    </w:p>
    <w:p w14:paraId="7149C616"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 xml:space="preserve">Burton-Freeman, B., &amp; </w:t>
      </w:r>
      <w:proofErr w:type="spellStart"/>
      <w:r w:rsidRPr="00B57915">
        <w:rPr>
          <w:rFonts w:ascii="Times New Roman" w:hAnsi="Times New Roman" w:cs="Times New Roman"/>
        </w:rPr>
        <w:t>Reimers</w:t>
      </w:r>
      <w:proofErr w:type="spellEnd"/>
      <w:r w:rsidRPr="00B57915">
        <w:rPr>
          <w:rFonts w:ascii="Times New Roman" w:hAnsi="Times New Roman" w:cs="Times New Roman"/>
        </w:rPr>
        <w:t>, K. (2011). Tomato consumption and health: Emerging benefits. American Journal of Lifestyle Medicine, 5(2), 182–191. https://doi.org/10.1177/1559827610387488⁠�</w:t>
      </w:r>
    </w:p>
    <w:p w14:paraId="364133D4"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 xml:space="preserve">Kaur, D., </w:t>
      </w:r>
      <w:proofErr w:type="spellStart"/>
      <w:r w:rsidRPr="00B57915">
        <w:rPr>
          <w:rFonts w:ascii="Times New Roman" w:hAnsi="Times New Roman" w:cs="Times New Roman"/>
        </w:rPr>
        <w:t>Wani</w:t>
      </w:r>
      <w:proofErr w:type="spellEnd"/>
      <w:r w:rsidRPr="00B57915">
        <w:rPr>
          <w:rFonts w:ascii="Times New Roman" w:hAnsi="Times New Roman" w:cs="Times New Roman"/>
        </w:rPr>
        <w:t xml:space="preserve">, A. A., Oberoi, D. P. S., &amp; </w:t>
      </w:r>
      <w:proofErr w:type="spellStart"/>
      <w:r w:rsidRPr="00B57915">
        <w:rPr>
          <w:rFonts w:ascii="Times New Roman" w:hAnsi="Times New Roman" w:cs="Times New Roman"/>
        </w:rPr>
        <w:t>Sogi</w:t>
      </w:r>
      <w:proofErr w:type="spellEnd"/>
      <w:r w:rsidRPr="00B57915">
        <w:rPr>
          <w:rFonts w:ascii="Times New Roman" w:hAnsi="Times New Roman" w:cs="Times New Roman"/>
        </w:rPr>
        <w:t>, D. S. (2008). Effect of extraction conditions on lycopene extractions from tomato processing waste skin using response surface methodology. Food Chemistry, 108(2), 711–718. https://doi.org/10.1016/j.foodchem.2007.11.002⁠�</w:t>
      </w:r>
    </w:p>
    <w:p w14:paraId="7E6E0CD3" w14:textId="77777777" w:rsidR="00E54CE6" w:rsidRPr="00B57915" w:rsidRDefault="00E54CE6" w:rsidP="002F4F44">
      <w:pPr>
        <w:jc w:val="both"/>
        <w:rPr>
          <w:rFonts w:ascii="Times New Roman" w:hAnsi="Times New Roman" w:cs="Times New Roman"/>
        </w:rPr>
      </w:pPr>
      <w:r w:rsidRPr="00B57915">
        <w:rPr>
          <w:rFonts w:ascii="Times New Roman" w:hAnsi="Times New Roman" w:cs="Times New Roman"/>
        </w:rPr>
        <w:t>McNamara, P. E., &amp; Tata, J. S. (2015). Principles of designing and implementing agricultural extension programs for reducing post-harvest loss. Agriculture, 5(4), 1035–1054. https://doi.org/10.3390/agriculture5041035⁠�</w:t>
      </w:r>
    </w:p>
    <w:p w14:paraId="5EEEFF6C" w14:textId="77777777" w:rsidR="00E54CE6" w:rsidRPr="00B57915" w:rsidRDefault="00E54CE6" w:rsidP="002F4F44">
      <w:pPr>
        <w:jc w:val="both"/>
        <w:rPr>
          <w:rFonts w:ascii="Times New Roman" w:hAnsi="Times New Roman" w:cs="Times New Roman"/>
        </w:rPr>
      </w:pPr>
      <w:proofErr w:type="spellStart"/>
      <w:r w:rsidRPr="00B57915">
        <w:rPr>
          <w:rFonts w:ascii="Times New Roman" w:hAnsi="Times New Roman" w:cs="Times New Roman"/>
        </w:rPr>
        <w:t>Pinela</w:t>
      </w:r>
      <w:proofErr w:type="spellEnd"/>
      <w:r w:rsidRPr="00B57915">
        <w:rPr>
          <w:rFonts w:ascii="Times New Roman" w:hAnsi="Times New Roman" w:cs="Times New Roman"/>
        </w:rPr>
        <w:t xml:space="preserve">, J., Barros, L., </w:t>
      </w:r>
      <w:proofErr w:type="spellStart"/>
      <w:r w:rsidRPr="00B57915">
        <w:rPr>
          <w:rFonts w:ascii="Times New Roman" w:hAnsi="Times New Roman" w:cs="Times New Roman"/>
        </w:rPr>
        <w:t>Carvalho</w:t>
      </w:r>
      <w:proofErr w:type="spellEnd"/>
      <w:r w:rsidRPr="00B57915">
        <w:rPr>
          <w:rFonts w:ascii="Times New Roman" w:hAnsi="Times New Roman" w:cs="Times New Roman"/>
        </w:rPr>
        <w:t>, A. M., &amp; Ferreira, I. C. F. R. (2012). Nutritional composition and antioxidant activity of four tomato (</w:t>
      </w:r>
      <w:proofErr w:type="spellStart"/>
      <w:r w:rsidRPr="00B57915">
        <w:rPr>
          <w:rFonts w:ascii="Times New Roman" w:hAnsi="Times New Roman" w:cs="Times New Roman"/>
        </w:rPr>
        <w:t>Lycopersicon</w:t>
      </w:r>
      <w:proofErr w:type="spellEnd"/>
      <w:r w:rsidRPr="00B57915">
        <w:rPr>
          <w:rFonts w:ascii="Times New Roman" w:hAnsi="Times New Roman" w:cs="Times New Roman"/>
        </w:rPr>
        <w:t xml:space="preserve"> </w:t>
      </w:r>
      <w:proofErr w:type="spellStart"/>
      <w:r w:rsidRPr="00B57915">
        <w:rPr>
          <w:rFonts w:ascii="Times New Roman" w:hAnsi="Times New Roman" w:cs="Times New Roman"/>
        </w:rPr>
        <w:t>esculentum</w:t>
      </w:r>
      <w:proofErr w:type="spellEnd"/>
      <w:r w:rsidRPr="00B57915">
        <w:rPr>
          <w:rFonts w:ascii="Times New Roman" w:hAnsi="Times New Roman" w:cs="Times New Roman"/>
        </w:rPr>
        <w:t xml:space="preserve"> L.) farmer varieties in Northeastern Portugal </w:t>
      </w:r>
      <w:proofErr w:type="spellStart"/>
      <w:r w:rsidRPr="00B57915">
        <w:rPr>
          <w:rFonts w:ascii="Times New Roman" w:hAnsi="Times New Roman" w:cs="Times New Roman"/>
        </w:rPr>
        <w:t>homegardens</w:t>
      </w:r>
      <w:proofErr w:type="spellEnd"/>
      <w:r w:rsidRPr="00B57915">
        <w:rPr>
          <w:rFonts w:ascii="Times New Roman" w:hAnsi="Times New Roman" w:cs="Times New Roman"/>
        </w:rPr>
        <w:t>. Food and Chemical Toxicology, 50(3–4), 829–834. https://doi.org/10.1016/j.fct.2011.11.045⁠�</w:t>
      </w:r>
    </w:p>
    <w:p w14:paraId="11C9CD58" w14:textId="77777777" w:rsidR="00E54CE6" w:rsidRPr="00B57915" w:rsidRDefault="00E54CE6" w:rsidP="002F4F44">
      <w:pPr>
        <w:jc w:val="both"/>
        <w:rPr>
          <w:rFonts w:ascii="Times New Roman" w:hAnsi="Times New Roman" w:cs="Times New Roman"/>
        </w:rPr>
      </w:pPr>
      <w:proofErr w:type="spellStart"/>
      <w:r w:rsidRPr="00B57915">
        <w:rPr>
          <w:rFonts w:ascii="Times New Roman" w:hAnsi="Times New Roman" w:cs="Times New Roman"/>
        </w:rPr>
        <w:t>Raiola</w:t>
      </w:r>
      <w:proofErr w:type="spellEnd"/>
      <w:r w:rsidRPr="00B57915">
        <w:rPr>
          <w:rFonts w:ascii="Times New Roman" w:hAnsi="Times New Roman" w:cs="Times New Roman"/>
        </w:rPr>
        <w:t xml:space="preserve">, A., </w:t>
      </w:r>
      <w:proofErr w:type="spellStart"/>
      <w:r w:rsidRPr="00B57915">
        <w:rPr>
          <w:rFonts w:ascii="Times New Roman" w:hAnsi="Times New Roman" w:cs="Times New Roman"/>
        </w:rPr>
        <w:t>Rigano</w:t>
      </w:r>
      <w:proofErr w:type="spellEnd"/>
      <w:r w:rsidRPr="00B57915">
        <w:rPr>
          <w:rFonts w:ascii="Times New Roman" w:hAnsi="Times New Roman" w:cs="Times New Roman"/>
        </w:rPr>
        <w:t xml:space="preserve">, M. M., Calafiore, R., </w:t>
      </w:r>
      <w:proofErr w:type="spellStart"/>
      <w:r w:rsidRPr="00B57915">
        <w:rPr>
          <w:rFonts w:ascii="Times New Roman" w:hAnsi="Times New Roman" w:cs="Times New Roman"/>
        </w:rPr>
        <w:t>Frusciante</w:t>
      </w:r>
      <w:proofErr w:type="spellEnd"/>
      <w:r w:rsidRPr="00B57915">
        <w:rPr>
          <w:rFonts w:ascii="Times New Roman" w:hAnsi="Times New Roman" w:cs="Times New Roman"/>
        </w:rPr>
        <w:t xml:space="preserve">, L., &amp; Barone, A. (2014). Enhancing the health-promoting effects of tomato fruit for </w:t>
      </w:r>
      <w:proofErr w:type="spellStart"/>
      <w:r w:rsidRPr="00B57915">
        <w:rPr>
          <w:rFonts w:ascii="Times New Roman" w:hAnsi="Times New Roman" w:cs="Times New Roman"/>
        </w:rPr>
        <w:t>biofortified</w:t>
      </w:r>
      <w:proofErr w:type="spellEnd"/>
      <w:r w:rsidRPr="00B57915">
        <w:rPr>
          <w:rFonts w:ascii="Times New Roman" w:hAnsi="Times New Roman" w:cs="Times New Roman"/>
        </w:rPr>
        <w:t xml:space="preserve"> food. Mediators of Inflammation, 2014, Article 139873. https://doi.org/10.1155/2014/139873⁠�</w:t>
      </w:r>
    </w:p>
    <w:p w14:paraId="637623EC" w14:textId="05D76D28" w:rsidR="00E54CE6" w:rsidRPr="00B57915" w:rsidRDefault="00E54CE6" w:rsidP="002F4F44">
      <w:pPr>
        <w:jc w:val="both"/>
        <w:rPr>
          <w:rFonts w:ascii="Times New Roman" w:hAnsi="Times New Roman" w:cs="Times New Roman"/>
        </w:rPr>
      </w:pPr>
      <w:proofErr w:type="spellStart"/>
      <w:r w:rsidRPr="00B57915">
        <w:rPr>
          <w:rFonts w:ascii="Times New Roman" w:hAnsi="Times New Roman" w:cs="Times New Roman"/>
        </w:rPr>
        <w:t>Toor</w:t>
      </w:r>
      <w:proofErr w:type="spellEnd"/>
      <w:r w:rsidRPr="00B57915">
        <w:rPr>
          <w:rFonts w:ascii="Times New Roman" w:hAnsi="Times New Roman" w:cs="Times New Roman"/>
        </w:rPr>
        <w:t>, R. K., &amp; Savage, G. P. (2006). Effect of semi-drying on the antioxidant components of tomatoes. Food Chemistry, 94(1), 90–97. https://doi.org/10.1016/j.foodchem.2004.10.054⁠�</w:t>
      </w:r>
    </w:p>
    <w:sectPr w:rsidR="00E54CE6" w:rsidRPr="00B57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E6"/>
    <w:rsid w:val="00013688"/>
    <w:rsid w:val="00072353"/>
    <w:rsid w:val="0012471E"/>
    <w:rsid w:val="00166282"/>
    <w:rsid w:val="001A7CFF"/>
    <w:rsid w:val="001B0D78"/>
    <w:rsid w:val="00271475"/>
    <w:rsid w:val="002F4F44"/>
    <w:rsid w:val="004637F3"/>
    <w:rsid w:val="006172C7"/>
    <w:rsid w:val="006612D0"/>
    <w:rsid w:val="006D7DE1"/>
    <w:rsid w:val="006F4FBD"/>
    <w:rsid w:val="00700B1A"/>
    <w:rsid w:val="008658BC"/>
    <w:rsid w:val="008B15AE"/>
    <w:rsid w:val="008E296F"/>
    <w:rsid w:val="009D38A7"/>
    <w:rsid w:val="009F2B67"/>
    <w:rsid w:val="00A94506"/>
    <w:rsid w:val="00AA41F6"/>
    <w:rsid w:val="00B57915"/>
    <w:rsid w:val="00B70896"/>
    <w:rsid w:val="00D82A6E"/>
    <w:rsid w:val="00E425C6"/>
    <w:rsid w:val="00E54CE6"/>
    <w:rsid w:val="00E82A5A"/>
    <w:rsid w:val="00E843E7"/>
    <w:rsid w:val="00EE06B4"/>
    <w:rsid w:val="00EE4F46"/>
    <w:rsid w:val="00F8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59A9D6"/>
  <w15:chartTrackingRefBased/>
  <w15:docId w15:val="{D8B7AA67-7EAB-FA48-9278-367183F1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C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C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CE6"/>
    <w:rPr>
      <w:rFonts w:eastAsiaTheme="majorEastAsia" w:cstheme="majorBidi"/>
      <w:color w:val="272727" w:themeColor="text1" w:themeTint="D8"/>
    </w:rPr>
  </w:style>
  <w:style w:type="paragraph" w:styleId="Title">
    <w:name w:val="Title"/>
    <w:basedOn w:val="Normal"/>
    <w:next w:val="Normal"/>
    <w:link w:val="TitleChar"/>
    <w:uiPriority w:val="10"/>
    <w:qFormat/>
    <w:rsid w:val="00E54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CE6"/>
    <w:pPr>
      <w:spacing w:before="160"/>
      <w:jc w:val="center"/>
    </w:pPr>
    <w:rPr>
      <w:i/>
      <w:iCs/>
      <w:color w:val="404040" w:themeColor="text1" w:themeTint="BF"/>
    </w:rPr>
  </w:style>
  <w:style w:type="character" w:customStyle="1" w:styleId="QuoteChar">
    <w:name w:val="Quote Char"/>
    <w:basedOn w:val="DefaultParagraphFont"/>
    <w:link w:val="Quote"/>
    <w:uiPriority w:val="29"/>
    <w:rsid w:val="00E54CE6"/>
    <w:rPr>
      <w:i/>
      <w:iCs/>
      <w:color w:val="404040" w:themeColor="text1" w:themeTint="BF"/>
    </w:rPr>
  </w:style>
  <w:style w:type="paragraph" w:styleId="ListParagraph">
    <w:name w:val="List Paragraph"/>
    <w:basedOn w:val="Normal"/>
    <w:uiPriority w:val="34"/>
    <w:qFormat/>
    <w:rsid w:val="00E54CE6"/>
    <w:pPr>
      <w:ind w:left="720"/>
      <w:contextualSpacing/>
    </w:pPr>
  </w:style>
  <w:style w:type="character" w:styleId="IntenseEmphasis">
    <w:name w:val="Intense Emphasis"/>
    <w:basedOn w:val="DefaultParagraphFont"/>
    <w:uiPriority w:val="21"/>
    <w:qFormat/>
    <w:rsid w:val="00E54CE6"/>
    <w:rPr>
      <w:i/>
      <w:iCs/>
      <w:color w:val="0F4761" w:themeColor="accent1" w:themeShade="BF"/>
    </w:rPr>
  </w:style>
  <w:style w:type="paragraph" w:styleId="IntenseQuote">
    <w:name w:val="Intense Quote"/>
    <w:basedOn w:val="Normal"/>
    <w:next w:val="Normal"/>
    <w:link w:val="IntenseQuoteChar"/>
    <w:uiPriority w:val="30"/>
    <w:qFormat/>
    <w:rsid w:val="00E54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CE6"/>
    <w:rPr>
      <w:i/>
      <w:iCs/>
      <w:color w:val="0F4761" w:themeColor="accent1" w:themeShade="BF"/>
    </w:rPr>
  </w:style>
  <w:style w:type="character" w:styleId="IntenseReference">
    <w:name w:val="Intense Reference"/>
    <w:basedOn w:val="DefaultParagraphFont"/>
    <w:uiPriority w:val="32"/>
    <w:qFormat/>
    <w:rsid w:val="00E54CE6"/>
    <w:rPr>
      <w:b/>
      <w:bCs/>
      <w:smallCaps/>
      <w:color w:val="0F4761" w:themeColor="accent1" w:themeShade="BF"/>
      <w:spacing w:val="5"/>
    </w:rPr>
  </w:style>
  <w:style w:type="table" w:styleId="TableGrid">
    <w:name w:val="Table Grid"/>
    <w:basedOn w:val="TableNormal"/>
    <w:uiPriority w:val="39"/>
    <w:rsid w:val="00072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2688</Words>
  <Characters>15322</Characters>
  <Application>Microsoft Office Word</Application>
  <DocSecurity>0</DocSecurity>
  <Lines>127</Lines>
  <Paragraphs>35</Paragraphs>
  <ScaleCrop>false</ScaleCrop>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Caguioa</dc:creator>
  <cp:keywords/>
  <dc:description/>
  <cp:lastModifiedBy>Katherine Caguioa</cp:lastModifiedBy>
  <cp:revision>28</cp:revision>
  <dcterms:created xsi:type="dcterms:W3CDTF">2026-05-24T08:10:00Z</dcterms:created>
  <dcterms:modified xsi:type="dcterms:W3CDTF">2026-06-13T02:31:00Z</dcterms:modified>
</cp:coreProperties>
</file>