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9456A2D" w14:textId="17A6D8D2" w:rsidR="007C47AE" w:rsidRDefault="00A2408E" w:rsidP="00156B74">
      <w:pPr>
        <w:pStyle w:val="Author"/>
        <w:spacing w:before="5pt" w:beforeAutospacing="1" w:after="5pt" w:afterAutospacing="1"/>
        <w:rPr>
          <w:rFonts w:eastAsia="MS Mincho"/>
          <w:sz w:val="48"/>
          <w:szCs w:val="48"/>
        </w:rPr>
      </w:pPr>
      <w:r>
        <w:rPr>
          <w:rFonts w:eastAsia="MS Mincho"/>
          <w:sz w:val="48"/>
          <w:szCs w:val="48"/>
        </w:rPr>
        <w:t>A</w:t>
      </w:r>
      <w:r w:rsidR="007C47AE" w:rsidRPr="007C47AE">
        <w:rPr>
          <w:rFonts w:eastAsia="MS Mincho"/>
          <w:sz w:val="48"/>
          <w:szCs w:val="48"/>
        </w:rPr>
        <w:t xml:space="preserve">mbiguity </w:t>
      </w:r>
      <w:r>
        <w:rPr>
          <w:rFonts w:eastAsia="MS Mincho"/>
          <w:sz w:val="48"/>
          <w:szCs w:val="48"/>
        </w:rPr>
        <w:t xml:space="preserve">resolution in low resourced languages </w:t>
      </w:r>
      <w:r w:rsidR="007C47AE" w:rsidRPr="007C47AE">
        <w:rPr>
          <w:rFonts w:eastAsia="MS Mincho"/>
          <w:sz w:val="48"/>
          <w:szCs w:val="48"/>
        </w:rPr>
        <w:t xml:space="preserve">for NLP applications </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pgSz w:w="612pt" w:h="792pt" w:code="1"/>
          <w:pgMar w:top="54pt" w:right="44.65pt" w:bottom="72pt" w:left="44.65pt" w:header="36pt" w:footer="36pt" w:gutter="0pt"/>
          <w:cols w:space="36pt"/>
          <w:titlePg/>
          <w:docGrid w:linePitch="360"/>
        </w:sectPr>
      </w:pPr>
    </w:p>
    <w:p w14:paraId="128D2612" w14:textId="4BC6026B" w:rsidR="00CA4392" w:rsidRPr="00F847A6" w:rsidRDefault="007C47AE" w:rsidP="00CA4392">
      <w:pPr>
        <w:pStyle w:val="Author"/>
        <w:spacing w:before="5pt" w:beforeAutospacing="1"/>
        <w:rPr>
          <w:sz w:val="16"/>
          <w:szCs w:val="16"/>
        </w:rPr>
        <w:sectPr w:rsidR="00CA4392" w:rsidRPr="00F847A6" w:rsidSect="007C47AE">
          <w:type w:val="continuous"/>
          <w:pgSz w:w="612pt" w:h="792pt" w:code="1"/>
          <w:pgMar w:top="54pt" w:right="44.65pt" w:bottom="72pt" w:left="44.65pt" w:header="36pt" w:footer="36pt" w:gutter="0pt"/>
          <w:cols w:space="10.80pt"/>
          <w:docGrid w:linePitch="360"/>
        </w:sectPr>
      </w:pPr>
      <w:r w:rsidRPr="00D459D2">
        <w:rPr>
          <w:sz w:val="18"/>
          <w:szCs w:val="18"/>
        </w:rPr>
        <w:lastRenderedPageBreak/>
        <w:t>Atreyee Sharma</w:t>
      </w:r>
      <w:r w:rsidR="001A3B3D" w:rsidRPr="00F847A6">
        <w:rPr>
          <w:sz w:val="18"/>
          <w:szCs w:val="18"/>
        </w:rPr>
        <w:t xml:space="preserve"> </w:t>
      </w:r>
      <w:r w:rsidR="001A3B3D" w:rsidRPr="00F847A6">
        <w:rPr>
          <w:sz w:val="18"/>
          <w:szCs w:val="18"/>
        </w:rPr>
        <w:br/>
      </w:r>
      <w:r w:rsidRPr="00D66ABC">
        <w:rPr>
          <w:i/>
          <w:sz w:val="18"/>
          <w:szCs w:val="18"/>
        </w:rPr>
        <w:t>Department of Computational Linguistics</w:t>
      </w:r>
      <w:r w:rsidR="00D72D06" w:rsidRPr="00D66ABC">
        <w:rPr>
          <w:i/>
          <w:sz w:val="18"/>
          <w:szCs w:val="18"/>
        </w:rPr>
        <w:br/>
      </w:r>
      <w:r w:rsidRPr="00D66ABC">
        <w:rPr>
          <w:i/>
          <w:sz w:val="18"/>
          <w:szCs w:val="18"/>
        </w:rPr>
        <w:t>The English and Foreign Languages University</w:t>
      </w:r>
      <w:r w:rsidR="001A3B3D" w:rsidRPr="00D66ABC">
        <w:rPr>
          <w:i/>
          <w:sz w:val="18"/>
          <w:szCs w:val="18"/>
        </w:rPr>
        <w:br/>
      </w:r>
      <w:r w:rsidRPr="007C47AE">
        <w:rPr>
          <w:sz w:val="18"/>
          <w:szCs w:val="18"/>
        </w:rPr>
        <w:t>Hyderabad, India 500007</w:t>
      </w:r>
      <w:r w:rsidR="001A3B3D" w:rsidRPr="00F847A6">
        <w:rPr>
          <w:sz w:val="18"/>
          <w:szCs w:val="18"/>
        </w:rPr>
        <w:br/>
      </w:r>
      <w:r w:rsidRPr="007C47AE">
        <w:rPr>
          <w:sz w:val="18"/>
          <w:szCs w:val="18"/>
        </w:rPr>
        <w:t>atreyee.sharma@efluniversity.ac.in</w:t>
      </w: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7927E87A" w14:textId="77777777" w:rsidR="007C47AE" w:rsidRDefault="009303D9" w:rsidP="007C47AE">
      <w:pPr>
        <w:pStyle w:val="Abstract"/>
      </w:pPr>
      <w:r>
        <w:rPr>
          <w:i/>
          <w:iCs/>
        </w:rPr>
        <w:lastRenderedPageBreak/>
        <w:t>Abstract</w:t>
      </w:r>
      <w:r>
        <w:t>—</w:t>
      </w:r>
      <w:r w:rsidR="007C47AE">
        <w:t>The purpose of this study is to explore ambiguity in two low resourced languages, Nagamese and Sambalpuri, the result of which can be used for various NLP applications. Ambiguity refers to the phenomenon of a word or expression having more than one interpretation. The study focuses primarily on lexical and syntactic ambiguity, which occurs when a single word conveys multiple meanings. Like in many other languages, lexical ambiguity is prevalent in Nagamese and Sambalpuri. The aim of the experiments was also to figure out certain, possibly patterned, trends in sentential selection through a grammatical perspective – more specifically the rate of occurrence of errors, in the native speakers Nagamese and Sambalpuri, so that predictive analysis is aided for different ambiguities occurring in NLP applications.</w:t>
      </w:r>
    </w:p>
    <w:p w14:paraId="267708E4" w14:textId="0B0E9240" w:rsidR="004D72B5" w:rsidRDefault="007C47AE" w:rsidP="007C47AE">
      <w:pPr>
        <w:pStyle w:val="Abstract"/>
        <w:rPr>
          <w:i/>
          <w:iCs/>
        </w:rPr>
      </w:pPr>
      <w:r>
        <w:t>In order to observe these apparent trends, an excellent display system is used, namely DMDX, for framing the test, in recording the RTs, or Reaction Times, as well as the correctness of the responses that are provided to us by the test subjects. The two brief DMDX based experiments on sentence processing also provides a perspective on how the human brain and speech perception processes interpret ambiguous stimuli</w:t>
      </w:r>
      <w:r w:rsidR="001A42EA">
        <w:rPr>
          <w:iCs/>
        </w:rPr>
        <w:t xml:space="preserve"> </w:t>
      </w:r>
    </w:p>
    <w:p w14:paraId="3F9CDE0E" w14:textId="00AE1CA5" w:rsidR="009303D9" w:rsidRPr="004D72B5" w:rsidRDefault="004D72B5" w:rsidP="00972203">
      <w:pPr>
        <w:pStyle w:val="Keywords"/>
      </w:pPr>
      <w:r w:rsidRPr="004D72B5">
        <w:t>Keywords—</w:t>
      </w:r>
      <w:r w:rsidR="007C47AE" w:rsidRPr="007C47AE">
        <w:t xml:space="preserve"> lexical ambiguity, DMDX, ambiguous stimuli, sentence processing, NLP, Reaction Time</w:t>
      </w:r>
    </w:p>
    <w:p w14:paraId="7FFFA702" w14:textId="4950B9E8" w:rsidR="009303D9" w:rsidRPr="00D632BE" w:rsidRDefault="009303D9" w:rsidP="006B6B66">
      <w:pPr>
        <w:pStyle w:val="Heading1"/>
      </w:pPr>
      <w:r w:rsidRPr="00D632BE">
        <w:t xml:space="preserve">Introduction </w:t>
      </w:r>
    </w:p>
    <w:p w14:paraId="6B85A945" w14:textId="77777777" w:rsidR="007C47AE" w:rsidRPr="00D459D2" w:rsidRDefault="007C47AE" w:rsidP="00B32FF7">
      <w:pPr>
        <w:spacing w:after="12pt"/>
        <w:ind w:firstLine="36pt"/>
        <w:jc w:val="both"/>
      </w:pPr>
      <w:r w:rsidRPr="00D459D2">
        <w:t xml:space="preserve">Ambiguity, in linguistics, refers to the capacity of an expression to be interpreted in multiple ways. There are two main types: lexical ambiguity and structural ambiguity. This paper primarily deals with lexical ambiguity in Nagamese and Sambalpuri, highlighting its occurrence and implications in human sentence processing. Ambiguity is a quality of language that makes speech or written text open to multiple interpretations. That quality makes the meaning difficult or impossible for a person or artificial intelligence (AI) program to reliably decode without some additional information. Figurative language can also be a problem for the interpretation of speech or writing, particularly for non-native speakers and natural language processing (NLP) software. Figurative language includes figures of speech such as metaphor, irony, idioms and puns, as well as imagery and sound-based devices, many of which pose their own particular challenges for comprehension. The use of multi-defined words requires the author or speaker to clarify their context and sometimes elaborate on their specific intended meaning. The goal of clear </w:t>
      </w:r>
      <w:r w:rsidRPr="00D459D2">
        <w:lastRenderedPageBreak/>
        <w:t>concise communication is that the receiver has no misunderstanding about what was meant to be conveyed.</w:t>
      </w:r>
    </w:p>
    <w:p w14:paraId="01BBB4B5" w14:textId="77777777" w:rsidR="007C47AE" w:rsidRPr="00021477" w:rsidRDefault="007C47AE" w:rsidP="00B32FF7">
      <w:pPr>
        <w:spacing w:after="12pt"/>
        <w:ind w:firstLine="14.40pt"/>
        <w:jc w:val="both"/>
      </w:pPr>
      <w:r w:rsidRPr="00D459D2">
        <w:t xml:space="preserve">Talking of the two languages, </w:t>
      </w:r>
      <w:r w:rsidRPr="00021477">
        <w:t xml:space="preserve">Nagamese is a creole language that emerged as a </w:t>
      </w:r>
      <w:r w:rsidRPr="00021477">
        <w:rPr>
          <w:i/>
          <w:iCs/>
        </w:rPr>
        <w:t>lingua franca</w:t>
      </w:r>
      <w:r w:rsidRPr="00021477">
        <w:t xml:space="preserve"> among the various Naga tribes rather than as a distinct tribal language. It primarily evolved for oral communication in marketplaces and inter-tribal interactions, rather than for formal or literary use.</w:t>
      </w:r>
      <w:r w:rsidRPr="00D459D2">
        <w:t xml:space="preserve"> </w:t>
      </w:r>
      <w:r w:rsidRPr="00021477">
        <w:t>Traditionally, Nagamese did not possess its own writing system. The adoption of the Roman script is a relatively recent development, which has restricted the growth of standardized written materials and formal documentation.</w:t>
      </w:r>
    </w:p>
    <w:p w14:paraId="191021F4" w14:textId="77777777" w:rsidR="007C47AE" w:rsidRPr="00D459D2" w:rsidRDefault="007C47AE" w:rsidP="00B32FF7">
      <w:pPr>
        <w:spacing w:after="12pt"/>
        <w:ind w:firstLine="14.40pt"/>
        <w:jc w:val="both"/>
      </w:pPr>
      <w:r w:rsidRPr="00021477">
        <w:t>Compared to widely spoken languages, Nagamese remains a low-resource language with limited linguistic and digital resources. This scarcity makes it difficult to compile, process, or analyze large-scale linguistic data for research or technological applications.</w:t>
      </w:r>
    </w:p>
    <w:p w14:paraId="1AF348D7" w14:textId="77777777" w:rsidR="007C47AE" w:rsidRPr="00A101EE" w:rsidRDefault="007C47AE" w:rsidP="00B32FF7">
      <w:pPr>
        <w:spacing w:after="12pt"/>
        <w:ind w:firstLine="14.40pt"/>
        <w:jc w:val="both"/>
        <w:rPr>
          <w:b/>
          <w:bCs/>
        </w:rPr>
      </w:pPr>
      <w:r w:rsidRPr="00D459D2">
        <w:t>A</w:t>
      </w:r>
      <w:r w:rsidRPr="00A101EE">
        <w:t>lso called Sambalpuri Odia,</w:t>
      </w:r>
      <w:r w:rsidRPr="00D459D2">
        <w:t xml:space="preserve"> Sambalpuri</w:t>
      </w:r>
      <w:r w:rsidRPr="00A101EE">
        <w:t xml:space="preserve"> is an Indo-Aryan language spoken mainly in western Odisha districts like Sambalpur, Balangir, Bargarh, and Jharsuguda. Though often classified as a dialect of Odia, it has distinct phonetic, grammatical, and lexical features influenced by tribal and Dravidian languages.</w:t>
      </w:r>
      <w:r w:rsidRPr="00D459D2">
        <w:rPr>
          <w:b/>
          <w:bCs/>
        </w:rPr>
        <w:t xml:space="preserve"> </w:t>
      </w:r>
      <w:r w:rsidRPr="00A101EE">
        <w:t>Sambalpuri is written in the Odia script and has a rich oral tradition of folk songs, poetry, and storytelling. Prominent poets like Haldhar Nag have played a key role in promoting Sambalpuri literature.</w:t>
      </w:r>
    </w:p>
    <w:p w14:paraId="0DB6F576" w14:textId="6993228C" w:rsidR="009303D9" w:rsidRPr="005B520E" w:rsidRDefault="00B32FF7" w:rsidP="00B32FF7">
      <w:pPr>
        <w:pStyle w:val="BodyText"/>
        <w:ind w:firstLine="0pt"/>
      </w:pPr>
      <w:r>
        <w:tab/>
      </w:r>
      <w:r w:rsidR="007C47AE" w:rsidRPr="00A101EE">
        <w:t>While not yet officially recognized as a separate language, there is an active movement to include Sambalpuri in the Eighth Schedule of the Indian Constitution. Media, local organizations, and scholars are working to preserve and standardize it through literature, education, and digital platforms.</w:t>
      </w:r>
    </w:p>
    <w:p w14:paraId="41D86DCD" w14:textId="7E353FF5" w:rsidR="007C47AE" w:rsidRPr="00D459D2" w:rsidRDefault="007C47AE" w:rsidP="007C47AE">
      <w:pPr>
        <w:pStyle w:val="Heading1"/>
      </w:pPr>
      <w:r w:rsidRPr="00D459D2">
        <w:t>Literature Review</w:t>
      </w:r>
    </w:p>
    <w:p w14:paraId="7442ED85" w14:textId="77777777" w:rsidR="005A69D2" w:rsidRPr="00FF4FA1" w:rsidRDefault="005A69D2" w:rsidP="00B32FF7">
      <w:pPr>
        <w:spacing w:after="12pt"/>
        <w:ind w:firstLine="10.80pt"/>
        <w:jc w:val="both"/>
      </w:pPr>
      <w:r w:rsidRPr="00FF4FA1">
        <w:t>One of the earliest linguistic descriptions of Nagamese, analyzing its structure, vocabulary, and function as a contact language among Naga tribes</w:t>
      </w:r>
      <w:r w:rsidRPr="00D459D2">
        <w:t xml:space="preserve"> is </w:t>
      </w:r>
      <w:r w:rsidRPr="00FF4FA1">
        <w:t>Govind Choudhury (1973) – “Nagamese: The Lingua Franca of Nagaland”.</w:t>
      </w:r>
      <w:r w:rsidRPr="00D459D2">
        <w:t xml:space="preserve"> </w:t>
      </w:r>
      <w:r w:rsidRPr="00FF4FA1">
        <w:t xml:space="preserve">J. R. Grimes (1989) – </w:t>
      </w:r>
      <w:r w:rsidRPr="00FF4FA1">
        <w:rPr>
          <w:i/>
          <w:iCs/>
        </w:rPr>
        <w:t>Ethnologue: Languages of the World</w:t>
      </w:r>
      <w:r w:rsidRPr="00D459D2">
        <w:t xml:space="preserve"> d</w:t>
      </w:r>
      <w:r w:rsidRPr="00FF4FA1">
        <w:t>escribes Nagamese as an Assamese-based pidgin that evolved into a creole serving as a trade and intertribal communication medium.</w:t>
      </w:r>
      <w:r w:rsidRPr="00D459D2">
        <w:t xml:space="preserve"> </w:t>
      </w:r>
      <w:r w:rsidRPr="00FF4FA1">
        <w:t xml:space="preserve">A detailed analysis of the creolization process, showing how Nagamese stabilized and developed distinct </w:t>
      </w:r>
      <w:r w:rsidRPr="00FF4FA1">
        <w:lastRenderedPageBreak/>
        <w:t>syntactic patterns</w:t>
      </w:r>
      <w:r w:rsidRPr="00D459D2">
        <w:t xml:space="preserve"> was by </w:t>
      </w:r>
      <w:r w:rsidRPr="00FF4FA1">
        <w:t>Sreedhar, M. V. (1985) – “Nagamese: A Pidgin Creole”</w:t>
      </w:r>
      <w:r w:rsidRPr="00D459D2">
        <w:t xml:space="preserve">. </w:t>
      </w:r>
      <w:r w:rsidRPr="00FF4FA1">
        <w:t>Arokianathan, S. (1998) – “Language Use and Identity in Nagaland”</w:t>
      </w:r>
      <w:r w:rsidRPr="00D459D2">
        <w:t xml:space="preserve"> d</w:t>
      </w:r>
      <w:r w:rsidRPr="00FF4FA1">
        <w:t>iscusses Nagamese as a unifying medium across ethnic boundaries, contrasting it with English and mother tongues in education and administration.</w:t>
      </w:r>
      <w:r w:rsidRPr="00D459D2">
        <w:t xml:space="preserve"> </w:t>
      </w:r>
      <w:r w:rsidRPr="00FF4FA1">
        <w:t xml:space="preserve">Kumar, Rajesh (2009) – </w:t>
      </w:r>
      <w:r w:rsidRPr="00FF4FA1">
        <w:rPr>
          <w:i/>
          <w:iCs/>
        </w:rPr>
        <w:t>Sociolinguistic</w:t>
      </w:r>
      <w:r w:rsidRPr="00D459D2">
        <w:rPr>
          <w:i/>
          <w:iCs/>
        </w:rPr>
        <w:t xml:space="preserve"> </w:t>
      </w:r>
      <w:r w:rsidRPr="00FF4FA1">
        <w:rPr>
          <w:i/>
          <w:iCs/>
        </w:rPr>
        <w:t>Aspects of Nagamese</w:t>
      </w:r>
      <w:r w:rsidRPr="00FF4FA1">
        <w:br/>
      </w:r>
      <w:r w:rsidRPr="00D459D2">
        <w:t>f</w:t>
      </w:r>
      <w:r w:rsidRPr="00FF4FA1">
        <w:t>ocuses on how Nagamese functions in urban and rural Nagaland, examining code-switching and diglossia with English and tribal languages.</w:t>
      </w:r>
    </w:p>
    <w:p w14:paraId="469EF829" w14:textId="77777777" w:rsidR="005A69D2" w:rsidRPr="00D459D2" w:rsidRDefault="005A69D2" w:rsidP="00B32FF7">
      <w:pPr>
        <w:pStyle w:val="NormalWeb"/>
        <w:spacing w:before="0pt" w:beforeAutospacing="0" w:after="12pt" w:afterAutospacing="0"/>
        <w:ind w:firstLine="10.80pt"/>
        <w:jc w:val="both"/>
        <w:rPr>
          <w:rFonts w:eastAsiaTheme="minorEastAsia"/>
          <w:sz w:val="20"/>
          <w:szCs w:val="20"/>
        </w:rPr>
      </w:pPr>
      <w:r w:rsidRPr="00D459D2">
        <w:rPr>
          <w:rFonts w:eastAsiaTheme="minorEastAsia"/>
          <w:sz w:val="20"/>
          <w:szCs w:val="20"/>
        </w:rPr>
        <w:t>More recent studies (2010–2023) explore language attitudes, urbanization effects, and the growing presence of Nagamese in digital communication, noting both opportunities and challenges for its standardization and formal recognition. Collectively, the literature presents Nagamese as a functional and adaptive language that bridges linguistic diversity in Nagaland. Its evolution from a pidgin to a stabilized creole demonstrates the interplay between language contact, social necessity, and community identity. Despite its limited formal recognition, Nagamese continues to thrive as a practical medium of communication and as a marker of regional identity, with ongoing research emphasizing the need for documentation, preservation, and potential standardization (Govind Choudhury, 1973; Sreedhar, 1985; Kumar, 2009).</w:t>
      </w:r>
    </w:p>
    <w:p w14:paraId="5BA305A6" w14:textId="77777777" w:rsidR="005A69D2" w:rsidRPr="00D459D2" w:rsidRDefault="005A69D2" w:rsidP="00B32FF7">
      <w:pPr>
        <w:pStyle w:val="NormalWeb"/>
        <w:spacing w:before="0pt" w:beforeAutospacing="0" w:after="12pt" w:afterAutospacing="0"/>
        <w:ind w:firstLine="10.80pt"/>
        <w:jc w:val="both"/>
        <w:rPr>
          <w:sz w:val="20"/>
          <w:szCs w:val="20"/>
        </w:rPr>
      </w:pPr>
      <w:r w:rsidRPr="00D459D2">
        <w:rPr>
          <w:sz w:val="20"/>
          <w:szCs w:val="20"/>
        </w:rPr>
        <w:t xml:space="preserve">Sambalpuri on the other hand is an </w:t>
      </w:r>
      <w:r w:rsidRPr="00D459D2">
        <w:rPr>
          <w:rStyle w:val="Strong"/>
          <w:sz w:val="20"/>
          <w:szCs w:val="20"/>
        </w:rPr>
        <w:t>Indo-Aryan language</w:t>
      </w:r>
      <w:r w:rsidRPr="00D459D2">
        <w:rPr>
          <w:sz w:val="20"/>
          <w:szCs w:val="20"/>
        </w:rPr>
        <w:t xml:space="preserve"> spoken in western Odisha, India. It is often considered a dialect of Odia but exhibits distinct phonological, morphological, and syntactic features. For instance, vowel deletion is prevalent in Sambalpuri, distinguishing it from Standard Odia. A study by Kushal (2023) provides a typological analysis of negation in Sambalpuri, highlighting its use of multiple negative markers and preverbal negation position, which differ from standard Sambalpuri serves as a </w:t>
      </w:r>
      <w:r w:rsidRPr="00D459D2">
        <w:rPr>
          <w:rStyle w:val="Strong"/>
          <w:sz w:val="20"/>
          <w:szCs w:val="20"/>
        </w:rPr>
        <w:t>lingua franca</w:t>
      </w:r>
      <w:r w:rsidRPr="00D459D2">
        <w:rPr>
          <w:sz w:val="20"/>
          <w:szCs w:val="20"/>
        </w:rPr>
        <w:t xml:space="preserve"> among diverse tribal communities in western Odisha. A sociolinguistic survey by Mathai &amp; Kelsall (2013) assesses the need for further development in Sambalpuri language and literature, emphasizing its role in regional identity. The debate over Sambalpuri's status—whether as a dialect of Odia or a separate language—has implications for its recognition and preservation. Some researchers advocate for its inclusion in the Eighth Schedule of the Indian Constitution to ensure its survival and development </w:t>
      </w:r>
    </w:p>
    <w:p w14:paraId="181C9975" w14:textId="77777777" w:rsidR="005A69D2" w:rsidRPr="00D459D2" w:rsidRDefault="005A69D2" w:rsidP="00B32FF7">
      <w:pPr>
        <w:pStyle w:val="NormalWeb"/>
        <w:spacing w:before="0pt" w:beforeAutospacing="0" w:after="12pt" w:afterAutospacing="0"/>
        <w:ind w:firstLine="10.80pt"/>
        <w:jc w:val="both"/>
        <w:rPr>
          <w:sz w:val="20"/>
          <w:szCs w:val="20"/>
        </w:rPr>
      </w:pPr>
      <w:r w:rsidRPr="00D459D2">
        <w:rPr>
          <w:sz w:val="20"/>
          <w:szCs w:val="20"/>
        </w:rPr>
        <w:t>Sambalpuri has a rich literary tradition, with significant contributions from poets and writers. Satya Narayan Bohidar (1913–1980) was a pioneer in Sambalpuri literature, authoring a dictionary and grammar that provided a significant identity to the language. Narasingha Prasad Guru, a prominent figure, has composed over 500 songs and authored more than 10 books in Sambalpuri, promoting the language for over five decades.</w:t>
      </w:r>
    </w:p>
    <w:p w14:paraId="1C37E36A" w14:textId="77777777" w:rsidR="005A69D2" w:rsidRPr="00D459D2" w:rsidRDefault="005A69D2" w:rsidP="00B32FF7">
      <w:pPr>
        <w:pStyle w:val="NormalWeb"/>
        <w:spacing w:before="0pt" w:beforeAutospacing="0" w:after="12pt" w:afterAutospacing="0"/>
        <w:ind w:firstLine="10.80pt"/>
        <w:jc w:val="both"/>
        <w:rPr>
          <w:sz w:val="20"/>
          <w:szCs w:val="20"/>
        </w:rPr>
      </w:pPr>
      <w:r w:rsidRPr="00D459D2">
        <w:rPr>
          <w:sz w:val="20"/>
          <w:szCs w:val="20"/>
        </w:rPr>
        <w:t xml:space="preserve">Recent efforts focus on documenting and preserving Sambalpuri. An online dictionary project aims to provide resources for technological advancement and future research into the language. However, challenges persist, including the lack of standardized orthography and limited digital resources, </w:t>
      </w:r>
      <w:r w:rsidRPr="00D459D2">
        <w:rPr>
          <w:sz w:val="20"/>
          <w:szCs w:val="20"/>
        </w:rPr>
        <w:lastRenderedPageBreak/>
        <w:t>hindering the development of tools like statistical parts-of-speech taggers for the language.</w:t>
      </w:r>
    </w:p>
    <w:p w14:paraId="271C1F0B" w14:textId="77777777" w:rsidR="005A69D2" w:rsidRDefault="005A69D2" w:rsidP="00B32FF7">
      <w:pPr>
        <w:spacing w:after="12pt"/>
        <w:ind w:firstLine="10.80pt"/>
        <w:jc w:val="both"/>
      </w:pPr>
      <w:r w:rsidRPr="00D459D2">
        <w:t>In summary, Sambalpuri has a vibrant literary tradition as compared to Nagamese. While it faces challenges in standardization and recognition, ongoing efforts in documentation and advocacy continue to support its preservation and development.</w:t>
      </w:r>
    </w:p>
    <w:p w14:paraId="33134946" w14:textId="77777777" w:rsidR="00E33A07" w:rsidRPr="00E33A07" w:rsidRDefault="00E33A07" w:rsidP="00E33A07">
      <w:pPr>
        <w:spacing w:after="12pt"/>
        <w:ind w:firstLine="10.80pt"/>
        <w:jc w:val="both"/>
      </w:pPr>
      <w:r w:rsidRPr="00E33A07">
        <w:t>Natural Language Processing (NLP) aims to enable computational systems to analyze and interpret human language, with sentence processing forming a central component of this goal. Early NLP systems were primarily rule-based, relying on formal grammars and symbolic parsing techniques to model sentence structure. While these approaches provided clear linguistic representations, they were limited in handling ambiguity and linguistic variability.</w:t>
      </w:r>
    </w:p>
    <w:p w14:paraId="05EEC160" w14:textId="77777777" w:rsidR="00E33A07" w:rsidRPr="00E33A07" w:rsidRDefault="00E33A07" w:rsidP="00E33A07">
      <w:pPr>
        <w:spacing w:after="12pt"/>
        <w:ind w:firstLine="10.80pt"/>
        <w:jc w:val="both"/>
      </w:pPr>
      <w:r w:rsidRPr="00E33A07">
        <w:t>The shift to statistical NLP introduced probabilistic models such as n-gram language models and probabilistic parsers, allowing sentence interpretation to be modeled as a process influenced by frequency and likelihood. These developments aligned NLP more closely with psycholinguistic research, which has long demonstrated that human sentence processing is incremental, probabilistic, and sensitive to multiple interacting constraints, including lexical frequency, syntactic expectations, and semantic plausibility.</w:t>
      </w:r>
    </w:p>
    <w:p w14:paraId="337D232B" w14:textId="77777777" w:rsidR="00E33A07" w:rsidRPr="00E33A07" w:rsidRDefault="00E33A07" w:rsidP="00E33A07">
      <w:pPr>
        <w:spacing w:after="12pt"/>
        <w:ind w:firstLine="10.80pt"/>
        <w:jc w:val="both"/>
      </w:pPr>
      <w:r w:rsidRPr="00E33A07">
        <w:t>Recent advances in neural NLP, particularly the adoption of transformer-based architectures, have significantly improved sentence-level tasks such as parsing, machine translation, and semantic understanding. Contextualized representations enable models to capture syntactic and semantic dependencies across entire sentences, facilitating more robust handling of ambiguity. However, despite their success, these models often lack transparency and do not consistently mirror human cognitive strategies in sentence comprehension.</w:t>
      </w:r>
    </w:p>
    <w:p w14:paraId="62BAF14D" w14:textId="77777777" w:rsidR="00E33A07" w:rsidRPr="00E33A07" w:rsidRDefault="00E33A07" w:rsidP="00E33A07">
      <w:pPr>
        <w:spacing w:after="12pt"/>
        <w:ind w:firstLine="10.80pt"/>
        <w:jc w:val="both"/>
      </w:pPr>
      <w:r w:rsidRPr="00E33A07">
        <w:t>In psycholinguistics, sentence processing research emphasizes real-time comprehension and ambiguity resolution. Constraint-based and predictive models suggest that humans activate multiple interpretations during processing and resolve them using probabilistic cues derived from linguistic experience and context. Experimental measures such as reading times and eye-tracking provide empirical evidence for these mechanisms.</w:t>
      </w:r>
    </w:p>
    <w:p w14:paraId="38C7F828" w14:textId="77777777" w:rsidR="00E33A07" w:rsidRPr="00E33A07" w:rsidRDefault="00E33A07" w:rsidP="00E33A07">
      <w:pPr>
        <w:spacing w:after="12pt"/>
        <w:ind w:firstLine="10.80pt"/>
        <w:jc w:val="both"/>
      </w:pPr>
      <w:r w:rsidRPr="00E33A07">
        <w:t>An emerging body of interdisciplinary work seeks to connect NLP models with human sentence processing by evaluating computational predictions against human behavioral data. Metrics such as surprisal, derived from language models, have been shown to correlate with human processing difficulty, suggesting partial cognitive plausibility. Nevertheless, discrepancies remain, particularly in pragmatic inference and discourse-level interpretation.</w:t>
      </w:r>
    </w:p>
    <w:p w14:paraId="6A87E08F" w14:textId="77777777" w:rsidR="00E33A07" w:rsidRPr="00E33A07" w:rsidRDefault="00E33A07" w:rsidP="00E33A07">
      <w:pPr>
        <w:spacing w:after="12pt"/>
        <w:ind w:firstLine="10.80pt"/>
        <w:jc w:val="both"/>
      </w:pPr>
      <w:r w:rsidRPr="00E33A07">
        <w:lastRenderedPageBreak/>
        <w:t>Overall, existing literature indicates that while modern NLP systems achieve high performance in sentence-level tasks, integrating insights from human sentence processing remains crucial. Such integration is especially important for developing cognitively informed and robust NLP models, particularly for low-resource and linguistically diverse languages.</w:t>
      </w:r>
    </w:p>
    <w:p w14:paraId="24DE2389" w14:textId="70D780EE" w:rsidR="00E33A07" w:rsidRPr="00E33A07" w:rsidRDefault="008C7FE0" w:rsidP="00E33A07">
      <w:pPr>
        <w:spacing w:after="12pt"/>
        <w:ind w:firstLine="10.80pt"/>
        <w:jc w:val="both"/>
      </w:pPr>
      <w:r>
        <mc:AlternateContent>
          <mc:Choice Requires="v">
            <w:pict w14:anchorId="22F52EDB">
              <v:rect id="_x0000_i1025" style="width:0;height:1.5pt" o:hralign="center" o:hrstd="t" o:hr="t" fillcolor="#a0a0a0" stroked="f"/>
            </w:pict>
          </mc:Choice>
          <mc:Fallback>
            <w:drawing>
              <wp:inline distT="0" distB="0" distL="0" distR="0" wp14:anchorId="3F453765" wp14:editId="12509AA1">
                <wp:extent cx="635" cy="13970"/>
                <wp:effectExtent l="0" t="0" r="0" b="0"/>
                <wp:docPr id="1" name="Horizontal Lin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0"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17A9532B" w14:textId="44583BAD" w:rsidR="009303D9" w:rsidRPr="005B520E" w:rsidRDefault="005A69D2" w:rsidP="00E33A07">
      <w:pPr>
        <w:ind w:firstLine="10.80pt"/>
        <w:jc w:val="both"/>
      </w:pPr>
      <w:r w:rsidRPr="00D459D2">
        <w:t>NLP traditions in both the languages are very limited. There needs to be creation of a proper digital database and annotation by the community and for the community. Low-resource languages, typically spoken by smaller or marginalized communities like these two languages, face significant barriers in advancing NLP applications. The main challenges include the lack of large, annotated datasets, standardized tools, and linguistic resources, which limits the effectiveness of data-driven methods. These languages often have complex grammar, diverse vocabularies, and unique sociocultural contexts, making standard NLP techniques less effective. To overcome these issues, researchers are developing innovative strategies such as community-driven data collection, resource sharing, and collaborative dataset creation to strengthen NLP support for low-resource languages. Developing NLP applications for low-resource languages is vital for preserving linguistic diversity, promoting digital inclusion, and deepening our understanding of human language. Despite ongoing challenges, current strategies show steady progress and reveal the potential of NLP to empower low-resource language communities, fostering a more equitable and inclusive language technology landscape. This study is an attempt to contribute to the ongoing efforts.</w:t>
      </w:r>
    </w:p>
    <w:p w14:paraId="65313B9F" w14:textId="537F329E" w:rsidR="009303D9" w:rsidRDefault="005A69D2" w:rsidP="006B6B66">
      <w:pPr>
        <w:pStyle w:val="Heading1"/>
      </w:pPr>
      <w:r w:rsidRPr="00D459D2">
        <w:t>Ambiguity in NLP</w:t>
      </w:r>
    </w:p>
    <w:p w14:paraId="3B6F0534" w14:textId="32F70E2A" w:rsidR="009303D9" w:rsidRPr="005B520E" w:rsidRDefault="00B32FF7" w:rsidP="00B32FF7">
      <w:pPr>
        <w:pStyle w:val="BodyText"/>
        <w:ind w:firstLine="0pt"/>
      </w:pPr>
      <w:r>
        <w:tab/>
      </w:r>
      <w:r w:rsidR="005A69D2" w:rsidRPr="00D459D2">
        <w:t>Ambiguity in NLP occurs when words or sentences have multiple interpretations based on context, structure, or intent. Lexical ambiguity arises when a word has several meanings, such as “ball,” which may refer to a dance or sports equipment. Syntactic ambiguity occurs when sentence structure allows different interpretations, as in “The boy kicked the ball in his jeans.” Semantic ambiguity appears when a sentence conveys more than one idea, like “flying planes can be dangerous.” Pragmatic ambiguity depends on context or speaker intent, for example, “Can you open the door?” may be a request or a literal question. Referential ambiguity happens when pronouns have unclear references, such as “Ana told Mary that she would win.” Lastly, Ellipsis ambiguity arises when omitted words lead to confusion, as in “Ram likes cakes, and Mini does too.”</w:t>
      </w:r>
    </w:p>
    <w:p w14:paraId="2D27694B" w14:textId="0B4BDA1B" w:rsidR="009303D9" w:rsidRDefault="005A69D2" w:rsidP="005A69D2">
      <w:pPr>
        <w:pStyle w:val="Heading2"/>
      </w:pPr>
      <w:r w:rsidRPr="005A69D2">
        <w:t>Addressing Ambiguity in NLP</w:t>
      </w:r>
    </w:p>
    <w:p w14:paraId="5BFF2E12" w14:textId="4AE73986" w:rsidR="009303D9" w:rsidRPr="005B520E" w:rsidRDefault="00B32FF7" w:rsidP="00B32FF7">
      <w:pPr>
        <w:pStyle w:val="BodyText"/>
        <w:ind w:firstLine="0pt"/>
      </w:pPr>
      <w:r>
        <w:tab/>
      </w:r>
      <w:r w:rsidR="005A69D2" w:rsidRPr="005A69D2">
        <w:t>Ambiguity in NLP is handled through Contextual analysis – using surrounding words to find meaning, Word Sense Disambiguation (WSD) – identifying correct word meanings from context, Syntactic parsing – analyzing grammar to resolve structure-based ambiguity, Coreference resolution – linking pronouns or phrases to their references, Pragmatic modeling – interpreting speaker intent and context, Deep learning models (BERT, GPT) – learning context patterns to improve disambiguation.</w:t>
      </w:r>
    </w:p>
    <w:p w14:paraId="679761D9" w14:textId="0B8251E5" w:rsidR="009303D9" w:rsidRDefault="005A69D2" w:rsidP="005A69D2">
      <w:pPr>
        <w:pStyle w:val="Heading2"/>
      </w:pPr>
      <w:r w:rsidRPr="005A69D2">
        <w:lastRenderedPageBreak/>
        <w:t>Role of Sentence Processing Experiments in Addressing Ambiguity in NLP</w:t>
      </w:r>
    </w:p>
    <w:p w14:paraId="3C027896" w14:textId="5134F5F6" w:rsidR="005A69D2" w:rsidRPr="001A7C6A" w:rsidRDefault="005A69D2" w:rsidP="00B32FF7">
      <w:pPr>
        <w:spacing w:after="12pt"/>
        <w:ind w:firstLine="14.40pt"/>
        <w:jc w:val="both"/>
      </w:pPr>
      <w:r w:rsidRPr="001A7C6A">
        <w:t>Sentence processing experiments are fundamental in understanding how humans interpret and disambiguate language in real time. These experiments, often conducted in the fields of psycholinguistics and cognitive science, investigate how readers or listeners process sentences that contain ambiguous structures, words, or meanings. By examining how the human brain resolves ambiguity, these studies provide valuable insights that can be incorporated into Natural Language Processing (NLP) models to enhance language understanding.</w:t>
      </w:r>
    </w:p>
    <w:p w14:paraId="28732AE1" w14:textId="77777777" w:rsidR="005A69D2" w:rsidRDefault="005A69D2" w:rsidP="00B32FF7">
      <w:pPr>
        <w:spacing w:after="12pt"/>
        <w:ind w:firstLine="14.40pt"/>
        <w:jc w:val="both"/>
      </w:pPr>
      <w:r w:rsidRPr="001A7C6A">
        <w:t>In such experiments, participants are typically exposed to sentences with lexical, syntactic, or semantic ambiguity, and their comprehension processes are measured using methods like eye-tracking, reaction time analysis, self-paced reading, and neuroimaging techniques (e.g., EEG or fMRI). These tools help identify how humans use context, word order, and prior knowledge to determine the most plausible interpretation of a sentence. For example, when processing a syntactically ambiguous sentence like “The old man the boats,” humans use contextual and grammatical cues to resolve the confusion that might initially arise.</w:t>
      </w:r>
    </w:p>
    <w:p w14:paraId="1702EB67" w14:textId="6AB12206" w:rsidR="005A69D2" w:rsidRDefault="005A69D2" w:rsidP="00B32FF7">
      <w:pPr>
        <w:ind w:firstLine="10.80pt"/>
        <w:jc w:val="both"/>
      </w:pPr>
      <w:r w:rsidRPr="001A7C6A">
        <w:t xml:space="preserve">The results of these experiments contribute to NLP in several </w:t>
      </w:r>
      <w:r w:rsidRPr="00D459D2">
        <w:t>keyways</w:t>
      </w:r>
      <w:r>
        <w:t xml:space="preserve">. </w:t>
      </w:r>
      <w:r w:rsidRPr="00EA7D78">
        <w:t>NLP systems can leverage insights from human sentence processing to better handle ambiguity. By modeling how humans prioritize cues such as word frequency, syntax, and semantics, algorithms can improve word sense disambiguation, select correct meanings for polysemous words, and enhance tasks like translation, search, and sentiment analysis. Human strategies for interpreting complex or ambiguous grammatical structures inform syntactic parser training, while contextual cue integration helps deep learning models like BERT and GPT interpret expressions within broader discourse. Additionally, understanding prior discourse, tone, and world knowledge allows NLP systems to resolve pragmatic and referential ambiguities, enhancing dialogue systems, chatbots, and machine translation.</w:t>
      </w:r>
      <w:r w:rsidRPr="00D459D2">
        <w:t xml:space="preserve"> </w:t>
      </w:r>
      <w:r w:rsidRPr="001A7C6A">
        <w:t>Sentence processing experiments provide a cognitive foundation for computational models by revealing the strategies humans use to resolve linguistic ambiguity. Integrating these human-inspired mechanisms allows NLP systems to interpret language with greater accuracy, fluency, and contextual awareness, bridging the gap between human and machine understanding.</w:t>
      </w:r>
    </w:p>
    <w:p w14:paraId="54E7EC78" w14:textId="6D4D9115" w:rsidR="009303D9" w:rsidRDefault="005A69D2" w:rsidP="006B6B66">
      <w:pPr>
        <w:pStyle w:val="Heading1"/>
      </w:pPr>
      <w:r w:rsidRPr="00D459D2">
        <w:t>Methodology</w:t>
      </w:r>
    </w:p>
    <w:p w14:paraId="60678C1C" w14:textId="35E400DA" w:rsidR="009303D9" w:rsidRPr="005B520E" w:rsidRDefault="005A69D2" w:rsidP="00B32FF7">
      <w:pPr>
        <w:ind w:firstLine="10.80pt"/>
        <w:jc w:val="both"/>
      </w:pPr>
      <w:r w:rsidRPr="00D459D2">
        <w:t xml:space="preserve">Self-paced Reading Time experiments were conducted using both structured and unstructured approaches with the DMDX software. DMDX is developed by Jonathan Forster and Ken Forster at the University of Arizona. Participants for both the experiments were presented with 20 ambiguous sentences and some fillers and instructed to indicate their preferred interpretation by pressing designated keys. The goal was to determine which interpretations were most frequently preferred. </w:t>
      </w:r>
    </w:p>
    <w:p w14:paraId="7F770A2D" w14:textId="1D84973B" w:rsidR="009303D9" w:rsidRDefault="005A69D2" w:rsidP="005A69D2">
      <w:pPr>
        <w:pStyle w:val="Heading2"/>
      </w:pPr>
      <w:r w:rsidRPr="005A69D2">
        <w:lastRenderedPageBreak/>
        <w:t>Experimental Setup</w:t>
      </w:r>
    </w:p>
    <w:p w14:paraId="09B814EE" w14:textId="109D850B" w:rsidR="005A69D2" w:rsidRDefault="00B32FF7" w:rsidP="00B32FF7">
      <w:pPr>
        <w:pStyle w:val="BodyText"/>
        <w:ind w:firstLine="0pt"/>
      </w:pPr>
      <w:r>
        <w:tab/>
      </w:r>
      <w:r w:rsidR="005A69D2" w:rsidRPr="00EA7D78">
        <w:t>DMDX is a Win32 DirectX-based version of DMASTR, widely used in psychological and linguistic labs to measure reaction times to visual and auditory stimuli. It primarily uses a binary response paradigm, with the shift keys as default responses and the space bar for proceeding to the next trial. DMDX is controlled via an item file, a simple Rich Text Format (.rtf) script that specifies the experiment. Each item file has a header line defining global parameters, such as background color, trial intervals, and response keys, followed by item lines indicating the stimuli to present. Stimulus files can include speech (.wav), images (.bmp), or videos (.mov), while written words are entered directly in the item file.</w:t>
      </w:r>
      <w:r>
        <w:rPr>
          <w:lang w:val="en-US"/>
        </w:rPr>
        <w:t xml:space="preserve"> </w:t>
      </w:r>
      <w:r w:rsidR="005A69D2" w:rsidRPr="00D459D2">
        <w:t>The current experiments are completely text based, as intonation of any form would cause a change in preference of the reader to a particular disambiguation of the sentence.</w:t>
      </w:r>
    </w:p>
    <w:p w14:paraId="3ED5C486" w14:textId="536132EC" w:rsidR="009303D9" w:rsidRDefault="005A69D2" w:rsidP="005A69D2">
      <w:pPr>
        <w:pStyle w:val="Heading2"/>
      </w:pPr>
      <w:r w:rsidRPr="005A69D2">
        <w:t>Participants</w:t>
      </w:r>
    </w:p>
    <w:p w14:paraId="615A1294" w14:textId="3DD4B35F" w:rsidR="005A69D2" w:rsidRDefault="005A69D2" w:rsidP="00B32FF7">
      <w:pPr>
        <w:spacing w:after="12pt"/>
        <w:ind w:firstLine="14.40pt"/>
        <w:jc w:val="both"/>
      </w:pPr>
      <w:r w:rsidRPr="00D459D2">
        <w:t>For Nagamese, the participants were 15 multilingual individuals aged between 23 and 31 years, from Nagaland and Assam. Their first languages included Assamese, Ao, Angami, Chakhesang, Mao, T</w:t>
      </w:r>
      <w:r w:rsidR="00E33A07">
        <w:t>an</w:t>
      </w:r>
      <w:r w:rsidRPr="00D459D2">
        <w:t>gk</w:t>
      </w:r>
      <w:r w:rsidR="00E33A07">
        <w:t>h</w:t>
      </w:r>
      <w:r w:rsidRPr="00D459D2">
        <w:t>ul, and Kuki, among others. They were proficient in multiple languages including Hindi, English, Assamese, and Nagamese. They were all educated at least till the 12</w:t>
      </w:r>
      <w:r w:rsidRPr="00D459D2">
        <w:rPr>
          <w:vertAlign w:val="superscript"/>
        </w:rPr>
        <w:t>th</w:t>
      </w:r>
      <w:r w:rsidRPr="00D459D2">
        <w:t xml:space="preserve"> grade in English medium. </w:t>
      </w:r>
    </w:p>
    <w:p w14:paraId="5A84BA51" w14:textId="0AA5B89B" w:rsidR="009303D9" w:rsidRDefault="005A69D2" w:rsidP="005A69D2">
      <w:pPr>
        <w:ind w:firstLine="14.40pt"/>
        <w:jc w:val="both"/>
      </w:pPr>
      <w:r w:rsidRPr="00D459D2">
        <w:t xml:space="preserve">The 15 Sambalpuri </w:t>
      </w:r>
      <w:r>
        <w:t>Participants</w:t>
      </w:r>
      <w:r w:rsidRPr="00D459D2">
        <w:t xml:space="preserve"> were mostly residents from Bhubaneshwar, Sambalpur, Sundargarh and Kalahandi, aged between 23-39 years. Their first languages included Sambalpuri, Odia and Bengali. They are all graduates and proficient in Hindi, English and Odia apart from Sambalpuri.</w:t>
      </w:r>
    </w:p>
    <w:p w14:paraId="48980A7C" w14:textId="2A5DB1D7" w:rsidR="005A69D2" w:rsidRDefault="00985F59" w:rsidP="00985F59">
      <w:pPr>
        <w:pStyle w:val="Heading2"/>
      </w:pPr>
      <w:r w:rsidRPr="00985F59">
        <w:t>Test Sentences</w:t>
      </w:r>
    </w:p>
    <w:p w14:paraId="132A6B90" w14:textId="0F188CF6" w:rsidR="00985F59" w:rsidRDefault="00985F59" w:rsidP="00B32FF7">
      <w:pPr>
        <w:pStyle w:val="Heading3"/>
        <w:spacing w:after="12pt"/>
      </w:pPr>
      <w:r>
        <w:t xml:space="preserve">“Tendulkar </w:t>
      </w:r>
      <w:r w:rsidRPr="00985F59">
        <w:rPr>
          <w:b/>
        </w:rPr>
        <w:t>bahar</w:t>
      </w:r>
      <w:r>
        <w:t xml:space="preserve"> teh kheli ahse.” – can mean either ‘Tendulkar is playing </w:t>
      </w:r>
      <w:r w:rsidRPr="00985F59">
        <w:rPr>
          <w:b/>
        </w:rPr>
        <w:t>abroad</w:t>
      </w:r>
      <w:r>
        <w:t xml:space="preserve">’ or ‘Tendulkar is playing </w:t>
      </w:r>
      <w:r w:rsidRPr="00985F59">
        <w:rPr>
          <w:b/>
        </w:rPr>
        <w:t>outside.</w:t>
      </w:r>
      <w:r>
        <w:t>’</w:t>
      </w:r>
    </w:p>
    <w:p w14:paraId="5D6D3985" w14:textId="03048F11" w:rsidR="00985F59" w:rsidRDefault="00985F59" w:rsidP="00B32FF7">
      <w:pPr>
        <w:pStyle w:val="Heading3"/>
        <w:spacing w:after="12pt"/>
      </w:pPr>
      <w:r>
        <w:t xml:space="preserve">“Taidoh hudai </w:t>
      </w:r>
      <w:r w:rsidRPr="00985F59">
        <w:rPr>
          <w:b/>
        </w:rPr>
        <w:t>dawai</w:t>
      </w:r>
      <w:r>
        <w:t xml:space="preserve"> khan khai.” – can mean either ‘He takes </w:t>
      </w:r>
      <w:r w:rsidRPr="00985F59">
        <w:rPr>
          <w:b/>
        </w:rPr>
        <w:t>medicine</w:t>
      </w:r>
      <w:r>
        <w:t xml:space="preserve"> every day’ or ‘He takes </w:t>
      </w:r>
      <w:r w:rsidRPr="00985F59">
        <w:rPr>
          <w:b/>
        </w:rPr>
        <w:t>drugs</w:t>
      </w:r>
      <w:r>
        <w:t xml:space="preserve"> every day.’</w:t>
      </w:r>
    </w:p>
    <w:p w14:paraId="424484B9" w14:textId="03BE5947" w:rsidR="00985F59" w:rsidRDefault="00985F59" w:rsidP="00B32FF7">
      <w:pPr>
        <w:pStyle w:val="Heading3"/>
        <w:spacing w:after="12pt"/>
      </w:pPr>
      <w:r>
        <w:t xml:space="preserve">“Gari teh sob manu </w:t>
      </w:r>
      <w:r w:rsidRPr="00985F59">
        <w:rPr>
          <w:b/>
        </w:rPr>
        <w:t>jabo</w:t>
      </w:r>
      <w:r>
        <w:t xml:space="preserve">.” – can mean either ‘Everyone will </w:t>
      </w:r>
      <w:r w:rsidRPr="00985F59">
        <w:rPr>
          <w:b/>
        </w:rPr>
        <w:t>go</w:t>
      </w:r>
      <w:r>
        <w:t xml:space="preserve"> by car’ or ‘Everyone will </w:t>
      </w:r>
      <w:r w:rsidRPr="00985F59">
        <w:rPr>
          <w:b/>
        </w:rPr>
        <w:t>fit</w:t>
      </w:r>
      <w:r>
        <w:t xml:space="preserve"> in the car.’</w:t>
      </w:r>
    </w:p>
    <w:p w14:paraId="5C45E429" w14:textId="4E1422E3" w:rsidR="00985F59" w:rsidRDefault="00985F59" w:rsidP="00B32FF7">
      <w:pPr>
        <w:pStyle w:val="Heading3"/>
        <w:spacing w:after="12pt"/>
      </w:pPr>
      <w:r>
        <w:t xml:space="preserve">“Tony laga </w:t>
      </w:r>
      <w:r w:rsidRPr="00985F59">
        <w:rPr>
          <w:b/>
        </w:rPr>
        <w:t xml:space="preserve">chuku bishi bhal </w:t>
      </w:r>
      <w:r w:rsidRPr="00985F59">
        <w:t>ahse</w:t>
      </w:r>
      <w:r>
        <w:t xml:space="preserve">.”- can mean either ‘Tommy has very </w:t>
      </w:r>
      <w:r w:rsidRPr="00985F59">
        <w:rPr>
          <w:b/>
        </w:rPr>
        <w:t>beautiful eyes</w:t>
      </w:r>
      <w:r>
        <w:t xml:space="preserve">.” or “Tommy has very </w:t>
      </w:r>
      <w:r w:rsidRPr="00985F59">
        <w:rPr>
          <w:b/>
        </w:rPr>
        <w:t>good preference</w:t>
      </w:r>
      <w:r>
        <w:t>.”</w:t>
      </w:r>
    </w:p>
    <w:p w14:paraId="22DE6EC9" w14:textId="77777777" w:rsidR="00985F59" w:rsidRDefault="00985F59" w:rsidP="0028110B">
      <w:pPr>
        <w:ind w:firstLine="14.40pt"/>
        <w:jc w:val="both"/>
      </w:pPr>
      <w:r>
        <w:t>Such ambiguity illustrates the interpretative flexibility within Nagamese lexical structures.</w:t>
      </w:r>
    </w:p>
    <w:p w14:paraId="758B445D" w14:textId="4A4CDEF9" w:rsidR="00985F59" w:rsidRPr="00985F59" w:rsidRDefault="00985F59" w:rsidP="00985F59">
      <w:pPr>
        <w:jc w:val="both"/>
        <w:rPr>
          <w:b/>
        </w:rPr>
      </w:pPr>
      <w:r w:rsidRPr="00985F59">
        <w:rPr>
          <w:b/>
        </w:rPr>
        <w:t>Two sets of test sentences from Sambalpuri:</w:t>
      </w:r>
    </w:p>
    <w:p w14:paraId="6C89B5DC" w14:textId="5E85684E" w:rsidR="00985F59" w:rsidRDefault="0028110B" w:rsidP="00985F59">
      <w:pPr>
        <w:pStyle w:val="Heading3"/>
      </w:pPr>
      <w:r w:rsidRPr="00D459D2">
        <w:t>Jagga eeta kaali raati saara cheti che.</w:t>
      </w:r>
    </w:p>
    <w:p w14:paraId="3D6A0FDF" w14:textId="5E4D0937" w:rsidR="0028110B" w:rsidRDefault="00024658" w:rsidP="0028110B">
      <w:pPr>
        <w:ind w:start="14.40pt"/>
        <w:jc w:val="both"/>
      </w:pPr>
      <w:r>
        <w:t xml:space="preserve">Jagga this </w:t>
      </w:r>
      <w:r w:rsidR="0028110B">
        <w:t>yesterday</w:t>
      </w:r>
      <w:r>
        <w:t xml:space="preserve"> </w:t>
      </w:r>
      <w:r w:rsidR="0028110B">
        <w:t>night</w:t>
      </w:r>
      <w:r>
        <w:t xml:space="preserve"> </w:t>
      </w:r>
      <w:r w:rsidR="0028110B">
        <w:t>all stay awake</w:t>
      </w:r>
    </w:p>
    <w:p w14:paraId="3EFF6EDF" w14:textId="28EFC171" w:rsidR="0028110B" w:rsidRPr="0028110B" w:rsidRDefault="0028110B" w:rsidP="00D66ABC">
      <w:pPr>
        <w:spacing w:after="12pt"/>
        <w:ind w:start="14.40pt"/>
        <w:jc w:val="both"/>
      </w:pPr>
      <w:r>
        <w:t>“Jagga has stayed awake all night yesterday.”</w:t>
      </w:r>
    </w:p>
    <w:p w14:paraId="1F35F9EC" w14:textId="6BE1194A" w:rsidR="0028110B" w:rsidRDefault="0028110B" w:rsidP="00D66ABC">
      <w:pPr>
        <w:pStyle w:val="Heading4"/>
        <w:spacing w:before="0pt" w:after="0pt"/>
      </w:pPr>
      <w:r w:rsidRPr="0028110B">
        <w:t xml:space="preserve">Jagga cheti thila </w:t>
      </w:r>
    </w:p>
    <w:p w14:paraId="4E324A87" w14:textId="0C08221D" w:rsidR="0028110B" w:rsidRDefault="0028110B" w:rsidP="00024658">
      <w:pPr>
        <w:ind w:firstLine="18pt"/>
        <w:jc w:val="both"/>
      </w:pPr>
      <w:r>
        <w:t>Jagga stay awake</w:t>
      </w:r>
      <w:r w:rsidR="00024658">
        <w:t>-PST</w:t>
      </w:r>
    </w:p>
    <w:p w14:paraId="359419A7" w14:textId="7A61F9BA" w:rsidR="0028110B" w:rsidRPr="0028110B" w:rsidRDefault="0028110B" w:rsidP="00D66ABC">
      <w:pPr>
        <w:spacing w:after="12pt"/>
        <w:ind w:start="36pt"/>
        <w:jc w:val="both"/>
      </w:pPr>
      <w:r>
        <w:t>“Jagga was awake.”</w:t>
      </w:r>
    </w:p>
    <w:p w14:paraId="3E03CB9E" w14:textId="77777777" w:rsidR="0028110B" w:rsidRDefault="0028110B" w:rsidP="00D66ABC">
      <w:pPr>
        <w:pStyle w:val="Heading4"/>
        <w:spacing w:before="0pt" w:after="0pt"/>
      </w:pPr>
      <w:r>
        <w:lastRenderedPageBreak/>
        <w:t>Jagga roz raati cheti thisi.</w:t>
      </w:r>
    </w:p>
    <w:p w14:paraId="32A744D1" w14:textId="5924784E" w:rsidR="0028110B" w:rsidRPr="00E33A07" w:rsidRDefault="0028110B" w:rsidP="0028110B">
      <w:pPr>
        <w:pStyle w:val="Heading4"/>
        <w:numPr>
          <w:ilvl w:val="0"/>
          <w:numId w:val="0"/>
        </w:numPr>
        <w:ind w:start="25.20pt"/>
        <w:rPr>
          <w:i w:val="0"/>
          <w:iCs w:val="0"/>
        </w:rPr>
      </w:pPr>
      <w:r w:rsidRPr="00E33A07">
        <w:rPr>
          <w:i w:val="0"/>
          <w:iCs w:val="0"/>
        </w:rPr>
        <w:t>Jagga daily</w:t>
      </w:r>
      <w:r w:rsidR="00E33A07">
        <w:rPr>
          <w:i w:val="0"/>
          <w:iCs w:val="0"/>
        </w:rPr>
        <w:t xml:space="preserve"> </w:t>
      </w:r>
      <w:r w:rsidRPr="00E33A07">
        <w:rPr>
          <w:i w:val="0"/>
          <w:iCs w:val="0"/>
        </w:rPr>
        <w:t>night stay awake</w:t>
      </w:r>
    </w:p>
    <w:p w14:paraId="66947704" w14:textId="1AE0DA58" w:rsidR="0028110B" w:rsidRDefault="0028110B" w:rsidP="00D66ABC">
      <w:pPr>
        <w:pStyle w:val="Heading4"/>
        <w:numPr>
          <w:ilvl w:val="0"/>
          <w:numId w:val="0"/>
        </w:numPr>
        <w:spacing w:before="0pt"/>
        <w:ind w:start="25.20pt"/>
      </w:pPr>
      <w:r>
        <w:tab/>
        <w:t>“Jagga stays awake every night.”</w:t>
      </w:r>
    </w:p>
    <w:p w14:paraId="3F252DDF" w14:textId="77777777" w:rsidR="00D66ABC" w:rsidRPr="00D66ABC" w:rsidRDefault="00D66ABC" w:rsidP="00D66ABC">
      <w:pPr>
        <w:jc w:val="both"/>
      </w:pPr>
    </w:p>
    <w:p w14:paraId="10F6DCA7" w14:textId="77777777" w:rsidR="0028110B" w:rsidRDefault="0028110B" w:rsidP="00D66ABC">
      <w:pPr>
        <w:pStyle w:val="Heading4"/>
        <w:spacing w:before="0pt" w:after="0pt"/>
      </w:pPr>
      <w:r>
        <w:t>Cheti kina pher sakhalu sui jaysi</w:t>
      </w:r>
    </w:p>
    <w:p w14:paraId="697BBE0B" w14:textId="6EBC64B5" w:rsidR="0028110B" w:rsidRPr="00024658" w:rsidRDefault="0028110B" w:rsidP="0028110B">
      <w:pPr>
        <w:pStyle w:val="Heading4"/>
        <w:numPr>
          <w:ilvl w:val="0"/>
          <w:numId w:val="0"/>
        </w:numPr>
        <w:ind w:start="25.20pt"/>
        <w:rPr>
          <w:i w:val="0"/>
          <w:iCs w:val="0"/>
        </w:rPr>
      </w:pPr>
      <w:r w:rsidRPr="00024658">
        <w:rPr>
          <w:i w:val="0"/>
          <w:iCs w:val="0"/>
        </w:rPr>
        <w:t>stay awake finish</w:t>
      </w:r>
      <w:r w:rsidR="00024658">
        <w:rPr>
          <w:i w:val="0"/>
          <w:iCs w:val="0"/>
        </w:rPr>
        <w:t xml:space="preserve"> </w:t>
      </w:r>
      <w:r w:rsidRPr="00024658">
        <w:rPr>
          <w:i w:val="0"/>
          <w:iCs w:val="0"/>
        </w:rPr>
        <w:t>then</w:t>
      </w:r>
      <w:r w:rsidR="00024658">
        <w:rPr>
          <w:i w:val="0"/>
          <w:iCs w:val="0"/>
        </w:rPr>
        <w:t xml:space="preserve"> </w:t>
      </w:r>
      <w:r w:rsidRPr="00024658">
        <w:rPr>
          <w:i w:val="0"/>
          <w:iCs w:val="0"/>
        </w:rPr>
        <w:t>morning</w:t>
      </w:r>
      <w:r w:rsidR="00024658">
        <w:rPr>
          <w:i w:val="0"/>
          <w:iCs w:val="0"/>
        </w:rPr>
        <w:t xml:space="preserve"> </w:t>
      </w:r>
      <w:r w:rsidRPr="00024658">
        <w:rPr>
          <w:i w:val="0"/>
          <w:iCs w:val="0"/>
        </w:rPr>
        <w:t>sleep</w:t>
      </w:r>
      <w:r w:rsidR="00024658">
        <w:rPr>
          <w:i w:val="0"/>
          <w:iCs w:val="0"/>
        </w:rPr>
        <w:t xml:space="preserve"> </w:t>
      </w:r>
      <w:r w:rsidRPr="00024658">
        <w:rPr>
          <w:i w:val="0"/>
          <w:iCs w:val="0"/>
        </w:rPr>
        <w:t>go</w:t>
      </w:r>
    </w:p>
    <w:p w14:paraId="329CD334" w14:textId="11595D66" w:rsidR="0028110B" w:rsidRDefault="0028110B" w:rsidP="00D66ABC">
      <w:pPr>
        <w:pStyle w:val="Heading4"/>
        <w:numPr>
          <w:ilvl w:val="0"/>
          <w:numId w:val="0"/>
        </w:numPr>
        <w:spacing w:before="0pt"/>
        <w:ind w:start="25.20pt"/>
      </w:pPr>
      <w:r>
        <w:tab/>
        <w:t>“(He) stays awake, then goes to sleep in the morning.”</w:t>
      </w:r>
    </w:p>
    <w:p w14:paraId="7FA97F3E" w14:textId="77777777" w:rsidR="0028110B" w:rsidRDefault="0028110B" w:rsidP="00D66ABC">
      <w:pPr>
        <w:pStyle w:val="Heading3"/>
        <w:spacing w:before="12pt"/>
      </w:pPr>
      <w:r>
        <w:t>Rajesh cricket khelbar ke bhal paesi.</w:t>
      </w:r>
    </w:p>
    <w:p w14:paraId="248371A0" w14:textId="0A566A54" w:rsidR="0028110B" w:rsidRPr="00024658" w:rsidRDefault="0028110B" w:rsidP="00A17966">
      <w:pPr>
        <w:pStyle w:val="Heading3"/>
        <w:numPr>
          <w:ilvl w:val="0"/>
          <w:numId w:val="0"/>
        </w:numPr>
        <w:ind w:firstLine="36pt"/>
        <w:rPr>
          <w:i w:val="0"/>
          <w:iCs w:val="0"/>
        </w:rPr>
      </w:pPr>
      <w:r w:rsidRPr="00024658">
        <w:rPr>
          <w:i w:val="0"/>
          <w:iCs w:val="0"/>
        </w:rPr>
        <w:t>Rajesh</w:t>
      </w:r>
      <w:r w:rsidR="00A17966">
        <w:rPr>
          <w:i w:val="0"/>
          <w:iCs w:val="0"/>
        </w:rPr>
        <w:t xml:space="preserve"> </w:t>
      </w:r>
      <w:r w:rsidRPr="00024658">
        <w:rPr>
          <w:i w:val="0"/>
          <w:iCs w:val="0"/>
        </w:rPr>
        <w:t>cricket</w:t>
      </w:r>
      <w:r w:rsidR="00A17966">
        <w:rPr>
          <w:i w:val="0"/>
          <w:iCs w:val="0"/>
        </w:rPr>
        <w:t xml:space="preserve"> </w:t>
      </w:r>
      <w:r w:rsidRPr="00024658">
        <w:rPr>
          <w:i w:val="0"/>
          <w:iCs w:val="0"/>
        </w:rPr>
        <w:t>to play</w:t>
      </w:r>
      <w:r w:rsidR="00A17966">
        <w:rPr>
          <w:i w:val="0"/>
          <w:iCs w:val="0"/>
        </w:rPr>
        <w:t xml:space="preserve"> like </w:t>
      </w:r>
    </w:p>
    <w:p w14:paraId="3E47DCCE" w14:textId="3CCD3875" w:rsidR="00985F59" w:rsidRDefault="0028110B" w:rsidP="00D66ABC">
      <w:pPr>
        <w:pStyle w:val="Heading3"/>
        <w:numPr>
          <w:ilvl w:val="0"/>
          <w:numId w:val="0"/>
        </w:numPr>
        <w:spacing w:after="12pt"/>
        <w:ind w:firstLine="14.40pt"/>
      </w:pPr>
      <w:r>
        <w:t>“Rajesh likes to play cricket.”</w:t>
      </w:r>
      <w:r w:rsidR="00985F59">
        <w:t>.</w:t>
      </w:r>
    </w:p>
    <w:p w14:paraId="7279DC2F" w14:textId="2D5B5ECB" w:rsidR="0028110B" w:rsidRPr="0028110B" w:rsidRDefault="0028110B" w:rsidP="00D66ABC">
      <w:pPr>
        <w:pStyle w:val="Heading4"/>
        <w:spacing w:before="0pt"/>
      </w:pPr>
      <w:r w:rsidRPr="0028110B">
        <w:t>Rajesh ekla khelbar chaesi</w:t>
      </w:r>
    </w:p>
    <w:p w14:paraId="4800EB10" w14:textId="61DAA842" w:rsidR="0028110B" w:rsidRPr="00D459D2" w:rsidRDefault="0028110B" w:rsidP="00A17966">
      <w:pPr>
        <w:ind w:firstLine="36pt"/>
        <w:jc w:val="both"/>
      </w:pPr>
      <w:r w:rsidRPr="00D459D2">
        <w:t>Rajesh</w:t>
      </w:r>
      <w:r w:rsidR="00A17966">
        <w:t xml:space="preserve"> </w:t>
      </w:r>
      <w:r w:rsidRPr="00D459D2">
        <w:t>alone</w:t>
      </w:r>
      <w:r w:rsidR="00A17966">
        <w:t xml:space="preserve"> </w:t>
      </w:r>
      <w:r w:rsidRPr="00D459D2">
        <w:t>to pla</w:t>
      </w:r>
      <w:r w:rsidR="00A17966">
        <w:t xml:space="preserve">y </w:t>
      </w:r>
      <w:r w:rsidRPr="00D459D2">
        <w:t>wish</w:t>
      </w:r>
    </w:p>
    <w:p w14:paraId="6646A58B" w14:textId="77777777" w:rsidR="0028110B" w:rsidRPr="00D459D2" w:rsidRDefault="0028110B" w:rsidP="00D66ABC">
      <w:pPr>
        <w:spacing w:after="12pt"/>
        <w:ind w:start="18pt" w:firstLine="18pt"/>
        <w:jc w:val="both"/>
      </w:pPr>
      <w:r w:rsidRPr="00D459D2">
        <w:t>“Rajesh wishes to play alone.”</w:t>
      </w:r>
    </w:p>
    <w:p w14:paraId="094F76F1" w14:textId="77777777" w:rsidR="0028110B" w:rsidRPr="00D459D2" w:rsidRDefault="0028110B" w:rsidP="0028110B">
      <w:pPr>
        <w:pStyle w:val="Heading4"/>
        <w:tabs>
          <w:tab w:val="clear" w:pos="31.50pt"/>
        </w:tabs>
        <w:ind w:firstLine="25.20pt"/>
      </w:pPr>
      <w:r w:rsidRPr="00D459D2">
        <w:t>Khelbar ta gute bhal katha aai</w:t>
      </w:r>
    </w:p>
    <w:p w14:paraId="76781A3D" w14:textId="18130CD0" w:rsidR="0028110B" w:rsidRDefault="0028110B" w:rsidP="0028110B">
      <w:pPr>
        <w:ind w:start="18pt" w:firstLine="18pt"/>
        <w:jc w:val="both"/>
      </w:pPr>
      <w:r w:rsidRPr="00D459D2">
        <w:t>to play</w:t>
      </w:r>
      <w:r w:rsidR="00A17966">
        <w:t xml:space="preserve">-CLA </w:t>
      </w:r>
      <w:r w:rsidRPr="00D459D2">
        <w:t>one good</w:t>
      </w:r>
      <w:r w:rsidR="00A17966">
        <w:t xml:space="preserve"> thing PRST</w:t>
      </w:r>
    </w:p>
    <w:p w14:paraId="3BFE6BFC" w14:textId="2D14150B" w:rsidR="0028110B" w:rsidRPr="00E3747E" w:rsidRDefault="0028110B" w:rsidP="00D66ABC">
      <w:pPr>
        <w:spacing w:after="12pt"/>
        <w:ind w:start="18pt" w:firstLine="18pt"/>
        <w:jc w:val="both"/>
      </w:pPr>
      <w:r w:rsidRPr="00E3747E">
        <w:t xml:space="preserve">“Playing is good. (a good </w:t>
      </w:r>
      <w:r>
        <w:t>thing</w:t>
      </w:r>
      <w:r w:rsidRPr="00E3747E">
        <w:t>)”</w:t>
      </w:r>
    </w:p>
    <w:p w14:paraId="45D844C4" w14:textId="77777777" w:rsidR="0028110B" w:rsidRPr="00D459D2" w:rsidRDefault="0028110B" w:rsidP="00D66ABC">
      <w:pPr>
        <w:pStyle w:val="Heading4"/>
        <w:tabs>
          <w:tab w:val="clear" w:pos="31.50pt"/>
        </w:tabs>
        <w:spacing w:before="0pt" w:after="0pt"/>
        <w:ind w:firstLine="25.20pt"/>
      </w:pPr>
      <w:r w:rsidRPr="00D459D2">
        <w:t>Cricket khelbar lagir jaysi</w:t>
      </w:r>
    </w:p>
    <w:p w14:paraId="14D2DF09" w14:textId="7950BAA7" w:rsidR="0028110B" w:rsidRPr="00D459D2" w:rsidRDefault="0028110B" w:rsidP="00B32FF7">
      <w:pPr>
        <w:ind w:start="18pt" w:firstLine="18pt"/>
        <w:jc w:val="both"/>
      </w:pPr>
      <w:r w:rsidRPr="00D459D2">
        <w:t>Cricket</w:t>
      </w:r>
      <w:r w:rsidR="00A17966">
        <w:t xml:space="preserve"> </w:t>
      </w:r>
      <w:r w:rsidRPr="00D459D2">
        <w:t>to play</w:t>
      </w:r>
      <w:r w:rsidR="00A17966">
        <w:t xml:space="preserve"> </w:t>
      </w:r>
      <w:r w:rsidR="001B2600">
        <w:t xml:space="preserve"> </w:t>
      </w:r>
      <w:r w:rsidRPr="00D459D2">
        <w:t>for</w:t>
      </w:r>
      <w:r w:rsidR="00A17966">
        <w:t xml:space="preserve"> </w:t>
      </w:r>
      <w:r w:rsidR="001B2600">
        <w:t xml:space="preserve">   go</w:t>
      </w:r>
    </w:p>
    <w:p w14:paraId="78C308D9" w14:textId="77777777" w:rsidR="0028110B" w:rsidRPr="00D459D2" w:rsidRDefault="0028110B" w:rsidP="00B32FF7">
      <w:pPr>
        <w:ind w:firstLine="18pt"/>
        <w:jc w:val="both"/>
      </w:pPr>
      <w:r w:rsidRPr="00D459D2">
        <w:t xml:space="preserve">        “(He</w:t>
      </w:r>
      <w:r>
        <w:t>/she)</w:t>
      </w:r>
      <w:r w:rsidRPr="00D459D2">
        <w:t xml:space="preserve"> goes for playing cricket.”</w:t>
      </w:r>
    </w:p>
    <w:p w14:paraId="7F0EF8EC" w14:textId="4990F46C" w:rsidR="0080791D" w:rsidRDefault="00B32FF7" w:rsidP="00B32FF7">
      <w:pPr>
        <w:pStyle w:val="Heading1"/>
        <w:ind w:firstLine="0pt"/>
      </w:pPr>
      <w:r w:rsidRPr="00B32FF7">
        <w:t>Results and Analysis</w:t>
      </w:r>
    </w:p>
    <w:p w14:paraId="745EC9F2" w14:textId="674E5665" w:rsidR="00B32FF7" w:rsidRDefault="00D66ABC" w:rsidP="00D66ABC">
      <w:pPr>
        <w:pStyle w:val="BodyText"/>
        <w:ind w:firstLine="0pt"/>
      </w:pPr>
      <w:r>
        <w:tab/>
      </w:r>
      <w:r w:rsidR="00B32FF7">
        <w:t>Getting back to the core</w:t>
      </w:r>
      <w:r w:rsidR="000C5471">
        <w:rPr>
          <w:lang w:val="en-IN"/>
        </w:rPr>
        <w:t xml:space="preserve"> concern of this research</w:t>
      </w:r>
      <w:r w:rsidR="00B32FF7">
        <w:t>, human brain responds illogically when forced to take decision based on little or conflicting evidence. In terms of ambiguous judgement</w:t>
      </w:r>
      <w:r w:rsidR="001F2BA3">
        <w:rPr>
          <w:lang w:val="en-IN"/>
        </w:rPr>
        <w:t>s,</w:t>
      </w:r>
      <w:r w:rsidR="00B32FF7">
        <w:t xml:space="preserve"> our mind is al</w:t>
      </w:r>
      <w:r w:rsidR="001F2BA3">
        <w:t xml:space="preserve">ways in a rush, hence based on </w:t>
      </w:r>
      <w:r w:rsidR="00B32FF7">
        <w:t xml:space="preserve"> </w:t>
      </w:r>
      <w:r w:rsidR="000C5471">
        <w:rPr>
          <w:lang w:val="en-IN"/>
        </w:rPr>
        <w:t xml:space="preserve">some </w:t>
      </w:r>
      <w:r w:rsidR="00B32FF7">
        <w:t>observat</w:t>
      </w:r>
      <w:r w:rsidR="000C5471">
        <w:t>ions we will discuss in detail a</w:t>
      </w:r>
      <w:r w:rsidR="00B32FF7">
        <w:t xml:space="preserve"> few important points. </w:t>
      </w:r>
    </w:p>
    <w:p w14:paraId="74328D05" w14:textId="673251D6" w:rsidR="002620E0" w:rsidRDefault="002620E0" w:rsidP="0092263F">
      <w:pPr>
        <w:pStyle w:val="BodyText"/>
      </w:pPr>
      <w:r>
        <w:t>For all test sentences</w:t>
      </w:r>
      <w:r w:rsidR="006145EF">
        <w:rPr>
          <w:lang w:val="en-IN"/>
        </w:rPr>
        <w:t xml:space="preserve"> in Nagamese,</w:t>
      </w:r>
      <w:r w:rsidR="0092263F">
        <w:t xml:space="preserve"> which one is More Preferred (</w:t>
      </w:r>
      <w:r w:rsidR="0092263F">
        <w:rPr>
          <w:lang w:val="en-IN"/>
        </w:rPr>
        <w:t>+ve assumption</w:t>
      </w:r>
      <w:r>
        <w:t xml:space="preserve">) or which one is Less </w:t>
      </w:r>
      <w:r w:rsidR="0092263F">
        <w:t xml:space="preserve">Preferred (-ve assumption) </w:t>
      </w:r>
      <w:r>
        <w:t xml:space="preserve"> is given</w:t>
      </w:r>
      <w:r w:rsidR="0092263F">
        <w:rPr>
          <w:lang w:val="en-IN"/>
        </w:rPr>
        <w:t xml:space="preserve"> </w:t>
      </w:r>
      <w:r>
        <w:t>below,</w:t>
      </w:r>
    </w:p>
    <w:p w14:paraId="586FF0BC" w14:textId="77777777" w:rsidR="006145EF" w:rsidRDefault="006145EF" w:rsidP="002620E0">
      <w:pPr>
        <w:pStyle w:val="BodyText"/>
      </w:pPr>
    </w:p>
    <w:p w14:paraId="3F753D47" w14:textId="56E5A0CE" w:rsidR="0092263F" w:rsidRDefault="0092263F" w:rsidP="002620E0">
      <w:pPr>
        <w:pStyle w:val="BodyText"/>
      </w:pPr>
      <w:r w:rsidRPr="0092263F">
        <w:rPr>
          <w:noProof/>
          <w:lang w:val="en-IN" w:eastAsia="en-IN"/>
        </w:rPr>
        <w:drawing>
          <wp:inline distT="0" distB="0" distL="0" distR="0" wp14:anchorId="66ACF3DF" wp14:editId="58ECC3B8">
            <wp:extent cx="3195955" cy="1763368"/>
            <wp:effectExtent l="0" t="0" r="4445" b="889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955" cy="1763368"/>
                    </a:xfrm>
                    <a:prstGeom prst="rect">
                      <a:avLst/>
                    </a:prstGeom>
                    <a:noFill/>
                    <a:ln>
                      <a:noFill/>
                    </a:ln>
                  </pic:spPr>
                </pic:pic>
              </a:graphicData>
            </a:graphic>
          </wp:inline>
        </w:drawing>
      </w:r>
    </w:p>
    <w:p w14:paraId="4256EA82" w14:textId="6158DB55" w:rsidR="00557D0D" w:rsidRPr="00557D0D" w:rsidRDefault="00557D0D" w:rsidP="002620E0">
      <w:pPr>
        <w:pStyle w:val="BodyText"/>
        <w:rPr>
          <w:lang w:val="en-IN"/>
        </w:rPr>
      </w:pPr>
      <w:r>
        <w:rPr>
          <w:lang w:val="en-IN"/>
        </w:rPr>
        <w:t>Scatter Graph: Nagamese data</w:t>
      </w:r>
    </w:p>
    <w:p w14:paraId="36BC6E2F" w14:textId="7BBC23FF" w:rsidR="006145EF" w:rsidRDefault="00D66ABC" w:rsidP="006145EF">
      <w:pPr>
        <w:pStyle w:val="BodyText"/>
        <w:ind w:firstLine="0pt"/>
      </w:pPr>
      <w:r>
        <w:tab/>
      </w:r>
      <w:r w:rsidR="006145EF">
        <w:t>The scatter graph show</w:t>
      </w:r>
      <w:r w:rsidR="001F2BA3">
        <w:t>s a sizeable difference in the a</w:t>
      </w:r>
      <w:r w:rsidR="006145EF">
        <w:t>v</w:t>
      </w:r>
      <w:r w:rsidR="001F2BA3">
        <w:rPr>
          <w:lang w:val="en-IN"/>
        </w:rPr>
        <w:t>e</w:t>
      </w:r>
      <w:r w:rsidR="001F2BA3">
        <w:t>r</w:t>
      </w:r>
      <w:r w:rsidR="001F2BA3">
        <w:rPr>
          <w:lang w:val="en-IN"/>
        </w:rPr>
        <w:t>age</w:t>
      </w:r>
      <w:r w:rsidR="006145EF">
        <w:t xml:space="preserve"> RT taken f</w:t>
      </w:r>
      <w:r w:rsidR="001F2BA3">
        <w:t>or +ve assumption(in ms) and aver</w:t>
      </w:r>
      <w:r w:rsidR="001F2BA3">
        <w:rPr>
          <w:lang w:val="en-IN"/>
        </w:rPr>
        <w:t>a</w:t>
      </w:r>
      <w:r w:rsidR="001F2BA3">
        <w:t>ge</w:t>
      </w:r>
      <w:r w:rsidR="006145EF">
        <w:t xml:space="preserve"> RT taken for -ve assumption(in ms) for question 1000 . We can assume that since 1000 was the first ambiguously styled sentence that participants came across in the experiment, they were confused about the response style which led to the difference in RT. Question 1001 also grabs attention as it is the question with the </w:t>
      </w:r>
      <w:r w:rsidR="006145EF">
        <w:lastRenderedPageBreak/>
        <w:t>least RT difference, it’s RT difference being a mere 112.54 ms. For the remainder of the sentences, the RT are in the same range. This indicates that the subjects had adapted to the questions and were not startled or confused in their choices of interpretations.</w:t>
      </w:r>
    </w:p>
    <w:p w14:paraId="73764C8F" w14:textId="43553C2E" w:rsidR="00B32FF7" w:rsidRDefault="00B32FF7" w:rsidP="00D66ABC">
      <w:pPr>
        <w:pStyle w:val="BodyText"/>
        <w:ind w:firstLine="0pt"/>
      </w:pPr>
      <w:r>
        <w:t>The results of the experiment on Nagamese language showed that the frequency of various meanings and its e</w:t>
      </w:r>
      <w:r w:rsidR="000C5471">
        <w:t>veryday usage is what determines</w:t>
      </w:r>
      <w:r>
        <w:t xml:space="preserve"> the dominant meaning and less dominant meaning, context</w:t>
      </w:r>
      <w:r w:rsidR="000C5471">
        <w:rPr>
          <w:lang w:val="en-IN"/>
        </w:rPr>
        <w:t xml:space="preserve"> </w:t>
      </w:r>
      <w:r w:rsidR="000C5471">
        <w:t>no doubt</w:t>
      </w:r>
      <w:r>
        <w:t xml:space="preserve"> also plays a determining factor. However one’s mental lexicon is what determines how one will decipher an ambiguous sentence. Another observation was that ambiguous words or sentences take longer time to process than unambiguous ones or non-biased words. Also, when given two sets of ambiguous sentences the responsive rate is much quicker in most cases since the mental lexicon has already presumed the preferred one. Most of the time taken in first process is rather slower than in comparison with the second. Furthermore, as mentioned above we tend to rely on our intuition in those which we are familiar with also once our mind has something in its recent memory, it always gets easier to choose that.</w:t>
      </w:r>
    </w:p>
    <w:tbl>
      <w:tblPr>
        <w:tblStyle w:val="TableGrid"/>
        <w:tblW w:w="0pt" w:type="dxa"/>
        <w:tblLook w:firstRow="1" w:lastRow="0" w:firstColumn="1" w:lastColumn="0" w:noHBand="0" w:noVBand="1"/>
      </w:tblPr>
      <w:tblGrid>
        <w:gridCol w:w="1674"/>
        <w:gridCol w:w="1674"/>
        <w:gridCol w:w="1675"/>
      </w:tblGrid>
      <w:tr w:rsidR="001F2BA3" w14:paraId="44A51E07" w14:textId="77777777" w:rsidTr="001F2BA3">
        <w:tc>
          <w:tcPr>
            <w:tcW w:w="83.70pt" w:type="dxa"/>
          </w:tcPr>
          <w:p w14:paraId="7B076B04" w14:textId="65B27443" w:rsidR="001F2BA3" w:rsidRDefault="00557D0D" w:rsidP="00D66ABC">
            <w:pPr>
              <w:pStyle w:val="BodyText"/>
              <w:ind w:firstLine="0pt"/>
            </w:pPr>
            <w:r>
              <w:rPr>
                <w:lang w:val="en-IN"/>
              </w:rPr>
              <w:t xml:space="preserve">Sentence </w:t>
            </w:r>
            <w:r w:rsidR="001F2BA3">
              <w:t>number</w:t>
            </w:r>
          </w:p>
        </w:tc>
        <w:tc>
          <w:tcPr>
            <w:tcW w:w="83.70pt" w:type="dxa"/>
          </w:tcPr>
          <w:p w14:paraId="66A17A74" w14:textId="3A36A1DF" w:rsidR="001F2BA3" w:rsidRDefault="00557D0D" w:rsidP="00D66ABC">
            <w:pPr>
              <w:pStyle w:val="BodyText"/>
              <w:ind w:firstLine="0pt"/>
            </w:pPr>
            <w:r>
              <w:t>Percentage of subjects that chose 1st interpretation %</w:t>
            </w:r>
          </w:p>
        </w:tc>
        <w:tc>
          <w:tcPr>
            <w:tcW w:w="83.75pt" w:type="dxa"/>
          </w:tcPr>
          <w:p w14:paraId="5BE393AC" w14:textId="0D09C299" w:rsidR="001F2BA3" w:rsidRDefault="00557D0D" w:rsidP="00D66ABC">
            <w:pPr>
              <w:pStyle w:val="BodyText"/>
              <w:ind w:firstLine="0pt"/>
            </w:pPr>
            <w:r>
              <w:t>Percentage of subjects that chose 2nd interpretation %</w:t>
            </w:r>
          </w:p>
        </w:tc>
      </w:tr>
      <w:tr w:rsidR="001F2BA3" w14:paraId="45409744" w14:textId="77777777" w:rsidTr="001F2BA3">
        <w:tc>
          <w:tcPr>
            <w:tcW w:w="83.70pt" w:type="dxa"/>
          </w:tcPr>
          <w:p w14:paraId="0D7DC5A4" w14:textId="3FEFBDAB" w:rsidR="001F2BA3" w:rsidRPr="00557D0D" w:rsidRDefault="00557D0D" w:rsidP="00D66ABC">
            <w:pPr>
              <w:pStyle w:val="BodyText"/>
              <w:ind w:firstLine="0pt"/>
              <w:rPr>
                <w:lang w:val="en-IN"/>
              </w:rPr>
            </w:pPr>
            <w:r>
              <w:rPr>
                <w:lang w:val="en-IN"/>
              </w:rPr>
              <w:t>2000</w:t>
            </w:r>
          </w:p>
        </w:tc>
        <w:tc>
          <w:tcPr>
            <w:tcW w:w="83.70pt" w:type="dxa"/>
          </w:tcPr>
          <w:p w14:paraId="2D13E8EA" w14:textId="3CE1E135" w:rsidR="001F2BA3" w:rsidRPr="00557D0D" w:rsidRDefault="00557D0D" w:rsidP="00D66ABC">
            <w:pPr>
              <w:pStyle w:val="BodyText"/>
              <w:ind w:firstLine="0pt"/>
              <w:rPr>
                <w:lang w:val="en-IN"/>
              </w:rPr>
            </w:pPr>
            <w:r>
              <w:rPr>
                <w:lang w:val="en-IN"/>
              </w:rPr>
              <w:t>92</w:t>
            </w:r>
          </w:p>
        </w:tc>
        <w:tc>
          <w:tcPr>
            <w:tcW w:w="83.75pt" w:type="dxa"/>
          </w:tcPr>
          <w:p w14:paraId="6FDB25A8" w14:textId="75DDE1E8" w:rsidR="001F2BA3" w:rsidRPr="00557D0D" w:rsidRDefault="00557D0D" w:rsidP="00D66ABC">
            <w:pPr>
              <w:pStyle w:val="BodyText"/>
              <w:ind w:firstLine="0pt"/>
              <w:rPr>
                <w:lang w:val="en-IN"/>
              </w:rPr>
            </w:pPr>
            <w:r>
              <w:rPr>
                <w:lang w:val="en-IN"/>
              </w:rPr>
              <w:t>50</w:t>
            </w:r>
          </w:p>
        </w:tc>
      </w:tr>
      <w:tr w:rsidR="001F2BA3" w14:paraId="4D6A04C5" w14:textId="77777777" w:rsidTr="001F2BA3">
        <w:tc>
          <w:tcPr>
            <w:tcW w:w="83.70pt" w:type="dxa"/>
          </w:tcPr>
          <w:p w14:paraId="59F7E1A5" w14:textId="7E2FFDE3" w:rsidR="001F2BA3" w:rsidRPr="00557D0D" w:rsidRDefault="00557D0D" w:rsidP="00D66ABC">
            <w:pPr>
              <w:pStyle w:val="BodyText"/>
              <w:ind w:firstLine="0pt"/>
              <w:rPr>
                <w:lang w:val="en-IN"/>
              </w:rPr>
            </w:pPr>
            <w:r>
              <w:rPr>
                <w:lang w:val="en-IN"/>
              </w:rPr>
              <w:t>2001</w:t>
            </w:r>
          </w:p>
        </w:tc>
        <w:tc>
          <w:tcPr>
            <w:tcW w:w="83.70pt" w:type="dxa"/>
          </w:tcPr>
          <w:p w14:paraId="15985DE5" w14:textId="4B320BD0" w:rsidR="001F2BA3" w:rsidRPr="00557D0D" w:rsidRDefault="00557D0D" w:rsidP="00D66ABC">
            <w:pPr>
              <w:pStyle w:val="BodyText"/>
              <w:ind w:firstLine="0pt"/>
              <w:rPr>
                <w:lang w:val="en-IN"/>
              </w:rPr>
            </w:pPr>
            <w:r>
              <w:rPr>
                <w:lang w:val="en-IN"/>
              </w:rPr>
              <w:t>50</w:t>
            </w:r>
          </w:p>
        </w:tc>
        <w:tc>
          <w:tcPr>
            <w:tcW w:w="83.75pt" w:type="dxa"/>
          </w:tcPr>
          <w:p w14:paraId="1156E3B3" w14:textId="3347A058" w:rsidR="001F2BA3" w:rsidRPr="00557D0D" w:rsidRDefault="00557D0D" w:rsidP="00D66ABC">
            <w:pPr>
              <w:pStyle w:val="BodyText"/>
              <w:ind w:firstLine="0pt"/>
              <w:rPr>
                <w:lang w:val="en-IN"/>
              </w:rPr>
            </w:pPr>
            <w:r>
              <w:rPr>
                <w:lang w:val="en-IN"/>
              </w:rPr>
              <w:t>83</w:t>
            </w:r>
          </w:p>
        </w:tc>
      </w:tr>
      <w:tr w:rsidR="001F2BA3" w14:paraId="0472868D" w14:textId="77777777" w:rsidTr="001F2BA3">
        <w:tc>
          <w:tcPr>
            <w:tcW w:w="83.70pt" w:type="dxa"/>
          </w:tcPr>
          <w:p w14:paraId="7745E2FD" w14:textId="6EF21E7A" w:rsidR="001F2BA3" w:rsidRPr="00557D0D" w:rsidRDefault="00557D0D" w:rsidP="00D66ABC">
            <w:pPr>
              <w:pStyle w:val="BodyText"/>
              <w:ind w:firstLine="0pt"/>
              <w:rPr>
                <w:lang w:val="en-IN"/>
              </w:rPr>
            </w:pPr>
            <w:r>
              <w:rPr>
                <w:lang w:val="en-IN"/>
              </w:rPr>
              <w:t>2002</w:t>
            </w:r>
          </w:p>
        </w:tc>
        <w:tc>
          <w:tcPr>
            <w:tcW w:w="83.70pt" w:type="dxa"/>
          </w:tcPr>
          <w:p w14:paraId="4F21F38D" w14:textId="517F87F8" w:rsidR="001F2BA3" w:rsidRPr="00557D0D" w:rsidRDefault="00557D0D" w:rsidP="00D66ABC">
            <w:pPr>
              <w:pStyle w:val="BodyText"/>
              <w:ind w:firstLine="0pt"/>
              <w:rPr>
                <w:lang w:val="en-IN"/>
              </w:rPr>
            </w:pPr>
            <w:r>
              <w:rPr>
                <w:lang w:val="en-IN"/>
              </w:rPr>
              <w:t>67</w:t>
            </w:r>
          </w:p>
        </w:tc>
        <w:tc>
          <w:tcPr>
            <w:tcW w:w="83.75pt" w:type="dxa"/>
          </w:tcPr>
          <w:p w14:paraId="64895AF0" w14:textId="4928EF80" w:rsidR="001F2BA3" w:rsidRPr="00557D0D" w:rsidRDefault="00557D0D" w:rsidP="00D66ABC">
            <w:pPr>
              <w:pStyle w:val="BodyText"/>
              <w:ind w:firstLine="0pt"/>
              <w:rPr>
                <w:lang w:val="en-IN"/>
              </w:rPr>
            </w:pPr>
            <w:r>
              <w:rPr>
                <w:lang w:val="en-IN"/>
              </w:rPr>
              <w:t>67</w:t>
            </w:r>
          </w:p>
        </w:tc>
      </w:tr>
      <w:tr w:rsidR="001F2BA3" w14:paraId="1870A2C3" w14:textId="77777777" w:rsidTr="001F2BA3">
        <w:tc>
          <w:tcPr>
            <w:tcW w:w="83.70pt" w:type="dxa"/>
          </w:tcPr>
          <w:p w14:paraId="38A08F23" w14:textId="4FE27899" w:rsidR="001F2BA3" w:rsidRPr="00557D0D" w:rsidRDefault="00557D0D" w:rsidP="00D66ABC">
            <w:pPr>
              <w:pStyle w:val="BodyText"/>
              <w:ind w:firstLine="0pt"/>
              <w:rPr>
                <w:lang w:val="en-IN"/>
              </w:rPr>
            </w:pPr>
            <w:r>
              <w:rPr>
                <w:lang w:val="en-IN"/>
              </w:rPr>
              <w:t>2003</w:t>
            </w:r>
          </w:p>
        </w:tc>
        <w:tc>
          <w:tcPr>
            <w:tcW w:w="83.70pt" w:type="dxa"/>
          </w:tcPr>
          <w:p w14:paraId="02A0093C" w14:textId="31248E8C" w:rsidR="001F2BA3" w:rsidRPr="00557D0D" w:rsidRDefault="00557D0D" w:rsidP="00D66ABC">
            <w:pPr>
              <w:pStyle w:val="BodyText"/>
              <w:ind w:firstLine="0pt"/>
              <w:rPr>
                <w:lang w:val="en-IN"/>
              </w:rPr>
            </w:pPr>
            <w:r>
              <w:rPr>
                <w:lang w:val="en-IN"/>
              </w:rPr>
              <w:t>67</w:t>
            </w:r>
          </w:p>
        </w:tc>
        <w:tc>
          <w:tcPr>
            <w:tcW w:w="83.75pt" w:type="dxa"/>
          </w:tcPr>
          <w:p w14:paraId="508EFC44" w14:textId="7DC4259B" w:rsidR="001F2BA3" w:rsidRPr="00557D0D" w:rsidRDefault="00557D0D" w:rsidP="00D66ABC">
            <w:pPr>
              <w:pStyle w:val="BodyText"/>
              <w:ind w:firstLine="0pt"/>
              <w:rPr>
                <w:lang w:val="en-IN"/>
              </w:rPr>
            </w:pPr>
            <w:r>
              <w:rPr>
                <w:lang w:val="en-IN"/>
              </w:rPr>
              <w:t>67</w:t>
            </w:r>
          </w:p>
        </w:tc>
      </w:tr>
      <w:tr w:rsidR="001F2BA3" w14:paraId="2C9E7293" w14:textId="77777777" w:rsidTr="001F2BA3">
        <w:tc>
          <w:tcPr>
            <w:tcW w:w="83.70pt" w:type="dxa"/>
          </w:tcPr>
          <w:p w14:paraId="3420C618" w14:textId="0EF531BB" w:rsidR="001F2BA3" w:rsidRPr="00557D0D" w:rsidRDefault="00557D0D" w:rsidP="00D66ABC">
            <w:pPr>
              <w:pStyle w:val="BodyText"/>
              <w:ind w:firstLine="0pt"/>
              <w:rPr>
                <w:lang w:val="en-IN"/>
              </w:rPr>
            </w:pPr>
            <w:r>
              <w:rPr>
                <w:lang w:val="en-IN"/>
              </w:rPr>
              <w:t>2004</w:t>
            </w:r>
          </w:p>
        </w:tc>
        <w:tc>
          <w:tcPr>
            <w:tcW w:w="83.70pt" w:type="dxa"/>
          </w:tcPr>
          <w:p w14:paraId="685C437C" w14:textId="7F4648C8" w:rsidR="001F2BA3" w:rsidRPr="00557D0D" w:rsidRDefault="00557D0D" w:rsidP="00D66ABC">
            <w:pPr>
              <w:pStyle w:val="BodyText"/>
              <w:ind w:firstLine="0pt"/>
              <w:rPr>
                <w:lang w:val="en-IN"/>
              </w:rPr>
            </w:pPr>
            <w:r>
              <w:rPr>
                <w:lang w:val="en-IN"/>
              </w:rPr>
              <w:t>75</w:t>
            </w:r>
          </w:p>
        </w:tc>
        <w:tc>
          <w:tcPr>
            <w:tcW w:w="83.75pt" w:type="dxa"/>
          </w:tcPr>
          <w:p w14:paraId="3695D1CD" w14:textId="63918E02" w:rsidR="001F2BA3" w:rsidRPr="00557D0D" w:rsidRDefault="00557D0D" w:rsidP="00D66ABC">
            <w:pPr>
              <w:pStyle w:val="BodyText"/>
              <w:ind w:firstLine="0pt"/>
              <w:rPr>
                <w:lang w:val="en-IN"/>
              </w:rPr>
            </w:pPr>
            <w:r>
              <w:rPr>
                <w:lang w:val="en-IN"/>
              </w:rPr>
              <w:t>42</w:t>
            </w:r>
          </w:p>
        </w:tc>
      </w:tr>
      <w:tr w:rsidR="001F2BA3" w14:paraId="7E246A47" w14:textId="77777777" w:rsidTr="001F2BA3">
        <w:tc>
          <w:tcPr>
            <w:tcW w:w="83.70pt" w:type="dxa"/>
          </w:tcPr>
          <w:p w14:paraId="559E47B8" w14:textId="12EDFDF6" w:rsidR="001F2BA3" w:rsidRPr="00557D0D" w:rsidRDefault="00557D0D" w:rsidP="00D66ABC">
            <w:pPr>
              <w:pStyle w:val="BodyText"/>
              <w:ind w:firstLine="0pt"/>
              <w:rPr>
                <w:lang w:val="en-IN"/>
              </w:rPr>
            </w:pPr>
            <w:r>
              <w:rPr>
                <w:lang w:val="en-IN"/>
              </w:rPr>
              <w:t>2005</w:t>
            </w:r>
          </w:p>
        </w:tc>
        <w:tc>
          <w:tcPr>
            <w:tcW w:w="83.70pt" w:type="dxa"/>
          </w:tcPr>
          <w:p w14:paraId="34324146" w14:textId="7CD33CFC" w:rsidR="001F2BA3" w:rsidRPr="00557D0D" w:rsidRDefault="00557D0D" w:rsidP="00D66ABC">
            <w:pPr>
              <w:pStyle w:val="BodyText"/>
              <w:ind w:firstLine="0pt"/>
              <w:rPr>
                <w:lang w:val="en-IN"/>
              </w:rPr>
            </w:pPr>
            <w:r>
              <w:rPr>
                <w:lang w:val="en-IN"/>
              </w:rPr>
              <w:t>83</w:t>
            </w:r>
          </w:p>
        </w:tc>
        <w:tc>
          <w:tcPr>
            <w:tcW w:w="83.75pt" w:type="dxa"/>
          </w:tcPr>
          <w:p w14:paraId="06FEF5B2" w14:textId="3CDDFF81" w:rsidR="001F2BA3" w:rsidRPr="00557D0D" w:rsidRDefault="00557D0D" w:rsidP="00D66ABC">
            <w:pPr>
              <w:pStyle w:val="BodyText"/>
              <w:ind w:firstLine="0pt"/>
              <w:rPr>
                <w:lang w:val="en-IN"/>
              </w:rPr>
            </w:pPr>
            <w:r>
              <w:rPr>
                <w:lang w:val="en-IN"/>
              </w:rPr>
              <w:t>50</w:t>
            </w:r>
          </w:p>
        </w:tc>
      </w:tr>
      <w:tr w:rsidR="001F2BA3" w14:paraId="7E43BC41" w14:textId="77777777" w:rsidTr="001F2BA3">
        <w:tc>
          <w:tcPr>
            <w:tcW w:w="83.70pt" w:type="dxa"/>
          </w:tcPr>
          <w:p w14:paraId="560E23F9" w14:textId="102765B0" w:rsidR="001F2BA3" w:rsidRPr="00557D0D" w:rsidRDefault="00557D0D" w:rsidP="00D66ABC">
            <w:pPr>
              <w:pStyle w:val="BodyText"/>
              <w:ind w:firstLine="0pt"/>
              <w:rPr>
                <w:lang w:val="en-IN"/>
              </w:rPr>
            </w:pPr>
            <w:r>
              <w:rPr>
                <w:lang w:val="en-IN"/>
              </w:rPr>
              <w:t>2006</w:t>
            </w:r>
          </w:p>
        </w:tc>
        <w:tc>
          <w:tcPr>
            <w:tcW w:w="83.70pt" w:type="dxa"/>
          </w:tcPr>
          <w:p w14:paraId="7786DCCC" w14:textId="2A59F94D" w:rsidR="001F2BA3" w:rsidRPr="00557D0D" w:rsidRDefault="00557D0D" w:rsidP="00D66ABC">
            <w:pPr>
              <w:pStyle w:val="BodyText"/>
              <w:ind w:firstLine="0pt"/>
              <w:rPr>
                <w:lang w:val="en-IN"/>
              </w:rPr>
            </w:pPr>
            <w:r>
              <w:rPr>
                <w:lang w:val="en-IN"/>
              </w:rPr>
              <w:t>75</w:t>
            </w:r>
          </w:p>
        </w:tc>
        <w:tc>
          <w:tcPr>
            <w:tcW w:w="83.75pt" w:type="dxa"/>
          </w:tcPr>
          <w:p w14:paraId="0BD17A0B" w14:textId="03E07002" w:rsidR="001F2BA3" w:rsidRPr="00557D0D" w:rsidRDefault="00557D0D" w:rsidP="00D66ABC">
            <w:pPr>
              <w:pStyle w:val="BodyText"/>
              <w:ind w:firstLine="0pt"/>
              <w:rPr>
                <w:lang w:val="en-IN"/>
              </w:rPr>
            </w:pPr>
            <w:r>
              <w:rPr>
                <w:lang w:val="en-IN"/>
              </w:rPr>
              <w:t>42</w:t>
            </w:r>
          </w:p>
        </w:tc>
      </w:tr>
      <w:tr w:rsidR="001F2BA3" w14:paraId="1C7A41EC" w14:textId="77777777" w:rsidTr="001F2BA3">
        <w:tc>
          <w:tcPr>
            <w:tcW w:w="83.70pt" w:type="dxa"/>
          </w:tcPr>
          <w:p w14:paraId="0799F5AA" w14:textId="515EC370" w:rsidR="001F2BA3" w:rsidRPr="00557D0D" w:rsidRDefault="00557D0D" w:rsidP="00D66ABC">
            <w:pPr>
              <w:pStyle w:val="BodyText"/>
              <w:ind w:firstLine="0pt"/>
              <w:rPr>
                <w:lang w:val="en-IN"/>
              </w:rPr>
            </w:pPr>
            <w:r>
              <w:rPr>
                <w:lang w:val="en-IN"/>
              </w:rPr>
              <w:t>2007</w:t>
            </w:r>
          </w:p>
        </w:tc>
        <w:tc>
          <w:tcPr>
            <w:tcW w:w="83.70pt" w:type="dxa"/>
          </w:tcPr>
          <w:p w14:paraId="38722B89" w14:textId="2C001DB1" w:rsidR="001F2BA3" w:rsidRPr="00557D0D" w:rsidRDefault="00557D0D" w:rsidP="00D66ABC">
            <w:pPr>
              <w:pStyle w:val="BodyText"/>
              <w:ind w:firstLine="0pt"/>
              <w:rPr>
                <w:lang w:val="en-IN"/>
              </w:rPr>
            </w:pPr>
            <w:r>
              <w:rPr>
                <w:lang w:val="en-IN"/>
              </w:rPr>
              <w:t>93</w:t>
            </w:r>
          </w:p>
        </w:tc>
        <w:tc>
          <w:tcPr>
            <w:tcW w:w="83.75pt" w:type="dxa"/>
          </w:tcPr>
          <w:p w14:paraId="0EFD0A21" w14:textId="130653F0" w:rsidR="001F2BA3" w:rsidRPr="00557D0D" w:rsidRDefault="00557D0D" w:rsidP="00D66ABC">
            <w:pPr>
              <w:pStyle w:val="BodyText"/>
              <w:ind w:firstLine="0pt"/>
              <w:rPr>
                <w:lang w:val="en-IN"/>
              </w:rPr>
            </w:pPr>
            <w:r>
              <w:rPr>
                <w:lang w:val="en-IN"/>
              </w:rPr>
              <w:t>42</w:t>
            </w:r>
          </w:p>
        </w:tc>
      </w:tr>
      <w:tr w:rsidR="001F2BA3" w14:paraId="7ACB468B" w14:textId="77777777" w:rsidTr="001F2BA3">
        <w:tc>
          <w:tcPr>
            <w:tcW w:w="83.70pt" w:type="dxa"/>
          </w:tcPr>
          <w:p w14:paraId="193FBB7A" w14:textId="4782746B" w:rsidR="001F2BA3" w:rsidRPr="00557D0D" w:rsidRDefault="00557D0D" w:rsidP="00D66ABC">
            <w:pPr>
              <w:pStyle w:val="BodyText"/>
              <w:ind w:firstLine="0pt"/>
              <w:rPr>
                <w:lang w:val="en-IN"/>
              </w:rPr>
            </w:pPr>
            <w:r>
              <w:rPr>
                <w:lang w:val="en-IN"/>
              </w:rPr>
              <w:t>2008</w:t>
            </w:r>
          </w:p>
        </w:tc>
        <w:tc>
          <w:tcPr>
            <w:tcW w:w="83.70pt" w:type="dxa"/>
          </w:tcPr>
          <w:p w14:paraId="3D07E866" w14:textId="3DBE5363" w:rsidR="001F2BA3" w:rsidRPr="00557D0D" w:rsidRDefault="00557D0D" w:rsidP="00D66ABC">
            <w:pPr>
              <w:pStyle w:val="BodyText"/>
              <w:ind w:firstLine="0pt"/>
              <w:rPr>
                <w:lang w:val="en-IN"/>
              </w:rPr>
            </w:pPr>
            <w:r>
              <w:rPr>
                <w:lang w:val="en-IN"/>
              </w:rPr>
              <w:t>97</w:t>
            </w:r>
          </w:p>
        </w:tc>
        <w:tc>
          <w:tcPr>
            <w:tcW w:w="83.75pt" w:type="dxa"/>
          </w:tcPr>
          <w:p w14:paraId="736B69EB" w14:textId="79C53BB2" w:rsidR="001F2BA3" w:rsidRPr="00557D0D" w:rsidRDefault="00557D0D" w:rsidP="00D66ABC">
            <w:pPr>
              <w:pStyle w:val="BodyText"/>
              <w:ind w:firstLine="0pt"/>
              <w:rPr>
                <w:lang w:val="en-IN"/>
              </w:rPr>
            </w:pPr>
            <w:r>
              <w:rPr>
                <w:lang w:val="en-IN"/>
              </w:rPr>
              <w:t>40</w:t>
            </w:r>
          </w:p>
        </w:tc>
      </w:tr>
    </w:tbl>
    <w:p w14:paraId="37F2823C" w14:textId="69C8D132" w:rsidR="001F2BA3" w:rsidRDefault="00557D0D" w:rsidP="00D66ABC">
      <w:pPr>
        <w:pStyle w:val="BodyText"/>
        <w:ind w:firstLine="0pt"/>
        <w:rPr>
          <w:lang w:val="en-IN"/>
        </w:rPr>
      </w:pPr>
      <w:r>
        <w:rPr>
          <w:lang w:val="en-IN"/>
        </w:rPr>
        <w:t>Table 2: Sambalpuri data results</w:t>
      </w:r>
    </w:p>
    <w:p w14:paraId="792D3C13" w14:textId="77777777" w:rsidR="00557D0D" w:rsidRDefault="00557D0D" w:rsidP="00D66ABC">
      <w:pPr>
        <w:pStyle w:val="BodyText"/>
        <w:ind w:firstLine="0pt"/>
        <w:rPr>
          <w:lang w:val="en-IN"/>
        </w:rPr>
      </w:pPr>
      <w:r>
        <w:rPr>
          <w:lang w:val="en-IN"/>
        </w:rPr>
        <w:t>Sentence</w:t>
      </w:r>
      <w:r>
        <w:t>s 2007 and 2000 indicate the most contrast in the choice of interpretations with a similar marginal difference.</w:t>
      </w:r>
      <w:r>
        <w:rPr>
          <w:lang w:val="en-IN"/>
        </w:rPr>
        <w:t xml:space="preserve"> Sentences </w:t>
      </w:r>
      <w:r>
        <w:t xml:space="preserve">2002 and 2003 have zero difference, while </w:t>
      </w:r>
      <w:r>
        <w:rPr>
          <w:lang w:val="en-IN"/>
        </w:rPr>
        <w:t xml:space="preserve">sentences </w:t>
      </w:r>
      <w:r>
        <w:t>2001, 2004, 2005, and 2006 have the same marginal difference. None of the subjects reported choosing a wrong option. Many of the subjects chose one interpretation to be correct, some chose both and one chose both options to be wrong for</w:t>
      </w:r>
      <w:r>
        <w:rPr>
          <w:lang w:val="en-IN"/>
        </w:rPr>
        <w:t xml:space="preserve"> one sentence</w:t>
      </w:r>
      <w:r>
        <w:t xml:space="preserve">. A noticeable trend is that only in </w:t>
      </w:r>
      <w:r>
        <w:rPr>
          <w:lang w:val="en-IN"/>
        </w:rPr>
        <w:t xml:space="preserve">sentence </w:t>
      </w:r>
      <w:r>
        <w:t>2001 was there a significant preference for the second interpretation despite the fact that the sentence styles were mixed throughout the experiment.</w:t>
      </w:r>
      <w:r>
        <w:rPr>
          <w:lang w:val="en-IN"/>
        </w:rPr>
        <w:t xml:space="preserve"> </w:t>
      </w:r>
    </w:p>
    <w:p w14:paraId="7C7060F5" w14:textId="35402737" w:rsidR="00575BCA" w:rsidRPr="00557D0D" w:rsidRDefault="00557D0D" w:rsidP="00D66ABC">
      <w:pPr>
        <w:pStyle w:val="BodyText"/>
        <w:ind w:firstLine="0pt"/>
        <w:rPr>
          <w:lang w:val="en-IN"/>
        </w:rPr>
      </w:pPr>
      <w:r>
        <w:rPr>
          <w:lang w:val="en-IN"/>
        </w:rPr>
        <w:t xml:space="preserve">So </w:t>
      </w:r>
      <w:r w:rsidR="00B32FF7">
        <w:t xml:space="preserve">for Sambalpuri, on comparing the results with all the participants, certain observable trends were noticed. Almost all participants correctly identified the first or test sentence, and the majority accurately marked blatant or obvious tense errors. However, they struggled to detect subtle grammatical mistakes. Filler sentences were generally recognized correctly, and the presence of contextual information significantly improved test scores. Overall, participants read through the sentences </w:t>
      </w:r>
      <w:r w:rsidR="00B32FF7">
        <w:lastRenderedPageBreak/>
        <w:t>smoothly and rapidly, indicating ease of comprehension during the task. The change in context acted as a cue for participants, helping them focus their attention and quickly accept the case sentences as correct, highlighting the role of context. Despite having limited formal grammatical knowledge, participants were able to identify major errors, though they often missed subtle grammatical mistakes. Context again played a crucial role, enabling participants to easily spot filler sentences that were out of place. The presence of contextual cues also contributed to the high accuracy of responses. Additionally, the low average reaction times indicated the participants’ native fluency, as they processed the test sentences rapidly and efficiently</w:t>
      </w:r>
      <w:r w:rsidR="0080791D" w:rsidRPr="005B520E">
        <w:t>.</w:t>
      </w:r>
      <w:r w:rsidR="001A42EA">
        <w:t xml:space="preserve"> </w:t>
      </w:r>
    </w:p>
    <w:p w14:paraId="0D66A7F1" w14:textId="1405F007" w:rsidR="00B32FF7" w:rsidRDefault="00B32FF7" w:rsidP="00B32FF7">
      <w:pPr>
        <w:pStyle w:val="Heading1"/>
      </w:pPr>
      <w:r w:rsidRPr="00B32FF7">
        <w:t>Conclusion</w:t>
      </w:r>
    </w:p>
    <w:p w14:paraId="0BCC0546" w14:textId="77777777" w:rsidR="00B32FF7" w:rsidRDefault="00B32FF7" w:rsidP="00D66ABC">
      <w:pPr>
        <w:ind w:firstLine="10.80pt"/>
        <w:jc w:val="both"/>
      </w:pPr>
      <w:r>
        <w:t xml:space="preserve">Psycholinguistic studies reveal that human cognition processes ambiguous stimuli differently depending on frequency, familiarity, and context. Ambiguous sentences generally take longer to process than unambiguous ones. Response time decreases with repeated exposure, suggesting that mental lexicon familiarity influences comprehension. Contextual cues play a crucial role in resolving ambiguity. Future work will focus on several key areas to enhance the study’s scope and precision. First, lexical ambiguities can be categorized based on word class to enable more accurate classification and analysis. Second, measuring the total processing time for preferred versus non-preferred readings will provide deeper insights into cognitive processing patterns. </w:t>
      </w:r>
    </w:p>
    <w:p w14:paraId="42D6024D" w14:textId="2CF2FD30" w:rsidR="00B32FF7" w:rsidRPr="00B32FF7" w:rsidRDefault="00B32FF7" w:rsidP="00B32FF7">
      <w:pPr>
        <w:jc w:val="both"/>
      </w:pPr>
      <w:r>
        <w:t>Finally, conducting additional experiments with a larger and more diverse group of participants will help validate the findings and strengthen the overall reliability of the research to be useful and applicable for NLP research and tool building. Future work will focus on several key areas to enhance the study’s scope and precision. First, lexical ambiguities can be categorized based on word class to enable more accurate classification and analysis. Second, measuring the total processing time for preferred versus non-preferred readings will provide deeper insights into cognitive processing patterns. Finally, conducting additional experiments with a larger and more diverse group of participants will help validate the findings and strengthen the overall reliability of the research. Leveraging low-resource languages like Nagamese and Sambalpuri, is vital for preserving cultural heritage and enabling communication among diverse communities. NLP can help document, preserve, and share traditional knowledge, provide educational resources, and support effective communication during emergencies. Developing NLP tools for these languages requires resources to model them at lexical, syntactic, and semantic levels. Hence this work.</w:t>
      </w:r>
    </w:p>
    <w:p w14:paraId="7E448512" w14:textId="77777777" w:rsidR="009303D9" w:rsidRDefault="009303D9" w:rsidP="00A059B3">
      <w:pPr>
        <w:pStyle w:val="Heading5"/>
      </w:pPr>
      <w:r w:rsidRPr="005B520E">
        <w:t>References</w:t>
      </w:r>
    </w:p>
    <w:p w14:paraId="5CD7C591" w14:textId="77777777" w:rsidR="00B32FF7" w:rsidRDefault="00B32FF7" w:rsidP="00B32FF7">
      <w:pPr>
        <w:pStyle w:val="references"/>
      </w:pPr>
      <w:r>
        <w:t>S. N. Bohidar, Sambalpuri Grammar and Dictionary, 1913–1980.</w:t>
      </w:r>
    </w:p>
    <w:p w14:paraId="5CC33446" w14:textId="77777777" w:rsidR="00B32FF7" w:rsidRDefault="00B32FF7" w:rsidP="00B32FF7">
      <w:pPr>
        <w:pStyle w:val="references"/>
      </w:pPr>
      <w:r>
        <w:t>S. Arokianathan, Language Use and Identity in Nagaland, 1998.</w:t>
      </w:r>
    </w:p>
    <w:p w14:paraId="47B95126" w14:textId="77777777" w:rsidR="00B32FF7" w:rsidRDefault="00B32FF7" w:rsidP="00B32FF7">
      <w:pPr>
        <w:pStyle w:val="references"/>
      </w:pPr>
      <w:r>
        <w:t>P. Pakray, A. Gelbukh, and S. Bandyopadhyay, "Natural language processing applications for low-resource languages," Natural Language Processing, vol. 31, pp. 183–197, 2025</w:t>
      </w:r>
    </w:p>
    <w:p w14:paraId="2B6AF1FA" w14:textId="77777777" w:rsidR="00B32FF7" w:rsidRDefault="00B32FF7" w:rsidP="00B32FF7">
      <w:pPr>
        <w:pStyle w:val="references"/>
      </w:pPr>
      <w:r>
        <w:t>R. Sivasubramanian et al., "Natural language processing in low-resource language contexts," Frontiers in Health Informatics, vol. 13, no. 8, pp. 1578–1584, 2024</w:t>
      </w:r>
    </w:p>
    <w:p w14:paraId="40D1CF20" w14:textId="77777777" w:rsidR="00B32FF7" w:rsidRDefault="00B32FF7" w:rsidP="00B32FF7">
      <w:pPr>
        <w:pStyle w:val="references"/>
      </w:pPr>
      <w:r>
        <w:lastRenderedPageBreak/>
        <w:t>A. Salleh, "A hybrid model for low-resource language text classification," Expert Systems with Applications, vol. 50, pp. 1–10, 2025.</w:t>
      </w:r>
    </w:p>
    <w:p w14:paraId="4C03C728" w14:textId="77777777" w:rsidR="00B32FF7" w:rsidRDefault="00B32FF7" w:rsidP="00B32FF7">
      <w:pPr>
        <w:pStyle w:val="references"/>
      </w:pPr>
      <w:r>
        <w:t>G. Chaudhary, Nagamese: The Lingua Franca of Nagaland, 1973.</w:t>
      </w:r>
    </w:p>
    <w:p w14:paraId="47FC1CC7" w14:textId="77777777" w:rsidR="00B32FF7" w:rsidRDefault="00B32FF7" w:rsidP="00B32FF7">
      <w:pPr>
        <w:pStyle w:val="references"/>
      </w:pPr>
      <w:r>
        <w:t xml:space="preserve">Huang He-yan, Chen Zhao-xiong, “The Hybrid Strategy Processing Approach of Complex Long Sentence”, Journal of Chinese Information Processing,. 2002, </w:t>
      </w:r>
    </w:p>
    <w:p w14:paraId="2DE8D091" w14:textId="77777777" w:rsidR="00B32FF7" w:rsidRDefault="00B32FF7" w:rsidP="00B32FF7">
      <w:pPr>
        <w:pStyle w:val="references"/>
      </w:pPr>
      <w:r>
        <w:t>R. S. McCann, D. Besner, and E. Davelaar, “Word recognition and identification: Do word-frequency effects reflect lexical access?” Journal of Experimental Psychology: Human Perception and Performance, vol. 14, pp. 693–706, 1988.</w:t>
      </w:r>
    </w:p>
    <w:p w14:paraId="57960F16" w14:textId="77777777" w:rsidR="00B32FF7" w:rsidRDefault="00B32FF7" w:rsidP="00B32FF7">
      <w:pPr>
        <w:pStyle w:val="references"/>
      </w:pPr>
      <w:r>
        <w:t>M. Taft and G. Hambly, “Exploring the cohort model of spoken word recognition,” Cognition, vol. 22, pp. 239–262, 1986.</w:t>
      </w:r>
    </w:p>
    <w:p w14:paraId="32CD929D" w14:textId="77777777" w:rsidR="00B32FF7" w:rsidRDefault="00B32FF7" w:rsidP="00B32FF7">
      <w:pPr>
        <w:pStyle w:val="references"/>
      </w:pPr>
      <w:r>
        <w:t>M. V. Sreedhar, Nagamese: A Pidgin Creole, 1985.</w:t>
      </w:r>
    </w:p>
    <w:p w14:paraId="137E5FCA" w14:textId="77777777" w:rsidR="00B32FF7" w:rsidRDefault="00B32FF7" w:rsidP="00B32FF7">
      <w:pPr>
        <w:pStyle w:val="references"/>
      </w:pPr>
      <w:r>
        <w:t>R. Kumar, Sociolinguistic Aspects of Nagamese, 2009.</w:t>
      </w:r>
    </w:p>
    <w:p w14:paraId="722D782F" w14:textId="77777777" w:rsidR="00B32FF7" w:rsidRDefault="00B32FF7" w:rsidP="00B32FF7">
      <w:pPr>
        <w:pStyle w:val="references"/>
      </w:pPr>
      <w:r>
        <w:t>J. R. Grimes, Ethnologue: Languages of the World, 1989.</w:t>
      </w:r>
    </w:p>
    <w:p w14:paraId="55689EEE" w14:textId="77777777" w:rsidR="00B32FF7" w:rsidRDefault="00B32FF7" w:rsidP="00B32FF7">
      <w:pPr>
        <w:pStyle w:val="references"/>
      </w:pPr>
      <w:r>
        <w:t>K. Kushal, Typological Analysis of Negation in Sambalpuri, 2023.</w:t>
      </w:r>
    </w:p>
    <w:p w14:paraId="29A5F40B" w14:textId="77777777" w:rsidR="00B32FF7" w:rsidRDefault="00B32FF7" w:rsidP="00B32FF7">
      <w:pPr>
        <w:pStyle w:val="references"/>
      </w:pPr>
      <w:r>
        <w:t>P. Mathai and J. Kelsall, Sociolinguistic Survey of Sambalpuri, 2013.</w:t>
      </w:r>
    </w:p>
    <w:p w14:paraId="5E900CD5" w14:textId="77777777" w:rsidR="00B32FF7" w:rsidRDefault="00B32FF7" w:rsidP="00B32FF7">
      <w:pPr>
        <w:pStyle w:val="references"/>
      </w:pPr>
      <w:r>
        <w:t>https://arxiv.org/abs/2401.01053</w:t>
      </w:r>
    </w:p>
    <w:p w14:paraId="5749221E" w14:textId="77777777" w:rsidR="00B32FF7" w:rsidRDefault="00B32FF7" w:rsidP="00B32FF7">
      <w:pPr>
        <w:pStyle w:val="references"/>
      </w:pPr>
      <w:r>
        <w:t>https://arxiv.org/abs/1808.09500</w:t>
      </w:r>
    </w:p>
    <w:p w14:paraId="2BAEB177" w14:textId="77777777" w:rsidR="00B32FF7" w:rsidRDefault="00B32FF7" w:rsidP="00B32FF7">
      <w:pPr>
        <w:pStyle w:val="references"/>
      </w:pPr>
      <w:r>
        <w:t>https://arxiv.org/abs/2504.08792</w:t>
      </w:r>
    </w:p>
    <w:p w14:paraId="67DAF087" w14:textId="77777777" w:rsidR="00B32FF7" w:rsidRDefault="00B32FF7" w:rsidP="00B32FF7">
      <w:pPr>
        <w:pStyle w:val="references"/>
      </w:pPr>
      <w:r>
        <w:t>https://arxiv.org/abs/2105.14515</w:t>
      </w:r>
    </w:p>
    <w:p w14:paraId="554A6420" w14:textId="77777777" w:rsidR="00B32FF7" w:rsidRDefault="00B32FF7" w:rsidP="00B32FF7">
      <w:pPr>
        <w:pStyle w:val="references"/>
      </w:pPr>
      <w:r>
        <w:t>https://doi.org/10.3233/HI-220126</w:t>
      </w:r>
    </w:p>
    <w:p w14:paraId="21F00DD9" w14:textId="77777777" w:rsidR="00B32FF7" w:rsidRDefault="00B32FF7" w:rsidP="00B32FF7">
      <w:pPr>
        <w:pStyle w:val="references"/>
      </w:pPr>
      <w:r>
        <w:t>Navigli, R., &amp; Ponzetto, S. P. (2010). BabelNet: Building a Very Large Multilingual Semantic Network. Proceedings of the 48th Annual Meeting of the Association for Computational Linguistics (ACL 2010), 216–225</w:t>
      </w:r>
    </w:p>
    <w:p w14:paraId="114FF8BB" w14:textId="77777777" w:rsidR="00B32FF7" w:rsidRDefault="00B32FF7" w:rsidP="00B32FF7">
      <w:pPr>
        <w:pStyle w:val="references"/>
      </w:pPr>
      <w:r>
        <w:t>Forster, K. I., &amp; Forster, J. C. DMDX: A Windows display program with millisecond accuracy. Behavior Research Methods, Instruments, &amp; Computers, 2003</w:t>
      </w:r>
    </w:p>
    <w:sectPr w:rsidR="00B32FF7" w:rsidSect="00B32FF7">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DCA6F65" w14:textId="77777777" w:rsidR="008C7FE0" w:rsidRDefault="008C7FE0" w:rsidP="001A3B3D">
      <w:r>
        <w:separator/>
      </w:r>
    </w:p>
  </w:endnote>
  <w:endnote w:type="continuationSeparator" w:id="0">
    <w:p w14:paraId="19D929A2" w14:textId="77777777" w:rsidR="008C7FE0" w:rsidRDefault="008C7FE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BD54F20" w14:textId="77777777" w:rsidR="008C7FE0" w:rsidRDefault="008C7FE0" w:rsidP="001A3B3D">
      <w:r>
        <w:separator/>
      </w:r>
    </w:p>
  </w:footnote>
  <w:footnote w:type="continuationSeparator" w:id="0">
    <w:p w14:paraId="3ED1EF9A" w14:textId="77777777" w:rsidR="008C7FE0" w:rsidRDefault="008C7FE0"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92427B"/>
    <w:multiLevelType w:val="multilevel"/>
    <w:tmpl w:val="05F27F80"/>
    <w:lvl w:ilvl="0">
      <w:start w:val="6"/>
      <w:numFmt w:val="decimal"/>
      <w:lvlText w:val="%1."/>
      <w:lvlJc w:val="start"/>
      <w:pPr>
        <w:ind w:start="36pt" w:hanging="18pt"/>
      </w:pPr>
      <w:rPr>
        <w:rFonts w:hint="default"/>
      </w:rPr>
    </w:lvl>
    <w:lvl w:ilvl="1">
      <w:start w:val="1"/>
      <w:numFmt w:val="decimal"/>
      <w:isLgl/>
      <w:lvlText w:val="%1.%2"/>
      <w:lvlJc w:val="start"/>
      <w:pPr>
        <w:ind w:start="36pt" w:hanging="18pt"/>
      </w:pPr>
      <w:rPr>
        <w:rFonts w:hint="default"/>
        <w:b/>
        <w:bCs/>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9"/>
  </w:num>
  <w:num w:numId="26">
    <w:abstractNumId w:val="11"/>
  </w:num>
  <w:num w:numId="27">
    <w:abstractNumId w:val="17"/>
  </w:num>
  <w:num w:numId="28">
    <w:abstractNumId w:val="17"/>
  </w:num>
  <w:num w:numId="29">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4658"/>
    <w:rsid w:val="0004781E"/>
    <w:rsid w:val="0008758A"/>
    <w:rsid w:val="000C1E68"/>
    <w:rsid w:val="000C5471"/>
    <w:rsid w:val="0015079E"/>
    <w:rsid w:val="00156B74"/>
    <w:rsid w:val="00176C29"/>
    <w:rsid w:val="001A2EFD"/>
    <w:rsid w:val="001A3B3D"/>
    <w:rsid w:val="001A42EA"/>
    <w:rsid w:val="001B2600"/>
    <w:rsid w:val="001B67DC"/>
    <w:rsid w:val="001D7BCF"/>
    <w:rsid w:val="001F2BA3"/>
    <w:rsid w:val="002254A9"/>
    <w:rsid w:val="00233D97"/>
    <w:rsid w:val="002620E0"/>
    <w:rsid w:val="0028110B"/>
    <w:rsid w:val="002850E3"/>
    <w:rsid w:val="002A0D12"/>
    <w:rsid w:val="00354FCF"/>
    <w:rsid w:val="003A19E2"/>
    <w:rsid w:val="00421EC6"/>
    <w:rsid w:val="004325FB"/>
    <w:rsid w:val="004432BA"/>
    <w:rsid w:val="0044407E"/>
    <w:rsid w:val="004D72B5"/>
    <w:rsid w:val="00547E73"/>
    <w:rsid w:val="00551B7F"/>
    <w:rsid w:val="00557D0D"/>
    <w:rsid w:val="0056610F"/>
    <w:rsid w:val="00575BCA"/>
    <w:rsid w:val="005A69D2"/>
    <w:rsid w:val="005B0344"/>
    <w:rsid w:val="005B520E"/>
    <w:rsid w:val="005E2800"/>
    <w:rsid w:val="006145EF"/>
    <w:rsid w:val="006347CF"/>
    <w:rsid w:val="00645D22"/>
    <w:rsid w:val="00651A08"/>
    <w:rsid w:val="00654204"/>
    <w:rsid w:val="00670434"/>
    <w:rsid w:val="00675B33"/>
    <w:rsid w:val="006B0509"/>
    <w:rsid w:val="006B6B66"/>
    <w:rsid w:val="006F6D3D"/>
    <w:rsid w:val="00704134"/>
    <w:rsid w:val="00715BEA"/>
    <w:rsid w:val="00740EEA"/>
    <w:rsid w:val="00742D62"/>
    <w:rsid w:val="00794804"/>
    <w:rsid w:val="007B33F1"/>
    <w:rsid w:val="007C0308"/>
    <w:rsid w:val="007C2FF2"/>
    <w:rsid w:val="007C47AE"/>
    <w:rsid w:val="007D6232"/>
    <w:rsid w:val="007F1F99"/>
    <w:rsid w:val="007F768F"/>
    <w:rsid w:val="0080791D"/>
    <w:rsid w:val="00873603"/>
    <w:rsid w:val="008A2C7D"/>
    <w:rsid w:val="008C4B23"/>
    <w:rsid w:val="008C7FE0"/>
    <w:rsid w:val="008F6E2C"/>
    <w:rsid w:val="0092263F"/>
    <w:rsid w:val="009303D9"/>
    <w:rsid w:val="00933C64"/>
    <w:rsid w:val="00972203"/>
    <w:rsid w:val="00985F59"/>
    <w:rsid w:val="00A059B3"/>
    <w:rsid w:val="00A17966"/>
    <w:rsid w:val="00A2408E"/>
    <w:rsid w:val="00A83751"/>
    <w:rsid w:val="00A96B66"/>
    <w:rsid w:val="00AE3409"/>
    <w:rsid w:val="00B11A60"/>
    <w:rsid w:val="00B22613"/>
    <w:rsid w:val="00B32FF7"/>
    <w:rsid w:val="00B35893"/>
    <w:rsid w:val="00B861E3"/>
    <w:rsid w:val="00BA1025"/>
    <w:rsid w:val="00BC3420"/>
    <w:rsid w:val="00BE7D3C"/>
    <w:rsid w:val="00BF5FF6"/>
    <w:rsid w:val="00C0207F"/>
    <w:rsid w:val="00C16117"/>
    <w:rsid w:val="00C3075A"/>
    <w:rsid w:val="00C765FC"/>
    <w:rsid w:val="00C76FFC"/>
    <w:rsid w:val="00C919A4"/>
    <w:rsid w:val="00CA4392"/>
    <w:rsid w:val="00CC393F"/>
    <w:rsid w:val="00D13749"/>
    <w:rsid w:val="00D2176E"/>
    <w:rsid w:val="00D632BE"/>
    <w:rsid w:val="00D66ABC"/>
    <w:rsid w:val="00D72D06"/>
    <w:rsid w:val="00D7522C"/>
    <w:rsid w:val="00D7536F"/>
    <w:rsid w:val="00D76668"/>
    <w:rsid w:val="00E33A07"/>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91F48541-45A8-4663-A674-7FF70EB8CFF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1">
    <w:name w:val="Unresolved Mention1"/>
    <w:basedOn w:val="DefaultParagraphFont"/>
    <w:uiPriority w:val="99"/>
    <w:semiHidden/>
    <w:unhideWhenUsed/>
    <w:rsid w:val="00156B74"/>
    <w:rPr>
      <w:color w:val="605E5C"/>
      <w:shd w:val="clear" w:color="auto" w:fill="E1DFDD"/>
    </w:rPr>
  </w:style>
  <w:style w:type="character" w:styleId="Strong">
    <w:name w:val="Strong"/>
    <w:basedOn w:val="DefaultParagraphFont"/>
    <w:uiPriority w:val="22"/>
    <w:qFormat/>
    <w:rsid w:val="005A69D2"/>
    <w:rPr>
      <w:b/>
      <w:bCs/>
    </w:rPr>
  </w:style>
  <w:style w:type="paragraph" w:styleId="NormalWeb">
    <w:name w:val="Normal (Web)"/>
    <w:basedOn w:val="Normal"/>
    <w:uiPriority w:val="99"/>
    <w:unhideWhenUsed/>
    <w:rsid w:val="005A69D2"/>
    <w:pPr>
      <w:spacing w:before="5pt" w:beforeAutospacing="1" w:after="5pt" w:afterAutospacing="1"/>
      <w:jc w:val="start"/>
    </w:pPr>
    <w:rPr>
      <w:rFonts w:eastAsia="Times New Roman"/>
      <w:sz w:val="24"/>
      <w:szCs w:val="24"/>
    </w:rPr>
  </w:style>
  <w:style w:type="character" w:customStyle="1" w:styleId="Heading2Char">
    <w:name w:val="Heading 2 Char"/>
    <w:basedOn w:val="DefaultParagraphFont"/>
    <w:link w:val="Heading2"/>
    <w:rsid w:val="005A69D2"/>
    <w:rPr>
      <w:i/>
      <w:iCs/>
      <w:noProof/>
    </w:rPr>
  </w:style>
  <w:style w:type="character" w:customStyle="1" w:styleId="Heading3Char">
    <w:name w:val="Heading 3 Char"/>
    <w:basedOn w:val="DefaultParagraphFont"/>
    <w:link w:val="Heading3"/>
    <w:rsid w:val="00985F59"/>
    <w:rPr>
      <w:i/>
      <w:iCs/>
      <w:noProof/>
    </w:rPr>
  </w:style>
  <w:style w:type="character" w:customStyle="1" w:styleId="Heading4Char">
    <w:name w:val="Heading 4 Char"/>
    <w:basedOn w:val="DefaultParagraphFont"/>
    <w:link w:val="Heading4"/>
    <w:rsid w:val="00985F59"/>
    <w:rPr>
      <w:i/>
      <w:iCs/>
      <w:noProof/>
    </w:rPr>
  </w:style>
  <w:style w:type="paragraph" w:styleId="ListParagraph">
    <w:name w:val="List Paragraph"/>
    <w:basedOn w:val="Normal"/>
    <w:uiPriority w:val="34"/>
    <w:qFormat/>
    <w:rsid w:val="0028110B"/>
    <w:pPr>
      <w:spacing w:after="10pt" w:line="13.80pt" w:lineRule="auto"/>
      <w:ind w:start="36pt"/>
      <w:contextualSpacing/>
      <w:jc w:val="start"/>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B32FF7"/>
    <w:rPr>
      <w:smallCaps/>
      <w:noProof/>
    </w:rPr>
  </w:style>
  <w:style w:type="table" w:styleId="TableGrid">
    <w:name w:val="Table Grid"/>
    <w:basedOn w:val="TableNormal"/>
    <w:rsid w:val="001F2BA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image" Target="media/image1.emf"/><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C394BC3-AA8E-4FE9-8019-440B633B353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7259</TotalTime>
  <Pages>6</Pages>
  <Words>4168</Words>
  <Characters>23759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ATEREYA SHARMA</cp:lastModifiedBy>
  <cp:revision>4</cp:revision>
  <dcterms:created xsi:type="dcterms:W3CDTF">2024-07-16T13:39:00Z</dcterms:created>
  <dcterms:modified xsi:type="dcterms:W3CDTF">2026-07-08T08:18:00Z</dcterms:modified>
</cp:coreProperties>
</file>