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3B75" w14:textId="5A7DD99B" w:rsidR="000218BD" w:rsidRPr="00730156" w:rsidRDefault="000218BD" w:rsidP="000218BD">
      <w:pPr>
        <w:jc w:val="center"/>
        <w:rPr>
          <w:sz w:val="40"/>
          <w:szCs w:val="40"/>
        </w:rPr>
      </w:pPr>
      <w:r w:rsidRPr="00730156">
        <w:rPr>
          <w:rFonts w:ascii="Times New Roman" w:hAnsi="Times New Roman" w:cs="Times New Roman"/>
          <w:b/>
          <w:bCs/>
          <w:sz w:val="40"/>
          <w:szCs w:val="40"/>
        </w:rPr>
        <w:t>Emerging Trends of Generative AI in Healthcare: A Survey and Future Direction</w:t>
      </w:r>
    </w:p>
    <w:p w14:paraId="5893269F" w14:textId="73AD764F" w:rsidR="000218BD" w:rsidRPr="00730156" w:rsidRDefault="000218BD" w:rsidP="00730156">
      <w:pPr>
        <w:jc w:val="center"/>
        <w:rPr>
          <w:rFonts w:ascii="Times New Roman" w:hAnsi="Times New Roman" w:cs="Times New Roman"/>
          <w:b/>
          <w:bCs/>
          <w:sz w:val="28"/>
          <w:szCs w:val="28"/>
          <w:vertAlign w:val="superscript"/>
        </w:rPr>
      </w:pPr>
      <w:r w:rsidRPr="00730156">
        <w:rPr>
          <w:rFonts w:ascii="Times New Roman" w:hAnsi="Times New Roman" w:cs="Times New Roman"/>
          <w:b/>
          <w:bCs/>
          <w:sz w:val="28"/>
          <w:szCs w:val="28"/>
        </w:rPr>
        <w:t>S Shibin</w:t>
      </w:r>
      <w:r w:rsidRPr="00730156">
        <w:rPr>
          <w:rFonts w:ascii="Times New Roman" w:hAnsi="Times New Roman" w:cs="Times New Roman"/>
          <w:b/>
          <w:bCs/>
          <w:sz w:val="28"/>
          <w:szCs w:val="28"/>
          <w:vertAlign w:val="superscript"/>
        </w:rPr>
        <w:t>1</w:t>
      </w:r>
      <w:r w:rsidRPr="00730156">
        <w:rPr>
          <w:rFonts w:ascii="Times New Roman" w:hAnsi="Times New Roman" w:cs="Times New Roman"/>
          <w:b/>
          <w:bCs/>
          <w:sz w:val="28"/>
          <w:szCs w:val="28"/>
        </w:rPr>
        <w:t xml:space="preserve">, </w:t>
      </w:r>
      <w:r w:rsidR="00730156">
        <w:rPr>
          <w:rFonts w:ascii="Times New Roman" w:hAnsi="Times New Roman" w:cs="Times New Roman"/>
          <w:b/>
          <w:bCs/>
          <w:sz w:val="28"/>
          <w:szCs w:val="28"/>
        </w:rPr>
        <w:t>T Meganathan</w:t>
      </w:r>
      <w:proofErr w:type="gramStart"/>
      <w:r w:rsidRPr="00730156">
        <w:rPr>
          <w:rFonts w:ascii="Times New Roman" w:hAnsi="Times New Roman" w:cs="Times New Roman"/>
          <w:b/>
          <w:bCs/>
          <w:sz w:val="28"/>
          <w:szCs w:val="28"/>
          <w:vertAlign w:val="superscript"/>
        </w:rPr>
        <w:t xml:space="preserve">2 </w:t>
      </w:r>
      <w:r w:rsidRPr="00730156">
        <w:rPr>
          <w:rFonts w:ascii="Times New Roman" w:hAnsi="Times New Roman" w:cs="Times New Roman"/>
          <w:b/>
          <w:bCs/>
          <w:sz w:val="28"/>
          <w:szCs w:val="28"/>
        </w:rPr>
        <w:t>,</w:t>
      </w:r>
      <w:proofErr w:type="gramEnd"/>
      <w:r w:rsidRPr="00730156">
        <w:rPr>
          <w:rFonts w:ascii="Times New Roman" w:hAnsi="Times New Roman" w:cs="Times New Roman"/>
          <w:b/>
          <w:bCs/>
          <w:sz w:val="28"/>
          <w:szCs w:val="28"/>
        </w:rPr>
        <w:t xml:space="preserve"> </w:t>
      </w:r>
      <w:r w:rsidR="00CD761C">
        <w:rPr>
          <w:rFonts w:ascii="Times New Roman" w:hAnsi="Times New Roman" w:cs="Times New Roman"/>
          <w:b/>
          <w:bCs/>
          <w:sz w:val="28"/>
          <w:szCs w:val="28"/>
        </w:rPr>
        <w:t>S</w:t>
      </w:r>
      <w:r w:rsidRPr="00730156">
        <w:rPr>
          <w:rFonts w:ascii="Times New Roman" w:hAnsi="Times New Roman" w:cs="Times New Roman"/>
          <w:b/>
          <w:bCs/>
          <w:sz w:val="28"/>
          <w:szCs w:val="28"/>
        </w:rPr>
        <w:t xml:space="preserve"> S</w:t>
      </w:r>
      <w:r w:rsidR="00730156">
        <w:rPr>
          <w:rFonts w:ascii="Times New Roman" w:hAnsi="Times New Roman" w:cs="Times New Roman"/>
          <w:b/>
          <w:bCs/>
          <w:sz w:val="28"/>
          <w:szCs w:val="28"/>
        </w:rPr>
        <w:t>hanmugapriya</w:t>
      </w:r>
      <w:r w:rsidRPr="00730156">
        <w:rPr>
          <w:rFonts w:ascii="Times New Roman" w:hAnsi="Times New Roman" w:cs="Times New Roman"/>
          <w:b/>
          <w:bCs/>
          <w:sz w:val="28"/>
          <w:szCs w:val="28"/>
          <w:vertAlign w:val="superscript"/>
        </w:rPr>
        <w:t>3</w:t>
      </w:r>
    </w:p>
    <w:p w14:paraId="203D8831" w14:textId="1B4851DD" w:rsidR="000218BD" w:rsidRPr="00912376" w:rsidRDefault="000218BD" w:rsidP="000218BD">
      <w:pPr>
        <w:jc w:val="center"/>
        <w:rPr>
          <w:rFonts w:ascii="Times New Roman" w:hAnsi="Times New Roman" w:cs="Times New Roman"/>
        </w:rPr>
      </w:pPr>
      <w:r w:rsidRPr="00912376">
        <w:rPr>
          <w:rFonts w:ascii="Times New Roman" w:hAnsi="Times New Roman" w:cs="Times New Roman"/>
          <w:b/>
          <w:bCs/>
          <w:vertAlign w:val="superscript"/>
        </w:rPr>
        <w:t>1</w:t>
      </w:r>
      <w:r w:rsidR="00730156">
        <w:rPr>
          <w:rFonts w:ascii="Times New Roman" w:hAnsi="Times New Roman" w:cs="Times New Roman"/>
          <w:b/>
          <w:bCs/>
          <w:vertAlign w:val="superscript"/>
        </w:rPr>
        <w:t>,2</w:t>
      </w:r>
      <w:r w:rsidRPr="007639F1">
        <w:rPr>
          <w:rFonts w:ascii="Times New Roman" w:hAnsi="Times New Roman" w:cs="Times New Roman"/>
        </w:rPr>
        <w:t xml:space="preserve">UG Student, Department of Computer Science and Data </w:t>
      </w:r>
      <w:proofErr w:type="spellStart"/>
      <w:proofErr w:type="gramStart"/>
      <w:r w:rsidRPr="007639F1">
        <w:rPr>
          <w:rFonts w:ascii="Times New Roman" w:hAnsi="Times New Roman" w:cs="Times New Roman"/>
        </w:rPr>
        <w:t>Science,Nehru</w:t>
      </w:r>
      <w:proofErr w:type="spellEnd"/>
      <w:proofErr w:type="gramEnd"/>
      <w:r w:rsidRPr="007639F1">
        <w:rPr>
          <w:rFonts w:ascii="Times New Roman" w:hAnsi="Times New Roman" w:cs="Times New Roman"/>
        </w:rPr>
        <w:t xml:space="preserve"> Arts and Science College, Coimbatore, Tamil Nadu, India</w:t>
      </w:r>
    </w:p>
    <w:p w14:paraId="2276C86C" w14:textId="77777777" w:rsidR="000218BD" w:rsidRPr="007639F1" w:rsidRDefault="000218BD" w:rsidP="000218BD">
      <w:pPr>
        <w:jc w:val="center"/>
        <w:rPr>
          <w:rFonts w:ascii="Times New Roman" w:hAnsi="Times New Roman" w:cs="Times New Roman"/>
        </w:rPr>
      </w:pPr>
      <w:r w:rsidRPr="00912376">
        <w:rPr>
          <w:rFonts w:ascii="Times New Roman" w:hAnsi="Times New Roman" w:cs="Times New Roman"/>
          <w:b/>
          <w:bCs/>
          <w:vertAlign w:val="superscript"/>
        </w:rPr>
        <w:t>3</w:t>
      </w:r>
      <w:r w:rsidRPr="007639F1">
        <w:rPr>
          <w:rFonts w:ascii="Times New Roman" w:hAnsi="Times New Roman" w:cs="Times New Roman"/>
        </w:rPr>
        <w:t xml:space="preserve">Assistant Professor, Department of Computer Science and Data </w:t>
      </w:r>
      <w:proofErr w:type="spellStart"/>
      <w:proofErr w:type="gramStart"/>
      <w:r w:rsidRPr="007639F1">
        <w:rPr>
          <w:rFonts w:ascii="Times New Roman" w:hAnsi="Times New Roman" w:cs="Times New Roman"/>
        </w:rPr>
        <w:t>Science,Nehru</w:t>
      </w:r>
      <w:proofErr w:type="spellEnd"/>
      <w:proofErr w:type="gramEnd"/>
      <w:r w:rsidRPr="007639F1">
        <w:rPr>
          <w:rFonts w:ascii="Times New Roman" w:hAnsi="Times New Roman" w:cs="Times New Roman"/>
        </w:rPr>
        <w:t xml:space="preserve"> Arts and Science College, Coimbatore, Tamil Nadu, India</w:t>
      </w:r>
    </w:p>
    <w:p w14:paraId="41F397BF" w14:textId="47D2E148" w:rsidR="000218BD" w:rsidRPr="00912376" w:rsidRDefault="00C37FCC" w:rsidP="000218BD">
      <w:pPr>
        <w:spacing w:line="240" w:lineRule="auto"/>
        <w:jc w:val="center"/>
        <w:rPr>
          <w:rFonts w:ascii="Times New Roman" w:hAnsi="Times New Roman" w:cs="Times New Roman"/>
        </w:rPr>
      </w:pPr>
      <w:r>
        <w:rPr>
          <w:rFonts w:ascii="Times New Roman" w:hAnsi="Times New Roman" w:cs="Times New Roman"/>
          <w:color w:val="000000" w:themeColor="text1"/>
          <w:vertAlign w:val="superscript"/>
        </w:rPr>
        <w:t>1</w:t>
      </w:r>
      <w:r w:rsidRPr="00C37FCC">
        <w:rPr>
          <w:rFonts w:ascii="Times New Roman" w:hAnsi="Times New Roman" w:cs="Times New Roman"/>
          <w:color w:val="000000" w:themeColor="text1"/>
        </w:rPr>
        <w:t>shibushibin0510@gmail.com</w:t>
      </w:r>
      <w:r w:rsidR="000218BD" w:rsidRPr="00912376">
        <w:rPr>
          <w:rFonts w:ascii="Times New Roman" w:hAnsi="Times New Roman" w:cs="Times New Roman"/>
          <w:color w:val="000000" w:themeColor="text1"/>
        </w:rPr>
        <w:t>,</w:t>
      </w:r>
      <w:r w:rsidR="000218BD">
        <w:rPr>
          <w:rFonts w:ascii="Times New Roman" w:hAnsi="Times New Roman" w:cs="Times New Roman"/>
        </w:rPr>
        <w:t xml:space="preserve"> </w:t>
      </w:r>
      <w:r>
        <w:rPr>
          <w:rFonts w:ascii="Times New Roman" w:hAnsi="Times New Roman" w:cs="Times New Roman"/>
          <w:vertAlign w:val="superscript"/>
        </w:rPr>
        <w:t>2</w:t>
      </w:r>
      <w:r w:rsidRPr="00C37FCC">
        <w:rPr>
          <w:rFonts w:ascii="Times New Roman" w:hAnsi="Times New Roman" w:cs="Times New Roman"/>
        </w:rPr>
        <w:t>tgmeganathan@gmail.co</w:t>
      </w:r>
      <w:r>
        <w:rPr>
          <w:rFonts w:ascii="Times New Roman" w:hAnsi="Times New Roman" w:cs="Times New Roman"/>
        </w:rPr>
        <w:t>m</w:t>
      </w:r>
      <w:r w:rsidR="000218BD" w:rsidRPr="00912376">
        <w:rPr>
          <w:rFonts w:ascii="Times New Roman" w:hAnsi="Times New Roman" w:cs="Times New Roman"/>
        </w:rPr>
        <w:t>,</w:t>
      </w:r>
    </w:p>
    <w:p w14:paraId="39116349" w14:textId="7A16221D" w:rsidR="000218BD" w:rsidRDefault="000218BD" w:rsidP="000218BD">
      <w:pPr>
        <w:spacing w:line="240" w:lineRule="auto"/>
        <w:jc w:val="center"/>
        <w:rPr>
          <w:rFonts w:ascii="Times New Roman" w:hAnsi="Times New Roman" w:cs="Times New Roman"/>
        </w:rPr>
      </w:pPr>
      <w:r w:rsidRPr="00912376">
        <w:rPr>
          <w:rFonts w:ascii="Times New Roman" w:hAnsi="Times New Roman" w:cs="Times New Roman"/>
          <w:vertAlign w:val="superscript"/>
        </w:rPr>
        <w:t>3</w:t>
      </w:r>
      <w:r w:rsidR="00C37FCC">
        <w:rPr>
          <w:rFonts w:ascii="Times New Roman" w:hAnsi="Times New Roman" w:cs="Times New Roman"/>
        </w:rPr>
        <w:t>sspriya818</w:t>
      </w:r>
      <w:r w:rsidRPr="007639F1">
        <w:rPr>
          <w:rFonts w:ascii="Times New Roman" w:hAnsi="Times New Roman" w:cs="Times New Roman"/>
        </w:rPr>
        <w:t>@</w:t>
      </w:r>
      <w:r w:rsidR="00C37FCC">
        <w:rPr>
          <w:rFonts w:ascii="Times New Roman" w:hAnsi="Times New Roman" w:cs="Times New Roman"/>
        </w:rPr>
        <w:t>gmail</w:t>
      </w:r>
      <w:r w:rsidRPr="007639F1">
        <w:rPr>
          <w:rFonts w:ascii="Times New Roman" w:hAnsi="Times New Roman" w:cs="Times New Roman"/>
        </w:rPr>
        <w:t xml:space="preserve">.com, </w:t>
      </w:r>
    </w:p>
    <w:p w14:paraId="3CF9B192" w14:textId="77777777" w:rsidR="000218BD" w:rsidRDefault="000218BD" w:rsidP="000218BD">
      <w:pPr>
        <w:spacing w:line="240" w:lineRule="auto"/>
        <w:jc w:val="center"/>
        <w:rPr>
          <w:rFonts w:ascii="Times New Roman" w:hAnsi="Times New Roman" w:cs="Times New Roman"/>
        </w:rPr>
      </w:pPr>
    </w:p>
    <w:p w14:paraId="6B1ACCBF" w14:textId="77777777" w:rsidR="000218BD" w:rsidRDefault="000218BD" w:rsidP="000218BD">
      <w:pPr>
        <w:spacing w:line="240" w:lineRule="auto"/>
        <w:jc w:val="center"/>
        <w:rPr>
          <w:rFonts w:ascii="Times New Roman" w:hAnsi="Times New Roman" w:cs="Times New Roman"/>
        </w:rPr>
      </w:pPr>
    </w:p>
    <w:p w14:paraId="7E2DA46F" w14:textId="77777777" w:rsidR="000218BD" w:rsidRDefault="000218BD" w:rsidP="000218BD">
      <w:pPr>
        <w:spacing w:line="240" w:lineRule="auto"/>
        <w:jc w:val="center"/>
        <w:rPr>
          <w:rFonts w:ascii="Times New Roman" w:hAnsi="Times New Roman" w:cs="Times New Roman"/>
        </w:rPr>
      </w:pPr>
    </w:p>
    <w:p w14:paraId="2EEAAFA8" w14:textId="521E0B8C" w:rsidR="0028732A" w:rsidRDefault="000218BD" w:rsidP="000218BD">
      <w:pPr>
        <w:rPr>
          <w:rFonts w:ascii="Times New Roman" w:hAnsi="Times New Roman" w:cs="Times New Roman"/>
          <w:b/>
          <w:bCs/>
        </w:rPr>
      </w:pPr>
      <w:r w:rsidRPr="00E17C08">
        <w:rPr>
          <w:rFonts w:ascii="Times New Roman" w:hAnsi="Times New Roman" w:cs="Times New Roman"/>
          <w:b/>
          <w:bCs/>
        </w:rPr>
        <w:t>ABSTRACT</w:t>
      </w:r>
    </w:p>
    <w:p w14:paraId="08C68675" w14:textId="5EAA3049" w:rsidR="000218BD" w:rsidRPr="00BD2A29" w:rsidRDefault="000218BD" w:rsidP="000218BD">
      <w:pPr>
        <w:rPr>
          <w:rFonts w:ascii="Times New Roman" w:hAnsi="Times New Roman" w:cs="Times New Roman"/>
          <w:sz w:val="22"/>
          <w:szCs w:val="22"/>
        </w:rPr>
      </w:pPr>
      <w:r w:rsidRPr="00BD2A29">
        <w:rPr>
          <w:rFonts w:ascii="Times New Roman" w:hAnsi="Times New Roman" w:cs="Times New Roman"/>
          <w:sz w:val="22"/>
          <w:szCs w:val="22"/>
        </w:rPr>
        <w:t xml:space="preserve">Generative Artificial Intelligence (AI) is rapidly changing the healthcare field by allowing new solutions in diagnostics, treatment planning, drug discovery, medical imaging, and patient care. This survey reviews the latest advancements in generative AI models, especially deep generative frameworks like Generative Adversarial Networks (GANs), Variational Autoencoders (VAEs), and large language models (LLMs), and their uses in healthcare. We look at how these models improve diagnostic accuracy by creating realistic medical images, support personalized medicine through predictive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and speed up drug design by generating candidate compounds. We also discuss key challenges like data privacy, model interpretability, ethical issues, and regulatory hurdles to provide a well-rounded view. The survey highlights emerging trends such as multimodal generative systems, federated generative learning, and integration with electronic health records (EHRs), showing their potential to improve clinical results. Finally, we suggest future directions for research and deployment, stressing the need for strong evaluation frameworks, collaboration across fields, and responsible AI practices. This work aims to give researchers, clinicians, and policymakers a clear understanding of current capabilities and future developments at the intersection of generative AI and healthcare.</w:t>
      </w:r>
      <w:r w:rsidRPr="00BD2A29">
        <w:rPr>
          <w:rFonts w:ascii="Times New Roman" w:eastAsia="Times New Roman" w:hAnsi="Times New Roman" w:cs="Times New Roman"/>
          <w:color w:val="1F243C"/>
          <w:kern w:val="0"/>
          <w:sz w:val="22"/>
          <w:szCs w:val="22"/>
          <w:lang w:eastAsia="en-IN"/>
          <w14:ligatures w14:val="none"/>
        </w:rPr>
        <w:t xml:space="preserve"> </w:t>
      </w:r>
      <w:r w:rsidRPr="00BD2A29">
        <w:rPr>
          <w:rFonts w:ascii="Times New Roman" w:hAnsi="Times New Roman" w:cs="Times New Roman"/>
          <w:sz w:val="22"/>
          <w:szCs w:val="22"/>
        </w:rPr>
        <w:t xml:space="preserve">In addition to clinical and research uses, generative AI is transforming healthcare operations and medical education. Hospitals and healthcare systems are looking into generative models to improve resource allocation, predict patient admissions, and simulate emergency response scenarios. AI-generated virtual patients are used in medical training to create realistic case studies. This allows students and professionals to practice diagnostic reasoning in safe, controlled environments. </w:t>
      </w:r>
    </w:p>
    <w:p w14:paraId="48625833" w14:textId="77777777" w:rsidR="000218BD" w:rsidRDefault="000218BD" w:rsidP="000218BD">
      <w:pPr>
        <w:jc w:val="both"/>
        <w:rPr>
          <w:rFonts w:ascii="Times New Roman" w:hAnsi="Times New Roman" w:cs="Times New Roman"/>
        </w:rPr>
      </w:pPr>
      <w:r w:rsidRPr="00F24F16">
        <w:rPr>
          <w:rFonts w:ascii="Times New Roman" w:hAnsi="Times New Roman" w:cs="Times New Roman"/>
          <w:b/>
          <w:bCs/>
        </w:rPr>
        <w:t>Keywords:</w:t>
      </w:r>
      <w:r w:rsidRPr="00F24F16">
        <w:rPr>
          <w:rFonts w:ascii="Times New Roman" w:hAnsi="Times New Roman" w:cs="Times New Roman"/>
        </w:rPr>
        <w:t xml:space="preserve"> </w:t>
      </w:r>
    </w:p>
    <w:p w14:paraId="0EB67849" w14:textId="77777777" w:rsidR="006159CA" w:rsidRPr="00BD2A29" w:rsidRDefault="006159CA" w:rsidP="006159CA">
      <w:pPr>
        <w:rPr>
          <w:rFonts w:ascii="Times New Roman" w:hAnsi="Times New Roman" w:cs="Times New Roman"/>
          <w:sz w:val="22"/>
          <w:szCs w:val="22"/>
        </w:rPr>
      </w:pPr>
      <w:r w:rsidRPr="00BD2A29">
        <w:rPr>
          <w:rFonts w:ascii="Times New Roman" w:hAnsi="Times New Roman" w:cs="Times New Roman"/>
          <w:sz w:val="22"/>
          <w:szCs w:val="22"/>
        </w:rPr>
        <w:t>Generative Artificial Intelligence (Generative AI), healthcare innovation, medical imaging synthesis, drug discovery and molecular design, personalized medicine, federated and multimodal learning.</w:t>
      </w:r>
    </w:p>
    <w:p w14:paraId="546F67D5" w14:textId="77777777" w:rsidR="006159CA" w:rsidRPr="00F24F16" w:rsidRDefault="006159CA" w:rsidP="006159CA">
      <w:pPr>
        <w:jc w:val="both"/>
        <w:rPr>
          <w:rFonts w:ascii="Times New Roman" w:hAnsi="Times New Roman" w:cs="Times New Roman"/>
          <w:b/>
          <w:bCs/>
        </w:rPr>
      </w:pPr>
      <w:r w:rsidRPr="00F24F16">
        <w:rPr>
          <w:rFonts w:ascii="Times New Roman" w:hAnsi="Times New Roman" w:cs="Times New Roman"/>
          <w:b/>
          <w:bCs/>
        </w:rPr>
        <w:t>INTRODUCTION</w:t>
      </w:r>
    </w:p>
    <w:p w14:paraId="5B7D9988" w14:textId="0043AB0D" w:rsidR="00F042CB" w:rsidRPr="00BD2A29" w:rsidRDefault="006159CA" w:rsidP="006159CA">
      <w:pPr>
        <w:rPr>
          <w:rFonts w:ascii="Times New Roman" w:hAnsi="Times New Roman" w:cs="Times New Roman"/>
          <w:sz w:val="22"/>
          <w:szCs w:val="22"/>
        </w:rPr>
      </w:pPr>
      <w:r w:rsidRPr="00BD2A29">
        <w:rPr>
          <w:rFonts w:ascii="Times New Roman" w:hAnsi="Times New Roman" w:cs="Times New Roman"/>
          <w:sz w:val="22"/>
          <w:szCs w:val="22"/>
        </w:rPr>
        <w:lastRenderedPageBreak/>
        <w:t xml:space="preserve">Generative Artificial Intelligence marks a shift from traditional rule-based and predictive machine learning systems to models that can create new data instances. This includes medical images, clinical notes, molecular structures, and patient simulations. In healthcare, this change is especially important because clinical decision-making depends on complex, varied, and often incomplete data. Generative models do more than just </w:t>
      </w:r>
      <w:proofErr w:type="spellStart"/>
      <w:r w:rsidRPr="00BD2A29">
        <w:rPr>
          <w:rFonts w:ascii="Times New Roman" w:hAnsi="Times New Roman" w:cs="Times New Roman"/>
          <w:sz w:val="22"/>
          <w:szCs w:val="22"/>
        </w:rPr>
        <w:t>analyze</w:t>
      </w:r>
      <w:proofErr w:type="spellEnd"/>
      <w:r w:rsidRPr="00BD2A29">
        <w:rPr>
          <w:rFonts w:ascii="Times New Roman" w:hAnsi="Times New Roman" w:cs="Times New Roman"/>
          <w:sz w:val="22"/>
          <w:szCs w:val="22"/>
        </w:rPr>
        <w:t xml:space="preserve"> patterns; they also create realistic outputs that can aid in diagnosis, treatment planning, and medical education. This section lays out the basic ideas of generative AI, describes its transformative role in modern healthcare, and emphasizes the reasons for a thorough survey in this fast-changing field. The growing use of generative AI in clinical settings is </w:t>
      </w:r>
      <w:proofErr w:type="spellStart"/>
      <w:r w:rsidRPr="00BD2A29">
        <w:rPr>
          <w:rFonts w:ascii="Times New Roman" w:hAnsi="Times New Roman" w:cs="Times New Roman"/>
          <w:sz w:val="22"/>
          <w:szCs w:val="22"/>
        </w:rPr>
        <w:t>fueled</w:t>
      </w:r>
      <w:proofErr w:type="spellEnd"/>
      <w:r w:rsidRPr="00BD2A29">
        <w:rPr>
          <w:rFonts w:ascii="Times New Roman" w:hAnsi="Times New Roman" w:cs="Times New Roman"/>
          <w:sz w:val="22"/>
          <w:szCs w:val="22"/>
        </w:rPr>
        <w:t xml:space="preserve"> by the increasing digitization of healthcare data. </w:t>
      </w:r>
    </w:p>
    <w:p w14:paraId="1C34CA49" w14:textId="77777777" w:rsidR="00F042CB" w:rsidRPr="00BD2A29" w:rsidRDefault="006159CA" w:rsidP="006159CA">
      <w:pPr>
        <w:rPr>
          <w:rFonts w:ascii="Times New Roman" w:hAnsi="Times New Roman" w:cs="Times New Roman"/>
          <w:sz w:val="22"/>
          <w:szCs w:val="22"/>
        </w:rPr>
      </w:pPr>
      <w:r w:rsidRPr="00BD2A29">
        <w:rPr>
          <w:rFonts w:ascii="Times New Roman" w:hAnsi="Times New Roman" w:cs="Times New Roman"/>
          <w:sz w:val="22"/>
          <w:szCs w:val="22"/>
        </w:rPr>
        <w:t xml:space="preserve"> Traditional analytical models mainly focus on classification or prediction tasks. In contrast, generative models broaden these abilities by learning the underlying data distributions and producing high-quality synthetic outputs. This feature is particularly useful in healthcare, where </w:t>
      </w:r>
      <w:proofErr w:type="spellStart"/>
      <w:r w:rsidRPr="00BD2A29">
        <w:rPr>
          <w:rFonts w:ascii="Times New Roman" w:hAnsi="Times New Roman" w:cs="Times New Roman"/>
          <w:sz w:val="22"/>
          <w:szCs w:val="22"/>
        </w:rPr>
        <w:t>labeled</w:t>
      </w:r>
      <w:proofErr w:type="spellEnd"/>
      <w:r w:rsidRPr="00BD2A29">
        <w:rPr>
          <w:rFonts w:ascii="Times New Roman" w:hAnsi="Times New Roman" w:cs="Times New Roman"/>
          <w:sz w:val="22"/>
          <w:szCs w:val="22"/>
        </w:rPr>
        <w:t xml:space="preserve"> data may be limited, sensitive, or unbalanced. By creating realistic medical samples and simulating different clinical situations, generative AI improves model reliability, enhances training datasets, and lessens the need for expensive data collection. </w:t>
      </w:r>
    </w:p>
    <w:p w14:paraId="3AAE6EC4" w14:textId="3F05C772" w:rsidR="006159CA" w:rsidRPr="00BD2A29" w:rsidRDefault="006159CA" w:rsidP="006159CA">
      <w:pPr>
        <w:rPr>
          <w:rFonts w:ascii="Times New Roman" w:hAnsi="Times New Roman" w:cs="Times New Roman"/>
          <w:sz w:val="22"/>
          <w:szCs w:val="22"/>
        </w:rPr>
      </w:pPr>
      <w:r w:rsidRPr="00BD2A29">
        <w:rPr>
          <w:rFonts w:ascii="Times New Roman" w:hAnsi="Times New Roman" w:cs="Times New Roman"/>
          <w:sz w:val="22"/>
          <w:szCs w:val="22"/>
        </w:rPr>
        <w:t xml:space="preserve">Moreover, generative AI encourages better teamwork between human expertise and intelligent systems in clinical workflows. Instead of taking over the roles of healthcare professionals, these systems serve as supportive tools that enhance decision-making, lighten cognitive load, and simplify routine tasks. For example, AI-generated summaries can help doctors review complex patient histories, and simulated patient paths can aid in assessing treatment options before they are put into practice. </w:t>
      </w:r>
    </w:p>
    <w:p w14:paraId="20408006" w14:textId="77777777" w:rsidR="00BE566B" w:rsidRPr="00BD2A29" w:rsidRDefault="00BE566B" w:rsidP="00BE566B">
      <w:pPr>
        <w:jc w:val="both"/>
        <w:rPr>
          <w:sz w:val="28"/>
          <w:szCs w:val="28"/>
        </w:rPr>
      </w:pPr>
    </w:p>
    <w:p w14:paraId="492696B6" w14:textId="774A4841" w:rsidR="00F042CB" w:rsidRPr="00BD2A29" w:rsidRDefault="00F042CB" w:rsidP="00F042CB">
      <w:pPr>
        <w:jc w:val="both"/>
        <w:rPr>
          <w:rFonts w:ascii="Times New Roman" w:hAnsi="Times New Roman" w:cs="Times New Roman"/>
          <w:b/>
          <w:bCs/>
          <w:sz w:val="28"/>
          <w:szCs w:val="28"/>
        </w:rPr>
      </w:pPr>
      <w:r w:rsidRPr="00BD2A29">
        <w:rPr>
          <w:rFonts w:ascii="Times New Roman" w:hAnsi="Times New Roman" w:cs="Times New Roman"/>
          <w:b/>
          <w:bCs/>
          <w:sz w:val="28"/>
          <w:szCs w:val="28"/>
        </w:rPr>
        <w:t>2.</w:t>
      </w:r>
      <w:r w:rsidR="00E81899" w:rsidRPr="00BD2A29">
        <w:rPr>
          <w:sz w:val="28"/>
          <w:szCs w:val="28"/>
        </w:rPr>
        <w:t xml:space="preserve"> </w:t>
      </w:r>
      <w:r w:rsidR="00E81899" w:rsidRPr="00BD2A29">
        <w:rPr>
          <w:rFonts w:ascii="Times New Roman" w:hAnsi="Times New Roman" w:cs="Times New Roman"/>
          <w:b/>
          <w:bCs/>
        </w:rPr>
        <w:t>Foundations of Generative Models for Healthcare</w:t>
      </w:r>
      <w:r w:rsidR="00E81899" w:rsidRPr="00BD2A29">
        <w:rPr>
          <w:rFonts w:ascii="Times New Roman" w:hAnsi="Times New Roman" w:cs="Times New Roman"/>
          <w:b/>
          <w:bCs/>
          <w:sz w:val="28"/>
          <w:szCs w:val="28"/>
        </w:rPr>
        <w:t xml:space="preserve"> </w:t>
      </w:r>
      <w:r w:rsidR="00E81899" w:rsidRPr="00BD2A29">
        <w:rPr>
          <w:rFonts w:ascii="Times New Roman" w:hAnsi="Times New Roman" w:cs="Times New Roman"/>
          <w:b/>
          <w:bCs/>
        </w:rPr>
        <w:t>Applications</w:t>
      </w:r>
    </w:p>
    <w:p w14:paraId="2B02C124" w14:textId="77777777" w:rsidR="00C67AC3" w:rsidRPr="00BD2A29" w:rsidRDefault="00E81899" w:rsidP="00BE566B">
      <w:pPr>
        <w:rPr>
          <w:rFonts w:ascii="Times New Roman" w:hAnsi="Times New Roman" w:cs="Times New Roman"/>
          <w:sz w:val="22"/>
          <w:szCs w:val="22"/>
        </w:rPr>
      </w:pPr>
      <w:r w:rsidRPr="00BD2A29">
        <w:rPr>
          <w:rFonts w:ascii="Times New Roman" w:hAnsi="Times New Roman" w:cs="Times New Roman"/>
          <w:sz w:val="22"/>
          <w:szCs w:val="22"/>
        </w:rPr>
        <w:t xml:space="preserve">Generative AI in healthcare is mainly based on deep learning structures like Generative Adversarial Networks (GANs), Variational Autoencoders (VAEs), diffusion models, and transformer-based large language models (LLMs). GANs allow for realistic medical image generation using adversarial training. VAEs help with data representation and reconstruction based on probabilities. Recently, diffusion models have shown better stability and produce high-quality images. Transformer architectures make it easier to understand sequential clinical data and natural language. However, healthcare datasets come with specific challenges, such as small sample sizes, high annotation costs, data imbalance, and strict privacy rules. This section looks at how basic generative techniques are adjusted to meet healthcare needs. </w:t>
      </w:r>
    </w:p>
    <w:p w14:paraId="6FD0F8E4" w14:textId="77777777" w:rsidR="00C67AC3" w:rsidRPr="00BD2A29" w:rsidRDefault="00E81899" w:rsidP="00BE566B">
      <w:pPr>
        <w:rPr>
          <w:rFonts w:ascii="Times New Roman" w:hAnsi="Times New Roman" w:cs="Times New Roman"/>
          <w:sz w:val="22"/>
          <w:szCs w:val="22"/>
        </w:rPr>
      </w:pPr>
      <w:r w:rsidRPr="00BD2A29">
        <w:rPr>
          <w:rFonts w:ascii="Times New Roman" w:hAnsi="Times New Roman" w:cs="Times New Roman"/>
          <w:sz w:val="22"/>
          <w:szCs w:val="22"/>
        </w:rPr>
        <w:t xml:space="preserve">Each generative structure has unique advantages when modified for healthcare tasks. GAN-based systems are especially good for image-to-image translation tasks. This includes improving low-resolution scans or switching between different imaging types. VAEs are useful for detecting anomalies and estimating uncertainty in clinical data due to their probabilistic latent space. Diffusion models offer better training stability and less mode collapse, making them appealing for generating high-quality medical images. Meanwhile, transformer-based LLMs are effective in managing long-term patient records and finding relationships in clinical narratives, as well as generating clear medical text. Choosing the right model structure largely depends on the clinical goal, data availability, and need for interpretability. </w:t>
      </w:r>
    </w:p>
    <w:p w14:paraId="0F9AE426" w14:textId="23B848E3" w:rsidR="00E81899" w:rsidRPr="00BD2A29" w:rsidRDefault="00E81899" w:rsidP="00BE566B">
      <w:pPr>
        <w:rPr>
          <w:rFonts w:ascii="Times New Roman" w:hAnsi="Times New Roman" w:cs="Times New Roman"/>
          <w:sz w:val="22"/>
          <w:szCs w:val="22"/>
        </w:rPr>
      </w:pPr>
      <w:r w:rsidRPr="00BD2A29">
        <w:rPr>
          <w:rFonts w:ascii="Times New Roman" w:hAnsi="Times New Roman" w:cs="Times New Roman"/>
          <w:sz w:val="22"/>
          <w:szCs w:val="22"/>
        </w:rPr>
        <w:t xml:space="preserve">Modifying these basic models for healthcare also involves specific preprocessing methods, targeted training strategies, and strict validation protocols. For example, medical images often need </w:t>
      </w:r>
      <w:r w:rsidRPr="00BD2A29">
        <w:rPr>
          <w:rFonts w:ascii="Times New Roman" w:hAnsi="Times New Roman" w:cs="Times New Roman"/>
          <w:sz w:val="22"/>
          <w:szCs w:val="22"/>
        </w:rPr>
        <w:lastRenderedPageBreak/>
        <w:t xml:space="preserve">normalization across various imaging devices and institutions, while clinical text requires careful de-identification to maintain patient privacy. Transfer learning and self-supervised learning approaches are often used to address the challenges of limited </w:t>
      </w:r>
      <w:proofErr w:type="spellStart"/>
      <w:r w:rsidRPr="00BD2A29">
        <w:rPr>
          <w:rFonts w:ascii="Times New Roman" w:hAnsi="Times New Roman" w:cs="Times New Roman"/>
          <w:sz w:val="22"/>
          <w:szCs w:val="22"/>
        </w:rPr>
        <w:t>labeled</w:t>
      </w:r>
      <w:proofErr w:type="spellEnd"/>
      <w:r w:rsidRPr="00BD2A29">
        <w:rPr>
          <w:rFonts w:ascii="Times New Roman" w:hAnsi="Times New Roman" w:cs="Times New Roman"/>
          <w:sz w:val="22"/>
          <w:szCs w:val="22"/>
        </w:rPr>
        <w:t xml:space="preserve"> data. Furthermore, evaluation metrics should go beyond traditional accuracy measures to include clinical relevance, safety, and robustness. These adjustments ensure that generative models are not only technically effective but also clinically dependable and suitable for real-world healthcare needs.</w:t>
      </w:r>
    </w:p>
    <w:p w14:paraId="367CBD86" w14:textId="77777777" w:rsidR="00BE566B" w:rsidRPr="00E81899" w:rsidRDefault="00BE566B" w:rsidP="00BE566B"/>
    <w:p w14:paraId="3E3E1A4A" w14:textId="25F48777" w:rsidR="00BE566B" w:rsidRPr="00BD2A29" w:rsidRDefault="00BE566B" w:rsidP="00BE566B">
      <w:pPr>
        <w:jc w:val="both"/>
        <w:rPr>
          <w:rFonts w:ascii="Times New Roman" w:hAnsi="Times New Roman" w:cs="Times New Roman"/>
          <w:b/>
          <w:bCs/>
        </w:rPr>
      </w:pPr>
      <w:r w:rsidRPr="00BD2A29">
        <w:rPr>
          <w:rFonts w:ascii="Times New Roman" w:hAnsi="Times New Roman" w:cs="Times New Roman"/>
          <w:b/>
          <w:bCs/>
        </w:rPr>
        <w:t xml:space="preserve">3. Generative AI For Medical Imaging Enhancement </w:t>
      </w:r>
      <w:proofErr w:type="gramStart"/>
      <w:r w:rsidRPr="00BD2A29">
        <w:rPr>
          <w:rFonts w:ascii="Times New Roman" w:hAnsi="Times New Roman" w:cs="Times New Roman"/>
          <w:b/>
          <w:bCs/>
        </w:rPr>
        <w:t>And</w:t>
      </w:r>
      <w:proofErr w:type="gramEnd"/>
      <w:r w:rsidRPr="00BD2A29">
        <w:rPr>
          <w:rFonts w:ascii="Times New Roman" w:hAnsi="Times New Roman" w:cs="Times New Roman"/>
          <w:b/>
          <w:bCs/>
        </w:rPr>
        <w:t xml:space="preserve"> Synthesis</w:t>
      </w:r>
    </w:p>
    <w:p w14:paraId="176DAF6B" w14:textId="77777777" w:rsidR="00C67AC3" w:rsidRPr="00BD2A29" w:rsidRDefault="00500D4B" w:rsidP="00500D4B">
      <w:pPr>
        <w:rPr>
          <w:rFonts w:ascii="Times New Roman" w:hAnsi="Times New Roman" w:cs="Times New Roman"/>
          <w:sz w:val="22"/>
          <w:szCs w:val="22"/>
        </w:rPr>
      </w:pPr>
      <w:r w:rsidRPr="00BD2A29">
        <w:rPr>
          <w:rFonts w:ascii="Times New Roman" w:hAnsi="Times New Roman" w:cs="Times New Roman"/>
          <w:sz w:val="22"/>
          <w:szCs w:val="22"/>
        </w:rPr>
        <w:t>Medical imaging is one of the most promising areas for generative AI applications. Generative models can improve low-resolution scans, reconstruct missing imaging data, reduce noise, and create high-quality synthetic images for rare diseases. For instance, GAN-based systems can turn low-dose CT scans into high-quality images, lowering patient radiation exposure. Techniques for translating between different imaging types allow MRI images to become more like CT representations, which helps with multi-modal diagnostics. Additionally, generating synthetic images improves dataset diversity, which can help solve class imbalance issues in training diagnostic systems.</w:t>
      </w:r>
    </w:p>
    <w:p w14:paraId="4749B630" w14:textId="71DF1D23" w:rsidR="00C67AC3" w:rsidRPr="00BD2A29" w:rsidRDefault="00500D4B" w:rsidP="00500D4B">
      <w:pPr>
        <w:rPr>
          <w:rFonts w:ascii="Times New Roman" w:hAnsi="Times New Roman" w:cs="Times New Roman"/>
          <w:b/>
          <w:bCs/>
          <w:sz w:val="22"/>
          <w:szCs w:val="22"/>
        </w:rPr>
      </w:pPr>
      <w:r w:rsidRPr="00BD2A29">
        <w:rPr>
          <w:rFonts w:ascii="Times New Roman" w:hAnsi="Times New Roman" w:cs="Times New Roman"/>
          <w:sz w:val="22"/>
          <w:szCs w:val="22"/>
        </w:rPr>
        <w:t xml:space="preserve"> This section looks at the latest developments and assesses their impact on radiology workflows. Another key application of generative AI in medical imaging is helping with image segmentation and lesion detection. Generative models can outline </w:t>
      </w:r>
      <w:proofErr w:type="spellStart"/>
      <w:r w:rsidRPr="00BD2A29">
        <w:rPr>
          <w:rFonts w:ascii="Times New Roman" w:hAnsi="Times New Roman" w:cs="Times New Roman"/>
          <w:sz w:val="22"/>
          <w:szCs w:val="22"/>
        </w:rPr>
        <w:t>tumors</w:t>
      </w:r>
      <w:proofErr w:type="spellEnd"/>
      <w:r w:rsidRPr="00BD2A29">
        <w:rPr>
          <w:rFonts w:ascii="Times New Roman" w:hAnsi="Times New Roman" w:cs="Times New Roman"/>
          <w:sz w:val="22"/>
          <w:szCs w:val="22"/>
        </w:rPr>
        <w:t xml:space="preserve">, organs, and other anatomical structures by learning spatial patterns from </w:t>
      </w:r>
      <w:proofErr w:type="spellStart"/>
      <w:r w:rsidRPr="00BD2A29">
        <w:rPr>
          <w:rFonts w:ascii="Times New Roman" w:hAnsi="Times New Roman" w:cs="Times New Roman"/>
          <w:sz w:val="22"/>
          <w:szCs w:val="22"/>
        </w:rPr>
        <w:t>labeled</w:t>
      </w:r>
      <w:proofErr w:type="spellEnd"/>
      <w:r w:rsidRPr="00BD2A29">
        <w:rPr>
          <w:rFonts w:ascii="Times New Roman" w:hAnsi="Times New Roman" w:cs="Times New Roman"/>
          <w:sz w:val="22"/>
          <w:szCs w:val="22"/>
        </w:rPr>
        <w:t xml:space="preserve"> datasets and producing refined segmentation maps. This ability enhances accuracy in radiation therapy</w:t>
      </w:r>
      <w:r w:rsidRPr="00BD2A29">
        <w:rPr>
          <w:rFonts w:ascii="Times New Roman" w:hAnsi="Times New Roman" w:cs="Times New Roman"/>
          <w:b/>
          <w:bCs/>
          <w:sz w:val="22"/>
          <w:szCs w:val="22"/>
        </w:rPr>
        <w:t xml:space="preserve"> </w:t>
      </w:r>
      <w:r w:rsidRPr="00BD2A29">
        <w:rPr>
          <w:rFonts w:ascii="Times New Roman" w:hAnsi="Times New Roman" w:cs="Times New Roman"/>
          <w:sz w:val="22"/>
          <w:szCs w:val="22"/>
        </w:rPr>
        <w:t>planning, surgical preparation, and disease</w:t>
      </w:r>
      <w:r w:rsidRPr="00BD2A29">
        <w:rPr>
          <w:rFonts w:ascii="Times New Roman" w:hAnsi="Times New Roman" w:cs="Times New Roman"/>
          <w:b/>
          <w:bCs/>
          <w:sz w:val="22"/>
          <w:szCs w:val="22"/>
        </w:rPr>
        <w:t xml:space="preserve"> </w:t>
      </w:r>
      <w:r w:rsidRPr="00BD2A29">
        <w:rPr>
          <w:rFonts w:ascii="Times New Roman" w:hAnsi="Times New Roman" w:cs="Times New Roman"/>
          <w:sz w:val="22"/>
          <w:szCs w:val="22"/>
        </w:rPr>
        <w:t>monitoring.</w:t>
      </w:r>
      <w:r w:rsidRPr="00BD2A29">
        <w:rPr>
          <w:rFonts w:ascii="Times New Roman" w:hAnsi="Times New Roman" w:cs="Times New Roman"/>
          <w:b/>
          <w:bCs/>
          <w:sz w:val="22"/>
          <w:szCs w:val="22"/>
        </w:rPr>
        <w:t xml:space="preserve"> </w:t>
      </w:r>
    </w:p>
    <w:p w14:paraId="32555B19" w14:textId="1E01D4B4" w:rsidR="000218BD" w:rsidRPr="00BD2A29" w:rsidRDefault="00500D4B" w:rsidP="00500D4B">
      <w:pPr>
        <w:rPr>
          <w:rFonts w:ascii="Times New Roman" w:hAnsi="Times New Roman" w:cs="Times New Roman"/>
          <w:sz w:val="22"/>
          <w:szCs w:val="22"/>
        </w:rPr>
      </w:pPr>
      <w:r w:rsidRPr="00BD2A29">
        <w:rPr>
          <w:rFonts w:ascii="Times New Roman" w:hAnsi="Times New Roman" w:cs="Times New Roman"/>
          <w:sz w:val="22"/>
          <w:szCs w:val="22"/>
        </w:rPr>
        <w:t>By improving existing segmentation algorithms with generative techniques, clinicians can achieve more consistent and reliable results, especially in complex or unclear cases. Generative AI also speeds up imaging acquisition and optimizes workflow. Techniques like AI-based image reconstruction allow for shorter MRI scanning times while keeping diagnostic quality, which improves patient comfort and increases scanner use in busy hospitals. Moreover, real-time generative enhancement tools can help radiologists by highlighting areas of concern and creating comparative visualizations, thus cutting down interpretation time and reducing diagnostic errors. These advancements together improve efficiency, accuracy, and accessibility in modern radiology practices.</w:t>
      </w:r>
    </w:p>
    <w:p w14:paraId="5EAB4338" w14:textId="77777777" w:rsidR="00500D4B" w:rsidRDefault="00500D4B" w:rsidP="00500D4B"/>
    <w:p w14:paraId="0E693217" w14:textId="0965BF7F" w:rsidR="00500D4B" w:rsidRDefault="00500D4B" w:rsidP="00500D4B">
      <w:pPr>
        <w:jc w:val="both"/>
        <w:rPr>
          <w:rFonts w:ascii="Times New Roman" w:hAnsi="Times New Roman" w:cs="Times New Roman"/>
          <w:b/>
          <w:bCs/>
        </w:rPr>
      </w:pPr>
      <w:r>
        <w:rPr>
          <w:rFonts w:ascii="Times New Roman" w:hAnsi="Times New Roman" w:cs="Times New Roman"/>
          <w:b/>
          <w:bCs/>
        </w:rPr>
        <w:t>4.</w:t>
      </w:r>
      <w:r w:rsidRPr="00126322">
        <w:rPr>
          <w:rFonts w:ascii="Times New Roman" w:hAnsi="Times New Roman" w:cs="Times New Roman"/>
          <w:b/>
          <w:bCs/>
        </w:rPr>
        <w:t xml:space="preserve"> </w:t>
      </w:r>
      <w:r w:rsidRPr="00500D4B">
        <w:rPr>
          <w:rFonts w:ascii="Times New Roman" w:hAnsi="Times New Roman" w:cs="Times New Roman"/>
          <w:b/>
          <w:bCs/>
        </w:rPr>
        <w:t>Clinical Text Generation and Medical Documentation Automation</w:t>
      </w:r>
    </w:p>
    <w:p w14:paraId="11900BC4" w14:textId="77777777" w:rsidR="00C67AC3" w:rsidRPr="00BD2A29" w:rsidRDefault="00C67AC3" w:rsidP="00500D4B">
      <w:pPr>
        <w:jc w:val="both"/>
        <w:rPr>
          <w:rFonts w:ascii="Times New Roman" w:hAnsi="Times New Roman" w:cs="Times New Roman"/>
          <w:sz w:val="22"/>
          <w:szCs w:val="22"/>
        </w:rPr>
      </w:pPr>
      <w:r w:rsidRPr="00BD2A29">
        <w:rPr>
          <w:rFonts w:ascii="Times New Roman" w:hAnsi="Times New Roman" w:cs="Times New Roman"/>
          <w:sz w:val="22"/>
          <w:szCs w:val="22"/>
        </w:rPr>
        <w:t>Healthcare professionals spend a lot of time on documentation tasks. Generative language models can automate clinical note generation, discharge summaries, pathology reports, and patient communication messages. By using contextual patient information from Electronic Health Records (EHRs), LLMs can help draft structured and standardized documents. Conversational AI systems also improve telemedicine services by providing preliminary assessments and answering patient questions. However, challenges like factual accuracy, risks of incorrect information, and legal liability are still major concerns.</w:t>
      </w:r>
    </w:p>
    <w:p w14:paraId="1013A939" w14:textId="77777777" w:rsidR="00C67AC3" w:rsidRDefault="00C67AC3" w:rsidP="00500D4B">
      <w:pPr>
        <w:jc w:val="both"/>
        <w:rPr>
          <w:rFonts w:ascii="Times New Roman" w:hAnsi="Times New Roman" w:cs="Times New Roman"/>
          <w:sz w:val="22"/>
          <w:szCs w:val="22"/>
        </w:rPr>
      </w:pPr>
      <w:r w:rsidRPr="00BD2A29">
        <w:rPr>
          <w:rFonts w:ascii="Times New Roman" w:hAnsi="Times New Roman" w:cs="Times New Roman"/>
          <w:sz w:val="22"/>
          <w:szCs w:val="22"/>
        </w:rPr>
        <w:t xml:space="preserve"> This section looks at how generative language technologies are changing administrative and communication processes in healthcare systems. Besides routine documentation, generative language models can aid clinical decision workflows. They do this by summarizing long patient histories, extracting key findings from lab reports, and highlighting potential risk factors. Automated summarization tools can turn multi-visit records into short overviews, helping doctors quickly </w:t>
      </w:r>
      <w:r w:rsidRPr="00BD2A29">
        <w:rPr>
          <w:rFonts w:ascii="Times New Roman" w:hAnsi="Times New Roman" w:cs="Times New Roman"/>
          <w:sz w:val="22"/>
          <w:szCs w:val="22"/>
        </w:rPr>
        <w:lastRenderedPageBreak/>
        <w:t xml:space="preserve">understand important information before consultations. These systems can also help with coding and billing by suggesting appropriate medical codes based on clinical narratives, which reduces administrative tasks and lessens human error. </w:t>
      </w:r>
    </w:p>
    <w:p w14:paraId="7D6DE44D" w14:textId="77777777" w:rsidR="00730156" w:rsidRDefault="00730156" w:rsidP="00500D4B">
      <w:pPr>
        <w:jc w:val="both"/>
        <w:rPr>
          <w:rFonts w:ascii="Times New Roman" w:hAnsi="Times New Roman" w:cs="Times New Roman"/>
          <w:sz w:val="22"/>
          <w:szCs w:val="22"/>
        </w:rPr>
      </w:pPr>
    </w:p>
    <w:p w14:paraId="79C79012" w14:textId="53E845BA" w:rsidR="00730156" w:rsidRDefault="00730156" w:rsidP="00500D4B">
      <w:pPr>
        <w:jc w:val="both"/>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10C7C851" wp14:editId="6C13FEDF">
            <wp:extent cx="5836920" cy="2962275"/>
            <wp:effectExtent l="0" t="0" r="0" b="9525"/>
            <wp:docPr id="10576542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54251" name="Picture 1057654251"/>
                    <pic:cNvPicPr/>
                  </pic:nvPicPr>
                  <pic:blipFill>
                    <a:blip r:embed="rId8">
                      <a:extLst>
                        <a:ext uri="{28A0092B-C50C-407E-A947-70E740481C1C}">
                          <a14:useLocalDpi xmlns:a14="http://schemas.microsoft.com/office/drawing/2010/main" val="0"/>
                        </a:ext>
                      </a:extLst>
                    </a:blip>
                    <a:stretch>
                      <a:fillRect/>
                    </a:stretch>
                  </pic:blipFill>
                  <pic:spPr>
                    <a:xfrm>
                      <a:off x="0" y="0"/>
                      <a:ext cx="5836920" cy="2962275"/>
                    </a:xfrm>
                    <a:prstGeom prst="rect">
                      <a:avLst/>
                    </a:prstGeom>
                  </pic:spPr>
                </pic:pic>
              </a:graphicData>
            </a:graphic>
          </wp:inline>
        </w:drawing>
      </w:r>
    </w:p>
    <w:p w14:paraId="276003BD" w14:textId="77777777" w:rsidR="00730156" w:rsidRDefault="00730156" w:rsidP="00500D4B">
      <w:pPr>
        <w:jc w:val="both"/>
        <w:rPr>
          <w:rFonts w:ascii="Times New Roman" w:hAnsi="Times New Roman" w:cs="Times New Roman"/>
          <w:sz w:val="22"/>
          <w:szCs w:val="22"/>
        </w:rPr>
      </w:pPr>
    </w:p>
    <w:p w14:paraId="3C4332AA" w14:textId="5E2016B3" w:rsidR="00C67AC3" w:rsidRPr="00BD2A29" w:rsidRDefault="00C67AC3" w:rsidP="00500D4B">
      <w:pPr>
        <w:jc w:val="both"/>
        <w:rPr>
          <w:rFonts w:ascii="Times New Roman" w:hAnsi="Times New Roman" w:cs="Times New Roman"/>
          <w:sz w:val="22"/>
          <w:szCs w:val="22"/>
        </w:rPr>
      </w:pPr>
      <w:r w:rsidRPr="00BD2A29">
        <w:rPr>
          <w:rFonts w:ascii="Times New Roman" w:hAnsi="Times New Roman" w:cs="Times New Roman"/>
          <w:sz w:val="22"/>
          <w:szCs w:val="22"/>
        </w:rPr>
        <w:t>By making these processes easier, generative AI helps improve efficiency and gives healthcare professionals more time for direct patient care. Even with these advantages, ensuring reliability and safety is crucial for real-world use. Clinical text needs to be precise, aware of context, and free from misleading or made-up information. So, human oversight, validation steps, and specific adjustments for the field are needed to keep accuracy. Clear guidelines for responsibility, transparency in model outputs, and integration with secure hospital IT systems are also important. As generative language technologies keep evolving, finding a balance between automation and professional judgment will be essential for creating trustworthy and effective healthcare communication systems.</w:t>
      </w:r>
    </w:p>
    <w:p w14:paraId="330F9DD3" w14:textId="77777777" w:rsidR="00C67AC3" w:rsidRPr="00BD2A29" w:rsidRDefault="00C67AC3" w:rsidP="00500D4B">
      <w:pPr>
        <w:jc w:val="both"/>
        <w:rPr>
          <w:rFonts w:ascii="Times New Roman" w:hAnsi="Times New Roman" w:cs="Times New Roman"/>
          <w:sz w:val="22"/>
          <w:szCs w:val="22"/>
        </w:rPr>
      </w:pPr>
    </w:p>
    <w:p w14:paraId="0EAA4711" w14:textId="77777777" w:rsidR="00C67AC3" w:rsidRDefault="00C67AC3" w:rsidP="00C67AC3">
      <w:pPr>
        <w:jc w:val="both"/>
        <w:rPr>
          <w:rFonts w:ascii="Times New Roman" w:hAnsi="Times New Roman" w:cs="Times New Roman"/>
          <w:b/>
          <w:bCs/>
        </w:rPr>
      </w:pPr>
      <w:r w:rsidRPr="00126322">
        <w:rPr>
          <w:rFonts w:ascii="Times New Roman" w:hAnsi="Times New Roman" w:cs="Times New Roman"/>
          <w:b/>
          <w:bCs/>
        </w:rPr>
        <w:t xml:space="preserve">5. </w:t>
      </w:r>
      <w:r w:rsidRPr="00C67AC3">
        <w:rPr>
          <w:rFonts w:ascii="Times New Roman" w:hAnsi="Times New Roman" w:cs="Times New Roman"/>
          <w:b/>
          <w:bCs/>
        </w:rPr>
        <w:t xml:space="preserve">Personalized Medicine through Generative </w:t>
      </w:r>
      <w:proofErr w:type="spellStart"/>
      <w:r w:rsidRPr="00C67AC3">
        <w:rPr>
          <w:rFonts w:ascii="Times New Roman" w:hAnsi="Times New Roman" w:cs="Times New Roman"/>
          <w:b/>
          <w:bCs/>
        </w:rPr>
        <w:t>Modeling</w:t>
      </w:r>
      <w:proofErr w:type="spellEnd"/>
    </w:p>
    <w:p w14:paraId="2725F3FD" w14:textId="77777777" w:rsidR="00C67AC3" w:rsidRPr="00BD2A29" w:rsidRDefault="00C67AC3" w:rsidP="00C67AC3">
      <w:pPr>
        <w:jc w:val="both"/>
        <w:rPr>
          <w:rFonts w:ascii="Times New Roman" w:hAnsi="Times New Roman" w:cs="Times New Roman"/>
          <w:sz w:val="22"/>
          <w:szCs w:val="22"/>
        </w:rPr>
      </w:pPr>
      <w:r w:rsidRPr="00BD2A29">
        <w:rPr>
          <w:rFonts w:ascii="Times New Roman" w:hAnsi="Times New Roman" w:cs="Times New Roman"/>
          <w:sz w:val="22"/>
          <w:szCs w:val="22"/>
        </w:rPr>
        <w:t xml:space="preserve">Generative AI helps advance personalized medicine by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xml:space="preserve"> individual health paths and simulating treatment outcomes. By combining genomic data, clinical history, and lifestyle details, these systems can create tailored treatment simulations. The idea of digital twins, which are virtual copies of patients, has surfaced as a promising tool. This allows for real-time monitoring and planning of interventions. Generative models also support biomarker discovery and precision oncology by combining complex biological interactions. This section explains how generative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xml:space="preserve"> aids in customized treatment strategies and proactive healthcare management. Another important role of generative AI in personalized medicine is in pharmacogenomics and predicting drug responses. </w:t>
      </w:r>
    </w:p>
    <w:p w14:paraId="407339F6" w14:textId="77777777" w:rsidR="005019CC" w:rsidRPr="00BD2A29" w:rsidRDefault="00C67AC3" w:rsidP="00C67AC3">
      <w:pPr>
        <w:jc w:val="both"/>
        <w:rPr>
          <w:rFonts w:ascii="Times New Roman" w:hAnsi="Times New Roman" w:cs="Times New Roman"/>
          <w:sz w:val="22"/>
          <w:szCs w:val="22"/>
        </w:rPr>
      </w:pPr>
      <w:r w:rsidRPr="00BD2A29">
        <w:rPr>
          <w:rFonts w:ascii="Times New Roman" w:hAnsi="Times New Roman" w:cs="Times New Roman"/>
          <w:sz w:val="22"/>
          <w:szCs w:val="22"/>
        </w:rPr>
        <w:t xml:space="preserve">By examining genetic differences along with clinical and demographic information, these models can simulate how various patients might react to specific medications. This helps doctors choose the best drugs and dosages while reducing side effects. These predictive abilities are especially useful in complex treatments like chemotherapy, immunotherapy, and psychiatric care, where patient responses </w:t>
      </w:r>
      <w:r w:rsidRPr="00BD2A29">
        <w:rPr>
          <w:rFonts w:ascii="Times New Roman" w:hAnsi="Times New Roman" w:cs="Times New Roman"/>
          <w:sz w:val="22"/>
          <w:szCs w:val="22"/>
        </w:rPr>
        <w:lastRenderedPageBreak/>
        <w:t xml:space="preserve">can vary significantly. By effectively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xml:space="preserve"> gene-drug interactions, generative AI improves the safety and effectiveness of personalized treatments. Additionally, generative AI helps incorporate </w:t>
      </w:r>
      <w:proofErr w:type="spellStart"/>
      <w:r w:rsidRPr="00BD2A29">
        <w:rPr>
          <w:rFonts w:ascii="Times New Roman" w:hAnsi="Times New Roman" w:cs="Times New Roman"/>
          <w:sz w:val="22"/>
          <w:szCs w:val="22"/>
        </w:rPr>
        <w:t>behavioral</w:t>
      </w:r>
      <w:proofErr w:type="spellEnd"/>
      <w:r w:rsidRPr="00BD2A29">
        <w:rPr>
          <w:rFonts w:ascii="Times New Roman" w:hAnsi="Times New Roman" w:cs="Times New Roman"/>
          <w:sz w:val="22"/>
          <w:szCs w:val="22"/>
        </w:rPr>
        <w:t xml:space="preserve"> and environmental factors into personalized healthcare plans. Lifestyle habits, diet, physical activity, and environmental exposures greatly affect health outcomes.</w:t>
      </w:r>
    </w:p>
    <w:p w14:paraId="504FB1D3" w14:textId="5A2B0BDE" w:rsidR="00C67AC3" w:rsidRPr="00BD2A29" w:rsidRDefault="00C67AC3" w:rsidP="00C67AC3">
      <w:pPr>
        <w:jc w:val="both"/>
        <w:rPr>
          <w:rFonts w:ascii="Times New Roman" w:hAnsi="Times New Roman" w:cs="Times New Roman"/>
          <w:sz w:val="22"/>
          <w:szCs w:val="22"/>
        </w:rPr>
      </w:pPr>
      <w:r w:rsidRPr="00BD2A29">
        <w:rPr>
          <w:rFonts w:ascii="Times New Roman" w:hAnsi="Times New Roman" w:cs="Times New Roman"/>
          <w:sz w:val="22"/>
          <w:szCs w:val="22"/>
        </w:rPr>
        <w:t xml:space="preserve"> Generative systems can combine these different data sources to provide well-rounded health recommendations, including preventive care and wellness strategies. By understanding how biological, clinical, and lifestyle factors interact, generative AI offers a fuller picture of individual health profiles. This integrated approach supports long-term health management and encourages patients to play an active role in their care decisions.</w:t>
      </w:r>
    </w:p>
    <w:p w14:paraId="51575E2D" w14:textId="17D67D8A" w:rsidR="005019CC" w:rsidRPr="00BD2A29" w:rsidRDefault="005019CC" w:rsidP="005019CC">
      <w:pPr>
        <w:jc w:val="both"/>
        <w:rPr>
          <w:rFonts w:ascii="Times New Roman" w:hAnsi="Times New Roman" w:cs="Times New Roman"/>
          <w:b/>
          <w:bCs/>
        </w:rPr>
      </w:pPr>
      <w:r w:rsidRPr="00BD2A29">
        <w:rPr>
          <w:rFonts w:ascii="Times New Roman" w:hAnsi="Times New Roman" w:cs="Times New Roman"/>
          <w:b/>
          <w:bCs/>
        </w:rPr>
        <w:t xml:space="preserve">Key Components of the Generative </w:t>
      </w:r>
      <w:proofErr w:type="spellStart"/>
      <w:r w:rsidRPr="00BD2A29">
        <w:rPr>
          <w:rFonts w:ascii="Times New Roman" w:hAnsi="Times New Roman" w:cs="Times New Roman"/>
          <w:b/>
          <w:bCs/>
        </w:rPr>
        <w:t>Modeling</w:t>
      </w:r>
      <w:proofErr w:type="spellEnd"/>
      <w:r w:rsidRPr="00BD2A29">
        <w:rPr>
          <w:rFonts w:ascii="Times New Roman" w:hAnsi="Times New Roman" w:cs="Times New Roman"/>
          <w:b/>
          <w:bCs/>
        </w:rPr>
        <w:t>:</w:t>
      </w:r>
    </w:p>
    <w:p w14:paraId="5ABC8173"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Data Collection and Preprocessing</w:t>
      </w:r>
    </w:p>
    <w:p w14:paraId="0CBEFB29"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Model Architecture Selection</w:t>
      </w:r>
    </w:p>
    <w:p w14:paraId="15B61A54"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Latent Space Representation</w:t>
      </w:r>
    </w:p>
    <w:p w14:paraId="061CD878"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Training Strategy and Loss Functions</w:t>
      </w:r>
    </w:p>
    <w:p w14:paraId="1BA91FCE" w14:textId="77777777" w:rsidR="005019CC" w:rsidRPr="00BD2A29" w:rsidRDefault="005019CC" w:rsidP="005019CC">
      <w:pPr>
        <w:numPr>
          <w:ilvl w:val="0"/>
          <w:numId w:val="1"/>
        </w:numPr>
        <w:jc w:val="both"/>
        <w:rPr>
          <w:rFonts w:ascii="Times New Roman" w:hAnsi="Times New Roman" w:cs="Times New Roman"/>
          <w:sz w:val="22"/>
          <w:szCs w:val="22"/>
        </w:rPr>
      </w:pPr>
      <w:r w:rsidRPr="00BD2A29">
        <w:rPr>
          <w:rFonts w:ascii="Times New Roman" w:hAnsi="Times New Roman" w:cs="Times New Roman"/>
          <w:sz w:val="22"/>
          <w:szCs w:val="22"/>
        </w:rPr>
        <w:t>Evaluation and Validation Metrics</w:t>
      </w:r>
    </w:p>
    <w:p w14:paraId="4235DBC1" w14:textId="77777777" w:rsidR="005019CC" w:rsidRDefault="005019CC" w:rsidP="005019CC">
      <w:pPr>
        <w:numPr>
          <w:ilvl w:val="0"/>
          <w:numId w:val="1"/>
        </w:numPr>
        <w:jc w:val="both"/>
        <w:rPr>
          <w:rFonts w:ascii="Times New Roman" w:hAnsi="Times New Roman" w:cs="Times New Roman"/>
        </w:rPr>
      </w:pPr>
      <w:r w:rsidRPr="00BD2A29">
        <w:rPr>
          <w:rFonts w:ascii="Times New Roman" w:hAnsi="Times New Roman" w:cs="Times New Roman"/>
          <w:sz w:val="22"/>
          <w:szCs w:val="22"/>
        </w:rPr>
        <w:t>Deployment and Clinical Integration</w:t>
      </w:r>
    </w:p>
    <w:p w14:paraId="7CF4518A" w14:textId="77777777" w:rsidR="005019CC" w:rsidRDefault="005019CC" w:rsidP="005019CC">
      <w:pPr>
        <w:ind w:left="720"/>
        <w:jc w:val="both"/>
        <w:rPr>
          <w:rFonts w:ascii="Times New Roman" w:hAnsi="Times New Roman" w:cs="Times New Roman"/>
        </w:rPr>
      </w:pPr>
    </w:p>
    <w:p w14:paraId="434EB698" w14:textId="044C763C" w:rsidR="005019CC" w:rsidRPr="005019CC" w:rsidRDefault="005019CC" w:rsidP="005019CC">
      <w:pPr>
        <w:jc w:val="both"/>
        <w:rPr>
          <w:rFonts w:ascii="Times New Roman" w:hAnsi="Times New Roman" w:cs="Times New Roman"/>
          <w:b/>
          <w:bCs/>
        </w:rPr>
      </w:pPr>
      <w:r>
        <w:rPr>
          <w:rFonts w:ascii="Times New Roman" w:hAnsi="Times New Roman" w:cs="Times New Roman"/>
          <w:b/>
          <w:bCs/>
        </w:rPr>
        <w:t xml:space="preserve"> </w:t>
      </w:r>
      <w:r w:rsidRPr="005019CC">
        <w:rPr>
          <w:rFonts w:ascii="Times New Roman" w:hAnsi="Times New Roman" w:cs="Times New Roman"/>
          <w:b/>
          <w:bCs/>
        </w:rPr>
        <w:t xml:space="preserve">6. </w:t>
      </w:r>
      <w:r w:rsidR="005C0C63" w:rsidRPr="005C0C63">
        <w:rPr>
          <w:rFonts w:ascii="Times New Roman" w:hAnsi="Times New Roman" w:cs="Times New Roman"/>
          <w:b/>
          <w:bCs/>
        </w:rPr>
        <w:t>Drug Discovery and Molecular</w:t>
      </w:r>
      <w:r w:rsidR="00730156">
        <w:rPr>
          <w:rFonts w:ascii="Times New Roman" w:hAnsi="Times New Roman" w:cs="Times New Roman"/>
          <w:b/>
          <w:bCs/>
        </w:rPr>
        <w:t xml:space="preserve"> </w:t>
      </w:r>
      <w:r w:rsidR="005C0C63" w:rsidRPr="005C0C63">
        <w:rPr>
          <w:rFonts w:ascii="Times New Roman" w:hAnsi="Times New Roman" w:cs="Times New Roman"/>
          <w:b/>
          <w:bCs/>
        </w:rPr>
        <w:t>Design Acceleration</w:t>
      </w:r>
      <w:r w:rsidR="00730156">
        <w:rPr>
          <w:rFonts w:ascii="Times New Roman" w:hAnsi="Times New Roman" w:cs="Times New Roman"/>
          <w:b/>
          <w:bCs/>
          <w:noProof/>
        </w:rPr>
        <w:drawing>
          <wp:inline distT="0" distB="0" distL="0" distR="0" wp14:anchorId="5DE5A4D6" wp14:editId="319D8701">
            <wp:extent cx="5677500" cy="2449195"/>
            <wp:effectExtent l="0" t="0" r="0" b="8255"/>
            <wp:docPr id="753148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48978" name="Picture 75314897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72522" cy="2490186"/>
                    </a:xfrm>
                    <a:prstGeom prst="rect">
                      <a:avLst/>
                    </a:prstGeom>
                  </pic:spPr>
                </pic:pic>
              </a:graphicData>
            </a:graphic>
          </wp:inline>
        </w:drawing>
      </w:r>
    </w:p>
    <w:p w14:paraId="7FEC80B7" w14:textId="77777777" w:rsidR="005C0C63" w:rsidRPr="00BD2A29" w:rsidRDefault="005C0C63" w:rsidP="005C0C63">
      <w:pPr>
        <w:jc w:val="both"/>
        <w:rPr>
          <w:rFonts w:ascii="Times New Roman" w:hAnsi="Times New Roman" w:cs="Times New Roman"/>
          <w:sz w:val="22"/>
          <w:szCs w:val="22"/>
        </w:rPr>
      </w:pPr>
      <w:r w:rsidRPr="00BD2A29">
        <w:rPr>
          <w:rFonts w:ascii="Times New Roman" w:hAnsi="Times New Roman" w:cs="Times New Roman"/>
          <w:sz w:val="22"/>
          <w:szCs w:val="22"/>
        </w:rPr>
        <w:t xml:space="preserve">Drug discovery is often costly and takes a long time. Generative AI speeds this up by creating new molecular structures with the desired effects. Deep generative models can create candidate compounds, predict how molecules interact, and improve drug-like qualities like solubility and toxicity. Generating protein structures and predicting target binding also makes pharmaceutical research more efficient. Additionally, AI-driven simulations can support virtual clinical trials, lowering development costs and timelines. This section looks at how generative AI is changing pharmaceutical innovation and biomedical research processes. Generative AI also allows for quick exploration of large chemical spaces that traditional lab methods can't easily examine. By learning patterns from existing compound databases, generative models can suggest a variety of valid molecules with optimized therapeutic potential. </w:t>
      </w:r>
    </w:p>
    <w:p w14:paraId="266363F7" w14:textId="037378C3" w:rsidR="005C0C63" w:rsidRPr="00BD2A29" w:rsidRDefault="005C0C63" w:rsidP="005C0C63">
      <w:pPr>
        <w:jc w:val="both"/>
        <w:rPr>
          <w:rFonts w:ascii="Times New Roman" w:hAnsi="Times New Roman" w:cs="Times New Roman"/>
          <w:sz w:val="22"/>
          <w:szCs w:val="22"/>
        </w:rPr>
      </w:pPr>
      <w:r w:rsidRPr="00BD2A29">
        <w:rPr>
          <w:rFonts w:ascii="Times New Roman" w:hAnsi="Times New Roman" w:cs="Times New Roman"/>
          <w:sz w:val="22"/>
          <w:szCs w:val="22"/>
        </w:rPr>
        <w:lastRenderedPageBreak/>
        <w:t xml:space="preserve">These systems can include specific requirements, such as target selectivity, fewer side effects, or better bioavailability, during the design phase. This increases the chances of finding successful drug candidates. The targeted generation reduces the need for extensive trial-and-error experiments and lets researchers concentrate on the most promising compounds. Furthermore, generative AI helps with drug repurposing and discovering combination therapies by finding new uses for existing medications. By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xml:space="preserve"> complex biological networks and disease pathways, generative systems can predict how approved drugs might interact with new targets or work well with other compounds. This method significantly shortens development timelines since the safety of existing drugs is already well known. As a result, generative AI not only speeds up the creation of new drugs but also improves decision-making in pharmaceutical development, leading to more efficient and cost-effective biomedical innovation.</w:t>
      </w:r>
    </w:p>
    <w:p w14:paraId="79B7A830" w14:textId="77777777" w:rsidR="005C0C63" w:rsidRDefault="005C0C63" w:rsidP="005C0C63">
      <w:pPr>
        <w:jc w:val="both"/>
        <w:rPr>
          <w:rFonts w:ascii="Times New Roman" w:hAnsi="Times New Roman" w:cs="Times New Roman"/>
        </w:rPr>
      </w:pPr>
    </w:p>
    <w:p w14:paraId="65D6B79D" w14:textId="61BF0F37" w:rsidR="005C0C63" w:rsidRDefault="005C0C63" w:rsidP="005C0C63">
      <w:pPr>
        <w:jc w:val="both"/>
        <w:rPr>
          <w:rFonts w:ascii="Times New Roman" w:hAnsi="Times New Roman" w:cs="Times New Roman"/>
          <w:b/>
          <w:bCs/>
        </w:rPr>
      </w:pPr>
      <w:r w:rsidRPr="005C0C63">
        <w:rPr>
          <w:rFonts w:ascii="Times New Roman" w:hAnsi="Times New Roman" w:cs="Times New Roman"/>
          <w:b/>
          <w:bCs/>
        </w:rPr>
        <w:t>7.Synthetic Healthcare Data and Privacy-Preserving AI</w:t>
      </w:r>
    </w:p>
    <w:p w14:paraId="7902D9AE" w14:textId="77777777" w:rsidR="005C0C63" w:rsidRPr="00BD2A29" w:rsidRDefault="005C0C63" w:rsidP="005C0C63">
      <w:pPr>
        <w:jc w:val="both"/>
        <w:rPr>
          <w:rFonts w:ascii="Times New Roman" w:hAnsi="Times New Roman" w:cs="Times New Roman"/>
          <w:sz w:val="22"/>
          <w:szCs w:val="22"/>
        </w:rPr>
      </w:pPr>
      <w:r w:rsidRPr="00BD2A29">
        <w:rPr>
          <w:rFonts w:ascii="Times New Roman" w:hAnsi="Times New Roman" w:cs="Times New Roman"/>
          <w:sz w:val="22"/>
          <w:szCs w:val="22"/>
        </w:rPr>
        <w:t>Healthcare data privacy regulations limit data sharing and hinder large-scale collaborative research. Generative AI provides solutions by creating synthetic datasets that keep statistical properties while protecting real patient identities. Techniques like differential privacy and federated generative learning allow for training models across different locations while keeping data confidential. Synthetic data can improve the strength of algorithms, reduce class imbalance, and aid in researching rare diseases. However, ensuring that synthetic data does not unintentionally reveal sensitive information is still a major research focus. This section looks at privacy-preserving generative methods and their impact on secure AI deployment in healthcare.</w:t>
      </w:r>
    </w:p>
    <w:p w14:paraId="09872952" w14:textId="0EF57129" w:rsidR="005C0C63" w:rsidRPr="00BD2A29" w:rsidRDefault="005C0C63" w:rsidP="005C0C63">
      <w:pPr>
        <w:jc w:val="both"/>
        <w:rPr>
          <w:rFonts w:ascii="Times New Roman" w:hAnsi="Times New Roman" w:cs="Times New Roman"/>
          <w:sz w:val="22"/>
          <w:szCs w:val="22"/>
        </w:rPr>
      </w:pPr>
      <w:r w:rsidRPr="00BD2A29">
        <w:rPr>
          <w:rFonts w:ascii="Times New Roman" w:hAnsi="Times New Roman" w:cs="Times New Roman"/>
          <w:sz w:val="22"/>
          <w:szCs w:val="22"/>
        </w:rPr>
        <w:t xml:space="preserve"> Besides enabling secure data sharing, generating synthetic data allows for collaboration between multiple institutions without needing to share raw patient records directly. Hospitals and research </w:t>
      </w:r>
      <w:proofErr w:type="spellStart"/>
      <w:r w:rsidRPr="00BD2A29">
        <w:rPr>
          <w:rFonts w:ascii="Times New Roman" w:hAnsi="Times New Roman" w:cs="Times New Roman"/>
          <w:sz w:val="22"/>
          <w:szCs w:val="22"/>
        </w:rPr>
        <w:t>centers</w:t>
      </w:r>
      <w:proofErr w:type="spellEnd"/>
      <w:r w:rsidRPr="00BD2A29">
        <w:rPr>
          <w:rFonts w:ascii="Times New Roman" w:hAnsi="Times New Roman" w:cs="Times New Roman"/>
          <w:sz w:val="22"/>
          <w:szCs w:val="22"/>
        </w:rPr>
        <w:t xml:space="preserve"> can train generative models locally and only share model parameters or aggregated updates, which lowers the chance of privacy violations. This collaborative setup aids the creation of more generalized and unbiased AI systems by including varied data from different geographic and demographic areas. Consequently, federated and privacy-aware generative methods</w:t>
      </w:r>
      <w:r w:rsidRPr="00BD2A29">
        <w:rPr>
          <w:rFonts w:ascii="Times New Roman" w:hAnsi="Times New Roman" w:cs="Times New Roman"/>
          <w:b/>
          <w:bCs/>
          <w:sz w:val="22"/>
          <w:szCs w:val="22"/>
        </w:rPr>
        <w:t xml:space="preserve"> </w:t>
      </w:r>
      <w:r w:rsidRPr="00BD2A29">
        <w:rPr>
          <w:rFonts w:ascii="Times New Roman" w:hAnsi="Times New Roman" w:cs="Times New Roman"/>
          <w:sz w:val="22"/>
          <w:szCs w:val="22"/>
        </w:rPr>
        <w:t xml:space="preserve">help break down data silos that typically slow down medical research. Nevertheless, strong safeguards are needed to avoid risks like model inversion attacks, membership inference attacks, or unintentional memorization of sensitive records. Enhanced privacy technologies, such as secure multi-party computation, encryption methods, and thorough auditing processes, are being integrated into generative </w:t>
      </w:r>
      <w:proofErr w:type="spellStart"/>
      <w:r w:rsidRPr="00BD2A29">
        <w:rPr>
          <w:rFonts w:ascii="Times New Roman" w:hAnsi="Times New Roman" w:cs="Times New Roman"/>
          <w:sz w:val="22"/>
          <w:szCs w:val="22"/>
        </w:rPr>
        <w:t>modeling</w:t>
      </w:r>
      <w:proofErr w:type="spellEnd"/>
      <w:r w:rsidRPr="00BD2A29">
        <w:rPr>
          <w:rFonts w:ascii="Times New Roman" w:hAnsi="Times New Roman" w:cs="Times New Roman"/>
          <w:sz w:val="22"/>
          <w:szCs w:val="22"/>
        </w:rPr>
        <w:t xml:space="preserve"> workflows. Additionally, clear governance policies and ethical oversight are crucial for ensuring compliance with healthcare laws and building public trust. By merging technical safeguards with regulatory frameworks, privacy-preserving generative AI can foster innovation while upholding strict standards for patient confidentiality and data security.</w:t>
      </w:r>
    </w:p>
    <w:p w14:paraId="3922341C" w14:textId="301A30F7" w:rsidR="00593327" w:rsidRDefault="00593327" w:rsidP="00593327">
      <w:pPr>
        <w:jc w:val="both"/>
        <w:rPr>
          <w:rFonts w:ascii="Times New Roman" w:hAnsi="Times New Roman" w:cs="Times New Roman"/>
          <w:b/>
          <w:bCs/>
        </w:rPr>
      </w:pPr>
      <w:r>
        <w:rPr>
          <w:rFonts w:ascii="Times New Roman" w:hAnsi="Times New Roman" w:cs="Times New Roman"/>
          <w:b/>
          <w:bCs/>
        </w:rPr>
        <w:t>importance</w:t>
      </w:r>
      <w:r w:rsidRPr="00593327">
        <w:rPr>
          <w:rFonts w:ascii="Times New Roman" w:hAnsi="Times New Roman" w:cs="Times New Roman"/>
          <w:b/>
          <w:bCs/>
        </w:rPr>
        <w:t xml:space="preserve"> of Healthcare Data and Privacy</w:t>
      </w:r>
      <w:r>
        <w:rPr>
          <w:rFonts w:ascii="Times New Roman" w:hAnsi="Times New Roman" w:cs="Times New Roman"/>
          <w:b/>
          <w:bCs/>
        </w:rPr>
        <w:t>:</w:t>
      </w:r>
    </w:p>
    <w:p w14:paraId="27048FC3" w14:textId="16C4FEB6" w:rsidR="00593327" w:rsidRPr="00BD2A29" w:rsidRDefault="00593327" w:rsidP="006673B0">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Patient Data Confidentiality</w:t>
      </w:r>
    </w:p>
    <w:p w14:paraId="05DCC4A1" w14:textId="1EF2C5CA" w:rsidR="00593327" w:rsidRPr="00BD2A29" w:rsidRDefault="00593327" w:rsidP="00593327">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Data Anonymization and De-identification</w:t>
      </w:r>
    </w:p>
    <w:p w14:paraId="45F7B7D6" w14:textId="5B3C33C1" w:rsidR="00593327" w:rsidRPr="00BD2A29" w:rsidRDefault="00593327" w:rsidP="00593327">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Regulatory Compliance</w:t>
      </w:r>
    </w:p>
    <w:p w14:paraId="76155B1D" w14:textId="0E826228" w:rsidR="00593327" w:rsidRPr="00BD2A29" w:rsidRDefault="00593327" w:rsidP="00593327">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Secure Data Storage and Transmission</w:t>
      </w:r>
    </w:p>
    <w:p w14:paraId="423DB269" w14:textId="0ECB48B1" w:rsidR="00593327" w:rsidRPr="00BD2A29" w:rsidRDefault="00593327" w:rsidP="00593327">
      <w:pPr>
        <w:pStyle w:val="ListParagraph"/>
        <w:numPr>
          <w:ilvl w:val="0"/>
          <w:numId w:val="4"/>
        </w:numPr>
        <w:jc w:val="both"/>
        <w:rPr>
          <w:rFonts w:ascii="Times New Roman" w:hAnsi="Times New Roman" w:cs="Times New Roman"/>
          <w:sz w:val="22"/>
          <w:szCs w:val="22"/>
        </w:rPr>
      </w:pPr>
      <w:r w:rsidRPr="00BD2A29">
        <w:rPr>
          <w:rFonts w:ascii="Times New Roman" w:hAnsi="Times New Roman" w:cs="Times New Roman"/>
          <w:sz w:val="22"/>
          <w:szCs w:val="22"/>
        </w:rPr>
        <w:t>Privacy-Preserving AI Techniques</w:t>
      </w:r>
    </w:p>
    <w:p w14:paraId="010F9B43" w14:textId="52773C3C" w:rsidR="005019CC" w:rsidRPr="00BD2A29" w:rsidRDefault="005019CC" w:rsidP="005019CC">
      <w:pPr>
        <w:jc w:val="both"/>
        <w:rPr>
          <w:rFonts w:ascii="Times New Roman" w:hAnsi="Times New Roman" w:cs="Times New Roman"/>
          <w:sz w:val="22"/>
          <w:szCs w:val="22"/>
        </w:rPr>
      </w:pPr>
    </w:p>
    <w:p w14:paraId="273C649D" w14:textId="77777777" w:rsidR="005019CC" w:rsidRPr="00BD2A29" w:rsidRDefault="005019CC" w:rsidP="005019CC">
      <w:pPr>
        <w:jc w:val="both"/>
        <w:rPr>
          <w:rFonts w:ascii="Times New Roman" w:hAnsi="Times New Roman" w:cs="Times New Roman"/>
          <w:vanish/>
          <w:sz w:val="22"/>
          <w:szCs w:val="22"/>
        </w:rPr>
      </w:pPr>
      <w:r w:rsidRPr="00BD2A29">
        <w:rPr>
          <w:rFonts w:ascii="Times New Roman" w:hAnsi="Times New Roman" w:cs="Times New Roman"/>
          <w:vanish/>
          <w:sz w:val="22"/>
          <w:szCs w:val="22"/>
        </w:rPr>
        <w:t>Top of Form</w:t>
      </w:r>
    </w:p>
    <w:p w14:paraId="52ECAB48" w14:textId="77777777" w:rsidR="005019CC" w:rsidRPr="00BD2A29" w:rsidRDefault="005019CC" w:rsidP="005019CC">
      <w:pPr>
        <w:jc w:val="both"/>
        <w:rPr>
          <w:rFonts w:ascii="Times New Roman" w:hAnsi="Times New Roman" w:cs="Times New Roman"/>
          <w:vanish/>
          <w:sz w:val="22"/>
          <w:szCs w:val="22"/>
        </w:rPr>
      </w:pPr>
      <w:r w:rsidRPr="00BD2A29">
        <w:rPr>
          <w:rFonts w:ascii="Times New Roman" w:hAnsi="Times New Roman" w:cs="Times New Roman"/>
          <w:vanish/>
          <w:sz w:val="22"/>
          <w:szCs w:val="22"/>
        </w:rPr>
        <w:t>Bottom of Form</w:t>
      </w:r>
    </w:p>
    <w:p w14:paraId="4968D125" w14:textId="77777777" w:rsidR="005019CC" w:rsidRPr="00BD2A29" w:rsidRDefault="005019CC" w:rsidP="005019CC">
      <w:pPr>
        <w:jc w:val="both"/>
        <w:rPr>
          <w:rFonts w:ascii="Times New Roman" w:hAnsi="Times New Roman" w:cs="Times New Roman"/>
          <w:sz w:val="22"/>
          <w:szCs w:val="22"/>
        </w:rPr>
      </w:pPr>
    </w:p>
    <w:p w14:paraId="0C0C5CF8" w14:textId="62DBD93B" w:rsidR="005019CC" w:rsidRPr="00CB6834" w:rsidRDefault="00CB6834" w:rsidP="00C67AC3">
      <w:pPr>
        <w:jc w:val="both"/>
        <w:rPr>
          <w:rFonts w:ascii="Times New Roman" w:hAnsi="Times New Roman" w:cs="Times New Roman"/>
          <w:b/>
          <w:bCs/>
        </w:rPr>
      </w:pPr>
      <w:r w:rsidRPr="00CB6834">
        <w:rPr>
          <w:rFonts w:ascii="Times New Roman" w:hAnsi="Times New Roman" w:cs="Times New Roman"/>
          <w:b/>
          <w:bCs/>
        </w:rPr>
        <w:lastRenderedPageBreak/>
        <w:t>REFERENCE</w:t>
      </w:r>
    </w:p>
    <w:p w14:paraId="304AD15C" w14:textId="77777777" w:rsidR="00C67AC3" w:rsidRDefault="00C67AC3" w:rsidP="00C67AC3">
      <w:pPr>
        <w:jc w:val="both"/>
        <w:rPr>
          <w:rFonts w:ascii="Times New Roman" w:hAnsi="Times New Roman" w:cs="Times New Roman"/>
          <w:b/>
          <w:bCs/>
        </w:rPr>
      </w:pPr>
    </w:p>
    <w:p w14:paraId="3B64C298" w14:textId="09BAC683"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I. Goodfellow et al., “Generative Adversarial Nets,” in </w:t>
      </w:r>
      <w:r w:rsidRPr="00185B6C">
        <w:rPr>
          <w:rFonts w:ascii="Times New Roman" w:hAnsi="Times New Roman" w:cs="Times New Roman"/>
          <w:i/>
          <w:iCs/>
          <w:sz w:val="22"/>
          <w:szCs w:val="22"/>
        </w:rPr>
        <w:t>Proc. Advances in Neural Information Processing Systems (</w:t>
      </w:r>
      <w:proofErr w:type="spellStart"/>
      <w:r w:rsidRPr="00185B6C">
        <w:rPr>
          <w:rFonts w:ascii="Times New Roman" w:hAnsi="Times New Roman" w:cs="Times New Roman"/>
          <w:i/>
          <w:iCs/>
          <w:sz w:val="22"/>
          <w:szCs w:val="22"/>
        </w:rPr>
        <w:t>NeurIPS</w:t>
      </w:r>
      <w:proofErr w:type="spellEnd"/>
      <w:r w:rsidRPr="00185B6C">
        <w:rPr>
          <w:rFonts w:ascii="Times New Roman" w:hAnsi="Times New Roman" w:cs="Times New Roman"/>
          <w:i/>
          <w:iCs/>
          <w:sz w:val="22"/>
          <w:szCs w:val="22"/>
        </w:rPr>
        <w:t>)</w:t>
      </w:r>
      <w:r w:rsidRPr="00185B6C">
        <w:rPr>
          <w:rFonts w:ascii="Times New Roman" w:hAnsi="Times New Roman" w:cs="Times New Roman"/>
          <w:sz w:val="22"/>
          <w:szCs w:val="22"/>
        </w:rPr>
        <w:t>, 2014, pp. 2672–2680.</w:t>
      </w:r>
    </w:p>
    <w:p w14:paraId="073B8814" w14:textId="77777777" w:rsidR="00CB6834" w:rsidRPr="00185B6C" w:rsidRDefault="00CB6834" w:rsidP="00CB6834">
      <w:pPr>
        <w:jc w:val="both"/>
        <w:rPr>
          <w:rFonts w:ascii="Times New Roman" w:hAnsi="Times New Roman" w:cs="Times New Roman"/>
          <w:sz w:val="22"/>
          <w:szCs w:val="22"/>
        </w:rPr>
      </w:pPr>
    </w:p>
    <w:p w14:paraId="6508F402" w14:textId="2D02E56A"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D. P. Kingma and M. Welling, “Auto-Encoding Variational Bayes,” in </w:t>
      </w:r>
      <w:r w:rsidRPr="00185B6C">
        <w:rPr>
          <w:rFonts w:ascii="Times New Roman" w:hAnsi="Times New Roman" w:cs="Times New Roman"/>
          <w:i/>
          <w:iCs/>
          <w:sz w:val="22"/>
          <w:szCs w:val="22"/>
        </w:rPr>
        <w:t>Proc. International Conference on Learning Representations (ICLR)</w:t>
      </w:r>
      <w:r w:rsidRPr="00185B6C">
        <w:rPr>
          <w:rFonts w:ascii="Times New Roman" w:hAnsi="Times New Roman" w:cs="Times New Roman"/>
          <w:sz w:val="22"/>
          <w:szCs w:val="22"/>
        </w:rPr>
        <w:t>, 2014.</w:t>
      </w:r>
    </w:p>
    <w:p w14:paraId="2E9541B0" w14:textId="77777777" w:rsidR="00CB6834" w:rsidRPr="00185B6C" w:rsidRDefault="00CB6834" w:rsidP="00CB6834">
      <w:pPr>
        <w:pStyle w:val="ListParagraph"/>
        <w:rPr>
          <w:rFonts w:ascii="Times New Roman" w:hAnsi="Times New Roman" w:cs="Times New Roman"/>
          <w:sz w:val="22"/>
          <w:szCs w:val="22"/>
        </w:rPr>
      </w:pPr>
    </w:p>
    <w:p w14:paraId="69E26DA5" w14:textId="77777777" w:rsidR="00CB6834" w:rsidRPr="00185B6C" w:rsidRDefault="00CB6834" w:rsidP="00CB6834">
      <w:pPr>
        <w:pStyle w:val="ListParagraph"/>
        <w:ind w:left="816"/>
        <w:jc w:val="both"/>
        <w:rPr>
          <w:rFonts w:ascii="Times New Roman" w:hAnsi="Times New Roman" w:cs="Times New Roman"/>
          <w:sz w:val="22"/>
          <w:szCs w:val="22"/>
        </w:rPr>
      </w:pPr>
    </w:p>
    <w:p w14:paraId="057911E6" w14:textId="0CEEB47B"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J. Ho, A. Jain, and P. </w:t>
      </w:r>
      <w:proofErr w:type="spellStart"/>
      <w:r w:rsidRPr="00185B6C">
        <w:rPr>
          <w:rFonts w:ascii="Times New Roman" w:hAnsi="Times New Roman" w:cs="Times New Roman"/>
          <w:sz w:val="22"/>
          <w:szCs w:val="22"/>
        </w:rPr>
        <w:t>Abbeel</w:t>
      </w:r>
      <w:proofErr w:type="spellEnd"/>
      <w:r w:rsidRPr="00185B6C">
        <w:rPr>
          <w:rFonts w:ascii="Times New Roman" w:hAnsi="Times New Roman" w:cs="Times New Roman"/>
          <w:sz w:val="22"/>
          <w:szCs w:val="22"/>
        </w:rPr>
        <w:t xml:space="preserve">, “Denoising Diffusion Probabilistic Models,” in </w:t>
      </w:r>
      <w:r w:rsidRPr="00185B6C">
        <w:rPr>
          <w:rFonts w:ascii="Times New Roman" w:hAnsi="Times New Roman" w:cs="Times New Roman"/>
          <w:i/>
          <w:iCs/>
          <w:sz w:val="22"/>
          <w:szCs w:val="22"/>
        </w:rPr>
        <w:t>Proc. Advances in Neural Information Processing Systems (</w:t>
      </w:r>
      <w:proofErr w:type="spellStart"/>
      <w:r w:rsidRPr="00185B6C">
        <w:rPr>
          <w:rFonts w:ascii="Times New Roman" w:hAnsi="Times New Roman" w:cs="Times New Roman"/>
          <w:i/>
          <w:iCs/>
          <w:sz w:val="22"/>
          <w:szCs w:val="22"/>
        </w:rPr>
        <w:t>NeurIPS</w:t>
      </w:r>
      <w:proofErr w:type="spellEnd"/>
      <w:r w:rsidRPr="00185B6C">
        <w:rPr>
          <w:rFonts w:ascii="Times New Roman" w:hAnsi="Times New Roman" w:cs="Times New Roman"/>
          <w:i/>
          <w:iCs/>
          <w:sz w:val="22"/>
          <w:szCs w:val="22"/>
        </w:rPr>
        <w:t>)</w:t>
      </w:r>
      <w:r w:rsidRPr="00185B6C">
        <w:rPr>
          <w:rFonts w:ascii="Times New Roman" w:hAnsi="Times New Roman" w:cs="Times New Roman"/>
          <w:sz w:val="22"/>
          <w:szCs w:val="22"/>
        </w:rPr>
        <w:t>, 2020.</w:t>
      </w:r>
    </w:p>
    <w:p w14:paraId="5FA9B76D" w14:textId="77777777" w:rsidR="00CB6834" w:rsidRPr="00185B6C" w:rsidRDefault="00CB6834" w:rsidP="00CB6834">
      <w:pPr>
        <w:pStyle w:val="ListParagraph"/>
        <w:ind w:left="816"/>
        <w:jc w:val="both"/>
        <w:rPr>
          <w:rFonts w:ascii="Times New Roman" w:hAnsi="Times New Roman" w:cs="Times New Roman"/>
          <w:sz w:val="22"/>
          <w:szCs w:val="22"/>
        </w:rPr>
      </w:pPr>
    </w:p>
    <w:p w14:paraId="10B05EA1" w14:textId="2054CF84"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A. Esteva et al., “A Guide to Deep Learning in Healthcare,” </w:t>
      </w:r>
      <w:r w:rsidRPr="00185B6C">
        <w:rPr>
          <w:rFonts w:ascii="Times New Roman" w:hAnsi="Times New Roman" w:cs="Times New Roman"/>
          <w:i/>
          <w:iCs/>
          <w:sz w:val="22"/>
          <w:szCs w:val="22"/>
        </w:rPr>
        <w:t>Nature Medicine</w:t>
      </w:r>
      <w:r w:rsidRPr="00185B6C">
        <w:rPr>
          <w:rFonts w:ascii="Times New Roman" w:hAnsi="Times New Roman" w:cs="Times New Roman"/>
          <w:sz w:val="22"/>
          <w:szCs w:val="22"/>
        </w:rPr>
        <w:t>, vol. 25, no. 1, pp. 24–29, 2019.</w:t>
      </w:r>
    </w:p>
    <w:p w14:paraId="2DA5A87C" w14:textId="77777777" w:rsidR="00CB6834" w:rsidRPr="00CB6834" w:rsidRDefault="00CB6834" w:rsidP="00CB6834">
      <w:pPr>
        <w:jc w:val="both"/>
        <w:rPr>
          <w:rFonts w:ascii="Times New Roman" w:hAnsi="Times New Roman" w:cs="Times New Roman"/>
          <w:sz w:val="22"/>
          <w:szCs w:val="22"/>
        </w:rPr>
      </w:pPr>
    </w:p>
    <w:p w14:paraId="592AF132" w14:textId="6DE6E11C"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E. Topol, “High-performance medicine: the convergence of human and artificial intelligence,” </w:t>
      </w:r>
      <w:r w:rsidRPr="00185B6C">
        <w:rPr>
          <w:rFonts w:ascii="Times New Roman" w:hAnsi="Times New Roman" w:cs="Times New Roman"/>
          <w:i/>
          <w:iCs/>
          <w:sz w:val="22"/>
          <w:szCs w:val="22"/>
        </w:rPr>
        <w:t>Nature Medicine</w:t>
      </w:r>
      <w:r w:rsidRPr="00185B6C">
        <w:rPr>
          <w:rFonts w:ascii="Times New Roman" w:hAnsi="Times New Roman" w:cs="Times New Roman"/>
          <w:sz w:val="22"/>
          <w:szCs w:val="22"/>
        </w:rPr>
        <w:t>, vol. 25, no. 1, pp. 44–56, 2019.</w:t>
      </w:r>
    </w:p>
    <w:p w14:paraId="1940B415" w14:textId="77777777" w:rsidR="00CB6834" w:rsidRPr="00CB6834" w:rsidRDefault="00CB6834" w:rsidP="00CB6834">
      <w:pPr>
        <w:jc w:val="both"/>
        <w:rPr>
          <w:rFonts w:ascii="Times New Roman" w:hAnsi="Times New Roman" w:cs="Times New Roman"/>
          <w:sz w:val="22"/>
          <w:szCs w:val="22"/>
        </w:rPr>
      </w:pPr>
    </w:p>
    <w:p w14:paraId="5F73F988" w14:textId="699D2E23"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T. Davenport and R. </w:t>
      </w:r>
      <w:proofErr w:type="spellStart"/>
      <w:r w:rsidRPr="00185B6C">
        <w:rPr>
          <w:rFonts w:ascii="Times New Roman" w:hAnsi="Times New Roman" w:cs="Times New Roman"/>
          <w:sz w:val="22"/>
          <w:szCs w:val="22"/>
        </w:rPr>
        <w:t>Kalakota</w:t>
      </w:r>
      <w:proofErr w:type="spellEnd"/>
      <w:r w:rsidRPr="00185B6C">
        <w:rPr>
          <w:rFonts w:ascii="Times New Roman" w:hAnsi="Times New Roman" w:cs="Times New Roman"/>
          <w:sz w:val="22"/>
          <w:szCs w:val="22"/>
        </w:rPr>
        <w:t xml:space="preserve">, “The potential for artificial intelligence in healthcare,” </w:t>
      </w:r>
      <w:r w:rsidRPr="00185B6C">
        <w:rPr>
          <w:rFonts w:ascii="Times New Roman" w:hAnsi="Times New Roman" w:cs="Times New Roman"/>
          <w:i/>
          <w:iCs/>
          <w:sz w:val="22"/>
          <w:szCs w:val="22"/>
        </w:rPr>
        <w:t>Future Healthcare Journal</w:t>
      </w:r>
      <w:r w:rsidRPr="00185B6C">
        <w:rPr>
          <w:rFonts w:ascii="Times New Roman" w:hAnsi="Times New Roman" w:cs="Times New Roman"/>
          <w:sz w:val="22"/>
          <w:szCs w:val="22"/>
        </w:rPr>
        <w:t>, vol. 6, no. 2, pp. 94–98, 2019.</w:t>
      </w:r>
    </w:p>
    <w:p w14:paraId="31B983F4" w14:textId="77777777" w:rsidR="00CB6834" w:rsidRPr="00CB6834" w:rsidRDefault="00CB6834" w:rsidP="00CB6834">
      <w:pPr>
        <w:jc w:val="both"/>
        <w:rPr>
          <w:rFonts w:ascii="Times New Roman" w:hAnsi="Times New Roman" w:cs="Times New Roman"/>
          <w:sz w:val="22"/>
          <w:szCs w:val="22"/>
        </w:rPr>
      </w:pPr>
    </w:p>
    <w:p w14:paraId="7F38C599" w14:textId="38129126"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J. Yu, Z. Zhang, and J. Wang, “Medical Image Synthesis using Generative Adversarial Networks: A Review,” </w:t>
      </w:r>
      <w:r w:rsidRPr="00185B6C">
        <w:rPr>
          <w:rFonts w:ascii="Times New Roman" w:hAnsi="Times New Roman" w:cs="Times New Roman"/>
          <w:i/>
          <w:iCs/>
          <w:sz w:val="22"/>
          <w:szCs w:val="22"/>
        </w:rPr>
        <w:t>Medical Image Analysis</w:t>
      </w:r>
      <w:r w:rsidRPr="00185B6C">
        <w:rPr>
          <w:rFonts w:ascii="Times New Roman" w:hAnsi="Times New Roman" w:cs="Times New Roman"/>
          <w:sz w:val="22"/>
          <w:szCs w:val="22"/>
        </w:rPr>
        <w:t>, vol. 70, pp. 101–114, 2021.</w:t>
      </w:r>
    </w:p>
    <w:p w14:paraId="0B312B45" w14:textId="77777777" w:rsidR="00CB6834" w:rsidRPr="00CB6834" w:rsidRDefault="00CB6834" w:rsidP="00CB6834">
      <w:pPr>
        <w:jc w:val="both"/>
        <w:rPr>
          <w:rFonts w:ascii="Times New Roman" w:hAnsi="Times New Roman" w:cs="Times New Roman"/>
          <w:sz w:val="22"/>
          <w:szCs w:val="22"/>
        </w:rPr>
      </w:pPr>
    </w:p>
    <w:p w14:paraId="40016DB3" w14:textId="2A3D8D6C"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K. Armanious et al., “</w:t>
      </w:r>
      <w:proofErr w:type="spellStart"/>
      <w:r w:rsidRPr="00185B6C">
        <w:rPr>
          <w:rFonts w:ascii="Times New Roman" w:hAnsi="Times New Roman" w:cs="Times New Roman"/>
          <w:sz w:val="22"/>
          <w:szCs w:val="22"/>
        </w:rPr>
        <w:t>MedGAN</w:t>
      </w:r>
      <w:proofErr w:type="spellEnd"/>
      <w:r w:rsidRPr="00185B6C">
        <w:rPr>
          <w:rFonts w:ascii="Times New Roman" w:hAnsi="Times New Roman" w:cs="Times New Roman"/>
          <w:sz w:val="22"/>
          <w:szCs w:val="22"/>
        </w:rPr>
        <w:t xml:space="preserve">: Medical Image Translation using GANs,” </w:t>
      </w:r>
      <w:r w:rsidRPr="00185B6C">
        <w:rPr>
          <w:rFonts w:ascii="Times New Roman" w:hAnsi="Times New Roman" w:cs="Times New Roman"/>
          <w:i/>
          <w:iCs/>
          <w:sz w:val="22"/>
          <w:szCs w:val="22"/>
        </w:rPr>
        <w:t>IEEE Journal of Biomedical and Health Informatics</w:t>
      </w:r>
      <w:r w:rsidRPr="00185B6C">
        <w:rPr>
          <w:rFonts w:ascii="Times New Roman" w:hAnsi="Times New Roman" w:cs="Times New Roman"/>
          <w:sz w:val="22"/>
          <w:szCs w:val="22"/>
        </w:rPr>
        <w:t>, vol. 24, no. 10, pp. 2785–2796, 2020.</w:t>
      </w:r>
    </w:p>
    <w:p w14:paraId="0A0B2306" w14:textId="77777777" w:rsidR="00CB6834" w:rsidRPr="00CB6834" w:rsidRDefault="00CB6834" w:rsidP="00CB6834">
      <w:pPr>
        <w:jc w:val="both"/>
        <w:rPr>
          <w:rFonts w:ascii="Times New Roman" w:hAnsi="Times New Roman" w:cs="Times New Roman"/>
          <w:sz w:val="22"/>
          <w:szCs w:val="22"/>
        </w:rPr>
      </w:pPr>
    </w:p>
    <w:p w14:paraId="11DA5441" w14:textId="0F02AB20"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S. Chen et al., “Synthetic Medical Images with Deep Learning: A Survey,” </w:t>
      </w:r>
      <w:r w:rsidRPr="00185B6C">
        <w:rPr>
          <w:rFonts w:ascii="Times New Roman" w:hAnsi="Times New Roman" w:cs="Times New Roman"/>
          <w:i/>
          <w:iCs/>
          <w:sz w:val="22"/>
          <w:szCs w:val="22"/>
        </w:rPr>
        <w:t>Artificial Intelligence in Medicine</w:t>
      </w:r>
      <w:r w:rsidRPr="00185B6C">
        <w:rPr>
          <w:rFonts w:ascii="Times New Roman" w:hAnsi="Times New Roman" w:cs="Times New Roman"/>
          <w:sz w:val="22"/>
          <w:szCs w:val="22"/>
        </w:rPr>
        <w:t>, vol. 115, 2021.</w:t>
      </w:r>
    </w:p>
    <w:p w14:paraId="2DA9BFF6" w14:textId="77777777" w:rsidR="00CB6834" w:rsidRPr="00CB6834" w:rsidRDefault="00CB6834" w:rsidP="00CB6834">
      <w:pPr>
        <w:jc w:val="both"/>
        <w:rPr>
          <w:rFonts w:ascii="Times New Roman" w:hAnsi="Times New Roman" w:cs="Times New Roman"/>
          <w:sz w:val="22"/>
          <w:szCs w:val="22"/>
        </w:rPr>
      </w:pPr>
    </w:p>
    <w:p w14:paraId="7FDF0E7C" w14:textId="1964768E"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A. </w:t>
      </w:r>
      <w:proofErr w:type="spellStart"/>
      <w:r w:rsidRPr="00185B6C">
        <w:rPr>
          <w:rFonts w:ascii="Times New Roman" w:hAnsi="Times New Roman" w:cs="Times New Roman"/>
          <w:sz w:val="22"/>
          <w:szCs w:val="22"/>
        </w:rPr>
        <w:t>Rajkomar</w:t>
      </w:r>
      <w:proofErr w:type="spellEnd"/>
      <w:r w:rsidRPr="00185B6C">
        <w:rPr>
          <w:rFonts w:ascii="Times New Roman" w:hAnsi="Times New Roman" w:cs="Times New Roman"/>
          <w:sz w:val="22"/>
          <w:szCs w:val="22"/>
        </w:rPr>
        <w:t xml:space="preserve">, J. Dean, and I. </w:t>
      </w:r>
      <w:proofErr w:type="spellStart"/>
      <w:r w:rsidRPr="00185B6C">
        <w:rPr>
          <w:rFonts w:ascii="Times New Roman" w:hAnsi="Times New Roman" w:cs="Times New Roman"/>
          <w:sz w:val="22"/>
          <w:szCs w:val="22"/>
        </w:rPr>
        <w:t>Kohane</w:t>
      </w:r>
      <w:proofErr w:type="spellEnd"/>
      <w:r w:rsidRPr="00185B6C">
        <w:rPr>
          <w:rFonts w:ascii="Times New Roman" w:hAnsi="Times New Roman" w:cs="Times New Roman"/>
          <w:sz w:val="22"/>
          <w:szCs w:val="22"/>
        </w:rPr>
        <w:t xml:space="preserve">, “Machine Learning in Medicine,” </w:t>
      </w:r>
      <w:r w:rsidRPr="00185B6C">
        <w:rPr>
          <w:rFonts w:ascii="Times New Roman" w:hAnsi="Times New Roman" w:cs="Times New Roman"/>
          <w:i/>
          <w:iCs/>
          <w:sz w:val="22"/>
          <w:szCs w:val="22"/>
        </w:rPr>
        <w:t>New England Journal of Medicine</w:t>
      </w:r>
      <w:r w:rsidRPr="00185B6C">
        <w:rPr>
          <w:rFonts w:ascii="Times New Roman" w:hAnsi="Times New Roman" w:cs="Times New Roman"/>
          <w:sz w:val="22"/>
          <w:szCs w:val="22"/>
        </w:rPr>
        <w:t>, vol. 380, pp. 1347–1358, 2019.</w:t>
      </w:r>
    </w:p>
    <w:p w14:paraId="091CC600" w14:textId="77777777" w:rsidR="00CB6834" w:rsidRPr="00CB6834" w:rsidRDefault="00CB6834" w:rsidP="00CB6834">
      <w:pPr>
        <w:jc w:val="both"/>
        <w:rPr>
          <w:rFonts w:ascii="Times New Roman" w:hAnsi="Times New Roman" w:cs="Times New Roman"/>
          <w:sz w:val="22"/>
          <w:szCs w:val="22"/>
        </w:rPr>
      </w:pPr>
    </w:p>
    <w:p w14:paraId="2B3BB930" w14:textId="1BE4C04C"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Y. LeCun, Y. Bengio, and G. Hinton, “Deep Learning,” </w:t>
      </w:r>
      <w:r w:rsidRPr="00185B6C">
        <w:rPr>
          <w:rFonts w:ascii="Times New Roman" w:hAnsi="Times New Roman" w:cs="Times New Roman"/>
          <w:i/>
          <w:iCs/>
          <w:sz w:val="22"/>
          <w:szCs w:val="22"/>
        </w:rPr>
        <w:t>Nature</w:t>
      </w:r>
      <w:r w:rsidRPr="00185B6C">
        <w:rPr>
          <w:rFonts w:ascii="Times New Roman" w:hAnsi="Times New Roman" w:cs="Times New Roman"/>
          <w:sz w:val="22"/>
          <w:szCs w:val="22"/>
        </w:rPr>
        <w:t>, vol. 521, pp. 436–444, 2015.</w:t>
      </w:r>
    </w:p>
    <w:p w14:paraId="720ACBDE" w14:textId="77777777" w:rsidR="00CB6834" w:rsidRPr="00CB6834" w:rsidRDefault="00CB6834" w:rsidP="00CB6834">
      <w:pPr>
        <w:jc w:val="both"/>
        <w:rPr>
          <w:rFonts w:ascii="Times New Roman" w:hAnsi="Times New Roman" w:cs="Times New Roman"/>
          <w:sz w:val="22"/>
          <w:szCs w:val="22"/>
        </w:rPr>
      </w:pPr>
    </w:p>
    <w:p w14:paraId="2D3C2FF2" w14:textId="39A405E1"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lastRenderedPageBreak/>
        <w:t xml:space="preserve"> S. Vaswani et al., “Attention Is All You Need,” in </w:t>
      </w:r>
      <w:r w:rsidRPr="00185B6C">
        <w:rPr>
          <w:rFonts w:ascii="Times New Roman" w:hAnsi="Times New Roman" w:cs="Times New Roman"/>
          <w:i/>
          <w:iCs/>
          <w:sz w:val="22"/>
          <w:szCs w:val="22"/>
        </w:rPr>
        <w:t>Proc. Advances in Neural Information Processing Systems (</w:t>
      </w:r>
      <w:proofErr w:type="spellStart"/>
      <w:r w:rsidRPr="00185B6C">
        <w:rPr>
          <w:rFonts w:ascii="Times New Roman" w:hAnsi="Times New Roman" w:cs="Times New Roman"/>
          <w:i/>
          <w:iCs/>
          <w:sz w:val="22"/>
          <w:szCs w:val="22"/>
        </w:rPr>
        <w:t>NeurIPS</w:t>
      </w:r>
      <w:proofErr w:type="spellEnd"/>
      <w:r w:rsidRPr="00185B6C">
        <w:rPr>
          <w:rFonts w:ascii="Times New Roman" w:hAnsi="Times New Roman" w:cs="Times New Roman"/>
          <w:i/>
          <w:iCs/>
          <w:sz w:val="22"/>
          <w:szCs w:val="22"/>
        </w:rPr>
        <w:t>)</w:t>
      </w:r>
      <w:r w:rsidRPr="00185B6C">
        <w:rPr>
          <w:rFonts w:ascii="Times New Roman" w:hAnsi="Times New Roman" w:cs="Times New Roman"/>
          <w:sz w:val="22"/>
          <w:szCs w:val="22"/>
        </w:rPr>
        <w:t>, 2017.</w:t>
      </w:r>
    </w:p>
    <w:p w14:paraId="4EFCA47F" w14:textId="77777777" w:rsidR="00CB6834" w:rsidRPr="00CB6834" w:rsidRDefault="00CB6834" w:rsidP="00CB6834">
      <w:pPr>
        <w:jc w:val="both"/>
        <w:rPr>
          <w:rFonts w:ascii="Times New Roman" w:hAnsi="Times New Roman" w:cs="Times New Roman"/>
          <w:sz w:val="22"/>
          <w:szCs w:val="22"/>
        </w:rPr>
      </w:pPr>
    </w:p>
    <w:p w14:paraId="790811A8" w14:textId="51399B6F" w:rsidR="00CB6834" w:rsidRPr="00185B6C" w:rsidRDefault="00CB6834" w:rsidP="00CB6834">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T. Brown et al., “Language Models are Few-Shot Learners,” in </w:t>
      </w:r>
      <w:r w:rsidRPr="00185B6C">
        <w:rPr>
          <w:rFonts w:ascii="Times New Roman" w:hAnsi="Times New Roman" w:cs="Times New Roman"/>
          <w:i/>
          <w:iCs/>
          <w:sz w:val="22"/>
          <w:szCs w:val="22"/>
        </w:rPr>
        <w:t xml:space="preserve">Proc. </w:t>
      </w:r>
      <w:proofErr w:type="spellStart"/>
      <w:r w:rsidRPr="00185B6C">
        <w:rPr>
          <w:rFonts w:ascii="Times New Roman" w:hAnsi="Times New Roman" w:cs="Times New Roman"/>
          <w:i/>
          <w:iCs/>
          <w:sz w:val="22"/>
          <w:szCs w:val="22"/>
        </w:rPr>
        <w:t>NeurIPS</w:t>
      </w:r>
      <w:proofErr w:type="spellEnd"/>
      <w:r w:rsidRPr="00185B6C">
        <w:rPr>
          <w:rFonts w:ascii="Times New Roman" w:hAnsi="Times New Roman" w:cs="Times New Roman"/>
          <w:sz w:val="22"/>
          <w:szCs w:val="22"/>
        </w:rPr>
        <w:t>, 2020.</w:t>
      </w:r>
    </w:p>
    <w:p w14:paraId="1627EECC" w14:textId="77777777" w:rsidR="00CB6834" w:rsidRPr="00CB6834" w:rsidRDefault="00CB6834" w:rsidP="00CB6834">
      <w:pPr>
        <w:jc w:val="both"/>
        <w:rPr>
          <w:rFonts w:ascii="Times New Roman" w:hAnsi="Times New Roman" w:cs="Times New Roman"/>
          <w:sz w:val="22"/>
          <w:szCs w:val="22"/>
        </w:rPr>
      </w:pPr>
    </w:p>
    <w:p w14:paraId="459A4375" w14:textId="211BD5C9"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H. K. Lee et al., “Deep Learning in Drug Discovery,” </w:t>
      </w:r>
      <w:r w:rsidRPr="00185B6C">
        <w:rPr>
          <w:rFonts w:ascii="Times New Roman" w:hAnsi="Times New Roman" w:cs="Times New Roman"/>
          <w:i/>
          <w:iCs/>
          <w:sz w:val="22"/>
          <w:szCs w:val="22"/>
        </w:rPr>
        <w:t>Drug Discovery Today</w:t>
      </w:r>
      <w:r w:rsidRPr="00185B6C">
        <w:rPr>
          <w:rFonts w:ascii="Times New Roman" w:hAnsi="Times New Roman" w:cs="Times New Roman"/>
          <w:sz w:val="22"/>
          <w:szCs w:val="22"/>
        </w:rPr>
        <w:t>, vol. 25, no. 8, pp. 1313–1320, 2020.</w:t>
      </w:r>
    </w:p>
    <w:p w14:paraId="5A6B012B" w14:textId="77777777" w:rsidR="00CB6834" w:rsidRPr="00CB6834" w:rsidRDefault="00CB6834" w:rsidP="00CB6834">
      <w:pPr>
        <w:jc w:val="both"/>
        <w:rPr>
          <w:rFonts w:ascii="Times New Roman" w:hAnsi="Times New Roman" w:cs="Times New Roman"/>
          <w:sz w:val="22"/>
          <w:szCs w:val="22"/>
        </w:rPr>
      </w:pPr>
    </w:p>
    <w:p w14:paraId="4A1AA8DC" w14:textId="573F5617"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N. Stokes et al., “Generative AI for Molecular Design and Drug Discovery,” </w:t>
      </w:r>
      <w:r w:rsidRPr="00185B6C">
        <w:rPr>
          <w:rFonts w:ascii="Times New Roman" w:hAnsi="Times New Roman" w:cs="Times New Roman"/>
          <w:i/>
          <w:iCs/>
          <w:sz w:val="22"/>
          <w:szCs w:val="22"/>
        </w:rPr>
        <w:t>Nature Reviews Drug Discovery</w:t>
      </w:r>
      <w:r w:rsidRPr="00185B6C">
        <w:rPr>
          <w:rFonts w:ascii="Times New Roman" w:hAnsi="Times New Roman" w:cs="Times New Roman"/>
          <w:sz w:val="22"/>
          <w:szCs w:val="22"/>
        </w:rPr>
        <w:t>, vol. 20, pp. 101–120, 2021.</w:t>
      </w:r>
    </w:p>
    <w:p w14:paraId="0D4B0E4A" w14:textId="77777777" w:rsidR="00CB6834" w:rsidRPr="00CB6834" w:rsidRDefault="00CB6834" w:rsidP="00CB6834">
      <w:pPr>
        <w:jc w:val="both"/>
        <w:rPr>
          <w:rFonts w:ascii="Times New Roman" w:hAnsi="Times New Roman" w:cs="Times New Roman"/>
          <w:sz w:val="22"/>
          <w:szCs w:val="22"/>
        </w:rPr>
      </w:pPr>
    </w:p>
    <w:p w14:paraId="7BCCD317" w14:textId="1615D0E0"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J. Jumper et al., “Highly Accurate Protein Structure Prediction with AlphaFold,” </w:t>
      </w:r>
      <w:r w:rsidRPr="00185B6C">
        <w:rPr>
          <w:rFonts w:ascii="Times New Roman" w:hAnsi="Times New Roman" w:cs="Times New Roman"/>
          <w:i/>
          <w:iCs/>
          <w:sz w:val="22"/>
          <w:szCs w:val="22"/>
        </w:rPr>
        <w:t>Nature</w:t>
      </w:r>
      <w:r w:rsidRPr="00185B6C">
        <w:rPr>
          <w:rFonts w:ascii="Times New Roman" w:hAnsi="Times New Roman" w:cs="Times New Roman"/>
          <w:sz w:val="22"/>
          <w:szCs w:val="22"/>
        </w:rPr>
        <w:t>, vol. 596, pp. 583–589, 2021.</w:t>
      </w:r>
    </w:p>
    <w:p w14:paraId="470A4F11" w14:textId="77777777" w:rsidR="00CB6834" w:rsidRPr="00CB6834" w:rsidRDefault="00CB6834" w:rsidP="00CB6834">
      <w:pPr>
        <w:jc w:val="both"/>
        <w:rPr>
          <w:rFonts w:ascii="Times New Roman" w:hAnsi="Times New Roman" w:cs="Times New Roman"/>
          <w:sz w:val="22"/>
          <w:szCs w:val="22"/>
        </w:rPr>
      </w:pPr>
    </w:p>
    <w:p w14:paraId="7BCB0B05" w14:textId="70E74E3E"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S. Rombach et al., “High-Resolution Image Synthesis with Latent Diffusion Models,” in </w:t>
      </w:r>
      <w:r w:rsidRPr="00185B6C">
        <w:rPr>
          <w:rFonts w:ascii="Times New Roman" w:hAnsi="Times New Roman" w:cs="Times New Roman"/>
          <w:i/>
          <w:iCs/>
          <w:sz w:val="22"/>
          <w:szCs w:val="22"/>
        </w:rPr>
        <w:t>Proc. CVPR</w:t>
      </w:r>
      <w:r w:rsidRPr="00185B6C">
        <w:rPr>
          <w:rFonts w:ascii="Times New Roman" w:hAnsi="Times New Roman" w:cs="Times New Roman"/>
          <w:sz w:val="22"/>
          <w:szCs w:val="22"/>
        </w:rPr>
        <w:t>, 2022.</w:t>
      </w:r>
    </w:p>
    <w:p w14:paraId="0D31A042" w14:textId="77777777" w:rsidR="00CB6834" w:rsidRPr="00CB6834" w:rsidRDefault="00CB6834" w:rsidP="00CB6834">
      <w:pPr>
        <w:jc w:val="both"/>
        <w:rPr>
          <w:rFonts w:ascii="Times New Roman" w:hAnsi="Times New Roman" w:cs="Times New Roman"/>
          <w:sz w:val="22"/>
          <w:szCs w:val="22"/>
        </w:rPr>
      </w:pPr>
    </w:p>
    <w:p w14:paraId="3772ADC9" w14:textId="544214C9"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R. Miotto et al., “Deep Learning for Healthcare: Review, Opportunities and Challenges,” </w:t>
      </w:r>
      <w:r w:rsidRPr="00185B6C">
        <w:rPr>
          <w:rFonts w:ascii="Times New Roman" w:hAnsi="Times New Roman" w:cs="Times New Roman"/>
          <w:i/>
          <w:iCs/>
          <w:sz w:val="22"/>
          <w:szCs w:val="22"/>
        </w:rPr>
        <w:t>Briefings in Bioinformatics</w:t>
      </w:r>
      <w:r w:rsidRPr="00185B6C">
        <w:rPr>
          <w:rFonts w:ascii="Times New Roman" w:hAnsi="Times New Roman" w:cs="Times New Roman"/>
          <w:sz w:val="22"/>
          <w:szCs w:val="22"/>
        </w:rPr>
        <w:t>, vol. 19, no. 6, pp. 1236–1246, 2018.</w:t>
      </w:r>
    </w:p>
    <w:p w14:paraId="2C636859" w14:textId="77777777" w:rsidR="00CB6834" w:rsidRPr="00CB6834" w:rsidRDefault="00CB6834" w:rsidP="00CB6834">
      <w:pPr>
        <w:jc w:val="both"/>
        <w:rPr>
          <w:rFonts w:ascii="Times New Roman" w:hAnsi="Times New Roman" w:cs="Times New Roman"/>
          <w:sz w:val="22"/>
          <w:szCs w:val="22"/>
        </w:rPr>
      </w:pPr>
    </w:p>
    <w:p w14:paraId="4581D24F" w14:textId="33496988"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C. Shorten and T. </w:t>
      </w:r>
      <w:proofErr w:type="spellStart"/>
      <w:r w:rsidRPr="00185B6C">
        <w:rPr>
          <w:rFonts w:ascii="Times New Roman" w:hAnsi="Times New Roman" w:cs="Times New Roman"/>
          <w:sz w:val="22"/>
          <w:szCs w:val="22"/>
        </w:rPr>
        <w:t>Khoshgoftaar</w:t>
      </w:r>
      <w:proofErr w:type="spellEnd"/>
      <w:r w:rsidRPr="00185B6C">
        <w:rPr>
          <w:rFonts w:ascii="Times New Roman" w:hAnsi="Times New Roman" w:cs="Times New Roman"/>
          <w:sz w:val="22"/>
          <w:szCs w:val="22"/>
        </w:rPr>
        <w:t xml:space="preserve">, “A Survey on Image Data Augmentation for Deep Learning,” </w:t>
      </w:r>
      <w:r w:rsidRPr="00185B6C">
        <w:rPr>
          <w:rFonts w:ascii="Times New Roman" w:hAnsi="Times New Roman" w:cs="Times New Roman"/>
          <w:i/>
          <w:iCs/>
          <w:sz w:val="22"/>
          <w:szCs w:val="22"/>
        </w:rPr>
        <w:t>Journal of Big Data</w:t>
      </w:r>
      <w:r w:rsidRPr="00185B6C">
        <w:rPr>
          <w:rFonts w:ascii="Times New Roman" w:hAnsi="Times New Roman" w:cs="Times New Roman"/>
          <w:sz w:val="22"/>
          <w:szCs w:val="22"/>
        </w:rPr>
        <w:t>, vol. 6, no. 60, 2019.</w:t>
      </w:r>
    </w:p>
    <w:p w14:paraId="2A581B01" w14:textId="77777777" w:rsidR="00CB6834" w:rsidRPr="00CB6834" w:rsidRDefault="00CB6834" w:rsidP="00CB6834">
      <w:pPr>
        <w:jc w:val="both"/>
        <w:rPr>
          <w:rFonts w:ascii="Times New Roman" w:hAnsi="Times New Roman" w:cs="Times New Roman"/>
          <w:sz w:val="22"/>
          <w:szCs w:val="22"/>
        </w:rPr>
      </w:pPr>
    </w:p>
    <w:p w14:paraId="206DF5D2" w14:textId="08C42C09"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B. McMahan et al., “Communication-Efficient Learning of Deep Networks from Decentralized Data,” in </w:t>
      </w:r>
      <w:r w:rsidRPr="00185B6C">
        <w:rPr>
          <w:rFonts w:ascii="Times New Roman" w:hAnsi="Times New Roman" w:cs="Times New Roman"/>
          <w:i/>
          <w:iCs/>
          <w:sz w:val="22"/>
          <w:szCs w:val="22"/>
        </w:rPr>
        <w:t>Proc. Artificial Intelligence and Statistics (AISTATS)</w:t>
      </w:r>
      <w:r w:rsidRPr="00185B6C">
        <w:rPr>
          <w:rFonts w:ascii="Times New Roman" w:hAnsi="Times New Roman" w:cs="Times New Roman"/>
          <w:sz w:val="22"/>
          <w:szCs w:val="22"/>
        </w:rPr>
        <w:t>, 2017.</w:t>
      </w:r>
    </w:p>
    <w:p w14:paraId="4D2ECC75" w14:textId="77777777" w:rsidR="00CB6834" w:rsidRPr="00CB6834" w:rsidRDefault="00CB6834" w:rsidP="00CB6834">
      <w:pPr>
        <w:jc w:val="both"/>
        <w:rPr>
          <w:rFonts w:ascii="Times New Roman" w:hAnsi="Times New Roman" w:cs="Times New Roman"/>
          <w:sz w:val="22"/>
          <w:szCs w:val="22"/>
        </w:rPr>
      </w:pPr>
    </w:p>
    <w:p w14:paraId="357C39F4" w14:textId="13547BC6"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C. Dwork, “Differential Privacy,” in </w:t>
      </w:r>
      <w:r w:rsidRPr="00185B6C">
        <w:rPr>
          <w:rFonts w:ascii="Times New Roman" w:hAnsi="Times New Roman" w:cs="Times New Roman"/>
          <w:i/>
          <w:iCs/>
          <w:sz w:val="22"/>
          <w:szCs w:val="22"/>
        </w:rPr>
        <w:t>Proc. International Colloquium on Automata, Languages and Programming</w:t>
      </w:r>
      <w:r w:rsidRPr="00185B6C">
        <w:rPr>
          <w:rFonts w:ascii="Times New Roman" w:hAnsi="Times New Roman" w:cs="Times New Roman"/>
          <w:sz w:val="22"/>
          <w:szCs w:val="22"/>
        </w:rPr>
        <w:t>, 2006.</w:t>
      </w:r>
    </w:p>
    <w:p w14:paraId="54656C7B" w14:textId="77777777" w:rsidR="00CB6834" w:rsidRPr="00CB6834" w:rsidRDefault="00CB6834" w:rsidP="00CB6834">
      <w:pPr>
        <w:jc w:val="both"/>
        <w:rPr>
          <w:rFonts w:ascii="Times New Roman" w:hAnsi="Times New Roman" w:cs="Times New Roman"/>
          <w:sz w:val="22"/>
          <w:szCs w:val="22"/>
        </w:rPr>
      </w:pPr>
    </w:p>
    <w:p w14:paraId="79C8161C" w14:textId="6403BC59"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J. Konečný et al., “Federated Learning: Strategies for Improving Communication Efficiency,” </w:t>
      </w:r>
      <w:proofErr w:type="spellStart"/>
      <w:r w:rsidRPr="00185B6C">
        <w:rPr>
          <w:rFonts w:ascii="Times New Roman" w:hAnsi="Times New Roman" w:cs="Times New Roman"/>
          <w:i/>
          <w:iCs/>
          <w:sz w:val="22"/>
          <w:szCs w:val="22"/>
        </w:rPr>
        <w:t>arXiv</w:t>
      </w:r>
      <w:proofErr w:type="spellEnd"/>
      <w:r w:rsidRPr="00185B6C">
        <w:rPr>
          <w:rFonts w:ascii="Times New Roman" w:hAnsi="Times New Roman" w:cs="Times New Roman"/>
          <w:i/>
          <w:iCs/>
          <w:sz w:val="22"/>
          <w:szCs w:val="22"/>
        </w:rPr>
        <w:t xml:space="preserve"> preprint arXiv:1610.05492</w:t>
      </w:r>
      <w:r w:rsidRPr="00185B6C">
        <w:rPr>
          <w:rFonts w:ascii="Times New Roman" w:hAnsi="Times New Roman" w:cs="Times New Roman"/>
          <w:sz w:val="22"/>
          <w:szCs w:val="22"/>
        </w:rPr>
        <w:t>, 2016.</w:t>
      </w:r>
    </w:p>
    <w:p w14:paraId="55043DE6" w14:textId="77777777" w:rsidR="00CB6834" w:rsidRPr="00CB6834" w:rsidRDefault="00CB6834" w:rsidP="00CB6834">
      <w:pPr>
        <w:jc w:val="both"/>
        <w:rPr>
          <w:rFonts w:ascii="Times New Roman" w:hAnsi="Times New Roman" w:cs="Times New Roman"/>
          <w:sz w:val="22"/>
          <w:szCs w:val="22"/>
        </w:rPr>
      </w:pPr>
    </w:p>
    <w:p w14:paraId="0C053386" w14:textId="30892142"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 Z. Obermeyer and E. Emanuel, “Predicting the Future — Big Data, Machine Learning, and Clinical Medicine,” </w:t>
      </w:r>
      <w:r w:rsidRPr="00185B6C">
        <w:rPr>
          <w:rFonts w:ascii="Times New Roman" w:hAnsi="Times New Roman" w:cs="Times New Roman"/>
          <w:i/>
          <w:iCs/>
          <w:sz w:val="22"/>
          <w:szCs w:val="22"/>
        </w:rPr>
        <w:t>New England Journal of Medicine</w:t>
      </w:r>
      <w:r w:rsidRPr="00185B6C">
        <w:rPr>
          <w:rFonts w:ascii="Times New Roman" w:hAnsi="Times New Roman" w:cs="Times New Roman"/>
          <w:sz w:val="22"/>
          <w:szCs w:val="22"/>
        </w:rPr>
        <w:t>, vol. 375, pp. 1216–1219, 2016.</w:t>
      </w:r>
    </w:p>
    <w:p w14:paraId="67BA6ED3" w14:textId="77777777" w:rsidR="00CB6834" w:rsidRPr="00CB6834" w:rsidRDefault="00CB6834" w:rsidP="00CB6834">
      <w:pPr>
        <w:jc w:val="both"/>
        <w:rPr>
          <w:rFonts w:ascii="Times New Roman" w:hAnsi="Times New Roman" w:cs="Times New Roman"/>
          <w:sz w:val="22"/>
          <w:szCs w:val="22"/>
        </w:rPr>
      </w:pPr>
    </w:p>
    <w:p w14:paraId="3E965F31" w14:textId="2C91073A"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lastRenderedPageBreak/>
        <w:t xml:space="preserve"> R. Miotto et al., “Artificial Intelligence in Healthcare: Past, Present and Future,” </w:t>
      </w:r>
      <w:r w:rsidRPr="00185B6C">
        <w:rPr>
          <w:rFonts w:ascii="Times New Roman" w:hAnsi="Times New Roman" w:cs="Times New Roman"/>
          <w:i/>
          <w:iCs/>
          <w:sz w:val="22"/>
          <w:szCs w:val="22"/>
        </w:rPr>
        <w:t>Journal of Biomedical Informatics</w:t>
      </w:r>
      <w:r w:rsidRPr="00185B6C">
        <w:rPr>
          <w:rFonts w:ascii="Times New Roman" w:hAnsi="Times New Roman" w:cs="Times New Roman"/>
          <w:sz w:val="22"/>
          <w:szCs w:val="22"/>
        </w:rPr>
        <w:t>, vol. 90, 2019.</w:t>
      </w:r>
    </w:p>
    <w:p w14:paraId="3D318C7A" w14:textId="77777777" w:rsidR="00CB6834" w:rsidRPr="00CB6834" w:rsidRDefault="00CB6834" w:rsidP="00CB6834">
      <w:pPr>
        <w:jc w:val="both"/>
        <w:rPr>
          <w:rFonts w:ascii="Times New Roman" w:hAnsi="Times New Roman" w:cs="Times New Roman"/>
          <w:sz w:val="22"/>
          <w:szCs w:val="22"/>
        </w:rPr>
      </w:pPr>
    </w:p>
    <w:p w14:paraId="29CEA787" w14:textId="43194FE6" w:rsidR="00CB6834" w:rsidRPr="00185B6C" w:rsidRDefault="00CB6834" w:rsidP="00185B6C">
      <w:pPr>
        <w:pStyle w:val="ListParagraph"/>
        <w:numPr>
          <w:ilvl w:val="0"/>
          <w:numId w:val="5"/>
        </w:numPr>
        <w:jc w:val="both"/>
        <w:rPr>
          <w:rFonts w:ascii="Times New Roman" w:hAnsi="Times New Roman" w:cs="Times New Roman"/>
          <w:sz w:val="22"/>
          <w:szCs w:val="22"/>
        </w:rPr>
      </w:pPr>
      <w:r w:rsidRPr="00185B6C">
        <w:rPr>
          <w:rFonts w:ascii="Times New Roman" w:hAnsi="Times New Roman" w:cs="Times New Roman"/>
          <w:sz w:val="22"/>
          <w:szCs w:val="22"/>
        </w:rPr>
        <w:t xml:space="preserve">P. </w:t>
      </w:r>
      <w:proofErr w:type="spellStart"/>
      <w:r w:rsidRPr="00185B6C">
        <w:rPr>
          <w:rFonts w:ascii="Times New Roman" w:hAnsi="Times New Roman" w:cs="Times New Roman"/>
          <w:sz w:val="22"/>
          <w:szCs w:val="22"/>
        </w:rPr>
        <w:t>Rajpurkar</w:t>
      </w:r>
      <w:proofErr w:type="spellEnd"/>
      <w:r w:rsidRPr="00185B6C">
        <w:rPr>
          <w:rFonts w:ascii="Times New Roman" w:hAnsi="Times New Roman" w:cs="Times New Roman"/>
          <w:sz w:val="22"/>
          <w:szCs w:val="22"/>
        </w:rPr>
        <w:t xml:space="preserve"> et al., “AI in Health and Medicine,” </w:t>
      </w:r>
      <w:r w:rsidRPr="00185B6C">
        <w:rPr>
          <w:rFonts w:ascii="Times New Roman" w:hAnsi="Times New Roman" w:cs="Times New Roman"/>
          <w:i/>
          <w:iCs/>
          <w:sz w:val="22"/>
          <w:szCs w:val="22"/>
        </w:rPr>
        <w:t>Nature Medicine</w:t>
      </w:r>
      <w:r w:rsidRPr="00185B6C">
        <w:rPr>
          <w:rFonts w:ascii="Times New Roman" w:hAnsi="Times New Roman" w:cs="Times New Roman"/>
          <w:sz w:val="22"/>
          <w:szCs w:val="22"/>
        </w:rPr>
        <w:t>, vol. 28, pp. 31–38, 2022.</w:t>
      </w:r>
    </w:p>
    <w:p w14:paraId="77FDBFE1" w14:textId="76D3E2E5" w:rsidR="00CB6834" w:rsidRPr="00CB6834" w:rsidRDefault="00CB6834" w:rsidP="00CB6834">
      <w:pPr>
        <w:jc w:val="both"/>
        <w:rPr>
          <w:rFonts w:ascii="Times New Roman" w:hAnsi="Times New Roman" w:cs="Times New Roman"/>
          <w:sz w:val="22"/>
          <w:szCs w:val="22"/>
        </w:rPr>
      </w:pPr>
    </w:p>
    <w:p w14:paraId="5CB712C6" w14:textId="533987E0" w:rsidR="00CB6834" w:rsidRPr="00CB6834" w:rsidRDefault="00CB6834" w:rsidP="00CB6834">
      <w:pPr>
        <w:jc w:val="both"/>
        <w:rPr>
          <w:rFonts w:ascii="Times New Roman" w:hAnsi="Times New Roman" w:cs="Times New Roman"/>
          <w:sz w:val="22"/>
          <w:szCs w:val="22"/>
        </w:rPr>
      </w:pPr>
    </w:p>
    <w:p w14:paraId="7B182D86" w14:textId="77777777" w:rsidR="00CB6834" w:rsidRPr="00185B6C" w:rsidRDefault="00CB6834" w:rsidP="00C67AC3">
      <w:pPr>
        <w:jc w:val="both"/>
        <w:rPr>
          <w:rFonts w:ascii="Times New Roman" w:hAnsi="Times New Roman" w:cs="Times New Roman"/>
          <w:sz w:val="22"/>
          <w:szCs w:val="22"/>
        </w:rPr>
      </w:pPr>
    </w:p>
    <w:p w14:paraId="12F3D7FD" w14:textId="3575081B" w:rsidR="00C67AC3" w:rsidRPr="00185B6C" w:rsidRDefault="00C67AC3" w:rsidP="00C67AC3">
      <w:pPr>
        <w:jc w:val="both"/>
        <w:rPr>
          <w:rFonts w:ascii="Times New Roman" w:hAnsi="Times New Roman" w:cs="Times New Roman"/>
          <w:sz w:val="22"/>
          <w:szCs w:val="22"/>
        </w:rPr>
      </w:pPr>
    </w:p>
    <w:p w14:paraId="52237466" w14:textId="77777777" w:rsidR="00C67AC3" w:rsidRPr="00185B6C" w:rsidRDefault="00C67AC3" w:rsidP="00500D4B">
      <w:pPr>
        <w:jc w:val="both"/>
        <w:rPr>
          <w:rFonts w:ascii="Times New Roman" w:hAnsi="Times New Roman" w:cs="Times New Roman"/>
          <w:sz w:val="22"/>
          <w:szCs w:val="22"/>
        </w:rPr>
      </w:pPr>
    </w:p>
    <w:p w14:paraId="0DBA0213" w14:textId="77777777" w:rsidR="00C67AC3" w:rsidRPr="00185B6C" w:rsidRDefault="00C67AC3" w:rsidP="00500D4B">
      <w:pPr>
        <w:jc w:val="both"/>
        <w:rPr>
          <w:rFonts w:ascii="Times New Roman" w:hAnsi="Times New Roman" w:cs="Times New Roman"/>
          <w:sz w:val="22"/>
          <w:szCs w:val="22"/>
        </w:rPr>
      </w:pPr>
    </w:p>
    <w:p w14:paraId="59DD6894" w14:textId="77777777" w:rsidR="00C67AC3" w:rsidRPr="00185B6C" w:rsidRDefault="00C67AC3" w:rsidP="00500D4B">
      <w:pPr>
        <w:jc w:val="both"/>
        <w:rPr>
          <w:rFonts w:ascii="Times New Roman" w:hAnsi="Times New Roman" w:cs="Times New Roman"/>
          <w:sz w:val="22"/>
          <w:szCs w:val="22"/>
        </w:rPr>
      </w:pPr>
    </w:p>
    <w:p w14:paraId="6F2DEB1F" w14:textId="77777777" w:rsidR="00500D4B" w:rsidRPr="00185B6C" w:rsidRDefault="00500D4B" w:rsidP="00500D4B">
      <w:pPr>
        <w:rPr>
          <w:rFonts w:ascii="Times New Roman" w:hAnsi="Times New Roman" w:cs="Times New Roman"/>
          <w:sz w:val="22"/>
          <w:szCs w:val="22"/>
        </w:rPr>
      </w:pPr>
    </w:p>
    <w:sectPr w:rsidR="00500D4B" w:rsidRPr="00185B6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336B" w14:textId="77777777" w:rsidR="0069226C" w:rsidRDefault="0069226C" w:rsidP="000218BD">
      <w:pPr>
        <w:spacing w:after="0" w:line="240" w:lineRule="auto"/>
      </w:pPr>
      <w:r>
        <w:separator/>
      </w:r>
    </w:p>
  </w:endnote>
  <w:endnote w:type="continuationSeparator" w:id="0">
    <w:p w14:paraId="0A7625EB" w14:textId="77777777" w:rsidR="0069226C" w:rsidRDefault="0069226C" w:rsidP="00021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A2A1" w14:textId="77777777" w:rsidR="0069226C" w:rsidRDefault="0069226C" w:rsidP="000218BD">
      <w:pPr>
        <w:spacing w:after="0" w:line="240" w:lineRule="auto"/>
      </w:pPr>
      <w:r>
        <w:separator/>
      </w:r>
    </w:p>
  </w:footnote>
  <w:footnote w:type="continuationSeparator" w:id="0">
    <w:p w14:paraId="613BC96A" w14:textId="77777777" w:rsidR="0069226C" w:rsidRDefault="0069226C" w:rsidP="00021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79ED" w14:textId="77777777" w:rsidR="000218BD" w:rsidRPr="000218BD" w:rsidRDefault="000218B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8C6"/>
    <w:multiLevelType w:val="hybridMultilevel"/>
    <w:tmpl w:val="EBFA59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974387"/>
    <w:multiLevelType w:val="hybridMultilevel"/>
    <w:tmpl w:val="03565300"/>
    <w:lvl w:ilvl="0" w:tplc="66F89BB6">
      <w:start w:val="1"/>
      <w:numFmt w:val="decimal"/>
      <w:lvlText w:val="%1."/>
      <w:lvlJc w:val="left"/>
      <w:pPr>
        <w:ind w:left="480" w:hanging="360"/>
      </w:pPr>
      <w:rPr>
        <w:rFonts w:ascii="Times New Roman" w:hAnsi="Times New Roman" w:cs="Times New Roman"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2" w15:restartNumberingAfterBreak="0">
    <w:nsid w:val="6A9F1494"/>
    <w:multiLevelType w:val="multilevel"/>
    <w:tmpl w:val="5802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325955"/>
    <w:multiLevelType w:val="multilevel"/>
    <w:tmpl w:val="B8D0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024632"/>
    <w:multiLevelType w:val="hybridMultilevel"/>
    <w:tmpl w:val="C0089B9E"/>
    <w:lvl w:ilvl="0" w:tplc="A392931A">
      <w:start w:val="1"/>
      <w:numFmt w:val="decimal"/>
      <w:lvlText w:val="%1."/>
      <w:lvlJc w:val="left"/>
      <w:pPr>
        <w:ind w:left="816" w:hanging="456"/>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39131559">
    <w:abstractNumId w:val="3"/>
  </w:num>
  <w:num w:numId="2" w16cid:durableId="741635131">
    <w:abstractNumId w:val="2"/>
  </w:num>
  <w:num w:numId="3" w16cid:durableId="1615090090">
    <w:abstractNumId w:val="1"/>
  </w:num>
  <w:num w:numId="4" w16cid:durableId="506678890">
    <w:abstractNumId w:val="0"/>
  </w:num>
  <w:num w:numId="5" w16cid:durableId="1328678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BD"/>
    <w:rsid w:val="00010FBB"/>
    <w:rsid w:val="000218BD"/>
    <w:rsid w:val="000C435B"/>
    <w:rsid w:val="00155341"/>
    <w:rsid w:val="00185B6C"/>
    <w:rsid w:val="001C762B"/>
    <w:rsid w:val="0028732A"/>
    <w:rsid w:val="00297D73"/>
    <w:rsid w:val="00500D4B"/>
    <w:rsid w:val="005019CC"/>
    <w:rsid w:val="00593327"/>
    <w:rsid w:val="005C0C63"/>
    <w:rsid w:val="006159CA"/>
    <w:rsid w:val="00663F7D"/>
    <w:rsid w:val="006673B0"/>
    <w:rsid w:val="006819A8"/>
    <w:rsid w:val="0069226C"/>
    <w:rsid w:val="006A4CD5"/>
    <w:rsid w:val="00721DC6"/>
    <w:rsid w:val="00730156"/>
    <w:rsid w:val="007B1666"/>
    <w:rsid w:val="00890209"/>
    <w:rsid w:val="00AB40C7"/>
    <w:rsid w:val="00BD2A29"/>
    <w:rsid w:val="00BE566B"/>
    <w:rsid w:val="00C37FCC"/>
    <w:rsid w:val="00C55FE7"/>
    <w:rsid w:val="00C67AC3"/>
    <w:rsid w:val="00CB6834"/>
    <w:rsid w:val="00CD761C"/>
    <w:rsid w:val="00DA722B"/>
    <w:rsid w:val="00E81899"/>
    <w:rsid w:val="00F042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B385"/>
  <w15:chartTrackingRefBased/>
  <w15:docId w15:val="{FE451444-29C6-4C71-883E-7A078FC1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BD"/>
  </w:style>
  <w:style w:type="paragraph" w:styleId="Heading1">
    <w:name w:val="heading 1"/>
    <w:basedOn w:val="Normal"/>
    <w:next w:val="Normal"/>
    <w:link w:val="Heading1Char"/>
    <w:uiPriority w:val="9"/>
    <w:qFormat/>
    <w:rsid w:val="00021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8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8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8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8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8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8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8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1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8BD"/>
    <w:rPr>
      <w:rFonts w:eastAsiaTheme="majorEastAsia" w:cstheme="majorBidi"/>
      <w:color w:val="272727" w:themeColor="text1" w:themeTint="D8"/>
    </w:rPr>
  </w:style>
  <w:style w:type="paragraph" w:styleId="Title">
    <w:name w:val="Title"/>
    <w:basedOn w:val="Normal"/>
    <w:next w:val="Normal"/>
    <w:link w:val="TitleChar"/>
    <w:uiPriority w:val="10"/>
    <w:qFormat/>
    <w:rsid w:val="00021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8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8BD"/>
    <w:pPr>
      <w:spacing w:before="160"/>
      <w:jc w:val="center"/>
    </w:pPr>
    <w:rPr>
      <w:i/>
      <w:iCs/>
      <w:color w:val="404040" w:themeColor="text1" w:themeTint="BF"/>
    </w:rPr>
  </w:style>
  <w:style w:type="character" w:customStyle="1" w:styleId="QuoteChar">
    <w:name w:val="Quote Char"/>
    <w:basedOn w:val="DefaultParagraphFont"/>
    <w:link w:val="Quote"/>
    <w:uiPriority w:val="29"/>
    <w:rsid w:val="000218BD"/>
    <w:rPr>
      <w:i/>
      <w:iCs/>
      <w:color w:val="404040" w:themeColor="text1" w:themeTint="BF"/>
    </w:rPr>
  </w:style>
  <w:style w:type="paragraph" w:styleId="ListParagraph">
    <w:name w:val="List Paragraph"/>
    <w:basedOn w:val="Normal"/>
    <w:uiPriority w:val="34"/>
    <w:qFormat/>
    <w:rsid w:val="000218BD"/>
    <w:pPr>
      <w:ind w:left="720"/>
      <w:contextualSpacing/>
    </w:pPr>
  </w:style>
  <w:style w:type="character" w:styleId="IntenseEmphasis">
    <w:name w:val="Intense Emphasis"/>
    <w:basedOn w:val="DefaultParagraphFont"/>
    <w:uiPriority w:val="21"/>
    <w:qFormat/>
    <w:rsid w:val="000218BD"/>
    <w:rPr>
      <w:i/>
      <w:iCs/>
      <w:color w:val="0F4761" w:themeColor="accent1" w:themeShade="BF"/>
    </w:rPr>
  </w:style>
  <w:style w:type="paragraph" w:styleId="IntenseQuote">
    <w:name w:val="Intense Quote"/>
    <w:basedOn w:val="Normal"/>
    <w:next w:val="Normal"/>
    <w:link w:val="IntenseQuoteChar"/>
    <w:uiPriority w:val="30"/>
    <w:qFormat/>
    <w:rsid w:val="00021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8BD"/>
    <w:rPr>
      <w:i/>
      <w:iCs/>
      <w:color w:val="0F4761" w:themeColor="accent1" w:themeShade="BF"/>
    </w:rPr>
  </w:style>
  <w:style w:type="character" w:styleId="IntenseReference">
    <w:name w:val="Intense Reference"/>
    <w:basedOn w:val="DefaultParagraphFont"/>
    <w:uiPriority w:val="32"/>
    <w:qFormat/>
    <w:rsid w:val="000218BD"/>
    <w:rPr>
      <w:b/>
      <w:bCs/>
      <w:smallCaps/>
      <w:color w:val="0F4761" w:themeColor="accent1" w:themeShade="BF"/>
      <w:spacing w:val="5"/>
    </w:rPr>
  </w:style>
  <w:style w:type="character" w:styleId="Hyperlink">
    <w:name w:val="Hyperlink"/>
    <w:basedOn w:val="DefaultParagraphFont"/>
    <w:uiPriority w:val="99"/>
    <w:unhideWhenUsed/>
    <w:rsid w:val="000218BD"/>
    <w:rPr>
      <w:color w:val="467886" w:themeColor="hyperlink"/>
      <w:u w:val="single"/>
    </w:rPr>
  </w:style>
  <w:style w:type="paragraph" w:styleId="Header">
    <w:name w:val="header"/>
    <w:basedOn w:val="Normal"/>
    <w:link w:val="HeaderChar"/>
    <w:uiPriority w:val="99"/>
    <w:unhideWhenUsed/>
    <w:rsid w:val="00021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8BD"/>
  </w:style>
  <w:style w:type="paragraph" w:styleId="Footer">
    <w:name w:val="footer"/>
    <w:basedOn w:val="Normal"/>
    <w:link w:val="FooterChar"/>
    <w:uiPriority w:val="99"/>
    <w:unhideWhenUsed/>
    <w:rsid w:val="00021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8BD"/>
  </w:style>
  <w:style w:type="character" w:styleId="UnresolvedMention">
    <w:name w:val="Unresolved Mention"/>
    <w:basedOn w:val="DefaultParagraphFont"/>
    <w:uiPriority w:val="99"/>
    <w:semiHidden/>
    <w:unhideWhenUsed/>
    <w:rsid w:val="00C55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F5257-3F27-4BC2-9262-482B673A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Nivetha M</dc:creator>
  <cp:keywords/>
  <dc:description/>
  <cp:lastModifiedBy>Shibin S</cp:lastModifiedBy>
  <cp:revision>2</cp:revision>
  <dcterms:created xsi:type="dcterms:W3CDTF">2026-03-09T06:51:00Z</dcterms:created>
  <dcterms:modified xsi:type="dcterms:W3CDTF">2026-03-09T06:51:00Z</dcterms:modified>
</cp:coreProperties>
</file>