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AEB" w:rsidRPr="009B5519" w:rsidRDefault="008E1C51" w:rsidP="00E42491">
      <w:pPr>
        <w:pStyle w:val="Heading1"/>
        <w:spacing w:before="0"/>
        <w:jc w:val="center"/>
        <w:rPr>
          <w:rFonts w:asciiTheme="majorBidi" w:hAnsiTheme="majorBidi"/>
          <w:color w:val="auto"/>
          <w:sz w:val="32"/>
          <w:szCs w:val="32"/>
          <w:lang w:val="en-MY"/>
        </w:rPr>
      </w:pPr>
      <w:r w:rsidRPr="000C2A79">
        <w:rPr>
          <w:rFonts w:asciiTheme="majorBidi" w:hAnsiTheme="majorBidi"/>
          <w:color w:val="auto"/>
          <w:sz w:val="32"/>
          <w:szCs w:val="32"/>
          <w:lang w:val="en-MY"/>
        </w:rPr>
        <w:t xml:space="preserve">STRUCTURAL REPRICING OF GOLD AND </w:t>
      </w:r>
      <w:r w:rsidR="003F1946">
        <w:rPr>
          <w:rFonts w:asciiTheme="majorBidi" w:hAnsiTheme="majorBidi"/>
          <w:color w:val="auto"/>
          <w:sz w:val="32"/>
          <w:szCs w:val="32"/>
          <w:lang w:val="en-MY"/>
        </w:rPr>
        <w:t>NIṢĀB</w:t>
      </w:r>
      <w:r w:rsidRPr="000C2A79">
        <w:rPr>
          <w:rFonts w:asciiTheme="majorBidi" w:hAnsiTheme="majorBidi"/>
          <w:color w:val="auto"/>
          <w:sz w:val="32"/>
          <w:szCs w:val="32"/>
          <w:lang w:val="en-MY"/>
        </w:rPr>
        <w:t xml:space="preserve"> GOVERNANCE: WEALTH ZAKAT DETERMINATION IN FIAT-MONEY ECONOMIES, 2021–2025</w:t>
      </w:r>
    </w:p>
    <w:p w:rsidR="00AB4297" w:rsidRPr="009B5519" w:rsidRDefault="00AB4297" w:rsidP="00E42491">
      <w:pPr>
        <w:pStyle w:val="NoSpacing"/>
        <w:jc w:val="center"/>
        <w:rPr>
          <w:rFonts w:asciiTheme="majorBidi" w:hAnsiTheme="majorBidi" w:cstheme="majorBidi"/>
          <w:sz w:val="24"/>
          <w:szCs w:val="24"/>
          <w:lang w:val="en-MY"/>
        </w:rPr>
      </w:pPr>
      <w:bookmarkStart w:id="0" w:name="_GoBack"/>
      <w:bookmarkEnd w:id="0"/>
    </w:p>
    <w:p w:rsidR="00AB4297" w:rsidRPr="009B5519" w:rsidRDefault="00AB4297" w:rsidP="00E42491">
      <w:pPr>
        <w:pStyle w:val="NoSpacing"/>
        <w:jc w:val="center"/>
        <w:rPr>
          <w:rFonts w:asciiTheme="majorBidi" w:hAnsiTheme="majorBidi" w:cstheme="majorBidi"/>
          <w:sz w:val="20"/>
          <w:szCs w:val="20"/>
          <w:lang w:val="en-MY"/>
        </w:rPr>
      </w:pPr>
      <w:r w:rsidRPr="009B5519">
        <w:rPr>
          <w:rFonts w:asciiTheme="majorBidi" w:hAnsiTheme="majorBidi" w:cstheme="majorBidi"/>
          <w:sz w:val="20"/>
          <w:szCs w:val="20"/>
          <w:lang w:val="en-MY"/>
        </w:rPr>
        <w:t/>
      </w:r>
    </w:p>
    <w:p w:rsidR="00AB4297" w:rsidRPr="009B5519" w:rsidRDefault="00AB4297" w:rsidP="00E42491">
      <w:pPr>
        <w:pStyle w:val="NoSpacing"/>
        <w:jc w:val="center"/>
        <w:rPr>
          <w:rFonts w:asciiTheme="majorBidi" w:hAnsiTheme="majorBidi" w:cstheme="majorBidi"/>
          <w:sz w:val="20"/>
          <w:szCs w:val="20"/>
          <w:lang w:val="en-MY"/>
        </w:rPr>
      </w:pPr>
      <w:r w:rsidRPr="009B5519">
        <w:rPr>
          <w:rFonts w:asciiTheme="majorBidi" w:hAnsiTheme="majorBidi" w:cstheme="majorBidi"/>
          <w:sz w:val="20"/>
          <w:szCs w:val="20"/>
          <w:lang w:val="en-MY"/>
        </w:rPr>
        <w:t/>
      </w:r>
    </w:p>
    <w:p w:rsidR="00AB4297" w:rsidRPr="009B5519" w:rsidRDefault="00AB4297" w:rsidP="00E42491">
      <w:pPr>
        <w:jc w:val="both"/>
        <w:rPr>
          <w:rFonts w:asciiTheme="majorBidi" w:hAnsiTheme="majorBidi" w:cstheme="majorBidi"/>
          <w:szCs w:val="24"/>
          <w:lang w:val="en-MY"/>
        </w:rPr>
      </w:pPr>
    </w:p>
    <w:p w:rsidR="002A4AEB" w:rsidRPr="009B5519" w:rsidRDefault="00042CBD" w:rsidP="00E42491">
      <w:pPr>
        <w:pStyle w:val="Heading1"/>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ABSTRACT</w:t>
      </w:r>
    </w:p>
    <w:p w:rsidR="00D1124B" w:rsidRDefault="00D1124B" w:rsidP="00E42491">
      <w:pPr>
        <w:jc w:val="both"/>
        <w:rPr>
          <w:rFonts w:asciiTheme="majorBidi" w:hAnsiTheme="majorBidi" w:cstheme="majorBidi"/>
          <w:szCs w:val="24"/>
          <w:lang w:val="en-MY"/>
        </w:rPr>
      </w:pPr>
      <w:r w:rsidRPr="00D1124B">
        <w:rPr>
          <w:rFonts w:asciiTheme="majorBidi" w:hAnsiTheme="majorBidi" w:cstheme="majorBidi"/>
          <w:szCs w:val="24"/>
          <w:lang w:val="en-MY"/>
        </w:rPr>
        <w:t xml:space="preserve">Gold has </w:t>
      </w:r>
      <w:r w:rsidR="00325619">
        <w:rPr>
          <w:rFonts w:asciiTheme="majorBidi" w:hAnsiTheme="majorBidi" w:cstheme="majorBidi"/>
          <w:szCs w:val="24"/>
          <w:lang w:val="en-MY"/>
        </w:rPr>
        <w:t>always been</w:t>
      </w:r>
      <w:r w:rsidRPr="00D1124B">
        <w:rPr>
          <w:rFonts w:asciiTheme="majorBidi" w:hAnsiTheme="majorBidi" w:cstheme="majorBidi"/>
          <w:szCs w:val="24"/>
          <w:lang w:val="en-MY"/>
        </w:rPr>
        <w:t xml:space="preserve"> significant as a measure of wealth and monetary value in Islamic legal and economic thought. Today, in the era of fiat currency, the value of gold </w:t>
      </w:r>
      <w:r w:rsidR="00325619">
        <w:rPr>
          <w:rFonts w:asciiTheme="majorBidi" w:hAnsiTheme="majorBidi" w:cstheme="majorBidi"/>
          <w:szCs w:val="24"/>
          <w:lang w:val="en-MY"/>
        </w:rPr>
        <w:t xml:space="preserve">continues to shape the definition of wealth </w:t>
      </w:r>
      <w:r w:rsidRPr="00D1124B">
        <w:rPr>
          <w:rFonts w:asciiTheme="majorBidi" w:hAnsiTheme="majorBidi" w:cstheme="majorBidi"/>
          <w:szCs w:val="24"/>
          <w:lang w:val="en-MY"/>
        </w:rPr>
        <w:t xml:space="preserve">and financial obligations. The study in this article focuses on the structural repricing of gold from 2021 to 2025 to make observations about the determination of the wealth zakat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in the current fiat money system. It notes that the gold rush of this period should not be regarded as a regular cyclical movement. Rather, </w:t>
      </w:r>
      <w:r w:rsidR="00325619">
        <w:rPr>
          <w:rFonts w:asciiTheme="majorBidi" w:hAnsiTheme="majorBidi" w:cstheme="majorBidi"/>
          <w:szCs w:val="24"/>
          <w:lang w:val="en-MY"/>
        </w:rPr>
        <w:t>it is</w:t>
      </w:r>
      <w:r w:rsidRPr="00D1124B">
        <w:rPr>
          <w:rFonts w:asciiTheme="majorBidi" w:hAnsiTheme="majorBidi" w:cstheme="majorBidi"/>
          <w:szCs w:val="24"/>
          <w:lang w:val="en-MY"/>
        </w:rPr>
        <w:t xml:space="preserve"> an economic repricing, as </w:t>
      </w:r>
      <w:r w:rsidR="00325619" w:rsidRPr="00D1124B">
        <w:rPr>
          <w:rFonts w:asciiTheme="majorBidi" w:hAnsiTheme="majorBidi" w:cstheme="majorBidi"/>
          <w:szCs w:val="24"/>
          <w:lang w:val="en-MY"/>
        </w:rPr>
        <w:t xml:space="preserve">central banks </w:t>
      </w:r>
      <w:r w:rsidRPr="00D1124B">
        <w:rPr>
          <w:rFonts w:asciiTheme="majorBidi" w:hAnsiTheme="majorBidi" w:cstheme="majorBidi"/>
          <w:szCs w:val="24"/>
          <w:lang w:val="en-MY"/>
        </w:rPr>
        <w:t>diversified their holdings, geopolitical and inflationary risks took their toll, the interest-rate transition was nearing its end, there were de-</w:t>
      </w:r>
      <w:proofErr w:type="spellStart"/>
      <w:r w:rsidRPr="00D1124B">
        <w:rPr>
          <w:rFonts w:asciiTheme="majorBidi" w:hAnsiTheme="majorBidi" w:cstheme="majorBidi"/>
          <w:szCs w:val="24"/>
          <w:lang w:val="en-MY"/>
        </w:rPr>
        <w:t>dollarisation</w:t>
      </w:r>
      <w:proofErr w:type="spellEnd"/>
      <w:r w:rsidRPr="00D1124B">
        <w:rPr>
          <w:rFonts w:asciiTheme="majorBidi" w:hAnsiTheme="majorBidi" w:cstheme="majorBidi"/>
          <w:szCs w:val="24"/>
          <w:lang w:val="en-MY"/>
        </w:rPr>
        <w:t xml:space="preserve"> themes, and institutional gold buying as a store-of-value asset had surged. The results from the daily gold futures data for </w:t>
      </w:r>
      <w:r w:rsidR="00325619">
        <w:rPr>
          <w:rFonts w:asciiTheme="majorBidi" w:hAnsiTheme="majorBidi" w:cstheme="majorBidi"/>
          <w:szCs w:val="24"/>
          <w:lang w:val="en-MY"/>
        </w:rPr>
        <w:t xml:space="preserve">the </w:t>
      </w:r>
      <w:r w:rsidRPr="00D1124B">
        <w:rPr>
          <w:rFonts w:asciiTheme="majorBidi" w:hAnsiTheme="majorBidi" w:cstheme="majorBidi"/>
          <w:szCs w:val="24"/>
          <w:lang w:val="en-MY"/>
        </w:rPr>
        <w:t xml:space="preserve">period 2021-2025, obtained using a classical proxy of gold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with 85 grams, show that the gold price in monetary terms per unit of 85 grams of gold (gold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increased from USD4,899.91 per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in 2021 to USD9,420.96 per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in 2025. </w:t>
      </w:r>
      <w:r w:rsidR="00325619">
        <w:rPr>
          <w:rFonts w:asciiTheme="majorBidi" w:hAnsiTheme="majorBidi" w:cstheme="majorBidi"/>
          <w:szCs w:val="24"/>
          <w:lang w:val="en-MY"/>
        </w:rPr>
        <w:t>The analysis indicated that the problem faced by zakat is not simply a technical issue but a conversion to the local currency</w:t>
      </w:r>
      <w:r w:rsidRPr="00D1124B">
        <w:rPr>
          <w:rFonts w:asciiTheme="majorBidi" w:hAnsiTheme="majorBidi" w:cstheme="majorBidi"/>
          <w:szCs w:val="24"/>
          <w:lang w:val="en-MY"/>
        </w:rPr>
        <w:t xml:space="preserve">. It is a question of Islamic legal governance: How to </w:t>
      </w:r>
      <w:r w:rsidR="00325619">
        <w:rPr>
          <w:rFonts w:asciiTheme="majorBidi" w:hAnsiTheme="majorBidi" w:cstheme="majorBidi"/>
          <w:szCs w:val="24"/>
          <w:lang w:val="en-MY"/>
        </w:rPr>
        <w:t xml:space="preserve">uphold the classical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how to stabilise gold prices, how to ensure that society trusts the system, how to simplify administration,</w:t>
      </w:r>
      <w:r w:rsidRPr="00D1124B">
        <w:rPr>
          <w:rFonts w:asciiTheme="majorBidi" w:hAnsiTheme="majorBidi" w:cstheme="majorBidi"/>
          <w:szCs w:val="24"/>
          <w:lang w:val="en-MY"/>
        </w:rPr>
        <w:t xml:space="preserve"> and how to implement distributive justice? The concept of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Governance within the Structural Repricing Framework is an amalgamation of the principles of </w:t>
      </w:r>
      <w:proofErr w:type="spellStart"/>
      <w:r w:rsidRPr="00D1124B">
        <w:rPr>
          <w:rFonts w:asciiTheme="majorBidi" w:hAnsiTheme="majorBidi" w:cstheme="majorBidi"/>
          <w:szCs w:val="24"/>
          <w:lang w:val="en-MY"/>
        </w:rPr>
        <w:t>Zakah</w:t>
      </w:r>
      <w:proofErr w:type="spellEnd"/>
      <w:r w:rsidRPr="00D1124B">
        <w:rPr>
          <w:rFonts w:asciiTheme="majorBidi" w:hAnsiTheme="majorBidi" w:cstheme="majorBidi"/>
          <w:szCs w:val="24"/>
          <w:lang w:val="en-MY"/>
        </w:rPr>
        <w:t xml:space="preserve">, </w:t>
      </w:r>
      <w:proofErr w:type="spellStart"/>
      <w:r w:rsidRPr="00D1124B">
        <w:rPr>
          <w:rFonts w:asciiTheme="majorBidi" w:hAnsiTheme="majorBidi" w:cstheme="majorBidi"/>
          <w:szCs w:val="24"/>
          <w:lang w:val="en-MY"/>
        </w:rPr>
        <w:t>Qawāʾid</w:t>
      </w:r>
      <w:proofErr w:type="spellEnd"/>
      <w:r w:rsidRPr="00D1124B">
        <w:rPr>
          <w:rFonts w:asciiTheme="majorBidi" w:hAnsiTheme="majorBidi" w:cstheme="majorBidi"/>
          <w:szCs w:val="24"/>
          <w:lang w:val="en-MY"/>
        </w:rPr>
        <w:t xml:space="preserve"> </w:t>
      </w:r>
      <w:proofErr w:type="spellStart"/>
      <w:r w:rsidRPr="00D1124B">
        <w:rPr>
          <w:rFonts w:asciiTheme="majorBidi" w:hAnsiTheme="majorBidi" w:cstheme="majorBidi"/>
          <w:szCs w:val="24"/>
          <w:lang w:val="en-MY"/>
        </w:rPr>
        <w:t>fiqhiyyah</w:t>
      </w:r>
      <w:proofErr w:type="spellEnd"/>
      <w:r w:rsidRPr="00D1124B">
        <w:rPr>
          <w:rFonts w:asciiTheme="majorBidi" w:hAnsiTheme="majorBidi" w:cstheme="majorBidi"/>
          <w:szCs w:val="24"/>
          <w:lang w:val="en-MY"/>
        </w:rPr>
        <w:t xml:space="preserve">, </w:t>
      </w:r>
      <w:proofErr w:type="spellStart"/>
      <w:r w:rsidRPr="00D1124B">
        <w:rPr>
          <w:rFonts w:asciiTheme="majorBidi" w:hAnsiTheme="majorBidi" w:cstheme="majorBidi"/>
          <w:szCs w:val="24"/>
          <w:lang w:val="en-MY"/>
        </w:rPr>
        <w:t>maqāṣid</w:t>
      </w:r>
      <w:proofErr w:type="spellEnd"/>
      <w:r w:rsidRPr="00D1124B">
        <w:rPr>
          <w:rFonts w:asciiTheme="majorBidi" w:hAnsiTheme="majorBidi" w:cstheme="majorBidi"/>
          <w:szCs w:val="24"/>
          <w:lang w:val="en-MY"/>
        </w:rPr>
        <w:t xml:space="preserve"> al-</w:t>
      </w:r>
      <w:proofErr w:type="spellStart"/>
      <w:r w:rsidRPr="00D1124B">
        <w:rPr>
          <w:rFonts w:asciiTheme="majorBidi" w:hAnsiTheme="majorBidi" w:cstheme="majorBidi"/>
          <w:szCs w:val="24"/>
          <w:lang w:val="en-MY"/>
        </w:rPr>
        <w:t>sharīʾah</w:t>
      </w:r>
      <w:proofErr w:type="spellEnd"/>
      <w:r w:rsidRPr="00D1124B">
        <w:rPr>
          <w:rFonts w:asciiTheme="majorBidi" w:hAnsiTheme="majorBidi" w:cstheme="majorBidi"/>
          <w:szCs w:val="24"/>
          <w:lang w:val="en-MY"/>
        </w:rPr>
        <w:t xml:space="preserve"> and Islamic governance theory. The framework </w:t>
      </w:r>
      <w:r w:rsidR="00325619">
        <w:rPr>
          <w:rFonts w:asciiTheme="majorBidi" w:hAnsiTheme="majorBidi" w:cstheme="majorBidi"/>
          <w:szCs w:val="24"/>
          <w:lang w:val="en-MY"/>
        </w:rPr>
        <w:t xml:space="preserve">distinguishes between the fixed quantity,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(a juristic quantity),</w:t>
      </w:r>
      <w:r w:rsidRPr="00D1124B">
        <w:rPr>
          <w:rFonts w:asciiTheme="majorBidi" w:hAnsiTheme="majorBidi" w:cstheme="majorBidi"/>
          <w:szCs w:val="24"/>
          <w:lang w:val="en-MY"/>
        </w:rPr>
        <w:t xml:space="preserve"> and its valuation fiat (an administrative quantity). It recommends the following prevention measures: transparency in methodology, periodicity of review, smoothing </w:t>
      </w:r>
      <w:r w:rsidR="00325619">
        <w:rPr>
          <w:rFonts w:asciiTheme="majorBidi" w:hAnsiTheme="majorBidi" w:cstheme="majorBidi"/>
          <w:szCs w:val="24"/>
          <w:lang w:val="en-MY"/>
        </w:rPr>
        <w:t>based on volatility, public disclosure,</w:t>
      </w:r>
      <w:r w:rsidRPr="00D1124B">
        <w:rPr>
          <w:rFonts w:asciiTheme="majorBidi" w:hAnsiTheme="majorBidi" w:cstheme="majorBidi"/>
          <w:szCs w:val="24"/>
          <w:lang w:val="en-MY"/>
        </w:rPr>
        <w:t xml:space="preserve"> and </w:t>
      </w:r>
      <w:proofErr w:type="spellStart"/>
      <w:r w:rsidRPr="00D1124B">
        <w:rPr>
          <w:rFonts w:asciiTheme="majorBidi" w:hAnsiTheme="majorBidi" w:cstheme="majorBidi"/>
          <w:szCs w:val="24"/>
          <w:lang w:val="en-MY"/>
        </w:rPr>
        <w:t>Sharīʾah</w:t>
      </w:r>
      <w:proofErr w:type="spellEnd"/>
      <w:r w:rsidRPr="00D1124B">
        <w:rPr>
          <w:rFonts w:asciiTheme="majorBidi" w:hAnsiTheme="majorBidi" w:cstheme="majorBidi"/>
          <w:szCs w:val="24"/>
          <w:lang w:val="en-MY"/>
        </w:rPr>
        <w:t xml:space="preserve">-governance oversight. The article contributes to the </w:t>
      </w:r>
      <w:r w:rsidR="00325619">
        <w:rPr>
          <w:rFonts w:asciiTheme="majorBidi" w:hAnsiTheme="majorBidi" w:cstheme="majorBidi"/>
          <w:szCs w:val="24"/>
          <w:lang w:val="en-MY"/>
        </w:rPr>
        <w:t xml:space="preserve">study of Islamic law by introducing the calculation of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in the context of ijtihad administration, rather than</w:t>
      </w:r>
      <w:r w:rsidRPr="00D1124B">
        <w:rPr>
          <w:rFonts w:asciiTheme="majorBidi" w:hAnsiTheme="majorBidi" w:cstheme="majorBidi"/>
          <w:szCs w:val="24"/>
          <w:lang w:val="en-MY"/>
        </w:rPr>
        <w:t xml:space="preserve"> automated price calculation.</w:t>
      </w:r>
    </w:p>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 xml:space="preserve">Keywords: gold repricing; wealth zakat;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Islamic governance; </w:t>
      </w:r>
      <w:proofErr w:type="spellStart"/>
      <w:r w:rsidRPr="009B5519">
        <w:rPr>
          <w:rFonts w:asciiTheme="majorBidi" w:hAnsiTheme="majorBidi" w:cstheme="majorBidi"/>
          <w:szCs w:val="24"/>
          <w:lang w:val="en-MY"/>
        </w:rPr>
        <w:t>qawāʿid</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fiqhiyyah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maqāṣid</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sharīʿah</w:t>
      </w:r>
      <w:proofErr w:type="spellEnd"/>
      <w:r w:rsidRPr="009B5519">
        <w:rPr>
          <w:rFonts w:asciiTheme="majorBidi" w:hAnsiTheme="majorBidi" w:cstheme="majorBidi"/>
          <w:szCs w:val="24"/>
          <w:lang w:val="en-MY"/>
        </w:rPr>
        <w:t>; zakat institutions; gold volatility</w:t>
      </w:r>
    </w:p>
    <w:p w:rsidR="002A4AEB" w:rsidRPr="009B5519" w:rsidRDefault="003B4FC0" w:rsidP="00E42491">
      <w:pPr>
        <w:pStyle w:val="Heading1"/>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1. I</w:t>
      </w:r>
      <w:r w:rsidR="00042CBD" w:rsidRPr="009B5519">
        <w:rPr>
          <w:rFonts w:asciiTheme="majorBidi" w:hAnsiTheme="majorBidi"/>
          <w:color w:val="auto"/>
          <w:sz w:val="24"/>
          <w:szCs w:val="24"/>
          <w:lang w:val="en-MY"/>
        </w:rPr>
        <w:t>NTRODUCTION</w:t>
      </w:r>
    </w:p>
    <w:p w:rsidR="007F3329" w:rsidRDefault="00F50DBF" w:rsidP="007F3329">
      <w:pPr>
        <w:jc w:val="both"/>
        <w:rPr>
          <w:rFonts w:asciiTheme="majorBidi" w:hAnsiTheme="majorBidi" w:cstheme="majorBidi"/>
          <w:szCs w:val="24"/>
          <w:lang w:val="en-MY"/>
        </w:rPr>
      </w:pPr>
      <w:r w:rsidRPr="009B5519">
        <w:rPr>
          <w:rFonts w:asciiTheme="majorBidi" w:hAnsiTheme="majorBidi" w:cstheme="majorBidi"/>
          <w:szCs w:val="24"/>
          <w:lang w:val="en-MY"/>
        </w:rPr>
        <w:t xml:space="preserve">Gold has been </w:t>
      </w:r>
      <w:r w:rsidR="00526103" w:rsidRPr="009B5519">
        <w:rPr>
          <w:rFonts w:asciiTheme="majorBidi" w:hAnsiTheme="majorBidi" w:cstheme="majorBidi"/>
          <w:szCs w:val="24"/>
          <w:lang w:val="en-MY"/>
        </w:rPr>
        <w:t xml:space="preserve">accorded a particular place in Islamic teachings and </w:t>
      </w:r>
      <w:r w:rsidRPr="009B5519">
        <w:rPr>
          <w:rFonts w:asciiTheme="majorBidi" w:hAnsiTheme="majorBidi" w:cstheme="majorBidi"/>
          <w:szCs w:val="24"/>
          <w:lang w:val="en-MY"/>
        </w:rPr>
        <w:t xml:space="preserve">economic history. According to classical </w:t>
      </w:r>
      <w:proofErr w:type="spellStart"/>
      <w:r w:rsidRPr="009B5519">
        <w:rPr>
          <w:rFonts w:asciiTheme="majorBidi" w:hAnsiTheme="majorBidi" w:cstheme="majorBidi"/>
          <w:szCs w:val="24"/>
          <w:lang w:val="en-MY"/>
        </w:rPr>
        <w:t>fiqh</w:t>
      </w:r>
      <w:proofErr w:type="spellEnd"/>
      <w:r w:rsidR="00526103" w:rsidRPr="009B5519">
        <w:rPr>
          <w:rFonts w:asciiTheme="majorBidi" w:hAnsiTheme="majorBidi" w:cstheme="majorBidi"/>
          <w:szCs w:val="24"/>
          <w:lang w:val="en-MY"/>
        </w:rPr>
        <w:t xml:space="preserve">, it is a </w:t>
      </w:r>
      <w:proofErr w:type="spellStart"/>
      <w:r w:rsidR="00526103" w:rsidRPr="009B5519">
        <w:rPr>
          <w:rFonts w:asciiTheme="majorBidi" w:hAnsiTheme="majorBidi" w:cstheme="majorBidi"/>
          <w:szCs w:val="24"/>
          <w:lang w:val="en-MY"/>
        </w:rPr>
        <w:t>zakatable</w:t>
      </w:r>
      <w:proofErr w:type="spellEnd"/>
      <w:r w:rsidR="00526103" w:rsidRPr="009B5519">
        <w:rPr>
          <w:rFonts w:asciiTheme="majorBidi" w:hAnsiTheme="majorBidi" w:cstheme="majorBidi"/>
          <w:szCs w:val="24"/>
          <w:lang w:val="en-MY"/>
        </w:rPr>
        <w:t xml:space="preserve"> asset</w:t>
      </w:r>
      <w:r w:rsidR="00E42491" w:rsidRPr="009B5519">
        <w:rPr>
          <w:rFonts w:asciiTheme="majorBidi" w:hAnsiTheme="majorBidi" w:cstheme="majorBidi"/>
          <w:szCs w:val="24"/>
          <w:lang w:val="en-MY"/>
        </w:rPr>
        <w:t>, a store of value, and one of the principal monetary metals used</w:t>
      </w:r>
      <w:r w:rsidRPr="009B5519">
        <w:rPr>
          <w:rFonts w:asciiTheme="majorBidi" w:hAnsiTheme="majorBidi" w:cstheme="majorBidi"/>
          <w:szCs w:val="24"/>
          <w:lang w:val="en-MY"/>
        </w:rPr>
        <w:t xml:space="preserve"> in the formulation of the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thresholds </w:t>
      </w:r>
      <w:r w:rsidR="009438CA">
        <w:rPr>
          <w:rFonts w:asciiTheme="majorBidi" w:hAnsiTheme="majorBidi" w:cstheme="majorBidi"/>
          <w:szCs w:val="24"/>
          <w:lang w:val="en-MY"/>
        </w:rPr>
        <w:t>(al-</w:t>
      </w:r>
      <w:proofErr w:type="spellStart"/>
      <w:r w:rsidR="009438CA">
        <w:rPr>
          <w:rFonts w:asciiTheme="majorBidi" w:hAnsiTheme="majorBidi" w:cstheme="majorBidi"/>
          <w:szCs w:val="24"/>
          <w:lang w:val="en-MY"/>
        </w:rPr>
        <w:t>Qar</w:t>
      </w:r>
      <w:r w:rsidR="00073750">
        <w:rPr>
          <w:rFonts w:asciiTheme="majorBidi" w:hAnsiTheme="majorBidi" w:cstheme="majorBidi"/>
          <w:szCs w:val="24"/>
          <w:lang w:val="en-MY"/>
        </w:rPr>
        <w:t>a</w:t>
      </w:r>
      <w:r w:rsidR="009438CA">
        <w:rPr>
          <w:rFonts w:asciiTheme="majorBidi" w:hAnsiTheme="majorBidi" w:cstheme="majorBidi"/>
          <w:szCs w:val="24"/>
          <w:lang w:val="en-MY"/>
        </w:rPr>
        <w:t>dawi</w:t>
      </w:r>
      <w:proofErr w:type="spellEnd"/>
      <w:r w:rsidR="009438CA">
        <w:rPr>
          <w:rFonts w:asciiTheme="majorBidi" w:hAnsiTheme="majorBidi" w:cstheme="majorBidi"/>
          <w:szCs w:val="24"/>
          <w:lang w:val="en-MY"/>
        </w:rPr>
        <w:t>, 1999)</w:t>
      </w:r>
      <w:r w:rsidRPr="009B5519">
        <w:rPr>
          <w:rFonts w:asciiTheme="majorBidi" w:hAnsiTheme="majorBidi" w:cstheme="majorBidi"/>
          <w:szCs w:val="24"/>
          <w:lang w:val="en-MY"/>
        </w:rPr>
        <w:t xml:space="preserve">. In </w:t>
      </w:r>
      <w:r w:rsidR="00526103" w:rsidRPr="009B5519">
        <w:rPr>
          <w:rFonts w:asciiTheme="majorBidi" w:hAnsiTheme="majorBidi" w:cstheme="majorBidi"/>
          <w:szCs w:val="24"/>
          <w:lang w:val="en-MY"/>
        </w:rPr>
        <w:t>modern economies, gold is no longer used as a day-to-day</w:t>
      </w:r>
      <w:r w:rsidRPr="009B5519">
        <w:rPr>
          <w:rFonts w:asciiTheme="majorBidi" w:hAnsiTheme="majorBidi" w:cstheme="majorBidi"/>
          <w:szCs w:val="24"/>
          <w:lang w:val="en-MY"/>
        </w:rPr>
        <w:t xml:space="preserve"> unit of measurement. Wealth is defined in the legal tender of </w:t>
      </w:r>
      <w:r w:rsidRPr="009B5519">
        <w:rPr>
          <w:rFonts w:asciiTheme="majorBidi" w:hAnsiTheme="majorBidi" w:cstheme="majorBidi"/>
          <w:szCs w:val="24"/>
          <w:lang w:val="en-MY"/>
        </w:rPr>
        <w:lastRenderedPageBreak/>
        <w:t xml:space="preserve">fiat currency, regulated by banks, calculated according to accounting principles, and determined by market prices, which fluctuate at the moment. The main problem that arises in </w:t>
      </w:r>
      <w:r w:rsidR="00526103" w:rsidRPr="009B5519">
        <w:rPr>
          <w:rFonts w:asciiTheme="majorBidi" w:hAnsiTheme="majorBidi" w:cstheme="majorBidi"/>
          <w:szCs w:val="24"/>
          <w:lang w:val="en-MY"/>
        </w:rPr>
        <w:t xml:space="preserve">determining the wealth zakat </w:t>
      </w:r>
      <w:proofErr w:type="spellStart"/>
      <w:r w:rsidR="003F1946">
        <w:rPr>
          <w:rFonts w:asciiTheme="majorBidi" w:hAnsiTheme="majorBidi" w:cstheme="majorBidi"/>
          <w:szCs w:val="24"/>
          <w:lang w:val="en-MY"/>
        </w:rPr>
        <w:t>niṣāb</w:t>
      </w:r>
      <w:proofErr w:type="spellEnd"/>
      <w:r w:rsidR="00526103" w:rsidRPr="009B5519">
        <w:rPr>
          <w:rFonts w:asciiTheme="majorBidi" w:hAnsiTheme="majorBidi" w:cstheme="majorBidi"/>
          <w:szCs w:val="24"/>
          <w:lang w:val="en-MY"/>
        </w:rPr>
        <w:t xml:space="preserve"> in the modern world is the separation between the juristic amount of gold and its monetary value </w:t>
      </w:r>
      <w:r w:rsidRPr="009B5519">
        <w:rPr>
          <w:rFonts w:asciiTheme="majorBidi" w:hAnsiTheme="majorBidi" w:cstheme="majorBidi"/>
          <w:szCs w:val="24"/>
          <w:lang w:val="en-MY"/>
        </w:rPr>
        <w:t>(Baharudin, 2023).</w:t>
      </w:r>
      <w:r w:rsidR="007F3329">
        <w:rPr>
          <w:rFonts w:asciiTheme="majorBidi" w:hAnsiTheme="majorBidi" w:cstheme="majorBidi"/>
          <w:szCs w:val="24"/>
          <w:lang w:val="en-MY"/>
        </w:rPr>
        <w:t xml:space="preserve"> </w:t>
      </w:r>
      <w:r w:rsidRPr="009B5519">
        <w:rPr>
          <w:rFonts w:asciiTheme="majorBidi" w:hAnsiTheme="majorBidi" w:cstheme="majorBidi"/>
          <w:szCs w:val="24"/>
          <w:lang w:val="en-MY"/>
        </w:rPr>
        <w:t>The situation deteriorated between 2021 and 2025</w:t>
      </w:r>
      <w:r w:rsidR="00E42491" w:rsidRPr="009B5519">
        <w:rPr>
          <w:rFonts w:asciiTheme="majorBidi" w:hAnsiTheme="majorBidi" w:cstheme="majorBidi"/>
          <w:szCs w:val="24"/>
          <w:lang w:val="en-MY"/>
        </w:rPr>
        <w:t>,</w:t>
      </w:r>
      <w:r w:rsidRPr="009B5519">
        <w:rPr>
          <w:rFonts w:asciiTheme="majorBidi" w:hAnsiTheme="majorBidi" w:cstheme="majorBidi"/>
          <w:szCs w:val="24"/>
          <w:lang w:val="en-MY"/>
        </w:rPr>
        <w:t xml:space="preserve"> </w:t>
      </w:r>
      <w:r w:rsidR="00526103" w:rsidRPr="009B5519">
        <w:rPr>
          <w:rFonts w:asciiTheme="majorBidi" w:hAnsiTheme="majorBidi" w:cstheme="majorBidi"/>
          <w:szCs w:val="24"/>
          <w:lang w:val="en-MY"/>
        </w:rPr>
        <w:t xml:space="preserve">not just due to a relatively modest fluctuation, but also </w:t>
      </w:r>
      <w:r w:rsidRPr="009B5519">
        <w:rPr>
          <w:rFonts w:asciiTheme="majorBidi" w:hAnsiTheme="majorBidi" w:cstheme="majorBidi"/>
          <w:szCs w:val="24"/>
          <w:lang w:val="en-MY"/>
        </w:rPr>
        <w:t xml:space="preserve">to gold fluctuating in a rather turbulent manner. In 2021, the annual average price of gold in the GC=F series was about USD1,792.99 per troy ounce, and it reached USD3,447.35 in 2025. During the same time, the gold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(85 grams) stood at about USD4,899.91, before reaching USD9,420.96. Annualised daily volatility also increased from 14.18% in 2021 to 20.49% in 2025 (Yahoo Finance, 2026). </w:t>
      </w:r>
    </w:p>
    <w:p w:rsidR="00D1124B" w:rsidRPr="00D1124B" w:rsidRDefault="00F50DBF" w:rsidP="00D1124B">
      <w:pPr>
        <w:ind w:firstLine="720"/>
        <w:jc w:val="both"/>
        <w:rPr>
          <w:rFonts w:asciiTheme="majorBidi" w:hAnsiTheme="majorBidi" w:cstheme="majorBidi"/>
          <w:szCs w:val="24"/>
          <w:lang w:val="en-MY"/>
        </w:rPr>
      </w:pPr>
      <w:r w:rsidRPr="009B5519">
        <w:rPr>
          <w:rFonts w:asciiTheme="majorBidi" w:hAnsiTheme="majorBidi" w:cstheme="majorBidi"/>
          <w:szCs w:val="24"/>
          <w:lang w:val="en-MY"/>
        </w:rPr>
        <w:t xml:space="preserve">These </w:t>
      </w:r>
      <w:r w:rsidR="007F3329" w:rsidRPr="009B5519">
        <w:rPr>
          <w:rFonts w:asciiTheme="majorBidi" w:hAnsiTheme="majorBidi" w:cstheme="majorBidi"/>
          <w:szCs w:val="24"/>
          <w:lang w:val="en-MY"/>
        </w:rPr>
        <w:t>numbers</w:t>
      </w:r>
      <w:r w:rsidRPr="009B5519">
        <w:rPr>
          <w:rFonts w:asciiTheme="majorBidi" w:hAnsiTheme="majorBidi" w:cstheme="majorBidi"/>
          <w:szCs w:val="24"/>
          <w:lang w:val="en-MY"/>
        </w:rPr>
        <w:t xml:space="preserve"> indicate </w:t>
      </w:r>
      <w:r w:rsidR="00526103" w:rsidRPr="009B5519">
        <w:rPr>
          <w:rFonts w:asciiTheme="majorBidi" w:hAnsiTheme="majorBidi" w:cstheme="majorBidi"/>
          <w:szCs w:val="24"/>
          <w:lang w:val="en-MY"/>
        </w:rPr>
        <w:t xml:space="preserve">two pressures on the </w:t>
      </w:r>
      <w:proofErr w:type="spellStart"/>
      <w:r w:rsidR="007F3329">
        <w:rPr>
          <w:rFonts w:asciiTheme="majorBidi" w:hAnsiTheme="majorBidi" w:cstheme="majorBidi"/>
          <w:szCs w:val="24"/>
          <w:lang w:val="en-MY"/>
        </w:rPr>
        <w:t>z</w:t>
      </w:r>
      <w:r w:rsidR="00526103" w:rsidRPr="009B5519">
        <w:rPr>
          <w:rFonts w:asciiTheme="majorBidi" w:hAnsiTheme="majorBidi" w:cstheme="majorBidi"/>
          <w:szCs w:val="24"/>
          <w:lang w:val="en-MY"/>
        </w:rPr>
        <w:t>akah</w:t>
      </w:r>
      <w:proofErr w:type="spellEnd"/>
      <w:r w:rsidR="00526103" w:rsidRPr="009B5519">
        <w:rPr>
          <w:rFonts w:asciiTheme="majorBidi" w:hAnsiTheme="majorBidi" w:cstheme="majorBidi"/>
          <w:szCs w:val="24"/>
          <w:lang w:val="en-MY"/>
        </w:rPr>
        <w:t xml:space="preserve"> authorities</w:t>
      </w:r>
      <w:r w:rsidR="007F3329">
        <w:rPr>
          <w:rFonts w:asciiTheme="majorBidi" w:hAnsiTheme="majorBidi" w:cstheme="majorBidi"/>
          <w:szCs w:val="24"/>
          <w:lang w:val="en-MY"/>
        </w:rPr>
        <w:t>. The</w:t>
      </w:r>
      <w:r w:rsidR="00526103" w:rsidRPr="009B5519">
        <w:rPr>
          <w:rFonts w:asciiTheme="majorBidi" w:hAnsiTheme="majorBidi" w:cstheme="majorBidi"/>
          <w:szCs w:val="24"/>
          <w:lang w:val="en-MY"/>
        </w:rPr>
        <w:t xml:space="preserve"> first</w:t>
      </w:r>
      <w:r w:rsidR="007F3329">
        <w:rPr>
          <w:rFonts w:asciiTheme="majorBidi" w:hAnsiTheme="majorBidi" w:cstheme="majorBidi"/>
          <w:szCs w:val="24"/>
          <w:lang w:val="en-MY"/>
        </w:rPr>
        <w:t xml:space="preserve"> is an increased monetary threshold, and the second is</w:t>
      </w:r>
      <w:r w:rsidR="00526103" w:rsidRPr="009B5519">
        <w:rPr>
          <w:rFonts w:asciiTheme="majorBidi" w:hAnsiTheme="majorBidi" w:cstheme="majorBidi"/>
          <w:szCs w:val="24"/>
          <w:lang w:val="en-MY"/>
        </w:rPr>
        <w:t xml:space="preserve"> increased uncertainty </w:t>
      </w:r>
      <w:r w:rsidR="007F3329">
        <w:rPr>
          <w:rFonts w:asciiTheme="majorBidi" w:hAnsiTheme="majorBidi" w:cstheme="majorBidi"/>
          <w:szCs w:val="24"/>
          <w:lang w:val="en-MY"/>
        </w:rPr>
        <w:t xml:space="preserve">about the calculation methods </w:t>
      </w:r>
      <w:r w:rsidR="00526103" w:rsidRPr="009B5519">
        <w:rPr>
          <w:rFonts w:asciiTheme="majorBidi" w:hAnsiTheme="majorBidi" w:cstheme="majorBidi"/>
          <w:szCs w:val="24"/>
          <w:lang w:val="en-MY"/>
        </w:rPr>
        <w:t>and the timing</w:t>
      </w:r>
      <w:r w:rsidRPr="009B5519">
        <w:rPr>
          <w:rFonts w:asciiTheme="majorBidi" w:hAnsiTheme="majorBidi" w:cstheme="majorBidi"/>
          <w:szCs w:val="24"/>
          <w:lang w:val="en-MY"/>
        </w:rPr>
        <w:t xml:space="preserve"> of distribution. Economics is not the only concern. Also</w:t>
      </w:r>
      <w:r w:rsidR="00526103" w:rsidRPr="009B5519">
        <w:rPr>
          <w:rFonts w:asciiTheme="majorBidi" w:hAnsiTheme="majorBidi" w:cstheme="majorBidi"/>
          <w:szCs w:val="24"/>
          <w:lang w:val="en-MY"/>
        </w:rPr>
        <w:t>,</w:t>
      </w:r>
      <w:r w:rsidRPr="009B5519">
        <w:rPr>
          <w:rFonts w:asciiTheme="majorBidi" w:hAnsiTheme="majorBidi" w:cstheme="majorBidi"/>
          <w:szCs w:val="24"/>
          <w:lang w:val="en-MY"/>
        </w:rPr>
        <w:t xml:space="preserve"> it is jurisprudential and institutional. According to the classical definition of zakat, the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is determined by the quantity of gold. However, the modern management of zakat should be translated into local </w:t>
      </w:r>
      <w:r w:rsidR="00526103" w:rsidRPr="009B5519">
        <w:rPr>
          <w:rFonts w:asciiTheme="majorBidi" w:hAnsiTheme="majorBidi" w:cstheme="majorBidi"/>
          <w:szCs w:val="24"/>
          <w:lang w:val="en-MY"/>
        </w:rPr>
        <w:t xml:space="preserve">currency to guide the public, </w:t>
      </w:r>
      <w:r w:rsidR="00042CBD" w:rsidRPr="009B5519">
        <w:rPr>
          <w:rFonts w:asciiTheme="majorBidi" w:hAnsiTheme="majorBidi" w:cstheme="majorBidi"/>
          <w:szCs w:val="24"/>
          <w:lang w:val="en-MY"/>
        </w:rPr>
        <w:t>define the payment system (payroll deduction, business accounts), and enforce it</w:t>
      </w:r>
      <w:r w:rsidRPr="009B5519">
        <w:rPr>
          <w:rFonts w:asciiTheme="majorBidi" w:hAnsiTheme="majorBidi" w:cstheme="majorBidi"/>
          <w:szCs w:val="24"/>
          <w:lang w:val="en-MY"/>
        </w:rPr>
        <w:t xml:space="preserve">. This translation is an administrative ijtihad (ijtihad </w:t>
      </w:r>
      <w:proofErr w:type="spellStart"/>
      <w:r w:rsidRPr="009B5519">
        <w:rPr>
          <w:rFonts w:asciiTheme="majorBidi" w:hAnsiTheme="majorBidi" w:cstheme="majorBidi"/>
          <w:szCs w:val="24"/>
          <w:lang w:val="en-MY"/>
        </w:rPr>
        <w:t>idārī</w:t>
      </w:r>
      <w:proofErr w:type="spellEnd"/>
      <w:r w:rsidRPr="009B5519">
        <w:rPr>
          <w:rFonts w:asciiTheme="majorBidi" w:hAnsiTheme="majorBidi" w:cstheme="majorBidi"/>
          <w:szCs w:val="24"/>
          <w:lang w:val="en-MY"/>
        </w:rPr>
        <w:t>)</w:t>
      </w:r>
      <w:r w:rsidR="00E42491" w:rsidRPr="009B5519">
        <w:rPr>
          <w:rFonts w:asciiTheme="majorBidi" w:hAnsiTheme="majorBidi" w:cstheme="majorBidi"/>
          <w:szCs w:val="24"/>
          <w:lang w:val="en-MY"/>
        </w:rPr>
        <w:t xml:space="preserve"> and, as such, </w:t>
      </w:r>
      <w:r w:rsidRPr="009B5519">
        <w:rPr>
          <w:rFonts w:asciiTheme="majorBidi" w:hAnsiTheme="majorBidi" w:cstheme="majorBidi"/>
          <w:szCs w:val="24"/>
          <w:lang w:val="en-MY"/>
        </w:rPr>
        <w:t xml:space="preserve">an act of administration. It is by no means unrestricted from the limitations of </w:t>
      </w:r>
      <w:proofErr w:type="spellStart"/>
      <w:r w:rsidR="003F1946" w:rsidRPr="001D1A09">
        <w:t>Sharīʾah</w:t>
      </w:r>
      <w:proofErr w:type="spellEnd"/>
      <w:r w:rsidRPr="009B5519">
        <w:rPr>
          <w:rFonts w:asciiTheme="majorBidi" w:hAnsiTheme="majorBidi" w:cstheme="majorBidi"/>
          <w:szCs w:val="24"/>
          <w:lang w:val="en-MY"/>
        </w:rPr>
        <w:t xml:space="preserve">, but it also does not mean that it can be translated only from the latest market price. </w:t>
      </w:r>
      <w:r w:rsidR="00D1124B" w:rsidRPr="00D1124B">
        <w:rPr>
          <w:rFonts w:asciiTheme="majorBidi" w:hAnsiTheme="majorBidi" w:cstheme="majorBidi"/>
          <w:szCs w:val="24"/>
          <w:lang w:val="en-MY"/>
        </w:rPr>
        <w:t xml:space="preserve">The authority must be accountable for the choice of the benchmark, timing, averaging method, frequency of announcement, purity treatment and communication strategy. Each of these options </w:t>
      </w:r>
      <w:r w:rsidR="00325619">
        <w:rPr>
          <w:rFonts w:asciiTheme="majorBidi" w:hAnsiTheme="majorBidi" w:cstheme="majorBidi"/>
          <w:szCs w:val="24"/>
          <w:lang w:val="en-MY"/>
        </w:rPr>
        <w:t>affects who is eligible for zakat payments, when it is given, and the public’s</w:t>
      </w:r>
      <w:r w:rsidR="00D1124B" w:rsidRPr="00D1124B">
        <w:rPr>
          <w:rFonts w:asciiTheme="majorBidi" w:hAnsiTheme="majorBidi" w:cstheme="majorBidi"/>
          <w:szCs w:val="24"/>
          <w:lang w:val="en-MY"/>
        </w:rPr>
        <w:t xml:space="preserve"> understanding of the fairness of the institution (Abdul Ghani et al., 2017; Ahmad et al., 2021; </w:t>
      </w:r>
      <w:proofErr w:type="spellStart"/>
      <w:r w:rsidR="00D1124B" w:rsidRPr="00D1124B">
        <w:rPr>
          <w:rFonts w:asciiTheme="majorBidi" w:hAnsiTheme="majorBidi" w:cstheme="majorBidi"/>
          <w:szCs w:val="24"/>
          <w:lang w:val="en-MY"/>
        </w:rPr>
        <w:t>Kharisma</w:t>
      </w:r>
      <w:proofErr w:type="spellEnd"/>
      <w:r w:rsidR="00D1124B" w:rsidRPr="00D1124B">
        <w:rPr>
          <w:rFonts w:asciiTheme="majorBidi" w:hAnsiTheme="majorBidi" w:cstheme="majorBidi"/>
          <w:szCs w:val="24"/>
          <w:lang w:val="en-MY"/>
        </w:rPr>
        <w:t xml:space="preserve"> &amp; </w:t>
      </w:r>
      <w:proofErr w:type="spellStart"/>
      <w:r w:rsidR="00D1124B" w:rsidRPr="00D1124B">
        <w:rPr>
          <w:rFonts w:asciiTheme="majorBidi" w:hAnsiTheme="majorBidi" w:cstheme="majorBidi"/>
          <w:szCs w:val="24"/>
          <w:lang w:val="en-MY"/>
        </w:rPr>
        <w:t>Jayanto</w:t>
      </w:r>
      <w:proofErr w:type="spellEnd"/>
      <w:r w:rsidR="00D1124B" w:rsidRPr="00D1124B">
        <w:rPr>
          <w:rFonts w:asciiTheme="majorBidi" w:hAnsiTheme="majorBidi" w:cstheme="majorBidi"/>
          <w:szCs w:val="24"/>
          <w:lang w:val="en-MY"/>
        </w:rPr>
        <w:t>, 2021).</w:t>
      </w:r>
    </w:p>
    <w:p w:rsidR="00D1124B" w:rsidRPr="003F1946" w:rsidRDefault="00D1124B" w:rsidP="00D1124B">
      <w:pPr>
        <w:ind w:firstLine="720"/>
        <w:jc w:val="both"/>
        <w:rPr>
          <w:rFonts w:asciiTheme="majorBidi" w:hAnsiTheme="majorBidi" w:cstheme="majorBidi"/>
          <w:szCs w:val="24"/>
          <w:lang w:val="en-MY"/>
        </w:rPr>
      </w:pPr>
      <w:r w:rsidRPr="00D1124B">
        <w:rPr>
          <w:rFonts w:asciiTheme="majorBidi" w:hAnsiTheme="majorBidi" w:cstheme="majorBidi"/>
          <w:szCs w:val="24"/>
          <w:lang w:val="en-MY"/>
        </w:rPr>
        <w:t xml:space="preserve">For this reason, the article makes four arguments. First, because the gold move of 2021-25 is not a price cycle at all, but rather a change in the behaviour of the central banks, in investment demand, in inflation hedging and in geopolitical risk (World Gold Council, 2024a, 2024b, 2025a). Second, there has to be a difference between the invariable point of reference (the quantity of gold recognised in the </w:t>
      </w:r>
      <w:proofErr w:type="spellStart"/>
      <w:r w:rsidRPr="00D1124B">
        <w:rPr>
          <w:rFonts w:asciiTheme="majorBidi" w:hAnsiTheme="majorBidi" w:cstheme="majorBidi"/>
          <w:szCs w:val="24"/>
          <w:lang w:val="en-MY"/>
        </w:rPr>
        <w:t>fiqh</w:t>
      </w:r>
      <w:proofErr w:type="spellEnd"/>
      <w:r w:rsidRPr="00D1124B">
        <w:rPr>
          <w:rFonts w:asciiTheme="majorBidi" w:hAnsiTheme="majorBidi" w:cstheme="majorBidi"/>
          <w:szCs w:val="24"/>
          <w:lang w:val="en-MY"/>
        </w:rPr>
        <w:t xml:space="preserve">) and the variable point of expression (the value of fiat public announcement). Thirdly, a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policy must have a clear governance mechanism</w:t>
      </w:r>
      <w:r w:rsidR="00325619">
        <w:rPr>
          <w:rFonts w:asciiTheme="majorBidi" w:hAnsiTheme="majorBidi" w:cstheme="majorBidi"/>
          <w:szCs w:val="24"/>
          <w:lang w:val="en-MY"/>
        </w:rPr>
        <w:t xml:space="preserve">, be supervised by a </w:t>
      </w:r>
      <w:proofErr w:type="spellStart"/>
      <w:r w:rsidR="00325619">
        <w:rPr>
          <w:rFonts w:asciiTheme="majorBidi" w:hAnsiTheme="majorBidi" w:cstheme="majorBidi"/>
          <w:szCs w:val="24"/>
          <w:lang w:val="en-MY"/>
        </w:rPr>
        <w:t>Sharī’ah</w:t>
      </w:r>
      <w:proofErr w:type="spellEnd"/>
      <w:r w:rsidR="00325619">
        <w:rPr>
          <w:rFonts w:asciiTheme="majorBidi" w:hAnsiTheme="majorBidi" w:cstheme="majorBidi"/>
          <w:szCs w:val="24"/>
          <w:lang w:val="en-MY"/>
        </w:rPr>
        <w:t>, be based on evidence, and be sensitive to</w:t>
      </w:r>
      <w:r w:rsidRPr="00D1124B">
        <w:rPr>
          <w:rFonts w:asciiTheme="majorBidi" w:hAnsiTheme="majorBidi" w:cstheme="majorBidi"/>
          <w:szCs w:val="24"/>
          <w:lang w:val="en-MY"/>
        </w:rPr>
        <w:t xml:space="preserve"> the </w:t>
      </w:r>
      <w:proofErr w:type="spellStart"/>
      <w:r w:rsidRPr="00D1124B">
        <w:rPr>
          <w:rFonts w:asciiTheme="majorBidi" w:hAnsiTheme="majorBidi" w:cstheme="majorBidi"/>
          <w:szCs w:val="24"/>
          <w:lang w:val="en-MY"/>
        </w:rPr>
        <w:t>muzakki</w:t>
      </w:r>
      <w:r w:rsidR="00325619">
        <w:rPr>
          <w:rFonts w:asciiTheme="majorBidi" w:hAnsiTheme="majorBidi" w:cstheme="majorBidi"/>
          <w:szCs w:val="24"/>
          <w:lang w:val="en-MY"/>
        </w:rPr>
        <w:t>’</w:t>
      </w:r>
      <w:r w:rsidRPr="00D1124B">
        <w:rPr>
          <w:rFonts w:asciiTheme="majorBidi" w:hAnsiTheme="majorBidi" w:cstheme="majorBidi"/>
          <w:szCs w:val="24"/>
          <w:lang w:val="en-MY"/>
        </w:rPr>
        <w:t>s</w:t>
      </w:r>
      <w:proofErr w:type="spellEnd"/>
      <w:r w:rsidRPr="00D1124B">
        <w:rPr>
          <w:rFonts w:asciiTheme="majorBidi" w:hAnsiTheme="majorBidi" w:cstheme="majorBidi"/>
          <w:szCs w:val="24"/>
          <w:lang w:val="en-MY"/>
        </w:rPr>
        <w:t xml:space="preserve"> certainty and the </w:t>
      </w:r>
      <w:proofErr w:type="spellStart"/>
      <w:r w:rsidRPr="00D1124B">
        <w:rPr>
          <w:rFonts w:asciiTheme="majorBidi" w:hAnsiTheme="majorBidi" w:cstheme="majorBidi"/>
          <w:szCs w:val="24"/>
          <w:lang w:val="en-MY"/>
        </w:rPr>
        <w:t>mustahiq</w:t>
      </w:r>
      <w:r w:rsidR="00325619">
        <w:rPr>
          <w:rFonts w:asciiTheme="majorBidi" w:hAnsiTheme="majorBidi" w:cstheme="majorBidi"/>
          <w:szCs w:val="24"/>
          <w:lang w:val="en-MY"/>
        </w:rPr>
        <w:t>’</w:t>
      </w:r>
      <w:r w:rsidRPr="00D1124B">
        <w:rPr>
          <w:rFonts w:asciiTheme="majorBidi" w:hAnsiTheme="majorBidi" w:cstheme="majorBidi"/>
          <w:szCs w:val="24"/>
          <w:lang w:val="en-MY"/>
        </w:rPr>
        <w:t>s</w:t>
      </w:r>
      <w:proofErr w:type="spellEnd"/>
      <w:r w:rsidRPr="00D1124B">
        <w:rPr>
          <w:rFonts w:asciiTheme="majorBidi" w:hAnsiTheme="majorBidi" w:cstheme="majorBidi"/>
          <w:szCs w:val="24"/>
          <w:lang w:val="en-MY"/>
        </w:rPr>
        <w:t xml:space="preserve"> </w:t>
      </w:r>
      <w:r w:rsidR="00325619">
        <w:rPr>
          <w:rFonts w:asciiTheme="majorBidi" w:hAnsiTheme="majorBidi" w:cstheme="majorBidi"/>
          <w:szCs w:val="24"/>
          <w:lang w:val="en-MY"/>
        </w:rPr>
        <w:t xml:space="preserve">(recipients) </w:t>
      </w:r>
      <w:r w:rsidRPr="00D1124B">
        <w:rPr>
          <w:rFonts w:asciiTheme="majorBidi" w:hAnsiTheme="majorBidi" w:cstheme="majorBidi"/>
          <w:szCs w:val="24"/>
          <w:lang w:val="en-MY"/>
        </w:rPr>
        <w:t>welfare. Fourth, how can a system of institutions respect doctrinal fidelity</w:t>
      </w:r>
      <w:r w:rsidR="00325619">
        <w:rPr>
          <w:rFonts w:asciiTheme="majorBidi" w:hAnsiTheme="majorBidi" w:cstheme="majorBidi"/>
          <w:szCs w:val="24"/>
          <w:lang w:val="en-MY"/>
        </w:rPr>
        <w:t>,</w:t>
      </w:r>
      <w:r w:rsidRPr="00D1124B">
        <w:rPr>
          <w:rFonts w:asciiTheme="majorBidi" w:hAnsiTheme="majorBidi" w:cstheme="majorBidi"/>
          <w:szCs w:val="24"/>
          <w:lang w:val="en-MY"/>
        </w:rPr>
        <w:t xml:space="preserve"> the public trust and distributive justice?</w:t>
      </w:r>
    </w:p>
    <w:p w:rsidR="002A4AEB" w:rsidRPr="009B5519" w:rsidRDefault="003B4FC0" w:rsidP="00E42491">
      <w:pPr>
        <w:pStyle w:val="Heading1"/>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 xml:space="preserve">2. </w:t>
      </w:r>
      <w:r w:rsidR="00042CBD" w:rsidRPr="009B5519">
        <w:rPr>
          <w:rFonts w:asciiTheme="majorBidi" w:hAnsiTheme="majorBidi"/>
          <w:color w:val="auto"/>
          <w:sz w:val="24"/>
          <w:szCs w:val="24"/>
          <w:lang w:val="en-MY"/>
        </w:rPr>
        <w:t>LITERATURE REVIEW</w:t>
      </w:r>
    </w:p>
    <w:p w:rsidR="002A4AEB" w:rsidRPr="009B5519" w:rsidRDefault="003B4FC0" w:rsidP="00E42491">
      <w:pPr>
        <w:pStyle w:val="Heading2"/>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 xml:space="preserve">2.1 </w:t>
      </w:r>
      <w:r w:rsidR="007F261A" w:rsidRPr="009B5519">
        <w:rPr>
          <w:rFonts w:asciiTheme="majorBidi" w:hAnsiTheme="majorBidi"/>
          <w:color w:val="auto"/>
          <w:sz w:val="24"/>
          <w:szCs w:val="24"/>
          <w:lang w:val="en-MY"/>
        </w:rPr>
        <w:t xml:space="preserve">CLASSICAL ZAKAT JURISPRUDENCE AND THE GOLD </w:t>
      </w:r>
      <w:r w:rsidR="003F1946">
        <w:rPr>
          <w:rFonts w:asciiTheme="majorBidi" w:hAnsiTheme="majorBidi"/>
          <w:color w:val="auto"/>
          <w:sz w:val="24"/>
          <w:szCs w:val="24"/>
          <w:lang w:val="en-MY"/>
        </w:rPr>
        <w:t>NIṢĀB</w:t>
      </w:r>
    </w:p>
    <w:p w:rsidR="00F50DBF" w:rsidRPr="009B5519" w:rsidRDefault="00D1124B" w:rsidP="00FE3474">
      <w:pPr>
        <w:jc w:val="both"/>
        <w:rPr>
          <w:rFonts w:asciiTheme="majorBidi" w:hAnsiTheme="majorBidi" w:cstheme="majorBidi"/>
          <w:szCs w:val="24"/>
          <w:lang w:val="en-MY"/>
        </w:rPr>
      </w:pPr>
      <w:r w:rsidRPr="00D1124B">
        <w:rPr>
          <w:rFonts w:asciiTheme="majorBidi" w:hAnsiTheme="majorBidi" w:cstheme="majorBidi"/>
          <w:szCs w:val="24"/>
          <w:lang w:val="en-MY"/>
        </w:rPr>
        <w:t xml:space="preserve">The classical definition of zakat states that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is the lowest denomination of wealth in which wealth is distinguished from ordinary wealth that must be paid for zakat. The consensus in the jurisprudential literature for gold is </w:t>
      </w:r>
      <w:r w:rsidR="00325619">
        <w:rPr>
          <w:rFonts w:asciiTheme="majorBidi" w:hAnsiTheme="majorBidi" w:cstheme="majorBidi"/>
          <w:szCs w:val="24"/>
          <w:lang w:val="en-MY"/>
        </w:rPr>
        <w:t xml:space="preserve">that the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is “20 dinars”,</w:t>
      </w:r>
      <w:r w:rsidRPr="00D1124B">
        <w:rPr>
          <w:rFonts w:asciiTheme="majorBidi" w:hAnsiTheme="majorBidi" w:cstheme="majorBidi"/>
          <w:szCs w:val="24"/>
          <w:lang w:val="en-MY"/>
        </w:rPr>
        <w:t xml:space="preserve"> and many institutions of zakat today view the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for gold at approximately 85 grams (Al-</w:t>
      </w:r>
      <w:proofErr w:type="spellStart"/>
      <w:r w:rsidRPr="00D1124B">
        <w:rPr>
          <w:rFonts w:asciiTheme="majorBidi" w:hAnsiTheme="majorBidi" w:cstheme="majorBidi"/>
          <w:szCs w:val="24"/>
          <w:lang w:val="en-MY"/>
        </w:rPr>
        <w:t>Qaradawi</w:t>
      </w:r>
      <w:proofErr w:type="spellEnd"/>
      <w:r w:rsidRPr="00D1124B">
        <w:rPr>
          <w:rFonts w:asciiTheme="majorBidi" w:hAnsiTheme="majorBidi" w:cstheme="majorBidi"/>
          <w:szCs w:val="24"/>
          <w:lang w:val="en-MY"/>
        </w:rPr>
        <w:t xml:space="preserve">, 1999). The concept of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is not </w:t>
      </w:r>
      <w:r w:rsidR="00325619">
        <w:rPr>
          <w:rFonts w:asciiTheme="majorBidi" w:hAnsiTheme="majorBidi" w:cstheme="majorBidi"/>
          <w:szCs w:val="24"/>
          <w:lang w:val="en-MY"/>
        </w:rPr>
        <w:t>limited to</w:t>
      </w:r>
      <w:r w:rsidRPr="00D1124B">
        <w:rPr>
          <w:rFonts w:asciiTheme="majorBidi" w:hAnsiTheme="majorBidi" w:cstheme="majorBidi"/>
          <w:szCs w:val="24"/>
          <w:lang w:val="en-MY"/>
        </w:rPr>
        <w:t xml:space="preserve"> money.</w:t>
      </w:r>
      <w:r>
        <w:rPr>
          <w:rFonts w:asciiTheme="majorBidi" w:hAnsiTheme="majorBidi" w:cstheme="majorBidi"/>
          <w:szCs w:val="24"/>
          <w:lang w:val="en-MY"/>
        </w:rPr>
        <w:t xml:space="preserve"> </w:t>
      </w:r>
      <w:r w:rsidR="00F50DBF" w:rsidRPr="009B5519">
        <w:rPr>
          <w:rFonts w:asciiTheme="majorBidi" w:hAnsiTheme="majorBidi" w:cstheme="majorBidi"/>
          <w:szCs w:val="24"/>
          <w:lang w:val="en-MY"/>
        </w:rPr>
        <w:t xml:space="preserve">It represents a normative assessment that only the surplus wealth is </w:t>
      </w:r>
      <w:r w:rsidR="00F50DBF" w:rsidRPr="009B5519">
        <w:rPr>
          <w:rFonts w:asciiTheme="majorBidi" w:hAnsiTheme="majorBidi" w:cstheme="majorBidi"/>
          <w:szCs w:val="24"/>
          <w:lang w:val="en-MY"/>
        </w:rPr>
        <w:lastRenderedPageBreak/>
        <w:t xml:space="preserve">subject to zakat, not the subsistence wealth. Thus, </w:t>
      </w:r>
      <w:proofErr w:type="spellStart"/>
      <w:r w:rsidR="003F1946">
        <w:rPr>
          <w:rFonts w:asciiTheme="majorBidi" w:hAnsiTheme="majorBidi" w:cstheme="majorBidi"/>
          <w:szCs w:val="24"/>
          <w:lang w:val="en-MY"/>
        </w:rPr>
        <w:t>niṣāb</w:t>
      </w:r>
      <w:proofErr w:type="spellEnd"/>
      <w:r w:rsidR="00F50DBF" w:rsidRPr="009B5519">
        <w:rPr>
          <w:rFonts w:asciiTheme="majorBidi" w:hAnsiTheme="majorBidi" w:cstheme="majorBidi"/>
          <w:szCs w:val="24"/>
          <w:lang w:val="en-MY"/>
        </w:rPr>
        <w:t xml:space="preserve"> safeguards </w:t>
      </w:r>
      <w:r w:rsidR="00E42491" w:rsidRPr="009B5519">
        <w:rPr>
          <w:rFonts w:asciiTheme="majorBidi" w:hAnsiTheme="majorBidi" w:cstheme="majorBidi"/>
          <w:szCs w:val="24"/>
          <w:lang w:val="en-MY"/>
        </w:rPr>
        <w:t>people on low incomes and ensures that anything</w:t>
      </w:r>
      <w:r w:rsidR="00526103" w:rsidRPr="009B5519">
        <w:rPr>
          <w:rFonts w:asciiTheme="majorBidi" w:hAnsiTheme="majorBidi" w:cstheme="majorBidi"/>
          <w:szCs w:val="24"/>
          <w:lang w:val="en-MY"/>
        </w:rPr>
        <w:t xml:space="preserve"> above this minimum level in social circulation</w:t>
      </w:r>
      <w:r w:rsidR="00F50DBF" w:rsidRPr="009B5519">
        <w:rPr>
          <w:rFonts w:asciiTheme="majorBidi" w:hAnsiTheme="majorBidi" w:cstheme="majorBidi"/>
          <w:szCs w:val="24"/>
          <w:lang w:val="en-MY"/>
        </w:rPr>
        <w:t xml:space="preserve"> undergoes redistribution.</w:t>
      </w:r>
    </w:p>
    <w:p w:rsidR="002A4AEB" w:rsidRPr="009B5519" w:rsidRDefault="00F50DBF" w:rsidP="001B50BB">
      <w:pPr>
        <w:ind w:firstLine="720"/>
        <w:jc w:val="both"/>
        <w:rPr>
          <w:rFonts w:asciiTheme="majorBidi" w:hAnsiTheme="majorBidi" w:cstheme="majorBidi"/>
          <w:szCs w:val="24"/>
          <w:lang w:val="en-MY"/>
        </w:rPr>
      </w:pPr>
      <w:r w:rsidRPr="009B5519">
        <w:rPr>
          <w:rFonts w:asciiTheme="majorBidi" w:hAnsiTheme="majorBidi" w:cstheme="majorBidi"/>
          <w:szCs w:val="24"/>
          <w:lang w:val="en-MY"/>
        </w:rPr>
        <w:t xml:space="preserve">The classical sources on the subject of </w:t>
      </w:r>
      <w:r w:rsidR="00FE3474">
        <w:rPr>
          <w:rFonts w:asciiTheme="majorBidi" w:hAnsiTheme="majorBidi" w:cstheme="majorBidi"/>
          <w:szCs w:val="24"/>
          <w:lang w:val="en-MY"/>
        </w:rPr>
        <w:t>z</w:t>
      </w:r>
      <w:r w:rsidRPr="009B5519">
        <w:rPr>
          <w:rFonts w:asciiTheme="majorBidi" w:hAnsiTheme="majorBidi" w:cstheme="majorBidi"/>
          <w:szCs w:val="24"/>
          <w:lang w:val="en-MY"/>
        </w:rPr>
        <w:t>akat, such as al-Umm by al-</w:t>
      </w:r>
      <w:proofErr w:type="spellStart"/>
      <w:r w:rsidRPr="009B5519">
        <w:rPr>
          <w:rFonts w:asciiTheme="majorBidi" w:hAnsiTheme="majorBidi" w:cstheme="majorBidi"/>
          <w:szCs w:val="24"/>
          <w:lang w:val="en-MY"/>
        </w:rPr>
        <w:t>Shāfiʿī</w:t>
      </w:r>
      <w:proofErr w:type="spellEnd"/>
      <w:r w:rsidRPr="009B5519">
        <w:rPr>
          <w:rFonts w:asciiTheme="majorBidi" w:hAnsiTheme="majorBidi" w:cstheme="majorBidi"/>
          <w:szCs w:val="24"/>
          <w:lang w:val="en-MY"/>
        </w:rPr>
        <w:t>, al-</w:t>
      </w:r>
      <w:proofErr w:type="spellStart"/>
      <w:r w:rsidRPr="009B5519">
        <w:rPr>
          <w:rFonts w:asciiTheme="majorBidi" w:hAnsiTheme="majorBidi" w:cstheme="majorBidi"/>
          <w:szCs w:val="24"/>
          <w:lang w:val="en-MY"/>
        </w:rPr>
        <w:t>Majmūʾ</w:t>
      </w:r>
      <w:proofErr w:type="spellEnd"/>
      <w:r w:rsidRPr="009B5519">
        <w:rPr>
          <w:rFonts w:asciiTheme="majorBidi" w:hAnsiTheme="majorBidi" w:cstheme="majorBidi"/>
          <w:szCs w:val="24"/>
          <w:lang w:val="en-MY"/>
        </w:rPr>
        <w:t xml:space="preserve"> by al-</w:t>
      </w:r>
      <w:proofErr w:type="spellStart"/>
      <w:r w:rsidRPr="009B5519">
        <w:rPr>
          <w:rFonts w:asciiTheme="majorBidi" w:hAnsiTheme="majorBidi" w:cstheme="majorBidi"/>
          <w:szCs w:val="24"/>
          <w:lang w:val="en-MY"/>
        </w:rPr>
        <w:t>Nawawī</w:t>
      </w:r>
      <w:proofErr w:type="spellEnd"/>
      <w:r w:rsidRPr="009B5519">
        <w:rPr>
          <w:rFonts w:asciiTheme="majorBidi" w:hAnsiTheme="majorBidi" w:cstheme="majorBidi"/>
          <w:szCs w:val="24"/>
          <w:lang w:val="en-MY"/>
        </w:rPr>
        <w:t>, al-</w:t>
      </w:r>
      <w:proofErr w:type="spellStart"/>
      <w:r w:rsidRPr="009B5519">
        <w:rPr>
          <w:rFonts w:asciiTheme="majorBidi" w:hAnsiTheme="majorBidi" w:cstheme="majorBidi"/>
          <w:szCs w:val="24"/>
          <w:lang w:val="en-MY"/>
        </w:rPr>
        <w:t>Mughnī</w:t>
      </w:r>
      <w:proofErr w:type="spellEnd"/>
      <w:r w:rsidRPr="009B5519">
        <w:rPr>
          <w:rFonts w:asciiTheme="majorBidi" w:hAnsiTheme="majorBidi" w:cstheme="majorBidi"/>
          <w:szCs w:val="24"/>
          <w:lang w:val="en-MY"/>
        </w:rPr>
        <w:t xml:space="preserve"> by Ibn </w:t>
      </w:r>
      <w:proofErr w:type="spellStart"/>
      <w:r w:rsidRPr="009B5519">
        <w:rPr>
          <w:rFonts w:asciiTheme="majorBidi" w:hAnsiTheme="majorBidi" w:cstheme="majorBidi"/>
          <w:szCs w:val="24"/>
          <w:lang w:val="en-MY"/>
        </w:rPr>
        <w:t>Qudāmah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Bidāyat</w:t>
      </w:r>
      <w:proofErr w:type="spellEnd"/>
      <w:r w:rsidRPr="009B5519">
        <w:rPr>
          <w:rFonts w:asciiTheme="majorBidi" w:hAnsiTheme="majorBidi" w:cstheme="majorBidi"/>
          <w:szCs w:val="24"/>
          <w:lang w:val="en-MY"/>
        </w:rPr>
        <w:t xml:space="preserve"> al-Mujtahid by Ibn </w:t>
      </w:r>
      <w:proofErr w:type="spellStart"/>
      <w:r w:rsidRPr="009B5519">
        <w:rPr>
          <w:rFonts w:asciiTheme="majorBidi" w:hAnsiTheme="majorBidi" w:cstheme="majorBidi"/>
          <w:szCs w:val="24"/>
          <w:lang w:val="en-MY"/>
        </w:rPr>
        <w:t>Rushd</w:t>
      </w:r>
      <w:proofErr w:type="spellEnd"/>
      <w:r w:rsidRPr="009B5519">
        <w:rPr>
          <w:rFonts w:asciiTheme="majorBidi" w:hAnsiTheme="majorBidi" w:cstheme="majorBidi"/>
          <w:szCs w:val="24"/>
          <w:lang w:val="en-MY"/>
        </w:rPr>
        <w:t>, al-</w:t>
      </w:r>
      <w:proofErr w:type="spellStart"/>
      <w:r w:rsidRPr="009B5519">
        <w:rPr>
          <w:rFonts w:asciiTheme="majorBidi" w:hAnsiTheme="majorBidi" w:cstheme="majorBidi"/>
          <w:szCs w:val="24"/>
          <w:lang w:val="en-MY"/>
        </w:rPr>
        <w:t>Muwaṭṭaʾ</w:t>
      </w:r>
      <w:proofErr w:type="spellEnd"/>
      <w:r w:rsidRPr="009B5519">
        <w:rPr>
          <w:rFonts w:asciiTheme="majorBidi" w:hAnsiTheme="majorBidi" w:cstheme="majorBidi"/>
          <w:szCs w:val="24"/>
          <w:lang w:val="en-MY"/>
        </w:rPr>
        <w:t xml:space="preserve"> of </w:t>
      </w:r>
      <w:proofErr w:type="spellStart"/>
      <w:r w:rsidRPr="009B5519">
        <w:rPr>
          <w:rFonts w:asciiTheme="majorBidi" w:hAnsiTheme="majorBidi" w:cstheme="majorBidi"/>
          <w:szCs w:val="24"/>
          <w:lang w:val="en-MY"/>
        </w:rPr>
        <w:t>Mālik</w:t>
      </w:r>
      <w:proofErr w:type="spellEnd"/>
      <w:r w:rsidRPr="009B5519">
        <w:rPr>
          <w:rFonts w:asciiTheme="majorBidi" w:hAnsiTheme="majorBidi" w:cstheme="majorBidi"/>
          <w:szCs w:val="24"/>
          <w:lang w:val="en-MY"/>
        </w:rPr>
        <w:t xml:space="preserve"> and other books, address gold, silver, trade values and monetary possessions within a jurisprudential system of ownership, </w:t>
      </w:r>
      <w:proofErr w:type="spellStart"/>
      <w:r w:rsidRPr="009B5519">
        <w:rPr>
          <w:rFonts w:asciiTheme="majorBidi" w:hAnsiTheme="majorBidi" w:cstheme="majorBidi"/>
          <w:szCs w:val="24"/>
          <w:lang w:val="en-MY"/>
        </w:rPr>
        <w:t>hawl</w:t>
      </w:r>
      <w:proofErr w:type="spellEnd"/>
      <w:r w:rsidRPr="009B5519">
        <w:rPr>
          <w:rFonts w:asciiTheme="majorBidi" w:hAnsiTheme="majorBidi" w:cstheme="majorBidi"/>
          <w:szCs w:val="24"/>
          <w:lang w:val="en-MY"/>
        </w:rPr>
        <w:t xml:space="preserve">,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rate and intention (al-</w:t>
      </w:r>
      <w:proofErr w:type="spellStart"/>
      <w:r w:rsidRPr="009B5519">
        <w:rPr>
          <w:rFonts w:asciiTheme="majorBidi" w:hAnsiTheme="majorBidi" w:cstheme="majorBidi"/>
          <w:szCs w:val="24"/>
          <w:lang w:val="en-MY"/>
        </w:rPr>
        <w:t>Zuhayli</w:t>
      </w:r>
      <w:proofErr w:type="spellEnd"/>
      <w:r w:rsidRPr="009B5519">
        <w:rPr>
          <w:rFonts w:asciiTheme="majorBidi" w:hAnsiTheme="majorBidi" w:cstheme="majorBidi"/>
          <w:szCs w:val="24"/>
          <w:lang w:val="en-MY"/>
        </w:rPr>
        <w:t xml:space="preserve">, </w:t>
      </w:r>
      <w:r w:rsidR="00073750">
        <w:rPr>
          <w:rFonts w:asciiTheme="majorBidi" w:hAnsiTheme="majorBidi" w:cstheme="majorBidi"/>
          <w:szCs w:val="24"/>
          <w:lang w:val="en-MY"/>
        </w:rPr>
        <w:t>1985</w:t>
      </w:r>
      <w:r w:rsidRPr="009B5519">
        <w:rPr>
          <w:rFonts w:asciiTheme="majorBidi" w:hAnsiTheme="majorBidi" w:cstheme="majorBidi"/>
          <w:szCs w:val="24"/>
          <w:lang w:val="en-MY"/>
        </w:rPr>
        <w:t>; al-Umm by al-</w:t>
      </w:r>
      <w:proofErr w:type="spellStart"/>
      <w:r w:rsidRPr="009B5519">
        <w:rPr>
          <w:rFonts w:asciiTheme="majorBidi" w:hAnsiTheme="majorBidi" w:cstheme="majorBidi"/>
          <w:szCs w:val="24"/>
          <w:lang w:val="en-MY"/>
        </w:rPr>
        <w:t>Shāfiʿī</w:t>
      </w:r>
      <w:proofErr w:type="spellEnd"/>
      <w:r w:rsidRPr="009B5519">
        <w:rPr>
          <w:rFonts w:asciiTheme="majorBidi" w:hAnsiTheme="majorBidi" w:cstheme="majorBidi"/>
          <w:szCs w:val="24"/>
          <w:lang w:val="en-MY"/>
        </w:rPr>
        <w:t>, 2001; al-</w:t>
      </w:r>
      <w:proofErr w:type="spellStart"/>
      <w:r w:rsidRPr="009B5519">
        <w:rPr>
          <w:rFonts w:asciiTheme="majorBidi" w:hAnsiTheme="majorBidi" w:cstheme="majorBidi"/>
          <w:szCs w:val="24"/>
          <w:lang w:val="en-MY"/>
        </w:rPr>
        <w:t>Majmūʾ</w:t>
      </w:r>
      <w:proofErr w:type="spellEnd"/>
      <w:r w:rsidRPr="009B5519">
        <w:rPr>
          <w:rFonts w:asciiTheme="majorBidi" w:hAnsiTheme="majorBidi" w:cstheme="majorBidi"/>
          <w:szCs w:val="24"/>
          <w:lang w:val="en-MY"/>
        </w:rPr>
        <w:t xml:space="preserve"> by al-</w:t>
      </w:r>
      <w:proofErr w:type="spellStart"/>
      <w:r w:rsidRPr="009B5519">
        <w:rPr>
          <w:rFonts w:asciiTheme="majorBidi" w:hAnsiTheme="majorBidi" w:cstheme="majorBidi"/>
          <w:szCs w:val="24"/>
          <w:lang w:val="en-MY"/>
        </w:rPr>
        <w:t>Nawawī</w:t>
      </w:r>
      <w:proofErr w:type="spellEnd"/>
      <w:r w:rsidRPr="009B5519">
        <w:rPr>
          <w:rFonts w:asciiTheme="majorBidi" w:hAnsiTheme="majorBidi" w:cstheme="majorBidi"/>
          <w:szCs w:val="24"/>
          <w:lang w:val="en-MY"/>
        </w:rPr>
        <w:t>, 1</w:t>
      </w:r>
      <w:r w:rsidR="004D0968">
        <w:rPr>
          <w:rFonts w:asciiTheme="majorBidi" w:hAnsiTheme="majorBidi" w:cstheme="majorBidi"/>
          <w:szCs w:val="24"/>
          <w:lang w:val="en-MY"/>
        </w:rPr>
        <w:t>344</w:t>
      </w:r>
      <w:r w:rsidRPr="009B5519">
        <w:rPr>
          <w:rFonts w:asciiTheme="majorBidi" w:hAnsiTheme="majorBidi" w:cstheme="majorBidi"/>
          <w:szCs w:val="24"/>
          <w:lang w:val="en-MY"/>
        </w:rPr>
        <w:t>; al-</w:t>
      </w:r>
      <w:proofErr w:type="spellStart"/>
      <w:r w:rsidRPr="009B5519">
        <w:rPr>
          <w:rFonts w:asciiTheme="majorBidi" w:hAnsiTheme="majorBidi" w:cstheme="majorBidi"/>
          <w:szCs w:val="24"/>
          <w:lang w:val="en-MY"/>
        </w:rPr>
        <w:t>Mughnī</w:t>
      </w:r>
      <w:proofErr w:type="spellEnd"/>
      <w:r w:rsidRPr="009B5519">
        <w:rPr>
          <w:rFonts w:asciiTheme="majorBidi" w:hAnsiTheme="majorBidi" w:cstheme="majorBidi"/>
          <w:szCs w:val="24"/>
          <w:lang w:val="en-MY"/>
        </w:rPr>
        <w:t xml:space="preserve"> by Ibn </w:t>
      </w:r>
      <w:proofErr w:type="spellStart"/>
      <w:r w:rsidRPr="009B5519">
        <w:rPr>
          <w:rFonts w:asciiTheme="majorBidi" w:hAnsiTheme="majorBidi" w:cstheme="majorBidi"/>
          <w:szCs w:val="24"/>
          <w:lang w:val="en-MY"/>
        </w:rPr>
        <w:t>Qudāmah</w:t>
      </w:r>
      <w:proofErr w:type="spellEnd"/>
      <w:r w:rsidRPr="009B5519">
        <w:rPr>
          <w:rFonts w:asciiTheme="majorBidi" w:hAnsiTheme="majorBidi" w:cstheme="majorBidi"/>
          <w:szCs w:val="24"/>
          <w:lang w:val="en-MY"/>
        </w:rPr>
        <w:t xml:space="preserve">, 1968; </w:t>
      </w:r>
      <w:proofErr w:type="spellStart"/>
      <w:r w:rsidRPr="009B5519">
        <w:rPr>
          <w:rFonts w:asciiTheme="majorBidi" w:hAnsiTheme="majorBidi" w:cstheme="majorBidi"/>
          <w:szCs w:val="24"/>
          <w:lang w:val="en-MY"/>
        </w:rPr>
        <w:t>Bidāyat</w:t>
      </w:r>
      <w:proofErr w:type="spellEnd"/>
      <w:r w:rsidRPr="009B5519">
        <w:rPr>
          <w:rFonts w:asciiTheme="majorBidi" w:hAnsiTheme="majorBidi" w:cstheme="majorBidi"/>
          <w:szCs w:val="24"/>
          <w:lang w:val="en-MY"/>
        </w:rPr>
        <w:t xml:space="preserve"> al-Mujtahid by Ibn </w:t>
      </w:r>
      <w:proofErr w:type="spellStart"/>
      <w:r w:rsidRPr="009B5519">
        <w:rPr>
          <w:rFonts w:asciiTheme="majorBidi" w:hAnsiTheme="majorBidi" w:cstheme="majorBidi"/>
          <w:szCs w:val="24"/>
          <w:lang w:val="en-MY"/>
        </w:rPr>
        <w:t>Rushd</w:t>
      </w:r>
      <w:proofErr w:type="spellEnd"/>
      <w:r w:rsidRPr="009B5519">
        <w:rPr>
          <w:rFonts w:asciiTheme="majorBidi" w:hAnsiTheme="majorBidi" w:cstheme="majorBidi"/>
          <w:szCs w:val="24"/>
          <w:lang w:val="en-MY"/>
        </w:rPr>
        <w:t>, 2004; al-</w:t>
      </w:r>
      <w:proofErr w:type="spellStart"/>
      <w:r w:rsidRPr="009B5519">
        <w:rPr>
          <w:rFonts w:asciiTheme="majorBidi" w:hAnsiTheme="majorBidi" w:cstheme="majorBidi"/>
          <w:szCs w:val="24"/>
          <w:lang w:val="en-MY"/>
        </w:rPr>
        <w:t>Muwaṭṭaʾ</w:t>
      </w:r>
      <w:proofErr w:type="spellEnd"/>
      <w:r w:rsidRPr="009B5519">
        <w:rPr>
          <w:rFonts w:asciiTheme="majorBidi" w:hAnsiTheme="majorBidi" w:cstheme="majorBidi"/>
          <w:szCs w:val="24"/>
          <w:lang w:val="en-MY"/>
        </w:rPr>
        <w:t xml:space="preserve"> of </w:t>
      </w:r>
      <w:proofErr w:type="spellStart"/>
      <w:r w:rsidRPr="009B5519">
        <w:rPr>
          <w:rFonts w:asciiTheme="majorBidi" w:hAnsiTheme="majorBidi" w:cstheme="majorBidi"/>
          <w:szCs w:val="24"/>
          <w:lang w:val="en-MY"/>
        </w:rPr>
        <w:t>Mālik</w:t>
      </w:r>
      <w:proofErr w:type="spellEnd"/>
      <w:r w:rsidRPr="009B5519">
        <w:rPr>
          <w:rFonts w:asciiTheme="majorBidi" w:hAnsiTheme="majorBidi" w:cstheme="majorBidi"/>
          <w:szCs w:val="24"/>
          <w:lang w:val="en-MY"/>
        </w:rPr>
        <w:t>, 1985). It is not that these works did not experience the modern obfuscation of fiat currency values in the same manner</w:t>
      </w:r>
      <w:r w:rsidR="00526103" w:rsidRPr="009B5519">
        <w:rPr>
          <w:rFonts w:asciiTheme="majorBidi" w:hAnsiTheme="majorBidi" w:cstheme="majorBidi"/>
          <w:szCs w:val="24"/>
          <w:lang w:val="en-MY"/>
        </w:rPr>
        <w:t>,</w:t>
      </w:r>
      <w:r w:rsidRPr="009B5519">
        <w:rPr>
          <w:rFonts w:asciiTheme="majorBidi" w:hAnsiTheme="majorBidi" w:cstheme="majorBidi"/>
          <w:szCs w:val="24"/>
          <w:lang w:val="en-MY"/>
        </w:rPr>
        <w:t xml:space="preserve"> since gold and silver were both monetary substances and direct stores of monetary value. </w:t>
      </w:r>
      <w:r w:rsidR="00FE3474">
        <w:rPr>
          <w:rFonts w:asciiTheme="majorBidi" w:hAnsiTheme="majorBidi" w:cstheme="majorBidi"/>
          <w:szCs w:val="24"/>
          <w:lang w:val="en-MY"/>
        </w:rPr>
        <w:t>On the other hand, i</w:t>
      </w:r>
      <w:r w:rsidRPr="009B5519">
        <w:rPr>
          <w:rFonts w:asciiTheme="majorBidi" w:hAnsiTheme="majorBidi" w:cstheme="majorBidi"/>
          <w:szCs w:val="24"/>
          <w:lang w:val="en-MY"/>
        </w:rPr>
        <w:t xml:space="preserve">n contemporary </w:t>
      </w:r>
      <w:r w:rsidR="00526103" w:rsidRPr="009B5519">
        <w:rPr>
          <w:rFonts w:asciiTheme="majorBidi" w:hAnsiTheme="majorBidi" w:cstheme="majorBidi"/>
          <w:szCs w:val="24"/>
          <w:lang w:val="en-MY"/>
        </w:rPr>
        <w:t xml:space="preserve">zakat governance, the threshold </w:t>
      </w:r>
      <w:r w:rsidR="00186F89">
        <w:rPr>
          <w:rFonts w:asciiTheme="majorBidi" w:hAnsiTheme="majorBidi" w:cstheme="majorBidi"/>
          <w:szCs w:val="24"/>
          <w:lang w:val="en-MY"/>
        </w:rPr>
        <w:t>must be determined in the currency whose purchasing power and exchange rate fluctuate</w:t>
      </w:r>
      <w:r w:rsidRPr="009B5519">
        <w:rPr>
          <w:rFonts w:asciiTheme="majorBidi" w:hAnsiTheme="majorBidi" w:cstheme="majorBidi"/>
          <w:szCs w:val="24"/>
          <w:lang w:val="en-MY"/>
        </w:rPr>
        <w:t xml:space="preserve"> with gold</w:t>
      </w:r>
      <w:r w:rsidR="00FE3474">
        <w:rPr>
          <w:rFonts w:asciiTheme="majorBidi" w:hAnsiTheme="majorBidi" w:cstheme="majorBidi"/>
          <w:szCs w:val="24"/>
          <w:lang w:val="en-MY"/>
        </w:rPr>
        <w:t xml:space="preserve"> </w:t>
      </w:r>
      <w:r w:rsidR="00FE3474">
        <w:rPr>
          <w:rFonts w:asciiTheme="majorBidi" w:hAnsiTheme="majorBidi" w:cstheme="majorBidi"/>
          <w:szCs w:val="24"/>
          <w:lang w:val="en-MY"/>
        </w:rPr>
        <w:fldChar w:fldCharType="begin"/>
      </w:r>
      <w:r w:rsidR="00FE3474">
        <w:rPr>
          <w:rFonts w:asciiTheme="majorBidi" w:hAnsiTheme="majorBidi" w:cstheme="majorBidi"/>
          <w:szCs w:val="24"/>
          <w:lang w:val="en-MY"/>
        </w:rPr>
        <w:instrText xml:space="preserve"> ADDIN ZOTERO_ITEM CSL_CITATION {"citationID":"xmVNyts2","properties":{"unsorted":false,"formattedCitation":"(Baharudin, 2023)","plainCitation":"(Baharudin, 2023)","noteIndex":0},"citationItems":[{"id":1138,"uris":["http://zotero.org/users/17067337/items/YTY7HUG5"],"itemData":{"id":1138,"type":"thesis","genre":"PhD Thesis","publisher":"Universiti Teknologi MARA (UiTM)","source":"Google Scholar","title":"Exploring the guidelines of zakat on cryptocurrency","URL":"https://ir.uitm.edu.my/id/eprint/88694/","author":[{"family":"Baharudin","given":"Mohammad Hidir"}],"accessed":{"date-parts":[["2025",6,5]]},"issued":{"date-parts":[["2023"]]}}}],"schema":"https://github.com/citation-style-language/schema/raw/master/csl-citation.json"} </w:instrText>
      </w:r>
      <w:r w:rsidR="00FE3474">
        <w:rPr>
          <w:rFonts w:asciiTheme="majorBidi" w:hAnsiTheme="majorBidi" w:cstheme="majorBidi"/>
          <w:szCs w:val="24"/>
          <w:lang w:val="en-MY"/>
        </w:rPr>
        <w:fldChar w:fldCharType="separate"/>
      </w:r>
      <w:r w:rsidR="00FE3474" w:rsidRPr="00FE3474">
        <w:rPr>
          <w:rFonts w:cs="Times New Roman"/>
        </w:rPr>
        <w:t>(Baharudin, 2023)</w:t>
      </w:r>
      <w:r w:rsidR="00FE3474">
        <w:rPr>
          <w:rFonts w:asciiTheme="majorBidi" w:hAnsiTheme="majorBidi" w:cstheme="majorBidi"/>
          <w:szCs w:val="24"/>
          <w:lang w:val="en-MY"/>
        </w:rPr>
        <w:fldChar w:fldCharType="end"/>
      </w:r>
      <w:r w:rsidRPr="009B5519">
        <w:rPr>
          <w:rFonts w:asciiTheme="majorBidi" w:hAnsiTheme="majorBidi" w:cstheme="majorBidi"/>
          <w:szCs w:val="24"/>
          <w:lang w:val="en-MY"/>
        </w:rPr>
        <w:t>.</w:t>
      </w:r>
      <w:r w:rsidR="001B50BB">
        <w:rPr>
          <w:rFonts w:asciiTheme="majorBidi" w:hAnsiTheme="majorBidi" w:cstheme="majorBidi"/>
          <w:szCs w:val="24"/>
          <w:lang w:val="en-MY"/>
        </w:rPr>
        <w:t xml:space="preserve"> However, modern currencies are susceptible to manipulation. It is important to avoid manipulating the zakat liability, as</w:t>
      </w:r>
      <w:r w:rsidR="00526103" w:rsidRPr="009B5519">
        <w:rPr>
          <w:rFonts w:asciiTheme="majorBidi" w:hAnsiTheme="majorBidi" w:cstheme="majorBidi"/>
          <w:szCs w:val="24"/>
          <w:lang w:val="en-MY"/>
        </w:rPr>
        <w:t xml:space="preserve"> emphasised</w:t>
      </w:r>
      <w:r w:rsidRPr="009B5519">
        <w:rPr>
          <w:rFonts w:asciiTheme="majorBidi" w:hAnsiTheme="majorBidi" w:cstheme="majorBidi"/>
          <w:szCs w:val="24"/>
          <w:lang w:val="en-MY"/>
        </w:rPr>
        <w:t xml:space="preserve"> in the </w:t>
      </w:r>
      <w:r w:rsidR="00FE3474">
        <w:rPr>
          <w:rFonts w:asciiTheme="majorBidi" w:hAnsiTheme="majorBidi" w:cstheme="majorBidi"/>
          <w:szCs w:val="24"/>
          <w:lang w:val="en-MY"/>
        </w:rPr>
        <w:t>prophetic traditions</w:t>
      </w:r>
      <w:r w:rsidRPr="009B5519">
        <w:rPr>
          <w:rFonts w:asciiTheme="majorBidi" w:hAnsiTheme="majorBidi" w:cstheme="majorBidi"/>
          <w:szCs w:val="24"/>
          <w:lang w:val="en-MY"/>
        </w:rPr>
        <w:t>. According to one relevant report:</w:t>
      </w:r>
    </w:p>
    <w:p w:rsidR="00FA0B45" w:rsidRPr="006B1668" w:rsidRDefault="003B4FC0" w:rsidP="00E42491">
      <w:pPr>
        <w:bidi/>
        <w:spacing w:after="0"/>
        <w:ind w:firstLine="504"/>
        <w:jc w:val="both"/>
        <w:rPr>
          <w:rFonts w:asciiTheme="majorBidi" w:hAnsiTheme="majorBidi" w:cstheme="majorBidi"/>
          <w:szCs w:val="24"/>
          <w:lang w:val="en-MY"/>
        </w:rPr>
      </w:pPr>
      <w:proofErr w:type="spellStart"/>
      <w:r w:rsidRPr="006B1668">
        <w:rPr>
          <w:rFonts w:asciiTheme="majorBidi" w:hAnsiTheme="majorBidi" w:cstheme="majorBidi"/>
          <w:szCs w:val="24"/>
          <w:lang w:val="en-MY"/>
        </w:rPr>
        <w:t>وَلَا</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يُجْمَعُ</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بَيْنَ</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مُتَفَرِّقٍ</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وَلَا</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يُفَرَّقُ</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بَيْنَ</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مُجْتَمِعٍ</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خَشْيَةَ</w:t>
      </w:r>
      <w:proofErr w:type="spellEnd"/>
      <w:r w:rsidRPr="006B1668">
        <w:rPr>
          <w:rFonts w:asciiTheme="majorBidi" w:hAnsiTheme="majorBidi" w:cstheme="majorBidi"/>
          <w:szCs w:val="24"/>
          <w:lang w:val="en-MY"/>
        </w:rPr>
        <w:t xml:space="preserve"> </w:t>
      </w:r>
      <w:proofErr w:type="spellStart"/>
      <w:r w:rsidRPr="006B1668">
        <w:rPr>
          <w:rFonts w:asciiTheme="majorBidi" w:hAnsiTheme="majorBidi" w:cstheme="majorBidi"/>
          <w:szCs w:val="24"/>
          <w:lang w:val="en-MY"/>
        </w:rPr>
        <w:t>الصَّدَقَةِ</w:t>
      </w:r>
      <w:proofErr w:type="spellEnd"/>
    </w:p>
    <w:p w:rsidR="002A4AEB" w:rsidRPr="009B5519" w:rsidRDefault="00325619" w:rsidP="00325619">
      <w:pPr>
        <w:spacing w:after="0"/>
        <w:ind w:left="720" w:right="571"/>
        <w:jc w:val="both"/>
        <w:rPr>
          <w:rFonts w:asciiTheme="majorBidi" w:hAnsiTheme="majorBidi" w:cstheme="majorBidi"/>
          <w:szCs w:val="24"/>
          <w:lang w:val="en-MY"/>
        </w:rPr>
      </w:pPr>
      <w:r>
        <w:rPr>
          <w:rFonts w:asciiTheme="majorBidi" w:hAnsiTheme="majorBidi" w:cstheme="majorBidi"/>
          <w:szCs w:val="24"/>
          <w:lang w:val="en-MY"/>
        </w:rPr>
        <w:t>“</w:t>
      </w:r>
      <w:r w:rsidR="003B4FC0" w:rsidRPr="009B5519">
        <w:rPr>
          <w:rFonts w:asciiTheme="majorBidi" w:hAnsiTheme="majorBidi" w:cstheme="majorBidi"/>
          <w:szCs w:val="24"/>
          <w:lang w:val="en-MY"/>
        </w:rPr>
        <w:t>Separate properties should not be combined, and combined properties should not be separated, out of fear of zakat</w:t>
      </w:r>
      <w:r w:rsidR="00FA0B45" w:rsidRPr="009B5519">
        <w:rPr>
          <w:rFonts w:asciiTheme="majorBidi" w:hAnsiTheme="majorBidi" w:cstheme="majorBidi"/>
          <w:szCs w:val="24"/>
          <w:lang w:val="en-MY"/>
        </w:rPr>
        <w:t xml:space="preserve"> </w:t>
      </w:r>
      <w:r w:rsidR="00FA0B45" w:rsidRPr="009B5519">
        <w:rPr>
          <w:rFonts w:asciiTheme="majorBidi" w:hAnsiTheme="majorBidi" w:cstheme="majorBidi"/>
          <w:szCs w:val="24"/>
          <w:lang w:val="en-MY"/>
        </w:rPr>
        <w:fldChar w:fldCharType="begin"/>
      </w:r>
      <w:r w:rsidR="00FA0B45" w:rsidRPr="009B5519">
        <w:rPr>
          <w:rFonts w:asciiTheme="majorBidi" w:hAnsiTheme="majorBidi" w:cstheme="majorBidi"/>
          <w:szCs w:val="24"/>
          <w:lang w:val="en-MY"/>
        </w:rPr>
        <w:instrText xml:space="preserve"> ADDIN ZOTERO_ITEM CSL_CITATION {"citationID":"4y2XCB2Q","properties":{"unsorted":false,"formattedCitation":"(Al-Bukhari, 1450)","plainCitation":"(Al-Bukhari, 1450)","noteIndex":0},"citationItems":[{"id":3646,"uris":["http://zotero.org/users/17067337/items/D2TZGX92"],"itemData":{"id":3646,"type":"webpage","abstract":"Hadith of the Prophet Muhammad (saws) in English and Arabic","container-title":"Obligatory Charity Tax (Zakat)","title":"Sahih al-Bukhari 1450","URL":"https://sunnah.com/bukhari:1450","author":[{"family":"Al-Bukhari","given":""}],"accessed":{"date-parts":[["2026",6,16]]},"issued":{"date-parts":[["1450"]]}}}],"schema":"https://github.com/citation-style-language/schema/raw/master/csl-citation.json"} </w:instrText>
      </w:r>
      <w:r w:rsidR="00FA0B45" w:rsidRPr="009B5519">
        <w:rPr>
          <w:rFonts w:asciiTheme="majorBidi" w:hAnsiTheme="majorBidi" w:cstheme="majorBidi"/>
          <w:szCs w:val="24"/>
          <w:lang w:val="en-MY"/>
        </w:rPr>
        <w:fldChar w:fldCharType="separate"/>
      </w:r>
      <w:r w:rsidR="00FA0B45" w:rsidRPr="009B5519">
        <w:rPr>
          <w:rFonts w:asciiTheme="majorBidi" w:hAnsiTheme="majorBidi" w:cstheme="majorBidi"/>
          <w:szCs w:val="24"/>
          <w:lang w:val="en-MY"/>
        </w:rPr>
        <w:t>(</w:t>
      </w:r>
      <w:r w:rsidR="00073750" w:rsidRPr="00073750">
        <w:rPr>
          <w:rFonts w:asciiTheme="majorBidi" w:hAnsiTheme="majorBidi" w:cstheme="majorBidi"/>
          <w:szCs w:val="24"/>
          <w:lang w:val="en-MY"/>
        </w:rPr>
        <w:t>Al-Bukhārī (</w:t>
      </w:r>
      <w:r w:rsidR="00073750">
        <w:rPr>
          <w:rFonts w:asciiTheme="majorBidi" w:hAnsiTheme="majorBidi" w:cstheme="majorBidi"/>
          <w:szCs w:val="24"/>
          <w:lang w:val="en-MY"/>
        </w:rPr>
        <w:t>1422)</w:t>
      </w:r>
      <w:r w:rsidR="00FA0B45" w:rsidRPr="009B5519">
        <w:rPr>
          <w:rFonts w:asciiTheme="majorBidi" w:hAnsiTheme="majorBidi" w:cstheme="majorBidi"/>
          <w:szCs w:val="24"/>
          <w:lang w:val="en-MY"/>
        </w:rPr>
        <w:t>,</w:t>
      </w:r>
      <w:r w:rsidR="00073750">
        <w:rPr>
          <w:rFonts w:asciiTheme="majorBidi" w:hAnsiTheme="majorBidi" w:cstheme="majorBidi"/>
          <w:szCs w:val="24"/>
          <w:lang w:val="en-MY"/>
        </w:rPr>
        <w:t xml:space="preserve"> </w:t>
      </w:r>
      <w:r w:rsidR="00073750" w:rsidRPr="00073750">
        <w:rPr>
          <w:rFonts w:asciiTheme="majorBidi" w:hAnsiTheme="majorBidi" w:cstheme="majorBidi"/>
          <w:szCs w:val="24"/>
          <w:lang w:val="en-MY"/>
        </w:rPr>
        <w:t>ḥadīth</w:t>
      </w:r>
      <w:r w:rsidR="00073750">
        <w:rPr>
          <w:rFonts w:asciiTheme="majorBidi" w:hAnsiTheme="majorBidi" w:cstheme="majorBidi"/>
          <w:szCs w:val="24"/>
          <w:lang w:val="en-MY"/>
        </w:rPr>
        <w:t xml:space="preserve"> no.</w:t>
      </w:r>
      <w:r w:rsidR="00FA0B45" w:rsidRPr="009B5519">
        <w:rPr>
          <w:rFonts w:asciiTheme="majorBidi" w:hAnsiTheme="majorBidi" w:cstheme="majorBidi"/>
          <w:szCs w:val="24"/>
          <w:lang w:val="en-MY"/>
        </w:rPr>
        <w:t xml:space="preserve"> 1450)</w:t>
      </w:r>
      <w:r w:rsidR="00FA0B45" w:rsidRPr="009B5519">
        <w:rPr>
          <w:rFonts w:asciiTheme="majorBidi" w:hAnsiTheme="majorBidi" w:cstheme="majorBidi"/>
          <w:szCs w:val="24"/>
          <w:lang w:val="en-MY"/>
        </w:rPr>
        <w:fldChar w:fldCharType="end"/>
      </w:r>
      <w:r w:rsidR="003B4FC0" w:rsidRPr="009B5519">
        <w:rPr>
          <w:rFonts w:asciiTheme="majorBidi" w:hAnsiTheme="majorBidi" w:cstheme="majorBidi"/>
          <w:szCs w:val="24"/>
          <w:lang w:val="en-MY"/>
        </w:rPr>
        <w:t>.</w:t>
      </w:r>
      <w:r>
        <w:rPr>
          <w:rFonts w:asciiTheme="majorBidi" w:hAnsiTheme="majorBidi" w:cstheme="majorBidi"/>
          <w:szCs w:val="24"/>
          <w:lang w:val="en-MY"/>
        </w:rPr>
        <w:t>”</w:t>
      </w:r>
    </w:p>
    <w:p w:rsidR="00FA0B45" w:rsidRPr="009B5519" w:rsidRDefault="00FA0B45" w:rsidP="00E42491">
      <w:pPr>
        <w:spacing w:after="0"/>
        <w:jc w:val="both"/>
        <w:rPr>
          <w:rFonts w:asciiTheme="majorBidi" w:hAnsiTheme="majorBidi" w:cstheme="majorBidi"/>
          <w:szCs w:val="24"/>
          <w:lang w:val="en-MY"/>
        </w:rPr>
      </w:pPr>
    </w:p>
    <w:p w:rsidR="00F50DBF" w:rsidRPr="009B5519" w:rsidRDefault="00042CBD" w:rsidP="00042CBD">
      <w:pPr>
        <w:spacing w:after="0"/>
        <w:ind w:firstLine="720"/>
        <w:jc w:val="both"/>
        <w:rPr>
          <w:rFonts w:asciiTheme="majorBidi" w:hAnsiTheme="majorBidi" w:cstheme="majorBidi"/>
          <w:szCs w:val="24"/>
          <w:lang w:val="en-MY"/>
        </w:rPr>
      </w:pPr>
      <w:r w:rsidRPr="009B5519">
        <w:rPr>
          <w:rFonts w:asciiTheme="majorBidi" w:hAnsiTheme="majorBidi" w:cstheme="majorBidi"/>
          <w:szCs w:val="24"/>
          <w:lang w:val="en-MY"/>
        </w:rPr>
        <w:t>Al-</w:t>
      </w:r>
      <w:r w:rsidR="00325619">
        <w:rPr>
          <w:rFonts w:asciiTheme="majorBidi" w:hAnsiTheme="majorBidi" w:cstheme="majorBidi"/>
          <w:szCs w:val="24"/>
          <w:lang w:val="en-MY"/>
        </w:rPr>
        <w:t>’</w:t>
      </w:r>
      <w:proofErr w:type="spellStart"/>
      <w:r w:rsidRPr="009B5519">
        <w:rPr>
          <w:rFonts w:asciiTheme="majorBidi" w:hAnsiTheme="majorBidi" w:cstheme="majorBidi"/>
          <w:szCs w:val="24"/>
          <w:lang w:val="en-MY"/>
        </w:rPr>
        <w:t>A</w:t>
      </w:r>
      <w:r w:rsidR="00073750">
        <w:rPr>
          <w:rFonts w:asciiTheme="majorBidi" w:hAnsiTheme="majorBidi" w:cstheme="majorBidi"/>
          <w:szCs w:val="24"/>
          <w:lang w:val="en-MY"/>
        </w:rPr>
        <w:t>y</w:t>
      </w:r>
      <w:r w:rsidRPr="009B5519">
        <w:rPr>
          <w:rFonts w:asciiTheme="majorBidi" w:hAnsiTheme="majorBidi" w:cstheme="majorBidi"/>
          <w:szCs w:val="24"/>
          <w:lang w:val="en-MY"/>
        </w:rPr>
        <w:t>ni</w:t>
      </w:r>
      <w:proofErr w:type="spellEnd"/>
      <w:r w:rsidRPr="009B5519">
        <w:rPr>
          <w:rFonts w:asciiTheme="majorBidi" w:hAnsiTheme="majorBidi" w:cstheme="majorBidi"/>
          <w:szCs w:val="24"/>
          <w:lang w:val="en-MY"/>
        </w:rPr>
        <w:t xml:space="preserve"> explains that </w:t>
      </w:r>
      <w:r w:rsidR="009B5519" w:rsidRPr="009B5519">
        <w:rPr>
          <w:rFonts w:asciiTheme="majorBidi" w:hAnsiTheme="majorBidi" w:cstheme="majorBidi"/>
          <w:szCs w:val="24"/>
          <w:lang w:val="en-MY"/>
        </w:rPr>
        <w:t xml:space="preserve">the quotation </w:t>
      </w:r>
      <w:r w:rsidR="00325619">
        <w:rPr>
          <w:rFonts w:asciiTheme="majorBidi" w:hAnsiTheme="majorBidi" w:cstheme="majorBidi"/>
          <w:szCs w:val="24"/>
          <w:lang w:val="en-MY"/>
        </w:rPr>
        <w:t>“</w:t>
      </w:r>
      <w:r w:rsidRPr="009B5519">
        <w:rPr>
          <w:rFonts w:asciiTheme="majorBidi" w:hAnsiTheme="majorBidi" w:cstheme="majorBidi"/>
          <w:szCs w:val="24"/>
          <w:lang w:val="en-MY"/>
        </w:rPr>
        <w:t xml:space="preserve">properties </w:t>
      </w:r>
      <w:r w:rsidR="00F50DBF" w:rsidRPr="009B5519">
        <w:rPr>
          <w:rFonts w:asciiTheme="majorBidi" w:hAnsiTheme="majorBidi" w:cstheme="majorBidi"/>
          <w:szCs w:val="24"/>
          <w:lang w:val="en-MY"/>
        </w:rPr>
        <w:t>should not be combined</w:t>
      </w:r>
      <w:r w:rsidR="00325619">
        <w:rPr>
          <w:rFonts w:asciiTheme="majorBidi" w:hAnsiTheme="majorBidi" w:cstheme="majorBidi"/>
          <w:szCs w:val="24"/>
          <w:lang w:val="en-MY"/>
        </w:rPr>
        <w:t>”</w:t>
      </w:r>
      <w:r w:rsidRPr="009B5519">
        <w:rPr>
          <w:rFonts w:asciiTheme="majorBidi" w:hAnsiTheme="majorBidi" w:cstheme="majorBidi"/>
          <w:szCs w:val="24"/>
          <w:lang w:val="en-MY"/>
        </w:rPr>
        <w:t xml:space="preserve"> is</w:t>
      </w:r>
      <w:r w:rsidR="00F50DBF" w:rsidRPr="009B5519">
        <w:rPr>
          <w:rFonts w:asciiTheme="majorBidi" w:hAnsiTheme="majorBidi" w:cstheme="majorBidi"/>
          <w:szCs w:val="24"/>
          <w:lang w:val="en-MY"/>
        </w:rPr>
        <w:t xml:space="preserve"> syntactically related to </w:t>
      </w:r>
      <w:r w:rsidR="00325619">
        <w:rPr>
          <w:rFonts w:asciiTheme="majorBidi" w:hAnsiTheme="majorBidi" w:cstheme="majorBidi"/>
          <w:szCs w:val="24"/>
          <w:lang w:val="en-MY"/>
        </w:rPr>
        <w:t>“</w:t>
      </w:r>
      <w:r w:rsidR="00F50DBF" w:rsidRPr="009B5519">
        <w:rPr>
          <w:rFonts w:asciiTheme="majorBidi" w:hAnsiTheme="majorBidi" w:cstheme="majorBidi"/>
          <w:szCs w:val="24"/>
          <w:lang w:val="en-MY"/>
        </w:rPr>
        <w:t>the prescribed obligation</w:t>
      </w:r>
      <w:r w:rsidR="00325619">
        <w:rPr>
          <w:rFonts w:asciiTheme="majorBidi" w:hAnsiTheme="majorBidi" w:cstheme="majorBidi"/>
          <w:szCs w:val="24"/>
          <w:lang w:val="en-MY"/>
        </w:rPr>
        <w:t>”</w:t>
      </w:r>
      <w:r w:rsidR="00F50DBF" w:rsidRPr="009B5519">
        <w:rPr>
          <w:rFonts w:asciiTheme="majorBidi" w:hAnsiTheme="majorBidi" w:cstheme="majorBidi"/>
          <w:szCs w:val="24"/>
          <w:lang w:val="en-MY"/>
        </w:rPr>
        <w:t xml:space="preserve">. This is because </w:t>
      </w:r>
      <w:r w:rsidR="009B5519" w:rsidRPr="009B5519">
        <w:rPr>
          <w:rFonts w:asciiTheme="majorBidi" w:hAnsiTheme="majorBidi" w:cstheme="majorBidi"/>
          <w:szCs w:val="24"/>
          <w:lang w:val="en-MY"/>
        </w:rPr>
        <w:t>two</w:t>
      </w:r>
      <w:r w:rsidR="00F50DBF" w:rsidRPr="009B5519">
        <w:rPr>
          <w:rFonts w:asciiTheme="majorBidi" w:hAnsiTheme="majorBidi" w:cstheme="majorBidi"/>
          <w:szCs w:val="24"/>
          <w:lang w:val="en-MY"/>
        </w:rPr>
        <w:t xml:space="preserve"> </w:t>
      </w:r>
      <w:r w:rsidR="00526103" w:rsidRPr="009B5519">
        <w:rPr>
          <w:rFonts w:asciiTheme="majorBidi" w:hAnsiTheme="majorBidi" w:cstheme="majorBidi"/>
          <w:szCs w:val="24"/>
          <w:lang w:val="en-MY"/>
        </w:rPr>
        <w:t xml:space="preserve">sheep </w:t>
      </w:r>
      <w:r w:rsidR="00E42491" w:rsidRPr="009B5519">
        <w:rPr>
          <w:rFonts w:asciiTheme="majorBidi" w:hAnsiTheme="majorBidi" w:cstheme="majorBidi"/>
          <w:szCs w:val="24"/>
          <w:lang w:val="en-MY"/>
        </w:rPr>
        <w:t xml:space="preserve">owned by each partner are considered </w:t>
      </w:r>
      <w:r w:rsidR="00186F89">
        <w:rPr>
          <w:rFonts w:asciiTheme="majorBidi" w:hAnsiTheme="majorBidi" w:cstheme="majorBidi"/>
          <w:szCs w:val="24"/>
          <w:lang w:val="en-MY"/>
        </w:rPr>
        <w:t>two zakat units</w:t>
      </w:r>
      <w:r w:rsidR="00E42491" w:rsidRPr="009B5519">
        <w:rPr>
          <w:rFonts w:asciiTheme="majorBidi" w:hAnsiTheme="majorBidi" w:cstheme="majorBidi"/>
          <w:szCs w:val="24"/>
          <w:lang w:val="en-MY"/>
        </w:rPr>
        <w:t xml:space="preserve">, and these cannot be aggregated, resulting in a reduction of </w:t>
      </w:r>
      <w:r w:rsidR="009B5519" w:rsidRPr="009B5519">
        <w:rPr>
          <w:rFonts w:asciiTheme="majorBidi" w:hAnsiTheme="majorBidi" w:cstheme="majorBidi"/>
          <w:szCs w:val="24"/>
          <w:lang w:val="en-MY"/>
        </w:rPr>
        <w:t>one</w:t>
      </w:r>
      <w:r w:rsidR="00F50DBF" w:rsidRPr="009B5519">
        <w:rPr>
          <w:rFonts w:asciiTheme="majorBidi" w:hAnsiTheme="majorBidi" w:cstheme="majorBidi"/>
          <w:szCs w:val="24"/>
          <w:lang w:val="en-MY"/>
        </w:rPr>
        <w:t xml:space="preserve"> sheep as the zakat due. Similarly, a joint property cannot be divided </w:t>
      </w:r>
      <w:r w:rsidR="00526103" w:rsidRPr="009B5519">
        <w:rPr>
          <w:rFonts w:asciiTheme="majorBidi" w:hAnsiTheme="majorBidi" w:cstheme="majorBidi"/>
          <w:szCs w:val="24"/>
          <w:lang w:val="en-MY"/>
        </w:rPr>
        <w:t xml:space="preserve">once it </w:t>
      </w:r>
      <w:r w:rsidR="00E42491" w:rsidRPr="009B5519">
        <w:rPr>
          <w:rFonts w:asciiTheme="majorBidi" w:hAnsiTheme="majorBidi" w:cstheme="majorBidi"/>
          <w:szCs w:val="24"/>
          <w:lang w:val="en-MY"/>
        </w:rPr>
        <w:t>exceeds</w:t>
      </w:r>
      <w:r w:rsidR="00526103" w:rsidRPr="009B5519">
        <w:rPr>
          <w:rFonts w:asciiTheme="majorBidi" w:hAnsiTheme="majorBidi" w:cstheme="majorBidi"/>
          <w:szCs w:val="24"/>
          <w:lang w:val="en-MY"/>
        </w:rPr>
        <w:t xml:space="preserve"> the </w:t>
      </w:r>
      <w:proofErr w:type="spellStart"/>
      <w:r w:rsidR="003F1946">
        <w:rPr>
          <w:rFonts w:asciiTheme="majorBidi" w:hAnsiTheme="majorBidi" w:cstheme="majorBidi"/>
          <w:szCs w:val="24"/>
          <w:lang w:val="en-MY"/>
        </w:rPr>
        <w:t>niṣāb</w:t>
      </w:r>
      <w:proofErr w:type="spellEnd"/>
      <w:r w:rsidR="00526103" w:rsidRPr="009B5519">
        <w:rPr>
          <w:rFonts w:asciiTheme="majorBidi" w:hAnsiTheme="majorBidi" w:cstheme="majorBidi"/>
          <w:szCs w:val="24"/>
          <w:lang w:val="en-MY"/>
        </w:rPr>
        <w:t xml:space="preserve"> amount of the property subject to zakat; for example, if two partners have forty sheep, it is not possible to divide them </w:t>
      </w:r>
      <w:r w:rsidR="00F50DBF" w:rsidRPr="009B5519">
        <w:rPr>
          <w:rFonts w:asciiTheme="majorBidi" w:hAnsiTheme="majorBidi" w:cstheme="majorBidi"/>
          <w:szCs w:val="24"/>
          <w:lang w:val="en-MY"/>
        </w:rPr>
        <w:t xml:space="preserve">so that zakat is not due on them. In </w:t>
      </w:r>
      <w:r w:rsidR="00526103" w:rsidRPr="009B5519">
        <w:rPr>
          <w:rFonts w:asciiTheme="majorBidi" w:hAnsiTheme="majorBidi" w:cstheme="majorBidi"/>
          <w:szCs w:val="24"/>
          <w:lang w:val="en-MY"/>
        </w:rPr>
        <w:t xml:space="preserve">this way, it is a legal trick </w:t>
      </w:r>
      <w:r w:rsidR="009B5519" w:rsidRPr="009B5519">
        <w:rPr>
          <w:rFonts w:asciiTheme="majorBidi" w:hAnsiTheme="majorBidi" w:cstheme="majorBidi"/>
          <w:szCs w:val="24"/>
          <w:lang w:val="en-MY"/>
        </w:rPr>
        <w:t>intended to extinguish or reduce</w:t>
      </w:r>
      <w:r w:rsidR="00526103" w:rsidRPr="009B5519">
        <w:rPr>
          <w:rFonts w:asciiTheme="majorBidi" w:hAnsiTheme="majorBidi" w:cstheme="majorBidi"/>
          <w:szCs w:val="24"/>
          <w:lang w:val="en-MY"/>
        </w:rPr>
        <w:t xml:space="preserve"> the obligation to pay</w:t>
      </w:r>
      <w:r w:rsidR="00F50DBF" w:rsidRPr="009B5519">
        <w:rPr>
          <w:rFonts w:asciiTheme="majorBidi" w:hAnsiTheme="majorBidi" w:cstheme="majorBidi"/>
          <w:szCs w:val="24"/>
          <w:lang w:val="en-MY"/>
        </w:rPr>
        <w:t xml:space="preserve"> zakat (Al-</w:t>
      </w:r>
      <w:r w:rsidR="00325619">
        <w:rPr>
          <w:rFonts w:asciiTheme="majorBidi" w:hAnsiTheme="majorBidi" w:cstheme="majorBidi"/>
          <w:szCs w:val="24"/>
          <w:lang w:val="en-MY"/>
        </w:rPr>
        <w:t>’</w:t>
      </w:r>
      <w:proofErr w:type="spellStart"/>
      <w:r w:rsidR="00F50DBF" w:rsidRPr="009B5519">
        <w:rPr>
          <w:rFonts w:asciiTheme="majorBidi" w:hAnsiTheme="majorBidi" w:cstheme="majorBidi"/>
          <w:szCs w:val="24"/>
          <w:lang w:val="en-MY"/>
        </w:rPr>
        <w:t>A</w:t>
      </w:r>
      <w:r w:rsidR="00073750">
        <w:rPr>
          <w:rFonts w:asciiTheme="majorBidi" w:hAnsiTheme="majorBidi" w:cstheme="majorBidi"/>
          <w:szCs w:val="24"/>
          <w:lang w:val="en-MY"/>
        </w:rPr>
        <w:t>y</w:t>
      </w:r>
      <w:r w:rsidR="00F50DBF" w:rsidRPr="009B5519">
        <w:rPr>
          <w:rFonts w:asciiTheme="majorBidi" w:hAnsiTheme="majorBidi" w:cstheme="majorBidi"/>
          <w:szCs w:val="24"/>
          <w:lang w:val="en-MY"/>
        </w:rPr>
        <w:t>ni</w:t>
      </w:r>
      <w:proofErr w:type="spellEnd"/>
      <w:r w:rsidR="00F50DBF" w:rsidRPr="009B5519">
        <w:rPr>
          <w:rFonts w:asciiTheme="majorBidi" w:hAnsiTheme="majorBidi" w:cstheme="majorBidi"/>
          <w:szCs w:val="24"/>
          <w:lang w:val="en-MY"/>
        </w:rPr>
        <w:t xml:space="preserve">, n.d.). The report is </w:t>
      </w:r>
      <w:r w:rsidR="001B50BB" w:rsidRPr="009B5519">
        <w:rPr>
          <w:rFonts w:asciiTheme="majorBidi" w:hAnsiTheme="majorBidi" w:cstheme="majorBidi"/>
          <w:szCs w:val="24"/>
          <w:lang w:val="en-MY"/>
        </w:rPr>
        <w:t>prescribed</w:t>
      </w:r>
      <w:r w:rsidR="00F50DBF" w:rsidRPr="009B5519">
        <w:rPr>
          <w:rFonts w:asciiTheme="majorBidi" w:hAnsiTheme="majorBidi" w:cstheme="majorBidi"/>
          <w:szCs w:val="24"/>
          <w:lang w:val="en-MY"/>
        </w:rPr>
        <w:t xml:space="preserve">, </w:t>
      </w:r>
      <w:r w:rsidR="00526103" w:rsidRPr="009B5519">
        <w:rPr>
          <w:rFonts w:asciiTheme="majorBidi" w:hAnsiTheme="majorBidi" w:cstheme="majorBidi"/>
          <w:szCs w:val="24"/>
          <w:lang w:val="en-MY"/>
        </w:rPr>
        <w:t>directly addressing livestock zakat practices, but it takes</w:t>
      </w:r>
      <w:r w:rsidR="00F50DBF" w:rsidRPr="009B5519">
        <w:rPr>
          <w:rFonts w:asciiTheme="majorBidi" w:hAnsiTheme="majorBidi" w:cstheme="majorBidi"/>
          <w:szCs w:val="24"/>
          <w:lang w:val="en-MY"/>
        </w:rPr>
        <w:t xml:space="preserve"> a legal perspective. Artificial structuring of zaka</w:t>
      </w:r>
      <w:r w:rsidR="001B50BB">
        <w:rPr>
          <w:rFonts w:asciiTheme="majorBidi" w:hAnsiTheme="majorBidi" w:cstheme="majorBidi"/>
          <w:szCs w:val="24"/>
          <w:lang w:val="en-MY"/>
        </w:rPr>
        <w:t>t</w:t>
      </w:r>
      <w:r w:rsidR="00F50DBF" w:rsidRPr="009B5519">
        <w:rPr>
          <w:rFonts w:asciiTheme="majorBidi" w:hAnsiTheme="majorBidi" w:cstheme="majorBidi"/>
          <w:szCs w:val="24"/>
          <w:lang w:val="en-MY"/>
        </w:rPr>
        <w:t xml:space="preserve"> should not be </w:t>
      </w:r>
      <w:r w:rsidR="00526103" w:rsidRPr="009B5519">
        <w:rPr>
          <w:rFonts w:asciiTheme="majorBidi" w:hAnsiTheme="majorBidi" w:cstheme="majorBidi"/>
          <w:szCs w:val="24"/>
          <w:lang w:val="en-MY"/>
        </w:rPr>
        <w:t>practised with respect to</w:t>
      </w:r>
      <w:r w:rsidR="00F50DBF" w:rsidRPr="009B5519">
        <w:rPr>
          <w:rFonts w:asciiTheme="majorBidi" w:hAnsiTheme="majorBidi" w:cstheme="majorBidi"/>
          <w:szCs w:val="24"/>
          <w:lang w:val="en-MY"/>
        </w:rPr>
        <w:t xml:space="preserve"> the rules of zaka</w:t>
      </w:r>
      <w:r w:rsidR="001B50BB">
        <w:rPr>
          <w:rFonts w:asciiTheme="majorBidi" w:hAnsiTheme="majorBidi" w:cstheme="majorBidi"/>
          <w:szCs w:val="24"/>
          <w:lang w:val="en-MY"/>
        </w:rPr>
        <w:t>t</w:t>
      </w:r>
      <w:r w:rsidR="00F50DBF" w:rsidRPr="009B5519">
        <w:rPr>
          <w:rFonts w:asciiTheme="majorBidi" w:hAnsiTheme="majorBidi" w:cstheme="majorBidi"/>
          <w:szCs w:val="24"/>
          <w:lang w:val="en-MY"/>
        </w:rPr>
        <w:t xml:space="preserve">. For the wealth </w:t>
      </w:r>
      <w:proofErr w:type="spellStart"/>
      <w:r w:rsidR="003F1946">
        <w:rPr>
          <w:rFonts w:asciiTheme="majorBidi" w:hAnsiTheme="majorBidi" w:cstheme="majorBidi"/>
          <w:szCs w:val="24"/>
          <w:lang w:val="en-MY"/>
        </w:rPr>
        <w:t>niṣāb</w:t>
      </w:r>
      <w:proofErr w:type="spellEnd"/>
      <w:r w:rsidR="00F50DBF" w:rsidRPr="009B5519">
        <w:rPr>
          <w:rFonts w:asciiTheme="majorBidi" w:hAnsiTheme="majorBidi" w:cstheme="majorBidi"/>
          <w:szCs w:val="24"/>
          <w:lang w:val="en-MY"/>
        </w:rPr>
        <w:t>, the implication would mean that a z</w:t>
      </w:r>
      <w:r w:rsidR="001B50BB">
        <w:rPr>
          <w:rFonts w:asciiTheme="majorBidi" w:hAnsiTheme="majorBidi" w:cstheme="majorBidi"/>
          <w:szCs w:val="24"/>
          <w:lang w:val="en-MY"/>
        </w:rPr>
        <w:t>akat</w:t>
      </w:r>
      <w:r w:rsidR="00F50DBF" w:rsidRPr="009B5519">
        <w:rPr>
          <w:rFonts w:asciiTheme="majorBidi" w:hAnsiTheme="majorBidi" w:cstheme="majorBidi"/>
          <w:szCs w:val="24"/>
          <w:lang w:val="en-MY"/>
        </w:rPr>
        <w:t xml:space="preserve"> method should not be structured in such a way that it either evades </w:t>
      </w:r>
      <w:proofErr w:type="spellStart"/>
      <w:r w:rsidR="001B50BB">
        <w:rPr>
          <w:rFonts w:asciiTheme="majorBidi" w:hAnsiTheme="majorBidi" w:cstheme="majorBidi"/>
          <w:szCs w:val="24"/>
          <w:lang w:val="en-MY"/>
        </w:rPr>
        <w:t>z</w:t>
      </w:r>
      <w:r w:rsidR="00F50DBF" w:rsidRPr="009B5519">
        <w:rPr>
          <w:rFonts w:asciiTheme="majorBidi" w:hAnsiTheme="majorBidi" w:cstheme="majorBidi"/>
          <w:szCs w:val="24"/>
          <w:lang w:val="en-MY"/>
        </w:rPr>
        <w:t>akah</w:t>
      </w:r>
      <w:proofErr w:type="spellEnd"/>
      <w:r w:rsidR="00F50DBF" w:rsidRPr="009B5519">
        <w:rPr>
          <w:rFonts w:asciiTheme="majorBidi" w:hAnsiTheme="majorBidi" w:cstheme="majorBidi"/>
          <w:szCs w:val="24"/>
          <w:lang w:val="en-MY"/>
        </w:rPr>
        <w:t xml:space="preserve"> or it would cause the payers to be burdened more than the zaka</w:t>
      </w:r>
      <w:r w:rsidR="001B50BB">
        <w:rPr>
          <w:rFonts w:asciiTheme="majorBidi" w:hAnsiTheme="majorBidi" w:cstheme="majorBidi"/>
          <w:szCs w:val="24"/>
          <w:lang w:val="en-MY"/>
        </w:rPr>
        <w:t>t</w:t>
      </w:r>
      <w:r w:rsidR="00F50DBF" w:rsidRPr="009B5519">
        <w:rPr>
          <w:rFonts w:asciiTheme="majorBidi" w:hAnsiTheme="majorBidi" w:cstheme="majorBidi"/>
          <w:szCs w:val="24"/>
          <w:lang w:val="en-MY"/>
        </w:rPr>
        <w:t xml:space="preserve"> </w:t>
      </w:r>
      <w:proofErr w:type="spellStart"/>
      <w:r w:rsidR="003F1946">
        <w:rPr>
          <w:rFonts w:asciiTheme="majorBidi" w:hAnsiTheme="majorBidi" w:cstheme="majorBidi"/>
          <w:szCs w:val="24"/>
          <w:lang w:val="en-MY"/>
        </w:rPr>
        <w:t>niṣāb</w:t>
      </w:r>
      <w:proofErr w:type="spellEnd"/>
      <w:r w:rsidR="00F50DBF" w:rsidRPr="009B5519">
        <w:rPr>
          <w:rFonts w:asciiTheme="majorBidi" w:hAnsiTheme="majorBidi" w:cstheme="majorBidi"/>
          <w:szCs w:val="24"/>
          <w:lang w:val="en-MY"/>
        </w:rPr>
        <w:t>.</w:t>
      </w:r>
    </w:p>
    <w:p w:rsidR="009B5519" w:rsidRPr="009B5519" w:rsidRDefault="009B5519" w:rsidP="00042CBD">
      <w:pPr>
        <w:spacing w:after="0"/>
        <w:ind w:firstLine="720"/>
        <w:jc w:val="both"/>
        <w:rPr>
          <w:rFonts w:asciiTheme="majorBidi" w:hAnsiTheme="majorBidi" w:cstheme="majorBidi"/>
          <w:szCs w:val="24"/>
          <w:lang w:val="en-MY"/>
        </w:rPr>
      </w:pPr>
    </w:p>
    <w:p w:rsidR="002A4AEB" w:rsidRPr="009B5519" w:rsidRDefault="003B4FC0" w:rsidP="00E42491">
      <w:pPr>
        <w:pStyle w:val="Heading2"/>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 xml:space="preserve">2.2 </w:t>
      </w:r>
      <w:r w:rsidR="009B5519" w:rsidRPr="009B5519">
        <w:rPr>
          <w:rFonts w:asciiTheme="majorBidi" w:hAnsiTheme="majorBidi"/>
          <w:color w:val="auto"/>
          <w:sz w:val="24"/>
          <w:szCs w:val="24"/>
          <w:lang w:val="en-MY"/>
        </w:rPr>
        <w:t xml:space="preserve">ZAKAT GOVERNANCE AND </w:t>
      </w:r>
      <w:r w:rsidR="001B50BB">
        <w:rPr>
          <w:rFonts w:asciiTheme="majorBidi" w:hAnsiTheme="majorBidi"/>
          <w:color w:val="auto"/>
          <w:sz w:val="24"/>
          <w:szCs w:val="24"/>
          <w:lang w:val="en-MY"/>
        </w:rPr>
        <w:t xml:space="preserve">THE IMPORTANCE OF </w:t>
      </w:r>
      <w:r w:rsidR="003F1946">
        <w:rPr>
          <w:rFonts w:asciiTheme="majorBidi" w:hAnsiTheme="majorBidi"/>
          <w:color w:val="auto"/>
          <w:sz w:val="24"/>
          <w:szCs w:val="24"/>
          <w:lang w:val="en-MY"/>
        </w:rPr>
        <w:t>NIṢĀB</w:t>
      </w:r>
    </w:p>
    <w:p w:rsidR="009B5519" w:rsidRDefault="00F50DBF" w:rsidP="009B5519">
      <w:pPr>
        <w:jc w:val="both"/>
        <w:rPr>
          <w:rFonts w:asciiTheme="majorBidi" w:hAnsiTheme="majorBidi" w:cstheme="majorBidi"/>
          <w:szCs w:val="24"/>
          <w:lang w:val="en-MY"/>
        </w:rPr>
      </w:pPr>
      <w:r w:rsidRPr="009B5519">
        <w:rPr>
          <w:rStyle w:val="cursor-pointer"/>
          <w:rFonts w:asciiTheme="majorBidi" w:hAnsiTheme="majorBidi" w:cstheme="majorBidi"/>
          <w:szCs w:val="24"/>
          <w:lang w:val="en-MY"/>
        </w:rPr>
        <w:t xml:space="preserve">The administration of zakat </w:t>
      </w:r>
      <w:r w:rsidR="001B50BB">
        <w:rPr>
          <w:rStyle w:val="cursor-pointer"/>
          <w:rFonts w:asciiTheme="majorBidi" w:hAnsiTheme="majorBidi" w:cstheme="majorBidi"/>
          <w:szCs w:val="24"/>
          <w:lang w:val="en-MY"/>
        </w:rPr>
        <w:t>nowadays</w:t>
      </w:r>
      <w:r w:rsidRPr="009B5519">
        <w:rPr>
          <w:rStyle w:val="cursor-pointer"/>
          <w:rFonts w:asciiTheme="majorBidi" w:hAnsiTheme="majorBidi" w:cstheme="majorBidi"/>
          <w:szCs w:val="24"/>
          <w:lang w:val="en-MY"/>
        </w:rPr>
        <w:t xml:space="preserve"> is not just confined to calculating per person.</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In many </w:t>
      </w:r>
      <w:r w:rsidR="00526103" w:rsidRPr="009B5519">
        <w:rPr>
          <w:rStyle w:val="cursor-pointer"/>
          <w:rFonts w:asciiTheme="majorBidi" w:hAnsiTheme="majorBidi" w:cstheme="majorBidi"/>
          <w:szCs w:val="24"/>
          <w:lang w:val="en-MY"/>
        </w:rPr>
        <w:t xml:space="preserve">Muslim-majority jurisdictions, </w:t>
      </w:r>
      <w:r w:rsidR="009B5519" w:rsidRPr="009B5519">
        <w:rPr>
          <w:rStyle w:val="cursor-pointer"/>
          <w:rFonts w:asciiTheme="majorBidi" w:hAnsiTheme="majorBidi" w:cstheme="majorBidi"/>
          <w:szCs w:val="24"/>
          <w:lang w:val="en-MY"/>
        </w:rPr>
        <w:t xml:space="preserve">zakat collection </w:t>
      </w:r>
      <w:r w:rsidR="00526103" w:rsidRPr="009B5519">
        <w:rPr>
          <w:rStyle w:val="cursor-pointer"/>
          <w:rFonts w:asciiTheme="majorBidi" w:hAnsiTheme="majorBidi" w:cstheme="majorBidi"/>
          <w:szCs w:val="24"/>
          <w:lang w:val="en-MY"/>
        </w:rPr>
        <w:t>is institutionalised in state statutes through state agencies, statutory religious authorities, or national boards authorised to collect it</w:t>
      </w:r>
      <w:r w:rsidRPr="009B5519">
        <w:rPr>
          <w:rStyle w:val="cursor-pointer"/>
          <w:rFonts w:asciiTheme="majorBidi" w:hAnsiTheme="majorBidi" w:cstheme="majorBidi"/>
          <w:szCs w:val="24"/>
          <w:lang w:val="en-MY"/>
        </w:rPr>
        <w:t>.</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This institutionalisation makes it more efficient, but </w:t>
      </w:r>
      <w:r w:rsidR="00526103" w:rsidRPr="009B5519">
        <w:rPr>
          <w:rStyle w:val="cursor-pointer"/>
          <w:rFonts w:asciiTheme="majorBidi" w:hAnsiTheme="majorBidi" w:cstheme="majorBidi"/>
          <w:szCs w:val="24"/>
          <w:lang w:val="en-MY"/>
        </w:rPr>
        <w:t xml:space="preserve">it </w:t>
      </w:r>
      <w:r w:rsidRPr="009B5519">
        <w:rPr>
          <w:rStyle w:val="cursor-pointer"/>
          <w:rFonts w:asciiTheme="majorBidi" w:hAnsiTheme="majorBidi" w:cstheme="majorBidi"/>
          <w:szCs w:val="24"/>
          <w:lang w:val="en-MY"/>
        </w:rPr>
        <w:t>is a governance burden.</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Authorities are required to publish rules, </w:t>
      </w:r>
      <w:r w:rsidR="00526103" w:rsidRPr="009B5519">
        <w:rPr>
          <w:rStyle w:val="cursor-pointer"/>
          <w:rFonts w:asciiTheme="majorBidi" w:hAnsiTheme="majorBidi" w:cstheme="majorBidi"/>
          <w:szCs w:val="24"/>
          <w:lang w:val="en-MY"/>
        </w:rPr>
        <w:t xml:space="preserve">maintain databases, set rates, educate the public, tabulate public awareness, audit collections and distributions, and ensure </w:t>
      </w:r>
      <w:r w:rsidR="00E42491" w:rsidRPr="009B5519">
        <w:rPr>
          <w:rStyle w:val="cursor-pointer"/>
          <w:rFonts w:asciiTheme="majorBidi" w:hAnsiTheme="majorBidi" w:cstheme="majorBidi"/>
          <w:szCs w:val="24"/>
          <w:lang w:val="en-MY"/>
        </w:rPr>
        <w:t xml:space="preserve">compliance with </w:t>
      </w:r>
      <w:proofErr w:type="spellStart"/>
      <w:r w:rsidR="003F1946" w:rsidRPr="001D1A09">
        <w:t>Sharīʾah</w:t>
      </w:r>
      <w:proofErr w:type="spellEnd"/>
      <w:r w:rsidRPr="009B5519">
        <w:rPr>
          <w:rStyle w:val="cursor-pointer"/>
          <w:rFonts w:asciiTheme="majorBidi" w:hAnsiTheme="majorBidi" w:cstheme="majorBidi"/>
          <w:szCs w:val="24"/>
          <w:lang w:val="en-MY"/>
        </w:rPr>
        <w:t>.</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The concept of governance in the context of zakat requires familiarity with the following elements: transparency, accountability, competence, trust, and legal clarity in order to become legitimate </w:t>
      </w:r>
      <w:r w:rsidRPr="009B5519">
        <w:rPr>
          <w:rStyle w:val="cursor-pointer"/>
          <w:rFonts w:asciiTheme="majorBidi" w:hAnsiTheme="majorBidi" w:cstheme="majorBidi"/>
          <w:szCs w:val="24"/>
          <w:lang w:val="en-MY"/>
        </w:rPr>
        <w:lastRenderedPageBreak/>
        <w:t xml:space="preserve">institutions (Ahmed, 2004; </w:t>
      </w:r>
      <w:r w:rsidRPr="001B50BB">
        <w:rPr>
          <w:rStyle w:val="cursor-pointer"/>
          <w:rFonts w:asciiTheme="majorBidi" w:hAnsiTheme="majorBidi" w:cstheme="majorBidi"/>
          <w:szCs w:val="24"/>
          <w:lang w:val="en-MY"/>
        </w:rPr>
        <w:t>Bank Indonesia</w:t>
      </w:r>
      <w:r w:rsidRPr="009B5519">
        <w:rPr>
          <w:rStyle w:val="cursor-pointer"/>
          <w:rFonts w:asciiTheme="majorBidi" w:hAnsiTheme="majorBidi" w:cstheme="majorBidi"/>
          <w:szCs w:val="24"/>
          <w:lang w:val="en-MY"/>
        </w:rPr>
        <w:t xml:space="preserve"> </w:t>
      </w:r>
      <w:r w:rsidR="001B50BB">
        <w:rPr>
          <w:rStyle w:val="cursor-pointer"/>
          <w:rFonts w:asciiTheme="majorBidi" w:hAnsiTheme="majorBidi" w:cstheme="majorBidi"/>
          <w:szCs w:val="24"/>
          <w:lang w:val="en-MY"/>
        </w:rPr>
        <w:t>&amp;</w:t>
      </w:r>
      <w:r w:rsidRPr="009B5519">
        <w:rPr>
          <w:rStyle w:val="cursor-pointer"/>
          <w:rFonts w:asciiTheme="majorBidi" w:hAnsiTheme="majorBidi" w:cstheme="majorBidi"/>
          <w:szCs w:val="24"/>
          <w:lang w:val="en-MY"/>
        </w:rPr>
        <w:t xml:space="preserve"> BAZNAS, 2020; </w:t>
      </w:r>
      <w:proofErr w:type="spellStart"/>
      <w:r w:rsidRPr="009B5519">
        <w:rPr>
          <w:rStyle w:val="cursor-pointer"/>
          <w:rFonts w:asciiTheme="majorBidi" w:hAnsiTheme="majorBidi" w:cstheme="majorBidi"/>
          <w:szCs w:val="24"/>
          <w:lang w:val="en-MY"/>
        </w:rPr>
        <w:t>Kahf</w:t>
      </w:r>
      <w:proofErr w:type="spellEnd"/>
      <w:r w:rsidRPr="009B5519">
        <w:rPr>
          <w:rStyle w:val="cursor-pointer"/>
          <w:rFonts w:asciiTheme="majorBidi" w:hAnsiTheme="majorBidi" w:cstheme="majorBidi"/>
          <w:szCs w:val="24"/>
          <w:lang w:val="en-MY"/>
        </w:rPr>
        <w:t xml:space="preserve">, 1999, 2000; </w:t>
      </w:r>
      <w:proofErr w:type="spellStart"/>
      <w:r w:rsidRPr="009B5519">
        <w:rPr>
          <w:rStyle w:val="cursor-pointer"/>
          <w:rFonts w:asciiTheme="majorBidi" w:hAnsiTheme="majorBidi" w:cstheme="majorBidi"/>
          <w:szCs w:val="24"/>
          <w:lang w:val="en-MY"/>
        </w:rPr>
        <w:t>Muneeza</w:t>
      </w:r>
      <w:proofErr w:type="spellEnd"/>
      <w:r w:rsidRPr="009B5519">
        <w:rPr>
          <w:rStyle w:val="cursor-pointer"/>
          <w:rFonts w:asciiTheme="majorBidi" w:hAnsiTheme="majorBidi" w:cstheme="majorBidi"/>
          <w:szCs w:val="24"/>
          <w:lang w:val="en-MY"/>
        </w:rPr>
        <w:t xml:space="preserve"> &amp; </w:t>
      </w:r>
      <w:proofErr w:type="spellStart"/>
      <w:r w:rsidRPr="009B5519">
        <w:rPr>
          <w:rStyle w:val="cursor-pointer"/>
          <w:rFonts w:asciiTheme="majorBidi" w:hAnsiTheme="majorBidi" w:cstheme="majorBidi"/>
          <w:szCs w:val="24"/>
          <w:lang w:val="en-MY"/>
        </w:rPr>
        <w:t>Nadwi</w:t>
      </w:r>
      <w:proofErr w:type="spellEnd"/>
      <w:r w:rsidRPr="009B5519">
        <w:rPr>
          <w:rStyle w:val="cursor-pointer"/>
          <w:rFonts w:asciiTheme="majorBidi" w:hAnsiTheme="majorBidi" w:cstheme="majorBidi"/>
          <w:szCs w:val="24"/>
          <w:lang w:val="en-MY"/>
        </w:rPr>
        <w:t xml:space="preserve">, 2019; Obaidullah, 2016; Wahab &amp; Rahman, 2011; </w:t>
      </w:r>
      <w:proofErr w:type="spellStart"/>
      <w:r w:rsidRPr="009B5519">
        <w:rPr>
          <w:rStyle w:val="cursor-pointer"/>
          <w:rFonts w:asciiTheme="majorBidi" w:hAnsiTheme="majorBidi" w:cstheme="majorBidi"/>
          <w:szCs w:val="24"/>
          <w:lang w:val="en-MY"/>
        </w:rPr>
        <w:t>Yusoff</w:t>
      </w:r>
      <w:proofErr w:type="spellEnd"/>
      <w:r w:rsidRPr="009B5519">
        <w:rPr>
          <w:rStyle w:val="cursor-pointer"/>
          <w:rFonts w:asciiTheme="majorBidi" w:hAnsiTheme="majorBidi" w:cstheme="majorBidi"/>
          <w:szCs w:val="24"/>
          <w:lang w:val="en-MY"/>
        </w:rPr>
        <w:t>, 2008).</w:t>
      </w:r>
      <w:r w:rsidRPr="009B5519">
        <w:rPr>
          <w:rFonts w:asciiTheme="majorBidi" w:hAnsiTheme="majorBidi" w:cstheme="majorBidi"/>
          <w:szCs w:val="24"/>
          <w:lang w:val="en-MY"/>
        </w:rPr>
        <w:t xml:space="preserve"> </w:t>
      </w:r>
    </w:p>
    <w:p w:rsidR="002A4AEB" w:rsidRPr="009B5519" w:rsidRDefault="00F50DBF" w:rsidP="009B5519">
      <w:pPr>
        <w:ind w:firstLine="720"/>
        <w:jc w:val="both"/>
        <w:rPr>
          <w:rFonts w:asciiTheme="majorBidi" w:hAnsiTheme="majorBidi" w:cstheme="majorBidi"/>
          <w:szCs w:val="24"/>
          <w:lang w:val="en-MY"/>
        </w:rPr>
      </w:pPr>
      <w:r w:rsidRPr="009B5519">
        <w:rPr>
          <w:rStyle w:val="cursor-pointer"/>
          <w:rFonts w:asciiTheme="majorBidi" w:hAnsiTheme="majorBidi" w:cstheme="majorBidi"/>
          <w:szCs w:val="24"/>
          <w:lang w:val="en-MY"/>
        </w:rPr>
        <w:t xml:space="preserve">According to the Zakat Core Principles, </w:t>
      </w:r>
      <w:r w:rsidR="00E42491" w:rsidRPr="009B5519">
        <w:rPr>
          <w:rStyle w:val="cursor-pointer"/>
          <w:rFonts w:asciiTheme="majorBidi" w:hAnsiTheme="majorBidi" w:cstheme="majorBidi"/>
          <w:szCs w:val="24"/>
          <w:lang w:val="en-MY"/>
        </w:rPr>
        <w:t xml:space="preserve">a product of collaboration among Bank Indonesia, BAZNAS, and international parties, </w:t>
      </w:r>
      <w:proofErr w:type="spellStart"/>
      <w:r w:rsidR="003F1946">
        <w:rPr>
          <w:rStyle w:val="cursor-pointer"/>
          <w:rFonts w:asciiTheme="majorBidi" w:hAnsiTheme="majorBidi" w:cstheme="majorBidi"/>
          <w:szCs w:val="24"/>
          <w:lang w:val="en-MY"/>
        </w:rPr>
        <w:t>niṣāb</w:t>
      </w:r>
      <w:proofErr w:type="spellEnd"/>
      <w:r w:rsidR="00E42491" w:rsidRPr="009B5519">
        <w:rPr>
          <w:rStyle w:val="cursor-pointer"/>
          <w:rFonts w:asciiTheme="majorBidi" w:hAnsiTheme="majorBidi" w:cstheme="majorBidi"/>
          <w:szCs w:val="24"/>
          <w:lang w:val="en-MY"/>
        </w:rPr>
        <w:t xml:space="preserve"> is the</w:t>
      </w:r>
      <w:r w:rsidRPr="009B5519">
        <w:rPr>
          <w:rStyle w:val="cursor-pointer"/>
          <w:rFonts w:asciiTheme="majorBidi" w:hAnsiTheme="majorBidi" w:cstheme="majorBidi"/>
          <w:szCs w:val="24"/>
          <w:lang w:val="en-MY"/>
        </w:rPr>
        <w:t xml:space="preserve"> value threshold that triggers the obligation to pay zakat</w:t>
      </w:r>
      <w:r w:rsidR="00E42491" w:rsidRPr="009B5519">
        <w:rPr>
          <w:rStyle w:val="cursor-pointer"/>
          <w:rFonts w:asciiTheme="majorBidi" w:hAnsiTheme="majorBidi" w:cstheme="majorBidi"/>
          <w:szCs w:val="24"/>
          <w:lang w:val="en-MY"/>
        </w:rPr>
        <w:t>. Zakat</w:t>
      </w:r>
      <w:r w:rsidRPr="009B5519">
        <w:rPr>
          <w:rStyle w:val="cursor-pointer"/>
          <w:rFonts w:asciiTheme="majorBidi" w:hAnsiTheme="majorBidi" w:cstheme="majorBidi"/>
          <w:szCs w:val="24"/>
          <w:lang w:val="en-MY"/>
        </w:rPr>
        <w:t xml:space="preserve"> governance is </w:t>
      </w:r>
      <w:r w:rsidR="00E42491" w:rsidRPr="009B5519">
        <w:rPr>
          <w:rStyle w:val="cursor-pointer"/>
          <w:rFonts w:asciiTheme="majorBidi" w:hAnsiTheme="majorBidi" w:cstheme="majorBidi"/>
          <w:szCs w:val="24"/>
          <w:lang w:val="en-MY"/>
        </w:rPr>
        <w:t xml:space="preserve">embedded in a legal framework, a supervisory system, an </w:t>
      </w:r>
      <w:r w:rsidRPr="009B5519">
        <w:rPr>
          <w:rStyle w:val="cursor-pointer"/>
          <w:rFonts w:asciiTheme="majorBidi" w:hAnsiTheme="majorBidi" w:cstheme="majorBidi"/>
          <w:szCs w:val="24"/>
          <w:lang w:val="en-MY"/>
        </w:rPr>
        <w:t>intermediary function, risk management, and sharia governance (Bank Indonesia &amp; BAZNAS, 2020).</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This is a confirmation that </w:t>
      </w:r>
      <w:r w:rsidR="00526103" w:rsidRPr="009B5519">
        <w:rPr>
          <w:rStyle w:val="cursor-pointer"/>
          <w:rFonts w:asciiTheme="majorBidi" w:hAnsiTheme="majorBidi" w:cstheme="majorBidi"/>
          <w:szCs w:val="24"/>
          <w:lang w:val="en-MY"/>
        </w:rPr>
        <w:t xml:space="preserve">the </w:t>
      </w:r>
      <w:proofErr w:type="spellStart"/>
      <w:r w:rsidR="003F1946">
        <w:rPr>
          <w:rStyle w:val="cursor-pointer"/>
          <w:rFonts w:asciiTheme="majorBidi" w:hAnsiTheme="majorBidi" w:cstheme="majorBidi"/>
          <w:szCs w:val="24"/>
          <w:lang w:val="en-MY"/>
        </w:rPr>
        <w:t>niṣāb</w:t>
      </w:r>
      <w:proofErr w:type="spellEnd"/>
      <w:r w:rsidRPr="009B5519">
        <w:rPr>
          <w:rStyle w:val="cursor-pointer"/>
          <w:rFonts w:asciiTheme="majorBidi" w:hAnsiTheme="majorBidi" w:cstheme="majorBidi"/>
          <w:szCs w:val="24"/>
          <w:lang w:val="en-MY"/>
        </w:rPr>
        <w:t xml:space="preserve"> calculation is not </w:t>
      </w:r>
      <w:r w:rsidR="00E42491" w:rsidRPr="009B5519">
        <w:rPr>
          <w:rStyle w:val="cursor-pointer"/>
          <w:rFonts w:asciiTheme="majorBidi" w:hAnsiTheme="majorBidi" w:cstheme="majorBidi"/>
          <w:szCs w:val="24"/>
          <w:lang w:val="en-MY"/>
        </w:rPr>
        <w:t>sideways</w:t>
      </w:r>
      <w:r w:rsidRPr="009B5519">
        <w:rPr>
          <w:rStyle w:val="cursor-pointer"/>
          <w:rFonts w:asciiTheme="majorBidi" w:hAnsiTheme="majorBidi" w:cstheme="majorBidi"/>
          <w:szCs w:val="24"/>
          <w:lang w:val="en-MY"/>
        </w:rPr>
        <w:t>.</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It is a component of </w:t>
      </w:r>
      <w:r w:rsidR="00526103" w:rsidRPr="009B5519">
        <w:rPr>
          <w:rStyle w:val="cursor-pointer"/>
          <w:rFonts w:asciiTheme="majorBidi" w:hAnsiTheme="majorBidi" w:cstheme="majorBidi"/>
          <w:szCs w:val="24"/>
          <w:lang w:val="en-MY"/>
        </w:rPr>
        <w:t>zakat</w:t>
      </w:r>
      <w:r w:rsidR="00325619">
        <w:rPr>
          <w:rStyle w:val="cursor-pointer"/>
          <w:rFonts w:asciiTheme="majorBidi" w:hAnsiTheme="majorBidi" w:cstheme="majorBidi"/>
          <w:szCs w:val="24"/>
          <w:lang w:val="en-MY"/>
        </w:rPr>
        <w:t>’</w:t>
      </w:r>
      <w:r w:rsidR="00526103" w:rsidRPr="009B5519">
        <w:rPr>
          <w:rStyle w:val="cursor-pointer"/>
          <w:rFonts w:asciiTheme="majorBidi" w:hAnsiTheme="majorBidi" w:cstheme="majorBidi"/>
          <w:szCs w:val="24"/>
          <w:lang w:val="en-MY"/>
        </w:rPr>
        <w:t>s institutional structure</w:t>
      </w:r>
      <w:r w:rsidRPr="009B5519">
        <w:rPr>
          <w:rStyle w:val="cursor-pointer"/>
          <w:rFonts w:asciiTheme="majorBidi" w:hAnsiTheme="majorBidi" w:cstheme="majorBidi"/>
          <w:szCs w:val="24"/>
          <w:lang w:val="en-MY"/>
        </w:rPr>
        <w:t>.</w:t>
      </w:r>
      <w:r w:rsidRPr="009B5519">
        <w:rPr>
          <w:rFonts w:asciiTheme="majorBidi" w:hAnsiTheme="majorBidi" w:cstheme="majorBidi"/>
          <w:szCs w:val="24"/>
          <w:lang w:val="en-MY"/>
        </w:rPr>
        <w:t xml:space="preserve"> </w:t>
      </w:r>
      <w:r w:rsidRPr="009B5519">
        <w:rPr>
          <w:rStyle w:val="cursor-pointer"/>
          <w:rFonts w:asciiTheme="majorBidi" w:hAnsiTheme="majorBidi" w:cstheme="majorBidi"/>
          <w:szCs w:val="24"/>
          <w:lang w:val="en-MY"/>
        </w:rPr>
        <w:t xml:space="preserve">If changes to the </w:t>
      </w:r>
      <w:proofErr w:type="spellStart"/>
      <w:r w:rsidR="003F1946">
        <w:rPr>
          <w:rStyle w:val="cursor-pointer"/>
          <w:rFonts w:asciiTheme="majorBidi" w:hAnsiTheme="majorBidi" w:cstheme="majorBidi"/>
          <w:szCs w:val="24"/>
          <w:lang w:val="en-MY"/>
        </w:rPr>
        <w:t>niṣāb</w:t>
      </w:r>
      <w:proofErr w:type="spellEnd"/>
      <w:r w:rsidRPr="009B5519">
        <w:rPr>
          <w:rStyle w:val="cursor-pointer"/>
          <w:rFonts w:asciiTheme="majorBidi" w:hAnsiTheme="majorBidi" w:cstheme="majorBidi"/>
          <w:szCs w:val="24"/>
          <w:lang w:val="en-MY"/>
        </w:rPr>
        <w:t xml:space="preserve"> threshold are large</w:t>
      </w:r>
      <w:r w:rsidR="00E42491" w:rsidRPr="009B5519">
        <w:rPr>
          <w:rStyle w:val="cursor-pointer"/>
          <w:rFonts w:asciiTheme="majorBidi" w:hAnsiTheme="majorBidi" w:cstheme="majorBidi"/>
          <w:szCs w:val="24"/>
          <w:lang w:val="en-MY"/>
        </w:rPr>
        <w:t xml:space="preserve"> and triggered by gold repricing, </w:t>
      </w:r>
      <w:r w:rsidR="009B5519">
        <w:rPr>
          <w:rStyle w:val="cursor-pointer"/>
          <w:rFonts w:asciiTheme="majorBidi" w:hAnsiTheme="majorBidi" w:cstheme="majorBidi"/>
          <w:szCs w:val="24"/>
          <w:lang w:val="en-MY"/>
        </w:rPr>
        <w:t xml:space="preserve">governance failure can occur when the public is unaware of the reasons for the </w:t>
      </w:r>
      <w:r w:rsidR="00E42491" w:rsidRPr="009B5519">
        <w:rPr>
          <w:rStyle w:val="cursor-pointer"/>
          <w:rFonts w:asciiTheme="majorBidi" w:hAnsiTheme="majorBidi" w:cstheme="majorBidi"/>
          <w:szCs w:val="24"/>
          <w:lang w:val="en-MY"/>
        </w:rPr>
        <w:t xml:space="preserve">change, the </w:t>
      </w:r>
      <w:r w:rsidR="00186F89">
        <w:rPr>
          <w:rStyle w:val="cursor-pointer"/>
          <w:rFonts w:asciiTheme="majorBidi" w:hAnsiTheme="majorBidi" w:cstheme="majorBidi"/>
          <w:szCs w:val="24"/>
          <w:lang w:val="en-MY"/>
        </w:rPr>
        <w:t>pricing basis</w:t>
      </w:r>
      <w:r w:rsidR="00E42491" w:rsidRPr="009B5519">
        <w:rPr>
          <w:rStyle w:val="cursor-pointer"/>
          <w:rFonts w:asciiTheme="majorBidi" w:hAnsiTheme="majorBidi" w:cstheme="majorBidi"/>
          <w:szCs w:val="24"/>
          <w:lang w:val="en-MY"/>
        </w:rPr>
        <w:t>,</w:t>
      </w:r>
      <w:r w:rsidRPr="009B5519">
        <w:rPr>
          <w:rStyle w:val="cursor-pointer"/>
          <w:rFonts w:asciiTheme="majorBidi" w:hAnsiTheme="majorBidi" w:cstheme="majorBidi"/>
          <w:szCs w:val="24"/>
          <w:lang w:val="en-MY"/>
        </w:rPr>
        <w:t xml:space="preserve"> or if the method is inconsistent.</w:t>
      </w:r>
    </w:p>
    <w:p w:rsidR="002A4AEB" w:rsidRPr="009B5519" w:rsidRDefault="003B4FC0" w:rsidP="00E42491">
      <w:pPr>
        <w:pStyle w:val="Heading2"/>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 xml:space="preserve">2.3 </w:t>
      </w:r>
      <w:r w:rsidR="009B5519" w:rsidRPr="009B5519">
        <w:rPr>
          <w:rFonts w:asciiTheme="majorBidi" w:hAnsiTheme="majorBidi"/>
          <w:color w:val="auto"/>
          <w:sz w:val="24"/>
          <w:szCs w:val="24"/>
          <w:lang w:val="en-MY"/>
        </w:rPr>
        <w:t>GOLD MARKETS, RESERVE BEHAVIOUR AND STRUCTURAL REPRICING</w:t>
      </w:r>
    </w:p>
    <w:p w:rsidR="002A4AEB" w:rsidRPr="009B5519" w:rsidRDefault="00D1124B" w:rsidP="009B5519">
      <w:pPr>
        <w:jc w:val="both"/>
        <w:rPr>
          <w:rFonts w:asciiTheme="majorBidi" w:hAnsiTheme="majorBidi" w:cstheme="majorBidi"/>
          <w:szCs w:val="24"/>
          <w:lang w:val="en-MY"/>
        </w:rPr>
      </w:pPr>
      <w:r w:rsidRPr="00D1124B">
        <w:rPr>
          <w:rFonts w:asciiTheme="majorBidi" w:hAnsiTheme="majorBidi" w:cstheme="majorBidi"/>
          <w:szCs w:val="24"/>
          <w:lang w:val="en-MY"/>
        </w:rPr>
        <w:t xml:space="preserve">Gold is often written up as a haven, inflation hedge, reserve asset and portfolio diversifier, and crisis-sensitive commodity (Baur &amp; Lucey, 2010; Baur &amp; McDermott, 2010; Beckmann et al., 2015; Bredin et al., 2015; </w:t>
      </w:r>
      <w:proofErr w:type="spellStart"/>
      <w:r w:rsidRPr="00D1124B">
        <w:rPr>
          <w:rFonts w:asciiTheme="majorBidi" w:hAnsiTheme="majorBidi" w:cstheme="majorBidi"/>
          <w:szCs w:val="24"/>
          <w:lang w:val="en-MY"/>
        </w:rPr>
        <w:t>Capie</w:t>
      </w:r>
      <w:proofErr w:type="spellEnd"/>
      <w:r w:rsidRPr="00D1124B">
        <w:rPr>
          <w:rFonts w:asciiTheme="majorBidi" w:hAnsiTheme="majorBidi" w:cstheme="majorBidi"/>
          <w:szCs w:val="24"/>
          <w:lang w:val="en-MY"/>
        </w:rPr>
        <w:t xml:space="preserve"> et al., 2005; </w:t>
      </w:r>
      <w:proofErr w:type="spellStart"/>
      <w:r w:rsidRPr="00D1124B">
        <w:rPr>
          <w:rFonts w:asciiTheme="majorBidi" w:hAnsiTheme="majorBidi" w:cstheme="majorBidi"/>
          <w:szCs w:val="24"/>
          <w:lang w:val="en-MY"/>
        </w:rPr>
        <w:t>Erb</w:t>
      </w:r>
      <w:proofErr w:type="spellEnd"/>
      <w:r w:rsidRPr="00D1124B">
        <w:rPr>
          <w:rFonts w:asciiTheme="majorBidi" w:hAnsiTheme="majorBidi" w:cstheme="majorBidi"/>
          <w:szCs w:val="24"/>
          <w:lang w:val="en-MY"/>
        </w:rPr>
        <w:t xml:space="preserve"> &amp; Harvey, 2013; O</w:t>
      </w:r>
      <w:r w:rsidR="00325619">
        <w:rPr>
          <w:rFonts w:asciiTheme="majorBidi" w:hAnsiTheme="majorBidi" w:cstheme="majorBidi"/>
          <w:szCs w:val="24"/>
          <w:lang w:val="en-MY"/>
        </w:rPr>
        <w:t>’</w:t>
      </w:r>
      <w:r w:rsidRPr="00D1124B">
        <w:rPr>
          <w:rFonts w:asciiTheme="majorBidi" w:hAnsiTheme="majorBidi" w:cstheme="majorBidi"/>
          <w:szCs w:val="24"/>
          <w:lang w:val="en-MY"/>
        </w:rPr>
        <w:t xml:space="preserve">Connor et al., 2015). The literature from an Islamic economics </w:t>
      </w:r>
      <w:r w:rsidR="00325619">
        <w:rPr>
          <w:rFonts w:asciiTheme="majorBidi" w:hAnsiTheme="majorBidi" w:cstheme="majorBidi"/>
          <w:szCs w:val="24"/>
          <w:lang w:val="en-MY"/>
        </w:rPr>
        <w:t>perspective should align with the study of zakat and social finance, as the actual effects</w:t>
      </w:r>
      <w:r w:rsidRPr="00D1124B">
        <w:rPr>
          <w:rFonts w:asciiTheme="majorBidi" w:hAnsiTheme="majorBidi" w:cstheme="majorBidi"/>
          <w:szCs w:val="24"/>
          <w:lang w:val="en-MY"/>
        </w:rPr>
        <w:t xml:space="preserve"> of fiscal religious instruments (zakat) in the social world may be influenced by asset repricing (Ahmed, 2004; </w:t>
      </w:r>
      <w:proofErr w:type="spellStart"/>
      <w:r w:rsidRPr="00D1124B">
        <w:rPr>
          <w:rFonts w:asciiTheme="majorBidi" w:hAnsiTheme="majorBidi" w:cstheme="majorBidi"/>
          <w:szCs w:val="24"/>
          <w:lang w:val="en-MY"/>
        </w:rPr>
        <w:t>Kahf</w:t>
      </w:r>
      <w:proofErr w:type="spellEnd"/>
      <w:r w:rsidRPr="00D1124B">
        <w:rPr>
          <w:rFonts w:asciiTheme="majorBidi" w:hAnsiTheme="majorBidi" w:cstheme="majorBidi"/>
          <w:szCs w:val="24"/>
          <w:lang w:val="en-MY"/>
        </w:rPr>
        <w:t xml:space="preserve">, 1999; Obaidullah, 2016). These services have </w:t>
      </w:r>
      <w:r w:rsidR="00325619">
        <w:rPr>
          <w:rFonts w:asciiTheme="majorBidi" w:hAnsiTheme="majorBidi" w:cstheme="majorBidi"/>
          <w:szCs w:val="24"/>
          <w:lang w:val="en-MY"/>
        </w:rPr>
        <w:t>grown over</w:t>
      </w:r>
      <w:r w:rsidRPr="00D1124B">
        <w:rPr>
          <w:rFonts w:asciiTheme="majorBidi" w:hAnsiTheme="majorBidi" w:cstheme="majorBidi"/>
          <w:szCs w:val="24"/>
          <w:lang w:val="en-MY"/>
        </w:rPr>
        <w:t xml:space="preserve"> the years 2021–2025. </w:t>
      </w:r>
      <w:r w:rsidR="00325619">
        <w:rPr>
          <w:rFonts w:asciiTheme="majorBidi" w:hAnsiTheme="majorBidi" w:cstheme="majorBidi"/>
          <w:szCs w:val="24"/>
          <w:lang w:val="en-MY"/>
        </w:rPr>
        <w:t>The World Gold Council published reports showing that central banks continued to buy gold, with demand from central banks remaining high, ongoing geopolitical risks, continued investment inflows, and gold’s role in reserve management still evident</w:t>
      </w:r>
      <w:r w:rsidRPr="00D1124B">
        <w:rPr>
          <w:rFonts w:asciiTheme="majorBidi" w:hAnsiTheme="majorBidi" w:cstheme="majorBidi"/>
          <w:szCs w:val="24"/>
          <w:lang w:val="en-MY"/>
        </w:rPr>
        <w:t xml:space="preserve"> (World Gold Council, 2023, 2024a, 2024b, 2025a, 2025b). The International Monetary Fund (IMF, 2024) </w:t>
      </w:r>
      <w:r w:rsidR="00325619">
        <w:rPr>
          <w:rFonts w:asciiTheme="majorBidi" w:hAnsiTheme="majorBidi" w:cstheme="majorBidi"/>
          <w:szCs w:val="24"/>
          <w:lang w:val="en-MY"/>
        </w:rPr>
        <w:t>distinguishes between monetary and other official reserve assets, and the London Bullion Market Association (LBMA, 2025) provides</w:t>
      </w:r>
      <w:r w:rsidRPr="00D1124B">
        <w:rPr>
          <w:rFonts w:asciiTheme="majorBidi" w:hAnsiTheme="majorBidi" w:cstheme="majorBidi"/>
          <w:szCs w:val="24"/>
          <w:lang w:val="en-MY"/>
        </w:rPr>
        <w:t xml:space="preserve"> infrastructure for benchmark pricing. Structural repricing </w:t>
      </w:r>
      <w:r w:rsidR="00325619">
        <w:rPr>
          <w:rFonts w:asciiTheme="majorBidi" w:hAnsiTheme="majorBidi" w:cstheme="majorBidi"/>
          <w:szCs w:val="24"/>
          <w:lang w:val="en-MY"/>
        </w:rPr>
        <w:t>is not</w:t>
      </w:r>
      <w:r w:rsidRPr="00D1124B">
        <w:rPr>
          <w:rFonts w:asciiTheme="majorBidi" w:hAnsiTheme="majorBidi" w:cstheme="majorBidi"/>
          <w:szCs w:val="24"/>
          <w:lang w:val="en-MY"/>
        </w:rPr>
        <w:t xml:space="preserve"> the same as short-term volatility. Volatility</w:t>
      </w:r>
      <w:r w:rsidR="00325619">
        <w:rPr>
          <w:rFonts w:asciiTheme="majorBidi" w:hAnsiTheme="majorBidi" w:cstheme="majorBidi"/>
          <w:szCs w:val="24"/>
          <w:lang w:val="en-MY"/>
        </w:rPr>
        <w:t>,</w:t>
      </w:r>
      <w:r w:rsidRPr="00D1124B">
        <w:rPr>
          <w:rFonts w:asciiTheme="majorBidi" w:hAnsiTheme="majorBidi" w:cstheme="majorBidi"/>
          <w:szCs w:val="24"/>
          <w:lang w:val="en-MY"/>
        </w:rPr>
        <w:t xml:space="preserve"> the magnitude of price fluctuations over time; repricing</w:t>
      </w:r>
      <w:r w:rsidR="0005756D">
        <w:rPr>
          <w:rFonts w:asciiTheme="majorBidi" w:hAnsiTheme="majorBidi" w:cstheme="majorBidi"/>
          <w:szCs w:val="24"/>
          <w:lang w:val="en-MY"/>
        </w:rPr>
        <w:t xml:space="preserve">, </w:t>
      </w:r>
      <w:r w:rsidRPr="00D1124B">
        <w:rPr>
          <w:rFonts w:asciiTheme="majorBidi" w:hAnsiTheme="majorBidi" w:cstheme="majorBidi"/>
          <w:szCs w:val="24"/>
          <w:lang w:val="en-MY"/>
        </w:rPr>
        <w:t xml:space="preserve">the re-evaluation of the equilibrium price of an asset by the market. In 2021-2025, the gold price moved </w:t>
      </w:r>
      <w:r w:rsidR="00325619">
        <w:rPr>
          <w:rFonts w:asciiTheme="majorBidi" w:hAnsiTheme="majorBidi" w:cstheme="majorBidi"/>
          <w:szCs w:val="24"/>
          <w:lang w:val="en-MY"/>
        </w:rPr>
        <w:t xml:space="preserve">outside its </w:t>
      </w:r>
      <w:r w:rsidR="0005756D">
        <w:rPr>
          <w:rFonts w:asciiTheme="majorBidi" w:hAnsiTheme="majorBidi" w:cstheme="majorBidi"/>
          <w:szCs w:val="24"/>
          <w:lang w:val="en-MY"/>
        </w:rPr>
        <w:t>usual</w:t>
      </w:r>
      <w:r w:rsidR="00325619">
        <w:rPr>
          <w:rFonts w:asciiTheme="majorBidi" w:hAnsiTheme="majorBidi" w:cstheme="majorBidi"/>
          <w:szCs w:val="24"/>
          <w:lang w:val="en-MY"/>
        </w:rPr>
        <w:t xml:space="preserve"> range</w:t>
      </w:r>
      <w:r w:rsidRPr="00D1124B">
        <w:rPr>
          <w:rFonts w:asciiTheme="majorBidi" w:hAnsiTheme="majorBidi" w:cstheme="majorBidi"/>
          <w:szCs w:val="24"/>
          <w:lang w:val="en-MY"/>
        </w:rPr>
        <w:t xml:space="preserve"> in both directions</w:t>
      </w:r>
      <w:r w:rsidR="00325619">
        <w:rPr>
          <w:rFonts w:asciiTheme="majorBidi" w:hAnsiTheme="majorBidi" w:cstheme="majorBidi"/>
          <w:szCs w:val="24"/>
          <w:lang w:val="en-MY"/>
        </w:rPr>
        <w:t xml:space="preserve">, </w:t>
      </w:r>
      <w:r w:rsidR="0005756D">
        <w:rPr>
          <w:rFonts w:asciiTheme="majorBidi" w:hAnsiTheme="majorBidi" w:cstheme="majorBidi"/>
          <w:szCs w:val="24"/>
          <w:lang w:val="en-MY"/>
        </w:rPr>
        <w:t>making it more valuable</w:t>
      </w:r>
      <w:r w:rsidRPr="00D1124B">
        <w:rPr>
          <w:rFonts w:asciiTheme="majorBidi" w:hAnsiTheme="majorBidi" w:cstheme="majorBidi"/>
          <w:szCs w:val="24"/>
          <w:lang w:val="en-MY"/>
        </w:rPr>
        <w:t xml:space="preserve">. It </w:t>
      </w:r>
      <w:r w:rsidR="00325619">
        <w:rPr>
          <w:rFonts w:asciiTheme="majorBidi" w:hAnsiTheme="majorBidi" w:cstheme="majorBidi"/>
          <w:szCs w:val="24"/>
          <w:lang w:val="en-MY"/>
        </w:rPr>
        <w:t>was not</w:t>
      </w:r>
      <w:r w:rsidRPr="00D1124B">
        <w:rPr>
          <w:rFonts w:asciiTheme="majorBidi" w:hAnsiTheme="majorBidi" w:cstheme="majorBidi"/>
          <w:szCs w:val="24"/>
          <w:lang w:val="en-MY"/>
        </w:rPr>
        <w:t xml:space="preserve"> a </w:t>
      </w:r>
      <w:r w:rsidR="00325619">
        <w:rPr>
          <w:rFonts w:asciiTheme="majorBidi" w:hAnsiTheme="majorBidi" w:cstheme="majorBidi"/>
          <w:szCs w:val="24"/>
          <w:lang w:val="en-MY"/>
        </w:rPr>
        <w:t>‘</w:t>
      </w:r>
      <w:r w:rsidRPr="00D1124B">
        <w:rPr>
          <w:rFonts w:asciiTheme="majorBidi" w:hAnsiTheme="majorBidi" w:cstheme="majorBidi"/>
          <w:szCs w:val="24"/>
          <w:lang w:val="en-MY"/>
        </w:rPr>
        <w:t>one event</w:t>
      </w:r>
      <w:r w:rsidR="00325619">
        <w:rPr>
          <w:rFonts w:asciiTheme="majorBidi" w:hAnsiTheme="majorBidi" w:cstheme="majorBidi"/>
          <w:szCs w:val="24"/>
          <w:lang w:val="en-MY"/>
        </w:rPr>
        <w:t>’</w:t>
      </w:r>
      <w:r w:rsidRPr="00D1124B">
        <w:rPr>
          <w:rFonts w:asciiTheme="majorBidi" w:hAnsiTheme="majorBidi" w:cstheme="majorBidi"/>
          <w:szCs w:val="24"/>
          <w:lang w:val="en-MY"/>
        </w:rPr>
        <w:t xml:space="preserve"> but a consequence of many events</w:t>
      </w:r>
      <w:r w:rsidR="00325619">
        <w:rPr>
          <w:rFonts w:asciiTheme="majorBidi" w:hAnsiTheme="majorBidi" w:cstheme="majorBidi"/>
          <w:szCs w:val="24"/>
          <w:lang w:val="en-MY"/>
        </w:rPr>
        <w:t>,</w:t>
      </w:r>
      <w:r w:rsidRPr="00D1124B">
        <w:rPr>
          <w:rFonts w:asciiTheme="majorBidi" w:hAnsiTheme="majorBidi" w:cstheme="majorBidi"/>
          <w:szCs w:val="24"/>
          <w:lang w:val="en-MY"/>
        </w:rPr>
        <w:t xml:space="preserve"> such as </w:t>
      </w:r>
      <w:r w:rsidR="00325619">
        <w:rPr>
          <w:rFonts w:asciiTheme="majorBidi" w:hAnsiTheme="majorBidi" w:cstheme="majorBidi"/>
          <w:szCs w:val="24"/>
          <w:lang w:val="en-MY"/>
        </w:rPr>
        <w:t xml:space="preserve">risk pricing, currency credibility, reserve diversification, and the </w:t>
      </w:r>
      <w:r w:rsidRPr="00D1124B">
        <w:rPr>
          <w:rFonts w:asciiTheme="majorBidi" w:hAnsiTheme="majorBidi" w:cstheme="majorBidi"/>
          <w:szCs w:val="24"/>
          <w:lang w:val="en-MY"/>
        </w:rPr>
        <w:t>absence of trusted stores of value. It has profound implications for zakat because</w:t>
      </w:r>
      <w:r w:rsidR="00325619">
        <w:rPr>
          <w:rFonts w:asciiTheme="majorBidi" w:hAnsiTheme="majorBidi" w:cstheme="majorBidi"/>
          <w:szCs w:val="24"/>
          <w:lang w:val="en-MY"/>
        </w:rPr>
        <w:t xml:space="preserve">, in fiat currency, the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could be set above the income threshold, thereby increasing both wealth and zakat</w:t>
      </w:r>
      <w:r w:rsidRPr="00D1124B">
        <w:rPr>
          <w:rFonts w:asciiTheme="majorBidi" w:hAnsiTheme="majorBidi" w:cstheme="majorBidi"/>
          <w:szCs w:val="24"/>
          <w:lang w:val="en-MY"/>
        </w:rPr>
        <w:t>.</w:t>
      </w:r>
    </w:p>
    <w:p w:rsidR="002A4AEB" w:rsidRPr="009B5519" w:rsidRDefault="003B4FC0" w:rsidP="00E42491">
      <w:pPr>
        <w:pStyle w:val="Heading2"/>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 xml:space="preserve">2.4 </w:t>
      </w:r>
      <w:r w:rsidR="009B5519" w:rsidRPr="009B5519">
        <w:rPr>
          <w:rFonts w:asciiTheme="majorBidi" w:hAnsiTheme="majorBidi"/>
          <w:color w:val="auto"/>
          <w:sz w:val="24"/>
          <w:szCs w:val="24"/>
          <w:lang w:val="en-MY"/>
        </w:rPr>
        <w:t>THE RESEARCH GAP</w:t>
      </w:r>
    </w:p>
    <w:p w:rsidR="002A4AEB" w:rsidRPr="009B5519" w:rsidRDefault="00C5065E" w:rsidP="00E42491">
      <w:pPr>
        <w:jc w:val="both"/>
        <w:rPr>
          <w:rFonts w:asciiTheme="majorBidi" w:hAnsiTheme="majorBidi" w:cstheme="majorBidi"/>
          <w:szCs w:val="24"/>
          <w:lang w:val="en-MY"/>
        </w:rPr>
      </w:pPr>
      <w:r>
        <w:rPr>
          <w:rFonts w:asciiTheme="majorBidi" w:hAnsiTheme="majorBidi" w:cstheme="majorBidi"/>
          <w:szCs w:val="24"/>
          <w:lang w:val="en-MY"/>
        </w:rPr>
        <w:t xml:space="preserve"> </w:t>
      </w:r>
      <w:r w:rsidR="00D1124B" w:rsidRPr="00D1124B">
        <w:rPr>
          <w:rFonts w:asciiTheme="majorBidi" w:hAnsiTheme="majorBidi" w:cstheme="majorBidi"/>
          <w:szCs w:val="24"/>
          <w:lang w:val="en-MY"/>
        </w:rPr>
        <w:t xml:space="preserve">Several issues regarding the management of zakat, the status of gold as an asset on which zakat is paid and the use of gold and silver in determining the </w:t>
      </w:r>
      <w:proofErr w:type="spellStart"/>
      <w:r w:rsidR="00D1124B" w:rsidRPr="00D1124B">
        <w:rPr>
          <w:rFonts w:asciiTheme="majorBidi" w:hAnsiTheme="majorBidi" w:cstheme="majorBidi"/>
          <w:szCs w:val="24"/>
          <w:lang w:val="en-MY"/>
        </w:rPr>
        <w:t>niṣāb</w:t>
      </w:r>
      <w:proofErr w:type="spellEnd"/>
      <w:r w:rsidR="00D1124B" w:rsidRPr="00D1124B">
        <w:rPr>
          <w:rFonts w:asciiTheme="majorBidi" w:hAnsiTheme="majorBidi" w:cstheme="majorBidi"/>
          <w:szCs w:val="24"/>
          <w:lang w:val="en-MY"/>
        </w:rPr>
        <w:t xml:space="preserve"> were discussed. Much of the discussion, however, is doctrinal and/or operational. The advantages and disadvantages of the doctrinal literature are </w:t>
      </w:r>
      <w:r w:rsidR="00325619">
        <w:rPr>
          <w:rFonts w:asciiTheme="majorBidi" w:hAnsiTheme="majorBidi" w:cstheme="majorBidi"/>
          <w:szCs w:val="24"/>
          <w:lang w:val="en-MY"/>
        </w:rPr>
        <w:t xml:space="preserve">noted regarding gold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but it does not fully examine </w:t>
      </w:r>
      <w:r w:rsidR="00D1124B" w:rsidRPr="00D1124B">
        <w:rPr>
          <w:rFonts w:asciiTheme="majorBidi" w:hAnsiTheme="majorBidi" w:cstheme="majorBidi"/>
          <w:szCs w:val="24"/>
          <w:lang w:val="en-MY"/>
        </w:rPr>
        <w:t>modern price regimes.</w:t>
      </w:r>
      <w:r w:rsidR="00D1124B">
        <w:rPr>
          <w:rFonts w:asciiTheme="majorBidi" w:hAnsiTheme="majorBidi" w:cstheme="majorBidi"/>
          <w:szCs w:val="24"/>
          <w:lang w:val="en-MY"/>
        </w:rPr>
        <w:t xml:space="preserve"> </w:t>
      </w:r>
      <w:r>
        <w:rPr>
          <w:rFonts w:asciiTheme="majorBidi" w:hAnsiTheme="majorBidi" w:cstheme="majorBidi"/>
          <w:szCs w:val="24"/>
          <w:lang w:val="en-MY"/>
        </w:rPr>
        <w:t xml:space="preserve">There is more focus in the operational literature on tools for calculation and efficiency at the institutional level rather than macro-financial repricing. Similarly, the gold market literature provides ample analysis of price-determining factors but seldom addresses Islamic </w:t>
      </w:r>
      <w:r>
        <w:rPr>
          <w:rFonts w:asciiTheme="majorBidi" w:hAnsiTheme="majorBidi" w:cstheme="majorBidi"/>
          <w:szCs w:val="24"/>
          <w:lang w:val="en-MY"/>
        </w:rPr>
        <w:lastRenderedPageBreak/>
        <w:t xml:space="preserve">legal implications. This article seeks to connect these fields by analysing the structural gold repricing as a challenge in wealth zakat </w:t>
      </w:r>
      <w:proofErr w:type="spellStart"/>
      <w:r w:rsidR="003F1946">
        <w:rPr>
          <w:rFonts w:asciiTheme="majorBidi" w:hAnsiTheme="majorBidi" w:cstheme="majorBidi"/>
          <w:szCs w:val="24"/>
          <w:lang w:val="en-MY"/>
        </w:rPr>
        <w:t>niṣāb</w:t>
      </w:r>
      <w:proofErr w:type="spellEnd"/>
      <w:r>
        <w:rPr>
          <w:rFonts w:asciiTheme="majorBidi" w:hAnsiTheme="majorBidi" w:cstheme="majorBidi"/>
          <w:szCs w:val="24"/>
          <w:lang w:val="en-MY"/>
        </w:rPr>
        <w:t xml:space="preserve"> governance.</w:t>
      </w:r>
    </w:p>
    <w:p w:rsidR="002A4AEB" w:rsidRPr="009B5519" w:rsidRDefault="003B4FC0" w:rsidP="00E42491">
      <w:pPr>
        <w:pStyle w:val="Heading1"/>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3. M</w:t>
      </w:r>
      <w:r w:rsidR="009B5519" w:rsidRPr="009B5519">
        <w:rPr>
          <w:rFonts w:asciiTheme="majorBidi" w:hAnsiTheme="majorBidi"/>
          <w:color w:val="auto"/>
          <w:sz w:val="24"/>
          <w:szCs w:val="24"/>
          <w:lang w:val="en-MY"/>
        </w:rPr>
        <w:t>ETHODOLOGY</w:t>
      </w:r>
    </w:p>
    <w:p w:rsidR="00133221" w:rsidRPr="009B5519" w:rsidRDefault="00D1124B" w:rsidP="00E42491">
      <w:pPr>
        <w:jc w:val="both"/>
        <w:rPr>
          <w:rFonts w:asciiTheme="majorBidi" w:hAnsiTheme="majorBidi" w:cstheme="majorBidi"/>
          <w:szCs w:val="24"/>
          <w:lang w:val="en-MY"/>
        </w:rPr>
      </w:pPr>
      <w:r w:rsidRPr="00D1124B">
        <w:rPr>
          <w:rFonts w:asciiTheme="majorBidi" w:hAnsiTheme="majorBidi" w:cstheme="majorBidi"/>
          <w:szCs w:val="24"/>
          <w:lang w:val="en-MY"/>
        </w:rPr>
        <w:t xml:space="preserve">The method in this study is </w:t>
      </w:r>
      <w:r w:rsidR="00325619">
        <w:rPr>
          <w:rFonts w:asciiTheme="majorBidi" w:hAnsiTheme="majorBidi" w:cstheme="majorBidi"/>
          <w:szCs w:val="24"/>
          <w:lang w:val="en-MY"/>
        </w:rPr>
        <w:t>an integrative method that will be specifically analysed</w:t>
      </w:r>
      <w:r w:rsidRPr="00D1124B">
        <w:rPr>
          <w:rFonts w:asciiTheme="majorBidi" w:hAnsiTheme="majorBidi" w:cstheme="majorBidi"/>
          <w:szCs w:val="24"/>
          <w:lang w:val="en-MY"/>
        </w:rPr>
        <w:t xml:space="preserve"> through empirical price analysis, Islamic legal analysis and governance analysis. The empirical component involves </w:t>
      </w:r>
      <w:r w:rsidR="00325619">
        <w:rPr>
          <w:rFonts w:asciiTheme="majorBidi" w:hAnsiTheme="majorBidi" w:cstheme="majorBidi"/>
          <w:szCs w:val="24"/>
          <w:lang w:val="en-MY"/>
        </w:rPr>
        <w:t xml:space="preserve">daily GC=F (2021-2025) data </w:t>
      </w:r>
      <w:r w:rsidRPr="00D1124B">
        <w:rPr>
          <w:rFonts w:asciiTheme="majorBidi" w:hAnsiTheme="majorBidi" w:cstheme="majorBidi"/>
          <w:szCs w:val="24"/>
          <w:lang w:val="en-MY"/>
        </w:rPr>
        <w:t xml:space="preserve">from Yahoo Finance. </w:t>
      </w:r>
      <w:r w:rsidR="00325619">
        <w:rPr>
          <w:rFonts w:asciiTheme="majorBidi" w:hAnsiTheme="majorBidi" w:cstheme="majorBidi"/>
          <w:szCs w:val="24"/>
          <w:lang w:val="en-MY"/>
        </w:rPr>
        <w:t xml:space="preserve">The average price and annual return are calculated using the data set, as well as volatility, the average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proxy, and the </w:t>
      </w:r>
      <w:r w:rsidRPr="00D1124B">
        <w:rPr>
          <w:rFonts w:asciiTheme="majorBidi" w:hAnsiTheme="majorBidi" w:cstheme="majorBidi"/>
          <w:szCs w:val="24"/>
          <w:lang w:val="en-MY"/>
        </w:rPr>
        <w:t xml:space="preserve">maximum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proxy.</w:t>
      </w:r>
      <w:r w:rsidR="001D1A09">
        <w:rPr>
          <w:rFonts w:asciiTheme="majorBidi" w:hAnsiTheme="majorBidi" w:cstheme="majorBidi"/>
          <w:szCs w:val="24"/>
          <w:lang w:val="en-MY"/>
        </w:rPr>
        <w:t xml:space="preserve"> The conversion formula:</w:t>
      </w:r>
    </w:p>
    <w:p w:rsidR="002A4AEB" w:rsidRPr="009B5519" w:rsidRDefault="00325619" w:rsidP="009B5519">
      <w:pPr>
        <w:ind w:right="288"/>
        <w:jc w:val="center"/>
        <w:rPr>
          <w:rFonts w:asciiTheme="majorBidi" w:hAnsiTheme="majorBidi" w:cstheme="majorBidi"/>
          <w:iCs/>
          <w:szCs w:val="24"/>
          <w:lang w:val="en-MY"/>
        </w:rPr>
      </w:pPr>
      <w:r>
        <w:rPr>
          <w:rFonts w:asciiTheme="majorBidi" w:hAnsiTheme="majorBidi" w:cstheme="majorBidi"/>
          <w:iCs/>
          <w:szCs w:val="24"/>
          <w:lang w:val="en-MY"/>
        </w:rPr>
        <w:t>“</w:t>
      </w:r>
      <w:r w:rsidR="003B4FC0" w:rsidRPr="009B5519">
        <w:rPr>
          <w:rFonts w:asciiTheme="majorBidi" w:hAnsiTheme="majorBidi" w:cstheme="majorBidi"/>
          <w:iCs/>
          <w:szCs w:val="24"/>
          <w:lang w:val="en-MY"/>
        </w:rPr>
        <w:t xml:space="preserve">85g gold </w:t>
      </w:r>
      <w:proofErr w:type="spellStart"/>
      <w:r w:rsidR="003F1946">
        <w:rPr>
          <w:rFonts w:asciiTheme="majorBidi" w:hAnsiTheme="majorBidi" w:cstheme="majorBidi"/>
          <w:iCs/>
          <w:szCs w:val="24"/>
          <w:lang w:val="en-MY"/>
        </w:rPr>
        <w:t>niṣāb</w:t>
      </w:r>
      <w:proofErr w:type="spellEnd"/>
      <w:r w:rsidR="003B4FC0" w:rsidRPr="009B5519">
        <w:rPr>
          <w:rFonts w:asciiTheme="majorBidi" w:hAnsiTheme="majorBidi" w:cstheme="majorBidi"/>
          <w:iCs/>
          <w:szCs w:val="24"/>
          <w:lang w:val="en-MY"/>
        </w:rPr>
        <w:t xml:space="preserve"> proxy = annual average USD/oz gold price × (85 ÷ 31.1034768)</w:t>
      </w:r>
      <w:r>
        <w:rPr>
          <w:rFonts w:asciiTheme="majorBidi" w:hAnsiTheme="majorBidi" w:cstheme="majorBidi"/>
          <w:iCs/>
          <w:szCs w:val="24"/>
          <w:lang w:val="en-MY"/>
        </w:rPr>
        <w:t>”</w:t>
      </w:r>
    </w:p>
    <w:p w:rsidR="00D1124B" w:rsidRPr="00D1124B" w:rsidRDefault="00133221" w:rsidP="00D1124B">
      <w:pPr>
        <w:ind w:firstLine="720"/>
        <w:jc w:val="both"/>
        <w:rPr>
          <w:rFonts w:asciiTheme="majorBidi" w:hAnsiTheme="majorBidi" w:cstheme="majorBidi"/>
          <w:szCs w:val="24"/>
          <w:lang w:val="en-MY"/>
        </w:rPr>
      </w:pPr>
      <w:r w:rsidRPr="009B5519">
        <w:rPr>
          <w:rStyle w:val="cursor-pointer"/>
          <w:rFonts w:asciiTheme="majorBidi" w:hAnsiTheme="majorBidi" w:cstheme="majorBidi"/>
          <w:szCs w:val="24"/>
          <w:lang w:val="en-MY"/>
        </w:rPr>
        <w:t xml:space="preserve">The legal aspect involves a qualitative </w:t>
      </w:r>
      <w:proofErr w:type="spellStart"/>
      <w:r w:rsidRPr="009B5519">
        <w:rPr>
          <w:rStyle w:val="cursor-pointer"/>
          <w:rFonts w:asciiTheme="majorBidi" w:hAnsiTheme="majorBidi" w:cstheme="majorBidi"/>
          <w:szCs w:val="24"/>
          <w:lang w:val="en-MY"/>
        </w:rPr>
        <w:t>fiqh</w:t>
      </w:r>
      <w:proofErr w:type="spellEnd"/>
      <w:r w:rsidRPr="009B5519">
        <w:rPr>
          <w:rStyle w:val="cursor-pointer"/>
          <w:rFonts w:asciiTheme="majorBidi" w:hAnsiTheme="majorBidi" w:cstheme="majorBidi"/>
          <w:szCs w:val="24"/>
          <w:lang w:val="en-MY"/>
        </w:rPr>
        <w:t xml:space="preserve"> analysis based on classical works such as hadiths, </w:t>
      </w:r>
      <w:proofErr w:type="spellStart"/>
      <w:r w:rsidRPr="009B5519">
        <w:rPr>
          <w:rStyle w:val="cursor-pointer"/>
          <w:rFonts w:asciiTheme="majorBidi" w:hAnsiTheme="majorBidi" w:cstheme="majorBidi"/>
          <w:szCs w:val="24"/>
          <w:lang w:val="en-MY"/>
        </w:rPr>
        <w:t>qawāʾid</w:t>
      </w:r>
      <w:proofErr w:type="spellEnd"/>
      <w:r w:rsidRPr="009B5519">
        <w:rPr>
          <w:rStyle w:val="cursor-pointer"/>
          <w:rFonts w:asciiTheme="majorBidi" w:hAnsiTheme="majorBidi" w:cstheme="majorBidi"/>
          <w:szCs w:val="24"/>
          <w:lang w:val="en-MY"/>
        </w:rPr>
        <w:t xml:space="preserve"> </w:t>
      </w:r>
      <w:proofErr w:type="spellStart"/>
      <w:r w:rsidRPr="009B5519">
        <w:rPr>
          <w:rStyle w:val="cursor-pointer"/>
          <w:rFonts w:asciiTheme="majorBidi" w:hAnsiTheme="majorBidi" w:cstheme="majorBidi"/>
          <w:szCs w:val="24"/>
          <w:lang w:val="en-MY"/>
        </w:rPr>
        <w:t>fiqhiyyah</w:t>
      </w:r>
      <w:proofErr w:type="spellEnd"/>
      <w:r w:rsidRPr="009B5519">
        <w:rPr>
          <w:rStyle w:val="cursor-pointer"/>
          <w:rFonts w:asciiTheme="majorBidi" w:hAnsiTheme="majorBidi" w:cstheme="majorBidi"/>
          <w:szCs w:val="24"/>
          <w:lang w:val="en-MY"/>
        </w:rPr>
        <w:t xml:space="preserve">, </w:t>
      </w:r>
      <w:proofErr w:type="spellStart"/>
      <w:r w:rsidRPr="009B5519">
        <w:rPr>
          <w:rStyle w:val="cursor-pointer"/>
          <w:rFonts w:asciiTheme="majorBidi" w:hAnsiTheme="majorBidi" w:cstheme="majorBidi"/>
          <w:szCs w:val="24"/>
          <w:lang w:val="en-MY"/>
        </w:rPr>
        <w:t>maqāṣid</w:t>
      </w:r>
      <w:proofErr w:type="spellEnd"/>
      <w:r w:rsidRPr="009B5519">
        <w:rPr>
          <w:rStyle w:val="cursor-pointer"/>
          <w:rFonts w:asciiTheme="majorBidi" w:hAnsiTheme="majorBidi" w:cstheme="majorBidi"/>
          <w:szCs w:val="24"/>
          <w:lang w:val="en-MY"/>
        </w:rPr>
        <w:t xml:space="preserve"> al-</w:t>
      </w:r>
      <w:proofErr w:type="spellStart"/>
      <w:r w:rsidRPr="009B5519">
        <w:rPr>
          <w:rStyle w:val="cursor-pointer"/>
          <w:rFonts w:asciiTheme="majorBidi" w:hAnsiTheme="majorBidi" w:cstheme="majorBidi"/>
          <w:szCs w:val="24"/>
          <w:lang w:val="en-MY"/>
        </w:rPr>
        <w:t>sharīʾah</w:t>
      </w:r>
      <w:proofErr w:type="spellEnd"/>
      <w:r w:rsidRPr="009B5519">
        <w:rPr>
          <w:rStyle w:val="cursor-pointer"/>
          <w:rFonts w:asciiTheme="majorBidi" w:hAnsiTheme="majorBidi" w:cstheme="majorBidi"/>
          <w:szCs w:val="24"/>
          <w:lang w:val="en-MY"/>
        </w:rPr>
        <w:t xml:space="preserve"> (al-</w:t>
      </w:r>
      <w:proofErr w:type="spellStart"/>
      <w:r w:rsidRPr="009B5519">
        <w:rPr>
          <w:rStyle w:val="cursor-pointer"/>
          <w:rFonts w:asciiTheme="majorBidi" w:hAnsiTheme="majorBidi" w:cstheme="majorBidi"/>
          <w:szCs w:val="24"/>
          <w:lang w:val="en-MY"/>
        </w:rPr>
        <w:t>Shāṭibī</w:t>
      </w:r>
      <w:proofErr w:type="spellEnd"/>
      <w:r w:rsidRPr="009B5519">
        <w:rPr>
          <w:rStyle w:val="cursor-pointer"/>
          <w:rFonts w:asciiTheme="majorBidi" w:hAnsiTheme="majorBidi" w:cstheme="majorBidi"/>
          <w:szCs w:val="24"/>
          <w:lang w:val="en-MY"/>
        </w:rPr>
        <w:t>, 1997; al-</w:t>
      </w:r>
      <w:proofErr w:type="spellStart"/>
      <w:r w:rsidRPr="009B5519">
        <w:rPr>
          <w:rStyle w:val="cursor-pointer"/>
          <w:rFonts w:asciiTheme="majorBidi" w:hAnsiTheme="majorBidi" w:cstheme="majorBidi"/>
          <w:szCs w:val="24"/>
          <w:lang w:val="en-MY"/>
        </w:rPr>
        <w:t>Suyūṭī</w:t>
      </w:r>
      <w:proofErr w:type="spellEnd"/>
      <w:r w:rsidRPr="009B5519">
        <w:rPr>
          <w:rStyle w:val="cursor-pointer"/>
          <w:rFonts w:asciiTheme="majorBidi" w:hAnsiTheme="majorBidi" w:cstheme="majorBidi"/>
          <w:szCs w:val="24"/>
          <w:lang w:val="en-MY"/>
        </w:rPr>
        <w:t>, 1990; al-</w:t>
      </w:r>
      <w:proofErr w:type="spellStart"/>
      <w:r w:rsidRPr="009B5519">
        <w:rPr>
          <w:rStyle w:val="cursor-pointer"/>
          <w:rFonts w:asciiTheme="majorBidi" w:hAnsiTheme="majorBidi" w:cstheme="majorBidi"/>
          <w:szCs w:val="24"/>
          <w:lang w:val="en-MY"/>
        </w:rPr>
        <w:t>Zarqā</w:t>
      </w:r>
      <w:proofErr w:type="spellEnd"/>
      <w:r w:rsidRPr="009B5519">
        <w:rPr>
          <w:rStyle w:val="cursor-pointer"/>
          <w:rFonts w:asciiTheme="majorBidi" w:hAnsiTheme="majorBidi" w:cstheme="majorBidi"/>
          <w:szCs w:val="24"/>
          <w:lang w:val="en-MY"/>
        </w:rPr>
        <w:t xml:space="preserve">, 1989; Ibn </w:t>
      </w:r>
      <w:proofErr w:type="spellStart"/>
      <w:r w:rsidRPr="009B5519">
        <w:rPr>
          <w:rStyle w:val="cursor-pointer"/>
          <w:rFonts w:asciiTheme="majorBidi" w:hAnsiTheme="majorBidi" w:cstheme="majorBidi"/>
          <w:szCs w:val="24"/>
          <w:lang w:val="en-MY"/>
        </w:rPr>
        <w:t>ʿĀshūr</w:t>
      </w:r>
      <w:proofErr w:type="spellEnd"/>
      <w:r w:rsidRPr="009B5519">
        <w:rPr>
          <w:rStyle w:val="cursor-pointer"/>
          <w:rFonts w:asciiTheme="majorBidi" w:hAnsiTheme="majorBidi" w:cstheme="majorBidi"/>
          <w:szCs w:val="24"/>
          <w:lang w:val="en-MY"/>
        </w:rPr>
        <w:t xml:space="preserve">, 2006; </w:t>
      </w:r>
      <w:proofErr w:type="spellStart"/>
      <w:r w:rsidRPr="009B5519">
        <w:rPr>
          <w:rStyle w:val="cursor-pointer"/>
          <w:rFonts w:asciiTheme="majorBidi" w:hAnsiTheme="majorBidi" w:cstheme="majorBidi"/>
          <w:szCs w:val="24"/>
          <w:lang w:val="en-MY"/>
        </w:rPr>
        <w:t>Kamali</w:t>
      </w:r>
      <w:proofErr w:type="spellEnd"/>
      <w:r w:rsidRPr="009B5519">
        <w:rPr>
          <w:rStyle w:val="cursor-pointer"/>
          <w:rFonts w:asciiTheme="majorBidi" w:hAnsiTheme="majorBidi" w:cstheme="majorBidi"/>
          <w:szCs w:val="24"/>
          <w:lang w:val="en-MY"/>
        </w:rPr>
        <w:t>, 2008).</w:t>
      </w:r>
      <w:r w:rsidRPr="009B5519">
        <w:rPr>
          <w:rFonts w:asciiTheme="majorBidi" w:hAnsiTheme="majorBidi" w:cstheme="majorBidi"/>
          <w:szCs w:val="24"/>
          <w:lang w:val="en-MY"/>
        </w:rPr>
        <w:t xml:space="preserve"> </w:t>
      </w:r>
      <w:r w:rsidR="00D1124B" w:rsidRPr="00D1124B">
        <w:rPr>
          <w:rFonts w:asciiTheme="majorBidi" w:hAnsiTheme="majorBidi" w:cstheme="majorBidi"/>
          <w:szCs w:val="24"/>
          <w:lang w:val="en-MY"/>
        </w:rPr>
        <w:t xml:space="preserve">The governance element refers to the institutional </w:t>
      </w:r>
      <w:r w:rsidR="00325619">
        <w:rPr>
          <w:rFonts w:asciiTheme="majorBidi" w:hAnsiTheme="majorBidi" w:cstheme="majorBidi"/>
          <w:szCs w:val="24"/>
          <w:lang w:val="en-MY"/>
        </w:rPr>
        <w:t xml:space="preserve">decision-making process for determining the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understood as transparent, accountable, risk-management-focused, </w:t>
      </w:r>
      <w:proofErr w:type="spellStart"/>
      <w:r w:rsidR="00325619">
        <w:rPr>
          <w:rFonts w:asciiTheme="majorBidi" w:hAnsiTheme="majorBidi" w:cstheme="majorBidi"/>
          <w:szCs w:val="24"/>
          <w:lang w:val="en-MY"/>
        </w:rPr>
        <w:t>Sharīʾah</w:t>
      </w:r>
      <w:proofErr w:type="spellEnd"/>
      <w:r w:rsidR="00325619">
        <w:rPr>
          <w:rFonts w:asciiTheme="majorBidi" w:hAnsiTheme="majorBidi" w:cstheme="majorBidi"/>
          <w:szCs w:val="24"/>
          <w:lang w:val="en-MY"/>
        </w:rPr>
        <w:t>-supervised,</w:t>
      </w:r>
      <w:r w:rsidR="00D1124B" w:rsidRPr="00D1124B">
        <w:rPr>
          <w:rFonts w:asciiTheme="majorBidi" w:hAnsiTheme="majorBidi" w:cstheme="majorBidi"/>
          <w:szCs w:val="24"/>
          <w:lang w:val="en-MY"/>
        </w:rPr>
        <w:t xml:space="preserve"> and focused on public communication. The mixed approach is appropriate because the process of determining </w:t>
      </w:r>
      <w:proofErr w:type="spellStart"/>
      <w:r w:rsidR="00D1124B" w:rsidRPr="00D1124B">
        <w:rPr>
          <w:rFonts w:asciiTheme="majorBidi" w:hAnsiTheme="majorBidi" w:cstheme="majorBidi"/>
          <w:szCs w:val="24"/>
          <w:lang w:val="en-MY"/>
        </w:rPr>
        <w:t>niṣāb</w:t>
      </w:r>
      <w:proofErr w:type="spellEnd"/>
      <w:r w:rsidR="00D1124B" w:rsidRPr="00D1124B">
        <w:rPr>
          <w:rFonts w:asciiTheme="majorBidi" w:hAnsiTheme="majorBidi" w:cstheme="majorBidi"/>
          <w:szCs w:val="24"/>
          <w:lang w:val="en-MY"/>
        </w:rPr>
        <w:t xml:space="preserve"> is </w:t>
      </w:r>
      <w:r w:rsidR="00325619">
        <w:rPr>
          <w:rFonts w:asciiTheme="majorBidi" w:hAnsiTheme="majorBidi" w:cstheme="majorBidi"/>
          <w:szCs w:val="24"/>
          <w:lang w:val="en-MY"/>
        </w:rPr>
        <w:t>centred on text-centrism, market-centrism, calculation-centrism,</w:t>
      </w:r>
      <w:r w:rsidR="00D1124B" w:rsidRPr="00D1124B">
        <w:rPr>
          <w:rFonts w:asciiTheme="majorBidi" w:hAnsiTheme="majorBidi" w:cstheme="majorBidi"/>
          <w:szCs w:val="24"/>
          <w:lang w:val="en-MY"/>
        </w:rPr>
        <w:t xml:space="preserve"> and authority-centrism. In the legal implementation field, </w:t>
      </w:r>
      <w:r w:rsidR="00325619">
        <w:rPr>
          <w:rFonts w:asciiTheme="majorBidi" w:hAnsiTheme="majorBidi" w:cstheme="majorBidi"/>
          <w:szCs w:val="24"/>
          <w:lang w:val="en-MY"/>
        </w:rPr>
        <w:t xml:space="preserve">institutions are required to issue risk management, disclosure, and public accountability standards </w:t>
      </w:r>
      <w:r w:rsidR="00D1124B" w:rsidRPr="00D1124B">
        <w:rPr>
          <w:rFonts w:asciiTheme="majorBidi" w:hAnsiTheme="majorBidi" w:cstheme="majorBidi"/>
          <w:szCs w:val="24"/>
          <w:lang w:val="en-MY"/>
        </w:rPr>
        <w:t>(</w:t>
      </w:r>
      <w:proofErr w:type="spellStart"/>
      <w:r w:rsidR="00D1124B" w:rsidRPr="00D1124B">
        <w:rPr>
          <w:rFonts w:asciiTheme="majorBidi" w:hAnsiTheme="majorBidi" w:cstheme="majorBidi"/>
          <w:szCs w:val="24"/>
          <w:lang w:val="en-MY"/>
        </w:rPr>
        <w:t>Čihák</w:t>
      </w:r>
      <w:proofErr w:type="spellEnd"/>
      <w:r w:rsidR="00D1124B" w:rsidRPr="00D1124B">
        <w:rPr>
          <w:rFonts w:asciiTheme="majorBidi" w:hAnsiTheme="majorBidi" w:cstheme="majorBidi"/>
          <w:szCs w:val="24"/>
          <w:lang w:val="en-MY"/>
        </w:rPr>
        <w:t xml:space="preserve"> &amp; Hesse, 2010; BAZNAS, 2020; Bank Indonesia &amp; BAZNAS, 2020).</w:t>
      </w:r>
    </w:p>
    <w:p w:rsidR="00133221" w:rsidRDefault="00D1124B" w:rsidP="00D1124B">
      <w:pPr>
        <w:ind w:firstLine="720"/>
        <w:jc w:val="both"/>
        <w:rPr>
          <w:lang w:val="en-MY"/>
        </w:rPr>
      </w:pPr>
      <w:r w:rsidRPr="00D1124B">
        <w:rPr>
          <w:rFonts w:asciiTheme="majorBidi" w:hAnsiTheme="majorBidi" w:cstheme="majorBidi"/>
          <w:szCs w:val="24"/>
          <w:lang w:val="en-MY"/>
        </w:rPr>
        <w:t xml:space="preserve">The study does not propose the value of 85 g as the sole alternative to express the classical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because institutions </w:t>
      </w:r>
      <w:r w:rsidR="00325619">
        <w:rPr>
          <w:rFonts w:asciiTheme="majorBidi" w:hAnsiTheme="majorBidi" w:cstheme="majorBidi"/>
          <w:szCs w:val="24"/>
          <w:lang w:val="en-MY"/>
        </w:rPr>
        <w:t>use other units of grams that are equivalent to the dinar and to the convention on</w:t>
      </w:r>
      <w:r w:rsidRPr="00D1124B">
        <w:rPr>
          <w:rFonts w:asciiTheme="majorBidi" w:hAnsiTheme="majorBidi" w:cstheme="majorBidi"/>
          <w:szCs w:val="24"/>
          <w:lang w:val="en-MY"/>
        </w:rPr>
        <w:t xml:space="preserve"> the purity of gold. Rather, 85 grams is a widely used analytical proxy </w:t>
      </w:r>
      <w:r w:rsidR="00325619">
        <w:rPr>
          <w:rFonts w:asciiTheme="majorBidi" w:hAnsiTheme="majorBidi" w:cstheme="majorBidi"/>
          <w:szCs w:val="24"/>
          <w:lang w:val="en-MY"/>
        </w:rPr>
        <w:t>for</w:t>
      </w:r>
      <w:r w:rsidRPr="00D1124B">
        <w:rPr>
          <w:rFonts w:asciiTheme="majorBidi" w:hAnsiTheme="majorBidi" w:cstheme="majorBidi"/>
          <w:szCs w:val="24"/>
          <w:lang w:val="en-MY"/>
        </w:rPr>
        <w:t xml:space="preserve"> the effect of repricing size. This article does not intend to render a verdict on the </w:t>
      </w:r>
      <w:proofErr w:type="spellStart"/>
      <w:r w:rsidRPr="00D1124B">
        <w:rPr>
          <w:rFonts w:asciiTheme="majorBidi" w:hAnsiTheme="majorBidi" w:cstheme="majorBidi"/>
          <w:szCs w:val="24"/>
          <w:lang w:val="en-MY"/>
        </w:rPr>
        <w:t>niṣāb</w:t>
      </w:r>
      <w:r w:rsidR="00325619">
        <w:rPr>
          <w:rFonts w:asciiTheme="majorBidi" w:hAnsiTheme="majorBidi" w:cstheme="majorBidi"/>
          <w:szCs w:val="24"/>
          <w:lang w:val="en-MY"/>
        </w:rPr>
        <w:t>’</w:t>
      </w:r>
      <w:r w:rsidRPr="00D1124B">
        <w:rPr>
          <w:rFonts w:asciiTheme="majorBidi" w:hAnsiTheme="majorBidi" w:cstheme="majorBidi"/>
          <w:szCs w:val="24"/>
          <w:lang w:val="en-MY"/>
        </w:rPr>
        <w:t>s</w:t>
      </w:r>
      <w:proofErr w:type="spellEnd"/>
      <w:r w:rsidRPr="00D1124B">
        <w:rPr>
          <w:rFonts w:asciiTheme="majorBidi" w:hAnsiTheme="majorBidi" w:cstheme="majorBidi"/>
          <w:szCs w:val="24"/>
          <w:lang w:val="en-MY"/>
        </w:rPr>
        <w:t xml:space="preserve"> actual value in grams at this stage</w:t>
      </w:r>
      <w:r w:rsidR="00325619">
        <w:rPr>
          <w:rFonts w:asciiTheme="majorBidi" w:hAnsiTheme="majorBidi" w:cstheme="majorBidi"/>
          <w:szCs w:val="24"/>
          <w:lang w:val="en-MY"/>
        </w:rPr>
        <w:t xml:space="preserve">, but rather to offer forward-thinking proposals for a governance model that remain possible in the current context </w:t>
      </w:r>
      <w:r w:rsidRPr="00D1124B">
        <w:rPr>
          <w:rFonts w:asciiTheme="majorBidi" w:hAnsiTheme="majorBidi" w:cstheme="majorBidi"/>
          <w:szCs w:val="24"/>
          <w:lang w:val="en-MY"/>
        </w:rPr>
        <w:t xml:space="preserve">of structural repricing, where the </w:t>
      </w:r>
      <w:proofErr w:type="spellStart"/>
      <w:r w:rsidRPr="00D1124B">
        <w:rPr>
          <w:rFonts w:asciiTheme="majorBidi" w:hAnsiTheme="majorBidi" w:cstheme="majorBidi"/>
          <w:szCs w:val="24"/>
          <w:lang w:val="en-MY"/>
        </w:rPr>
        <w:t>niṣāb</w:t>
      </w:r>
      <w:proofErr w:type="spellEnd"/>
      <w:r w:rsidRPr="00D1124B">
        <w:rPr>
          <w:rFonts w:asciiTheme="majorBidi" w:hAnsiTheme="majorBidi" w:cstheme="majorBidi"/>
          <w:szCs w:val="24"/>
          <w:lang w:val="en-MY"/>
        </w:rPr>
        <w:t xml:space="preserve"> is set and announced.</w:t>
      </w:r>
    </w:p>
    <w:p w:rsidR="002A4AEB" w:rsidRPr="009B5519" w:rsidRDefault="003B4FC0" w:rsidP="00E42491">
      <w:pPr>
        <w:pStyle w:val="Heading1"/>
        <w:spacing w:before="0"/>
        <w:jc w:val="both"/>
        <w:rPr>
          <w:rFonts w:asciiTheme="majorBidi" w:hAnsiTheme="majorBidi"/>
          <w:color w:val="auto"/>
          <w:sz w:val="24"/>
          <w:szCs w:val="24"/>
          <w:lang w:val="en-MY"/>
        </w:rPr>
      </w:pPr>
      <w:r w:rsidRPr="009B5519">
        <w:rPr>
          <w:rFonts w:asciiTheme="majorBidi" w:hAnsiTheme="majorBidi"/>
          <w:color w:val="auto"/>
          <w:sz w:val="24"/>
          <w:szCs w:val="24"/>
          <w:lang w:val="en-MY"/>
        </w:rPr>
        <w:t xml:space="preserve">4. </w:t>
      </w:r>
      <w:r w:rsidR="009B5519" w:rsidRPr="009B5519">
        <w:rPr>
          <w:rFonts w:asciiTheme="majorBidi" w:hAnsiTheme="majorBidi"/>
          <w:color w:val="auto"/>
          <w:sz w:val="24"/>
          <w:szCs w:val="24"/>
          <w:lang w:val="en-MY"/>
        </w:rPr>
        <w:t>EMPIRICAL ANALYSIS: EVIDENCE OF STRUCTURAL REPRICING, 2021–2025</w:t>
      </w:r>
    </w:p>
    <w:p w:rsidR="002A4AEB" w:rsidRDefault="00D1124B" w:rsidP="00E42491">
      <w:pPr>
        <w:jc w:val="both"/>
        <w:rPr>
          <w:rFonts w:asciiTheme="majorBidi" w:hAnsiTheme="majorBidi" w:cstheme="majorBidi"/>
          <w:szCs w:val="24"/>
          <w:lang w:val="en-MY"/>
        </w:rPr>
      </w:pPr>
      <w:r w:rsidRPr="00D1124B">
        <w:rPr>
          <w:rFonts w:asciiTheme="majorBidi" w:hAnsiTheme="majorBidi" w:cstheme="majorBidi"/>
          <w:szCs w:val="24"/>
          <w:lang w:val="en-MY"/>
        </w:rPr>
        <w:t xml:space="preserve">Empirical evidence from the historical data from Yahoo Finance of the price of the GC=F and sources from the </w:t>
      </w:r>
      <w:r w:rsidR="00325619">
        <w:rPr>
          <w:rFonts w:asciiTheme="majorBidi" w:hAnsiTheme="majorBidi" w:cstheme="majorBidi"/>
          <w:szCs w:val="24"/>
          <w:lang w:val="en-MY"/>
        </w:rPr>
        <w:t>bullion market and the reserve management suggest</w:t>
      </w:r>
      <w:r w:rsidRPr="00D1124B">
        <w:rPr>
          <w:rFonts w:asciiTheme="majorBidi" w:hAnsiTheme="majorBidi" w:cstheme="majorBidi"/>
          <w:szCs w:val="24"/>
          <w:lang w:val="en-MY"/>
        </w:rPr>
        <w:t xml:space="preserve"> that there is a clear transition in the pricing of gold (LBMA, 2025; World Gold Council, 2024b; Yahoo Finance, 2025).</w:t>
      </w:r>
      <w:r w:rsidR="003B4FC0" w:rsidRPr="009B5519">
        <w:rPr>
          <w:rFonts w:asciiTheme="majorBidi" w:hAnsiTheme="majorBidi" w:cstheme="majorBidi"/>
          <w:szCs w:val="24"/>
          <w:lang w:val="en-MY"/>
        </w:rPr>
        <w:t xml:space="preserve"> In 2021 and 2022, </w:t>
      </w:r>
      <w:r w:rsidR="003361D3" w:rsidRPr="009B5519">
        <w:rPr>
          <w:rFonts w:asciiTheme="majorBidi" w:hAnsiTheme="majorBidi" w:cstheme="majorBidi"/>
          <w:szCs w:val="24"/>
          <w:lang w:val="en-MY"/>
        </w:rPr>
        <w:t>the annual average prices remained close to USD 1,800</w:t>
      </w:r>
      <w:r w:rsidR="003B4FC0" w:rsidRPr="009B5519">
        <w:rPr>
          <w:rFonts w:asciiTheme="majorBidi" w:hAnsiTheme="majorBidi" w:cstheme="majorBidi"/>
          <w:szCs w:val="24"/>
          <w:lang w:val="en-MY"/>
        </w:rPr>
        <w:t xml:space="preserve"> per troy ounce. In 2023, the average rose to USD1,942.77. In 2024, the average increased sharply to USD2,390.01. In 2025, it reached USD3,447.35. The pattern is not a simple linear drift. The sharp acceleration from 2024 to 2025 indicates a repricing episode in which the market reassessed gold</w:t>
      </w:r>
      <w:r w:rsidR="00325619">
        <w:rPr>
          <w:rFonts w:asciiTheme="majorBidi" w:hAnsiTheme="majorBidi" w:cstheme="majorBidi"/>
          <w:szCs w:val="24"/>
          <w:lang w:val="en-MY"/>
        </w:rPr>
        <w:t>’</w:t>
      </w:r>
      <w:r w:rsidR="003B4FC0" w:rsidRPr="009B5519">
        <w:rPr>
          <w:rFonts w:asciiTheme="majorBidi" w:hAnsiTheme="majorBidi" w:cstheme="majorBidi"/>
          <w:szCs w:val="24"/>
          <w:lang w:val="en-MY"/>
        </w:rPr>
        <w:t>s role in a riskier macro-financial environment, including reserve diversification, central-bank demand and heightened concern over monetary and geopolitical uncertainty (International Monetary Fund, 2024; World Gold Council, 2025a, 2025b; World Bank, 2024).</w:t>
      </w:r>
    </w:p>
    <w:p w:rsidR="001B3AF2" w:rsidRDefault="001B3AF2" w:rsidP="00E42491">
      <w:pPr>
        <w:jc w:val="both"/>
        <w:rPr>
          <w:rFonts w:asciiTheme="majorBidi" w:hAnsiTheme="majorBidi" w:cstheme="majorBidi"/>
          <w:szCs w:val="24"/>
          <w:lang w:val="en-MY"/>
        </w:rPr>
      </w:pPr>
      <w:r>
        <w:rPr>
          <w:rFonts w:asciiTheme="majorBidi" w:hAnsiTheme="majorBidi" w:cstheme="majorBidi"/>
          <w:szCs w:val="24"/>
          <w:lang w:val="en-MY"/>
        </w:rPr>
        <w:tab/>
      </w:r>
      <w:r w:rsidRPr="003F1946">
        <w:rPr>
          <w:rFonts w:asciiTheme="majorBidi" w:hAnsiTheme="majorBidi" w:cstheme="majorBidi"/>
          <w:szCs w:val="24"/>
          <w:lang w:val="en-MY"/>
        </w:rPr>
        <w:t>Figure 1</w:t>
      </w:r>
      <w:r>
        <w:rPr>
          <w:rFonts w:asciiTheme="majorBidi" w:hAnsiTheme="majorBidi" w:cstheme="majorBidi"/>
          <w:szCs w:val="24"/>
          <w:lang w:val="en-MY"/>
        </w:rPr>
        <w:t xml:space="preserve"> shows the gold</w:t>
      </w:r>
      <w:r w:rsidRPr="009B5519">
        <w:rPr>
          <w:rFonts w:asciiTheme="majorBidi" w:hAnsiTheme="majorBidi" w:cstheme="majorBidi"/>
          <w:szCs w:val="24"/>
          <w:lang w:val="en-MY"/>
        </w:rPr>
        <w:t xml:space="preserve"> price structural repricing, 2021–2025</w:t>
      </w:r>
      <w:r>
        <w:rPr>
          <w:rFonts w:asciiTheme="majorBidi" w:hAnsiTheme="majorBidi" w:cstheme="majorBidi"/>
          <w:szCs w:val="24"/>
          <w:lang w:val="en-MY"/>
        </w:rPr>
        <w:t xml:space="preserve"> (Yahoo Finance, 2025).</w:t>
      </w:r>
    </w:p>
    <w:p w:rsidR="001B3AF2" w:rsidRDefault="001B3AF2" w:rsidP="001B3AF2">
      <w:pPr>
        <w:ind w:firstLine="720"/>
        <w:jc w:val="center"/>
        <w:rPr>
          <w:rFonts w:asciiTheme="majorBidi" w:hAnsiTheme="majorBidi" w:cstheme="majorBidi"/>
          <w:szCs w:val="24"/>
          <w:lang w:val="en-MY"/>
        </w:rPr>
      </w:pPr>
      <w:r w:rsidRPr="009B5519">
        <w:rPr>
          <w:rFonts w:asciiTheme="majorBidi" w:hAnsiTheme="majorBidi" w:cstheme="majorBidi"/>
          <w:szCs w:val="24"/>
          <w:lang w:val="en-MY"/>
        </w:rPr>
        <w:lastRenderedPageBreak/>
        <w:t>Figure 1</w:t>
      </w:r>
      <w:r>
        <w:rPr>
          <w:rFonts w:asciiTheme="majorBidi" w:hAnsiTheme="majorBidi" w:cstheme="majorBidi"/>
          <w:szCs w:val="24"/>
          <w:lang w:val="en-MY"/>
        </w:rPr>
        <w:t>:</w:t>
      </w:r>
      <w:r w:rsidRPr="009B5519">
        <w:rPr>
          <w:rFonts w:asciiTheme="majorBidi" w:hAnsiTheme="majorBidi" w:cstheme="majorBidi"/>
          <w:szCs w:val="24"/>
          <w:lang w:val="en-MY"/>
        </w:rPr>
        <w:t xml:space="preserve"> Gold price structural repricing, 2021–2025</w:t>
      </w:r>
    </w:p>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noProof/>
          <w:szCs w:val="24"/>
          <w:lang w:val="en-MY"/>
        </w:rPr>
        <w:drawing>
          <wp:inline distT="0" distB="0" distL="0" distR="0">
            <wp:extent cx="5760720" cy="3014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_gold_price_repricing_2021_2025.png"/>
                    <pic:cNvPicPr/>
                  </pic:nvPicPr>
                  <pic:blipFill>
                    <a:blip r:embed="rId6"/>
                    <a:stretch>
                      <a:fillRect/>
                    </a:stretch>
                  </pic:blipFill>
                  <pic:spPr>
                    <a:xfrm>
                      <a:off x="0" y="0"/>
                      <a:ext cx="5760720" cy="3014023"/>
                    </a:xfrm>
                    <a:prstGeom prst="rect">
                      <a:avLst/>
                    </a:prstGeom>
                  </pic:spPr>
                </pic:pic>
              </a:graphicData>
            </a:graphic>
          </wp:inline>
        </w:drawing>
      </w:r>
    </w:p>
    <w:p w:rsidR="009B5519" w:rsidRDefault="009B5519" w:rsidP="009B5519">
      <w:pPr>
        <w:ind w:firstLine="720"/>
        <w:jc w:val="both"/>
      </w:pPr>
      <w:r>
        <w:t>Table 1 describes the gold price structural repricing between 2021 to 2021.</w:t>
      </w:r>
    </w:p>
    <w:p w:rsidR="001B3AF2" w:rsidRDefault="001B3AF2" w:rsidP="001B3AF2">
      <w:pPr>
        <w:ind w:firstLine="720"/>
        <w:jc w:val="center"/>
        <w:rPr>
          <w:rFonts w:asciiTheme="majorBidi" w:hAnsiTheme="majorBidi" w:cstheme="majorBidi"/>
          <w:szCs w:val="24"/>
          <w:lang w:val="en-MY"/>
        </w:rPr>
      </w:pPr>
      <w:r>
        <w:t xml:space="preserve">Table 1: Gold price structural repricing between 2021 </w:t>
      </w:r>
      <w:r w:rsidR="006E2B96">
        <w:t>and</w:t>
      </w:r>
      <w:r>
        <w:t xml:space="preserve"> 2021</w:t>
      </w:r>
    </w:p>
    <w:tbl>
      <w:tblPr>
        <w:tblStyle w:val="TableGrid"/>
        <w:tblW w:w="0" w:type="auto"/>
        <w:jc w:val="center"/>
        <w:tblLook w:val="04A0" w:firstRow="1" w:lastRow="0" w:firstColumn="1" w:lastColumn="0" w:noHBand="0" w:noVBand="1"/>
      </w:tblPr>
      <w:tblGrid>
        <w:gridCol w:w="779"/>
        <w:gridCol w:w="1560"/>
        <w:gridCol w:w="1560"/>
        <w:gridCol w:w="1560"/>
        <w:gridCol w:w="1560"/>
        <w:gridCol w:w="1560"/>
      </w:tblGrid>
      <w:tr w:rsidR="00AB4297" w:rsidRPr="009B5519" w:rsidTr="00A16DB0">
        <w:trPr>
          <w:jc w:val="center"/>
        </w:trPr>
        <w:tc>
          <w:tcPr>
            <w:tcW w:w="779" w:type="dxa"/>
          </w:tcPr>
          <w:p w:rsidR="002A4AEB" w:rsidRPr="009B5519" w:rsidRDefault="003B4FC0" w:rsidP="0005756D">
            <w:pPr>
              <w:jc w:val="center"/>
              <w:rPr>
                <w:rFonts w:asciiTheme="majorBidi" w:hAnsiTheme="majorBidi" w:cstheme="majorBidi"/>
                <w:szCs w:val="24"/>
                <w:lang w:val="en-MY"/>
              </w:rPr>
            </w:pPr>
            <w:r w:rsidRPr="009B5519">
              <w:rPr>
                <w:rFonts w:asciiTheme="majorBidi" w:hAnsiTheme="majorBidi" w:cstheme="majorBidi"/>
                <w:b/>
                <w:szCs w:val="24"/>
                <w:lang w:val="en-MY"/>
              </w:rPr>
              <w:t>Year</w:t>
            </w:r>
          </w:p>
        </w:tc>
        <w:tc>
          <w:tcPr>
            <w:tcW w:w="1560" w:type="dxa"/>
          </w:tcPr>
          <w:p w:rsidR="002A4AEB" w:rsidRPr="009B5519" w:rsidRDefault="003B4FC0" w:rsidP="009B5519">
            <w:pPr>
              <w:rPr>
                <w:rFonts w:asciiTheme="majorBidi" w:hAnsiTheme="majorBidi" w:cstheme="majorBidi"/>
                <w:szCs w:val="24"/>
                <w:lang w:val="en-MY"/>
              </w:rPr>
            </w:pPr>
            <w:r w:rsidRPr="009B5519">
              <w:rPr>
                <w:rFonts w:asciiTheme="majorBidi" w:hAnsiTheme="majorBidi" w:cstheme="majorBidi"/>
                <w:b/>
                <w:szCs w:val="24"/>
                <w:lang w:val="en-MY"/>
              </w:rPr>
              <w:t xml:space="preserve">Average </w:t>
            </w:r>
            <w:r w:rsidR="00A16DB0" w:rsidRPr="009B5519">
              <w:rPr>
                <w:rFonts w:asciiTheme="majorBidi" w:hAnsiTheme="majorBidi" w:cstheme="majorBidi"/>
                <w:b/>
                <w:szCs w:val="24"/>
                <w:lang w:val="en-MY"/>
              </w:rPr>
              <w:t xml:space="preserve">Gold Price, </w:t>
            </w:r>
            <w:r w:rsidRPr="009B5519">
              <w:rPr>
                <w:rFonts w:asciiTheme="majorBidi" w:hAnsiTheme="majorBidi" w:cstheme="majorBidi"/>
                <w:b/>
                <w:szCs w:val="24"/>
                <w:lang w:val="en-MY"/>
              </w:rPr>
              <w:t>USD</w:t>
            </w:r>
            <w:r w:rsidR="00A16DB0" w:rsidRPr="009B5519">
              <w:rPr>
                <w:rFonts w:asciiTheme="majorBidi" w:hAnsiTheme="majorBidi" w:cstheme="majorBidi"/>
                <w:b/>
                <w:szCs w:val="24"/>
                <w:lang w:val="en-MY"/>
              </w:rPr>
              <w:t>/Oz</w:t>
            </w:r>
          </w:p>
        </w:tc>
        <w:tc>
          <w:tcPr>
            <w:tcW w:w="1560" w:type="dxa"/>
          </w:tcPr>
          <w:p w:rsidR="002A4AEB" w:rsidRPr="009B5519" w:rsidRDefault="003B4FC0" w:rsidP="009B5519">
            <w:pPr>
              <w:rPr>
                <w:rFonts w:asciiTheme="majorBidi" w:hAnsiTheme="majorBidi" w:cstheme="majorBidi"/>
                <w:szCs w:val="24"/>
                <w:lang w:val="en-MY"/>
              </w:rPr>
            </w:pPr>
            <w:r w:rsidRPr="009B5519">
              <w:rPr>
                <w:rFonts w:asciiTheme="majorBidi" w:hAnsiTheme="majorBidi" w:cstheme="majorBidi"/>
                <w:b/>
                <w:szCs w:val="24"/>
                <w:lang w:val="en-MY"/>
              </w:rPr>
              <w:t xml:space="preserve">Annual </w:t>
            </w:r>
            <w:r w:rsidR="00A16DB0" w:rsidRPr="009B5519">
              <w:rPr>
                <w:rFonts w:asciiTheme="majorBidi" w:hAnsiTheme="majorBidi" w:cstheme="majorBidi"/>
                <w:b/>
                <w:szCs w:val="24"/>
                <w:lang w:val="en-MY"/>
              </w:rPr>
              <w:t>Return</w:t>
            </w:r>
          </w:p>
        </w:tc>
        <w:tc>
          <w:tcPr>
            <w:tcW w:w="1560" w:type="dxa"/>
          </w:tcPr>
          <w:p w:rsidR="002A4AEB" w:rsidRPr="009B5519" w:rsidRDefault="003B4FC0" w:rsidP="009B5519">
            <w:pPr>
              <w:rPr>
                <w:rFonts w:asciiTheme="majorBidi" w:hAnsiTheme="majorBidi" w:cstheme="majorBidi"/>
                <w:szCs w:val="24"/>
                <w:lang w:val="en-MY"/>
              </w:rPr>
            </w:pPr>
            <w:r w:rsidRPr="009B5519">
              <w:rPr>
                <w:rFonts w:asciiTheme="majorBidi" w:hAnsiTheme="majorBidi" w:cstheme="majorBidi"/>
                <w:b/>
                <w:szCs w:val="24"/>
                <w:lang w:val="en-MY"/>
              </w:rPr>
              <w:t xml:space="preserve">Annualised </w:t>
            </w:r>
            <w:r w:rsidR="00A16DB0" w:rsidRPr="009B5519">
              <w:rPr>
                <w:rFonts w:asciiTheme="majorBidi" w:hAnsiTheme="majorBidi" w:cstheme="majorBidi"/>
                <w:b/>
                <w:szCs w:val="24"/>
                <w:lang w:val="en-MY"/>
              </w:rPr>
              <w:t>Daily Volatility</w:t>
            </w:r>
          </w:p>
        </w:tc>
        <w:tc>
          <w:tcPr>
            <w:tcW w:w="1560" w:type="dxa"/>
          </w:tcPr>
          <w:p w:rsidR="002A4AEB" w:rsidRPr="009B5519" w:rsidRDefault="00A16DB0" w:rsidP="009B5519">
            <w:pPr>
              <w:rPr>
                <w:rFonts w:asciiTheme="majorBidi" w:hAnsiTheme="majorBidi" w:cstheme="majorBidi"/>
                <w:szCs w:val="24"/>
                <w:lang w:val="en-MY"/>
              </w:rPr>
            </w:pPr>
            <w:r w:rsidRPr="009B5519">
              <w:rPr>
                <w:rFonts w:asciiTheme="majorBidi" w:hAnsiTheme="majorBidi" w:cstheme="majorBidi"/>
                <w:b/>
                <w:szCs w:val="24"/>
                <w:lang w:val="en-MY"/>
              </w:rPr>
              <w:t xml:space="preserve">85g </w:t>
            </w:r>
            <w:proofErr w:type="spellStart"/>
            <w:r w:rsidR="003F1946">
              <w:rPr>
                <w:rFonts w:asciiTheme="majorBidi" w:hAnsiTheme="majorBidi" w:cstheme="majorBidi"/>
                <w:b/>
                <w:szCs w:val="24"/>
                <w:lang w:val="en-MY"/>
              </w:rPr>
              <w:t>Niṣāb</w:t>
            </w:r>
            <w:proofErr w:type="spellEnd"/>
            <w:r w:rsidRPr="009B5519">
              <w:rPr>
                <w:rFonts w:asciiTheme="majorBidi" w:hAnsiTheme="majorBidi" w:cstheme="majorBidi"/>
                <w:b/>
                <w:szCs w:val="24"/>
                <w:lang w:val="en-MY"/>
              </w:rPr>
              <w:t xml:space="preserve"> Proxy, Average </w:t>
            </w:r>
            <w:r w:rsidR="003B4FC0" w:rsidRPr="009B5519">
              <w:rPr>
                <w:rFonts w:asciiTheme="majorBidi" w:hAnsiTheme="majorBidi" w:cstheme="majorBidi"/>
                <w:b/>
                <w:szCs w:val="24"/>
                <w:lang w:val="en-MY"/>
              </w:rPr>
              <w:t>USD</w:t>
            </w:r>
          </w:p>
        </w:tc>
        <w:tc>
          <w:tcPr>
            <w:tcW w:w="1560" w:type="dxa"/>
          </w:tcPr>
          <w:p w:rsidR="002A4AEB" w:rsidRPr="009B5519" w:rsidRDefault="00A16DB0" w:rsidP="009B5519">
            <w:pPr>
              <w:rPr>
                <w:rFonts w:asciiTheme="majorBidi" w:hAnsiTheme="majorBidi" w:cstheme="majorBidi"/>
                <w:szCs w:val="24"/>
                <w:lang w:val="en-MY"/>
              </w:rPr>
            </w:pPr>
            <w:r w:rsidRPr="009B5519">
              <w:rPr>
                <w:rFonts w:asciiTheme="majorBidi" w:hAnsiTheme="majorBidi" w:cstheme="majorBidi"/>
                <w:b/>
                <w:szCs w:val="24"/>
                <w:lang w:val="en-MY"/>
              </w:rPr>
              <w:t xml:space="preserve">85g </w:t>
            </w:r>
            <w:proofErr w:type="spellStart"/>
            <w:r w:rsidR="003F1946">
              <w:rPr>
                <w:rFonts w:asciiTheme="majorBidi" w:hAnsiTheme="majorBidi" w:cstheme="majorBidi"/>
                <w:b/>
                <w:szCs w:val="24"/>
                <w:lang w:val="en-MY"/>
              </w:rPr>
              <w:t>Niṣāb</w:t>
            </w:r>
            <w:proofErr w:type="spellEnd"/>
            <w:r w:rsidRPr="009B5519">
              <w:rPr>
                <w:rFonts w:asciiTheme="majorBidi" w:hAnsiTheme="majorBidi" w:cstheme="majorBidi"/>
                <w:b/>
                <w:szCs w:val="24"/>
                <w:lang w:val="en-MY"/>
              </w:rPr>
              <w:t xml:space="preserve"> Proxy, Maximum </w:t>
            </w:r>
            <w:r w:rsidR="003B4FC0" w:rsidRPr="009B5519">
              <w:rPr>
                <w:rFonts w:asciiTheme="majorBidi" w:hAnsiTheme="majorBidi" w:cstheme="majorBidi"/>
                <w:b/>
                <w:szCs w:val="24"/>
                <w:lang w:val="en-MY"/>
              </w:rPr>
              <w:t>USD</w:t>
            </w:r>
          </w:p>
        </w:tc>
      </w:tr>
      <w:tr w:rsidR="00AB4297" w:rsidRPr="009B5519" w:rsidTr="00A16DB0">
        <w:trPr>
          <w:jc w:val="center"/>
        </w:trPr>
        <w:tc>
          <w:tcPr>
            <w:tcW w:w="779" w:type="dxa"/>
          </w:tcPr>
          <w:p w:rsidR="002A4AEB" w:rsidRPr="009B5519" w:rsidRDefault="003B4FC0" w:rsidP="0005756D">
            <w:pPr>
              <w:jc w:val="center"/>
              <w:rPr>
                <w:rFonts w:asciiTheme="majorBidi" w:hAnsiTheme="majorBidi" w:cstheme="majorBidi"/>
                <w:szCs w:val="24"/>
                <w:lang w:val="en-MY"/>
              </w:rPr>
            </w:pPr>
            <w:r w:rsidRPr="009B5519">
              <w:rPr>
                <w:rFonts w:asciiTheme="majorBidi" w:hAnsiTheme="majorBidi" w:cstheme="majorBidi"/>
                <w:szCs w:val="24"/>
                <w:lang w:val="en-MY"/>
              </w:rPr>
              <w:t>2021</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1,792.99</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-2.66%</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14.18%</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4,899.91</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5,130.58</w:t>
            </w:r>
          </w:p>
        </w:tc>
      </w:tr>
      <w:tr w:rsidR="00AB4297" w:rsidRPr="009B5519" w:rsidTr="00A16DB0">
        <w:trPr>
          <w:jc w:val="center"/>
        </w:trPr>
        <w:tc>
          <w:tcPr>
            <w:tcW w:w="779" w:type="dxa"/>
          </w:tcPr>
          <w:p w:rsidR="002A4AEB" w:rsidRPr="009B5519" w:rsidRDefault="003B4FC0" w:rsidP="0005756D">
            <w:pPr>
              <w:jc w:val="center"/>
              <w:rPr>
                <w:rFonts w:asciiTheme="majorBidi" w:hAnsiTheme="majorBidi" w:cstheme="majorBidi"/>
                <w:szCs w:val="24"/>
                <w:lang w:val="en-MY"/>
              </w:rPr>
            </w:pPr>
            <w:r w:rsidRPr="009B5519">
              <w:rPr>
                <w:rFonts w:asciiTheme="majorBidi" w:hAnsiTheme="majorBidi" w:cstheme="majorBidi"/>
                <w:szCs w:val="24"/>
                <w:lang w:val="en-MY"/>
              </w:rPr>
              <w:t>2022</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1,800.07</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1.13%</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15.46%</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4,919.25</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5,575.21</w:t>
            </w:r>
          </w:p>
        </w:tc>
      </w:tr>
      <w:tr w:rsidR="00AB4297" w:rsidRPr="009B5519" w:rsidTr="00A16DB0">
        <w:trPr>
          <w:jc w:val="center"/>
        </w:trPr>
        <w:tc>
          <w:tcPr>
            <w:tcW w:w="779" w:type="dxa"/>
          </w:tcPr>
          <w:p w:rsidR="002A4AEB" w:rsidRPr="009B5519" w:rsidRDefault="003B4FC0" w:rsidP="0005756D">
            <w:pPr>
              <w:jc w:val="center"/>
              <w:rPr>
                <w:rFonts w:asciiTheme="majorBidi" w:hAnsiTheme="majorBidi" w:cstheme="majorBidi"/>
                <w:szCs w:val="24"/>
                <w:lang w:val="en-MY"/>
              </w:rPr>
            </w:pPr>
            <w:r w:rsidRPr="009B5519">
              <w:rPr>
                <w:rFonts w:asciiTheme="majorBidi" w:hAnsiTheme="majorBidi" w:cstheme="majorBidi"/>
                <w:szCs w:val="24"/>
                <w:lang w:val="en-MY"/>
              </w:rPr>
              <w:t>2023</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1,942.77</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12.11%</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13.23%</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5,309.23</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5,689.44</w:t>
            </w:r>
          </w:p>
        </w:tc>
      </w:tr>
      <w:tr w:rsidR="00AB4297" w:rsidRPr="009B5519" w:rsidTr="00A16DB0">
        <w:trPr>
          <w:jc w:val="center"/>
        </w:trPr>
        <w:tc>
          <w:tcPr>
            <w:tcW w:w="779" w:type="dxa"/>
          </w:tcPr>
          <w:p w:rsidR="002A4AEB" w:rsidRPr="009B5519" w:rsidRDefault="003B4FC0" w:rsidP="0005756D">
            <w:pPr>
              <w:jc w:val="center"/>
              <w:rPr>
                <w:rFonts w:asciiTheme="majorBidi" w:hAnsiTheme="majorBidi" w:cstheme="majorBidi"/>
                <w:szCs w:val="24"/>
                <w:lang w:val="en-MY"/>
              </w:rPr>
            </w:pPr>
            <w:r w:rsidRPr="009B5519">
              <w:rPr>
                <w:rFonts w:asciiTheme="majorBidi" w:hAnsiTheme="majorBidi" w:cstheme="majorBidi"/>
                <w:szCs w:val="24"/>
                <w:lang w:val="en-MY"/>
              </w:rPr>
              <w:t>2024</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2,390.01</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27.36%</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15.00%</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6,531.44</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7,620.45</w:t>
            </w:r>
          </w:p>
        </w:tc>
      </w:tr>
      <w:tr w:rsidR="002A4AEB" w:rsidRPr="009B5519" w:rsidTr="00A16DB0">
        <w:trPr>
          <w:jc w:val="center"/>
        </w:trPr>
        <w:tc>
          <w:tcPr>
            <w:tcW w:w="779" w:type="dxa"/>
          </w:tcPr>
          <w:p w:rsidR="002A4AEB" w:rsidRPr="009B5519" w:rsidRDefault="003B4FC0" w:rsidP="0005756D">
            <w:pPr>
              <w:jc w:val="center"/>
              <w:rPr>
                <w:rFonts w:asciiTheme="majorBidi" w:hAnsiTheme="majorBidi" w:cstheme="majorBidi"/>
                <w:szCs w:val="24"/>
                <w:lang w:val="en-MY"/>
              </w:rPr>
            </w:pPr>
            <w:r w:rsidRPr="009B5519">
              <w:rPr>
                <w:rFonts w:asciiTheme="majorBidi" w:hAnsiTheme="majorBidi" w:cstheme="majorBidi"/>
                <w:szCs w:val="24"/>
                <w:lang w:val="en-MY"/>
              </w:rPr>
              <w:t>2025</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3,447.35</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62.68%</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20.49%</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9,420.96</w:t>
            </w:r>
          </w:p>
        </w:tc>
        <w:tc>
          <w:tcPr>
            <w:tcW w:w="1560" w:type="dxa"/>
          </w:tcPr>
          <w:p w:rsidR="002A4AEB" w:rsidRPr="009B5519" w:rsidRDefault="003B4FC0" w:rsidP="00E42491">
            <w:pPr>
              <w:jc w:val="both"/>
              <w:rPr>
                <w:rFonts w:asciiTheme="majorBidi" w:hAnsiTheme="majorBidi" w:cstheme="majorBidi"/>
                <w:szCs w:val="24"/>
                <w:lang w:val="en-MY"/>
              </w:rPr>
            </w:pPr>
            <w:r w:rsidRPr="009B5519">
              <w:rPr>
                <w:rFonts w:asciiTheme="majorBidi" w:hAnsiTheme="majorBidi" w:cstheme="majorBidi"/>
                <w:szCs w:val="24"/>
                <w:lang w:val="en-MY"/>
              </w:rPr>
              <w:t>12,377.19</w:t>
            </w:r>
          </w:p>
        </w:tc>
      </w:tr>
    </w:tbl>
    <w:p w:rsidR="002A4AEB" w:rsidRPr="009B5519" w:rsidRDefault="002A4AEB" w:rsidP="001B3AF2">
      <w:pPr>
        <w:spacing w:after="0"/>
        <w:jc w:val="both"/>
        <w:rPr>
          <w:rFonts w:asciiTheme="majorBidi" w:hAnsiTheme="majorBidi" w:cstheme="majorBidi"/>
          <w:szCs w:val="24"/>
          <w:lang w:val="en-MY"/>
        </w:rPr>
      </w:pPr>
    </w:p>
    <w:p w:rsidR="003F1946" w:rsidRDefault="001D1A09" w:rsidP="00CD2D9D">
      <w:pPr>
        <w:spacing w:after="0"/>
        <w:ind w:firstLine="720"/>
        <w:jc w:val="both"/>
        <w:rPr>
          <w:rFonts w:asciiTheme="majorBidi" w:hAnsiTheme="majorBidi" w:cstheme="majorBidi"/>
          <w:szCs w:val="24"/>
          <w:lang w:val="en-MY"/>
        </w:rPr>
      </w:pPr>
      <w:r>
        <w:rPr>
          <w:rFonts w:asciiTheme="majorBidi" w:hAnsiTheme="majorBidi" w:cstheme="majorBidi"/>
          <w:szCs w:val="24"/>
          <w:lang w:val="en-MY"/>
        </w:rPr>
        <w:t xml:space="preserve">The table presents three insights for analysis. Firstly, the repricing is consistent: the average price nearly doubled in the 2021-2025 period. Secondly, it holds distributional significance: the proxy of an 85-gram </w:t>
      </w:r>
      <w:proofErr w:type="spellStart"/>
      <w:r w:rsidR="003F1946">
        <w:rPr>
          <w:rFonts w:asciiTheme="majorBidi" w:hAnsiTheme="majorBidi" w:cstheme="majorBidi"/>
          <w:szCs w:val="24"/>
          <w:lang w:val="en-MY"/>
        </w:rPr>
        <w:t>niṣāb</w:t>
      </w:r>
      <w:proofErr w:type="spellEnd"/>
      <w:r>
        <w:rPr>
          <w:rFonts w:asciiTheme="majorBidi" w:hAnsiTheme="majorBidi" w:cstheme="majorBidi"/>
          <w:szCs w:val="24"/>
          <w:lang w:val="en-MY"/>
        </w:rPr>
        <w:t xml:space="preserve"> increased by over USD4,500 during the same timeframe. Thirdly, it is sensitive to governance: the maximum </w:t>
      </w:r>
      <w:proofErr w:type="spellStart"/>
      <w:r w:rsidR="003F1946">
        <w:rPr>
          <w:rFonts w:asciiTheme="majorBidi" w:hAnsiTheme="majorBidi" w:cstheme="majorBidi"/>
          <w:szCs w:val="24"/>
          <w:lang w:val="en-MY"/>
        </w:rPr>
        <w:t>niṣāb</w:t>
      </w:r>
      <w:proofErr w:type="spellEnd"/>
      <w:r>
        <w:rPr>
          <w:rFonts w:asciiTheme="majorBidi" w:hAnsiTheme="majorBidi" w:cstheme="majorBidi"/>
          <w:szCs w:val="24"/>
          <w:lang w:val="en-MY"/>
        </w:rPr>
        <w:t xml:space="preserve"> proxy in 2025 was over USD12,377, and the annual </w:t>
      </w:r>
      <w:proofErr w:type="spellStart"/>
      <w:r w:rsidR="003F1946">
        <w:rPr>
          <w:rFonts w:asciiTheme="majorBidi" w:hAnsiTheme="majorBidi" w:cstheme="majorBidi"/>
          <w:szCs w:val="24"/>
          <w:lang w:val="en-MY"/>
        </w:rPr>
        <w:t>niṣāb</w:t>
      </w:r>
      <w:proofErr w:type="spellEnd"/>
      <w:r>
        <w:rPr>
          <w:rFonts w:asciiTheme="majorBidi" w:hAnsiTheme="majorBidi" w:cstheme="majorBidi"/>
          <w:szCs w:val="24"/>
          <w:lang w:val="en-MY"/>
        </w:rPr>
        <w:t xml:space="preserve"> stood at USD9,420.96. Therefore, a daily peak, a daily spot price, or an annual average would produce quite different public thresholds for an institution.</w:t>
      </w:r>
      <w:r w:rsidR="00CD2D9D">
        <w:rPr>
          <w:rFonts w:asciiTheme="majorBidi" w:hAnsiTheme="majorBidi" w:cstheme="majorBidi"/>
          <w:szCs w:val="24"/>
          <w:lang w:val="en-MY"/>
        </w:rPr>
        <w:t xml:space="preserve"> </w:t>
      </w:r>
    </w:p>
    <w:p w:rsidR="003F1946" w:rsidRDefault="003F1946" w:rsidP="00CD2D9D">
      <w:pPr>
        <w:spacing w:after="0"/>
        <w:ind w:firstLine="720"/>
        <w:jc w:val="both"/>
        <w:rPr>
          <w:rFonts w:asciiTheme="majorBidi" w:hAnsiTheme="majorBidi" w:cstheme="majorBidi"/>
          <w:szCs w:val="24"/>
          <w:lang w:val="en-MY"/>
        </w:rPr>
      </w:pPr>
    </w:p>
    <w:p w:rsidR="00CD2D9D" w:rsidRDefault="00CD2D9D" w:rsidP="00CD2D9D">
      <w:pPr>
        <w:spacing w:after="0"/>
        <w:ind w:firstLine="720"/>
        <w:jc w:val="both"/>
        <w:rPr>
          <w:rFonts w:asciiTheme="majorBidi" w:hAnsiTheme="majorBidi" w:cstheme="majorBidi"/>
          <w:szCs w:val="24"/>
          <w:lang w:val="en-MY"/>
        </w:rPr>
      </w:pPr>
      <w:r>
        <w:rPr>
          <w:rFonts w:asciiTheme="majorBidi" w:hAnsiTheme="majorBidi" w:cstheme="majorBidi"/>
          <w:szCs w:val="24"/>
          <w:lang w:val="en-MY"/>
        </w:rPr>
        <w:t>Figure 2 shows the a</w:t>
      </w:r>
      <w:r w:rsidRPr="00CD2D9D">
        <w:rPr>
          <w:rFonts w:asciiTheme="majorBidi" w:hAnsiTheme="majorBidi" w:cstheme="majorBidi"/>
          <w:szCs w:val="24"/>
          <w:lang w:val="en-MY"/>
        </w:rPr>
        <w:t xml:space="preserve">verage monetary expression of an 85g gold </w:t>
      </w:r>
      <w:proofErr w:type="spellStart"/>
      <w:r w:rsidR="003F1946">
        <w:rPr>
          <w:rFonts w:asciiTheme="majorBidi" w:hAnsiTheme="majorBidi" w:cstheme="majorBidi"/>
          <w:szCs w:val="24"/>
          <w:lang w:val="en-MY"/>
        </w:rPr>
        <w:t>niṣāb</w:t>
      </w:r>
      <w:proofErr w:type="spellEnd"/>
      <w:r w:rsidRPr="00CD2D9D">
        <w:rPr>
          <w:rFonts w:asciiTheme="majorBidi" w:hAnsiTheme="majorBidi" w:cstheme="majorBidi"/>
          <w:szCs w:val="24"/>
          <w:lang w:val="en-MY"/>
        </w:rPr>
        <w:t xml:space="preserve"> proxy, 2021–2025</w:t>
      </w:r>
      <w:r>
        <w:rPr>
          <w:rFonts w:asciiTheme="majorBidi" w:hAnsiTheme="majorBidi" w:cstheme="majorBidi"/>
          <w:szCs w:val="24"/>
          <w:lang w:val="en-MY"/>
        </w:rPr>
        <w:t xml:space="preserve"> (Yahoo Finance, 2025).</w:t>
      </w:r>
    </w:p>
    <w:p w:rsidR="00CD2D9D" w:rsidRDefault="00CD2D9D" w:rsidP="003F1946">
      <w:pPr>
        <w:spacing w:after="0"/>
        <w:jc w:val="both"/>
        <w:rPr>
          <w:rFonts w:asciiTheme="majorBidi" w:hAnsiTheme="majorBidi" w:cstheme="majorBidi"/>
          <w:szCs w:val="24"/>
          <w:lang w:val="en-MY"/>
        </w:rPr>
      </w:pPr>
    </w:p>
    <w:p w:rsidR="00CD2D9D" w:rsidRPr="009B5519" w:rsidRDefault="00CD2D9D" w:rsidP="00CD2D9D">
      <w:pPr>
        <w:jc w:val="center"/>
        <w:rPr>
          <w:rFonts w:asciiTheme="majorBidi" w:hAnsiTheme="majorBidi" w:cstheme="majorBidi"/>
          <w:szCs w:val="24"/>
          <w:lang w:val="en-MY"/>
        </w:rPr>
      </w:pPr>
      <w:r w:rsidRPr="009B5519">
        <w:rPr>
          <w:rFonts w:asciiTheme="majorBidi" w:hAnsiTheme="majorBidi" w:cstheme="majorBidi"/>
          <w:szCs w:val="24"/>
          <w:lang w:val="en-MY"/>
        </w:rPr>
        <w:t>Figure 2</w:t>
      </w:r>
      <w:r>
        <w:rPr>
          <w:rFonts w:asciiTheme="majorBidi" w:hAnsiTheme="majorBidi" w:cstheme="majorBidi"/>
          <w:szCs w:val="24"/>
          <w:lang w:val="en-MY"/>
        </w:rPr>
        <w:t>:</w:t>
      </w:r>
      <w:r w:rsidRPr="009B5519">
        <w:rPr>
          <w:rFonts w:asciiTheme="majorBidi" w:hAnsiTheme="majorBidi" w:cstheme="majorBidi"/>
          <w:szCs w:val="24"/>
          <w:lang w:val="en-MY"/>
        </w:rPr>
        <w:t xml:space="preserve"> Average monetary expression of an 85g gold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proxy, 2021–2025</w:t>
      </w:r>
    </w:p>
    <w:p w:rsidR="00CD2D9D" w:rsidRPr="009B5519" w:rsidRDefault="00CD2D9D" w:rsidP="001B3AF2">
      <w:pPr>
        <w:spacing w:after="0"/>
        <w:ind w:firstLine="720"/>
        <w:jc w:val="both"/>
        <w:rPr>
          <w:rFonts w:asciiTheme="majorBidi" w:hAnsiTheme="majorBidi" w:cstheme="majorBidi"/>
          <w:szCs w:val="24"/>
          <w:lang w:val="en-MY"/>
        </w:rPr>
      </w:pPr>
    </w:p>
    <w:p w:rsidR="002A4AEB" w:rsidRPr="009B5519" w:rsidRDefault="003B4FC0" w:rsidP="006B1668">
      <w:pPr>
        <w:jc w:val="center"/>
        <w:rPr>
          <w:rFonts w:asciiTheme="majorBidi" w:hAnsiTheme="majorBidi" w:cstheme="majorBidi"/>
          <w:szCs w:val="24"/>
          <w:lang w:val="en-MY"/>
        </w:rPr>
      </w:pPr>
      <w:r w:rsidRPr="009B5519">
        <w:rPr>
          <w:rFonts w:asciiTheme="majorBidi" w:hAnsiTheme="majorBidi" w:cstheme="majorBidi"/>
          <w:noProof/>
          <w:szCs w:val="24"/>
          <w:lang w:val="en-MY"/>
        </w:rPr>
        <w:drawing>
          <wp:inline distT="0" distB="0" distL="0" distR="0">
            <wp:extent cx="5760720" cy="3318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nisab_proxy_85g_2021_2025.png"/>
                    <pic:cNvPicPr/>
                  </pic:nvPicPr>
                  <pic:blipFill>
                    <a:blip r:embed="rId7"/>
                    <a:stretch>
                      <a:fillRect/>
                    </a:stretch>
                  </pic:blipFill>
                  <pic:spPr>
                    <a:xfrm>
                      <a:off x="0" y="0"/>
                      <a:ext cx="5760720" cy="3318640"/>
                    </a:xfrm>
                    <a:prstGeom prst="rect">
                      <a:avLst/>
                    </a:prstGeom>
                  </pic:spPr>
                </pic:pic>
              </a:graphicData>
            </a:graphic>
          </wp:inline>
        </w:drawing>
      </w:r>
    </w:p>
    <w:p w:rsidR="00133221" w:rsidRPr="009B5519" w:rsidRDefault="001D1A09" w:rsidP="009B5519">
      <w:pPr>
        <w:ind w:firstLine="720"/>
        <w:jc w:val="both"/>
        <w:rPr>
          <w:lang w:val="en-MY"/>
        </w:rPr>
      </w:pPr>
      <w:r>
        <w:rPr>
          <w:lang w:val="en-MY"/>
        </w:rPr>
        <w:t xml:space="preserve">The increase in the fiat value of </w:t>
      </w:r>
      <w:proofErr w:type="spellStart"/>
      <w:r w:rsidR="003F1946">
        <w:rPr>
          <w:lang w:val="en-MY"/>
        </w:rPr>
        <w:t>niṣāb</w:t>
      </w:r>
      <w:proofErr w:type="spellEnd"/>
      <w:r>
        <w:rPr>
          <w:lang w:val="en-MY"/>
        </w:rPr>
        <w:t xml:space="preserve"> can create a paradox. Rising gold prices protect payers from being inappropriately considered </w:t>
      </w:r>
      <w:r w:rsidR="00325619">
        <w:rPr>
          <w:lang w:val="en-MY"/>
        </w:rPr>
        <w:t>“</w:t>
      </w:r>
      <w:proofErr w:type="spellStart"/>
      <w:r>
        <w:rPr>
          <w:lang w:val="en-MY"/>
        </w:rPr>
        <w:t>zakatable</w:t>
      </w:r>
      <w:proofErr w:type="spellEnd"/>
      <w:r>
        <w:rPr>
          <w:lang w:val="en-MY"/>
        </w:rPr>
        <w:t>,</w:t>
      </w:r>
      <w:r w:rsidR="00325619">
        <w:rPr>
          <w:lang w:val="en-MY"/>
        </w:rPr>
        <w:t>”</w:t>
      </w:r>
      <w:r>
        <w:rPr>
          <w:lang w:val="en-MY"/>
        </w:rPr>
        <w:t xml:space="preserve"> as the monetary amount would increase. </w:t>
      </w:r>
      <w:r w:rsidR="00325619">
        <w:rPr>
          <w:lang w:val="en-MY"/>
        </w:rPr>
        <w:t>Nevertheless</w:t>
      </w:r>
      <w:r w:rsidR="00D1124B" w:rsidRPr="00D1124B">
        <w:rPr>
          <w:lang w:val="en-MY"/>
        </w:rPr>
        <w:t>, if the wages and savings in the region are not increased proportionately, it can also result in a decrease in the number of people subject to zakat. Hence, the repricing of gold will indirectly affect the ability to collect, redistribute</w:t>
      </w:r>
      <w:r w:rsidR="00325619">
        <w:rPr>
          <w:lang w:val="en-MY"/>
        </w:rPr>
        <w:t>, and achieve social welfare outcomes through zakat collection</w:t>
      </w:r>
      <w:r w:rsidR="00D1124B" w:rsidRPr="00D1124B">
        <w:rPr>
          <w:lang w:val="en-MY"/>
        </w:rPr>
        <w:t xml:space="preserve">. It spreads unevenly. Where currencies are declining in value as compared to the US dollar, the local currency </w:t>
      </w:r>
      <w:proofErr w:type="spellStart"/>
      <w:r w:rsidR="00D1124B" w:rsidRPr="00D1124B">
        <w:rPr>
          <w:lang w:val="en-MY"/>
        </w:rPr>
        <w:t>niṣāb</w:t>
      </w:r>
      <w:proofErr w:type="spellEnd"/>
      <w:r w:rsidR="00D1124B" w:rsidRPr="00D1124B">
        <w:rPr>
          <w:lang w:val="en-MY"/>
        </w:rPr>
        <w:t xml:space="preserve"> can go up even more rapidly than gold prices in USD. This impact might be lessened in countries with stronger currencies. </w:t>
      </w:r>
      <w:proofErr w:type="gramStart"/>
      <w:r w:rsidR="00D1124B" w:rsidRPr="00D1124B">
        <w:rPr>
          <w:lang w:val="en-MY"/>
        </w:rPr>
        <w:t>So</w:t>
      </w:r>
      <w:proofErr w:type="gramEnd"/>
      <w:r w:rsidR="00D1124B" w:rsidRPr="00D1124B">
        <w:rPr>
          <w:lang w:val="en-MY"/>
        </w:rPr>
        <w:t xml:space="preserve"> the </w:t>
      </w:r>
      <w:r w:rsidR="00325619">
        <w:rPr>
          <w:lang w:val="en-MY"/>
        </w:rPr>
        <w:t>gold repricing</w:t>
      </w:r>
      <w:r w:rsidR="00D1124B" w:rsidRPr="00D1124B">
        <w:rPr>
          <w:lang w:val="en-MY"/>
        </w:rPr>
        <w:t xml:space="preserve"> must be examined </w:t>
      </w:r>
      <w:r w:rsidR="00325619">
        <w:rPr>
          <w:lang w:val="en-MY"/>
        </w:rPr>
        <w:t>alongside</w:t>
      </w:r>
      <w:r w:rsidR="00D1124B" w:rsidRPr="00D1124B">
        <w:rPr>
          <w:lang w:val="en-MY"/>
        </w:rPr>
        <w:t xml:space="preserve"> </w:t>
      </w:r>
      <w:r w:rsidR="00325619">
        <w:rPr>
          <w:lang w:val="en-MY"/>
        </w:rPr>
        <w:t>the country’s exchange rate policy and income distribution</w:t>
      </w:r>
      <w:r w:rsidR="00D1124B" w:rsidRPr="00D1124B">
        <w:rPr>
          <w:lang w:val="en-MY"/>
        </w:rPr>
        <w:t>.</w:t>
      </w:r>
    </w:p>
    <w:p w:rsidR="002A4AEB" w:rsidRPr="00037C71" w:rsidRDefault="003B4FC0" w:rsidP="00E42491">
      <w:pPr>
        <w:pStyle w:val="Heading1"/>
        <w:spacing w:before="0"/>
        <w:jc w:val="both"/>
        <w:rPr>
          <w:rFonts w:asciiTheme="majorBidi" w:hAnsiTheme="majorBidi"/>
          <w:color w:val="auto"/>
          <w:sz w:val="24"/>
          <w:szCs w:val="24"/>
          <w:lang w:val="en-MY"/>
        </w:rPr>
      </w:pPr>
      <w:r w:rsidRPr="00037C71">
        <w:rPr>
          <w:rFonts w:asciiTheme="majorBidi" w:hAnsiTheme="majorBidi"/>
          <w:color w:val="auto"/>
          <w:sz w:val="24"/>
          <w:szCs w:val="24"/>
          <w:lang w:val="en-MY"/>
        </w:rPr>
        <w:t xml:space="preserve">5. </w:t>
      </w:r>
      <w:r w:rsidR="009B5519" w:rsidRPr="00037C71">
        <w:rPr>
          <w:rFonts w:asciiTheme="majorBidi" w:hAnsiTheme="majorBidi"/>
          <w:color w:val="auto"/>
          <w:sz w:val="24"/>
          <w:szCs w:val="24"/>
          <w:lang w:val="en-MY"/>
        </w:rPr>
        <w:t>JURISPRUDENTIAL ANALYSIS: FIXED GOLD QUANTITY AND MUTABLE FIAT EXPRESSION</w:t>
      </w:r>
    </w:p>
    <w:p w:rsidR="001D1A09" w:rsidRPr="001D1A09" w:rsidRDefault="00D1124B" w:rsidP="00D1124B">
      <w:pPr>
        <w:jc w:val="both"/>
      </w:pPr>
      <w:r>
        <w:t xml:space="preserve">The foremost jurisprudential question in the administration of the zakat in the modern era is not the fixedness of the </w:t>
      </w:r>
      <w:proofErr w:type="spellStart"/>
      <w:r>
        <w:t>niṣāb</w:t>
      </w:r>
      <w:proofErr w:type="spellEnd"/>
      <w:r>
        <w:t xml:space="preserve"> of gold in the law. Rather, the real question is how to </w:t>
      </w:r>
      <w:r w:rsidR="00325619">
        <w:t>apply</w:t>
      </w:r>
      <w:r>
        <w:t xml:space="preserve"> the </w:t>
      </w:r>
      <w:proofErr w:type="spellStart"/>
      <w:r>
        <w:t>Sharīʾah</w:t>
      </w:r>
      <w:proofErr w:type="spellEnd"/>
      <w:r>
        <w:t xml:space="preserve"> criteria in a monetary system that </w:t>
      </w:r>
      <w:r w:rsidR="00325619">
        <w:t>is not</w:t>
      </w:r>
      <w:r>
        <w:t xml:space="preserve"> based on gold coins. Classical jurists established a quantitative measure called the </w:t>
      </w:r>
      <w:proofErr w:type="spellStart"/>
      <w:r>
        <w:t>niṣāb</w:t>
      </w:r>
      <w:proofErr w:type="spellEnd"/>
      <w:r>
        <w:t xml:space="preserve"> of gold, and </w:t>
      </w:r>
      <w:r w:rsidR="00325619">
        <w:t>some stated this</w:t>
      </w:r>
      <w:r>
        <w:t xml:space="preserve"> to be twenty </w:t>
      </w:r>
      <w:proofErr w:type="spellStart"/>
      <w:r>
        <w:t>dīnāars</w:t>
      </w:r>
      <w:proofErr w:type="spellEnd"/>
      <w:r>
        <w:t xml:space="preserve"> of gold weight. Today</w:t>
      </w:r>
      <w:r w:rsidR="00325619">
        <w:t>, however, in Malaysia, no gold coin payers weigh the gold coins for liability calculation</w:t>
      </w:r>
      <w:r>
        <w:t xml:space="preserve">. Zakat institutions instead assess the gold </w:t>
      </w:r>
      <w:proofErr w:type="spellStart"/>
      <w:r>
        <w:t>niṣāb</w:t>
      </w:r>
      <w:proofErr w:type="spellEnd"/>
      <w:r>
        <w:t xml:space="preserve"> of fiat money </w:t>
      </w:r>
      <w:r w:rsidR="00325619">
        <w:t xml:space="preserve">as a value proxy for its current market value </w:t>
      </w:r>
      <w:r>
        <w:t xml:space="preserve">in terms of gold. This executive order is a necessary but not a sufficient condition for the legal referent. </w:t>
      </w:r>
      <w:r w:rsidR="00325619">
        <w:t xml:space="preserve">Fiat money is simply the institutional translation of the legal referent (the amount of gold) into the </w:t>
      </w:r>
      <w:r>
        <w:t xml:space="preserve">money of the current period. This distinction is of jurisprudential importance for it precludes two errors. The initial error is rigidity </w:t>
      </w:r>
      <w:r w:rsidR="00325619">
        <w:t xml:space="preserve">in the text, </w:t>
      </w:r>
      <w:r w:rsidR="00325619">
        <w:lastRenderedPageBreak/>
        <w:t>which occurs when an institution sets a ringgit amount</w:t>
      </w:r>
      <w:r>
        <w:t xml:space="preserve"> as the </w:t>
      </w:r>
      <w:proofErr w:type="spellStart"/>
      <w:r>
        <w:t>Sharīʾah</w:t>
      </w:r>
      <w:proofErr w:type="spellEnd"/>
      <w:r>
        <w:t xml:space="preserve"> </w:t>
      </w:r>
      <w:proofErr w:type="spellStart"/>
      <w:r>
        <w:t>niṣāb</w:t>
      </w:r>
      <w:proofErr w:type="spellEnd"/>
      <w:r>
        <w:t xml:space="preserve">. This is a problem because the units of fiat money </w:t>
      </w:r>
      <w:r w:rsidR="00325619">
        <w:t>are subject to inflation, depreciation, exchange rate fluctuations, and fluctuations in the gold market</w:t>
      </w:r>
      <w:r>
        <w:t xml:space="preserve">. The second mistake is administrative arbitrariness, </w:t>
      </w:r>
      <w:r w:rsidR="00325619">
        <w:t xml:space="preserve">in which the published </w:t>
      </w:r>
      <w:proofErr w:type="spellStart"/>
      <w:r w:rsidR="00325619">
        <w:t>niṣāb</w:t>
      </w:r>
      <w:proofErr w:type="spellEnd"/>
      <w:r w:rsidR="00325619">
        <w:t xml:space="preserve"> is not calculated through a clear valuation process, which creates doubts among payers and may erode</w:t>
      </w:r>
      <w:r>
        <w:t xml:space="preserve"> public trust.</w:t>
      </w:r>
      <w:r w:rsidR="00037C71" w:rsidRPr="001D1A09">
        <w:t xml:space="preserve"> A valid </w:t>
      </w:r>
      <w:proofErr w:type="spellStart"/>
      <w:r w:rsidR="00037C71" w:rsidRPr="001D1A09">
        <w:t>fiqh</w:t>
      </w:r>
      <w:proofErr w:type="spellEnd"/>
      <w:r w:rsidR="00037C71" w:rsidRPr="001D1A09">
        <w:t xml:space="preserve">-oriented approach should hence maintain the </w:t>
      </w:r>
      <w:proofErr w:type="spellStart"/>
      <w:r w:rsidR="00037C71" w:rsidRPr="001D1A09">
        <w:t>Sharīʾah</w:t>
      </w:r>
      <w:proofErr w:type="spellEnd"/>
      <w:r w:rsidR="00037C71" w:rsidRPr="001D1A09">
        <w:t xml:space="preserve"> referent while allowing for administrative flexibility subject to the regulations (</w:t>
      </w:r>
      <w:proofErr w:type="spellStart"/>
      <w:r w:rsidR="00037C71" w:rsidRPr="001D1A09">
        <w:t>Kamali</w:t>
      </w:r>
      <w:proofErr w:type="spellEnd"/>
      <w:r w:rsidR="00037C71" w:rsidRPr="001D1A09">
        <w:t xml:space="preserve">, 2008, </w:t>
      </w:r>
      <w:r w:rsidR="00490D3C" w:rsidRPr="001D1A09">
        <w:t>pp.</w:t>
      </w:r>
      <w:r w:rsidR="00037C71" w:rsidRPr="001D1A09">
        <w:t xml:space="preserve"> 267–271; </w:t>
      </w:r>
      <w:proofErr w:type="spellStart"/>
      <w:r w:rsidR="00037C71" w:rsidRPr="001D1A09">
        <w:t>Dusuki</w:t>
      </w:r>
      <w:proofErr w:type="spellEnd"/>
      <w:r w:rsidR="00037C71" w:rsidRPr="001D1A09">
        <w:t xml:space="preserve"> &amp; </w:t>
      </w:r>
      <w:proofErr w:type="spellStart"/>
      <w:r w:rsidR="00037C71" w:rsidRPr="001D1A09">
        <w:t>Bouheraoua</w:t>
      </w:r>
      <w:proofErr w:type="spellEnd"/>
      <w:r w:rsidR="00037C71" w:rsidRPr="001D1A09">
        <w:t>, 2011, pp. 31–35).</w:t>
      </w:r>
    </w:p>
    <w:p w:rsidR="001D1A09" w:rsidRPr="001D1A09" w:rsidRDefault="00037C71" w:rsidP="001D1A09">
      <w:pPr>
        <w:ind w:firstLine="720"/>
        <w:jc w:val="both"/>
      </w:pPr>
      <w:r w:rsidRPr="001D1A09">
        <w:t xml:space="preserve">The more robust legal concept is that the published fiat </w:t>
      </w:r>
      <w:proofErr w:type="spellStart"/>
      <w:r w:rsidR="003F1946">
        <w:t>niṣāb</w:t>
      </w:r>
      <w:proofErr w:type="spellEnd"/>
      <w:r w:rsidRPr="001D1A09">
        <w:t xml:space="preserve"> represents a form of </w:t>
      </w:r>
      <w:proofErr w:type="spellStart"/>
      <w:r w:rsidRPr="001D1A09">
        <w:t>taḥqīq</w:t>
      </w:r>
      <w:proofErr w:type="spellEnd"/>
      <w:r w:rsidRPr="001D1A09">
        <w:t xml:space="preserve"> al-</w:t>
      </w:r>
      <w:proofErr w:type="spellStart"/>
      <w:r w:rsidRPr="001D1A09">
        <w:t>manāṭ</w:t>
      </w:r>
      <w:proofErr w:type="spellEnd"/>
      <w:r w:rsidRPr="001D1A09">
        <w:t xml:space="preserve">, that is, the implementation of a constant legal rule on an evolving factual context. The condition that when wealth reaches a certain amount, called the </w:t>
      </w:r>
      <w:proofErr w:type="spellStart"/>
      <w:r w:rsidR="003F1946">
        <w:t>niṣāb</w:t>
      </w:r>
      <w:proofErr w:type="spellEnd"/>
      <w:r w:rsidRPr="001D1A09">
        <w:t xml:space="preserve">, that amount becomes due for zakat has not changed. What is different is the factual finding that the current wealth values attained the gold standard. In this sense, administration is not legislative but evidentiary and regulatory. Zakat authorities do not establish a new </w:t>
      </w:r>
      <w:proofErr w:type="spellStart"/>
      <w:r w:rsidR="003F1946">
        <w:t>niṣāb</w:t>
      </w:r>
      <w:proofErr w:type="spellEnd"/>
      <w:r w:rsidR="00490D3C" w:rsidRPr="001D1A09">
        <w:t xml:space="preserve">; they determine and announce the monetary equivalent of the </w:t>
      </w:r>
      <w:proofErr w:type="spellStart"/>
      <w:r w:rsidR="003F1946">
        <w:t>niṣāb</w:t>
      </w:r>
      <w:proofErr w:type="spellEnd"/>
      <w:r w:rsidR="00490D3C" w:rsidRPr="001D1A09">
        <w:t xml:space="preserve"> at the </w:t>
      </w:r>
      <w:r w:rsidRPr="001D1A09">
        <w:t>time, enabling people to pay it</w:t>
      </w:r>
      <w:r w:rsidR="00073750">
        <w:t xml:space="preserve"> (</w:t>
      </w:r>
      <w:proofErr w:type="spellStart"/>
      <w:r w:rsidRPr="001D1A09">
        <w:t>Kamali</w:t>
      </w:r>
      <w:proofErr w:type="spellEnd"/>
      <w:r w:rsidRPr="001D1A09">
        <w:t>, 2008; al-</w:t>
      </w:r>
      <w:proofErr w:type="spellStart"/>
      <w:r w:rsidRPr="001D1A09">
        <w:t>Zuhayli</w:t>
      </w:r>
      <w:proofErr w:type="spellEnd"/>
      <w:r w:rsidRPr="001D1A09">
        <w:t>, 1985).</w:t>
      </w:r>
    </w:p>
    <w:p w:rsidR="001D1A09" w:rsidRDefault="00037C71" w:rsidP="001D1A09">
      <w:pPr>
        <w:ind w:firstLine="720"/>
        <w:jc w:val="both"/>
      </w:pPr>
      <w:r w:rsidRPr="001D1A09">
        <w:t xml:space="preserve">The following are principles of </w:t>
      </w:r>
      <w:proofErr w:type="spellStart"/>
      <w:r w:rsidRPr="001D1A09">
        <w:t>fiqh</w:t>
      </w:r>
      <w:proofErr w:type="spellEnd"/>
      <w:r w:rsidRPr="001D1A09">
        <w:t xml:space="preserve"> that can serve as a framework for </w:t>
      </w:r>
      <w:proofErr w:type="spellStart"/>
      <w:r w:rsidRPr="001D1A09">
        <w:t>analysing</w:t>
      </w:r>
      <w:proofErr w:type="spellEnd"/>
      <w:r w:rsidRPr="001D1A09">
        <w:t xml:space="preserve"> governance in the context of </w:t>
      </w:r>
      <w:proofErr w:type="spellStart"/>
      <w:r w:rsidR="003F1946">
        <w:t>niṣāb</w:t>
      </w:r>
      <w:proofErr w:type="spellEnd"/>
      <w:r w:rsidRPr="001D1A09">
        <w:t>.</w:t>
      </w:r>
    </w:p>
    <w:p w:rsidR="00037C71" w:rsidRPr="001D1A09" w:rsidRDefault="00037C71" w:rsidP="001D1A09">
      <w:pPr>
        <w:pStyle w:val="ListParagraph"/>
        <w:numPr>
          <w:ilvl w:val="0"/>
          <w:numId w:val="12"/>
        </w:numPr>
        <w:jc w:val="both"/>
      </w:pPr>
      <w:r w:rsidRPr="001D1A09">
        <w:rPr>
          <w:rFonts w:asciiTheme="majorBidi" w:eastAsia="Times New Roman" w:hAnsiTheme="majorBidi" w:cstheme="majorBidi"/>
          <w:szCs w:val="24"/>
          <w:lang w:val="en-MY" w:eastAsia="en-MY"/>
        </w:rPr>
        <w:t xml:space="preserve">The </w:t>
      </w:r>
      <w:r w:rsidR="001D1A09">
        <w:rPr>
          <w:rFonts w:asciiTheme="majorBidi" w:eastAsia="Times New Roman" w:hAnsiTheme="majorBidi" w:cstheme="majorBidi"/>
          <w:szCs w:val="24"/>
          <w:lang w:val="en-MY" w:eastAsia="en-MY"/>
        </w:rPr>
        <w:t>principle</w:t>
      </w:r>
      <w:r w:rsidRPr="001D1A09">
        <w:rPr>
          <w:rFonts w:asciiTheme="majorBidi" w:eastAsia="Times New Roman" w:hAnsiTheme="majorBidi" w:cstheme="majorBidi"/>
          <w:szCs w:val="24"/>
          <w:lang w:val="en-MY" w:eastAsia="en-MY"/>
        </w:rPr>
        <w:t xml:space="preserve"> </w:t>
      </w:r>
      <w:r w:rsidRPr="001D1A09">
        <w:rPr>
          <w:rFonts w:asciiTheme="majorBidi" w:eastAsia="Times New Roman" w:hAnsiTheme="majorBidi" w:cstheme="majorBidi"/>
          <w:szCs w:val="24"/>
          <w:rtl/>
          <w:lang w:val="en-MY" w:eastAsia="en-MY"/>
        </w:rPr>
        <w:t>تَصَرُّفُ الإِمَامِ عَلَى الرَّعِيَّةِ مانُوطٌ بالمَصْلَحَةِ</w:t>
      </w:r>
      <w:r w:rsidRPr="001D1A09">
        <w:rPr>
          <w:rFonts w:asciiTheme="majorBidi" w:eastAsia="Times New Roman" w:hAnsiTheme="majorBidi" w:cstheme="majorBidi"/>
          <w:szCs w:val="24"/>
          <w:lang w:val="en-MY" w:eastAsia="en-MY"/>
        </w:rPr>
        <w:t xml:space="preserve"> </w:t>
      </w:r>
      <w:r w:rsidR="001D1A09">
        <w:rPr>
          <w:rFonts w:asciiTheme="majorBidi" w:eastAsia="Times New Roman" w:hAnsiTheme="majorBidi" w:cstheme="majorBidi"/>
          <w:szCs w:val="24"/>
          <w:lang w:val="en-MY" w:eastAsia="en-MY"/>
        </w:rPr>
        <w:t>(t</w:t>
      </w:r>
      <w:r w:rsidR="001D1A09" w:rsidRPr="001D1A09">
        <w:rPr>
          <w:rFonts w:asciiTheme="majorBidi" w:eastAsia="Times New Roman" w:hAnsiTheme="majorBidi" w:cstheme="majorBidi"/>
          <w:szCs w:val="24"/>
          <w:lang w:val="en-MY" w:eastAsia="en-MY"/>
        </w:rPr>
        <w:t>he ruler</w:t>
      </w:r>
      <w:r w:rsidR="00325619">
        <w:rPr>
          <w:rFonts w:asciiTheme="majorBidi" w:eastAsia="Times New Roman" w:hAnsiTheme="majorBidi" w:cstheme="majorBidi"/>
          <w:szCs w:val="24"/>
          <w:lang w:val="en-MY" w:eastAsia="en-MY"/>
        </w:rPr>
        <w:t>’</w:t>
      </w:r>
      <w:r w:rsidR="001D1A09" w:rsidRPr="001D1A09">
        <w:rPr>
          <w:rFonts w:asciiTheme="majorBidi" w:eastAsia="Times New Roman" w:hAnsiTheme="majorBidi" w:cstheme="majorBidi"/>
          <w:szCs w:val="24"/>
          <w:lang w:val="en-MY" w:eastAsia="en-MY"/>
        </w:rPr>
        <w:t>s action over the people is contingent upon public interest</w:t>
      </w:r>
      <w:r w:rsidR="001D1A09">
        <w:rPr>
          <w:rFonts w:asciiTheme="majorBidi" w:eastAsia="Times New Roman" w:hAnsiTheme="majorBidi" w:cstheme="majorBidi"/>
          <w:szCs w:val="24"/>
          <w:lang w:val="en-MY" w:eastAsia="en-MY"/>
        </w:rPr>
        <w:t xml:space="preserve">) </w:t>
      </w:r>
      <w:r w:rsidRPr="001D1A09">
        <w:rPr>
          <w:rFonts w:asciiTheme="majorBidi" w:eastAsia="Times New Roman" w:hAnsiTheme="majorBidi" w:cstheme="majorBidi"/>
          <w:szCs w:val="24"/>
          <w:lang w:val="en-MY" w:eastAsia="en-MY"/>
        </w:rPr>
        <w:t>has been given a particular emphasis here. It was this principle that classical jurists put forward to emphasise that, in Islam, public power is not arbitrary</w:t>
      </w:r>
      <w:r w:rsidR="00490D3C" w:rsidRPr="001D1A09">
        <w:rPr>
          <w:rFonts w:asciiTheme="majorBidi" w:eastAsia="Times New Roman" w:hAnsiTheme="majorBidi" w:cstheme="majorBidi"/>
          <w:szCs w:val="24"/>
          <w:lang w:val="en-MY" w:eastAsia="en-MY"/>
        </w:rPr>
        <w:t>. However, it is</w:t>
      </w:r>
      <w:r w:rsidRPr="001D1A09">
        <w:rPr>
          <w:rFonts w:asciiTheme="majorBidi" w:eastAsia="Times New Roman" w:hAnsiTheme="majorBidi" w:cstheme="majorBidi"/>
          <w:szCs w:val="24"/>
          <w:lang w:val="en-MY" w:eastAsia="en-MY"/>
        </w:rPr>
        <w:t xml:space="preserve"> legitimate only if exercised for a known public good and in accordance with the </w:t>
      </w:r>
      <w:proofErr w:type="spellStart"/>
      <w:r w:rsidRPr="001D1A09">
        <w:rPr>
          <w:rFonts w:asciiTheme="majorBidi" w:eastAsia="Times New Roman" w:hAnsiTheme="majorBidi" w:cstheme="majorBidi"/>
          <w:szCs w:val="24"/>
          <w:lang w:val="en-MY" w:eastAsia="en-MY"/>
        </w:rPr>
        <w:t>Sharīʾah</w:t>
      </w:r>
      <w:proofErr w:type="spellEnd"/>
      <w:r w:rsidRPr="001D1A09">
        <w:rPr>
          <w:rFonts w:asciiTheme="majorBidi" w:eastAsia="Times New Roman" w:hAnsiTheme="majorBidi" w:cstheme="majorBidi"/>
          <w:szCs w:val="24"/>
          <w:lang w:val="en-MY" w:eastAsia="en-MY"/>
        </w:rPr>
        <w:t>. Both Al-</w:t>
      </w:r>
      <w:proofErr w:type="spellStart"/>
      <w:r w:rsidRPr="001D1A09">
        <w:rPr>
          <w:rFonts w:asciiTheme="majorBidi" w:eastAsia="Times New Roman" w:hAnsiTheme="majorBidi" w:cstheme="majorBidi"/>
          <w:szCs w:val="24"/>
          <w:lang w:val="en-MY" w:eastAsia="en-MY"/>
        </w:rPr>
        <w:t>Suyūṭī</w:t>
      </w:r>
      <w:proofErr w:type="spellEnd"/>
      <w:r w:rsidRPr="001D1A09">
        <w:rPr>
          <w:rFonts w:asciiTheme="majorBidi" w:eastAsia="Times New Roman" w:hAnsiTheme="majorBidi" w:cstheme="majorBidi"/>
          <w:szCs w:val="24"/>
          <w:lang w:val="en-MY" w:eastAsia="en-MY"/>
        </w:rPr>
        <w:t xml:space="preserve"> (1990) and Ibn </w:t>
      </w:r>
      <w:proofErr w:type="spellStart"/>
      <w:r w:rsidRPr="001D1A09">
        <w:rPr>
          <w:rFonts w:asciiTheme="majorBidi" w:eastAsia="Times New Roman" w:hAnsiTheme="majorBidi" w:cstheme="majorBidi"/>
          <w:szCs w:val="24"/>
          <w:lang w:val="en-MY" w:eastAsia="en-MY"/>
        </w:rPr>
        <w:t>Nujaym</w:t>
      </w:r>
      <w:proofErr w:type="spellEnd"/>
      <w:r w:rsidRPr="001D1A09">
        <w:rPr>
          <w:rFonts w:asciiTheme="majorBidi" w:eastAsia="Times New Roman" w:hAnsiTheme="majorBidi" w:cstheme="majorBidi"/>
          <w:szCs w:val="24"/>
          <w:lang w:val="en-MY" w:eastAsia="en-MY"/>
        </w:rPr>
        <w:t xml:space="preserve"> (</w:t>
      </w:r>
      <w:r w:rsidR="00073750">
        <w:rPr>
          <w:rFonts w:asciiTheme="majorBidi" w:eastAsia="Times New Roman" w:hAnsiTheme="majorBidi" w:cstheme="majorBidi"/>
          <w:szCs w:val="24"/>
          <w:lang w:val="en-MY" w:eastAsia="en-MY"/>
        </w:rPr>
        <w:t>1999)</w:t>
      </w:r>
      <w:r w:rsidR="006E2B96">
        <w:rPr>
          <w:rFonts w:asciiTheme="majorBidi" w:eastAsia="Times New Roman" w:hAnsiTheme="majorBidi" w:cstheme="majorBidi"/>
          <w:szCs w:val="24"/>
          <w:lang w:val="en-MY" w:eastAsia="en-MY"/>
        </w:rPr>
        <w:t xml:space="preserve"> cite this maxim as one of the principles to be observed in the use of discretionary powers, particularly in the case of</w:t>
      </w:r>
      <w:r w:rsidRPr="001D1A09">
        <w:rPr>
          <w:rFonts w:asciiTheme="majorBidi" w:eastAsia="Times New Roman" w:hAnsiTheme="majorBidi" w:cstheme="majorBidi"/>
          <w:szCs w:val="24"/>
          <w:lang w:val="en-MY" w:eastAsia="en-MY"/>
        </w:rPr>
        <w:t xml:space="preserve"> public officials or rulers dealing with collective matters (Ibn </w:t>
      </w:r>
      <w:proofErr w:type="spellStart"/>
      <w:r w:rsidRPr="001D1A09">
        <w:rPr>
          <w:rFonts w:asciiTheme="majorBidi" w:eastAsia="Times New Roman" w:hAnsiTheme="majorBidi" w:cstheme="majorBidi"/>
          <w:szCs w:val="24"/>
          <w:lang w:val="en-MY" w:eastAsia="en-MY"/>
        </w:rPr>
        <w:t>Nujaym</w:t>
      </w:r>
      <w:proofErr w:type="spellEnd"/>
      <w:r w:rsidRPr="001D1A09">
        <w:rPr>
          <w:rFonts w:asciiTheme="majorBidi" w:eastAsia="Times New Roman" w:hAnsiTheme="majorBidi" w:cstheme="majorBidi"/>
          <w:szCs w:val="24"/>
          <w:lang w:val="en-MY" w:eastAsia="en-MY"/>
        </w:rPr>
        <w:t xml:space="preserve">, 1999). The maxim, in the context of </w:t>
      </w:r>
      <w:proofErr w:type="spellStart"/>
      <w:r w:rsidR="003F1946">
        <w:rPr>
          <w:rFonts w:asciiTheme="majorBidi" w:eastAsia="Times New Roman" w:hAnsiTheme="majorBidi" w:cstheme="majorBidi"/>
          <w:szCs w:val="24"/>
          <w:lang w:val="en-MY" w:eastAsia="en-MY"/>
        </w:rPr>
        <w:t>niṣāb</w:t>
      </w:r>
      <w:proofErr w:type="spellEnd"/>
      <w:r w:rsidRPr="001D1A09">
        <w:rPr>
          <w:rFonts w:asciiTheme="majorBidi" w:eastAsia="Times New Roman" w:hAnsiTheme="majorBidi" w:cstheme="majorBidi"/>
          <w:szCs w:val="24"/>
          <w:lang w:val="en-MY" w:eastAsia="en-MY"/>
        </w:rPr>
        <w:t xml:space="preserve"> governance, implies that the authority responsible for collecting zakat may choose a means to convert gold into fiat money, provided the means is rational, consistent, and justifiable to the public.</w:t>
      </w:r>
    </w:p>
    <w:p w:rsidR="00DC575A" w:rsidRDefault="00DC575A" w:rsidP="001D1A09">
      <w:pPr>
        <w:pStyle w:val="ListParagraph"/>
        <w:ind w:firstLine="720"/>
        <w:jc w:val="both"/>
        <w:rPr>
          <w:rFonts w:asciiTheme="majorBidi" w:eastAsia="Times New Roman" w:hAnsiTheme="majorBidi" w:cstheme="majorBidi"/>
          <w:szCs w:val="24"/>
          <w:lang w:val="en-MY" w:eastAsia="en-MY"/>
        </w:rPr>
      </w:pPr>
    </w:p>
    <w:p w:rsidR="00037C71" w:rsidRDefault="00037C71" w:rsidP="001D1A09">
      <w:pPr>
        <w:pStyle w:val="ListParagraph"/>
        <w:ind w:firstLine="720"/>
        <w:jc w:val="both"/>
        <w:rPr>
          <w:rFonts w:asciiTheme="majorBidi" w:eastAsia="Times New Roman" w:hAnsiTheme="majorBidi" w:cstheme="majorBidi"/>
          <w:szCs w:val="24"/>
          <w:lang w:val="en-MY" w:eastAsia="en-MY"/>
        </w:rPr>
      </w:pPr>
      <w:r w:rsidRPr="001D1A09">
        <w:rPr>
          <w:rFonts w:asciiTheme="majorBidi" w:eastAsia="Times New Roman" w:hAnsiTheme="majorBidi" w:cstheme="majorBidi"/>
          <w:szCs w:val="24"/>
          <w:lang w:val="en-MY" w:eastAsia="en-MY"/>
        </w:rPr>
        <w:t xml:space="preserve">This has direct implications for zakat policy at present. The amount of </w:t>
      </w:r>
      <w:proofErr w:type="spellStart"/>
      <w:r w:rsidR="003F1946">
        <w:rPr>
          <w:rFonts w:asciiTheme="majorBidi" w:eastAsia="Times New Roman" w:hAnsiTheme="majorBidi" w:cstheme="majorBidi"/>
          <w:szCs w:val="24"/>
          <w:lang w:val="en-MY" w:eastAsia="en-MY"/>
        </w:rPr>
        <w:t>niṣāb</w:t>
      </w:r>
      <w:proofErr w:type="spellEnd"/>
      <w:r w:rsidRPr="001D1A09">
        <w:rPr>
          <w:rFonts w:asciiTheme="majorBidi" w:eastAsia="Times New Roman" w:hAnsiTheme="majorBidi" w:cstheme="majorBidi"/>
          <w:szCs w:val="24"/>
          <w:lang w:val="en-MY" w:eastAsia="en-MY"/>
        </w:rPr>
        <w:t xml:space="preserve"> calculated on a gold price which is not revealed, or the gold price is known but is used only for a specific reason, or the amount of </w:t>
      </w:r>
      <w:proofErr w:type="spellStart"/>
      <w:r w:rsidR="003F1946">
        <w:rPr>
          <w:rFonts w:asciiTheme="majorBidi" w:eastAsia="Times New Roman" w:hAnsiTheme="majorBidi" w:cstheme="majorBidi"/>
          <w:szCs w:val="24"/>
          <w:lang w:val="en-MY" w:eastAsia="en-MY"/>
        </w:rPr>
        <w:t>niṣāb</w:t>
      </w:r>
      <w:proofErr w:type="spellEnd"/>
      <w:r w:rsidRPr="001D1A09">
        <w:rPr>
          <w:rFonts w:asciiTheme="majorBidi" w:eastAsia="Times New Roman" w:hAnsiTheme="majorBidi" w:cstheme="majorBidi"/>
          <w:szCs w:val="24"/>
          <w:lang w:val="en-MY" w:eastAsia="en-MY"/>
        </w:rPr>
        <w:t xml:space="preserve"> is based on a price other than gold, will not be sufficient to satisfy </w:t>
      </w:r>
      <w:proofErr w:type="spellStart"/>
      <w:r w:rsidRPr="001D1A09">
        <w:rPr>
          <w:rFonts w:asciiTheme="majorBidi" w:eastAsia="Times New Roman" w:hAnsiTheme="majorBidi" w:cstheme="majorBidi"/>
          <w:szCs w:val="24"/>
          <w:lang w:val="en-MY" w:eastAsia="en-MY"/>
        </w:rPr>
        <w:t>maṣlaḥah</w:t>
      </w:r>
      <w:proofErr w:type="spellEnd"/>
      <w:r w:rsidRPr="001D1A09">
        <w:rPr>
          <w:rFonts w:asciiTheme="majorBidi" w:eastAsia="Times New Roman" w:hAnsiTheme="majorBidi" w:cstheme="majorBidi"/>
          <w:szCs w:val="24"/>
          <w:lang w:val="en-MY" w:eastAsia="en-MY"/>
        </w:rPr>
        <w:t xml:space="preserve">. A transparent approach will be better for the public interest, including the gold weight used, the gold purity, the price source, the valuation date, and the frequency of revision. This approach can also enhance institutional accountability, since the payers have insight into why this threshold varies. In this sense, transparency is not a modern preference in the administration of government and public institutions, but rather a requirement </w:t>
      </w:r>
      <w:r w:rsidR="009B5949" w:rsidRPr="001D1A09">
        <w:rPr>
          <w:rFonts w:asciiTheme="majorBidi" w:eastAsia="Times New Roman" w:hAnsiTheme="majorBidi" w:cstheme="majorBidi"/>
          <w:szCs w:val="24"/>
          <w:lang w:val="en-MY" w:eastAsia="en-MY"/>
        </w:rPr>
        <w:t>inherent to</w:t>
      </w:r>
      <w:r w:rsidRPr="001D1A09">
        <w:rPr>
          <w:rFonts w:asciiTheme="majorBidi" w:eastAsia="Times New Roman" w:hAnsiTheme="majorBidi" w:cstheme="majorBidi"/>
          <w:szCs w:val="24"/>
          <w:lang w:val="en-MY" w:eastAsia="en-MY"/>
        </w:rPr>
        <w:t xml:space="preserve"> zakat administration as a public law. 351–355; </w:t>
      </w:r>
      <w:proofErr w:type="spellStart"/>
      <w:r w:rsidRPr="001D1A09">
        <w:rPr>
          <w:rFonts w:asciiTheme="majorBidi" w:eastAsia="Times New Roman" w:hAnsiTheme="majorBidi" w:cstheme="majorBidi"/>
          <w:szCs w:val="24"/>
          <w:lang w:val="en-MY" w:eastAsia="en-MY"/>
        </w:rPr>
        <w:t>Dusuki</w:t>
      </w:r>
      <w:proofErr w:type="spellEnd"/>
      <w:r w:rsidRPr="001D1A09">
        <w:rPr>
          <w:rFonts w:asciiTheme="majorBidi" w:eastAsia="Times New Roman" w:hAnsiTheme="majorBidi" w:cstheme="majorBidi"/>
          <w:szCs w:val="24"/>
          <w:lang w:val="en-MY" w:eastAsia="en-MY"/>
        </w:rPr>
        <w:t xml:space="preserve"> &amp; </w:t>
      </w:r>
      <w:proofErr w:type="spellStart"/>
      <w:r w:rsidRPr="001D1A09">
        <w:rPr>
          <w:rFonts w:asciiTheme="majorBidi" w:eastAsia="Times New Roman" w:hAnsiTheme="majorBidi" w:cstheme="majorBidi"/>
          <w:szCs w:val="24"/>
          <w:lang w:val="en-MY" w:eastAsia="en-MY"/>
        </w:rPr>
        <w:t>Bouheraoua</w:t>
      </w:r>
      <w:proofErr w:type="spellEnd"/>
      <w:r w:rsidRPr="001D1A09">
        <w:rPr>
          <w:rFonts w:asciiTheme="majorBidi" w:eastAsia="Times New Roman" w:hAnsiTheme="majorBidi" w:cstheme="majorBidi"/>
          <w:szCs w:val="24"/>
          <w:lang w:val="en-MY" w:eastAsia="en-MY"/>
        </w:rPr>
        <w:t>, 2011, pp. 31–36; Baharudin, 2023).</w:t>
      </w:r>
    </w:p>
    <w:p w:rsidR="00DC575A" w:rsidRPr="001D1A09" w:rsidRDefault="00DC575A" w:rsidP="001D1A09">
      <w:pPr>
        <w:pStyle w:val="ListParagraph"/>
        <w:ind w:firstLine="720"/>
        <w:jc w:val="both"/>
        <w:rPr>
          <w:rFonts w:asciiTheme="majorBidi" w:eastAsia="Times New Roman" w:hAnsiTheme="majorBidi" w:cstheme="majorBidi"/>
          <w:szCs w:val="24"/>
          <w:lang w:val="en-MY" w:eastAsia="en-MY"/>
        </w:rPr>
      </w:pPr>
    </w:p>
    <w:p w:rsidR="00037C71" w:rsidRDefault="00037C71" w:rsidP="001D1A09">
      <w:pPr>
        <w:pStyle w:val="ListParagraph"/>
        <w:numPr>
          <w:ilvl w:val="0"/>
          <w:numId w:val="12"/>
        </w:numPr>
        <w:jc w:val="both"/>
        <w:rPr>
          <w:rFonts w:asciiTheme="majorBidi" w:eastAsia="Times New Roman" w:hAnsiTheme="majorBidi" w:cstheme="majorBidi"/>
          <w:szCs w:val="24"/>
          <w:lang w:val="en-MY" w:eastAsia="en-MY"/>
        </w:rPr>
      </w:pPr>
      <w:r w:rsidRPr="001D1A09">
        <w:rPr>
          <w:rFonts w:asciiTheme="majorBidi" w:eastAsia="Times New Roman" w:hAnsiTheme="majorBidi" w:cstheme="majorBidi"/>
          <w:szCs w:val="24"/>
          <w:lang w:val="en-MY" w:eastAsia="en-MY"/>
        </w:rPr>
        <w:lastRenderedPageBreak/>
        <w:t xml:space="preserve">Another </w:t>
      </w:r>
      <w:r w:rsidR="001D1A09">
        <w:rPr>
          <w:rFonts w:asciiTheme="majorBidi" w:eastAsia="Times New Roman" w:hAnsiTheme="majorBidi" w:cstheme="majorBidi"/>
          <w:szCs w:val="24"/>
          <w:lang w:val="en-MY" w:eastAsia="en-MY"/>
        </w:rPr>
        <w:t>principle</w:t>
      </w:r>
      <w:r w:rsidRPr="001D1A09">
        <w:rPr>
          <w:rFonts w:asciiTheme="majorBidi" w:eastAsia="Times New Roman" w:hAnsiTheme="majorBidi" w:cstheme="majorBidi"/>
          <w:szCs w:val="24"/>
          <w:lang w:val="en-MY" w:eastAsia="en-MY"/>
        </w:rPr>
        <w:t xml:space="preserve"> that works well in conjunction with a practical valuation policy is: </w:t>
      </w:r>
      <w:r w:rsidRPr="001D1A09">
        <w:rPr>
          <w:rFonts w:asciiTheme="majorBidi" w:eastAsia="Times New Roman" w:hAnsiTheme="majorBidi" w:cstheme="majorBidi"/>
          <w:szCs w:val="24"/>
          <w:rtl/>
          <w:lang w:val="en-MY" w:eastAsia="en-MY"/>
        </w:rPr>
        <w:t>المَشَقَّةُ تَجْلِبُ التَّيْسِيرَ</w:t>
      </w:r>
      <w:r w:rsidR="001D1A09">
        <w:rPr>
          <w:rFonts w:asciiTheme="majorBidi" w:eastAsia="Times New Roman" w:hAnsiTheme="majorBidi" w:cstheme="majorBidi"/>
          <w:szCs w:val="24"/>
          <w:lang w:val="en-MY" w:eastAsia="en-MY"/>
        </w:rPr>
        <w:t xml:space="preserve"> (h</w:t>
      </w:r>
      <w:r w:rsidR="001D1A09" w:rsidRPr="001D1A09">
        <w:rPr>
          <w:rFonts w:asciiTheme="majorBidi" w:eastAsia="Times New Roman" w:hAnsiTheme="majorBidi" w:cstheme="majorBidi"/>
          <w:szCs w:val="24"/>
          <w:lang w:val="en-MY" w:eastAsia="en-MY"/>
        </w:rPr>
        <w:t>ardship brings facilitation</w:t>
      </w:r>
      <w:r w:rsidR="001D1A09">
        <w:rPr>
          <w:rFonts w:asciiTheme="majorBidi" w:eastAsia="Times New Roman" w:hAnsiTheme="majorBidi" w:cstheme="majorBidi"/>
          <w:szCs w:val="24"/>
          <w:lang w:val="en-MY" w:eastAsia="en-MY"/>
        </w:rPr>
        <w:t>).</w:t>
      </w:r>
      <w:r w:rsidRPr="001D1A09">
        <w:rPr>
          <w:rFonts w:asciiTheme="majorBidi" w:eastAsia="Times New Roman" w:hAnsiTheme="majorBidi" w:cstheme="majorBidi"/>
          <w:szCs w:val="24"/>
          <w:lang w:val="en-MY" w:eastAsia="en-MY"/>
        </w:rPr>
        <w:t xml:space="preserve"> In today</w:t>
      </w:r>
      <w:r w:rsidR="00325619">
        <w:rPr>
          <w:rFonts w:asciiTheme="majorBidi" w:eastAsia="Times New Roman" w:hAnsiTheme="majorBidi" w:cstheme="majorBidi"/>
          <w:szCs w:val="24"/>
          <w:lang w:val="en-MY" w:eastAsia="en-MY"/>
        </w:rPr>
        <w:t>’</w:t>
      </w:r>
      <w:r w:rsidRPr="001D1A09">
        <w:rPr>
          <w:rFonts w:asciiTheme="majorBidi" w:eastAsia="Times New Roman" w:hAnsiTheme="majorBidi" w:cstheme="majorBidi"/>
          <w:szCs w:val="24"/>
          <w:lang w:val="en-MY" w:eastAsia="en-MY"/>
        </w:rPr>
        <w:t xml:space="preserve">s markets, gold prices are constantly changing. If the </w:t>
      </w:r>
      <w:proofErr w:type="spellStart"/>
      <w:r w:rsidR="003F1946">
        <w:rPr>
          <w:rFonts w:asciiTheme="majorBidi" w:eastAsia="Times New Roman" w:hAnsiTheme="majorBidi" w:cstheme="majorBidi"/>
          <w:szCs w:val="24"/>
          <w:lang w:val="en-MY" w:eastAsia="en-MY"/>
        </w:rPr>
        <w:t>niṣāb</w:t>
      </w:r>
      <w:proofErr w:type="spellEnd"/>
      <w:r w:rsidRPr="001D1A09">
        <w:rPr>
          <w:rFonts w:asciiTheme="majorBidi" w:eastAsia="Times New Roman" w:hAnsiTheme="majorBidi" w:cstheme="majorBidi"/>
          <w:szCs w:val="24"/>
          <w:lang w:val="en-MY" w:eastAsia="en-MY"/>
        </w:rPr>
        <w:t xml:space="preserve"> were to be determined every minute or every hour, the payers would be put to unnecessary trouble in determining their liability. This volatility can also lead to differential treatment of payers whose wealth is determined over different periods. The law</w:t>
      </w:r>
      <w:r w:rsidR="00325619">
        <w:rPr>
          <w:rFonts w:asciiTheme="majorBidi" w:eastAsia="Times New Roman" w:hAnsiTheme="majorBidi" w:cstheme="majorBidi"/>
          <w:szCs w:val="24"/>
          <w:lang w:val="en-MY" w:eastAsia="en-MY"/>
        </w:rPr>
        <w:t>’</w:t>
      </w:r>
      <w:r w:rsidRPr="001D1A09">
        <w:rPr>
          <w:rFonts w:asciiTheme="majorBidi" w:eastAsia="Times New Roman" w:hAnsiTheme="majorBidi" w:cstheme="majorBidi"/>
          <w:szCs w:val="24"/>
          <w:lang w:val="en-MY" w:eastAsia="en-MY"/>
        </w:rPr>
        <w:t xml:space="preserve">s intent regarding </w:t>
      </w:r>
      <w:proofErr w:type="spellStart"/>
      <w:r w:rsidR="003F1946">
        <w:rPr>
          <w:rFonts w:asciiTheme="majorBidi" w:eastAsia="Times New Roman" w:hAnsiTheme="majorBidi" w:cstheme="majorBidi"/>
          <w:szCs w:val="24"/>
          <w:lang w:val="en-MY" w:eastAsia="en-MY"/>
        </w:rPr>
        <w:t>niṣāb</w:t>
      </w:r>
      <w:proofErr w:type="spellEnd"/>
      <w:r w:rsidRPr="001D1A09">
        <w:rPr>
          <w:rFonts w:asciiTheme="majorBidi" w:eastAsia="Times New Roman" w:hAnsiTheme="majorBidi" w:cstheme="majorBidi"/>
          <w:szCs w:val="24"/>
          <w:lang w:val="en-MY" w:eastAsia="en-MY"/>
        </w:rPr>
        <w:t xml:space="preserve"> is not to prevent excessive price volatility, but to determine whether someone has surplus wealth. Hence, it might be justified to have a smoothing period, e.g. monthly, annual, or a fixed period of administration publications, to avoid hardship and not to affect the validity of the gold benchmark (al-</w:t>
      </w:r>
      <w:proofErr w:type="spellStart"/>
      <w:r w:rsidRPr="001D1A09">
        <w:rPr>
          <w:rFonts w:asciiTheme="majorBidi" w:eastAsia="Times New Roman" w:hAnsiTheme="majorBidi" w:cstheme="majorBidi"/>
          <w:szCs w:val="24"/>
          <w:lang w:val="en-MY" w:eastAsia="en-MY"/>
        </w:rPr>
        <w:t>Suyūṭī</w:t>
      </w:r>
      <w:proofErr w:type="spellEnd"/>
      <w:r w:rsidRPr="001D1A09">
        <w:rPr>
          <w:rFonts w:asciiTheme="majorBidi" w:eastAsia="Times New Roman" w:hAnsiTheme="majorBidi" w:cstheme="majorBidi"/>
          <w:szCs w:val="24"/>
          <w:lang w:val="en-MY" w:eastAsia="en-MY"/>
        </w:rPr>
        <w:t xml:space="preserve">, 1990; Ibn </w:t>
      </w:r>
      <w:proofErr w:type="spellStart"/>
      <w:r w:rsidRPr="001D1A09">
        <w:rPr>
          <w:rFonts w:asciiTheme="majorBidi" w:eastAsia="Times New Roman" w:hAnsiTheme="majorBidi" w:cstheme="majorBidi"/>
          <w:szCs w:val="24"/>
          <w:lang w:val="en-MY" w:eastAsia="en-MY"/>
        </w:rPr>
        <w:t>Nujaym</w:t>
      </w:r>
      <w:proofErr w:type="spellEnd"/>
      <w:r w:rsidRPr="001D1A09">
        <w:rPr>
          <w:rFonts w:asciiTheme="majorBidi" w:eastAsia="Times New Roman" w:hAnsiTheme="majorBidi" w:cstheme="majorBidi"/>
          <w:szCs w:val="24"/>
          <w:lang w:val="en-MY" w:eastAsia="en-MY"/>
        </w:rPr>
        <w:t>, 1999; al-</w:t>
      </w:r>
      <w:proofErr w:type="spellStart"/>
      <w:r w:rsidRPr="001D1A09">
        <w:rPr>
          <w:rFonts w:asciiTheme="majorBidi" w:eastAsia="Times New Roman" w:hAnsiTheme="majorBidi" w:cstheme="majorBidi"/>
          <w:szCs w:val="24"/>
          <w:lang w:val="en-MY" w:eastAsia="en-MY"/>
        </w:rPr>
        <w:t>Zuhayli</w:t>
      </w:r>
      <w:proofErr w:type="spellEnd"/>
      <w:r w:rsidRPr="001D1A09">
        <w:rPr>
          <w:rFonts w:asciiTheme="majorBidi" w:eastAsia="Times New Roman" w:hAnsiTheme="majorBidi" w:cstheme="majorBidi"/>
          <w:szCs w:val="24"/>
          <w:lang w:val="en-MY" w:eastAsia="en-MY"/>
        </w:rPr>
        <w:t>, 1985).</w:t>
      </w:r>
    </w:p>
    <w:p w:rsidR="00DC575A" w:rsidRPr="001D1A09" w:rsidRDefault="00DC575A" w:rsidP="00DC575A">
      <w:pPr>
        <w:pStyle w:val="ListParagraph"/>
        <w:jc w:val="both"/>
        <w:rPr>
          <w:rFonts w:asciiTheme="majorBidi" w:eastAsia="Times New Roman" w:hAnsiTheme="majorBidi" w:cstheme="majorBidi"/>
          <w:szCs w:val="24"/>
          <w:lang w:val="en-MY" w:eastAsia="en-MY"/>
        </w:rPr>
      </w:pPr>
    </w:p>
    <w:p w:rsidR="00DC575A" w:rsidRDefault="00037C71" w:rsidP="006C2459">
      <w:pPr>
        <w:pStyle w:val="ListParagraph"/>
        <w:numPr>
          <w:ilvl w:val="0"/>
          <w:numId w:val="12"/>
        </w:numPr>
        <w:jc w:val="both"/>
        <w:rPr>
          <w:rFonts w:asciiTheme="majorBidi" w:eastAsia="Times New Roman" w:hAnsiTheme="majorBidi" w:cstheme="majorBidi"/>
          <w:szCs w:val="24"/>
          <w:lang w:val="en-MY" w:eastAsia="en-MY"/>
        </w:rPr>
      </w:pPr>
      <w:r w:rsidRPr="00DC575A">
        <w:rPr>
          <w:rFonts w:asciiTheme="majorBidi" w:eastAsia="Times New Roman" w:hAnsiTheme="majorBidi" w:cstheme="majorBidi"/>
          <w:szCs w:val="24"/>
          <w:lang w:val="en-MY" w:eastAsia="en-MY"/>
        </w:rPr>
        <w:t xml:space="preserve">The principle of </w:t>
      </w:r>
      <w:r w:rsidRPr="00DC575A">
        <w:rPr>
          <w:rFonts w:asciiTheme="majorBidi" w:eastAsia="Times New Roman" w:hAnsiTheme="majorBidi" w:cstheme="majorBidi"/>
          <w:szCs w:val="24"/>
          <w:rtl/>
          <w:lang w:val="en-MY" w:eastAsia="en-MY"/>
        </w:rPr>
        <w:t>اليَقِينُ لَا يَزُولُ بِالشَّكِّ</w:t>
      </w:r>
      <w:r w:rsidRPr="00DC575A">
        <w:rPr>
          <w:rFonts w:asciiTheme="majorBidi" w:eastAsia="Times New Roman" w:hAnsiTheme="majorBidi" w:cstheme="majorBidi"/>
          <w:szCs w:val="24"/>
          <w:lang w:val="en-MY" w:eastAsia="en-MY"/>
        </w:rPr>
        <w:t xml:space="preserve"> </w:t>
      </w:r>
      <w:r w:rsidR="001D1A09" w:rsidRPr="00DC575A">
        <w:rPr>
          <w:rFonts w:asciiTheme="majorBidi" w:eastAsia="Times New Roman" w:hAnsiTheme="majorBidi" w:cstheme="majorBidi"/>
          <w:szCs w:val="24"/>
          <w:lang w:val="en-MY" w:eastAsia="en-MY"/>
        </w:rPr>
        <w:t xml:space="preserve">(certainty is not removed by doubt) </w:t>
      </w:r>
      <w:r w:rsidRPr="00DC575A">
        <w:rPr>
          <w:rFonts w:asciiTheme="majorBidi" w:eastAsia="Times New Roman" w:hAnsiTheme="majorBidi" w:cstheme="majorBidi"/>
          <w:szCs w:val="24"/>
          <w:lang w:val="en-MY" w:eastAsia="en-MY"/>
        </w:rPr>
        <w:t xml:space="preserve">further reinforces the position for predictable </w:t>
      </w:r>
      <w:proofErr w:type="spellStart"/>
      <w:r w:rsidR="003F1946">
        <w:rPr>
          <w:rFonts w:asciiTheme="majorBidi" w:eastAsia="Times New Roman" w:hAnsiTheme="majorBidi" w:cstheme="majorBidi"/>
          <w:szCs w:val="24"/>
          <w:lang w:val="en-MY" w:eastAsia="en-MY"/>
        </w:rPr>
        <w:t>niṣāb</w:t>
      </w:r>
      <w:proofErr w:type="spellEnd"/>
      <w:r w:rsidRPr="00DC575A">
        <w:rPr>
          <w:rFonts w:asciiTheme="majorBidi" w:eastAsia="Times New Roman" w:hAnsiTheme="majorBidi" w:cstheme="majorBidi"/>
          <w:szCs w:val="24"/>
          <w:lang w:val="en-MY" w:eastAsia="en-MY"/>
        </w:rPr>
        <w:t xml:space="preserve"> governance. The gold </w:t>
      </w:r>
      <w:proofErr w:type="spellStart"/>
      <w:r w:rsidR="003F1946">
        <w:rPr>
          <w:rFonts w:asciiTheme="majorBidi" w:eastAsia="Times New Roman" w:hAnsiTheme="majorBidi" w:cstheme="majorBidi"/>
          <w:szCs w:val="24"/>
          <w:lang w:val="en-MY" w:eastAsia="en-MY"/>
        </w:rPr>
        <w:t>niṣāb</w:t>
      </w:r>
      <w:proofErr w:type="spellEnd"/>
      <w:r w:rsidRPr="00DC575A">
        <w:rPr>
          <w:rFonts w:asciiTheme="majorBidi" w:eastAsia="Times New Roman" w:hAnsiTheme="majorBidi" w:cstheme="majorBidi"/>
          <w:szCs w:val="24"/>
          <w:lang w:val="en-MY" w:eastAsia="en-MY"/>
        </w:rPr>
        <w:t xml:space="preserve"> is a definite </w:t>
      </w:r>
      <w:proofErr w:type="spellStart"/>
      <w:r w:rsidRPr="00DC575A">
        <w:rPr>
          <w:rFonts w:asciiTheme="majorBidi" w:eastAsia="Times New Roman" w:hAnsiTheme="majorBidi" w:cstheme="majorBidi"/>
          <w:szCs w:val="24"/>
          <w:lang w:val="en-MY" w:eastAsia="en-MY"/>
        </w:rPr>
        <w:t>Sharīʾah</w:t>
      </w:r>
      <w:proofErr w:type="spellEnd"/>
      <w:r w:rsidRPr="00DC575A">
        <w:rPr>
          <w:rFonts w:asciiTheme="majorBidi" w:eastAsia="Times New Roman" w:hAnsiTheme="majorBidi" w:cstheme="majorBidi"/>
          <w:szCs w:val="24"/>
          <w:lang w:val="en-MY" w:eastAsia="en-MY"/>
        </w:rPr>
        <w:t xml:space="preserve"> measure, while the fluctuations in the market may be due to uncertainty, transience or speculation. A change in the level of certainty ought not to supplant a fixed legal threshold in a public zakat system. However, this does not mean that the zakat authorities can completely disregard market pricing. Instead, it implies that the selected price scheme should reduce any </w:t>
      </w:r>
      <w:r w:rsidR="00325619">
        <w:rPr>
          <w:rFonts w:asciiTheme="majorBidi" w:eastAsia="Times New Roman" w:hAnsiTheme="majorBidi" w:cstheme="majorBidi"/>
          <w:szCs w:val="24"/>
          <w:lang w:val="en-MY" w:eastAsia="en-MY"/>
        </w:rPr>
        <w:t>‘</w:t>
      </w:r>
      <w:r w:rsidRPr="00DC575A">
        <w:rPr>
          <w:rFonts w:asciiTheme="majorBidi" w:eastAsia="Times New Roman" w:hAnsiTheme="majorBidi" w:cstheme="majorBidi"/>
          <w:szCs w:val="24"/>
          <w:lang w:val="en-MY" w:eastAsia="en-MY"/>
        </w:rPr>
        <w:t>extra</w:t>
      </w:r>
      <w:r w:rsidR="00325619">
        <w:rPr>
          <w:rFonts w:asciiTheme="majorBidi" w:eastAsia="Times New Roman" w:hAnsiTheme="majorBidi" w:cstheme="majorBidi"/>
          <w:szCs w:val="24"/>
          <w:lang w:val="en-MY" w:eastAsia="en-MY"/>
        </w:rPr>
        <w:t>’</w:t>
      </w:r>
      <w:r w:rsidRPr="00DC575A">
        <w:rPr>
          <w:rFonts w:asciiTheme="majorBidi" w:eastAsia="Times New Roman" w:hAnsiTheme="majorBidi" w:cstheme="majorBidi"/>
          <w:szCs w:val="24"/>
          <w:lang w:val="en-MY" w:eastAsia="en-MY"/>
        </w:rPr>
        <w:t xml:space="preserve"> uncertainty and result in a stable valuation. The more public and certain it is, the more it satisfies the requirements of the </w:t>
      </w:r>
      <w:proofErr w:type="spellStart"/>
      <w:r w:rsidRPr="00DC575A">
        <w:rPr>
          <w:rFonts w:asciiTheme="majorBidi" w:eastAsia="Times New Roman" w:hAnsiTheme="majorBidi" w:cstheme="majorBidi"/>
          <w:szCs w:val="24"/>
          <w:lang w:val="en-MY" w:eastAsia="en-MY"/>
        </w:rPr>
        <w:t>fiqh</w:t>
      </w:r>
      <w:proofErr w:type="spellEnd"/>
      <w:r w:rsidRPr="00DC575A">
        <w:rPr>
          <w:rFonts w:asciiTheme="majorBidi" w:eastAsia="Times New Roman" w:hAnsiTheme="majorBidi" w:cstheme="majorBidi"/>
          <w:szCs w:val="24"/>
          <w:lang w:val="en-MY" w:eastAsia="en-MY"/>
        </w:rPr>
        <w:t xml:space="preserve"> in terms of certainty in the legal obligation (al-</w:t>
      </w:r>
      <w:proofErr w:type="spellStart"/>
      <w:r w:rsidRPr="00DC575A">
        <w:rPr>
          <w:rFonts w:asciiTheme="majorBidi" w:eastAsia="Times New Roman" w:hAnsiTheme="majorBidi" w:cstheme="majorBidi"/>
          <w:szCs w:val="24"/>
          <w:lang w:val="en-MY" w:eastAsia="en-MY"/>
        </w:rPr>
        <w:t>Suyūṭī</w:t>
      </w:r>
      <w:proofErr w:type="spellEnd"/>
      <w:r w:rsidRPr="00DC575A">
        <w:rPr>
          <w:rFonts w:asciiTheme="majorBidi" w:eastAsia="Times New Roman" w:hAnsiTheme="majorBidi" w:cstheme="majorBidi"/>
          <w:szCs w:val="24"/>
          <w:lang w:val="en-MY" w:eastAsia="en-MY"/>
        </w:rPr>
        <w:t xml:space="preserve">, 1990; Ibn </w:t>
      </w:r>
      <w:proofErr w:type="spellStart"/>
      <w:r w:rsidRPr="00DC575A">
        <w:rPr>
          <w:rFonts w:asciiTheme="majorBidi" w:eastAsia="Times New Roman" w:hAnsiTheme="majorBidi" w:cstheme="majorBidi"/>
          <w:szCs w:val="24"/>
          <w:lang w:val="en-MY" w:eastAsia="en-MY"/>
        </w:rPr>
        <w:t>Nujaym</w:t>
      </w:r>
      <w:proofErr w:type="spellEnd"/>
      <w:r w:rsidRPr="00DC575A">
        <w:rPr>
          <w:rFonts w:asciiTheme="majorBidi" w:eastAsia="Times New Roman" w:hAnsiTheme="majorBidi" w:cstheme="majorBidi"/>
          <w:szCs w:val="24"/>
          <w:lang w:val="en-MY" w:eastAsia="en-MY"/>
        </w:rPr>
        <w:t xml:space="preserve">, 1999; </w:t>
      </w:r>
      <w:proofErr w:type="spellStart"/>
      <w:r w:rsidRPr="00DC575A">
        <w:rPr>
          <w:rFonts w:asciiTheme="majorBidi" w:eastAsia="Times New Roman" w:hAnsiTheme="majorBidi" w:cstheme="majorBidi"/>
          <w:szCs w:val="24"/>
          <w:lang w:val="en-MY" w:eastAsia="en-MY"/>
        </w:rPr>
        <w:t>Kamali</w:t>
      </w:r>
      <w:proofErr w:type="spellEnd"/>
      <w:r w:rsidRPr="00DC575A">
        <w:rPr>
          <w:rFonts w:asciiTheme="majorBidi" w:eastAsia="Times New Roman" w:hAnsiTheme="majorBidi" w:cstheme="majorBidi"/>
          <w:szCs w:val="24"/>
          <w:lang w:val="en-MY" w:eastAsia="en-MY"/>
        </w:rPr>
        <w:t>, 2008)</w:t>
      </w:r>
      <w:r w:rsidR="00DC575A" w:rsidRPr="00DC575A">
        <w:rPr>
          <w:rFonts w:asciiTheme="majorBidi" w:eastAsia="Times New Roman" w:hAnsiTheme="majorBidi" w:cstheme="majorBidi"/>
          <w:szCs w:val="24"/>
          <w:lang w:val="en-MY" w:eastAsia="en-MY"/>
        </w:rPr>
        <w:t>.</w:t>
      </w:r>
    </w:p>
    <w:p w:rsidR="00DC575A" w:rsidRPr="00DC575A" w:rsidRDefault="00DC575A" w:rsidP="00DC575A">
      <w:pPr>
        <w:pStyle w:val="ListParagraph"/>
        <w:rPr>
          <w:rFonts w:asciiTheme="majorBidi" w:eastAsia="Times New Roman" w:hAnsiTheme="majorBidi" w:cstheme="majorBidi"/>
          <w:szCs w:val="24"/>
          <w:lang w:val="en-MY" w:eastAsia="en-MY"/>
        </w:rPr>
      </w:pPr>
    </w:p>
    <w:p w:rsidR="00DC575A" w:rsidRDefault="00037C71" w:rsidP="00C7289C">
      <w:pPr>
        <w:pStyle w:val="ListParagraph"/>
        <w:numPr>
          <w:ilvl w:val="0"/>
          <w:numId w:val="12"/>
        </w:numPr>
        <w:jc w:val="both"/>
        <w:rPr>
          <w:rFonts w:asciiTheme="majorBidi" w:eastAsia="Times New Roman" w:hAnsiTheme="majorBidi" w:cstheme="majorBidi"/>
          <w:szCs w:val="24"/>
          <w:lang w:val="en-MY" w:eastAsia="en-MY"/>
        </w:rPr>
      </w:pPr>
      <w:r w:rsidRPr="00DC575A">
        <w:rPr>
          <w:rFonts w:asciiTheme="majorBidi" w:eastAsia="Times New Roman" w:hAnsiTheme="majorBidi" w:cstheme="majorBidi"/>
          <w:szCs w:val="24"/>
          <w:lang w:val="en-MY" w:eastAsia="en-MY"/>
        </w:rPr>
        <w:t xml:space="preserve">The </w:t>
      </w:r>
      <w:r w:rsidR="00FD48CD" w:rsidRPr="00DC575A">
        <w:rPr>
          <w:rFonts w:asciiTheme="majorBidi" w:eastAsia="Times New Roman" w:hAnsiTheme="majorBidi" w:cstheme="majorBidi"/>
          <w:szCs w:val="24"/>
          <w:lang w:val="en-MY" w:eastAsia="en-MY"/>
        </w:rPr>
        <w:t>principle</w:t>
      </w:r>
      <w:r w:rsidRPr="00DC575A">
        <w:rPr>
          <w:rFonts w:asciiTheme="majorBidi" w:eastAsia="Times New Roman" w:hAnsiTheme="majorBidi" w:cstheme="majorBidi"/>
          <w:szCs w:val="24"/>
          <w:lang w:val="en-MY" w:eastAsia="en-MY"/>
        </w:rPr>
        <w:t xml:space="preserve">, </w:t>
      </w:r>
      <w:r w:rsidRPr="00DC575A">
        <w:rPr>
          <w:rFonts w:asciiTheme="majorBidi" w:eastAsia="Times New Roman" w:hAnsiTheme="majorBidi" w:cstheme="majorBidi"/>
          <w:szCs w:val="24"/>
          <w:rtl/>
          <w:lang w:val="en-MY" w:eastAsia="en-MY"/>
        </w:rPr>
        <w:t>العَادَةُ مُحَكَّمَةٌ</w:t>
      </w:r>
      <w:r w:rsidR="001D1A09" w:rsidRPr="00DC575A">
        <w:rPr>
          <w:rFonts w:asciiTheme="majorBidi" w:eastAsia="Times New Roman" w:hAnsiTheme="majorBidi" w:cstheme="majorBidi"/>
          <w:szCs w:val="24"/>
          <w:lang w:val="en-MY" w:eastAsia="en-MY"/>
        </w:rPr>
        <w:t xml:space="preserve"> (custom is legally considered)</w:t>
      </w:r>
      <w:r w:rsidR="00FD48CD" w:rsidRPr="00DC575A">
        <w:rPr>
          <w:rFonts w:asciiTheme="majorBidi" w:eastAsia="Times New Roman" w:hAnsiTheme="majorBidi" w:cstheme="majorBidi"/>
          <w:szCs w:val="24"/>
          <w:lang w:val="en-MY" w:eastAsia="en-MY"/>
        </w:rPr>
        <w:t>, also seems very timely;</w:t>
      </w:r>
      <w:r w:rsidRPr="00DC575A">
        <w:rPr>
          <w:rFonts w:asciiTheme="majorBidi" w:eastAsia="Times New Roman" w:hAnsiTheme="majorBidi" w:cstheme="majorBidi"/>
          <w:szCs w:val="24"/>
          <w:lang w:val="en-MY" w:eastAsia="en-MY"/>
        </w:rPr>
        <w:t xml:space="preserve"> </w:t>
      </w:r>
      <w:r w:rsidR="00FD48CD" w:rsidRPr="00DC575A">
        <w:rPr>
          <w:rFonts w:asciiTheme="majorBidi" w:eastAsia="Times New Roman" w:hAnsiTheme="majorBidi" w:cstheme="majorBidi"/>
          <w:szCs w:val="24"/>
          <w:lang w:val="en-MY" w:eastAsia="en-MY"/>
        </w:rPr>
        <w:t>g</w:t>
      </w:r>
      <w:r w:rsidRPr="00DC575A">
        <w:rPr>
          <w:rFonts w:asciiTheme="majorBidi" w:eastAsia="Times New Roman" w:hAnsiTheme="majorBidi" w:cstheme="majorBidi"/>
          <w:szCs w:val="24"/>
          <w:lang w:val="en-MY" w:eastAsia="en-MY"/>
        </w:rPr>
        <w:t xml:space="preserve">old valuation is not carried out in an abstract vacuum. Today, there are several levels of purity, including .916, .999, and commercial standards. Institutions also use recognised Market Price, Bullion Rate and </w:t>
      </w:r>
      <w:r w:rsidR="00FD48CD" w:rsidRPr="00DC575A">
        <w:rPr>
          <w:rFonts w:asciiTheme="majorBidi" w:eastAsia="Times New Roman" w:hAnsiTheme="majorBidi" w:cstheme="majorBidi"/>
          <w:szCs w:val="24"/>
          <w:lang w:val="en-MY" w:eastAsia="en-MY"/>
        </w:rPr>
        <w:t>official or semi-official quotations</w:t>
      </w:r>
      <w:r w:rsidRPr="00DC575A">
        <w:rPr>
          <w:rFonts w:asciiTheme="majorBidi" w:eastAsia="Times New Roman" w:hAnsiTheme="majorBidi" w:cstheme="majorBidi"/>
          <w:szCs w:val="24"/>
          <w:lang w:val="en-MY" w:eastAsia="en-MY"/>
        </w:rPr>
        <w:t xml:space="preserve">. If </w:t>
      </w:r>
      <w:proofErr w:type="spellStart"/>
      <w:r w:rsidRPr="00DC575A">
        <w:rPr>
          <w:rFonts w:asciiTheme="majorBidi" w:eastAsia="Times New Roman" w:hAnsiTheme="majorBidi" w:cstheme="majorBidi"/>
          <w:szCs w:val="24"/>
          <w:lang w:val="en-MY" w:eastAsia="en-MY"/>
        </w:rPr>
        <w:t>Sharīʾah</w:t>
      </w:r>
      <w:proofErr w:type="spellEnd"/>
      <w:r w:rsidRPr="00DC575A">
        <w:rPr>
          <w:rFonts w:asciiTheme="majorBidi" w:eastAsia="Times New Roman" w:hAnsiTheme="majorBidi" w:cstheme="majorBidi"/>
          <w:szCs w:val="24"/>
          <w:lang w:val="en-MY" w:eastAsia="en-MY"/>
        </w:rPr>
        <w:t xml:space="preserve"> states no specific price source, accepted market convention, which does not negate the </w:t>
      </w:r>
      <w:proofErr w:type="spellStart"/>
      <w:r w:rsidRPr="00DC575A">
        <w:rPr>
          <w:rFonts w:asciiTheme="majorBidi" w:eastAsia="Times New Roman" w:hAnsiTheme="majorBidi" w:cstheme="majorBidi"/>
          <w:szCs w:val="24"/>
          <w:lang w:val="en-MY" w:eastAsia="en-MY"/>
        </w:rPr>
        <w:t>Sharīʾah</w:t>
      </w:r>
      <w:proofErr w:type="spellEnd"/>
      <w:r w:rsidRPr="00DC575A">
        <w:rPr>
          <w:rFonts w:asciiTheme="majorBidi" w:eastAsia="Times New Roman" w:hAnsiTheme="majorBidi" w:cstheme="majorBidi"/>
          <w:szCs w:val="24"/>
          <w:lang w:val="en-MY" w:eastAsia="en-MY"/>
        </w:rPr>
        <w:t xml:space="preserve"> rule, can assist in determining the practical approach to value, where appropriate. This is in harmony with the general juristic opinion that custom is a source for application in </w:t>
      </w:r>
      <w:proofErr w:type="spellStart"/>
      <w:r w:rsidRPr="00DC575A">
        <w:rPr>
          <w:rFonts w:asciiTheme="majorBidi" w:eastAsia="Times New Roman" w:hAnsiTheme="majorBidi" w:cstheme="majorBidi"/>
          <w:szCs w:val="24"/>
          <w:lang w:val="en-MY" w:eastAsia="en-MY"/>
        </w:rPr>
        <w:t>muʾāmalāt</w:t>
      </w:r>
      <w:proofErr w:type="spellEnd"/>
      <w:r w:rsidRPr="00DC575A">
        <w:rPr>
          <w:rFonts w:asciiTheme="majorBidi" w:eastAsia="Times New Roman" w:hAnsiTheme="majorBidi" w:cstheme="majorBidi"/>
          <w:szCs w:val="24"/>
          <w:lang w:val="en-MY" w:eastAsia="en-MY"/>
        </w:rPr>
        <w:t xml:space="preserve"> and administration (Ibn </w:t>
      </w:r>
      <w:proofErr w:type="spellStart"/>
      <w:r w:rsidRPr="00DC575A">
        <w:rPr>
          <w:rFonts w:asciiTheme="majorBidi" w:eastAsia="Times New Roman" w:hAnsiTheme="majorBidi" w:cstheme="majorBidi"/>
          <w:szCs w:val="24"/>
          <w:lang w:val="en-MY" w:eastAsia="en-MY"/>
        </w:rPr>
        <w:t>Nujaym</w:t>
      </w:r>
      <w:proofErr w:type="spellEnd"/>
      <w:r w:rsidRPr="00DC575A">
        <w:rPr>
          <w:rFonts w:asciiTheme="majorBidi" w:eastAsia="Times New Roman" w:hAnsiTheme="majorBidi" w:cstheme="majorBidi"/>
          <w:szCs w:val="24"/>
          <w:lang w:val="en-MY" w:eastAsia="en-MY"/>
        </w:rPr>
        <w:t>, 1999; al-</w:t>
      </w:r>
      <w:proofErr w:type="spellStart"/>
      <w:r w:rsidRPr="00DC575A">
        <w:rPr>
          <w:rFonts w:asciiTheme="majorBidi" w:eastAsia="Times New Roman" w:hAnsiTheme="majorBidi" w:cstheme="majorBidi"/>
          <w:szCs w:val="24"/>
          <w:lang w:val="en-MY" w:eastAsia="en-MY"/>
        </w:rPr>
        <w:t>Zuhayli</w:t>
      </w:r>
      <w:proofErr w:type="spellEnd"/>
      <w:r w:rsidRPr="00DC575A">
        <w:rPr>
          <w:rFonts w:asciiTheme="majorBidi" w:eastAsia="Times New Roman" w:hAnsiTheme="majorBidi" w:cstheme="majorBidi"/>
          <w:szCs w:val="24"/>
          <w:lang w:val="en-MY" w:eastAsia="en-MY"/>
        </w:rPr>
        <w:t xml:space="preserve">, 1985; </w:t>
      </w:r>
      <w:proofErr w:type="spellStart"/>
      <w:r w:rsidRPr="00DC575A">
        <w:rPr>
          <w:rFonts w:asciiTheme="majorBidi" w:eastAsia="Times New Roman" w:hAnsiTheme="majorBidi" w:cstheme="majorBidi"/>
          <w:szCs w:val="24"/>
          <w:lang w:val="en-MY" w:eastAsia="en-MY"/>
        </w:rPr>
        <w:t>Kamali</w:t>
      </w:r>
      <w:proofErr w:type="spellEnd"/>
      <w:r w:rsidRPr="00DC575A">
        <w:rPr>
          <w:rFonts w:asciiTheme="majorBidi" w:eastAsia="Times New Roman" w:hAnsiTheme="majorBidi" w:cstheme="majorBidi"/>
          <w:szCs w:val="24"/>
          <w:lang w:val="en-MY" w:eastAsia="en-MY"/>
        </w:rPr>
        <w:t>, 2008).</w:t>
      </w:r>
    </w:p>
    <w:p w:rsidR="00DC575A" w:rsidRPr="00DC575A" w:rsidRDefault="00DC575A" w:rsidP="00DC575A">
      <w:pPr>
        <w:pStyle w:val="ListParagraph"/>
        <w:rPr>
          <w:rFonts w:asciiTheme="majorBidi" w:eastAsia="Times New Roman" w:hAnsiTheme="majorBidi" w:cstheme="majorBidi"/>
          <w:szCs w:val="24"/>
          <w:lang w:val="en-MY" w:eastAsia="en-MY"/>
        </w:rPr>
      </w:pPr>
    </w:p>
    <w:p w:rsidR="00037C71" w:rsidRPr="00DC575A" w:rsidRDefault="00037C71" w:rsidP="00C7289C">
      <w:pPr>
        <w:pStyle w:val="ListParagraph"/>
        <w:numPr>
          <w:ilvl w:val="0"/>
          <w:numId w:val="12"/>
        </w:numPr>
        <w:jc w:val="both"/>
        <w:rPr>
          <w:rFonts w:asciiTheme="majorBidi" w:eastAsia="Times New Roman" w:hAnsiTheme="majorBidi" w:cstheme="majorBidi"/>
          <w:szCs w:val="24"/>
          <w:lang w:val="en-MY" w:eastAsia="en-MY"/>
        </w:rPr>
      </w:pPr>
      <w:r w:rsidRPr="00DC575A">
        <w:rPr>
          <w:rFonts w:asciiTheme="majorBidi" w:eastAsia="Times New Roman" w:hAnsiTheme="majorBidi" w:cstheme="majorBidi"/>
          <w:szCs w:val="24"/>
          <w:lang w:val="en-MY" w:eastAsia="en-MY"/>
        </w:rPr>
        <w:t xml:space="preserve">The principle of </w:t>
      </w:r>
      <w:r w:rsidRPr="00DC575A">
        <w:rPr>
          <w:rFonts w:asciiTheme="majorBidi" w:eastAsia="Times New Roman" w:hAnsiTheme="majorBidi" w:cstheme="majorBidi"/>
          <w:szCs w:val="24"/>
          <w:rtl/>
          <w:lang w:val="en-MY" w:eastAsia="en-MY"/>
        </w:rPr>
        <w:t>لَا ضَرَرَ وَلَا ضِرَارَ</w:t>
      </w:r>
      <w:r w:rsidR="00FD48CD" w:rsidRPr="00DC575A">
        <w:rPr>
          <w:rFonts w:asciiTheme="majorBidi" w:eastAsia="Times New Roman" w:hAnsiTheme="majorBidi" w:cstheme="majorBidi"/>
          <w:szCs w:val="24"/>
          <w:lang w:val="en-MY" w:eastAsia="en-MY"/>
        </w:rPr>
        <w:t xml:space="preserve"> (there should be neither harm nor reciprocal harm),</w:t>
      </w:r>
      <w:r w:rsidRPr="00DC575A">
        <w:rPr>
          <w:rFonts w:asciiTheme="majorBidi" w:eastAsia="Times New Roman" w:hAnsiTheme="majorBidi" w:cstheme="majorBidi"/>
          <w:szCs w:val="24"/>
          <w:lang w:val="en-MY" w:eastAsia="en-MY"/>
        </w:rPr>
        <w:t xml:space="preserve"> which means that the </w:t>
      </w:r>
      <w:proofErr w:type="spellStart"/>
      <w:r w:rsidR="003F1946">
        <w:rPr>
          <w:rFonts w:asciiTheme="majorBidi" w:eastAsia="Times New Roman" w:hAnsiTheme="majorBidi" w:cstheme="majorBidi"/>
          <w:szCs w:val="24"/>
          <w:lang w:val="en-MY" w:eastAsia="en-MY"/>
        </w:rPr>
        <w:t>niṣāb</w:t>
      </w:r>
      <w:proofErr w:type="spellEnd"/>
      <w:r w:rsidRPr="00DC575A">
        <w:rPr>
          <w:rFonts w:asciiTheme="majorBidi" w:eastAsia="Times New Roman" w:hAnsiTheme="majorBidi" w:cstheme="majorBidi"/>
          <w:szCs w:val="24"/>
          <w:lang w:val="en-MY" w:eastAsia="en-MY"/>
        </w:rPr>
        <w:t xml:space="preserve"> method must not cause any unjust harm. The downside of a valuation that is too high for an unfair reason is that the number of payers is reduced. </w:t>
      </w:r>
      <w:r w:rsidR="00FD48CD" w:rsidRPr="00DC575A">
        <w:rPr>
          <w:rFonts w:asciiTheme="majorBidi" w:eastAsia="Times New Roman" w:hAnsiTheme="majorBidi" w:cstheme="majorBidi"/>
          <w:szCs w:val="24"/>
          <w:lang w:val="en-MY" w:eastAsia="en-MY"/>
        </w:rPr>
        <w:t>Consequently</w:t>
      </w:r>
      <w:r w:rsidRPr="00DC575A">
        <w:rPr>
          <w:rFonts w:asciiTheme="majorBidi" w:eastAsia="Times New Roman" w:hAnsiTheme="majorBidi" w:cstheme="majorBidi"/>
          <w:szCs w:val="24"/>
          <w:lang w:val="en-MY" w:eastAsia="en-MY"/>
        </w:rPr>
        <w:t xml:space="preserve">, the number of eligible beneficiaries is reduced. If it is too low, the payers can be overwhelmed and are not necessarily burdened in accordance with the </w:t>
      </w:r>
      <w:proofErr w:type="spellStart"/>
      <w:r w:rsidRPr="00DC575A">
        <w:rPr>
          <w:rFonts w:asciiTheme="majorBidi" w:eastAsia="Times New Roman" w:hAnsiTheme="majorBidi" w:cstheme="majorBidi"/>
          <w:szCs w:val="24"/>
          <w:lang w:val="en-MY" w:eastAsia="en-MY"/>
        </w:rPr>
        <w:t>Sharīʾah</w:t>
      </w:r>
      <w:proofErr w:type="spellEnd"/>
      <w:r w:rsidRPr="00DC575A">
        <w:rPr>
          <w:rFonts w:asciiTheme="majorBidi" w:eastAsia="Times New Roman" w:hAnsiTheme="majorBidi" w:cstheme="majorBidi"/>
          <w:szCs w:val="24"/>
          <w:lang w:val="en-MY" w:eastAsia="en-MY"/>
        </w:rPr>
        <w:t xml:space="preserve"> standard. Thus, the harm principle applies in both directions to prevent excessive liability on the part of the payers and under-collection on the part of the institutions. A balanced method must therefore </w:t>
      </w:r>
      <w:proofErr w:type="gramStart"/>
      <w:r w:rsidRPr="00DC575A">
        <w:rPr>
          <w:rFonts w:asciiTheme="majorBidi" w:eastAsia="Times New Roman" w:hAnsiTheme="majorBidi" w:cstheme="majorBidi"/>
          <w:szCs w:val="24"/>
          <w:lang w:val="en-MY" w:eastAsia="en-MY"/>
        </w:rPr>
        <w:t>take into account</w:t>
      </w:r>
      <w:proofErr w:type="gramEnd"/>
      <w:r w:rsidRPr="00DC575A">
        <w:rPr>
          <w:rFonts w:asciiTheme="majorBidi" w:eastAsia="Times New Roman" w:hAnsiTheme="majorBidi" w:cstheme="majorBidi"/>
          <w:szCs w:val="24"/>
          <w:lang w:val="en-MY" w:eastAsia="en-MY"/>
        </w:rPr>
        <w:t xml:space="preserve"> both aspects of the relationship of the zakat, that is the obligation of the person who pays and the rights of the </w:t>
      </w:r>
      <w:proofErr w:type="spellStart"/>
      <w:r w:rsidRPr="00DC575A">
        <w:rPr>
          <w:rFonts w:asciiTheme="majorBidi" w:eastAsia="Times New Roman" w:hAnsiTheme="majorBidi" w:cstheme="majorBidi"/>
          <w:szCs w:val="24"/>
          <w:lang w:val="en-MY" w:eastAsia="en-MY"/>
        </w:rPr>
        <w:t>aṣnāf</w:t>
      </w:r>
      <w:proofErr w:type="spellEnd"/>
      <w:r w:rsidRPr="00DC575A">
        <w:rPr>
          <w:rFonts w:asciiTheme="majorBidi" w:eastAsia="Times New Roman" w:hAnsiTheme="majorBidi" w:cstheme="majorBidi"/>
          <w:szCs w:val="24"/>
          <w:lang w:val="en-MY" w:eastAsia="en-MY"/>
        </w:rPr>
        <w:t xml:space="preserve">, (the class of people </w:t>
      </w:r>
      <w:r w:rsidRPr="00DC575A">
        <w:rPr>
          <w:rFonts w:asciiTheme="majorBidi" w:eastAsia="Times New Roman" w:hAnsiTheme="majorBidi" w:cstheme="majorBidi"/>
          <w:szCs w:val="24"/>
          <w:lang w:val="en-MY" w:eastAsia="en-MY"/>
        </w:rPr>
        <w:lastRenderedPageBreak/>
        <w:t xml:space="preserve">who receive the zakat), as had been mentioned in the hadiths, number 2340 in the book of Ibn </w:t>
      </w:r>
      <w:proofErr w:type="spellStart"/>
      <w:r w:rsidRPr="00DC575A">
        <w:rPr>
          <w:rFonts w:asciiTheme="majorBidi" w:eastAsia="Times New Roman" w:hAnsiTheme="majorBidi" w:cstheme="majorBidi"/>
          <w:szCs w:val="24"/>
          <w:lang w:val="en-MY" w:eastAsia="en-MY"/>
        </w:rPr>
        <w:t>Mājah</w:t>
      </w:r>
      <w:proofErr w:type="spellEnd"/>
      <w:r w:rsidRPr="00DC575A">
        <w:rPr>
          <w:rFonts w:asciiTheme="majorBidi" w:eastAsia="Times New Roman" w:hAnsiTheme="majorBidi" w:cstheme="majorBidi"/>
          <w:szCs w:val="24"/>
          <w:lang w:val="en-MY" w:eastAsia="en-MY"/>
        </w:rPr>
        <w:t xml:space="preserve"> (2009), in the book of Malik (</w:t>
      </w:r>
      <w:r w:rsidR="00073750">
        <w:rPr>
          <w:rFonts w:asciiTheme="majorBidi" w:eastAsia="Times New Roman" w:hAnsiTheme="majorBidi" w:cstheme="majorBidi"/>
          <w:szCs w:val="24"/>
          <w:lang w:val="en-MY" w:eastAsia="en-MY"/>
        </w:rPr>
        <w:t>1985</w:t>
      </w:r>
      <w:r w:rsidRPr="00DC575A">
        <w:rPr>
          <w:rFonts w:asciiTheme="majorBidi" w:eastAsia="Times New Roman" w:hAnsiTheme="majorBidi" w:cstheme="majorBidi"/>
          <w:szCs w:val="24"/>
          <w:lang w:val="en-MY" w:eastAsia="en-MY"/>
        </w:rPr>
        <w:t>), and in the book of al-</w:t>
      </w:r>
      <w:proofErr w:type="spellStart"/>
      <w:r w:rsidRPr="00DC575A">
        <w:rPr>
          <w:rFonts w:asciiTheme="majorBidi" w:eastAsia="Times New Roman" w:hAnsiTheme="majorBidi" w:cstheme="majorBidi"/>
          <w:szCs w:val="24"/>
          <w:lang w:val="en-MY" w:eastAsia="en-MY"/>
        </w:rPr>
        <w:t>Qaradawi</w:t>
      </w:r>
      <w:proofErr w:type="spellEnd"/>
      <w:r w:rsidRPr="00DC575A">
        <w:rPr>
          <w:rFonts w:asciiTheme="majorBidi" w:eastAsia="Times New Roman" w:hAnsiTheme="majorBidi" w:cstheme="majorBidi"/>
          <w:szCs w:val="24"/>
          <w:lang w:val="en-MY" w:eastAsia="en-MY"/>
        </w:rPr>
        <w:t xml:space="preserve"> (1999).</w:t>
      </w:r>
    </w:p>
    <w:p w:rsidR="00FD48CD" w:rsidRDefault="00037C71" w:rsidP="006B1668">
      <w:pPr>
        <w:ind w:firstLine="720"/>
        <w:jc w:val="both"/>
        <w:rPr>
          <w:rFonts w:asciiTheme="majorBidi" w:eastAsia="Times New Roman" w:hAnsiTheme="majorBidi" w:cstheme="majorBidi"/>
          <w:szCs w:val="24"/>
          <w:lang w:val="en-MY" w:eastAsia="en-MY"/>
        </w:rPr>
      </w:pPr>
      <w:r w:rsidRPr="00037C71">
        <w:rPr>
          <w:rFonts w:asciiTheme="majorBidi" w:eastAsia="Times New Roman" w:hAnsiTheme="majorBidi" w:cstheme="majorBidi"/>
          <w:szCs w:val="24"/>
          <w:lang w:val="en-MY" w:eastAsia="en-MY"/>
        </w:rPr>
        <w:t xml:space="preserve">The other problem is the connection between </w:t>
      </w:r>
      <w:proofErr w:type="spellStart"/>
      <w:r w:rsidR="003F1946">
        <w:rPr>
          <w:rFonts w:asciiTheme="majorBidi" w:eastAsia="Times New Roman" w:hAnsiTheme="majorBidi" w:cstheme="majorBidi"/>
          <w:szCs w:val="24"/>
          <w:lang w:val="en-MY" w:eastAsia="en-MY"/>
        </w:rPr>
        <w:t>niṣāb</w:t>
      </w:r>
      <w:proofErr w:type="spellEnd"/>
      <w:r w:rsidRPr="00037C71">
        <w:rPr>
          <w:rFonts w:asciiTheme="majorBidi" w:eastAsia="Times New Roman" w:hAnsiTheme="majorBidi" w:cstheme="majorBidi"/>
          <w:szCs w:val="24"/>
          <w:lang w:val="en-MY" w:eastAsia="en-MY"/>
        </w:rPr>
        <w:t xml:space="preserve"> and </w:t>
      </w:r>
      <w:proofErr w:type="spellStart"/>
      <w:r w:rsidRPr="00037C71">
        <w:rPr>
          <w:rFonts w:asciiTheme="majorBidi" w:eastAsia="Times New Roman" w:hAnsiTheme="majorBidi" w:cstheme="majorBidi"/>
          <w:szCs w:val="24"/>
          <w:lang w:val="en-MY" w:eastAsia="en-MY"/>
        </w:rPr>
        <w:t>ḥawl</w:t>
      </w:r>
      <w:proofErr w:type="spellEnd"/>
      <w:r>
        <w:rPr>
          <w:rFonts w:asciiTheme="majorBidi" w:eastAsia="Times New Roman" w:hAnsiTheme="majorBidi" w:cstheme="majorBidi"/>
          <w:szCs w:val="24"/>
          <w:lang w:val="en-MY" w:eastAsia="en-MY"/>
        </w:rPr>
        <w:t>, which refers to the passage of one year over that wealth that is subject to zakat</w:t>
      </w:r>
      <w:r w:rsidRPr="00037C71">
        <w:rPr>
          <w:rFonts w:asciiTheme="majorBidi" w:eastAsia="Times New Roman" w:hAnsiTheme="majorBidi" w:cstheme="majorBidi"/>
          <w:szCs w:val="24"/>
          <w:lang w:val="en-MY" w:eastAsia="en-MY"/>
        </w:rPr>
        <w:t xml:space="preserve">. </w:t>
      </w:r>
      <w:r w:rsidR="006B1668">
        <w:rPr>
          <w:rFonts w:asciiTheme="majorBidi" w:eastAsia="Times New Roman" w:hAnsiTheme="majorBidi" w:cstheme="majorBidi"/>
          <w:szCs w:val="24"/>
          <w:lang w:val="en-MY" w:eastAsia="en-MY"/>
        </w:rPr>
        <w:t xml:space="preserve">Of course, there is a prophetic tradition that is usually quoted: </w:t>
      </w:r>
      <w:r w:rsidR="00325619">
        <w:rPr>
          <w:rFonts w:asciiTheme="majorBidi" w:eastAsia="Times New Roman" w:hAnsiTheme="majorBidi" w:cstheme="majorBidi"/>
          <w:szCs w:val="24"/>
          <w:lang w:val="en-MY" w:eastAsia="en-MY"/>
        </w:rPr>
        <w:t>“</w:t>
      </w:r>
      <w:r w:rsidRPr="00037C71">
        <w:rPr>
          <w:rFonts w:asciiTheme="majorBidi" w:eastAsia="Times New Roman" w:hAnsiTheme="majorBidi" w:cstheme="majorBidi"/>
          <w:szCs w:val="24"/>
          <w:lang w:val="en-MY" w:eastAsia="en-MY"/>
        </w:rPr>
        <w:t>There shall not be levied on wealth any zakat, until it reaches one year.</w:t>
      </w:r>
      <w:r w:rsidR="00325619">
        <w:rPr>
          <w:rFonts w:asciiTheme="majorBidi" w:eastAsia="Times New Roman" w:hAnsiTheme="majorBidi" w:cstheme="majorBidi"/>
          <w:szCs w:val="24"/>
          <w:lang w:val="en-MY" w:eastAsia="en-MY"/>
        </w:rPr>
        <w:t>”</w:t>
      </w:r>
      <w:r w:rsidR="006B1668">
        <w:rPr>
          <w:rFonts w:asciiTheme="majorBidi" w:eastAsia="Times New Roman" w:hAnsiTheme="majorBidi" w:cstheme="majorBidi"/>
          <w:szCs w:val="24"/>
          <w:lang w:val="en-MY" w:eastAsia="en-MY"/>
        </w:rPr>
        <w:t xml:space="preserve"> </w:t>
      </w:r>
      <w:r w:rsidRPr="00037C71">
        <w:rPr>
          <w:rFonts w:asciiTheme="majorBidi" w:eastAsia="Times New Roman" w:hAnsiTheme="majorBidi" w:cstheme="majorBidi"/>
          <w:szCs w:val="24"/>
          <w:lang w:val="en-MY" w:eastAsia="en-MY"/>
        </w:rPr>
        <w:t xml:space="preserve">While there are contentious views on the force and boundaries of each narration on </w:t>
      </w:r>
      <w:proofErr w:type="spellStart"/>
      <w:r w:rsidRPr="00037C71">
        <w:rPr>
          <w:rFonts w:asciiTheme="majorBidi" w:eastAsia="Times New Roman" w:hAnsiTheme="majorBidi" w:cstheme="majorBidi"/>
          <w:szCs w:val="24"/>
          <w:lang w:val="en-MY" w:eastAsia="en-MY"/>
        </w:rPr>
        <w:t>ḥawl</w:t>
      </w:r>
      <w:proofErr w:type="spellEnd"/>
      <w:r w:rsidRPr="00037C71">
        <w:rPr>
          <w:rFonts w:asciiTheme="majorBidi" w:eastAsia="Times New Roman" w:hAnsiTheme="majorBidi" w:cstheme="majorBidi"/>
          <w:szCs w:val="24"/>
          <w:lang w:val="en-MY" w:eastAsia="en-MY"/>
        </w:rPr>
        <w:t xml:space="preserve">, the essential issue is accepted in the majority of the types of monetary and trade wealth in zakat law. </w:t>
      </w:r>
      <w:r>
        <w:rPr>
          <w:rFonts w:asciiTheme="majorBidi" w:eastAsia="Times New Roman" w:hAnsiTheme="majorBidi" w:cstheme="majorBidi"/>
          <w:szCs w:val="24"/>
          <w:lang w:val="en-MY" w:eastAsia="en-MY"/>
        </w:rPr>
        <w:t xml:space="preserve">In </w:t>
      </w:r>
      <w:proofErr w:type="spellStart"/>
      <w:r w:rsidR="003F1946">
        <w:rPr>
          <w:rFonts w:asciiTheme="majorBidi" w:eastAsia="Times New Roman" w:hAnsiTheme="majorBidi" w:cstheme="majorBidi"/>
          <w:szCs w:val="24"/>
          <w:lang w:val="en-MY" w:eastAsia="en-MY"/>
        </w:rPr>
        <w:t>niṣāb</w:t>
      </w:r>
      <w:proofErr w:type="spellEnd"/>
      <w:r>
        <w:rPr>
          <w:rFonts w:asciiTheme="majorBidi" w:eastAsia="Times New Roman" w:hAnsiTheme="majorBidi" w:cstheme="majorBidi"/>
          <w:szCs w:val="24"/>
          <w:lang w:val="en-MY" w:eastAsia="en-MY"/>
        </w:rPr>
        <w:t xml:space="preserve"> governance, the importance of </w:t>
      </w:r>
      <w:proofErr w:type="spellStart"/>
      <w:r>
        <w:rPr>
          <w:rFonts w:asciiTheme="majorBidi" w:eastAsia="Times New Roman" w:hAnsiTheme="majorBidi" w:cstheme="majorBidi"/>
          <w:szCs w:val="24"/>
          <w:lang w:val="en-MY" w:eastAsia="en-MY"/>
        </w:rPr>
        <w:t>ḥawl</w:t>
      </w:r>
      <w:proofErr w:type="spellEnd"/>
      <w:r>
        <w:rPr>
          <w:rFonts w:asciiTheme="majorBidi" w:eastAsia="Times New Roman" w:hAnsiTheme="majorBidi" w:cstheme="majorBidi"/>
          <w:szCs w:val="24"/>
          <w:lang w:val="en-MY" w:eastAsia="en-MY"/>
        </w:rPr>
        <w:t xml:space="preserve"> is that the obligation to pay zakat is not normally considered</w:t>
      </w:r>
      <w:r w:rsidRPr="00037C71">
        <w:rPr>
          <w:rFonts w:asciiTheme="majorBidi" w:eastAsia="Times New Roman" w:hAnsiTheme="majorBidi" w:cstheme="majorBidi"/>
          <w:szCs w:val="24"/>
          <w:lang w:val="en-MY" w:eastAsia="en-MY"/>
        </w:rPr>
        <w:t xml:space="preserve"> a purely </w:t>
      </w:r>
      <w:r w:rsidR="00325619">
        <w:rPr>
          <w:rFonts w:asciiTheme="majorBidi" w:eastAsia="Times New Roman" w:hAnsiTheme="majorBidi" w:cstheme="majorBidi"/>
          <w:szCs w:val="24"/>
          <w:lang w:val="en-MY" w:eastAsia="en-MY"/>
        </w:rPr>
        <w:t>“</w:t>
      </w:r>
      <w:r w:rsidRPr="00037C71">
        <w:rPr>
          <w:rFonts w:asciiTheme="majorBidi" w:eastAsia="Times New Roman" w:hAnsiTheme="majorBidi" w:cstheme="majorBidi"/>
          <w:szCs w:val="24"/>
          <w:lang w:val="en-MY" w:eastAsia="en-MY"/>
        </w:rPr>
        <w:t>here-and-now</w:t>
      </w:r>
      <w:r w:rsidR="00325619">
        <w:rPr>
          <w:rFonts w:asciiTheme="majorBidi" w:eastAsia="Times New Roman" w:hAnsiTheme="majorBidi" w:cstheme="majorBidi"/>
          <w:szCs w:val="24"/>
          <w:lang w:val="en-MY" w:eastAsia="en-MY"/>
        </w:rPr>
        <w:t>”</w:t>
      </w:r>
      <w:r w:rsidRPr="00037C71">
        <w:rPr>
          <w:rFonts w:asciiTheme="majorBidi" w:eastAsia="Times New Roman" w:hAnsiTheme="majorBidi" w:cstheme="majorBidi"/>
          <w:szCs w:val="24"/>
          <w:lang w:val="en-MY" w:eastAsia="en-MY"/>
        </w:rPr>
        <w:t xml:space="preserve"> event. This is linked to the acquisition of qualifying wealth over time. However, in all cases</w:t>
      </w:r>
      <w:r>
        <w:rPr>
          <w:rFonts w:asciiTheme="majorBidi" w:eastAsia="Times New Roman" w:hAnsiTheme="majorBidi" w:cstheme="majorBidi"/>
          <w:szCs w:val="24"/>
          <w:lang w:val="en-MY" w:eastAsia="en-MY"/>
        </w:rPr>
        <w:t xml:space="preserve">, the </w:t>
      </w:r>
      <w:proofErr w:type="spellStart"/>
      <w:r w:rsidR="003F1946">
        <w:rPr>
          <w:rFonts w:asciiTheme="majorBidi" w:eastAsia="Times New Roman" w:hAnsiTheme="majorBidi" w:cstheme="majorBidi"/>
          <w:szCs w:val="24"/>
          <w:lang w:val="en-MY" w:eastAsia="en-MY"/>
        </w:rPr>
        <w:t>niṣāb</w:t>
      </w:r>
      <w:proofErr w:type="spellEnd"/>
      <w:r>
        <w:rPr>
          <w:rFonts w:asciiTheme="majorBidi" w:eastAsia="Times New Roman" w:hAnsiTheme="majorBidi" w:cstheme="majorBidi"/>
          <w:szCs w:val="24"/>
          <w:lang w:val="en-MY" w:eastAsia="en-MY"/>
        </w:rPr>
        <w:t xml:space="preserve"> </w:t>
      </w:r>
      <w:r w:rsidR="007F3329">
        <w:rPr>
          <w:rFonts w:asciiTheme="majorBidi" w:eastAsia="Times New Roman" w:hAnsiTheme="majorBidi" w:cstheme="majorBidi"/>
          <w:szCs w:val="24"/>
          <w:lang w:val="en-MY" w:eastAsia="en-MY"/>
        </w:rPr>
        <w:t>need not be calculated on an average throughout the year, as some opinions hold that it need not be averaged</w:t>
      </w:r>
      <w:r>
        <w:rPr>
          <w:rFonts w:asciiTheme="majorBidi" w:eastAsia="Times New Roman" w:hAnsiTheme="majorBidi" w:cstheme="majorBidi"/>
          <w:szCs w:val="24"/>
          <w:lang w:val="en-MY" w:eastAsia="en-MY"/>
        </w:rPr>
        <w:t>;</w:t>
      </w:r>
      <w:r w:rsidRPr="00037C71">
        <w:rPr>
          <w:rFonts w:asciiTheme="majorBidi" w:eastAsia="Times New Roman" w:hAnsiTheme="majorBidi" w:cstheme="majorBidi"/>
          <w:szCs w:val="24"/>
          <w:lang w:val="en-MY" w:eastAsia="en-MY"/>
        </w:rPr>
        <w:t xml:space="preserve"> it is enough that it is present at the start and end of the year. However, the law of zakat is sensitive not only to the possession of the moment but also to the continuity of time (</w:t>
      </w:r>
      <w:proofErr w:type="spellStart"/>
      <w:r w:rsidRPr="00037C71">
        <w:rPr>
          <w:rFonts w:asciiTheme="majorBidi" w:eastAsia="Times New Roman" w:hAnsiTheme="majorBidi" w:cstheme="majorBidi"/>
          <w:szCs w:val="24"/>
          <w:lang w:val="en-MY" w:eastAsia="en-MY"/>
        </w:rPr>
        <w:t>ṣaḥwī</w:t>
      </w:r>
      <w:proofErr w:type="spellEnd"/>
      <w:r w:rsidRPr="00037C71">
        <w:rPr>
          <w:rFonts w:asciiTheme="majorBidi" w:eastAsia="Times New Roman" w:hAnsiTheme="majorBidi" w:cstheme="majorBidi"/>
          <w:szCs w:val="24"/>
          <w:lang w:val="en-MY" w:eastAsia="en-MY"/>
        </w:rPr>
        <w:t xml:space="preserve"> khayal), which is the principle of </w:t>
      </w:r>
      <w:proofErr w:type="spellStart"/>
      <w:r w:rsidRPr="00037C71">
        <w:rPr>
          <w:rFonts w:asciiTheme="majorBidi" w:eastAsia="Times New Roman" w:hAnsiTheme="majorBidi" w:cstheme="majorBidi"/>
          <w:szCs w:val="24"/>
          <w:lang w:val="en-MY" w:eastAsia="en-MY"/>
        </w:rPr>
        <w:t>ḥawl</w:t>
      </w:r>
      <w:proofErr w:type="spellEnd"/>
      <w:r w:rsidR="00073750">
        <w:rPr>
          <w:rFonts w:asciiTheme="majorBidi" w:eastAsia="Times New Roman" w:hAnsiTheme="majorBidi" w:cstheme="majorBidi"/>
          <w:szCs w:val="24"/>
          <w:lang w:val="en-MY" w:eastAsia="en-MY"/>
        </w:rPr>
        <w:t xml:space="preserve"> (</w:t>
      </w:r>
      <w:r w:rsidRPr="00037C71">
        <w:rPr>
          <w:rFonts w:asciiTheme="majorBidi" w:eastAsia="Times New Roman" w:hAnsiTheme="majorBidi" w:cstheme="majorBidi"/>
          <w:szCs w:val="24"/>
          <w:lang w:val="en-MY" w:eastAsia="en-MY"/>
        </w:rPr>
        <w:t>al-</w:t>
      </w:r>
      <w:proofErr w:type="spellStart"/>
      <w:r w:rsidRPr="00037C71">
        <w:rPr>
          <w:rFonts w:asciiTheme="majorBidi" w:eastAsia="Times New Roman" w:hAnsiTheme="majorBidi" w:cstheme="majorBidi"/>
          <w:szCs w:val="24"/>
          <w:lang w:val="en-MY" w:eastAsia="en-MY"/>
        </w:rPr>
        <w:t>Zuhayli</w:t>
      </w:r>
      <w:proofErr w:type="spellEnd"/>
      <w:r w:rsidRPr="00037C71">
        <w:rPr>
          <w:rFonts w:asciiTheme="majorBidi" w:eastAsia="Times New Roman" w:hAnsiTheme="majorBidi" w:cstheme="majorBidi"/>
          <w:szCs w:val="24"/>
          <w:lang w:val="en-MY" w:eastAsia="en-MY"/>
        </w:rPr>
        <w:t xml:space="preserve">, 1985; Ibn </w:t>
      </w:r>
      <w:proofErr w:type="spellStart"/>
      <w:r w:rsidRPr="00037C71">
        <w:rPr>
          <w:rFonts w:asciiTheme="majorBidi" w:eastAsia="Times New Roman" w:hAnsiTheme="majorBidi" w:cstheme="majorBidi"/>
          <w:szCs w:val="24"/>
          <w:lang w:val="en-MY" w:eastAsia="en-MY"/>
        </w:rPr>
        <w:t>Qudāmah</w:t>
      </w:r>
      <w:proofErr w:type="spellEnd"/>
      <w:r w:rsidRPr="00037C71">
        <w:rPr>
          <w:rFonts w:asciiTheme="majorBidi" w:eastAsia="Times New Roman" w:hAnsiTheme="majorBidi" w:cstheme="majorBidi"/>
          <w:szCs w:val="24"/>
          <w:lang w:val="en-MY" w:eastAsia="en-MY"/>
        </w:rPr>
        <w:t xml:space="preserve">, </w:t>
      </w:r>
      <w:r w:rsidR="00073750">
        <w:rPr>
          <w:rFonts w:asciiTheme="majorBidi" w:eastAsia="Times New Roman" w:hAnsiTheme="majorBidi" w:cstheme="majorBidi"/>
          <w:szCs w:val="24"/>
          <w:lang w:val="en-MY" w:eastAsia="en-MY"/>
        </w:rPr>
        <w:t>1968</w:t>
      </w:r>
      <w:r w:rsidRPr="00037C71">
        <w:rPr>
          <w:rFonts w:asciiTheme="majorBidi" w:eastAsia="Times New Roman" w:hAnsiTheme="majorBidi" w:cstheme="majorBidi"/>
          <w:szCs w:val="24"/>
          <w:lang w:val="en-MY" w:eastAsia="en-MY"/>
        </w:rPr>
        <w:t>).</w:t>
      </w:r>
    </w:p>
    <w:p w:rsidR="007F261A" w:rsidRDefault="00037C71" w:rsidP="007F261A">
      <w:pPr>
        <w:ind w:firstLine="720"/>
        <w:jc w:val="both"/>
        <w:rPr>
          <w:rFonts w:asciiTheme="majorBidi" w:eastAsia="Times New Roman" w:hAnsiTheme="majorBidi" w:cstheme="majorBidi"/>
          <w:szCs w:val="24"/>
          <w:lang w:val="en-MY" w:eastAsia="en-MY"/>
        </w:rPr>
      </w:pPr>
      <w:r w:rsidRPr="00037C71">
        <w:rPr>
          <w:rFonts w:asciiTheme="majorBidi" w:eastAsia="Times New Roman" w:hAnsiTheme="majorBidi" w:cstheme="majorBidi"/>
          <w:szCs w:val="24"/>
          <w:lang w:val="en-MY" w:eastAsia="en-MY"/>
        </w:rPr>
        <w:t xml:space="preserve">This is to substantiate the claim that </w:t>
      </w:r>
      <w:r>
        <w:rPr>
          <w:rFonts w:asciiTheme="majorBidi" w:eastAsia="Times New Roman" w:hAnsiTheme="majorBidi" w:cstheme="majorBidi"/>
          <w:szCs w:val="24"/>
          <w:lang w:val="en-MY" w:eastAsia="en-MY"/>
        </w:rPr>
        <w:t xml:space="preserve">time-period-based valuation of </w:t>
      </w:r>
      <w:proofErr w:type="spellStart"/>
      <w:r w:rsidR="003F1946">
        <w:rPr>
          <w:rFonts w:asciiTheme="majorBidi" w:eastAsia="Times New Roman" w:hAnsiTheme="majorBidi" w:cstheme="majorBidi"/>
          <w:szCs w:val="24"/>
          <w:lang w:val="en-MY" w:eastAsia="en-MY"/>
        </w:rPr>
        <w:t>niṣāb</w:t>
      </w:r>
      <w:proofErr w:type="spellEnd"/>
      <w:r>
        <w:rPr>
          <w:rFonts w:asciiTheme="majorBidi" w:eastAsia="Times New Roman" w:hAnsiTheme="majorBidi" w:cstheme="majorBidi"/>
          <w:szCs w:val="24"/>
          <w:lang w:val="en-MY" w:eastAsia="en-MY"/>
        </w:rPr>
        <w:t xml:space="preserve"> is also a legitimate method in today</w:t>
      </w:r>
      <w:r w:rsidR="00325619">
        <w:rPr>
          <w:rFonts w:asciiTheme="majorBidi" w:eastAsia="Times New Roman" w:hAnsiTheme="majorBidi" w:cstheme="majorBidi"/>
          <w:szCs w:val="24"/>
          <w:lang w:val="en-MY" w:eastAsia="en-MY"/>
        </w:rPr>
        <w:t>’</w:t>
      </w:r>
      <w:r>
        <w:rPr>
          <w:rFonts w:asciiTheme="majorBidi" w:eastAsia="Times New Roman" w:hAnsiTheme="majorBidi" w:cstheme="majorBidi"/>
          <w:szCs w:val="24"/>
          <w:lang w:val="en-MY" w:eastAsia="en-MY"/>
        </w:rPr>
        <w:t xml:space="preserve">s era and is not restricted to a point valuation of the </w:t>
      </w:r>
      <w:r w:rsidRPr="00037C71">
        <w:rPr>
          <w:rFonts w:asciiTheme="majorBidi" w:eastAsia="Times New Roman" w:hAnsiTheme="majorBidi" w:cstheme="majorBidi"/>
          <w:szCs w:val="24"/>
          <w:lang w:val="en-MY" w:eastAsia="en-MY"/>
        </w:rPr>
        <w:t xml:space="preserve">gold price. An administrative valuation with sufficient strength to capture the true economic capacity, and not just short-term intraday volatility, should be adopted if the obligation itself is time-based. That, however, is a cautious conclusion. According to the </w:t>
      </w:r>
      <w:proofErr w:type="spellStart"/>
      <w:r>
        <w:rPr>
          <w:rFonts w:asciiTheme="majorBidi" w:eastAsia="Times New Roman" w:hAnsiTheme="majorBidi" w:cstheme="majorBidi"/>
          <w:szCs w:val="24"/>
          <w:lang w:val="en-MY" w:eastAsia="en-MY"/>
        </w:rPr>
        <w:t>Sharīʿah</w:t>
      </w:r>
      <w:proofErr w:type="spellEnd"/>
      <w:r>
        <w:rPr>
          <w:rFonts w:asciiTheme="majorBidi" w:eastAsia="Times New Roman" w:hAnsiTheme="majorBidi" w:cstheme="majorBidi"/>
          <w:szCs w:val="24"/>
          <w:lang w:val="en-MY" w:eastAsia="en-MY"/>
        </w:rPr>
        <w:t xml:space="preserve">, </w:t>
      </w:r>
      <w:r w:rsidR="009B5949">
        <w:rPr>
          <w:rFonts w:asciiTheme="majorBidi" w:eastAsia="Times New Roman" w:hAnsiTheme="majorBidi" w:cstheme="majorBidi"/>
          <w:szCs w:val="24"/>
          <w:lang w:val="en-MY" w:eastAsia="en-MY"/>
        </w:rPr>
        <w:t>the authorities cannot</w:t>
      </w:r>
      <w:r>
        <w:rPr>
          <w:rFonts w:asciiTheme="majorBidi" w:eastAsia="Times New Roman" w:hAnsiTheme="majorBidi" w:cstheme="majorBidi"/>
          <w:szCs w:val="24"/>
          <w:lang w:val="en-MY" w:eastAsia="en-MY"/>
        </w:rPr>
        <w:t xml:space="preserve"> replace the gold </w:t>
      </w:r>
      <w:proofErr w:type="spellStart"/>
      <w:r w:rsidR="003F1946">
        <w:rPr>
          <w:rFonts w:asciiTheme="majorBidi" w:eastAsia="Times New Roman" w:hAnsiTheme="majorBidi" w:cstheme="majorBidi"/>
          <w:szCs w:val="24"/>
          <w:lang w:val="en-MY" w:eastAsia="en-MY"/>
        </w:rPr>
        <w:t>niṣāb</w:t>
      </w:r>
      <w:proofErr w:type="spellEnd"/>
      <w:r>
        <w:rPr>
          <w:rFonts w:asciiTheme="majorBidi" w:eastAsia="Times New Roman" w:hAnsiTheme="majorBidi" w:cstheme="majorBidi"/>
          <w:szCs w:val="24"/>
          <w:lang w:val="en-MY" w:eastAsia="en-MY"/>
        </w:rPr>
        <w:t xml:space="preserve"> with an arbitrary social policy</w:t>
      </w:r>
      <w:r w:rsidRPr="00037C71">
        <w:rPr>
          <w:rFonts w:asciiTheme="majorBidi" w:eastAsia="Times New Roman" w:hAnsiTheme="majorBidi" w:cstheme="majorBidi"/>
          <w:szCs w:val="24"/>
          <w:lang w:val="en-MY" w:eastAsia="en-MY"/>
        </w:rPr>
        <w:t xml:space="preserve"> amount. What it allows is for a fiat amount to be disciplined </w:t>
      </w:r>
      <w:r>
        <w:rPr>
          <w:rFonts w:asciiTheme="majorBidi" w:eastAsia="Times New Roman" w:hAnsiTheme="majorBidi" w:cstheme="majorBidi"/>
          <w:szCs w:val="24"/>
          <w:lang w:val="en-MY" w:eastAsia="en-MY"/>
        </w:rPr>
        <w:t>administratively</w:t>
      </w:r>
      <w:r w:rsidRPr="00037C71">
        <w:rPr>
          <w:rFonts w:asciiTheme="majorBidi" w:eastAsia="Times New Roman" w:hAnsiTheme="majorBidi" w:cstheme="majorBidi"/>
          <w:szCs w:val="24"/>
          <w:lang w:val="en-MY" w:eastAsia="en-MY"/>
        </w:rPr>
        <w:t xml:space="preserve"> through the quantity of gold. Hence, a published </w:t>
      </w:r>
      <w:proofErr w:type="spellStart"/>
      <w:r w:rsidR="003F1946">
        <w:rPr>
          <w:rFonts w:asciiTheme="majorBidi" w:eastAsia="Times New Roman" w:hAnsiTheme="majorBidi" w:cstheme="majorBidi"/>
          <w:szCs w:val="24"/>
          <w:lang w:val="en-MY" w:eastAsia="en-MY"/>
        </w:rPr>
        <w:t>niṣāb</w:t>
      </w:r>
      <w:proofErr w:type="spellEnd"/>
      <w:r w:rsidRPr="00037C71">
        <w:rPr>
          <w:rFonts w:asciiTheme="majorBidi" w:eastAsia="Times New Roman" w:hAnsiTheme="majorBidi" w:cstheme="majorBidi"/>
          <w:szCs w:val="24"/>
          <w:lang w:val="en-MY" w:eastAsia="en-MY"/>
        </w:rPr>
        <w:t xml:space="preserve"> that is clearly associated </w:t>
      </w:r>
      <w:r>
        <w:rPr>
          <w:rFonts w:asciiTheme="majorBidi" w:eastAsia="Times New Roman" w:hAnsiTheme="majorBidi" w:cstheme="majorBidi"/>
          <w:szCs w:val="24"/>
          <w:lang w:val="en-MY" w:eastAsia="en-MY"/>
        </w:rPr>
        <w:t>with the recognised weight of gold and a reliable basis for determining the actual market price through a published formula for the cost and weight of gold could be considered legitimate and valid, such as a monthly, quarterly,</w:t>
      </w:r>
      <w:r w:rsidRPr="00037C71">
        <w:rPr>
          <w:rFonts w:asciiTheme="majorBidi" w:eastAsia="Times New Roman" w:hAnsiTheme="majorBidi" w:cstheme="majorBidi"/>
          <w:szCs w:val="24"/>
          <w:lang w:val="en-MY" w:eastAsia="en-MY"/>
        </w:rPr>
        <w:t xml:space="preserve"> or annual </w:t>
      </w:r>
      <w:proofErr w:type="spellStart"/>
      <w:r w:rsidR="003F1946">
        <w:rPr>
          <w:rFonts w:asciiTheme="majorBidi" w:eastAsia="Times New Roman" w:hAnsiTheme="majorBidi" w:cstheme="majorBidi"/>
          <w:szCs w:val="24"/>
          <w:lang w:val="en-MY" w:eastAsia="en-MY"/>
        </w:rPr>
        <w:t>niṣāb</w:t>
      </w:r>
      <w:proofErr w:type="spellEnd"/>
      <w:r w:rsidRPr="00037C71">
        <w:rPr>
          <w:rFonts w:asciiTheme="majorBidi" w:eastAsia="Times New Roman" w:hAnsiTheme="majorBidi" w:cstheme="majorBidi"/>
          <w:szCs w:val="24"/>
          <w:lang w:val="en-MY" w:eastAsia="en-MY"/>
        </w:rPr>
        <w:t xml:space="preserve">. (Baharudin, 2023; </w:t>
      </w:r>
      <w:proofErr w:type="spellStart"/>
      <w:r w:rsidRPr="00037C71">
        <w:rPr>
          <w:rFonts w:asciiTheme="majorBidi" w:eastAsia="Times New Roman" w:hAnsiTheme="majorBidi" w:cstheme="majorBidi"/>
          <w:szCs w:val="24"/>
          <w:lang w:val="en-MY" w:eastAsia="en-MY"/>
        </w:rPr>
        <w:t>Kamali</w:t>
      </w:r>
      <w:proofErr w:type="spellEnd"/>
      <w:r w:rsidRPr="00037C71">
        <w:rPr>
          <w:rFonts w:asciiTheme="majorBidi" w:eastAsia="Times New Roman" w:hAnsiTheme="majorBidi" w:cstheme="majorBidi"/>
          <w:szCs w:val="24"/>
          <w:lang w:val="en-MY" w:eastAsia="en-MY"/>
        </w:rPr>
        <w:t>, 2008; al-</w:t>
      </w:r>
      <w:proofErr w:type="spellStart"/>
      <w:r w:rsidRPr="00037C71">
        <w:rPr>
          <w:rFonts w:asciiTheme="majorBidi" w:eastAsia="Times New Roman" w:hAnsiTheme="majorBidi" w:cstheme="majorBidi"/>
          <w:szCs w:val="24"/>
          <w:lang w:val="en-MY" w:eastAsia="en-MY"/>
        </w:rPr>
        <w:t>Qaradawi</w:t>
      </w:r>
      <w:proofErr w:type="spellEnd"/>
      <w:r w:rsidRPr="00037C71">
        <w:rPr>
          <w:rFonts w:asciiTheme="majorBidi" w:eastAsia="Times New Roman" w:hAnsiTheme="majorBidi" w:cstheme="majorBidi"/>
          <w:szCs w:val="24"/>
          <w:lang w:val="en-MY" w:eastAsia="en-MY"/>
        </w:rPr>
        <w:t>, 1999)</w:t>
      </w:r>
      <w:r w:rsidR="007F261A">
        <w:rPr>
          <w:rFonts w:asciiTheme="majorBidi" w:eastAsia="Times New Roman" w:hAnsiTheme="majorBidi" w:cstheme="majorBidi"/>
          <w:szCs w:val="24"/>
          <w:lang w:val="en-MY" w:eastAsia="en-MY"/>
        </w:rPr>
        <w:t>.</w:t>
      </w:r>
    </w:p>
    <w:p w:rsidR="00133221" w:rsidRPr="007F261A" w:rsidRDefault="00B808DC" w:rsidP="007F261A">
      <w:pPr>
        <w:ind w:firstLine="720"/>
        <w:jc w:val="both"/>
        <w:rPr>
          <w:rFonts w:asciiTheme="majorBidi" w:eastAsia="Times New Roman" w:hAnsiTheme="majorBidi" w:cstheme="majorBidi"/>
          <w:szCs w:val="24"/>
          <w:lang w:val="en-MY" w:eastAsia="en-MY"/>
        </w:rPr>
      </w:pPr>
      <w:r w:rsidRPr="00B808DC">
        <w:rPr>
          <w:rFonts w:asciiTheme="majorBidi" w:eastAsia="Times New Roman" w:hAnsiTheme="majorBidi" w:cstheme="majorBidi"/>
          <w:szCs w:val="24"/>
          <w:lang w:val="en-MY" w:eastAsia="en-MY"/>
        </w:rPr>
        <w:t>The idea is that the fiat expression is not immutable</w:t>
      </w:r>
      <w:r w:rsidR="00325619">
        <w:rPr>
          <w:rFonts w:asciiTheme="majorBidi" w:eastAsia="Times New Roman" w:hAnsiTheme="majorBidi" w:cstheme="majorBidi"/>
          <w:szCs w:val="24"/>
          <w:lang w:val="en-MY" w:eastAsia="en-MY"/>
        </w:rPr>
        <w:t>,</w:t>
      </w:r>
      <w:r w:rsidRPr="00B808DC">
        <w:rPr>
          <w:rFonts w:asciiTheme="majorBidi" w:eastAsia="Times New Roman" w:hAnsiTheme="majorBidi" w:cstheme="majorBidi"/>
          <w:szCs w:val="24"/>
          <w:lang w:val="en-MY" w:eastAsia="en-MY"/>
        </w:rPr>
        <w:t xml:space="preserve"> but the referent, the </w:t>
      </w:r>
      <w:proofErr w:type="spellStart"/>
      <w:r w:rsidRPr="00B808DC">
        <w:rPr>
          <w:rFonts w:asciiTheme="majorBidi" w:eastAsia="Times New Roman" w:hAnsiTheme="majorBidi" w:cstheme="majorBidi"/>
          <w:szCs w:val="24"/>
          <w:lang w:val="en-MY" w:eastAsia="en-MY"/>
        </w:rPr>
        <w:t>Sharīʾah</w:t>
      </w:r>
      <w:proofErr w:type="spellEnd"/>
      <w:r w:rsidRPr="00B808DC">
        <w:rPr>
          <w:rFonts w:asciiTheme="majorBidi" w:eastAsia="Times New Roman" w:hAnsiTheme="majorBidi" w:cstheme="majorBidi"/>
          <w:szCs w:val="24"/>
          <w:lang w:val="en-MY" w:eastAsia="en-MY"/>
        </w:rPr>
        <w:t xml:space="preserve">, is. The norming element is still the quantity of gold. The currency value is an administrative expression which changes. This is an effort to keep the traditional legal wording in the </w:t>
      </w:r>
      <w:proofErr w:type="spellStart"/>
      <w:r w:rsidRPr="00B808DC">
        <w:rPr>
          <w:rFonts w:asciiTheme="majorBidi" w:eastAsia="Times New Roman" w:hAnsiTheme="majorBidi" w:cstheme="majorBidi"/>
          <w:szCs w:val="24"/>
          <w:lang w:val="en-MY" w:eastAsia="en-MY"/>
        </w:rPr>
        <w:t>zakaat</w:t>
      </w:r>
      <w:proofErr w:type="spellEnd"/>
      <w:r w:rsidRPr="00B808DC">
        <w:rPr>
          <w:rFonts w:asciiTheme="majorBidi" w:eastAsia="Times New Roman" w:hAnsiTheme="majorBidi" w:cstheme="majorBidi"/>
          <w:szCs w:val="24"/>
          <w:lang w:val="en-MY" w:eastAsia="en-MY"/>
        </w:rPr>
        <w:t xml:space="preserve"> text consistent with the principles and</w:t>
      </w:r>
      <w:r w:rsidR="00325619">
        <w:rPr>
          <w:rFonts w:asciiTheme="majorBidi" w:eastAsia="Times New Roman" w:hAnsiTheme="majorBidi" w:cstheme="majorBidi"/>
          <w:szCs w:val="24"/>
          <w:lang w:val="en-MY" w:eastAsia="en-MY"/>
        </w:rPr>
        <w:t>, at the same time,</w:t>
      </w:r>
      <w:r w:rsidRPr="00B808DC">
        <w:rPr>
          <w:rFonts w:asciiTheme="majorBidi" w:eastAsia="Times New Roman" w:hAnsiTheme="majorBidi" w:cstheme="majorBidi"/>
          <w:szCs w:val="24"/>
          <w:lang w:val="en-MY" w:eastAsia="en-MY"/>
        </w:rPr>
        <w:t xml:space="preserve"> acknowledge the institutional reality of the modern administration of zakat. It also </w:t>
      </w:r>
      <w:r w:rsidR="00325619">
        <w:rPr>
          <w:rFonts w:asciiTheme="majorBidi" w:eastAsia="Times New Roman" w:hAnsiTheme="majorBidi" w:cstheme="majorBidi"/>
          <w:szCs w:val="24"/>
          <w:lang w:val="en-MY" w:eastAsia="en-MY"/>
        </w:rPr>
        <w:t xml:space="preserve">provides a good reason for assessing the current practice: a valid policy of </w:t>
      </w:r>
      <w:proofErr w:type="spellStart"/>
      <w:r w:rsidR="00325619">
        <w:rPr>
          <w:rFonts w:asciiTheme="majorBidi" w:eastAsia="Times New Roman" w:hAnsiTheme="majorBidi" w:cstheme="majorBidi"/>
          <w:szCs w:val="24"/>
          <w:lang w:val="en-MY" w:eastAsia="en-MY"/>
        </w:rPr>
        <w:t>niṣāb</w:t>
      </w:r>
      <w:proofErr w:type="spellEnd"/>
      <w:r w:rsidR="00325619">
        <w:rPr>
          <w:rFonts w:asciiTheme="majorBidi" w:eastAsia="Times New Roman" w:hAnsiTheme="majorBidi" w:cstheme="majorBidi"/>
          <w:szCs w:val="24"/>
          <w:lang w:val="en-MY" w:eastAsia="en-MY"/>
        </w:rPr>
        <w:t xml:space="preserve"> should determine a benchmark gold price, its origin, the revision period, the underlying rationale for smoothing, and </w:t>
      </w:r>
      <w:r w:rsidRPr="00B808DC">
        <w:rPr>
          <w:rFonts w:asciiTheme="majorBidi" w:eastAsia="Times New Roman" w:hAnsiTheme="majorBidi" w:cstheme="majorBidi"/>
          <w:szCs w:val="24"/>
          <w:lang w:val="en-MY" w:eastAsia="en-MY"/>
        </w:rPr>
        <w:t>be applied regularly.</w:t>
      </w:r>
      <w:r w:rsidR="007F261A">
        <w:rPr>
          <w:rFonts w:asciiTheme="majorBidi" w:eastAsia="Times New Roman" w:hAnsiTheme="majorBidi" w:cstheme="majorBidi"/>
          <w:szCs w:val="24"/>
          <w:lang w:val="en-MY" w:eastAsia="en-MY"/>
        </w:rPr>
        <w:t xml:space="preserve"> Essentially, without these elements, the published </w:t>
      </w:r>
      <w:proofErr w:type="spellStart"/>
      <w:r w:rsidR="003F1946">
        <w:rPr>
          <w:rFonts w:asciiTheme="majorBidi" w:eastAsia="Times New Roman" w:hAnsiTheme="majorBidi" w:cstheme="majorBidi"/>
          <w:szCs w:val="24"/>
          <w:lang w:val="en-MY" w:eastAsia="en-MY"/>
        </w:rPr>
        <w:t>niṣāb</w:t>
      </w:r>
      <w:proofErr w:type="spellEnd"/>
      <w:r w:rsidR="007F261A">
        <w:rPr>
          <w:rFonts w:asciiTheme="majorBidi" w:eastAsia="Times New Roman" w:hAnsiTheme="majorBidi" w:cstheme="majorBidi"/>
          <w:szCs w:val="24"/>
          <w:lang w:val="en-MY" w:eastAsia="en-MY"/>
        </w:rPr>
        <w:t xml:space="preserve"> might become a figure subject to discretion rather than a clear interpretation of a well-defined rule outlined in the </w:t>
      </w:r>
      <w:proofErr w:type="spellStart"/>
      <w:r w:rsidR="007F261A">
        <w:rPr>
          <w:rFonts w:asciiTheme="majorBidi" w:eastAsia="Times New Roman" w:hAnsiTheme="majorBidi" w:cstheme="majorBidi"/>
          <w:szCs w:val="24"/>
          <w:lang w:val="en-MY" w:eastAsia="en-MY"/>
        </w:rPr>
        <w:t>Sharīʾah</w:t>
      </w:r>
      <w:proofErr w:type="spellEnd"/>
      <w:r w:rsidR="007F261A">
        <w:rPr>
          <w:rFonts w:asciiTheme="majorBidi" w:eastAsia="Times New Roman" w:hAnsiTheme="majorBidi" w:cstheme="majorBidi"/>
          <w:szCs w:val="24"/>
          <w:lang w:val="en-MY" w:eastAsia="en-MY"/>
        </w:rPr>
        <w:t>.</w:t>
      </w:r>
    </w:p>
    <w:p w:rsidR="002A4AEB" w:rsidRPr="009B5519" w:rsidRDefault="00186F89" w:rsidP="00E42491">
      <w:pPr>
        <w:pStyle w:val="Heading1"/>
        <w:spacing w:before="0"/>
        <w:jc w:val="both"/>
        <w:rPr>
          <w:rFonts w:asciiTheme="majorBidi" w:hAnsiTheme="majorBidi"/>
          <w:color w:val="auto"/>
          <w:sz w:val="24"/>
          <w:szCs w:val="24"/>
          <w:lang w:val="en-MY"/>
        </w:rPr>
      </w:pPr>
      <w:r>
        <w:rPr>
          <w:rFonts w:asciiTheme="majorBidi" w:hAnsiTheme="majorBidi"/>
          <w:color w:val="auto"/>
          <w:sz w:val="24"/>
          <w:szCs w:val="24"/>
          <w:lang w:val="en-MY"/>
        </w:rPr>
        <w:t>6</w:t>
      </w:r>
      <w:r w:rsidR="003B4FC0" w:rsidRPr="009B5519">
        <w:rPr>
          <w:rFonts w:asciiTheme="majorBidi" w:hAnsiTheme="majorBidi"/>
          <w:color w:val="auto"/>
          <w:sz w:val="24"/>
          <w:szCs w:val="24"/>
          <w:lang w:val="en-MY"/>
        </w:rPr>
        <w:t xml:space="preserve">. </w:t>
      </w:r>
      <w:r w:rsidR="009B5519" w:rsidRPr="009B5519">
        <w:rPr>
          <w:rFonts w:asciiTheme="majorBidi" w:hAnsiTheme="majorBidi"/>
          <w:color w:val="auto"/>
          <w:sz w:val="24"/>
          <w:szCs w:val="24"/>
          <w:lang w:val="en-MY"/>
        </w:rPr>
        <w:t xml:space="preserve">TOWARD A </w:t>
      </w:r>
      <w:r w:rsidR="003F1946">
        <w:rPr>
          <w:rFonts w:asciiTheme="majorBidi" w:hAnsiTheme="majorBidi"/>
          <w:color w:val="auto"/>
          <w:sz w:val="24"/>
          <w:szCs w:val="24"/>
          <w:lang w:val="en-MY"/>
        </w:rPr>
        <w:t>NIṢĀB</w:t>
      </w:r>
      <w:r w:rsidR="009B5519" w:rsidRPr="009B5519">
        <w:rPr>
          <w:rFonts w:asciiTheme="majorBidi" w:hAnsiTheme="majorBidi"/>
          <w:color w:val="auto"/>
          <w:sz w:val="24"/>
          <w:szCs w:val="24"/>
          <w:lang w:val="en-MY"/>
        </w:rPr>
        <w:t xml:space="preserve"> GOVERNANCE UNDER STRUCTURAL REPRICING FRAMEWORK</w:t>
      </w:r>
    </w:p>
    <w:p w:rsidR="00FB684B" w:rsidRDefault="00FB684B" w:rsidP="00E42491">
      <w:pPr>
        <w:jc w:val="both"/>
        <w:rPr>
          <w:rFonts w:asciiTheme="majorBidi" w:hAnsiTheme="majorBidi" w:cstheme="majorBidi"/>
          <w:szCs w:val="24"/>
          <w:lang w:val="en-MY"/>
        </w:rPr>
      </w:pPr>
      <w:r w:rsidRPr="009B5519">
        <w:rPr>
          <w:rFonts w:asciiTheme="majorBidi" w:hAnsiTheme="majorBidi" w:cstheme="majorBidi"/>
          <w:szCs w:val="24"/>
          <w:lang w:val="en-MY"/>
        </w:rPr>
        <w:t xml:space="preserve">The proposed framework </w:t>
      </w:r>
      <w:r w:rsidR="00E42491" w:rsidRPr="009B5519">
        <w:rPr>
          <w:rFonts w:asciiTheme="majorBidi" w:hAnsiTheme="majorBidi" w:cstheme="majorBidi"/>
          <w:szCs w:val="24"/>
          <w:lang w:val="en-MY"/>
        </w:rPr>
        <w:t xml:space="preserve">comprises four layers and also draws conceptually on </w:t>
      </w:r>
      <w:r w:rsidRPr="009B5519">
        <w:rPr>
          <w:rFonts w:asciiTheme="majorBidi" w:hAnsiTheme="majorBidi" w:cstheme="majorBidi"/>
          <w:szCs w:val="24"/>
          <w:lang w:val="en-MY"/>
        </w:rPr>
        <w:t xml:space="preserve">zakat governance logic, </w:t>
      </w:r>
      <w:proofErr w:type="spellStart"/>
      <w:r w:rsidR="003F1946" w:rsidRPr="001D1A09">
        <w:t>Sharīʾah</w:t>
      </w:r>
      <w:proofErr w:type="spellEnd"/>
      <w:r w:rsidRPr="009B5519">
        <w:rPr>
          <w:rFonts w:asciiTheme="majorBidi" w:hAnsiTheme="majorBidi" w:cstheme="majorBidi"/>
          <w:szCs w:val="24"/>
          <w:lang w:val="en-MY"/>
        </w:rPr>
        <w:t xml:space="preserve">, and Islamic social finance accountability (Bank Indonesia &amp; BAZNAS, 2020; </w:t>
      </w:r>
      <w:r w:rsidRPr="009B5519">
        <w:rPr>
          <w:rFonts w:asciiTheme="majorBidi" w:hAnsiTheme="majorBidi" w:cstheme="majorBidi"/>
          <w:szCs w:val="24"/>
          <w:lang w:val="en-MY"/>
        </w:rPr>
        <w:lastRenderedPageBreak/>
        <w:t xml:space="preserve">Organisation of Islamic Cooperation, 2023; AAOIFI, 2017). The first is the </w:t>
      </w:r>
      <w:r w:rsidR="00325619">
        <w:rPr>
          <w:rFonts w:asciiTheme="majorBidi" w:hAnsiTheme="majorBidi" w:cstheme="majorBidi"/>
          <w:szCs w:val="24"/>
          <w:lang w:val="en-MY"/>
        </w:rPr>
        <w:t>“</w:t>
      </w:r>
      <w:r w:rsidRPr="009B5519">
        <w:rPr>
          <w:rFonts w:asciiTheme="majorBidi" w:hAnsiTheme="majorBidi" w:cstheme="majorBidi"/>
          <w:szCs w:val="24"/>
          <w:lang w:val="en-MY"/>
        </w:rPr>
        <w:t>market-price</w:t>
      </w:r>
      <w:r w:rsidR="00325619">
        <w:rPr>
          <w:rFonts w:asciiTheme="majorBidi" w:hAnsiTheme="majorBidi" w:cstheme="majorBidi"/>
          <w:szCs w:val="24"/>
          <w:lang w:val="en-MY"/>
        </w:rPr>
        <w:t>”</w:t>
      </w:r>
      <w:r w:rsidRPr="009B5519">
        <w:rPr>
          <w:rFonts w:asciiTheme="majorBidi" w:hAnsiTheme="majorBidi" w:cstheme="majorBidi"/>
          <w:szCs w:val="24"/>
          <w:lang w:val="en-MY"/>
        </w:rPr>
        <w:t xml:space="preserve"> layer, which refers to trustworthy sources of market prices</w:t>
      </w:r>
      <w:r w:rsidR="00E42491" w:rsidRPr="009B5519">
        <w:rPr>
          <w:rFonts w:asciiTheme="majorBidi" w:hAnsiTheme="majorBidi" w:cstheme="majorBidi"/>
          <w:szCs w:val="24"/>
          <w:lang w:val="en-MY"/>
        </w:rPr>
        <w:t xml:space="preserve">, such as </w:t>
      </w:r>
      <w:r w:rsidR="004D4E47" w:rsidRPr="004D4E47">
        <w:rPr>
          <w:rFonts w:asciiTheme="majorBidi" w:hAnsiTheme="majorBidi" w:cstheme="majorBidi"/>
          <w:szCs w:val="24"/>
          <w:lang w:val="en-MY"/>
        </w:rPr>
        <w:t>London Bullion Market Association</w:t>
      </w:r>
      <w:r w:rsidR="004D4E47">
        <w:rPr>
          <w:rFonts w:asciiTheme="majorBidi" w:hAnsiTheme="majorBidi" w:cstheme="majorBidi"/>
          <w:szCs w:val="24"/>
          <w:lang w:val="en-MY"/>
        </w:rPr>
        <w:t xml:space="preserve"> (</w:t>
      </w:r>
      <w:r w:rsidR="00E42491" w:rsidRPr="009B5519">
        <w:rPr>
          <w:rFonts w:asciiTheme="majorBidi" w:hAnsiTheme="majorBidi" w:cstheme="majorBidi"/>
          <w:szCs w:val="24"/>
          <w:lang w:val="en-MY"/>
        </w:rPr>
        <w:t>LBMA</w:t>
      </w:r>
      <w:r w:rsidR="004D4E47">
        <w:rPr>
          <w:rFonts w:asciiTheme="majorBidi" w:hAnsiTheme="majorBidi" w:cstheme="majorBidi"/>
          <w:szCs w:val="24"/>
          <w:lang w:val="en-MY"/>
        </w:rPr>
        <w:t>)</w:t>
      </w:r>
      <w:r w:rsidR="00E42491" w:rsidRPr="009B5519">
        <w:rPr>
          <w:rFonts w:asciiTheme="majorBidi" w:hAnsiTheme="majorBidi" w:cstheme="majorBidi"/>
          <w:szCs w:val="24"/>
          <w:lang w:val="en-MY"/>
        </w:rPr>
        <w:t xml:space="preserve"> benchmark prices, recognised bullion-market prices,</w:t>
      </w:r>
      <w:r w:rsidRPr="009B5519">
        <w:rPr>
          <w:rFonts w:asciiTheme="majorBidi" w:hAnsiTheme="majorBidi" w:cstheme="majorBidi"/>
          <w:szCs w:val="24"/>
          <w:lang w:val="en-MY"/>
        </w:rPr>
        <w:t xml:space="preserve"> or institutional gold-price references. The second is the </w:t>
      </w:r>
      <w:r w:rsidR="00E42491" w:rsidRPr="009B5519">
        <w:rPr>
          <w:rFonts w:asciiTheme="majorBidi" w:hAnsiTheme="majorBidi" w:cstheme="majorBidi"/>
          <w:szCs w:val="24"/>
          <w:lang w:val="en-MY"/>
        </w:rPr>
        <w:t>juristic threshold, which has provided the legal basis for</w:t>
      </w:r>
      <w:r w:rsidRPr="009B5519">
        <w:rPr>
          <w:rFonts w:asciiTheme="majorBidi" w:hAnsiTheme="majorBidi" w:cstheme="majorBidi"/>
          <w:szCs w:val="24"/>
          <w:lang w:val="en-MY"/>
        </w:rPr>
        <w:t xml:space="preserve"> the gold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and the gram equivalent adopted by the authority. The third is the level of </w:t>
      </w:r>
      <w:r w:rsidR="00E42491" w:rsidRPr="009B5519">
        <w:rPr>
          <w:rFonts w:asciiTheme="majorBidi" w:hAnsiTheme="majorBidi" w:cstheme="majorBidi"/>
          <w:szCs w:val="24"/>
          <w:lang w:val="en-MY"/>
        </w:rPr>
        <w:t>administrative governance: does the institution operate on spot price or moving-average price, with monthly announcements, annual thresholds</w:t>
      </w:r>
      <w:r w:rsidRPr="009B5519">
        <w:rPr>
          <w:rFonts w:asciiTheme="majorBidi" w:hAnsiTheme="majorBidi" w:cstheme="majorBidi"/>
          <w:szCs w:val="24"/>
          <w:lang w:val="en-MY"/>
        </w:rPr>
        <w:t xml:space="preserve">, or corridor rules? The fourth layer monitored the effect of the </w:t>
      </w:r>
      <w:r w:rsidR="00E42491" w:rsidRPr="009B5519">
        <w:rPr>
          <w:rFonts w:asciiTheme="majorBidi" w:hAnsiTheme="majorBidi" w:cstheme="majorBidi"/>
          <w:szCs w:val="24"/>
          <w:lang w:val="en-MY"/>
        </w:rPr>
        <w:t>chosen method on the number of people who pay zakat, the level of collection, and the well-being of beneficiaries, known as</w:t>
      </w:r>
      <w:r w:rsidRPr="009B5519">
        <w:rPr>
          <w:rFonts w:asciiTheme="majorBidi" w:hAnsiTheme="majorBidi" w:cstheme="majorBidi"/>
          <w:szCs w:val="24"/>
          <w:lang w:val="en-MY"/>
        </w:rPr>
        <w:t xml:space="preserve"> the distributive-impact layer.</w:t>
      </w:r>
      <w:r w:rsidR="007F261A">
        <w:rPr>
          <w:rFonts w:asciiTheme="majorBidi" w:hAnsiTheme="majorBidi" w:cstheme="majorBidi"/>
          <w:szCs w:val="24"/>
          <w:lang w:val="en-MY"/>
        </w:rPr>
        <w:t xml:space="preserve"> </w:t>
      </w:r>
      <w:r w:rsidR="001A6ACA">
        <w:rPr>
          <w:rFonts w:asciiTheme="majorBidi" w:hAnsiTheme="majorBidi" w:cstheme="majorBidi"/>
          <w:szCs w:val="24"/>
          <w:lang w:val="en-MY"/>
        </w:rPr>
        <w:t xml:space="preserve">Table 2 presents the governance framework for </w:t>
      </w:r>
      <w:r w:rsidR="008E1C51">
        <w:rPr>
          <w:rFonts w:asciiTheme="majorBidi" w:hAnsiTheme="majorBidi" w:cstheme="majorBidi"/>
          <w:szCs w:val="24"/>
          <w:lang w:val="en-MY"/>
        </w:rPr>
        <w:t xml:space="preserve">determining zakat </w:t>
      </w:r>
      <w:proofErr w:type="spellStart"/>
      <w:r w:rsidR="003F1946">
        <w:rPr>
          <w:rFonts w:asciiTheme="majorBidi" w:hAnsiTheme="majorBidi" w:cstheme="majorBidi"/>
          <w:szCs w:val="24"/>
          <w:lang w:val="en-MY"/>
        </w:rPr>
        <w:t>niṣāb</w:t>
      </w:r>
      <w:proofErr w:type="spellEnd"/>
      <w:r w:rsidR="008E1C51">
        <w:rPr>
          <w:rFonts w:asciiTheme="majorBidi" w:hAnsiTheme="majorBidi" w:cstheme="majorBidi"/>
          <w:szCs w:val="24"/>
          <w:lang w:val="en-MY"/>
        </w:rPr>
        <w:t xml:space="preserve"> based on gold prices</w:t>
      </w:r>
      <w:r w:rsidR="007F261A">
        <w:rPr>
          <w:rFonts w:asciiTheme="majorBidi" w:hAnsiTheme="majorBidi" w:cstheme="majorBidi"/>
          <w:szCs w:val="24"/>
          <w:lang w:val="en-MY"/>
        </w:rPr>
        <w:t>.</w:t>
      </w:r>
    </w:p>
    <w:p w:rsidR="009B5519" w:rsidRPr="009B5519" w:rsidRDefault="007F261A" w:rsidP="007F261A">
      <w:pPr>
        <w:jc w:val="center"/>
        <w:rPr>
          <w:rFonts w:asciiTheme="majorBidi" w:hAnsiTheme="majorBidi" w:cstheme="majorBidi"/>
          <w:szCs w:val="24"/>
          <w:lang w:val="en-MY"/>
        </w:rPr>
      </w:pPr>
      <w:r>
        <w:rPr>
          <w:rFonts w:asciiTheme="majorBidi" w:hAnsiTheme="majorBidi" w:cstheme="majorBidi"/>
          <w:szCs w:val="24"/>
          <w:lang w:val="en-MY"/>
        </w:rPr>
        <w:t xml:space="preserve">Table 2: </w:t>
      </w:r>
      <w:r w:rsidRPr="007F261A">
        <w:rPr>
          <w:rFonts w:asciiTheme="majorBidi" w:hAnsiTheme="majorBidi" w:cstheme="majorBidi"/>
          <w:szCs w:val="24"/>
          <w:lang w:val="en-MY"/>
        </w:rPr>
        <w:t xml:space="preserve">A Governance Framework for Determining Zakat </w:t>
      </w:r>
      <w:proofErr w:type="spellStart"/>
      <w:r w:rsidR="003F1946">
        <w:rPr>
          <w:rFonts w:asciiTheme="majorBidi" w:hAnsiTheme="majorBidi" w:cstheme="majorBidi"/>
          <w:szCs w:val="24"/>
          <w:lang w:val="en-MY"/>
        </w:rPr>
        <w:t>Niṣāb</w:t>
      </w:r>
      <w:proofErr w:type="spellEnd"/>
      <w:r w:rsidRPr="007F261A">
        <w:rPr>
          <w:rFonts w:asciiTheme="majorBidi" w:hAnsiTheme="majorBidi" w:cstheme="majorBidi"/>
          <w:szCs w:val="24"/>
          <w:lang w:val="en-MY"/>
        </w:rPr>
        <w:t xml:space="preserve"> Based on Gold Prices</w:t>
      </w:r>
    </w:p>
    <w:tbl>
      <w:tblPr>
        <w:tblStyle w:val="TableGrid"/>
        <w:tblW w:w="0" w:type="auto"/>
        <w:jc w:val="center"/>
        <w:tblLook w:val="04A0" w:firstRow="1" w:lastRow="0" w:firstColumn="1" w:lastColumn="0" w:noHBand="0" w:noVBand="1"/>
      </w:tblPr>
      <w:tblGrid>
        <w:gridCol w:w="1736"/>
        <w:gridCol w:w="1775"/>
        <w:gridCol w:w="2409"/>
        <w:gridCol w:w="2268"/>
      </w:tblGrid>
      <w:tr w:rsidR="00AB4297" w:rsidRPr="009B5519" w:rsidTr="009751BE">
        <w:trPr>
          <w:jc w:val="center"/>
        </w:trPr>
        <w:tc>
          <w:tcPr>
            <w:tcW w:w="1736"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b/>
                <w:szCs w:val="24"/>
                <w:lang w:val="en-MY"/>
              </w:rPr>
              <w:t>Layer</w:t>
            </w:r>
          </w:p>
        </w:tc>
        <w:tc>
          <w:tcPr>
            <w:tcW w:w="1775"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b/>
                <w:szCs w:val="24"/>
                <w:lang w:val="en-MY"/>
              </w:rPr>
              <w:t xml:space="preserve">Key </w:t>
            </w:r>
            <w:r w:rsidR="007F261A" w:rsidRPr="009B5519">
              <w:rPr>
                <w:rFonts w:asciiTheme="majorBidi" w:hAnsiTheme="majorBidi" w:cstheme="majorBidi"/>
                <w:b/>
                <w:szCs w:val="24"/>
                <w:lang w:val="en-MY"/>
              </w:rPr>
              <w:t>Question</w:t>
            </w:r>
          </w:p>
        </w:tc>
        <w:tc>
          <w:tcPr>
            <w:tcW w:w="2409"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b/>
                <w:szCs w:val="24"/>
                <w:lang w:val="en-MY"/>
              </w:rPr>
              <w:t xml:space="preserve">Required </w:t>
            </w:r>
            <w:r w:rsidR="007F261A" w:rsidRPr="009B5519">
              <w:rPr>
                <w:rFonts w:asciiTheme="majorBidi" w:hAnsiTheme="majorBidi" w:cstheme="majorBidi"/>
                <w:b/>
                <w:szCs w:val="24"/>
                <w:lang w:val="en-MY"/>
              </w:rPr>
              <w:t>Evidence</w:t>
            </w:r>
          </w:p>
        </w:tc>
        <w:tc>
          <w:tcPr>
            <w:tcW w:w="2268" w:type="dxa"/>
          </w:tcPr>
          <w:p w:rsidR="002A4AEB" w:rsidRDefault="003B4FC0" w:rsidP="007F261A">
            <w:pPr>
              <w:rPr>
                <w:rFonts w:asciiTheme="majorBidi" w:hAnsiTheme="majorBidi" w:cstheme="majorBidi"/>
                <w:b/>
                <w:szCs w:val="24"/>
                <w:lang w:val="en-MY"/>
              </w:rPr>
            </w:pPr>
            <w:r w:rsidRPr="009B5519">
              <w:rPr>
                <w:rFonts w:asciiTheme="majorBidi" w:hAnsiTheme="majorBidi" w:cstheme="majorBidi"/>
                <w:b/>
                <w:szCs w:val="24"/>
                <w:lang w:val="en-MY"/>
              </w:rPr>
              <w:t xml:space="preserve">Governance </w:t>
            </w:r>
            <w:r w:rsidR="007F261A" w:rsidRPr="009B5519">
              <w:rPr>
                <w:rFonts w:asciiTheme="majorBidi" w:hAnsiTheme="majorBidi" w:cstheme="majorBidi"/>
                <w:b/>
                <w:szCs w:val="24"/>
                <w:lang w:val="en-MY"/>
              </w:rPr>
              <w:t>Output</w:t>
            </w:r>
          </w:p>
          <w:p w:rsidR="007F261A" w:rsidRPr="009B5519" w:rsidRDefault="007F261A" w:rsidP="007F261A">
            <w:pPr>
              <w:rPr>
                <w:rFonts w:asciiTheme="majorBidi" w:hAnsiTheme="majorBidi" w:cstheme="majorBidi"/>
                <w:szCs w:val="24"/>
                <w:lang w:val="en-MY"/>
              </w:rPr>
            </w:pPr>
          </w:p>
        </w:tc>
      </w:tr>
      <w:tr w:rsidR="00AB4297" w:rsidRPr="009B5519" w:rsidTr="009751BE">
        <w:trPr>
          <w:jc w:val="center"/>
        </w:trPr>
        <w:tc>
          <w:tcPr>
            <w:tcW w:w="1736"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Market-price layer</w:t>
            </w:r>
          </w:p>
        </w:tc>
        <w:tc>
          <w:tcPr>
            <w:tcW w:w="1775"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Which gold price should be used?</w:t>
            </w:r>
          </w:p>
        </w:tc>
        <w:tc>
          <w:tcPr>
            <w:tcW w:w="2409"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Benchmark price, purity, exchange rate, date and time</w:t>
            </w:r>
          </w:p>
        </w:tc>
        <w:tc>
          <w:tcPr>
            <w:tcW w:w="2268"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Price-source policy</w:t>
            </w:r>
          </w:p>
        </w:tc>
      </w:tr>
      <w:tr w:rsidR="00AB4297" w:rsidRPr="009B5519" w:rsidTr="009751BE">
        <w:trPr>
          <w:jc w:val="center"/>
        </w:trPr>
        <w:tc>
          <w:tcPr>
            <w:tcW w:w="1736"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Juristic-threshold layer</w:t>
            </w:r>
          </w:p>
        </w:tc>
        <w:tc>
          <w:tcPr>
            <w:tcW w:w="1775"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 xml:space="preserve">What is the adopted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quantity?</w:t>
            </w:r>
          </w:p>
        </w:tc>
        <w:tc>
          <w:tcPr>
            <w:tcW w:w="2409" w:type="dxa"/>
          </w:tcPr>
          <w:p w:rsidR="002A4AEB" w:rsidRPr="009B5519" w:rsidRDefault="003B4FC0" w:rsidP="007F261A">
            <w:pPr>
              <w:rPr>
                <w:rFonts w:asciiTheme="majorBidi" w:hAnsiTheme="majorBidi" w:cstheme="majorBidi"/>
                <w:szCs w:val="24"/>
                <w:lang w:val="en-MY"/>
              </w:rPr>
            </w:pPr>
            <w:proofErr w:type="spellStart"/>
            <w:r w:rsidRPr="009B5519">
              <w:rPr>
                <w:rFonts w:asciiTheme="majorBidi" w:hAnsiTheme="majorBidi" w:cstheme="majorBidi"/>
                <w:szCs w:val="24"/>
                <w:lang w:val="en-MY"/>
              </w:rPr>
              <w:t>Fiqh</w:t>
            </w:r>
            <w:proofErr w:type="spellEnd"/>
            <w:r w:rsidRPr="009B5519">
              <w:rPr>
                <w:rFonts w:asciiTheme="majorBidi" w:hAnsiTheme="majorBidi" w:cstheme="majorBidi"/>
                <w:szCs w:val="24"/>
                <w:lang w:val="en-MY"/>
              </w:rPr>
              <w:t xml:space="preserve"> authority, fatwa, </w:t>
            </w:r>
            <w:proofErr w:type="spellStart"/>
            <w:r w:rsidR="003F1946" w:rsidRPr="001D1A09">
              <w:t>Sharīʾah</w:t>
            </w:r>
            <w:proofErr w:type="spellEnd"/>
            <w:r w:rsidRPr="009B5519">
              <w:rPr>
                <w:rFonts w:asciiTheme="majorBidi" w:hAnsiTheme="majorBidi" w:cstheme="majorBidi"/>
                <w:szCs w:val="24"/>
                <w:lang w:val="en-MY"/>
              </w:rPr>
              <w:t xml:space="preserve"> board decision</w:t>
            </w:r>
          </w:p>
        </w:tc>
        <w:tc>
          <w:tcPr>
            <w:tcW w:w="2268" w:type="dxa"/>
          </w:tcPr>
          <w:p w:rsidR="002A4AEB" w:rsidRPr="009B5519" w:rsidRDefault="003F1946" w:rsidP="007F261A">
            <w:pPr>
              <w:rPr>
                <w:rFonts w:asciiTheme="majorBidi" w:hAnsiTheme="majorBidi" w:cstheme="majorBidi"/>
                <w:szCs w:val="24"/>
                <w:lang w:val="en-MY"/>
              </w:rPr>
            </w:pPr>
            <w:proofErr w:type="spellStart"/>
            <w:r w:rsidRPr="001D1A09">
              <w:t>Sharīʾah</w:t>
            </w:r>
            <w:proofErr w:type="spellEnd"/>
            <w:r w:rsidR="003B4FC0" w:rsidRPr="009B5519">
              <w:rPr>
                <w:rFonts w:asciiTheme="majorBidi" w:hAnsiTheme="majorBidi" w:cstheme="majorBidi"/>
                <w:szCs w:val="24"/>
                <w:lang w:val="en-MY"/>
              </w:rPr>
              <w:t xml:space="preserve"> resolution</w:t>
            </w:r>
          </w:p>
        </w:tc>
      </w:tr>
      <w:tr w:rsidR="00AB4297" w:rsidRPr="009B5519" w:rsidTr="009751BE">
        <w:trPr>
          <w:jc w:val="center"/>
        </w:trPr>
        <w:tc>
          <w:tcPr>
            <w:tcW w:w="1736"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Administrative-governance layer</w:t>
            </w:r>
          </w:p>
        </w:tc>
        <w:tc>
          <w:tcPr>
            <w:tcW w:w="1775"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 xml:space="preserve">How often should </w:t>
            </w:r>
            <w:proofErr w:type="spellStart"/>
            <w:r w:rsidR="003F1946">
              <w:rPr>
                <w:rFonts w:asciiTheme="majorBidi" w:hAnsiTheme="majorBidi" w:cstheme="majorBidi"/>
                <w:szCs w:val="24"/>
                <w:lang w:val="en-MY"/>
              </w:rPr>
              <w:t>niṣāb</w:t>
            </w:r>
            <w:proofErr w:type="spellEnd"/>
            <w:r w:rsidRPr="009B5519">
              <w:rPr>
                <w:rFonts w:asciiTheme="majorBidi" w:hAnsiTheme="majorBidi" w:cstheme="majorBidi"/>
                <w:szCs w:val="24"/>
                <w:lang w:val="en-MY"/>
              </w:rPr>
              <w:t xml:space="preserve"> be updated?</w:t>
            </w:r>
          </w:p>
        </w:tc>
        <w:tc>
          <w:tcPr>
            <w:tcW w:w="2409"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Volatility, institutional capacity, public communication</w:t>
            </w:r>
          </w:p>
        </w:tc>
        <w:tc>
          <w:tcPr>
            <w:tcW w:w="2268" w:type="dxa"/>
          </w:tcPr>
          <w:p w:rsidR="002A4AEB" w:rsidRPr="009B5519" w:rsidRDefault="003F1946" w:rsidP="007F261A">
            <w:pPr>
              <w:rPr>
                <w:rFonts w:asciiTheme="majorBidi" w:hAnsiTheme="majorBidi" w:cstheme="majorBidi"/>
                <w:szCs w:val="24"/>
                <w:lang w:val="en-MY"/>
              </w:rPr>
            </w:pPr>
            <w:proofErr w:type="spellStart"/>
            <w:r>
              <w:rPr>
                <w:rFonts w:asciiTheme="majorBidi" w:hAnsiTheme="majorBidi" w:cstheme="majorBidi"/>
                <w:szCs w:val="24"/>
                <w:lang w:val="en-MY"/>
              </w:rPr>
              <w:t>Niṣāb</w:t>
            </w:r>
            <w:proofErr w:type="spellEnd"/>
            <w:r w:rsidR="003B4FC0" w:rsidRPr="009B5519">
              <w:rPr>
                <w:rFonts w:asciiTheme="majorBidi" w:hAnsiTheme="majorBidi" w:cstheme="majorBidi"/>
                <w:szCs w:val="24"/>
                <w:lang w:val="en-MY"/>
              </w:rPr>
              <w:t xml:space="preserve"> methodology manual</w:t>
            </w:r>
          </w:p>
        </w:tc>
      </w:tr>
      <w:tr w:rsidR="009751BE" w:rsidRPr="009B5519" w:rsidTr="009751BE">
        <w:trPr>
          <w:jc w:val="center"/>
        </w:trPr>
        <w:tc>
          <w:tcPr>
            <w:tcW w:w="1736"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Distributive-impact layer</w:t>
            </w:r>
          </w:p>
        </w:tc>
        <w:tc>
          <w:tcPr>
            <w:tcW w:w="1775"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Who is affected by the threshold?</w:t>
            </w:r>
          </w:p>
        </w:tc>
        <w:tc>
          <w:tcPr>
            <w:tcW w:w="2409" w:type="dxa"/>
          </w:tcPr>
          <w:p w:rsidR="002A4AEB" w:rsidRPr="009B5519" w:rsidRDefault="003361D3" w:rsidP="007F261A">
            <w:pPr>
              <w:rPr>
                <w:rFonts w:asciiTheme="majorBidi" w:hAnsiTheme="majorBidi" w:cstheme="majorBidi"/>
                <w:szCs w:val="24"/>
                <w:lang w:val="en-MY"/>
              </w:rPr>
            </w:pPr>
            <w:r w:rsidRPr="009B5519">
              <w:rPr>
                <w:rFonts w:asciiTheme="majorBidi" w:hAnsiTheme="majorBidi" w:cstheme="majorBidi"/>
                <w:szCs w:val="24"/>
                <w:lang w:val="en-MY"/>
              </w:rPr>
              <w:t>Collect</w:t>
            </w:r>
            <w:r w:rsidR="003B4FC0" w:rsidRPr="009B5519">
              <w:rPr>
                <w:rFonts w:asciiTheme="majorBidi" w:hAnsiTheme="majorBidi" w:cstheme="majorBidi"/>
                <w:szCs w:val="24"/>
                <w:lang w:val="en-MY"/>
              </w:rPr>
              <w:t xml:space="preserve"> data, payer profile, income and savings trends</w:t>
            </w:r>
          </w:p>
        </w:tc>
        <w:tc>
          <w:tcPr>
            <w:tcW w:w="2268" w:type="dxa"/>
          </w:tcPr>
          <w:p w:rsidR="002A4AEB" w:rsidRPr="009B5519" w:rsidRDefault="003B4FC0" w:rsidP="007F261A">
            <w:pPr>
              <w:rPr>
                <w:rFonts w:asciiTheme="majorBidi" w:hAnsiTheme="majorBidi" w:cstheme="majorBidi"/>
                <w:szCs w:val="24"/>
                <w:lang w:val="en-MY"/>
              </w:rPr>
            </w:pPr>
            <w:r w:rsidRPr="009B5519">
              <w:rPr>
                <w:rFonts w:asciiTheme="majorBidi" w:hAnsiTheme="majorBidi" w:cstheme="majorBidi"/>
                <w:szCs w:val="24"/>
                <w:lang w:val="en-MY"/>
              </w:rPr>
              <w:t>Periodic policy review</w:t>
            </w:r>
          </w:p>
        </w:tc>
      </w:tr>
    </w:tbl>
    <w:p w:rsidR="007F261A" w:rsidRPr="007F261A" w:rsidRDefault="007F261A" w:rsidP="007F261A">
      <w:pPr>
        <w:spacing w:after="0"/>
      </w:pPr>
    </w:p>
    <w:p w:rsidR="002A4AEB" w:rsidRPr="009B5519" w:rsidRDefault="001A6ACA" w:rsidP="006B1668">
      <w:pPr>
        <w:ind w:firstLine="720"/>
        <w:jc w:val="both"/>
        <w:rPr>
          <w:rStyle w:val="cursor-pointer"/>
          <w:rFonts w:asciiTheme="majorBidi" w:hAnsiTheme="majorBidi" w:cstheme="majorBidi"/>
          <w:szCs w:val="24"/>
          <w:lang w:val="en-MY"/>
        </w:rPr>
      </w:pPr>
      <w:r>
        <w:rPr>
          <w:rStyle w:val="cursor-pointer"/>
          <w:rFonts w:asciiTheme="majorBidi" w:hAnsiTheme="majorBidi" w:cstheme="majorBidi"/>
          <w:szCs w:val="24"/>
          <w:lang w:val="en-MY"/>
        </w:rPr>
        <w:t xml:space="preserve">The framework regards the determination of </w:t>
      </w:r>
      <w:proofErr w:type="spellStart"/>
      <w:r w:rsidR="003F1946">
        <w:rPr>
          <w:rStyle w:val="cursor-pointer"/>
          <w:rFonts w:asciiTheme="majorBidi" w:hAnsiTheme="majorBidi" w:cstheme="majorBidi"/>
          <w:szCs w:val="24"/>
          <w:lang w:val="en-MY"/>
        </w:rPr>
        <w:t>niṣāb</w:t>
      </w:r>
      <w:proofErr w:type="spellEnd"/>
      <w:r>
        <w:rPr>
          <w:rStyle w:val="cursor-pointer"/>
          <w:rFonts w:asciiTheme="majorBidi" w:hAnsiTheme="majorBidi" w:cstheme="majorBidi"/>
          <w:szCs w:val="24"/>
          <w:lang w:val="en-MY"/>
        </w:rPr>
        <w:t xml:space="preserve"> as an institutional step and requires it to be documented. There are at least four questions that a zakat authority should be able to answer publicly: </w:t>
      </w:r>
      <w:r w:rsidRPr="001A6ACA">
        <w:rPr>
          <w:rStyle w:val="cursor-pointer"/>
          <w:rFonts w:asciiTheme="majorBidi" w:hAnsiTheme="majorBidi" w:cstheme="majorBidi"/>
          <w:szCs w:val="24"/>
          <w:lang w:val="en-MY"/>
        </w:rPr>
        <w:t>Which gold price should be used?</w:t>
      </w:r>
      <w:r>
        <w:rPr>
          <w:rStyle w:val="cursor-pointer"/>
          <w:rFonts w:asciiTheme="majorBidi" w:hAnsiTheme="majorBidi" w:cstheme="majorBidi"/>
          <w:szCs w:val="24"/>
          <w:lang w:val="en-MY"/>
        </w:rPr>
        <w:t xml:space="preserve"> </w:t>
      </w:r>
      <w:r w:rsidRPr="001A6ACA">
        <w:rPr>
          <w:rStyle w:val="cursor-pointer"/>
          <w:rFonts w:asciiTheme="majorBidi" w:hAnsiTheme="majorBidi" w:cstheme="majorBidi"/>
          <w:szCs w:val="24"/>
          <w:lang w:val="en-MY"/>
        </w:rPr>
        <w:t xml:space="preserve">What is the adopted </w:t>
      </w:r>
      <w:proofErr w:type="spellStart"/>
      <w:r w:rsidR="003F1946">
        <w:rPr>
          <w:rStyle w:val="cursor-pointer"/>
          <w:rFonts w:asciiTheme="majorBidi" w:hAnsiTheme="majorBidi" w:cstheme="majorBidi"/>
          <w:szCs w:val="24"/>
          <w:lang w:val="en-MY"/>
        </w:rPr>
        <w:t>niṣāb</w:t>
      </w:r>
      <w:proofErr w:type="spellEnd"/>
      <w:r w:rsidRPr="001A6ACA">
        <w:rPr>
          <w:rStyle w:val="cursor-pointer"/>
          <w:rFonts w:asciiTheme="majorBidi" w:hAnsiTheme="majorBidi" w:cstheme="majorBidi"/>
          <w:szCs w:val="24"/>
          <w:lang w:val="en-MY"/>
        </w:rPr>
        <w:t xml:space="preserve"> quantity?</w:t>
      </w:r>
      <w:r>
        <w:rPr>
          <w:rStyle w:val="cursor-pointer"/>
          <w:rFonts w:asciiTheme="majorBidi" w:hAnsiTheme="majorBidi" w:cstheme="majorBidi"/>
          <w:szCs w:val="24"/>
          <w:lang w:val="en-MY"/>
        </w:rPr>
        <w:t xml:space="preserve"> </w:t>
      </w:r>
      <w:r w:rsidRPr="001A6ACA">
        <w:rPr>
          <w:rStyle w:val="cursor-pointer"/>
          <w:rFonts w:asciiTheme="majorBidi" w:hAnsiTheme="majorBidi" w:cstheme="majorBidi"/>
          <w:szCs w:val="24"/>
          <w:lang w:val="en-MY"/>
        </w:rPr>
        <w:t xml:space="preserve">How often should </w:t>
      </w:r>
      <w:proofErr w:type="spellStart"/>
      <w:r w:rsidR="003F1946">
        <w:rPr>
          <w:rStyle w:val="cursor-pointer"/>
          <w:rFonts w:asciiTheme="majorBidi" w:hAnsiTheme="majorBidi" w:cstheme="majorBidi"/>
          <w:szCs w:val="24"/>
          <w:lang w:val="en-MY"/>
        </w:rPr>
        <w:t>niṣāb</w:t>
      </w:r>
      <w:proofErr w:type="spellEnd"/>
      <w:r w:rsidRPr="001A6ACA">
        <w:rPr>
          <w:rStyle w:val="cursor-pointer"/>
          <w:rFonts w:asciiTheme="majorBidi" w:hAnsiTheme="majorBidi" w:cstheme="majorBidi"/>
          <w:szCs w:val="24"/>
          <w:lang w:val="en-MY"/>
        </w:rPr>
        <w:t xml:space="preserve"> be updated?</w:t>
      </w:r>
      <w:r>
        <w:rPr>
          <w:rStyle w:val="cursor-pointer"/>
          <w:rFonts w:asciiTheme="majorBidi" w:hAnsiTheme="majorBidi" w:cstheme="majorBidi"/>
          <w:szCs w:val="24"/>
          <w:lang w:val="en-MY"/>
        </w:rPr>
        <w:t xml:space="preserve"> </w:t>
      </w:r>
      <w:r w:rsidRPr="001A6ACA">
        <w:rPr>
          <w:rStyle w:val="cursor-pointer"/>
          <w:rFonts w:asciiTheme="majorBidi" w:hAnsiTheme="majorBidi" w:cstheme="majorBidi"/>
          <w:szCs w:val="24"/>
          <w:lang w:val="en-MY"/>
        </w:rPr>
        <w:t>Who is affected by the threshold?</w:t>
      </w:r>
      <w:r>
        <w:rPr>
          <w:rStyle w:val="cursor-pointer"/>
          <w:rFonts w:asciiTheme="majorBidi" w:hAnsiTheme="majorBidi" w:cstheme="majorBidi"/>
          <w:szCs w:val="24"/>
          <w:lang w:val="en-MY"/>
        </w:rPr>
        <w:t xml:space="preserve"> This approach is not opposed to </w:t>
      </w:r>
      <w:proofErr w:type="spellStart"/>
      <w:r>
        <w:rPr>
          <w:rStyle w:val="cursor-pointer"/>
          <w:rFonts w:asciiTheme="majorBidi" w:hAnsiTheme="majorBidi" w:cstheme="majorBidi"/>
          <w:szCs w:val="24"/>
          <w:lang w:val="en-MY"/>
        </w:rPr>
        <w:t>fiqh</w:t>
      </w:r>
      <w:proofErr w:type="spellEnd"/>
      <w:r>
        <w:rPr>
          <w:rStyle w:val="cursor-pointer"/>
          <w:rFonts w:asciiTheme="majorBidi" w:hAnsiTheme="majorBidi" w:cstheme="majorBidi"/>
          <w:szCs w:val="24"/>
          <w:lang w:val="en-MY"/>
        </w:rPr>
        <w:t xml:space="preserve">. It represents one of the </w:t>
      </w:r>
      <w:proofErr w:type="spellStart"/>
      <w:r>
        <w:rPr>
          <w:rStyle w:val="cursor-pointer"/>
          <w:rFonts w:asciiTheme="majorBidi" w:hAnsiTheme="majorBidi" w:cstheme="majorBidi"/>
          <w:szCs w:val="24"/>
          <w:lang w:val="en-MY"/>
        </w:rPr>
        <w:t>fiqh</w:t>
      </w:r>
      <w:proofErr w:type="spellEnd"/>
      <w:r>
        <w:rPr>
          <w:rStyle w:val="cursor-pointer"/>
          <w:rFonts w:asciiTheme="majorBidi" w:hAnsiTheme="majorBidi" w:cstheme="majorBidi"/>
          <w:szCs w:val="24"/>
          <w:lang w:val="en-MY"/>
        </w:rPr>
        <w:t xml:space="preserve"> applications within modern institutions. The classical </w:t>
      </w:r>
      <w:proofErr w:type="spellStart"/>
      <w:r w:rsidR="003F1946">
        <w:rPr>
          <w:rStyle w:val="cursor-pointer"/>
          <w:rFonts w:asciiTheme="majorBidi" w:hAnsiTheme="majorBidi" w:cstheme="majorBidi"/>
          <w:szCs w:val="24"/>
          <w:lang w:val="en-MY"/>
        </w:rPr>
        <w:t>niṣāb</w:t>
      </w:r>
      <w:proofErr w:type="spellEnd"/>
      <w:r>
        <w:rPr>
          <w:rStyle w:val="cursor-pointer"/>
          <w:rFonts w:asciiTheme="majorBidi" w:hAnsiTheme="majorBidi" w:cstheme="majorBidi"/>
          <w:szCs w:val="24"/>
          <w:lang w:val="en-MY"/>
        </w:rPr>
        <w:t xml:space="preserve"> remains the normative benchmark, while governance acts as the operational link between the traditional </w:t>
      </w:r>
      <w:proofErr w:type="spellStart"/>
      <w:r w:rsidR="003F1946">
        <w:rPr>
          <w:rStyle w:val="cursor-pointer"/>
          <w:rFonts w:asciiTheme="majorBidi" w:hAnsiTheme="majorBidi" w:cstheme="majorBidi"/>
          <w:szCs w:val="24"/>
          <w:lang w:val="en-MY"/>
        </w:rPr>
        <w:t>niṣāb</w:t>
      </w:r>
      <w:proofErr w:type="spellEnd"/>
      <w:r>
        <w:rPr>
          <w:rStyle w:val="cursor-pointer"/>
          <w:rFonts w:asciiTheme="majorBidi" w:hAnsiTheme="majorBidi" w:cstheme="majorBidi"/>
          <w:szCs w:val="24"/>
          <w:lang w:val="en-MY"/>
        </w:rPr>
        <w:t xml:space="preserve"> and contemporary financial realities</w:t>
      </w:r>
      <w:r w:rsidR="00FB684B" w:rsidRPr="009B5519">
        <w:rPr>
          <w:rStyle w:val="cursor-pointer"/>
          <w:rFonts w:asciiTheme="majorBidi" w:hAnsiTheme="majorBidi" w:cstheme="majorBidi"/>
          <w:szCs w:val="24"/>
          <w:lang w:val="en-MY"/>
        </w:rPr>
        <w:t>.</w:t>
      </w:r>
    </w:p>
    <w:p w:rsidR="00B808DC" w:rsidRPr="00B808DC" w:rsidRDefault="00B808DC" w:rsidP="006B1668">
      <w:pPr>
        <w:ind w:firstLine="720"/>
        <w:jc w:val="both"/>
        <w:rPr>
          <w:rFonts w:asciiTheme="majorBidi" w:hAnsiTheme="majorBidi" w:cstheme="majorBidi"/>
          <w:szCs w:val="24"/>
          <w:lang w:val="en-MY"/>
        </w:rPr>
      </w:pPr>
      <w:r w:rsidRPr="00B808DC">
        <w:rPr>
          <w:rFonts w:asciiTheme="majorBidi" w:hAnsiTheme="majorBidi" w:cstheme="majorBidi"/>
          <w:szCs w:val="24"/>
          <w:lang w:val="en-MY"/>
        </w:rPr>
        <w:t xml:space="preserve">The major analytical assumption is that the structural repricing embeds the meaning of this </w:t>
      </w:r>
      <w:r w:rsidR="00325619">
        <w:rPr>
          <w:rFonts w:asciiTheme="majorBidi" w:hAnsiTheme="majorBidi" w:cstheme="majorBidi"/>
          <w:szCs w:val="24"/>
          <w:lang w:val="en-MY"/>
        </w:rPr>
        <w:t>“</w:t>
      </w:r>
      <w:r w:rsidRPr="00B808DC">
        <w:rPr>
          <w:rFonts w:asciiTheme="majorBidi" w:hAnsiTheme="majorBidi" w:cstheme="majorBidi"/>
          <w:szCs w:val="24"/>
          <w:lang w:val="en-MY"/>
        </w:rPr>
        <w:t>simple</w:t>
      </w:r>
      <w:r w:rsidR="00325619">
        <w:rPr>
          <w:rFonts w:asciiTheme="majorBidi" w:hAnsiTheme="majorBidi" w:cstheme="majorBidi"/>
          <w:szCs w:val="24"/>
          <w:lang w:val="en-MY"/>
        </w:rPr>
        <w:t>”</w:t>
      </w:r>
      <w:r w:rsidRPr="00B808DC">
        <w:rPr>
          <w:rFonts w:asciiTheme="majorBidi" w:hAnsiTheme="majorBidi" w:cstheme="majorBidi"/>
          <w:szCs w:val="24"/>
          <w:lang w:val="en-MY"/>
        </w:rPr>
        <w:t xml:space="preserve">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conversion. In a stable gold government, a single spot price may </w:t>
      </w:r>
      <w:r w:rsidR="00325619">
        <w:rPr>
          <w:rFonts w:asciiTheme="majorBidi" w:hAnsiTheme="majorBidi" w:cstheme="majorBidi"/>
          <w:szCs w:val="24"/>
          <w:lang w:val="en-MY"/>
        </w:rPr>
        <w:t>suffice, as today’s price fluctuations are not significant</w:t>
      </w:r>
      <w:r w:rsidRPr="00B808DC">
        <w:rPr>
          <w:rFonts w:asciiTheme="majorBidi" w:hAnsiTheme="majorBidi" w:cstheme="majorBidi"/>
          <w:szCs w:val="24"/>
          <w:lang w:val="en-MY"/>
        </w:rPr>
        <w:t xml:space="preserve">. However, it is important to remember that in a structural repricing government, when and how repricing occurs is important. 2025 data shows the proxy price </w:t>
      </w:r>
      <w:r w:rsidR="00325619">
        <w:rPr>
          <w:rFonts w:asciiTheme="majorBidi" w:hAnsiTheme="majorBidi" w:cstheme="majorBidi"/>
          <w:szCs w:val="24"/>
          <w:lang w:val="en-MY"/>
        </w:rPr>
        <w:t>averages USD9,420.96, with the highest proxy price at</w:t>
      </w:r>
      <w:r w:rsidRPr="00B808DC">
        <w:rPr>
          <w:rFonts w:asciiTheme="majorBidi" w:hAnsiTheme="majorBidi" w:cstheme="majorBidi"/>
          <w:szCs w:val="24"/>
          <w:lang w:val="en-MY"/>
        </w:rPr>
        <w:t xml:space="preserve"> USD12,377.19. This gap is substantial enough to make a difference in the liability results for many people and small businesses. The article could be descriptive</w:t>
      </w:r>
      <w:r w:rsidR="00325619">
        <w:rPr>
          <w:rFonts w:asciiTheme="majorBidi" w:hAnsiTheme="majorBidi" w:cstheme="majorBidi"/>
          <w:szCs w:val="24"/>
          <w:lang w:val="en-MY"/>
        </w:rPr>
        <w:t>,</w:t>
      </w:r>
      <w:r w:rsidRPr="00B808DC">
        <w:rPr>
          <w:rFonts w:asciiTheme="majorBidi" w:hAnsiTheme="majorBidi" w:cstheme="majorBidi"/>
          <w:szCs w:val="24"/>
          <w:lang w:val="en-MY"/>
        </w:rPr>
        <w:t xml:space="preserve"> describing the increase in the price of money or </w:t>
      </w:r>
      <w:r w:rsidRPr="00B808DC">
        <w:rPr>
          <w:rFonts w:asciiTheme="majorBidi" w:hAnsiTheme="majorBidi" w:cstheme="majorBidi"/>
          <w:szCs w:val="24"/>
          <w:lang w:val="en-MY"/>
        </w:rPr>
        <w:lastRenderedPageBreak/>
        <w:t xml:space="preserve">gold, which consequently increases the size of the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In particular, this article </w:t>
      </w:r>
      <w:r w:rsidR="00325619">
        <w:rPr>
          <w:rFonts w:asciiTheme="majorBidi" w:hAnsiTheme="majorBidi" w:cstheme="majorBidi"/>
          <w:szCs w:val="24"/>
          <w:lang w:val="en-MY"/>
        </w:rPr>
        <w:t>proposes a threshold for</w:t>
      </w:r>
      <w:r w:rsidRPr="00B808DC">
        <w:rPr>
          <w:rFonts w:asciiTheme="majorBidi" w:hAnsiTheme="majorBidi" w:cstheme="majorBidi"/>
          <w:szCs w:val="24"/>
          <w:lang w:val="en-MY"/>
        </w:rPr>
        <w:t xml:space="preserve"> governance risk of repricing. Threshold governance risk refers to the possibility </w:t>
      </w:r>
      <w:r w:rsidR="00325619">
        <w:rPr>
          <w:rFonts w:asciiTheme="majorBidi" w:hAnsiTheme="majorBidi" w:cstheme="majorBidi"/>
          <w:szCs w:val="24"/>
          <w:lang w:val="en-MY"/>
        </w:rPr>
        <w:t xml:space="preserve">that the use of </w:t>
      </w:r>
      <w:proofErr w:type="spellStart"/>
      <w:r w:rsidR="00325619">
        <w:rPr>
          <w:rFonts w:asciiTheme="majorBidi" w:hAnsiTheme="majorBidi" w:cstheme="majorBidi"/>
          <w:szCs w:val="24"/>
          <w:lang w:val="en-MY"/>
        </w:rPr>
        <w:t>Sharīʾah</w:t>
      </w:r>
      <w:proofErr w:type="spellEnd"/>
      <w:r w:rsidR="00325619">
        <w:rPr>
          <w:rFonts w:asciiTheme="majorBidi" w:hAnsiTheme="majorBidi" w:cstheme="majorBidi"/>
          <w:szCs w:val="24"/>
          <w:lang w:val="en-MY"/>
        </w:rPr>
        <w:t xml:space="preserve"> thresholds leads to excessive and turbulent fluctuations in the link between real currency, which, in turn, impacts</w:t>
      </w:r>
      <w:r w:rsidRPr="00B808DC">
        <w:rPr>
          <w:rFonts w:asciiTheme="majorBidi" w:hAnsiTheme="majorBidi" w:cstheme="majorBidi"/>
          <w:szCs w:val="24"/>
          <w:lang w:val="en-MY"/>
        </w:rPr>
        <w:t xml:space="preserve"> legal security, public confidence, and distributive consequences. In fact, in such a situation, it is not a problem whether to follow the gold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or not. The issue is how to do it responsibly, however. Three different challenges are possible. The first is mechanical literalism: Outputting daily spot prices, as a single authority does, without any consideration of public confusion or </w:t>
      </w:r>
      <w:r w:rsidR="00325619">
        <w:rPr>
          <w:rFonts w:asciiTheme="majorBidi" w:hAnsiTheme="majorBidi" w:cstheme="majorBidi"/>
          <w:szCs w:val="24"/>
          <w:lang w:val="en-MY"/>
        </w:rPr>
        <w:t>institutional</w:t>
      </w:r>
      <w:r w:rsidRPr="00B808DC">
        <w:rPr>
          <w:rFonts w:asciiTheme="majorBidi" w:hAnsiTheme="majorBidi" w:cstheme="majorBidi"/>
          <w:szCs w:val="24"/>
          <w:lang w:val="en-MY"/>
        </w:rPr>
        <w:t xml:space="preserve"> consequences. The second challenge is administrative rigidity, </w:t>
      </w:r>
      <w:r w:rsidR="00325619">
        <w:rPr>
          <w:rFonts w:asciiTheme="majorBidi" w:hAnsiTheme="majorBidi" w:cstheme="majorBidi"/>
          <w:szCs w:val="24"/>
          <w:lang w:val="en-MY"/>
        </w:rPr>
        <w:t>in which authorities set annual limits even as market conditions change</w:t>
      </w:r>
      <w:r w:rsidRPr="00B808DC">
        <w:rPr>
          <w:rFonts w:asciiTheme="majorBidi" w:hAnsiTheme="majorBidi" w:cstheme="majorBidi"/>
          <w:szCs w:val="24"/>
          <w:lang w:val="en-MY"/>
        </w:rPr>
        <w:t>. The third issue</w:t>
      </w:r>
      <w:r w:rsidR="00325619">
        <w:rPr>
          <w:rFonts w:asciiTheme="majorBidi" w:hAnsiTheme="majorBidi" w:cstheme="majorBidi"/>
          <w:szCs w:val="24"/>
          <w:lang w:val="en-MY"/>
        </w:rPr>
        <w:t>, “opaque discretion,”</w:t>
      </w:r>
      <w:r w:rsidRPr="00B808DC">
        <w:rPr>
          <w:rFonts w:asciiTheme="majorBidi" w:hAnsiTheme="majorBidi" w:cstheme="majorBidi"/>
          <w:szCs w:val="24"/>
          <w:lang w:val="en-MY"/>
        </w:rPr>
        <w:t xml:space="preserve"> </w:t>
      </w:r>
      <w:r w:rsidR="006B1668">
        <w:rPr>
          <w:rFonts w:asciiTheme="majorBidi" w:hAnsiTheme="majorBidi" w:cstheme="majorBidi"/>
          <w:szCs w:val="24"/>
          <w:lang w:val="en-MY"/>
        </w:rPr>
        <w:t>concerns thresholds that are tweaked without a clear approach; all three reduce</w:t>
      </w:r>
      <w:r w:rsidRPr="00B808DC">
        <w:rPr>
          <w:rFonts w:asciiTheme="majorBidi" w:hAnsiTheme="majorBidi" w:cstheme="majorBidi"/>
          <w:szCs w:val="24"/>
          <w:lang w:val="en-MY"/>
        </w:rPr>
        <w:t xml:space="preserve"> trust. </w:t>
      </w:r>
    </w:p>
    <w:p w:rsidR="00186F89" w:rsidRDefault="00B808DC" w:rsidP="00B808DC">
      <w:pPr>
        <w:ind w:firstLine="720"/>
        <w:jc w:val="both"/>
        <w:rPr>
          <w:rFonts w:asciiTheme="majorBidi" w:hAnsiTheme="majorBidi" w:cstheme="majorBidi"/>
          <w:szCs w:val="24"/>
          <w:lang w:val="en-MY"/>
        </w:rPr>
      </w:pPr>
      <w:r w:rsidRPr="00B808DC">
        <w:rPr>
          <w:rFonts w:asciiTheme="majorBidi" w:hAnsiTheme="majorBidi" w:cstheme="majorBidi"/>
          <w:szCs w:val="24"/>
          <w:lang w:val="en-MY"/>
        </w:rPr>
        <w:t xml:space="preserve">The necessary flexibility to build a sound strategy is coupled with the firm anchoring of </w:t>
      </w:r>
      <w:proofErr w:type="spellStart"/>
      <w:r w:rsidRPr="00B808DC">
        <w:rPr>
          <w:rFonts w:asciiTheme="majorBidi" w:hAnsiTheme="majorBidi" w:cstheme="majorBidi"/>
          <w:szCs w:val="24"/>
          <w:lang w:val="en-MY"/>
        </w:rPr>
        <w:t>Sharīʾah</w:t>
      </w:r>
      <w:proofErr w:type="spellEnd"/>
      <w:r w:rsidRPr="00B808DC">
        <w:rPr>
          <w:rFonts w:asciiTheme="majorBidi" w:hAnsiTheme="majorBidi" w:cstheme="majorBidi"/>
          <w:szCs w:val="24"/>
          <w:lang w:val="en-MY"/>
        </w:rPr>
        <w:t xml:space="preserve"> and its clear articulation in a managerial framework. This indeed is a question of </w:t>
      </w:r>
      <w:proofErr w:type="spellStart"/>
      <w:r w:rsidRPr="00B808DC">
        <w:rPr>
          <w:rFonts w:asciiTheme="majorBidi" w:hAnsiTheme="majorBidi" w:cstheme="majorBidi"/>
          <w:szCs w:val="24"/>
          <w:lang w:val="en-MY"/>
        </w:rPr>
        <w:t>maqāṣid</w:t>
      </w:r>
      <w:proofErr w:type="spellEnd"/>
      <w:r w:rsidRPr="00B808DC">
        <w:rPr>
          <w:rFonts w:asciiTheme="majorBidi" w:hAnsiTheme="majorBidi" w:cstheme="majorBidi"/>
          <w:szCs w:val="24"/>
          <w:lang w:val="en-MY"/>
        </w:rPr>
        <w:t xml:space="preserve"> as well. The Objective of </w:t>
      </w:r>
      <w:proofErr w:type="spellStart"/>
      <w:r w:rsidRPr="00B808DC">
        <w:rPr>
          <w:rFonts w:asciiTheme="majorBidi" w:hAnsiTheme="majorBidi" w:cstheme="majorBidi"/>
          <w:szCs w:val="24"/>
          <w:lang w:val="en-MY"/>
        </w:rPr>
        <w:t>Zakah</w:t>
      </w:r>
      <w:proofErr w:type="spellEnd"/>
      <w:r w:rsidRPr="00B808DC">
        <w:rPr>
          <w:rFonts w:asciiTheme="majorBidi" w:hAnsiTheme="majorBidi" w:cstheme="majorBidi"/>
          <w:szCs w:val="24"/>
          <w:lang w:val="en-MY"/>
        </w:rPr>
        <w:t xml:space="preserve"> is to safeguard the religion, wealth, dignity and social solidarity. If an unstable method is used </w:t>
      </w:r>
      <w:r w:rsidR="00325619">
        <w:rPr>
          <w:rFonts w:asciiTheme="majorBidi" w:hAnsiTheme="majorBidi" w:cstheme="majorBidi"/>
          <w:szCs w:val="24"/>
          <w:lang w:val="en-MY"/>
        </w:rPr>
        <w:t xml:space="preserve">to determine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w:t>
      </w:r>
      <w:r w:rsidRPr="00B808DC">
        <w:rPr>
          <w:rFonts w:asciiTheme="majorBidi" w:hAnsiTheme="majorBidi" w:cstheme="majorBidi"/>
          <w:szCs w:val="24"/>
          <w:lang w:val="en-MY"/>
        </w:rPr>
        <w:t xml:space="preserve">the payers may </w:t>
      </w:r>
      <w:r w:rsidR="00325619">
        <w:rPr>
          <w:rFonts w:asciiTheme="majorBidi" w:hAnsiTheme="majorBidi" w:cstheme="majorBidi"/>
          <w:szCs w:val="24"/>
          <w:lang w:val="en-MY"/>
        </w:rPr>
        <w:t>begin to doubt or distrust the entire</w:t>
      </w:r>
      <w:r w:rsidRPr="00B808DC">
        <w:rPr>
          <w:rFonts w:asciiTheme="majorBidi" w:hAnsiTheme="majorBidi" w:cstheme="majorBidi"/>
          <w:szCs w:val="24"/>
          <w:lang w:val="en-MY"/>
        </w:rPr>
        <w:t xml:space="preserve"> process. Some may not be eligible for zakat if it is </w:t>
      </w:r>
      <w:r w:rsidR="00325619">
        <w:rPr>
          <w:rFonts w:asciiTheme="majorBidi" w:hAnsiTheme="majorBidi" w:cstheme="majorBidi"/>
          <w:szCs w:val="24"/>
          <w:lang w:val="en-MY"/>
        </w:rPr>
        <w:t xml:space="preserve">deemed excessive, as the difference in gold prices will not be </w:t>
      </w:r>
      <w:proofErr w:type="gramStart"/>
      <w:r w:rsidR="00325619">
        <w:rPr>
          <w:rFonts w:asciiTheme="majorBidi" w:hAnsiTheme="majorBidi" w:cstheme="majorBidi"/>
          <w:szCs w:val="24"/>
          <w:lang w:val="en-MY"/>
        </w:rPr>
        <w:t>taken into account</w:t>
      </w:r>
      <w:proofErr w:type="gramEnd"/>
      <w:r w:rsidRPr="00B808DC">
        <w:rPr>
          <w:rFonts w:asciiTheme="majorBidi" w:hAnsiTheme="majorBidi" w:cstheme="majorBidi"/>
          <w:szCs w:val="24"/>
          <w:lang w:val="en-MY"/>
        </w:rPr>
        <w:t xml:space="preserve"> in the determination. If the limit is set </w:t>
      </w:r>
      <w:r w:rsidR="00325619">
        <w:rPr>
          <w:rFonts w:asciiTheme="majorBidi" w:hAnsiTheme="majorBidi" w:cstheme="majorBidi"/>
          <w:szCs w:val="24"/>
          <w:lang w:val="en-MY"/>
        </w:rPr>
        <w:t>too low based on the old price, the burden of dealing with rates in this range would fall on the shareholders in short order</w:t>
      </w:r>
      <w:r w:rsidRPr="00B808DC">
        <w:rPr>
          <w:rFonts w:asciiTheme="majorBidi" w:hAnsiTheme="majorBidi" w:cstheme="majorBidi"/>
          <w:szCs w:val="24"/>
          <w:lang w:val="en-MY"/>
        </w:rPr>
        <w:t xml:space="preserve">. Hence, within a </w:t>
      </w:r>
      <w:proofErr w:type="spellStart"/>
      <w:r w:rsidRPr="00B808DC">
        <w:rPr>
          <w:rFonts w:asciiTheme="majorBidi" w:hAnsiTheme="majorBidi" w:cstheme="majorBidi"/>
          <w:szCs w:val="24"/>
          <w:lang w:val="en-MY"/>
        </w:rPr>
        <w:t>maqāṣid</w:t>
      </w:r>
      <w:proofErr w:type="spellEnd"/>
      <w:r w:rsidRPr="00B808DC">
        <w:rPr>
          <w:rFonts w:asciiTheme="majorBidi" w:hAnsiTheme="majorBidi" w:cstheme="majorBidi"/>
          <w:szCs w:val="24"/>
          <w:lang w:val="en-MY"/>
        </w:rPr>
        <w:t xml:space="preserve">-based approach, the need to protect the payer needs to be balanced with the </w:t>
      </w:r>
      <w:r w:rsidR="00325619">
        <w:rPr>
          <w:rFonts w:asciiTheme="majorBidi" w:hAnsiTheme="majorBidi" w:cstheme="majorBidi"/>
          <w:szCs w:val="24"/>
          <w:lang w:val="en-MY"/>
        </w:rPr>
        <w:t>interests</w:t>
      </w:r>
      <w:r w:rsidRPr="00B808DC">
        <w:rPr>
          <w:rFonts w:asciiTheme="majorBidi" w:hAnsiTheme="majorBidi" w:cstheme="majorBidi"/>
          <w:szCs w:val="24"/>
          <w:lang w:val="en-MY"/>
        </w:rPr>
        <w:t xml:space="preserve"> of the beneficiaries.</w:t>
      </w:r>
    </w:p>
    <w:p w:rsidR="00186F89" w:rsidRPr="00E31636" w:rsidRDefault="007F3329" w:rsidP="00E31636">
      <w:pPr>
        <w:pStyle w:val="Heading1"/>
        <w:spacing w:before="0"/>
        <w:rPr>
          <w:rFonts w:asciiTheme="majorBidi" w:hAnsiTheme="majorBidi"/>
          <w:color w:val="auto"/>
          <w:sz w:val="24"/>
          <w:szCs w:val="24"/>
        </w:rPr>
      </w:pPr>
      <w:r w:rsidRPr="00E31636">
        <w:rPr>
          <w:rFonts w:asciiTheme="majorBidi" w:hAnsiTheme="majorBidi"/>
          <w:color w:val="auto"/>
          <w:sz w:val="24"/>
          <w:szCs w:val="24"/>
        </w:rPr>
        <w:t>7</w:t>
      </w:r>
      <w:r w:rsidR="00186F89" w:rsidRPr="00E31636">
        <w:rPr>
          <w:rFonts w:asciiTheme="majorBidi" w:hAnsiTheme="majorBidi"/>
          <w:color w:val="auto"/>
          <w:sz w:val="24"/>
          <w:szCs w:val="24"/>
        </w:rPr>
        <w:t xml:space="preserve">. POLICY RECOMMENDATIONS </w:t>
      </w:r>
    </w:p>
    <w:p w:rsidR="00B808DC" w:rsidRPr="00B808DC" w:rsidRDefault="00B808DC" w:rsidP="00B808DC">
      <w:pPr>
        <w:jc w:val="both"/>
        <w:rPr>
          <w:rFonts w:asciiTheme="majorBidi" w:hAnsiTheme="majorBidi" w:cstheme="majorBidi"/>
          <w:szCs w:val="24"/>
          <w:lang w:val="en-MY"/>
        </w:rPr>
      </w:pPr>
      <w:r w:rsidRPr="00B808DC">
        <w:rPr>
          <w:rFonts w:asciiTheme="majorBidi" w:hAnsiTheme="majorBidi" w:cstheme="majorBidi"/>
          <w:szCs w:val="24"/>
          <w:lang w:val="en-MY"/>
        </w:rPr>
        <w:t xml:space="preserve">Several policy recommendations have been offered in this </w:t>
      </w:r>
      <w:r w:rsidR="00325619">
        <w:rPr>
          <w:rFonts w:asciiTheme="majorBidi" w:hAnsiTheme="majorBidi" w:cstheme="majorBidi"/>
          <w:szCs w:val="24"/>
          <w:lang w:val="en-MY"/>
        </w:rPr>
        <w:t xml:space="preserve">section to improve the governance of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determination </w:t>
      </w:r>
      <w:r w:rsidRPr="00B808DC">
        <w:rPr>
          <w:rFonts w:asciiTheme="majorBidi" w:hAnsiTheme="majorBidi" w:cstheme="majorBidi"/>
          <w:szCs w:val="24"/>
          <w:lang w:val="en-MY"/>
        </w:rPr>
        <w:t xml:space="preserve">in the administration of zakat. Not only is the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not a purely technical figure</w:t>
      </w:r>
      <w:r w:rsidR="00325619">
        <w:rPr>
          <w:rFonts w:asciiTheme="majorBidi" w:hAnsiTheme="majorBidi" w:cstheme="majorBidi"/>
          <w:szCs w:val="24"/>
          <w:lang w:val="en-MY"/>
        </w:rPr>
        <w:t xml:space="preserve">; it also serves as a reference point for society regarding the nature of religious obligations, and for this reason, its calculation must be transparent, stable, and sensitive to </w:t>
      </w:r>
      <w:r w:rsidRPr="00B808DC">
        <w:rPr>
          <w:rFonts w:asciiTheme="majorBidi" w:hAnsiTheme="majorBidi" w:cstheme="majorBidi"/>
          <w:szCs w:val="24"/>
          <w:lang w:val="en-MY"/>
        </w:rPr>
        <w:t xml:space="preserve">market forces. The following recommendations are intended to contribute to methodological clarity in </w:t>
      </w:r>
      <w:proofErr w:type="spellStart"/>
      <w:r w:rsidRPr="00B808DC">
        <w:rPr>
          <w:rFonts w:asciiTheme="majorBidi" w:hAnsiTheme="majorBidi" w:cstheme="majorBidi"/>
          <w:szCs w:val="24"/>
          <w:lang w:val="en-MY"/>
        </w:rPr>
        <w:t>Sharīʾah</w:t>
      </w:r>
      <w:proofErr w:type="spellEnd"/>
      <w:r w:rsidRPr="00B808DC">
        <w:rPr>
          <w:rFonts w:asciiTheme="majorBidi" w:hAnsiTheme="majorBidi" w:cstheme="majorBidi"/>
          <w:szCs w:val="24"/>
          <w:lang w:val="en-MY"/>
        </w:rPr>
        <w:t xml:space="preserve"> governance, </w:t>
      </w:r>
      <w:r w:rsidR="00325619">
        <w:rPr>
          <w:rFonts w:asciiTheme="majorBidi" w:hAnsiTheme="majorBidi" w:cstheme="majorBidi"/>
          <w:szCs w:val="24"/>
          <w:lang w:val="en-MY"/>
        </w:rPr>
        <w:t xml:space="preserve">reduce ongoing confusion among the public, and enable tracking the impact of decisions on changes to the gold-based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across</w:t>
      </w:r>
      <w:r w:rsidRPr="00B808DC">
        <w:rPr>
          <w:rFonts w:asciiTheme="majorBidi" w:hAnsiTheme="majorBidi" w:cstheme="majorBidi"/>
          <w:szCs w:val="24"/>
          <w:lang w:val="en-MY"/>
        </w:rPr>
        <w:t xml:space="preserve"> administration and social life.</w:t>
      </w:r>
    </w:p>
    <w:p w:rsidR="00B808DC" w:rsidRDefault="00B808DC" w:rsidP="00B808DC">
      <w:pPr>
        <w:pStyle w:val="ListParagraph"/>
        <w:numPr>
          <w:ilvl w:val="0"/>
          <w:numId w:val="15"/>
        </w:numPr>
        <w:jc w:val="both"/>
        <w:rPr>
          <w:rFonts w:asciiTheme="majorBidi" w:hAnsiTheme="majorBidi" w:cstheme="majorBidi"/>
          <w:szCs w:val="24"/>
          <w:lang w:val="en-MY"/>
        </w:rPr>
      </w:pPr>
      <w:r w:rsidRPr="00B808DC">
        <w:rPr>
          <w:rFonts w:asciiTheme="majorBidi" w:hAnsiTheme="majorBidi" w:cstheme="majorBidi"/>
          <w:szCs w:val="24"/>
          <w:lang w:val="en-MY"/>
        </w:rPr>
        <w:t xml:space="preserve">The initial step is to have a formal policy for a methodology for a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The formal document of </w:t>
      </w:r>
      <w:r w:rsidR="00325619">
        <w:rPr>
          <w:rFonts w:asciiTheme="majorBidi" w:hAnsiTheme="majorBidi" w:cstheme="majorBidi"/>
          <w:szCs w:val="24"/>
          <w:lang w:val="en-MY"/>
        </w:rPr>
        <w:t xml:space="preserve">the methodology of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should be published in the institutions of </w:t>
      </w:r>
      <w:proofErr w:type="spellStart"/>
      <w:r w:rsidR="00325619">
        <w:rPr>
          <w:rFonts w:asciiTheme="majorBidi" w:hAnsiTheme="majorBidi" w:cstheme="majorBidi"/>
          <w:szCs w:val="24"/>
          <w:lang w:val="en-MY"/>
        </w:rPr>
        <w:t>Zakāt</w:t>
      </w:r>
      <w:proofErr w:type="spellEnd"/>
      <w:r w:rsidR="00325619">
        <w:rPr>
          <w:rFonts w:asciiTheme="majorBidi" w:hAnsiTheme="majorBidi" w:cstheme="majorBidi"/>
          <w:szCs w:val="24"/>
          <w:lang w:val="en-MY"/>
        </w:rPr>
        <w:t>,</w:t>
      </w:r>
      <w:r w:rsidRPr="00B808DC">
        <w:rPr>
          <w:rFonts w:asciiTheme="majorBidi" w:hAnsiTheme="majorBidi" w:cstheme="majorBidi"/>
          <w:szCs w:val="24"/>
          <w:lang w:val="en-MY"/>
        </w:rPr>
        <w:t xml:space="preserve"> and the procedure of the official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should be explained. The adopted gold weight, gold purity standard, benchmark gold price, source of exchange rate, review frequency, and the adopted method of gold valuation should be clearly stated </w:t>
      </w:r>
      <w:r w:rsidR="00325619">
        <w:rPr>
          <w:rFonts w:asciiTheme="majorBidi" w:hAnsiTheme="majorBidi" w:cstheme="majorBidi"/>
          <w:szCs w:val="24"/>
          <w:lang w:val="en-MY"/>
        </w:rPr>
        <w:t>in</w:t>
      </w:r>
      <w:r w:rsidRPr="00B808DC">
        <w:rPr>
          <w:rFonts w:asciiTheme="majorBidi" w:hAnsiTheme="majorBidi" w:cstheme="majorBidi"/>
          <w:szCs w:val="24"/>
          <w:lang w:val="en-MY"/>
        </w:rPr>
        <w:t xml:space="preserve"> this document. Since the </w:t>
      </w:r>
      <w:r w:rsidR="00325619">
        <w:rPr>
          <w:rFonts w:asciiTheme="majorBidi" w:hAnsiTheme="majorBidi" w:cstheme="majorBidi"/>
          <w:szCs w:val="24"/>
          <w:lang w:val="en-MY"/>
        </w:rPr>
        <w:t xml:space="preserve">public's acceptance of the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is based not only on the amount but also on trust in the methodology used to determine it, the methodology must be</w:t>
      </w:r>
      <w:r w:rsidRPr="00B808DC">
        <w:rPr>
          <w:rFonts w:asciiTheme="majorBidi" w:hAnsiTheme="majorBidi" w:cstheme="majorBidi"/>
          <w:szCs w:val="24"/>
          <w:lang w:val="en-MY"/>
        </w:rPr>
        <w:t xml:space="preserve"> transparent. Zakat institutions can improve </w:t>
      </w:r>
      <w:r w:rsidR="00325619">
        <w:rPr>
          <w:rFonts w:asciiTheme="majorBidi" w:hAnsiTheme="majorBidi" w:cstheme="majorBidi"/>
          <w:szCs w:val="24"/>
          <w:lang w:val="en-MY"/>
        </w:rPr>
        <w:t xml:space="preserve">accountability in determining the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by publishing their methodologies, thereby reducing confusion and building</w:t>
      </w:r>
      <w:r w:rsidRPr="00B808DC">
        <w:rPr>
          <w:rFonts w:asciiTheme="majorBidi" w:hAnsiTheme="majorBidi" w:cstheme="majorBidi"/>
          <w:szCs w:val="24"/>
          <w:lang w:val="en-MY"/>
        </w:rPr>
        <w:t xml:space="preserve"> public trust in the process.</w:t>
      </w:r>
    </w:p>
    <w:p w:rsidR="00B808DC" w:rsidRPr="00B808DC" w:rsidRDefault="00B808DC" w:rsidP="00B808DC">
      <w:pPr>
        <w:pStyle w:val="ListParagraph"/>
        <w:jc w:val="both"/>
        <w:rPr>
          <w:rFonts w:asciiTheme="majorBidi" w:hAnsiTheme="majorBidi" w:cstheme="majorBidi"/>
          <w:szCs w:val="24"/>
          <w:lang w:val="en-MY"/>
        </w:rPr>
      </w:pPr>
    </w:p>
    <w:p w:rsidR="00B808DC" w:rsidRDefault="00B808DC" w:rsidP="002D59D9">
      <w:pPr>
        <w:pStyle w:val="ListParagraph"/>
        <w:numPr>
          <w:ilvl w:val="0"/>
          <w:numId w:val="15"/>
        </w:numPr>
        <w:jc w:val="both"/>
        <w:rPr>
          <w:rFonts w:asciiTheme="majorBidi" w:hAnsiTheme="majorBidi" w:cstheme="majorBidi"/>
          <w:szCs w:val="24"/>
          <w:lang w:val="en-MY"/>
        </w:rPr>
      </w:pPr>
      <w:r w:rsidRPr="00B808DC">
        <w:rPr>
          <w:rFonts w:asciiTheme="majorBidi" w:hAnsiTheme="majorBidi" w:cstheme="majorBidi"/>
          <w:szCs w:val="24"/>
          <w:lang w:val="en-MY"/>
        </w:rPr>
        <w:lastRenderedPageBreak/>
        <w:t xml:space="preserve">The second option is to change the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valuation from an interest-sensitive method to a method that takes volatility into account. One </w:t>
      </w:r>
      <w:r w:rsidR="00325619">
        <w:rPr>
          <w:rFonts w:asciiTheme="majorBidi" w:hAnsiTheme="majorBidi" w:cstheme="majorBidi"/>
          <w:szCs w:val="24"/>
          <w:lang w:val="en-MY"/>
        </w:rPr>
        <w:t>key recommendation for Zakat authorities is not to rely solely on spot gold prices, as they fluctuate daily and rise sharply</w:t>
      </w:r>
      <w:r w:rsidRPr="00B808DC">
        <w:rPr>
          <w:rFonts w:asciiTheme="majorBidi" w:hAnsiTheme="majorBidi" w:cstheme="majorBidi"/>
          <w:szCs w:val="24"/>
          <w:lang w:val="en-MY"/>
        </w:rPr>
        <w:t xml:space="preserve"> during structural repricing. Rather, institutions should take a </w:t>
      </w:r>
      <w:r w:rsidR="00325619">
        <w:rPr>
          <w:rFonts w:asciiTheme="majorBidi" w:hAnsiTheme="majorBidi" w:cstheme="majorBidi"/>
          <w:szCs w:val="24"/>
          <w:lang w:val="en-MY"/>
        </w:rPr>
        <w:t>volatility-aware tack, such as using</w:t>
      </w:r>
      <w:r w:rsidRPr="00B808DC">
        <w:rPr>
          <w:rFonts w:asciiTheme="majorBidi" w:hAnsiTheme="majorBidi" w:cstheme="majorBidi"/>
          <w:szCs w:val="24"/>
          <w:lang w:val="en-MY"/>
        </w:rPr>
        <w:t xml:space="preserve"> the monthly or quarterly rolling average. Such a technique would </w:t>
      </w:r>
      <w:r w:rsidR="00325619">
        <w:rPr>
          <w:rFonts w:asciiTheme="majorBidi" w:hAnsiTheme="majorBidi" w:cstheme="majorBidi"/>
          <w:szCs w:val="24"/>
          <w:lang w:val="en-MY"/>
        </w:rPr>
        <w:t xml:space="preserve">yield a more stable and legitimate value for </w:t>
      </w:r>
      <w:proofErr w:type="spellStart"/>
      <w:r w:rsidR="00325619">
        <w:rPr>
          <w:rFonts w:asciiTheme="majorBidi" w:hAnsiTheme="majorBidi" w:cstheme="majorBidi"/>
          <w:szCs w:val="24"/>
          <w:lang w:val="en-MY"/>
        </w:rPr>
        <w:t>niṣāb</w:t>
      </w:r>
      <w:proofErr w:type="spellEnd"/>
      <w:r w:rsidR="00534F9E">
        <w:rPr>
          <w:rFonts w:asciiTheme="majorBidi" w:hAnsiTheme="majorBidi" w:cstheme="majorBidi"/>
          <w:szCs w:val="24"/>
          <w:lang w:val="en-MY"/>
        </w:rPr>
        <w:t xml:space="preserve"> while remaining grounded in</w:t>
      </w:r>
      <w:r w:rsidR="00325619">
        <w:rPr>
          <w:rFonts w:asciiTheme="majorBidi" w:hAnsiTheme="majorBidi" w:cstheme="majorBidi"/>
          <w:szCs w:val="24"/>
          <w:lang w:val="en-MY"/>
        </w:rPr>
        <w:t xml:space="preserve"> </w:t>
      </w:r>
      <w:r w:rsidRPr="00B808DC">
        <w:rPr>
          <w:rFonts w:asciiTheme="majorBidi" w:hAnsiTheme="majorBidi" w:cstheme="majorBidi"/>
          <w:szCs w:val="24"/>
          <w:lang w:val="en-MY"/>
        </w:rPr>
        <w:t>actual market conditions. Also</w:t>
      </w:r>
      <w:r w:rsidR="00325619">
        <w:rPr>
          <w:rFonts w:asciiTheme="majorBidi" w:hAnsiTheme="majorBidi" w:cstheme="majorBidi"/>
          <w:szCs w:val="24"/>
          <w:lang w:val="en-MY"/>
        </w:rPr>
        <w:t>,</w:t>
      </w:r>
      <w:r w:rsidRPr="00B808DC">
        <w:rPr>
          <w:rFonts w:asciiTheme="majorBidi" w:hAnsiTheme="majorBidi" w:cstheme="majorBidi"/>
          <w:szCs w:val="24"/>
          <w:lang w:val="en-MY"/>
        </w:rPr>
        <w:t xml:space="preserve"> a corridor mechanism should be </w:t>
      </w:r>
      <w:r w:rsidR="00325619">
        <w:rPr>
          <w:rFonts w:asciiTheme="majorBidi" w:hAnsiTheme="majorBidi" w:cstheme="majorBidi"/>
          <w:szCs w:val="24"/>
          <w:lang w:val="en-MY"/>
        </w:rPr>
        <w:t>put in place that sets a limit on gold prices at a specified</w:t>
      </w:r>
      <w:r w:rsidRPr="00B808DC">
        <w:rPr>
          <w:rFonts w:asciiTheme="majorBidi" w:hAnsiTheme="majorBidi" w:cstheme="majorBidi"/>
          <w:szCs w:val="24"/>
          <w:lang w:val="en-MY"/>
        </w:rPr>
        <w:t xml:space="preserve"> percentage</w:t>
      </w:r>
      <w:r w:rsidR="00325619">
        <w:rPr>
          <w:rFonts w:asciiTheme="majorBidi" w:hAnsiTheme="majorBidi" w:cstheme="majorBidi"/>
          <w:szCs w:val="24"/>
          <w:lang w:val="en-MY"/>
        </w:rPr>
        <w:t xml:space="preserve"> above or below the current price</w:t>
      </w:r>
      <w:r w:rsidRPr="00B808DC">
        <w:rPr>
          <w:rFonts w:asciiTheme="majorBidi" w:hAnsiTheme="majorBidi" w:cstheme="majorBidi"/>
          <w:szCs w:val="24"/>
          <w:lang w:val="en-MY"/>
        </w:rPr>
        <w:t xml:space="preserve">. This policy would help to create a balance between the accuracy of the markets and the stability and public confidence of </w:t>
      </w:r>
      <w:r w:rsidR="00325619">
        <w:rPr>
          <w:rFonts w:asciiTheme="majorBidi" w:hAnsiTheme="majorBidi" w:cstheme="majorBidi"/>
          <w:szCs w:val="24"/>
          <w:lang w:val="en-MY"/>
        </w:rPr>
        <w:t xml:space="preserve">the </w:t>
      </w:r>
      <w:r w:rsidRPr="00B808DC">
        <w:rPr>
          <w:rFonts w:asciiTheme="majorBidi" w:hAnsiTheme="majorBidi" w:cstheme="majorBidi"/>
          <w:szCs w:val="24"/>
          <w:lang w:val="en-MY"/>
        </w:rPr>
        <w:t>administration.</w:t>
      </w:r>
    </w:p>
    <w:p w:rsidR="00B808DC" w:rsidRPr="00B808DC" w:rsidRDefault="00B808DC" w:rsidP="00B808DC">
      <w:pPr>
        <w:pStyle w:val="ListParagraph"/>
        <w:rPr>
          <w:rFonts w:asciiTheme="majorBidi" w:hAnsiTheme="majorBidi" w:cstheme="majorBidi"/>
          <w:szCs w:val="24"/>
          <w:lang w:val="en-MY"/>
        </w:rPr>
      </w:pPr>
    </w:p>
    <w:p w:rsidR="004657B1" w:rsidRPr="00B808DC" w:rsidRDefault="00B808DC" w:rsidP="002D59D9">
      <w:pPr>
        <w:pStyle w:val="ListParagraph"/>
        <w:numPr>
          <w:ilvl w:val="0"/>
          <w:numId w:val="15"/>
        </w:numPr>
        <w:jc w:val="both"/>
        <w:rPr>
          <w:rFonts w:asciiTheme="majorBidi" w:hAnsiTheme="majorBidi" w:cstheme="majorBidi"/>
          <w:szCs w:val="24"/>
          <w:lang w:val="en-MY"/>
        </w:rPr>
      </w:pPr>
      <w:r w:rsidRPr="00B808DC">
        <w:rPr>
          <w:rFonts w:asciiTheme="majorBidi" w:hAnsiTheme="majorBidi" w:cstheme="majorBidi"/>
          <w:szCs w:val="24"/>
          <w:lang w:val="en-MY"/>
        </w:rPr>
        <w:t xml:space="preserve">The third is to implement regular </w:t>
      </w:r>
      <w:proofErr w:type="spellStart"/>
      <w:r w:rsidRPr="00B808DC">
        <w:rPr>
          <w:rFonts w:asciiTheme="majorBidi" w:hAnsiTheme="majorBidi" w:cstheme="majorBidi"/>
          <w:szCs w:val="24"/>
          <w:lang w:val="en-MY"/>
        </w:rPr>
        <w:t>Sharīʾah</w:t>
      </w:r>
      <w:proofErr w:type="spellEnd"/>
      <w:r w:rsidRPr="00B808DC">
        <w:rPr>
          <w:rFonts w:asciiTheme="majorBidi" w:hAnsiTheme="majorBidi" w:cstheme="majorBidi"/>
          <w:szCs w:val="24"/>
          <w:lang w:val="en-MY"/>
        </w:rPr>
        <w:t xml:space="preserve"> governance and impact review processes. The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policy should be </w:t>
      </w:r>
      <w:r w:rsidR="00534F9E">
        <w:rPr>
          <w:rFonts w:asciiTheme="majorBidi" w:hAnsiTheme="majorBidi" w:cstheme="majorBidi"/>
          <w:szCs w:val="24"/>
          <w:lang w:val="en-MY"/>
        </w:rPr>
        <w:t xml:space="preserve">regularly assessed by both the </w:t>
      </w:r>
      <w:proofErr w:type="spellStart"/>
      <w:r w:rsidR="00534F9E">
        <w:rPr>
          <w:rFonts w:asciiTheme="majorBidi" w:hAnsiTheme="majorBidi" w:cstheme="majorBidi"/>
          <w:szCs w:val="24"/>
          <w:lang w:val="en-MY"/>
        </w:rPr>
        <w:t>Sharīʾah</w:t>
      </w:r>
      <w:proofErr w:type="spellEnd"/>
      <w:r w:rsidR="00534F9E">
        <w:rPr>
          <w:rFonts w:asciiTheme="majorBidi" w:hAnsiTheme="majorBidi" w:cstheme="majorBidi"/>
          <w:szCs w:val="24"/>
          <w:lang w:val="en-MY"/>
        </w:rPr>
        <w:t xml:space="preserve"> governance bodies and the zakat administrators</w:t>
      </w:r>
      <w:r w:rsidRPr="00B808DC">
        <w:rPr>
          <w:rFonts w:asciiTheme="majorBidi" w:hAnsiTheme="majorBidi" w:cstheme="majorBidi"/>
          <w:szCs w:val="24"/>
          <w:lang w:val="en-MY"/>
        </w:rPr>
        <w:t xml:space="preserve">. The review would not be just a technical examination of </w:t>
      </w:r>
      <w:r w:rsidR="00325619">
        <w:rPr>
          <w:rFonts w:asciiTheme="majorBidi" w:hAnsiTheme="majorBidi" w:cstheme="majorBidi"/>
          <w:szCs w:val="24"/>
          <w:lang w:val="en-MY"/>
        </w:rPr>
        <w:t xml:space="preserve">the correctness of the amount of the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rather,</w:t>
      </w:r>
      <w:r w:rsidRPr="00B808DC">
        <w:rPr>
          <w:rFonts w:asciiTheme="majorBidi" w:hAnsiTheme="majorBidi" w:cstheme="majorBidi"/>
          <w:szCs w:val="24"/>
          <w:lang w:val="en-MY"/>
        </w:rPr>
        <w:t xml:space="preserve"> it would be an examination of the economic and social impact of the amount of the </w:t>
      </w:r>
      <w:proofErr w:type="spellStart"/>
      <w:r w:rsidRPr="00B808DC">
        <w:rPr>
          <w:rFonts w:asciiTheme="majorBidi" w:hAnsiTheme="majorBidi" w:cstheme="majorBidi"/>
          <w:szCs w:val="24"/>
          <w:lang w:val="en-MY"/>
        </w:rPr>
        <w:t>niṣāb</w:t>
      </w:r>
      <w:proofErr w:type="spellEnd"/>
      <w:r w:rsidRPr="00B808DC">
        <w:rPr>
          <w:rFonts w:asciiTheme="majorBidi" w:hAnsiTheme="majorBidi" w:cstheme="majorBidi"/>
          <w:szCs w:val="24"/>
          <w:lang w:val="en-MY"/>
        </w:rPr>
        <w:t xml:space="preserve">. Zakat institutions should </w:t>
      </w:r>
      <w:r w:rsidR="00325619">
        <w:rPr>
          <w:rFonts w:asciiTheme="majorBidi" w:hAnsiTheme="majorBidi" w:cstheme="majorBidi"/>
          <w:szCs w:val="24"/>
          <w:lang w:val="en-MY"/>
        </w:rPr>
        <w:t xml:space="preserve">consider how raising the gold-based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xml:space="preserve"> may decrease the number of zakat payers, the total amount of zakat collected, the profile of those paying zakat, and/or the capacity to cover the needs of </w:t>
      </w:r>
      <w:r w:rsidRPr="00B808DC">
        <w:rPr>
          <w:rFonts w:asciiTheme="majorBidi" w:hAnsiTheme="majorBidi" w:cstheme="majorBidi"/>
          <w:szCs w:val="24"/>
          <w:lang w:val="en-MY"/>
        </w:rPr>
        <w:t>beneficiaries. In this study</w:t>
      </w:r>
      <w:r w:rsidR="00325619">
        <w:rPr>
          <w:rFonts w:asciiTheme="majorBidi" w:hAnsiTheme="majorBidi" w:cstheme="majorBidi"/>
          <w:szCs w:val="24"/>
          <w:lang w:val="en-MY"/>
        </w:rPr>
        <w:t xml:space="preserve">, it does not change the </w:t>
      </w:r>
      <w:proofErr w:type="spellStart"/>
      <w:r w:rsidR="00325619">
        <w:rPr>
          <w:rFonts w:asciiTheme="majorBidi" w:hAnsiTheme="majorBidi" w:cstheme="majorBidi"/>
          <w:szCs w:val="24"/>
          <w:lang w:val="en-MY"/>
        </w:rPr>
        <w:t>Sharīʿah</w:t>
      </w:r>
      <w:proofErr w:type="spellEnd"/>
      <w:r w:rsidR="00325619">
        <w:rPr>
          <w:rFonts w:asciiTheme="majorBidi" w:hAnsiTheme="majorBidi" w:cstheme="majorBidi"/>
          <w:szCs w:val="24"/>
          <w:lang w:val="en-MY"/>
        </w:rPr>
        <w:t xml:space="preserve"> basis of </w:t>
      </w:r>
      <w:proofErr w:type="spellStart"/>
      <w:r w:rsidR="00325619">
        <w:rPr>
          <w:rFonts w:asciiTheme="majorBidi" w:hAnsiTheme="majorBidi" w:cstheme="majorBidi"/>
          <w:szCs w:val="24"/>
          <w:lang w:val="en-MY"/>
        </w:rPr>
        <w:t>niṣāb</w:t>
      </w:r>
      <w:proofErr w:type="spellEnd"/>
      <w:r w:rsidR="00325619">
        <w:rPr>
          <w:rFonts w:asciiTheme="majorBidi" w:hAnsiTheme="majorBidi" w:cstheme="majorBidi"/>
          <w:szCs w:val="24"/>
          <w:lang w:val="en-MY"/>
        </w:rPr>
        <w:t>, but it helps institutions understand</w:t>
      </w:r>
      <w:r w:rsidRPr="00B808DC">
        <w:rPr>
          <w:rFonts w:asciiTheme="majorBidi" w:hAnsiTheme="majorBidi" w:cstheme="majorBidi"/>
          <w:szCs w:val="24"/>
          <w:lang w:val="en-MY"/>
        </w:rPr>
        <w:t xml:space="preserve"> the implications of their administration. This can make the </w:t>
      </w:r>
      <w:proofErr w:type="spellStart"/>
      <w:r w:rsidRPr="00B808DC">
        <w:rPr>
          <w:rFonts w:asciiTheme="majorBidi" w:hAnsiTheme="majorBidi" w:cstheme="majorBidi"/>
          <w:szCs w:val="24"/>
          <w:lang w:val="en-MY"/>
        </w:rPr>
        <w:t>Sharīʾah</w:t>
      </w:r>
      <w:proofErr w:type="spellEnd"/>
      <w:r w:rsidRPr="00B808DC">
        <w:rPr>
          <w:rFonts w:asciiTheme="majorBidi" w:hAnsiTheme="majorBidi" w:cstheme="majorBidi"/>
          <w:szCs w:val="24"/>
          <w:lang w:val="en-MY"/>
        </w:rPr>
        <w:t xml:space="preserve"> supervision more proactive, evidence-based and in accordance with the objectives of zakat.</w:t>
      </w:r>
    </w:p>
    <w:p w:rsidR="002A4AEB" w:rsidRPr="009B5519" w:rsidRDefault="0077334E" w:rsidP="00E42491">
      <w:pPr>
        <w:pStyle w:val="Heading1"/>
        <w:spacing w:before="0"/>
        <w:jc w:val="both"/>
        <w:rPr>
          <w:rFonts w:asciiTheme="majorBidi" w:hAnsiTheme="majorBidi"/>
          <w:color w:val="auto"/>
          <w:sz w:val="24"/>
          <w:szCs w:val="24"/>
          <w:lang w:val="en-MY"/>
        </w:rPr>
      </w:pPr>
      <w:r>
        <w:rPr>
          <w:rFonts w:asciiTheme="majorBidi" w:hAnsiTheme="majorBidi"/>
          <w:color w:val="auto"/>
          <w:sz w:val="24"/>
          <w:szCs w:val="24"/>
          <w:lang w:val="en-MY"/>
        </w:rPr>
        <w:t>8</w:t>
      </w:r>
      <w:r w:rsidR="003B4FC0" w:rsidRPr="009B5519">
        <w:rPr>
          <w:rFonts w:asciiTheme="majorBidi" w:hAnsiTheme="majorBidi"/>
          <w:color w:val="auto"/>
          <w:sz w:val="24"/>
          <w:szCs w:val="24"/>
          <w:lang w:val="en-MY"/>
        </w:rPr>
        <w:t xml:space="preserve">. </w:t>
      </w:r>
      <w:r w:rsidRPr="009B5519">
        <w:rPr>
          <w:rFonts w:asciiTheme="majorBidi" w:hAnsiTheme="majorBidi"/>
          <w:color w:val="auto"/>
          <w:sz w:val="24"/>
          <w:szCs w:val="24"/>
          <w:lang w:val="en-MY"/>
        </w:rPr>
        <w:t>CONCLUSION</w:t>
      </w:r>
    </w:p>
    <w:p w:rsidR="00B808DC" w:rsidRPr="00B808DC" w:rsidRDefault="00B808DC" w:rsidP="00B808DC">
      <w:pPr>
        <w:jc w:val="both"/>
        <w:rPr>
          <w:rFonts w:asciiTheme="majorBidi" w:hAnsiTheme="majorBidi"/>
          <w:szCs w:val="24"/>
          <w:lang w:val="en-MY"/>
        </w:rPr>
      </w:pPr>
      <w:r w:rsidRPr="00B808DC">
        <w:rPr>
          <w:rFonts w:asciiTheme="majorBidi" w:hAnsiTheme="majorBidi"/>
          <w:szCs w:val="24"/>
          <w:lang w:val="en-MY"/>
        </w:rPr>
        <w:t xml:space="preserve">In modern systems of </w:t>
      </w:r>
      <w:r w:rsidR="00325619">
        <w:rPr>
          <w:rFonts w:asciiTheme="majorBidi" w:hAnsiTheme="majorBidi"/>
          <w:szCs w:val="24"/>
          <w:lang w:val="en-MY"/>
        </w:rPr>
        <w:t xml:space="preserve">fiat money, one of the fundamental problems in assessing the wealth zakat </w:t>
      </w:r>
      <w:proofErr w:type="spellStart"/>
      <w:r w:rsidR="00325619">
        <w:rPr>
          <w:rFonts w:asciiTheme="majorBidi" w:hAnsiTheme="majorBidi"/>
          <w:szCs w:val="24"/>
          <w:lang w:val="en-MY"/>
        </w:rPr>
        <w:t>niṣāb</w:t>
      </w:r>
      <w:proofErr w:type="spellEnd"/>
      <w:r w:rsidR="00325619">
        <w:rPr>
          <w:rFonts w:asciiTheme="majorBidi" w:hAnsiTheme="majorBidi"/>
          <w:szCs w:val="24"/>
          <w:lang w:val="en-MY"/>
        </w:rPr>
        <w:t xml:space="preserve"> is </w:t>
      </w:r>
      <w:r w:rsidRPr="00B808DC">
        <w:rPr>
          <w:rFonts w:asciiTheme="majorBidi" w:hAnsiTheme="majorBidi"/>
          <w:szCs w:val="24"/>
          <w:lang w:val="en-MY"/>
        </w:rPr>
        <w:t xml:space="preserve">the revaluation of gold from 2021 to 2025. There is more than just near-term volatility: the whole valuation </w:t>
      </w:r>
      <w:r w:rsidR="003A06B3">
        <w:rPr>
          <w:rFonts w:asciiTheme="majorBidi" w:hAnsiTheme="majorBidi"/>
          <w:szCs w:val="24"/>
          <w:lang w:val="en-MY"/>
        </w:rPr>
        <w:t>of gold changes in</w:t>
      </w:r>
      <w:r w:rsidRPr="00B808DC">
        <w:rPr>
          <w:rFonts w:asciiTheme="majorBidi" w:hAnsiTheme="majorBidi"/>
          <w:szCs w:val="24"/>
          <w:lang w:val="en-MY"/>
        </w:rPr>
        <w:t xml:space="preserve"> the macro-financial environment. Empirical evidence shows that the monetary value of </w:t>
      </w:r>
      <w:r w:rsidR="00325619">
        <w:rPr>
          <w:rFonts w:asciiTheme="majorBidi" w:hAnsiTheme="majorBidi"/>
          <w:szCs w:val="24"/>
          <w:lang w:val="en-MY"/>
        </w:rPr>
        <w:t>a proxy of 85 grams of gold rose considerably, and the annualised volatility during this period also increased</w:t>
      </w:r>
      <w:r w:rsidRPr="00B808DC">
        <w:rPr>
          <w:rFonts w:asciiTheme="majorBidi" w:hAnsiTheme="majorBidi"/>
          <w:szCs w:val="24"/>
          <w:lang w:val="en-MY"/>
        </w:rPr>
        <w:t xml:space="preserve">. This is an important progression </w:t>
      </w:r>
      <w:r w:rsidR="00325619">
        <w:rPr>
          <w:rFonts w:asciiTheme="majorBidi" w:hAnsiTheme="majorBidi"/>
          <w:szCs w:val="24"/>
          <w:lang w:val="en-MY"/>
        </w:rPr>
        <w:t>regarding</w:t>
      </w:r>
      <w:r w:rsidRPr="00B808DC">
        <w:rPr>
          <w:rFonts w:asciiTheme="majorBidi" w:hAnsiTheme="majorBidi"/>
          <w:szCs w:val="24"/>
          <w:lang w:val="en-MY"/>
        </w:rPr>
        <w:t xml:space="preserve"> who qualifies as a zakat recipient, how institutions communicate with one another, administrative security, and public confidence in </w:t>
      </w:r>
      <w:r w:rsidR="00325619">
        <w:rPr>
          <w:rFonts w:asciiTheme="majorBidi" w:hAnsiTheme="majorBidi"/>
          <w:szCs w:val="24"/>
          <w:lang w:val="en-MY"/>
        </w:rPr>
        <w:t>zakat governance</w:t>
      </w:r>
      <w:r w:rsidRPr="00B808DC">
        <w:rPr>
          <w:rFonts w:asciiTheme="majorBidi" w:hAnsiTheme="majorBidi"/>
          <w:szCs w:val="24"/>
          <w:lang w:val="en-MY"/>
        </w:rPr>
        <w:t>.</w:t>
      </w:r>
    </w:p>
    <w:p w:rsidR="009438CA" w:rsidRDefault="00B808DC" w:rsidP="00B808DC">
      <w:pPr>
        <w:ind w:firstLine="720"/>
        <w:jc w:val="both"/>
        <w:rPr>
          <w:rFonts w:asciiTheme="majorBidi" w:hAnsiTheme="majorBidi"/>
          <w:szCs w:val="24"/>
          <w:lang w:val="en-MY"/>
        </w:rPr>
      </w:pPr>
      <w:r w:rsidRPr="00B808DC">
        <w:rPr>
          <w:rFonts w:asciiTheme="majorBidi" w:hAnsiTheme="majorBidi"/>
          <w:szCs w:val="24"/>
          <w:lang w:val="en-MY"/>
        </w:rPr>
        <w:t xml:space="preserve">In this article, the </w:t>
      </w:r>
      <w:proofErr w:type="spellStart"/>
      <w:r w:rsidRPr="00B808DC">
        <w:rPr>
          <w:rFonts w:asciiTheme="majorBidi" w:hAnsiTheme="majorBidi"/>
          <w:szCs w:val="24"/>
          <w:lang w:val="en-MY"/>
        </w:rPr>
        <w:t>niṣāb</w:t>
      </w:r>
      <w:proofErr w:type="spellEnd"/>
      <w:r w:rsidRPr="00B808DC">
        <w:rPr>
          <w:rFonts w:asciiTheme="majorBidi" w:hAnsiTheme="majorBidi"/>
          <w:szCs w:val="24"/>
          <w:lang w:val="en-MY"/>
        </w:rPr>
        <w:t xml:space="preserve"> determination is argued to be an administrative ijtihad. The quantity of gold is the fixed, juristic valuation</w:t>
      </w:r>
      <w:r w:rsidR="00325619">
        <w:rPr>
          <w:rFonts w:asciiTheme="majorBidi" w:hAnsiTheme="majorBidi"/>
          <w:szCs w:val="24"/>
          <w:lang w:val="en-MY"/>
        </w:rPr>
        <w:t>. However, its</w:t>
      </w:r>
      <w:r w:rsidRPr="00B808DC">
        <w:rPr>
          <w:rFonts w:asciiTheme="majorBidi" w:hAnsiTheme="majorBidi"/>
          <w:szCs w:val="24"/>
          <w:lang w:val="en-MY"/>
        </w:rPr>
        <w:t xml:space="preserve"> representation </w:t>
      </w:r>
      <w:r w:rsidR="00325619">
        <w:rPr>
          <w:rFonts w:asciiTheme="majorBidi" w:hAnsiTheme="majorBidi"/>
          <w:szCs w:val="24"/>
          <w:lang w:val="en-MY"/>
        </w:rPr>
        <w:t>on paper money is an institutional valuation that should be based on an adequate method, reliable proof,</w:t>
      </w:r>
      <w:r w:rsidRPr="00B808DC">
        <w:rPr>
          <w:rFonts w:asciiTheme="majorBidi" w:hAnsiTheme="majorBidi"/>
          <w:szCs w:val="24"/>
          <w:lang w:val="en-MY"/>
        </w:rPr>
        <w:t xml:space="preserve"> and good management. A good policy for </w:t>
      </w:r>
      <w:proofErr w:type="spellStart"/>
      <w:r w:rsidRPr="00B808DC">
        <w:rPr>
          <w:rFonts w:asciiTheme="majorBidi" w:hAnsiTheme="majorBidi"/>
          <w:szCs w:val="24"/>
          <w:lang w:val="en-MY"/>
        </w:rPr>
        <w:t>niṣāb</w:t>
      </w:r>
      <w:proofErr w:type="spellEnd"/>
      <w:r w:rsidRPr="00B808DC">
        <w:rPr>
          <w:rFonts w:asciiTheme="majorBidi" w:hAnsiTheme="majorBidi"/>
          <w:szCs w:val="24"/>
          <w:lang w:val="en-MY"/>
        </w:rPr>
        <w:t xml:space="preserve"> should be predictable, transparent, supervised by </w:t>
      </w:r>
      <w:proofErr w:type="spellStart"/>
      <w:r w:rsidRPr="00B808DC">
        <w:rPr>
          <w:rFonts w:asciiTheme="majorBidi" w:hAnsiTheme="majorBidi"/>
          <w:szCs w:val="24"/>
          <w:lang w:val="en-MY"/>
        </w:rPr>
        <w:t>Sharīʾah</w:t>
      </w:r>
      <w:proofErr w:type="spellEnd"/>
      <w:r w:rsidRPr="00B808DC">
        <w:rPr>
          <w:rFonts w:asciiTheme="majorBidi" w:hAnsiTheme="majorBidi"/>
          <w:szCs w:val="24"/>
          <w:lang w:val="en-MY"/>
        </w:rPr>
        <w:t xml:space="preserve">, adjustable in accordance with market volatility, and sensitive to the distributive impacts. The </w:t>
      </w:r>
      <w:proofErr w:type="spellStart"/>
      <w:r w:rsidRPr="00B808DC">
        <w:rPr>
          <w:rFonts w:asciiTheme="majorBidi" w:hAnsiTheme="majorBidi"/>
          <w:szCs w:val="24"/>
          <w:lang w:val="en-MY"/>
        </w:rPr>
        <w:t>niṣāb</w:t>
      </w:r>
      <w:proofErr w:type="spellEnd"/>
      <w:r w:rsidRPr="00B808DC">
        <w:rPr>
          <w:rFonts w:asciiTheme="majorBidi" w:hAnsiTheme="majorBidi"/>
          <w:szCs w:val="24"/>
          <w:lang w:val="en-MY"/>
        </w:rPr>
        <w:t xml:space="preserve"> governance in the proposed Structural Repricing Framework </w:t>
      </w:r>
      <w:r w:rsidR="00325619">
        <w:rPr>
          <w:rFonts w:asciiTheme="majorBidi" w:hAnsiTheme="majorBidi"/>
          <w:szCs w:val="24"/>
          <w:lang w:val="en-MY"/>
        </w:rPr>
        <w:t xml:space="preserve">aligns market data, </w:t>
      </w:r>
      <w:proofErr w:type="spellStart"/>
      <w:r w:rsidR="00325619">
        <w:rPr>
          <w:rFonts w:asciiTheme="majorBidi" w:hAnsiTheme="majorBidi"/>
          <w:szCs w:val="24"/>
          <w:lang w:val="en-MY"/>
        </w:rPr>
        <w:t>fiqh</w:t>
      </w:r>
      <w:proofErr w:type="spellEnd"/>
      <w:r w:rsidR="00325619">
        <w:rPr>
          <w:rFonts w:asciiTheme="majorBidi" w:hAnsiTheme="majorBidi"/>
          <w:szCs w:val="24"/>
          <w:lang w:val="en-MY"/>
        </w:rPr>
        <w:t xml:space="preserve"> principles, institutional accountability,</w:t>
      </w:r>
      <w:r w:rsidRPr="00B808DC">
        <w:rPr>
          <w:rFonts w:asciiTheme="majorBidi" w:hAnsiTheme="majorBidi"/>
          <w:szCs w:val="24"/>
          <w:lang w:val="en-MY"/>
        </w:rPr>
        <w:t xml:space="preserve"> and social welfare. Zakat institutions should </w:t>
      </w:r>
      <w:r w:rsidR="00325619">
        <w:rPr>
          <w:rFonts w:asciiTheme="majorBidi" w:hAnsiTheme="majorBidi"/>
          <w:szCs w:val="24"/>
          <w:lang w:val="en-MY"/>
        </w:rPr>
        <w:t xml:space="preserve">move away from a reactive approach to </w:t>
      </w:r>
      <w:proofErr w:type="spellStart"/>
      <w:r w:rsidR="00325619">
        <w:rPr>
          <w:rFonts w:asciiTheme="majorBidi" w:hAnsiTheme="majorBidi"/>
          <w:szCs w:val="24"/>
          <w:lang w:val="en-MY"/>
        </w:rPr>
        <w:t>niṣāb</w:t>
      </w:r>
      <w:proofErr w:type="spellEnd"/>
      <w:r w:rsidR="00325619">
        <w:rPr>
          <w:rFonts w:asciiTheme="majorBidi" w:hAnsiTheme="majorBidi"/>
          <w:szCs w:val="24"/>
          <w:lang w:val="en-MY"/>
        </w:rPr>
        <w:t xml:space="preserve"> changes towards a governance model that is legally sound, </w:t>
      </w:r>
      <w:r w:rsidR="00325619">
        <w:rPr>
          <w:rFonts w:asciiTheme="majorBidi" w:hAnsiTheme="majorBidi"/>
          <w:szCs w:val="24"/>
          <w:lang w:val="en-MY"/>
        </w:rPr>
        <w:lastRenderedPageBreak/>
        <w:t xml:space="preserve">methodologically open, and socially responsible, especially in a world where more and more people are seeking gold as a strategic reserve or </w:t>
      </w:r>
      <w:r w:rsidRPr="00B808DC">
        <w:rPr>
          <w:rFonts w:asciiTheme="majorBidi" w:hAnsiTheme="majorBidi"/>
          <w:szCs w:val="24"/>
          <w:lang w:val="en-MY"/>
        </w:rPr>
        <w:t>store of value.</w:t>
      </w:r>
    </w:p>
    <w:p w:rsidR="002A4AEB" w:rsidRPr="009438CA" w:rsidRDefault="009438CA" w:rsidP="009438CA">
      <w:pPr>
        <w:jc w:val="both"/>
        <w:rPr>
          <w:lang w:val="en-MY"/>
        </w:rPr>
      </w:pPr>
      <w:r w:rsidRPr="009438CA">
        <w:rPr>
          <w:rFonts w:asciiTheme="majorBidi" w:hAnsiTheme="majorBidi"/>
          <w:b/>
          <w:bCs/>
          <w:szCs w:val="24"/>
          <w:lang w:val="en-MY"/>
        </w:rPr>
        <w:t>REFERENCES</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AAOIFI. (2017). </w:t>
      </w:r>
      <w:proofErr w:type="spellStart"/>
      <w:r w:rsidRPr="009B5519">
        <w:rPr>
          <w:rFonts w:asciiTheme="majorBidi" w:hAnsiTheme="majorBidi" w:cstheme="majorBidi"/>
          <w:szCs w:val="24"/>
          <w:lang w:val="en-MY"/>
        </w:rPr>
        <w:t>Shari</w:t>
      </w:r>
      <w:r w:rsidR="00325619">
        <w:rPr>
          <w:rFonts w:asciiTheme="majorBidi" w:hAnsiTheme="majorBidi" w:cstheme="majorBidi"/>
          <w:szCs w:val="24"/>
          <w:lang w:val="en-MY"/>
        </w:rPr>
        <w:t>’</w:t>
      </w:r>
      <w:r w:rsidRPr="009B5519">
        <w:rPr>
          <w:rFonts w:asciiTheme="majorBidi" w:hAnsiTheme="majorBidi" w:cstheme="majorBidi"/>
          <w:szCs w:val="24"/>
          <w:lang w:val="en-MY"/>
        </w:rPr>
        <w:t>ah</w:t>
      </w:r>
      <w:proofErr w:type="spellEnd"/>
      <w:r w:rsidRPr="009B5519">
        <w:rPr>
          <w:rFonts w:asciiTheme="majorBidi" w:hAnsiTheme="majorBidi" w:cstheme="majorBidi"/>
          <w:szCs w:val="24"/>
          <w:lang w:val="en-MY"/>
        </w:rPr>
        <w:t xml:space="preserve"> standard no. 35: </w:t>
      </w:r>
      <w:proofErr w:type="spellStart"/>
      <w:r w:rsidRPr="009B5519">
        <w:rPr>
          <w:rFonts w:asciiTheme="majorBidi" w:hAnsiTheme="majorBidi" w:cstheme="majorBidi"/>
          <w:szCs w:val="24"/>
          <w:lang w:val="en-MY"/>
        </w:rPr>
        <w:t>Zakah</w:t>
      </w:r>
      <w:proofErr w:type="spellEnd"/>
      <w:r w:rsidRPr="009B5519">
        <w:rPr>
          <w:rFonts w:asciiTheme="majorBidi" w:hAnsiTheme="majorBidi" w:cstheme="majorBidi"/>
          <w:szCs w:val="24"/>
          <w:lang w:val="en-MY"/>
        </w:rPr>
        <w:t>. Accounting and Auditing Organization for Islamic Financial Institutions.</w:t>
      </w:r>
    </w:p>
    <w:p w:rsidR="004D0968" w:rsidRDefault="004D0968" w:rsidP="00E42491">
      <w:pPr>
        <w:ind w:left="720" w:hanging="720"/>
        <w:jc w:val="both"/>
        <w:rPr>
          <w:rFonts w:asciiTheme="majorBidi" w:hAnsiTheme="majorBidi" w:cstheme="majorBidi"/>
          <w:szCs w:val="24"/>
          <w:lang w:val="en-MY"/>
        </w:rPr>
      </w:pPr>
      <w:r w:rsidRPr="004D0968">
        <w:rPr>
          <w:rFonts w:asciiTheme="majorBidi" w:hAnsiTheme="majorBidi" w:cstheme="majorBidi"/>
          <w:szCs w:val="24"/>
          <w:lang w:val="en-MY"/>
        </w:rPr>
        <w:t xml:space="preserve">Abdul Ghani, A., </w:t>
      </w:r>
      <w:proofErr w:type="spellStart"/>
      <w:r w:rsidRPr="004D0968">
        <w:rPr>
          <w:rFonts w:asciiTheme="majorBidi" w:hAnsiTheme="majorBidi" w:cstheme="majorBidi"/>
          <w:szCs w:val="24"/>
          <w:lang w:val="en-MY"/>
        </w:rPr>
        <w:t>Shafie</w:t>
      </w:r>
      <w:proofErr w:type="spellEnd"/>
      <w:r w:rsidRPr="004D0968">
        <w:rPr>
          <w:rFonts w:asciiTheme="majorBidi" w:hAnsiTheme="majorBidi" w:cstheme="majorBidi"/>
          <w:szCs w:val="24"/>
          <w:lang w:val="en-MY"/>
        </w:rPr>
        <w:t xml:space="preserve">, R., Md. Saleh, Md. S., Elham, F., Abdul Kadir, M. H., Haji Ismail, M. S., Abdul Hamid, F. Z., </w:t>
      </w:r>
      <w:proofErr w:type="spellStart"/>
      <w:r w:rsidRPr="004D0968">
        <w:rPr>
          <w:rFonts w:asciiTheme="majorBidi" w:hAnsiTheme="majorBidi" w:cstheme="majorBidi"/>
          <w:szCs w:val="24"/>
          <w:lang w:val="en-MY"/>
        </w:rPr>
        <w:t>Naiimi</w:t>
      </w:r>
      <w:proofErr w:type="spellEnd"/>
      <w:r w:rsidRPr="004D0968">
        <w:rPr>
          <w:rFonts w:asciiTheme="majorBidi" w:hAnsiTheme="majorBidi" w:cstheme="majorBidi"/>
          <w:szCs w:val="24"/>
          <w:lang w:val="en-MY"/>
        </w:rPr>
        <w:t xml:space="preserve">, N., &amp; Othman, Z. (2017). </w:t>
      </w:r>
      <w:proofErr w:type="spellStart"/>
      <w:r w:rsidRPr="004D0968">
        <w:rPr>
          <w:rFonts w:asciiTheme="majorBidi" w:hAnsiTheme="majorBidi" w:cstheme="majorBidi"/>
          <w:szCs w:val="24"/>
          <w:lang w:val="en-MY"/>
        </w:rPr>
        <w:t>Isu-Isu</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Dalam</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Pengurusan</w:t>
      </w:r>
      <w:proofErr w:type="spellEnd"/>
      <w:r w:rsidRPr="004D0968">
        <w:rPr>
          <w:rFonts w:asciiTheme="majorBidi" w:hAnsiTheme="majorBidi" w:cstheme="majorBidi"/>
          <w:szCs w:val="24"/>
          <w:lang w:val="en-MY"/>
        </w:rPr>
        <w:t xml:space="preserve"> dan </w:t>
      </w:r>
      <w:proofErr w:type="spellStart"/>
      <w:r w:rsidRPr="004D0968">
        <w:rPr>
          <w:rFonts w:asciiTheme="majorBidi" w:hAnsiTheme="majorBidi" w:cstheme="majorBidi"/>
          <w:szCs w:val="24"/>
          <w:lang w:val="en-MY"/>
        </w:rPr>
        <w:t>Pelaporan</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Wakaf</w:t>
      </w:r>
      <w:proofErr w:type="spellEnd"/>
      <w:r w:rsidRPr="004D0968">
        <w:rPr>
          <w:rFonts w:asciiTheme="majorBidi" w:hAnsiTheme="majorBidi" w:cstheme="majorBidi"/>
          <w:szCs w:val="24"/>
          <w:lang w:val="en-MY"/>
        </w:rPr>
        <w:t xml:space="preserve">, Zakat dan </w:t>
      </w:r>
      <w:proofErr w:type="spellStart"/>
      <w:r w:rsidRPr="004D0968">
        <w:rPr>
          <w:rFonts w:asciiTheme="majorBidi" w:hAnsiTheme="majorBidi" w:cstheme="majorBidi"/>
          <w:szCs w:val="24"/>
          <w:lang w:val="en-MY"/>
        </w:rPr>
        <w:t>Baitulmal</w:t>
      </w:r>
      <w:proofErr w:type="spellEnd"/>
      <w:r w:rsidRPr="004D0968">
        <w:rPr>
          <w:rFonts w:asciiTheme="majorBidi" w:hAnsiTheme="majorBidi" w:cstheme="majorBidi"/>
          <w:szCs w:val="24"/>
          <w:lang w:val="en-MY"/>
        </w:rPr>
        <w:t xml:space="preserve"> Di Malaysia. IPN Journal of Research and Practice in Public Sector Accounting and Management, 7(01), 41–51. </w:t>
      </w:r>
      <w:hyperlink r:id="rId8" w:history="1">
        <w:r w:rsidRPr="00B50E79">
          <w:rPr>
            <w:rStyle w:val="Hyperlink"/>
            <w:rFonts w:asciiTheme="majorBidi" w:hAnsiTheme="majorBidi" w:cstheme="majorBidi"/>
            <w:szCs w:val="24"/>
            <w:lang w:val="en-MY"/>
          </w:rPr>
          <w:t>https://doi.org/10.58458/ipnj.v07.01.04.0048</w:t>
        </w:r>
      </w:hyperlink>
    </w:p>
    <w:p w:rsidR="004D0968" w:rsidRDefault="004D0968" w:rsidP="00E42491">
      <w:pPr>
        <w:ind w:left="720" w:hanging="720"/>
        <w:jc w:val="both"/>
        <w:rPr>
          <w:rFonts w:asciiTheme="majorBidi" w:hAnsiTheme="majorBidi" w:cstheme="majorBidi"/>
          <w:szCs w:val="24"/>
          <w:lang w:val="en-MY"/>
        </w:rPr>
      </w:pPr>
      <w:r w:rsidRPr="004D0968">
        <w:rPr>
          <w:rFonts w:asciiTheme="majorBidi" w:hAnsiTheme="majorBidi" w:cstheme="majorBidi"/>
          <w:szCs w:val="24"/>
          <w:lang w:val="en-MY"/>
        </w:rPr>
        <w:t xml:space="preserve">Ahmad, N., Roslin, R. I., &amp; </w:t>
      </w:r>
      <w:proofErr w:type="spellStart"/>
      <w:r w:rsidRPr="004D0968">
        <w:rPr>
          <w:rFonts w:asciiTheme="majorBidi" w:hAnsiTheme="majorBidi" w:cstheme="majorBidi"/>
          <w:szCs w:val="24"/>
          <w:lang w:val="en-MY"/>
        </w:rPr>
        <w:t>Nazrin</w:t>
      </w:r>
      <w:proofErr w:type="spellEnd"/>
      <w:r w:rsidRPr="004D0968">
        <w:rPr>
          <w:rFonts w:asciiTheme="majorBidi" w:hAnsiTheme="majorBidi" w:cstheme="majorBidi"/>
          <w:szCs w:val="24"/>
          <w:lang w:val="en-MY"/>
        </w:rPr>
        <w:t xml:space="preserve">, N. F. S. (2021). Analysing the Drivers Affecting the Intention to Use Online Zakat Payment Among Muslim in Shah </w:t>
      </w:r>
      <w:proofErr w:type="spellStart"/>
      <w:r w:rsidRPr="004D0968">
        <w:rPr>
          <w:rFonts w:asciiTheme="majorBidi" w:hAnsiTheme="majorBidi" w:cstheme="majorBidi"/>
          <w:szCs w:val="24"/>
          <w:lang w:val="en-MY"/>
        </w:rPr>
        <w:t>Alam</w:t>
      </w:r>
      <w:proofErr w:type="spellEnd"/>
      <w:r w:rsidRPr="004D0968">
        <w:rPr>
          <w:rFonts w:asciiTheme="majorBidi" w:hAnsiTheme="majorBidi" w:cstheme="majorBidi"/>
          <w:szCs w:val="24"/>
          <w:lang w:val="en-MY"/>
        </w:rPr>
        <w:t xml:space="preserve">, Selangor. International Journal of Islamic Business, 16(1). </w:t>
      </w:r>
      <w:hyperlink r:id="rId9" w:history="1">
        <w:r w:rsidRPr="00B50E79">
          <w:rPr>
            <w:rStyle w:val="Hyperlink"/>
            <w:rFonts w:asciiTheme="majorBidi" w:hAnsiTheme="majorBidi" w:cstheme="majorBidi"/>
            <w:szCs w:val="24"/>
            <w:lang w:val="en-MY"/>
          </w:rPr>
          <w:t>https://doi.org/10.32890/ijib2021.6.1.3</w:t>
        </w:r>
      </w:hyperlink>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Ahmed, H. (2004). Role of </w:t>
      </w:r>
      <w:proofErr w:type="spellStart"/>
      <w:r w:rsidRPr="009B5519">
        <w:rPr>
          <w:rFonts w:asciiTheme="majorBidi" w:hAnsiTheme="majorBidi" w:cstheme="majorBidi"/>
          <w:szCs w:val="24"/>
          <w:lang w:val="en-MY"/>
        </w:rPr>
        <w:t>zakah</w:t>
      </w:r>
      <w:proofErr w:type="spellEnd"/>
      <w:r w:rsidRPr="009B5519">
        <w:rPr>
          <w:rFonts w:asciiTheme="majorBidi" w:hAnsiTheme="majorBidi" w:cstheme="majorBidi"/>
          <w:szCs w:val="24"/>
          <w:lang w:val="en-MY"/>
        </w:rPr>
        <w:t xml:space="preserve"> and </w:t>
      </w:r>
      <w:proofErr w:type="spellStart"/>
      <w:r w:rsidRPr="009B5519">
        <w:rPr>
          <w:rFonts w:asciiTheme="majorBidi" w:hAnsiTheme="majorBidi" w:cstheme="majorBidi"/>
          <w:szCs w:val="24"/>
          <w:lang w:val="en-MY"/>
        </w:rPr>
        <w:t>awqaf</w:t>
      </w:r>
      <w:proofErr w:type="spellEnd"/>
      <w:r w:rsidRPr="009B5519">
        <w:rPr>
          <w:rFonts w:asciiTheme="majorBidi" w:hAnsiTheme="majorBidi" w:cstheme="majorBidi"/>
          <w:szCs w:val="24"/>
          <w:lang w:val="en-MY"/>
        </w:rPr>
        <w:t xml:space="preserve"> in poverty alleviation. Islamic Research and Training Institute, Islamic Development Bank.</w:t>
      </w:r>
    </w:p>
    <w:p w:rsidR="00187813" w:rsidRDefault="00187813" w:rsidP="00187813">
      <w:pPr>
        <w:ind w:left="720" w:hanging="720"/>
        <w:jc w:val="both"/>
        <w:rPr>
          <w:rFonts w:asciiTheme="majorBidi" w:hAnsiTheme="majorBidi" w:cstheme="majorBidi"/>
          <w:szCs w:val="24"/>
          <w:lang w:val="en-MY"/>
        </w:rPr>
      </w:pPr>
      <w:r w:rsidRPr="00187813">
        <w:rPr>
          <w:rFonts w:asciiTheme="majorBidi" w:hAnsiTheme="majorBidi" w:cstheme="majorBidi"/>
          <w:szCs w:val="24"/>
          <w:lang w:val="en-MY"/>
        </w:rPr>
        <w:t>Al-</w:t>
      </w:r>
      <w:proofErr w:type="spellStart"/>
      <w:r w:rsidRPr="00187813">
        <w:rPr>
          <w:rFonts w:asciiTheme="majorBidi" w:hAnsiTheme="majorBidi" w:cstheme="majorBidi"/>
          <w:szCs w:val="24"/>
          <w:lang w:val="en-MY"/>
        </w:rPr>
        <w:t>ʿAynī</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Badr</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Dīn</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Abū</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Muḥammad</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Maḥmūd</w:t>
      </w:r>
      <w:proofErr w:type="spellEnd"/>
      <w:r w:rsidRPr="00187813">
        <w:rPr>
          <w:rFonts w:asciiTheme="majorBidi" w:hAnsiTheme="majorBidi" w:cstheme="majorBidi"/>
          <w:szCs w:val="24"/>
          <w:lang w:val="en-MY"/>
        </w:rPr>
        <w:t xml:space="preserve"> ibn </w:t>
      </w:r>
      <w:proofErr w:type="spellStart"/>
      <w:r w:rsidRPr="00187813">
        <w:rPr>
          <w:rFonts w:asciiTheme="majorBidi" w:hAnsiTheme="majorBidi" w:cstheme="majorBidi"/>
          <w:szCs w:val="24"/>
          <w:lang w:val="en-MY"/>
        </w:rPr>
        <w:t>Aḥmad</w:t>
      </w:r>
      <w:proofErr w:type="spellEnd"/>
      <w:r w:rsidRPr="00187813">
        <w:rPr>
          <w:rFonts w:asciiTheme="majorBidi" w:hAnsiTheme="majorBidi" w:cstheme="majorBidi"/>
          <w:szCs w:val="24"/>
          <w:lang w:val="en-MY"/>
        </w:rPr>
        <w:t xml:space="preserve">. (n.d.). </w:t>
      </w:r>
      <w:proofErr w:type="spellStart"/>
      <w:r w:rsidRPr="00187813">
        <w:rPr>
          <w:rFonts w:asciiTheme="majorBidi" w:hAnsiTheme="majorBidi" w:cstheme="majorBidi"/>
          <w:szCs w:val="24"/>
          <w:lang w:val="en-MY"/>
        </w:rPr>
        <w:t>ʿUmdat</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qārī</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sharḥ</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Ṣaḥīḥ</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Bukhārī</w:t>
      </w:r>
      <w:proofErr w:type="spellEnd"/>
      <w:r w:rsidRPr="00187813">
        <w:rPr>
          <w:rFonts w:asciiTheme="majorBidi" w:hAnsiTheme="majorBidi" w:cstheme="majorBidi"/>
          <w:szCs w:val="24"/>
          <w:lang w:val="en-MY"/>
        </w:rPr>
        <w:t xml:space="preserve"> (25 vols. in 12). </w:t>
      </w:r>
      <w:proofErr w:type="spellStart"/>
      <w:r w:rsidRPr="00187813">
        <w:rPr>
          <w:rFonts w:asciiTheme="majorBidi" w:hAnsiTheme="majorBidi" w:cstheme="majorBidi"/>
          <w:szCs w:val="24"/>
          <w:lang w:val="en-MY"/>
        </w:rPr>
        <w:t>Dār</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Iḥyāʾ</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Turāth</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ʿArabī</w:t>
      </w:r>
      <w:proofErr w:type="spellEnd"/>
      <w:r w:rsidRPr="00187813">
        <w:rPr>
          <w:rFonts w:asciiTheme="majorBidi" w:hAnsiTheme="majorBidi" w:cstheme="majorBidi"/>
          <w:szCs w:val="24"/>
          <w:lang w:val="en-MY"/>
        </w:rPr>
        <w:t>.</w:t>
      </w:r>
    </w:p>
    <w:p w:rsidR="00187813" w:rsidRDefault="00187813" w:rsidP="00187813">
      <w:pPr>
        <w:ind w:left="720" w:hanging="720"/>
        <w:jc w:val="both"/>
        <w:rPr>
          <w:rFonts w:asciiTheme="majorBidi" w:hAnsiTheme="majorBidi" w:cstheme="majorBidi"/>
          <w:szCs w:val="24"/>
          <w:lang w:val="en-MY"/>
        </w:rPr>
      </w:pPr>
      <w:r w:rsidRPr="00187813">
        <w:rPr>
          <w:rFonts w:asciiTheme="majorBidi" w:hAnsiTheme="majorBidi" w:cstheme="majorBidi"/>
          <w:szCs w:val="24"/>
          <w:lang w:val="en-MY"/>
        </w:rPr>
        <w:t>Al-</w:t>
      </w:r>
      <w:proofErr w:type="spellStart"/>
      <w:r w:rsidRPr="00187813">
        <w:rPr>
          <w:rFonts w:asciiTheme="majorBidi" w:hAnsiTheme="majorBidi" w:cstheme="majorBidi"/>
          <w:szCs w:val="24"/>
          <w:lang w:val="en-MY"/>
        </w:rPr>
        <w:t>Bukhārī</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Abū</w:t>
      </w:r>
      <w:proofErr w:type="spellEnd"/>
      <w:r w:rsidRPr="00187813">
        <w:rPr>
          <w:rFonts w:asciiTheme="majorBidi" w:hAnsiTheme="majorBidi" w:cstheme="majorBidi"/>
          <w:szCs w:val="24"/>
          <w:lang w:val="en-MY"/>
        </w:rPr>
        <w:t xml:space="preserve"> </w:t>
      </w:r>
      <w:r w:rsidR="00325619">
        <w:rPr>
          <w:rFonts w:asciiTheme="majorBidi" w:hAnsiTheme="majorBidi" w:cstheme="majorBidi"/>
          <w:szCs w:val="24"/>
          <w:lang w:val="en-MY"/>
        </w:rPr>
        <w:t>‘</w:t>
      </w:r>
      <w:r w:rsidRPr="00187813">
        <w:rPr>
          <w:rFonts w:asciiTheme="majorBidi" w:hAnsiTheme="majorBidi" w:cstheme="majorBidi"/>
          <w:szCs w:val="24"/>
          <w:lang w:val="en-MY"/>
        </w:rPr>
        <w:t xml:space="preserve">Abd </w:t>
      </w:r>
      <w:proofErr w:type="spellStart"/>
      <w:r w:rsidRPr="00187813">
        <w:rPr>
          <w:rFonts w:asciiTheme="majorBidi" w:hAnsiTheme="majorBidi" w:cstheme="majorBidi"/>
          <w:szCs w:val="24"/>
          <w:lang w:val="en-MY"/>
        </w:rPr>
        <w:t>Allāh</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Muḥammad</w:t>
      </w:r>
      <w:proofErr w:type="spellEnd"/>
      <w:r w:rsidRPr="00187813">
        <w:rPr>
          <w:rFonts w:asciiTheme="majorBidi" w:hAnsiTheme="majorBidi" w:cstheme="majorBidi"/>
          <w:szCs w:val="24"/>
          <w:lang w:val="en-MY"/>
        </w:rPr>
        <w:t xml:space="preserve"> ibn </w:t>
      </w:r>
      <w:proofErr w:type="spellStart"/>
      <w:r w:rsidRPr="00187813">
        <w:rPr>
          <w:rFonts w:asciiTheme="majorBidi" w:hAnsiTheme="majorBidi" w:cstheme="majorBidi"/>
          <w:szCs w:val="24"/>
          <w:lang w:val="en-MY"/>
        </w:rPr>
        <w:t>Ismā</w:t>
      </w:r>
      <w:r w:rsidR="00325619">
        <w:rPr>
          <w:rFonts w:asciiTheme="majorBidi" w:hAnsiTheme="majorBidi" w:cstheme="majorBidi"/>
          <w:szCs w:val="24"/>
          <w:lang w:val="en-MY"/>
        </w:rPr>
        <w:t>’</w:t>
      </w:r>
      <w:r w:rsidRPr="00187813">
        <w:rPr>
          <w:rFonts w:asciiTheme="majorBidi" w:hAnsiTheme="majorBidi" w:cstheme="majorBidi"/>
          <w:szCs w:val="24"/>
          <w:lang w:val="en-MY"/>
        </w:rPr>
        <w:t>īl</w:t>
      </w:r>
      <w:proofErr w:type="spellEnd"/>
      <w:r w:rsidRPr="00187813">
        <w:rPr>
          <w:rFonts w:asciiTheme="majorBidi" w:hAnsiTheme="majorBidi" w:cstheme="majorBidi"/>
          <w:szCs w:val="24"/>
          <w:lang w:val="en-MY"/>
        </w:rPr>
        <w:t xml:space="preserve"> ibn </w:t>
      </w:r>
      <w:proofErr w:type="spellStart"/>
      <w:r w:rsidRPr="00187813">
        <w:rPr>
          <w:rFonts w:asciiTheme="majorBidi" w:hAnsiTheme="majorBidi" w:cstheme="majorBidi"/>
          <w:szCs w:val="24"/>
          <w:lang w:val="en-MY"/>
        </w:rPr>
        <w:t>Ibrāhīm</w:t>
      </w:r>
      <w:proofErr w:type="spellEnd"/>
      <w:r w:rsidRPr="00187813">
        <w:rPr>
          <w:rFonts w:asciiTheme="majorBidi" w:hAnsiTheme="majorBidi" w:cstheme="majorBidi"/>
          <w:szCs w:val="24"/>
          <w:lang w:val="en-MY"/>
        </w:rPr>
        <w:t xml:space="preserve"> ibn Al-</w:t>
      </w:r>
      <w:proofErr w:type="spellStart"/>
      <w:r w:rsidRPr="00187813">
        <w:rPr>
          <w:rFonts w:asciiTheme="majorBidi" w:hAnsiTheme="majorBidi" w:cstheme="majorBidi"/>
          <w:szCs w:val="24"/>
          <w:lang w:val="en-MY"/>
        </w:rPr>
        <w:t>Mughīrah</w:t>
      </w:r>
      <w:proofErr w:type="spellEnd"/>
      <w:r w:rsidRPr="00187813">
        <w:rPr>
          <w:rFonts w:asciiTheme="majorBidi" w:hAnsiTheme="majorBidi" w:cstheme="majorBidi"/>
          <w:szCs w:val="24"/>
          <w:lang w:val="en-MY"/>
        </w:rPr>
        <w:t xml:space="preserve"> ibn </w:t>
      </w:r>
      <w:proofErr w:type="spellStart"/>
      <w:r w:rsidRPr="00187813">
        <w:rPr>
          <w:rFonts w:asciiTheme="majorBidi" w:hAnsiTheme="majorBidi" w:cstheme="majorBidi"/>
          <w:szCs w:val="24"/>
          <w:lang w:val="en-MY"/>
        </w:rPr>
        <w:t>Bardizbah</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Ju</w:t>
      </w:r>
      <w:r w:rsidR="00325619">
        <w:rPr>
          <w:rFonts w:asciiTheme="majorBidi" w:hAnsiTheme="majorBidi" w:cstheme="majorBidi"/>
          <w:szCs w:val="24"/>
          <w:lang w:val="en-MY"/>
        </w:rPr>
        <w:t>’</w:t>
      </w:r>
      <w:r w:rsidRPr="00187813">
        <w:rPr>
          <w:rFonts w:asciiTheme="majorBidi" w:hAnsiTheme="majorBidi" w:cstheme="majorBidi"/>
          <w:szCs w:val="24"/>
          <w:lang w:val="en-MY"/>
        </w:rPr>
        <w:t>fī</w:t>
      </w:r>
      <w:proofErr w:type="spellEnd"/>
      <w:r w:rsidRPr="00187813">
        <w:rPr>
          <w:rFonts w:asciiTheme="majorBidi" w:hAnsiTheme="majorBidi" w:cstheme="majorBidi"/>
          <w:szCs w:val="24"/>
          <w:lang w:val="en-MY"/>
        </w:rPr>
        <w:t xml:space="preserve">. (1422H). </w:t>
      </w:r>
      <w:proofErr w:type="spellStart"/>
      <w:r w:rsidRPr="00187813">
        <w:rPr>
          <w:rFonts w:asciiTheme="majorBidi" w:hAnsiTheme="majorBidi" w:cstheme="majorBidi"/>
          <w:szCs w:val="24"/>
          <w:lang w:val="en-MY"/>
        </w:rPr>
        <w:t>Ṣaḥīḥ</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Bukhārī</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n.p.</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Dār</w:t>
      </w:r>
      <w:proofErr w:type="spellEnd"/>
      <w:r w:rsidRPr="00187813">
        <w:rPr>
          <w:rFonts w:asciiTheme="majorBidi" w:hAnsiTheme="majorBidi" w:cstheme="majorBidi"/>
          <w:szCs w:val="24"/>
          <w:lang w:val="en-MY"/>
        </w:rPr>
        <w:t xml:space="preserve"> </w:t>
      </w:r>
      <w:proofErr w:type="spellStart"/>
      <w:r w:rsidRPr="00187813">
        <w:rPr>
          <w:rFonts w:asciiTheme="majorBidi" w:hAnsiTheme="majorBidi" w:cstheme="majorBidi"/>
          <w:szCs w:val="24"/>
          <w:lang w:val="en-MY"/>
        </w:rPr>
        <w:t>Ṭawq</w:t>
      </w:r>
      <w:proofErr w:type="spellEnd"/>
      <w:r w:rsidRPr="00187813">
        <w:rPr>
          <w:rFonts w:asciiTheme="majorBidi" w:hAnsiTheme="majorBidi" w:cstheme="majorBidi"/>
          <w:szCs w:val="24"/>
          <w:lang w:val="en-MY"/>
        </w:rPr>
        <w:t xml:space="preserve"> al-</w:t>
      </w:r>
      <w:proofErr w:type="spellStart"/>
      <w:r w:rsidRPr="00187813">
        <w:rPr>
          <w:rFonts w:asciiTheme="majorBidi" w:hAnsiTheme="majorBidi" w:cstheme="majorBidi"/>
          <w:szCs w:val="24"/>
          <w:lang w:val="en-MY"/>
        </w:rPr>
        <w:t>Najāh</w:t>
      </w:r>
      <w:proofErr w:type="spellEnd"/>
      <w:r w:rsidRPr="00187813">
        <w:rPr>
          <w:rFonts w:asciiTheme="majorBidi" w:hAnsiTheme="majorBidi" w:cstheme="majorBidi"/>
          <w:szCs w:val="24"/>
          <w:lang w:val="en-MY"/>
        </w:rPr>
        <w:t>.</w:t>
      </w:r>
    </w:p>
    <w:p w:rsidR="004D0968" w:rsidRDefault="004D0968" w:rsidP="00187813">
      <w:pPr>
        <w:ind w:left="720" w:hanging="720"/>
        <w:jc w:val="both"/>
        <w:rPr>
          <w:rFonts w:asciiTheme="majorBidi" w:hAnsiTheme="majorBidi" w:cstheme="majorBidi"/>
          <w:szCs w:val="24"/>
          <w:lang w:val="en-MY"/>
        </w:rPr>
      </w:pPr>
      <w:r w:rsidRPr="004D0968">
        <w:rPr>
          <w:rFonts w:asciiTheme="majorBidi" w:hAnsiTheme="majorBidi" w:cstheme="majorBidi"/>
          <w:szCs w:val="24"/>
          <w:lang w:val="en-MY"/>
        </w:rPr>
        <w:t>Al-</w:t>
      </w:r>
      <w:proofErr w:type="spellStart"/>
      <w:r w:rsidRPr="004D0968">
        <w:rPr>
          <w:rFonts w:asciiTheme="majorBidi" w:hAnsiTheme="majorBidi" w:cstheme="majorBidi"/>
          <w:szCs w:val="24"/>
          <w:lang w:val="en-MY"/>
        </w:rPr>
        <w:t>Nawawī</w:t>
      </w:r>
      <w:proofErr w:type="spellEnd"/>
      <w:r w:rsidRPr="004D0968">
        <w:rPr>
          <w:rFonts w:asciiTheme="majorBidi" w:hAnsiTheme="majorBidi" w:cstheme="majorBidi"/>
          <w:szCs w:val="24"/>
          <w:lang w:val="en-MY"/>
        </w:rPr>
        <w:t>, Y. S. (1344). Al-</w:t>
      </w:r>
      <w:proofErr w:type="spellStart"/>
      <w:r w:rsidRPr="004D0968">
        <w:rPr>
          <w:rFonts w:asciiTheme="majorBidi" w:hAnsiTheme="majorBidi" w:cstheme="majorBidi"/>
          <w:szCs w:val="24"/>
          <w:lang w:val="en-MY"/>
        </w:rPr>
        <w:t>Majmūʿ</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sharḥ</w:t>
      </w:r>
      <w:proofErr w:type="spellEnd"/>
      <w:r w:rsidRPr="004D0968">
        <w:rPr>
          <w:rFonts w:asciiTheme="majorBidi" w:hAnsiTheme="majorBidi" w:cstheme="majorBidi"/>
          <w:szCs w:val="24"/>
          <w:lang w:val="en-MY"/>
        </w:rPr>
        <w:t xml:space="preserve"> al-</w:t>
      </w:r>
      <w:proofErr w:type="spellStart"/>
      <w:r w:rsidRPr="004D0968">
        <w:rPr>
          <w:rFonts w:asciiTheme="majorBidi" w:hAnsiTheme="majorBidi" w:cstheme="majorBidi"/>
          <w:szCs w:val="24"/>
          <w:lang w:val="en-MY"/>
        </w:rPr>
        <w:t>Muhadhdhab</w:t>
      </w:r>
      <w:proofErr w:type="spellEnd"/>
      <w:r w:rsidRPr="004D0968">
        <w:rPr>
          <w:rFonts w:asciiTheme="majorBidi" w:hAnsiTheme="majorBidi" w:cstheme="majorBidi"/>
          <w:szCs w:val="24"/>
          <w:lang w:val="en-MY"/>
        </w:rPr>
        <w:t xml:space="preserve"> (Vol. 20). </w:t>
      </w:r>
      <w:proofErr w:type="spellStart"/>
      <w:r w:rsidRPr="004D0968">
        <w:rPr>
          <w:rFonts w:asciiTheme="majorBidi" w:hAnsiTheme="majorBidi" w:cstheme="majorBidi"/>
          <w:szCs w:val="24"/>
          <w:lang w:val="en-MY"/>
        </w:rPr>
        <w:t>Dār</w:t>
      </w:r>
      <w:proofErr w:type="spellEnd"/>
      <w:r w:rsidRPr="004D0968">
        <w:rPr>
          <w:rFonts w:asciiTheme="majorBidi" w:hAnsiTheme="majorBidi" w:cstheme="majorBidi"/>
          <w:szCs w:val="24"/>
          <w:lang w:val="en-MY"/>
        </w:rPr>
        <w:t xml:space="preserve"> al-</w:t>
      </w:r>
      <w:proofErr w:type="spellStart"/>
      <w:r w:rsidRPr="004D0968">
        <w:rPr>
          <w:rFonts w:asciiTheme="majorBidi" w:hAnsiTheme="majorBidi" w:cstheme="majorBidi"/>
          <w:szCs w:val="24"/>
          <w:lang w:val="en-MY"/>
        </w:rPr>
        <w:t>Fikr</w:t>
      </w:r>
      <w:proofErr w:type="spellEnd"/>
      <w:r w:rsidRPr="004D0968">
        <w:rPr>
          <w:rFonts w:asciiTheme="majorBidi" w:hAnsiTheme="majorBidi" w:cstheme="majorBidi"/>
          <w:szCs w:val="24"/>
          <w:lang w:val="en-MY"/>
        </w:rPr>
        <w:t xml:space="preserve">. </w:t>
      </w:r>
      <w:hyperlink r:id="rId10" w:history="1">
        <w:r w:rsidRPr="00B50E79">
          <w:rPr>
            <w:rStyle w:val="Hyperlink"/>
            <w:rFonts w:asciiTheme="majorBidi" w:hAnsiTheme="majorBidi" w:cstheme="majorBidi"/>
            <w:szCs w:val="24"/>
            <w:lang w:val="en-MY"/>
          </w:rPr>
          <w:t>https://shamela.ws/book/2186</w:t>
        </w:r>
      </w:hyperlink>
    </w:p>
    <w:p w:rsidR="002A4AEB" w:rsidRPr="009B5519" w:rsidRDefault="003B4FC0" w:rsidP="00187813">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Al-</w:t>
      </w:r>
      <w:proofErr w:type="spellStart"/>
      <w:r w:rsidRPr="009B5519">
        <w:rPr>
          <w:rFonts w:asciiTheme="majorBidi" w:hAnsiTheme="majorBidi" w:cstheme="majorBidi"/>
          <w:szCs w:val="24"/>
          <w:lang w:val="en-MY"/>
        </w:rPr>
        <w:t>Qaradawi</w:t>
      </w:r>
      <w:proofErr w:type="spellEnd"/>
      <w:r w:rsidRPr="009B5519">
        <w:rPr>
          <w:rFonts w:asciiTheme="majorBidi" w:hAnsiTheme="majorBidi" w:cstheme="majorBidi"/>
          <w:szCs w:val="24"/>
          <w:lang w:val="en-MY"/>
        </w:rPr>
        <w:t xml:space="preserve">, Y. (1999). </w:t>
      </w:r>
      <w:proofErr w:type="spellStart"/>
      <w:r w:rsidRPr="009B5519">
        <w:rPr>
          <w:rFonts w:asciiTheme="majorBidi" w:hAnsiTheme="majorBidi" w:cstheme="majorBidi"/>
          <w:szCs w:val="24"/>
          <w:lang w:val="en-MY"/>
        </w:rPr>
        <w:t>Fiqh</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zakah</w:t>
      </w:r>
      <w:proofErr w:type="spellEnd"/>
      <w:r w:rsidRPr="009B5519">
        <w:rPr>
          <w:rFonts w:asciiTheme="majorBidi" w:hAnsiTheme="majorBidi" w:cstheme="majorBidi"/>
          <w:szCs w:val="24"/>
          <w:lang w:val="en-MY"/>
        </w:rPr>
        <w:t xml:space="preserve">: A comparative study (M. </w:t>
      </w:r>
      <w:proofErr w:type="spellStart"/>
      <w:r w:rsidRPr="009B5519">
        <w:rPr>
          <w:rFonts w:asciiTheme="majorBidi" w:hAnsiTheme="majorBidi" w:cstheme="majorBidi"/>
          <w:szCs w:val="24"/>
          <w:lang w:val="en-MY"/>
        </w:rPr>
        <w:t>Kahf</w:t>
      </w:r>
      <w:proofErr w:type="spellEnd"/>
      <w:r w:rsidRPr="009B5519">
        <w:rPr>
          <w:rFonts w:asciiTheme="majorBidi" w:hAnsiTheme="majorBidi" w:cstheme="majorBidi"/>
          <w:szCs w:val="24"/>
          <w:lang w:val="en-MY"/>
        </w:rPr>
        <w:t xml:space="preserve">, Trans.). Scientific Publishing Centre, King </w:t>
      </w:r>
      <w:proofErr w:type="spellStart"/>
      <w:r w:rsidRPr="009B5519">
        <w:rPr>
          <w:rFonts w:asciiTheme="majorBidi" w:hAnsiTheme="majorBidi" w:cstheme="majorBidi"/>
          <w:szCs w:val="24"/>
          <w:lang w:val="en-MY"/>
        </w:rPr>
        <w:t>Abdulaziz</w:t>
      </w:r>
      <w:proofErr w:type="spellEnd"/>
      <w:r w:rsidRPr="009B5519">
        <w:rPr>
          <w:rFonts w:asciiTheme="majorBidi" w:hAnsiTheme="majorBidi" w:cstheme="majorBidi"/>
          <w:szCs w:val="24"/>
          <w:lang w:val="en-MY"/>
        </w:rPr>
        <w:t xml:space="preserve"> University.</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Al-</w:t>
      </w:r>
      <w:proofErr w:type="spellStart"/>
      <w:r w:rsidRPr="009B5519">
        <w:rPr>
          <w:rFonts w:asciiTheme="majorBidi" w:hAnsiTheme="majorBidi" w:cstheme="majorBidi"/>
          <w:szCs w:val="24"/>
          <w:lang w:val="en-MY"/>
        </w:rPr>
        <w:t>Shāfiʿī</w:t>
      </w:r>
      <w:proofErr w:type="spellEnd"/>
      <w:r w:rsidRPr="009B5519">
        <w:rPr>
          <w:rFonts w:asciiTheme="majorBidi" w:hAnsiTheme="majorBidi" w:cstheme="majorBidi"/>
          <w:szCs w:val="24"/>
          <w:lang w:val="en-MY"/>
        </w:rPr>
        <w:t xml:space="preserve">, M. ibn </w:t>
      </w:r>
      <w:proofErr w:type="spellStart"/>
      <w:r w:rsidRPr="009B5519">
        <w:rPr>
          <w:rFonts w:asciiTheme="majorBidi" w:hAnsiTheme="majorBidi" w:cstheme="majorBidi"/>
          <w:szCs w:val="24"/>
          <w:lang w:val="en-MY"/>
        </w:rPr>
        <w:t>Idrīs</w:t>
      </w:r>
      <w:proofErr w:type="spellEnd"/>
      <w:r w:rsidRPr="009B5519">
        <w:rPr>
          <w:rFonts w:asciiTheme="majorBidi" w:hAnsiTheme="majorBidi" w:cstheme="majorBidi"/>
          <w:szCs w:val="24"/>
          <w:lang w:val="en-MY"/>
        </w:rPr>
        <w:t xml:space="preserve">. (2001). Al-Umm.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Wafāʾ</w:t>
      </w:r>
      <w:proofErr w:type="spellEnd"/>
      <w:r w:rsidRPr="009B5519">
        <w:rPr>
          <w:rFonts w:asciiTheme="majorBidi" w:hAnsiTheme="majorBidi" w:cstheme="majorBidi"/>
          <w:szCs w:val="24"/>
          <w:lang w:val="en-MY"/>
        </w:rPr>
        <w:t>.</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Al-</w:t>
      </w:r>
      <w:proofErr w:type="spellStart"/>
      <w:r w:rsidRPr="009B5519">
        <w:rPr>
          <w:rFonts w:asciiTheme="majorBidi" w:hAnsiTheme="majorBidi" w:cstheme="majorBidi"/>
          <w:szCs w:val="24"/>
          <w:lang w:val="en-MY"/>
        </w:rPr>
        <w:t>Shāṭibī</w:t>
      </w:r>
      <w:proofErr w:type="spellEnd"/>
      <w:r w:rsidRPr="009B5519">
        <w:rPr>
          <w:rFonts w:asciiTheme="majorBidi" w:hAnsiTheme="majorBidi" w:cstheme="majorBidi"/>
          <w:szCs w:val="24"/>
          <w:lang w:val="en-MY"/>
        </w:rPr>
        <w:t>, I. (1997). Al-</w:t>
      </w:r>
      <w:proofErr w:type="spellStart"/>
      <w:r w:rsidRPr="009B5519">
        <w:rPr>
          <w:rFonts w:asciiTheme="majorBidi" w:hAnsiTheme="majorBidi" w:cstheme="majorBidi"/>
          <w:szCs w:val="24"/>
          <w:lang w:val="en-MY"/>
        </w:rPr>
        <w:t>Muwāfaqāt</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fī</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uṣūl</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sharīʿah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Ibn </w:t>
      </w:r>
      <w:proofErr w:type="spellStart"/>
      <w:r w:rsidRPr="009B5519">
        <w:rPr>
          <w:rFonts w:asciiTheme="majorBidi" w:hAnsiTheme="majorBidi" w:cstheme="majorBidi"/>
          <w:szCs w:val="24"/>
          <w:lang w:val="en-MY"/>
        </w:rPr>
        <w:t>ʿAffān</w:t>
      </w:r>
      <w:proofErr w:type="spellEnd"/>
      <w:r w:rsidRPr="009B5519">
        <w:rPr>
          <w:rFonts w:asciiTheme="majorBidi" w:hAnsiTheme="majorBidi" w:cstheme="majorBidi"/>
          <w:szCs w:val="24"/>
          <w:lang w:val="en-MY"/>
        </w:rPr>
        <w:t>.</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Al-</w:t>
      </w:r>
      <w:proofErr w:type="spellStart"/>
      <w:r w:rsidRPr="009B5519">
        <w:rPr>
          <w:rFonts w:asciiTheme="majorBidi" w:hAnsiTheme="majorBidi" w:cstheme="majorBidi"/>
          <w:szCs w:val="24"/>
          <w:lang w:val="en-MY"/>
        </w:rPr>
        <w:t>Suyūṭī</w:t>
      </w:r>
      <w:proofErr w:type="spellEnd"/>
      <w:r w:rsidRPr="009B5519">
        <w:rPr>
          <w:rFonts w:asciiTheme="majorBidi" w:hAnsiTheme="majorBidi" w:cstheme="majorBidi"/>
          <w:szCs w:val="24"/>
          <w:lang w:val="en-MY"/>
        </w:rPr>
        <w:t>, J. (1990). Al-</w:t>
      </w:r>
      <w:proofErr w:type="spellStart"/>
      <w:r w:rsidRPr="009B5519">
        <w:rPr>
          <w:rFonts w:asciiTheme="majorBidi" w:hAnsiTheme="majorBidi" w:cstheme="majorBidi"/>
          <w:szCs w:val="24"/>
          <w:lang w:val="en-MY"/>
        </w:rPr>
        <w:t>Ashbāh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wa</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naẓāʾir</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Kutub</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ʿIlmiyyah</w:t>
      </w:r>
      <w:proofErr w:type="spellEnd"/>
      <w:r w:rsidRPr="009B5519">
        <w:rPr>
          <w:rFonts w:asciiTheme="majorBidi" w:hAnsiTheme="majorBidi" w:cstheme="majorBidi"/>
          <w:szCs w:val="24"/>
          <w:lang w:val="en-MY"/>
        </w:rPr>
        <w:t>.</w:t>
      </w:r>
    </w:p>
    <w:p w:rsidR="002A4AEB"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Al-</w:t>
      </w:r>
      <w:proofErr w:type="spellStart"/>
      <w:r w:rsidRPr="009B5519">
        <w:rPr>
          <w:rFonts w:asciiTheme="majorBidi" w:hAnsiTheme="majorBidi" w:cstheme="majorBidi"/>
          <w:szCs w:val="24"/>
          <w:lang w:val="en-MY"/>
        </w:rPr>
        <w:t>Zarqā</w:t>
      </w:r>
      <w:proofErr w:type="spellEnd"/>
      <w:r w:rsidRPr="009B5519">
        <w:rPr>
          <w:rFonts w:asciiTheme="majorBidi" w:hAnsiTheme="majorBidi" w:cstheme="majorBidi"/>
          <w:szCs w:val="24"/>
          <w:lang w:val="en-MY"/>
        </w:rPr>
        <w:t xml:space="preserve">, A. M. (1989). </w:t>
      </w:r>
      <w:proofErr w:type="spellStart"/>
      <w:r w:rsidRPr="009B5519">
        <w:rPr>
          <w:rFonts w:asciiTheme="majorBidi" w:hAnsiTheme="majorBidi" w:cstheme="majorBidi"/>
          <w:szCs w:val="24"/>
          <w:lang w:val="en-MY"/>
        </w:rPr>
        <w:t>Sharḥ</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qawāʿid</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fiqhiyyah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Qalam</w:t>
      </w:r>
      <w:proofErr w:type="spellEnd"/>
      <w:r w:rsidRPr="009B5519">
        <w:rPr>
          <w:rFonts w:asciiTheme="majorBidi" w:hAnsiTheme="majorBidi" w:cstheme="majorBidi"/>
          <w:szCs w:val="24"/>
          <w:lang w:val="en-MY"/>
        </w:rPr>
        <w:t>.</w:t>
      </w:r>
    </w:p>
    <w:p w:rsidR="009438CA" w:rsidRPr="009B5519" w:rsidRDefault="009438CA" w:rsidP="00E42491">
      <w:pPr>
        <w:ind w:left="720" w:hanging="720"/>
        <w:jc w:val="both"/>
        <w:rPr>
          <w:rFonts w:asciiTheme="majorBidi" w:hAnsiTheme="majorBidi" w:cstheme="majorBidi"/>
          <w:szCs w:val="24"/>
          <w:lang w:val="en-MY"/>
        </w:rPr>
      </w:pPr>
      <w:r w:rsidRPr="009438CA">
        <w:rPr>
          <w:rFonts w:asciiTheme="majorBidi" w:hAnsiTheme="majorBidi" w:cstheme="majorBidi"/>
          <w:szCs w:val="24"/>
          <w:lang w:val="en-MY"/>
        </w:rPr>
        <w:t>Al-</w:t>
      </w:r>
      <w:proofErr w:type="spellStart"/>
      <w:r w:rsidRPr="009438CA">
        <w:rPr>
          <w:rFonts w:asciiTheme="majorBidi" w:hAnsiTheme="majorBidi" w:cstheme="majorBidi"/>
          <w:szCs w:val="24"/>
          <w:lang w:val="en-MY"/>
        </w:rPr>
        <w:t>Zuhayli</w:t>
      </w:r>
      <w:proofErr w:type="spellEnd"/>
      <w:r w:rsidRPr="009438CA">
        <w:rPr>
          <w:rFonts w:asciiTheme="majorBidi" w:hAnsiTheme="majorBidi" w:cstheme="majorBidi"/>
          <w:szCs w:val="24"/>
          <w:lang w:val="en-MY"/>
        </w:rPr>
        <w:t>, W. (1985). Al-</w:t>
      </w:r>
      <w:proofErr w:type="spellStart"/>
      <w:r w:rsidRPr="009438CA">
        <w:rPr>
          <w:rFonts w:asciiTheme="majorBidi" w:hAnsiTheme="majorBidi" w:cstheme="majorBidi"/>
          <w:szCs w:val="24"/>
          <w:lang w:val="en-MY"/>
        </w:rPr>
        <w:t>fiqh</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islāmī</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wa</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adillatuh</w:t>
      </w:r>
      <w:proofErr w:type="spellEnd"/>
      <w:r w:rsidRPr="009438CA">
        <w:rPr>
          <w:rFonts w:asciiTheme="majorBidi" w:hAnsiTheme="majorBidi" w:cstheme="majorBidi"/>
          <w:szCs w:val="24"/>
          <w:lang w:val="en-MY"/>
        </w:rPr>
        <w:t xml:space="preserve"> (Vols. 1–8). </w:t>
      </w:r>
      <w:proofErr w:type="spellStart"/>
      <w:r w:rsidRPr="009438CA">
        <w:rPr>
          <w:rFonts w:asciiTheme="majorBidi" w:hAnsiTheme="majorBidi" w:cstheme="majorBidi"/>
          <w:szCs w:val="24"/>
          <w:lang w:val="en-MY"/>
        </w:rPr>
        <w:t>Dār</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Fikr</w:t>
      </w:r>
      <w:proofErr w:type="spellEnd"/>
      <w:r w:rsidRPr="009438CA">
        <w:rPr>
          <w:rFonts w:asciiTheme="majorBidi" w:hAnsiTheme="majorBidi" w:cstheme="majorBidi"/>
          <w:szCs w:val="24"/>
          <w:lang w:val="en-MY"/>
        </w:rPr>
        <w:t>.</w:t>
      </w:r>
    </w:p>
    <w:p w:rsidR="009438CA" w:rsidRDefault="009438CA" w:rsidP="00E42491">
      <w:pPr>
        <w:ind w:left="720" w:hanging="720"/>
        <w:jc w:val="both"/>
        <w:rPr>
          <w:rFonts w:asciiTheme="majorBidi" w:hAnsiTheme="majorBidi" w:cstheme="majorBidi"/>
          <w:szCs w:val="24"/>
          <w:lang w:val="en-MY"/>
        </w:rPr>
      </w:pPr>
      <w:r w:rsidRPr="009438CA">
        <w:rPr>
          <w:rFonts w:asciiTheme="majorBidi" w:hAnsiTheme="majorBidi" w:cstheme="majorBidi"/>
          <w:szCs w:val="24"/>
          <w:lang w:val="en-MY"/>
        </w:rPr>
        <w:t xml:space="preserve">Baharudin, M. H. (2023). Exploring the Guidelines of Zakat on Cryptocurrency [PhD Thesis, </w:t>
      </w:r>
      <w:proofErr w:type="spellStart"/>
      <w:r w:rsidRPr="009438CA">
        <w:rPr>
          <w:rFonts w:asciiTheme="majorBidi" w:hAnsiTheme="majorBidi" w:cstheme="majorBidi"/>
          <w:szCs w:val="24"/>
          <w:lang w:val="en-MY"/>
        </w:rPr>
        <w:t>Universiti</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Teknologi</w:t>
      </w:r>
      <w:proofErr w:type="spellEnd"/>
      <w:r w:rsidRPr="009438CA">
        <w:rPr>
          <w:rFonts w:asciiTheme="majorBidi" w:hAnsiTheme="majorBidi" w:cstheme="majorBidi"/>
          <w:szCs w:val="24"/>
          <w:lang w:val="en-MY"/>
        </w:rPr>
        <w:t xml:space="preserve"> MARA (UiTM)]. </w:t>
      </w:r>
      <w:hyperlink r:id="rId11" w:history="1">
        <w:r w:rsidRPr="00B50E79">
          <w:rPr>
            <w:rStyle w:val="Hyperlink"/>
            <w:rFonts w:asciiTheme="majorBidi" w:hAnsiTheme="majorBidi" w:cstheme="majorBidi"/>
            <w:szCs w:val="24"/>
            <w:lang w:val="en-MY"/>
          </w:rPr>
          <w:t>https://ir.uitm.edu.my/id/eprint/88694/</w:t>
        </w:r>
      </w:hyperlink>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lastRenderedPageBreak/>
        <w:t>Bank Indonesia &amp; BAZNAS. (2020). Zakat core principles: Core principles for effective zakat supervision. Bank Indonesia and National Board of Zakat, Republic of Indonesia.</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Baur, D. G., &amp; Lucey, B. M. (2010). Is gold a hedge or a safe haven? An analysis of stocks, bonds and gold. The Financial Review, 45(2), 217–229. </w:t>
      </w:r>
      <w:hyperlink r:id="rId12" w:history="1">
        <w:r w:rsidR="00BF2F29" w:rsidRPr="00B50E79">
          <w:rPr>
            <w:rStyle w:val="Hyperlink"/>
            <w:rFonts w:asciiTheme="majorBidi" w:hAnsiTheme="majorBidi" w:cstheme="majorBidi"/>
            <w:szCs w:val="24"/>
            <w:lang w:val="en-MY"/>
          </w:rPr>
          <w:t>https://doi.org/10.1111/j.1540-6288.2010.00244.x</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Baur, D. G., &amp; McDermott, T. K. (2010). Is gold a safe haven? International evidence. Journal of Banking &amp; Finance, 34(8), 1886–1898. </w:t>
      </w:r>
      <w:hyperlink r:id="rId13" w:history="1">
        <w:r w:rsidR="00BF2F29" w:rsidRPr="00B50E79">
          <w:rPr>
            <w:rStyle w:val="Hyperlink"/>
            <w:rFonts w:asciiTheme="majorBidi" w:hAnsiTheme="majorBidi" w:cstheme="majorBidi"/>
            <w:szCs w:val="24"/>
            <w:lang w:val="en-MY"/>
          </w:rPr>
          <w:t>https://doi.org/10.1016/j.jbankfin.2009.12.008</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Beckmann, J., Berger, T., &amp; </w:t>
      </w:r>
      <w:proofErr w:type="spellStart"/>
      <w:r w:rsidRPr="009B5519">
        <w:rPr>
          <w:rFonts w:asciiTheme="majorBidi" w:hAnsiTheme="majorBidi" w:cstheme="majorBidi"/>
          <w:szCs w:val="24"/>
          <w:lang w:val="en-MY"/>
        </w:rPr>
        <w:t>Czudaj</w:t>
      </w:r>
      <w:proofErr w:type="spellEnd"/>
      <w:r w:rsidRPr="009B5519">
        <w:rPr>
          <w:rFonts w:asciiTheme="majorBidi" w:hAnsiTheme="majorBidi" w:cstheme="majorBidi"/>
          <w:szCs w:val="24"/>
          <w:lang w:val="en-MY"/>
        </w:rPr>
        <w:t xml:space="preserve">, R. (2015). Does gold act as a hedge or a safe haven for stocks? A smooth transition </w:t>
      </w:r>
      <w:proofErr w:type="gramStart"/>
      <w:r w:rsidRPr="009B5519">
        <w:rPr>
          <w:rFonts w:asciiTheme="majorBidi" w:hAnsiTheme="majorBidi" w:cstheme="majorBidi"/>
          <w:szCs w:val="24"/>
          <w:lang w:val="en-MY"/>
        </w:rPr>
        <w:t>approach</w:t>
      </w:r>
      <w:proofErr w:type="gramEnd"/>
      <w:r w:rsidRPr="009B5519">
        <w:rPr>
          <w:rFonts w:asciiTheme="majorBidi" w:hAnsiTheme="majorBidi" w:cstheme="majorBidi"/>
          <w:szCs w:val="24"/>
          <w:lang w:val="en-MY"/>
        </w:rPr>
        <w:t xml:space="preserve">. Economic Modelling, 48, 16–24. </w:t>
      </w:r>
      <w:hyperlink r:id="rId14" w:history="1">
        <w:r w:rsidR="00BF2F29" w:rsidRPr="00B50E79">
          <w:rPr>
            <w:rStyle w:val="Hyperlink"/>
            <w:rFonts w:asciiTheme="majorBidi" w:hAnsiTheme="majorBidi" w:cstheme="majorBidi"/>
            <w:szCs w:val="24"/>
            <w:lang w:val="en-MY"/>
          </w:rPr>
          <w:t>https://doi.org/10.1016/j.econmod.2014.10.044</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Bredin, D., Conlon, T., &amp; </w:t>
      </w:r>
      <w:proofErr w:type="spellStart"/>
      <w:r w:rsidRPr="009B5519">
        <w:rPr>
          <w:rFonts w:asciiTheme="majorBidi" w:hAnsiTheme="majorBidi" w:cstheme="majorBidi"/>
          <w:szCs w:val="24"/>
          <w:lang w:val="en-MY"/>
        </w:rPr>
        <w:t>Potì</w:t>
      </w:r>
      <w:proofErr w:type="spellEnd"/>
      <w:r w:rsidRPr="009B5519">
        <w:rPr>
          <w:rFonts w:asciiTheme="majorBidi" w:hAnsiTheme="majorBidi" w:cstheme="majorBidi"/>
          <w:szCs w:val="24"/>
          <w:lang w:val="en-MY"/>
        </w:rPr>
        <w:t xml:space="preserve">, V. (2015). Does gold glitter in the long-run? Gold as a hedge and safe haven across time and investment horizon. International Review of Financial Analysis, 41, 320–328. </w:t>
      </w:r>
      <w:hyperlink r:id="rId15" w:history="1">
        <w:r w:rsidR="00BF2F29" w:rsidRPr="00B50E79">
          <w:rPr>
            <w:rStyle w:val="Hyperlink"/>
            <w:rFonts w:asciiTheme="majorBidi" w:hAnsiTheme="majorBidi" w:cstheme="majorBidi"/>
            <w:szCs w:val="24"/>
            <w:lang w:val="en-MY"/>
          </w:rPr>
          <w:t>https://doi.org/10.1016/j.irfa.2015.01.010</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Capie</w:t>
      </w:r>
      <w:proofErr w:type="spellEnd"/>
      <w:r w:rsidRPr="009B5519">
        <w:rPr>
          <w:rFonts w:asciiTheme="majorBidi" w:hAnsiTheme="majorBidi" w:cstheme="majorBidi"/>
          <w:szCs w:val="24"/>
          <w:lang w:val="en-MY"/>
        </w:rPr>
        <w:t xml:space="preserve">, F., Mills, T. C., &amp; Wood, G. (2005). Gold as a hedge against the dollar. Journal of International Financial Markets, Institutions and Money, 15(4), 343–352. </w:t>
      </w:r>
      <w:hyperlink r:id="rId16" w:history="1">
        <w:r w:rsidR="00BF2F29" w:rsidRPr="00B50E79">
          <w:rPr>
            <w:rStyle w:val="Hyperlink"/>
            <w:rFonts w:asciiTheme="majorBidi" w:hAnsiTheme="majorBidi" w:cstheme="majorBidi"/>
            <w:szCs w:val="24"/>
            <w:lang w:val="en-MY"/>
          </w:rPr>
          <w:t>https://doi.org/10.1016/j.intfin.2004.07.002</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Čihák</w:t>
      </w:r>
      <w:proofErr w:type="spellEnd"/>
      <w:r w:rsidRPr="009B5519">
        <w:rPr>
          <w:rFonts w:asciiTheme="majorBidi" w:hAnsiTheme="majorBidi" w:cstheme="majorBidi"/>
          <w:szCs w:val="24"/>
          <w:lang w:val="en-MY"/>
        </w:rPr>
        <w:t xml:space="preserve">, M., &amp; Hesse, H. (2010). Islamic banks and financial stability: An empirical analysis. Journal of Financial Services Research, 38, 95–113. </w:t>
      </w:r>
      <w:hyperlink r:id="rId17" w:history="1">
        <w:r w:rsidR="00BF2F29" w:rsidRPr="00B50E79">
          <w:rPr>
            <w:rStyle w:val="Hyperlink"/>
            <w:rFonts w:asciiTheme="majorBidi" w:hAnsiTheme="majorBidi" w:cstheme="majorBidi"/>
            <w:szCs w:val="24"/>
            <w:lang w:val="en-MY"/>
          </w:rPr>
          <w:t>https://doi.org/10.1007/s10693-010-0089-0</w:t>
        </w:r>
      </w:hyperlink>
      <w:r w:rsidR="00BF2F29">
        <w:rPr>
          <w:rFonts w:asciiTheme="majorBidi" w:hAnsiTheme="majorBidi" w:cstheme="majorBidi"/>
          <w:szCs w:val="24"/>
          <w:lang w:val="en-MY"/>
        </w:rPr>
        <w:t xml:space="preserve"> </w:t>
      </w:r>
    </w:p>
    <w:p w:rsidR="009438CA" w:rsidRDefault="009438CA" w:rsidP="00E42491">
      <w:pPr>
        <w:ind w:left="720" w:hanging="720"/>
        <w:jc w:val="both"/>
        <w:rPr>
          <w:rFonts w:asciiTheme="majorBidi" w:hAnsiTheme="majorBidi" w:cstheme="majorBidi"/>
          <w:szCs w:val="24"/>
          <w:lang w:val="en-MY"/>
        </w:rPr>
      </w:pPr>
      <w:proofErr w:type="spellStart"/>
      <w:r w:rsidRPr="009438CA">
        <w:rPr>
          <w:rFonts w:asciiTheme="majorBidi" w:hAnsiTheme="majorBidi" w:cstheme="majorBidi"/>
          <w:szCs w:val="24"/>
          <w:lang w:val="en-MY"/>
        </w:rPr>
        <w:t>Dusuki</w:t>
      </w:r>
      <w:proofErr w:type="spellEnd"/>
      <w:r w:rsidRPr="009438CA">
        <w:rPr>
          <w:rFonts w:asciiTheme="majorBidi" w:hAnsiTheme="majorBidi" w:cstheme="majorBidi"/>
          <w:szCs w:val="24"/>
          <w:lang w:val="en-MY"/>
        </w:rPr>
        <w:t xml:space="preserve">, A. W., &amp; </w:t>
      </w:r>
      <w:proofErr w:type="spellStart"/>
      <w:r w:rsidRPr="009438CA">
        <w:rPr>
          <w:rFonts w:asciiTheme="majorBidi" w:hAnsiTheme="majorBidi" w:cstheme="majorBidi"/>
          <w:szCs w:val="24"/>
          <w:lang w:val="en-MY"/>
        </w:rPr>
        <w:t>Bouheraoua</w:t>
      </w:r>
      <w:proofErr w:type="spellEnd"/>
      <w:r w:rsidRPr="009438CA">
        <w:rPr>
          <w:rFonts w:asciiTheme="majorBidi" w:hAnsiTheme="majorBidi" w:cstheme="majorBidi"/>
          <w:szCs w:val="24"/>
          <w:lang w:val="en-MY"/>
        </w:rPr>
        <w:t xml:space="preserve">, S. (2011). The framework of </w:t>
      </w:r>
      <w:proofErr w:type="spellStart"/>
      <w:r w:rsidRPr="009438CA">
        <w:rPr>
          <w:rFonts w:asciiTheme="majorBidi" w:hAnsiTheme="majorBidi" w:cstheme="majorBidi"/>
          <w:szCs w:val="24"/>
          <w:lang w:val="en-MY"/>
        </w:rPr>
        <w:t>maqasid</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Shari</w:t>
      </w:r>
      <w:r w:rsidR="00325619">
        <w:rPr>
          <w:rFonts w:asciiTheme="majorBidi" w:hAnsiTheme="majorBidi" w:cstheme="majorBidi"/>
          <w:szCs w:val="24"/>
          <w:lang w:val="en-MY"/>
        </w:rPr>
        <w:t>’</w:t>
      </w:r>
      <w:r w:rsidRPr="009438CA">
        <w:rPr>
          <w:rFonts w:asciiTheme="majorBidi" w:hAnsiTheme="majorBidi" w:cstheme="majorBidi"/>
          <w:szCs w:val="24"/>
          <w:lang w:val="en-MY"/>
        </w:rPr>
        <w:t>ah</w:t>
      </w:r>
      <w:proofErr w:type="spellEnd"/>
      <w:r w:rsidRPr="009438CA">
        <w:rPr>
          <w:rFonts w:asciiTheme="majorBidi" w:hAnsiTheme="majorBidi" w:cstheme="majorBidi"/>
          <w:szCs w:val="24"/>
          <w:lang w:val="en-MY"/>
        </w:rPr>
        <w:t xml:space="preserve"> and its implication for Islamic finance. International </w:t>
      </w:r>
      <w:proofErr w:type="spellStart"/>
      <w:r w:rsidRPr="009438CA">
        <w:rPr>
          <w:rFonts w:asciiTheme="majorBidi" w:hAnsiTheme="majorBidi" w:cstheme="majorBidi"/>
          <w:szCs w:val="24"/>
          <w:lang w:val="en-MY"/>
        </w:rPr>
        <w:t>Shari</w:t>
      </w:r>
      <w:r w:rsidR="00325619">
        <w:rPr>
          <w:rFonts w:asciiTheme="majorBidi" w:hAnsiTheme="majorBidi" w:cstheme="majorBidi"/>
          <w:szCs w:val="24"/>
          <w:lang w:val="en-MY"/>
        </w:rPr>
        <w:t>’</w:t>
      </w:r>
      <w:r w:rsidRPr="009438CA">
        <w:rPr>
          <w:rFonts w:asciiTheme="majorBidi" w:hAnsiTheme="majorBidi" w:cstheme="majorBidi"/>
          <w:szCs w:val="24"/>
          <w:lang w:val="en-MY"/>
        </w:rPr>
        <w:t>ah</w:t>
      </w:r>
      <w:proofErr w:type="spellEnd"/>
      <w:r w:rsidRPr="009438CA">
        <w:rPr>
          <w:rFonts w:asciiTheme="majorBidi" w:hAnsiTheme="majorBidi" w:cstheme="majorBidi"/>
          <w:szCs w:val="24"/>
          <w:lang w:val="en-MY"/>
        </w:rPr>
        <w:t xml:space="preserve"> Research Academy for Islamic Finance.</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Erb</w:t>
      </w:r>
      <w:proofErr w:type="spellEnd"/>
      <w:r w:rsidRPr="009B5519">
        <w:rPr>
          <w:rFonts w:asciiTheme="majorBidi" w:hAnsiTheme="majorBidi" w:cstheme="majorBidi"/>
          <w:szCs w:val="24"/>
          <w:lang w:val="en-MY"/>
        </w:rPr>
        <w:t xml:space="preserve">, C. B., &amp; Harvey, C. R. (2013). The golden dilemma. Financial Analysts Journal, 69(4), 10–42. </w:t>
      </w:r>
      <w:hyperlink r:id="rId18" w:history="1">
        <w:r w:rsidR="00BF2F29" w:rsidRPr="00B50E79">
          <w:rPr>
            <w:rStyle w:val="Hyperlink"/>
            <w:rFonts w:asciiTheme="majorBidi" w:hAnsiTheme="majorBidi" w:cstheme="majorBidi"/>
            <w:szCs w:val="24"/>
            <w:lang w:val="en-MY"/>
          </w:rPr>
          <w:t>https://doi.org/10.2469/faj.v69.n4.1</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Ibn </w:t>
      </w:r>
      <w:proofErr w:type="spellStart"/>
      <w:r w:rsidRPr="009B5519">
        <w:rPr>
          <w:rFonts w:asciiTheme="majorBidi" w:hAnsiTheme="majorBidi" w:cstheme="majorBidi"/>
          <w:szCs w:val="24"/>
          <w:lang w:val="en-MY"/>
        </w:rPr>
        <w:t>ʿĀshūr</w:t>
      </w:r>
      <w:proofErr w:type="spellEnd"/>
      <w:r w:rsidRPr="009B5519">
        <w:rPr>
          <w:rFonts w:asciiTheme="majorBidi" w:hAnsiTheme="majorBidi" w:cstheme="majorBidi"/>
          <w:szCs w:val="24"/>
          <w:lang w:val="en-MY"/>
        </w:rPr>
        <w:t>, M. al-</w:t>
      </w:r>
      <w:proofErr w:type="spellStart"/>
      <w:r w:rsidRPr="009B5519">
        <w:rPr>
          <w:rFonts w:asciiTheme="majorBidi" w:hAnsiTheme="majorBidi" w:cstheme="majorBidi"/>
          <w:szCs w:val="24"/>
          <w:lang w:val="en-MY"/>
        </w:rPr>
        <w:t>Ṭāhir</w:t>
      </w:r>
      <w:proofErr w:type="spellEnd"/>
      <w:r w:rsidRPr="009B5519">
        <w:rPr>
          <w:rFonts w:asciiTheme="majorBidi" w:hAnsiTheme="majorBidi" w:cstheme="majorBidi"/>
          <w:szCs w:val="24"/>
          <w:lang w:val="en-MY"/>
        </w:rPr>
        <w:t xml:space="preserve">. (2006). Treatise on </w:t>
      </w:r>
      <w:proofErr w:type="spellStart"/>
      <w:r w:rsidRPr="009B5519">
        <w:rPr>
          <w:rFonts w:asciiTheme="majorBidi" w:hAnsiTheme="majorBidi" w:cstheme="majorBidi"/>
          <w:szCs w:val="24"/>
          <w:lang w:val="en-MY"/>
        </w:rPr>
        <w:t>maqāṣid</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sharīʿah</w:t>
      </w:r>
      <w:proofErr w:type="spellEnd"/>
      <w:r w:rsidRPr="009B5519">
        <w:rPr>
          <w:rFonts w:asciiTheme="majorBidi" w:hAnsiTheme="majorBidi" w:cstheme="majorBidi"/>
          <w:szCs w:val="24"/>
          <w:lang w:val="en-MY"/>
        </w:rPr>
        <w:t xml:space="preserve"> (M. E. al-Tahir, Trans.). International Institute of Islamic Thought.</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Ibn </w:t>
      </w:r>
      <w:proofErr w:type="spellStart"/>
      <w:r w:rsidRPr="009B5519">
        <w:rPr>
          <w:rFonts w:asciiTheme="majorBidi" w:hAnsiTheme="majorBidi" w:cstheme="majorBidi"/>
          <w:szCs w:val="24"/>
          <w:lang w:val="en-MY"/>
        </w:rPr>
        <w:t>Mājah</w:t>
      </w:r>
      <w:proofErr w:type="spellEnd"/>
      <w:r w:rsidRPr="009B5519">
        <w:rPr>
          <w:rFonts w:asciiTheme="majorBidi" w:hAnsiTheme="majorBidi" w:cstheme="majorBidi"/>
          <w:szCs w:val="24"/>
          <w:lang w:val="en-MY"/>
        </w:rPr>
        <w:t xml:space="preserve">, M. ibn </w:t>
      </w:r>
      <w:proofErr w:type="spellStart"/>
      <w:r w:rsidRPr="009B5519">
        <w:rPr>
          <w:rFonts w:asciiTheme="majorBidi" w:hAnsiTheme="majorBidi" w:cstheme="majorBidi"/>
          <w:szCs w:val="24"/>
          <w:lang w:val="en-MY"/>
        </w:rPr>
        <w:t>Yazīd</w:t>
      </w:r>
      <w:proofErr w:type="spellEnd"/>
      <w:r w:rsidRPr="009B5519">
        <w:rPr>
          <w:rFonts w:asciiTheme="majorBidi" w:hAnsiTheme="majorBidi" w:cstheme="majorBidi"/>
          <w:szCs w:val="24"/>
          <w:lang w:val="en-MY"/>
        </w:rPr>
        <w:t xml:space="preserve">. (2009). </w:t>
      </w:r>
      <w:proofErr w:type="spellStart"/>
      <w:r w:rsidRPr="009B5519">
        <w:rPr>
          <w:rFonts w:asciiTheme="majorBidi" w:hAnsiTheme="majorBidi" w:cstheme="majorBidi"/>
          <w:szCs w:val="24"/>
          <w:lang w:val="en-MY"/>
        </w:rPr>
        <w:t>Sunan</w:t>
      </w:r>
      <w:proofErr w:type="spellEnd"/>
      <w:r w:rsidRPr="009B5519">
        <w:rPr>
          <w:rFonts w:asciiTheme="majorBidi" w:hAnsiTheme="majorBidi" w:cstheme="majorBidi"/>
          <w:szCs w:val="24"/>
          <w:lang w:val="en-MY"/>
        </w:rPr>
        <w:t xml:space="preserve"> Ibn </w:t>
      </w:r>
      <w:proofErr w:type="spellStart"/>
      <w:r w:rsidRPr="009B5519">
        <w:rPr>
          <w:rFonts w:asciiTheme="majorBidi" w:hAnsiTheme="majorBidi" w:cstheme="majorBidi"/>
          <w:szCs w:val="24"/>
          <w:lang w:val="en-MY"/>
        </w:rPr>
        <w:t>Mājah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Risālah</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ʿĀlamiyyah</w:t>
      </w:r>
      <w:proofErr w:type="spellEnd"/>
      <w:r w:rsidRPr="009B5519">
        <w:rPr>
          <w:rFonts w:asciiTheme="majorBidi" w:hAnsiTheme="majorBidi" w:cstheme="majorBidi"/>
          <w:szCs w:val="24"/>
          <w:lang w:val="en-MY"/>
        </w:rPr>
        <w:t>.</w:t>
      </w:r>
    </w:p>
    <w:p w:rsidR="009438CA" w:rsidRDefault="009438CA" w:rsidP="00E42491">
      <w:pPr>
        <w:ind w:left="720" w:hanging="720"/>
        <w:jc w:val="both"/>
        <w:rPr>
          <w:rFonts w:asciiTheme="majorBidi" w:hAnsiTheme="majorBidi" w:cstheme="majorBidi"/>
          <w:szCs w:val="24"/>
          <w:lang w:val="en-MY"/>
        </w:rPr>
      </w:pPr>
      <w:r w:rsidRPr="009438CA">
        <w:rPr>
          <w:rFonts w:asciiTheme="majorBidi" w:hAnsiTheme="majorBidi" w:cstheme="majorBidi"/>
          <w:szCs w:val="24"/>
          <w:lang w:val="en-MY"/>
        </w:rPr>
        <w:t xml:space="preserve">Ibn </w:t>
      </w:r>
      <w:proofErr w:type="spellStart"/>
      <w:r w:rsidRPr="009438CA">
        <w:rPr>
          <w:rFonts w:asciiTheme="majorBidi" w:hAnsiTheme="majorBidi" w:cstheme="majorBidi"/>
          <w:szCs w:val="24"/>
          <w:lang w:val="en-MY"/>
        </w:rPr>
        <w:t>Nujaym</w:t>
      </w:r>
      <w:proofErr w:type="spellEnd"/>
      <w:r w:rsidRPr="009438CA">
        <w:rPr>
          <w:rFonts w:asciiTheme="majorBidi" w:hAnsiTheme="majorBidi" w:cstheme="majorBidi"/>
          <w:szCs w:val="24"/>
          <w:lang w:val="en-MY"/>
        </w:rPr>
        <w:t>, Z. al-D. ibn I. (1999). Al-</w:t>
      </w:r>
      <w:proofErr w:type="spellStart"/>
      <w:r w:rsidRPr="009438CA">
        <w:rPr>
          <w:rFonts w:asciiTheme="majorBidi" w:hAnsiTheme="majorBidi" w:cstheme="majorBidi"/>
          <w:szCs w:val="24"/>
          <w:lang w:val="en-MY"/>
        </w:rPr>
        <w:t>Ashbāh</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wa</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naẓāʾir</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ʿalā</w:t>
      </w:r>
      <w:proofErr w:type="spellEnd"/>
      <w:r w:rsidRPr="009438CA">
        <w:rPr>
          <w:rFonts w:asciiTheme="majorBidi" w:hAnsiTheme="majorBidi" w:cstheme="majorBidi"/>
          <w:szCs w:val="24"/>
          <w:lang w:val="en-MY"/>
        </w:rPr>
        <w:t xml:space="preserve"> madhhab </w:t>
      </w:r>
      <w:proofErr w:type="spellStart"/>
      <w:r w:rsidRPr="009438CA">
        <w:rPr>
          <w:rFonts w:asciiTheme="majorBidi" w:hAnsiTheme="majorBidi" w:cstheme="majorBidi"/>
          <w:szCs w:val="24"/>
          <w:lang w:val="en-MY"/>
        </w:rPr>
        <w:t>Abī</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Ḥanīfah</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Nuʿmān</w:t>
      </w:r>
      <w:proofErr w:type="spellEnd"/>
      <w:r w:rsidRPr="009438CA">
        <w:rPr>
          <w:rFonts w:asciiTheme="majorBidi" w:hAnsiTheme="majorBidi" w:cstheme="majorBidi"/>
          <w:szCs w:val="24"/>
          <w:lang w:val="en-MY"/>
        </w:rPr>
        <w:t xml:space="preserve">. </w:t>
      </w:r>
      <w:proofErr w:type="spellStart"/>
      <w:r w:rsidRPr="009438CA">
        <w:rPr>
          <w:rFonts w:asciiTheme="majorBidi" w:hAnsiTheme="majorBidi" w:cstheme="majorBidi"/>
          <w:szCs w:val="24"/>
          <w:lang w:val="en-MY"/>
        </w:rPr>
        <w:t>Dār</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Kutub</w:t>
      </w:r>
      <w:proofErr w:type="spellEnd"/>
      <w:r w:rsidRPr="009438CA">
        <w:rPr>
          <w:rFonts w:asciiTheme="majorBidi" w:hAnsiTheme="majorBidi" w:cstheme="majorBidi"/>
          <w:szCs w:val="24"/>
          <w:lang w:val="en-MY"/>
        </w:rPr>
        <w:t xml:space="preserve"> al-</w:t>
      </w:r>
      <w:proofErr w:type="spellStart"/>
      <w:r w:rsidRPr="009438CA">
        <w:rPr>
          <w:rFonts w:asciiTheme="majorBidi" w:hAnsiTheme="majorBidi" w:cstheme="majorBidi"/>
          <w:szCs w:val="24"/>
          <w:lang w:val="en-MY"/>
        </w:rPr>
        <w:t>ʿIlmiyyah</w:t>
      </w:r>
      <w:proofErr w:type="spellEnd"/>
      <w:r w:rsidRPr="009438CA">
        <w:rPr>
          <w:rFonts w:asciiTheme="majorBidi" w:hAnsiTheme="majorBidi" w:cstheme="majorBidi"/>
          <w:szCs w:val="24"/>
          <w:lang w:val="en-MY"/>
        </w:rPr>
        <w:t>.</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Ibn </w:t>
      </w:r>
      <w:proofErr w:type="spellStart"/>
      <w:r w:rsidRPr="009B5519">
        <w:rPr>
          <w:rFonts w:asciiTheme="majorBidi" w:hAnsiTheme="majorBidi" w:cstheme="majorBidi"/>
          <w:szCs w:val="24"/>
          <w:lang w:val="en-MY"/>
        </w:rPr>
        <w:t>Qudāmah</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ʿA</w:t>
      </w:r>
      <w:proofErr w:type="spellEnd"/>
      <w:r w:rsidRPr="009B5519">
        <w:rPr>
          <w:rFonts w:asciiTheme="majorBidi" w:hAnsiTheme="majorBidi" w:cstheme="majorBidi"/>
          <w:szCs w:val="24"/>
          <w:lang w:val="en-MY"/>
        </w:rPr>
        <w:t>. A. (1968). Al-</w:t>
      </w:r>
      <w:proofErr w:type="spellStart"/>
      <w:r w:rsidRPr="009B5519">
        <w:rPr>
          <w:rFonts w:asciiTheme="majorBidi" w:hAnsiTheme="majorBidi" w:cstheme="majorBidi"/>
          <w:szCs w:val="24"/>
          <w:lang w:val="en-MY"/>
        </w:rPr>
        <w:t>Mughnī</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Maktabat</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Qāhirah</w:t>
      </w:r>
      <w:proofErr w:type="spellEnd"/>
      <w:r w:rsidRPr="009B5519">
        <w:rPr>
          <w:rFonts w:asciiTheme="majorBidi" w:hAnsiTheme="majorBidi" w:cstheme="majorBidi"/>
          <w:szCs w:val="24"/>
          <w:lang w:val="en-MY"/>
        </w:rPr>
        <w:t>.</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Ibn </w:t>
      </w:r>
      <w:proofErr w:type="spellStart"/>
      <w:r w:rsidRPr="009B5519">
        <w:rPr>
          <w:rFonts w:asciiTheme="majorBidi" w:hAnsiTheme="majorBidi" w:cstheme="majorBidi"/>
          <w:szCs w:val="24"/>
          <w:lang w:val="en-MY"/>
        </w:rPr>
        <w:t>Rushd</w:t>
      </w:r>
      <w:proofErr w:type="spellEnd"/>
      <w:r w:rsidRPr="009B5519">
        <w:rPr>
          <w:rFonts w:asciiTheme="majorBidi" w:hAnsiTheme="majorBidi" w:cstheme="majorBidi"/>
          <w:szCs w:val="24"/>
          <w:lang w:val="en-MY"/>
        </w:rPr>
        <w:t xml:space="preserve">, M. ibn </w:t>
      </w:r>
      <w:proofErr w:type="spellStart"/>
      <w:r w:rsidRPr="009B5519">
        <w:rPr>
          <w:rFonts w:asciiTheme="majorBidi" w:hAnsiTheme="majorBidi" w:cstheme="majorBidi"/>
          <w:szCs w:val="24"/>
          <w:lang w:val="en-MY"/>
        </w:rPr>
        <w:t>Aḥmad</w:t>
      </w:r>
      <w:proofErr w:type="spellEnd"/>
      <w:r w:rsidRPr="009B5519">
        <w:rPr>
          <w:rFonts w:asciiTheme="majorBidi" w:hAnsiTheme="majorBidi" w:cstheme="majorBidi"/>
          <w:szCs w:val="24"/>
          <w:lang w:val="en-MY"/>
        </w:rPr>
        <w:t xml:space="preserve">. (2004). </w:t>
      </w:r>
      <w:proofErr w:type="spellStart"/>
      <w:r w:rsidRPr="009B5519">
        <w:rPr>
          <w:rFonts w:asciiTheme="majorBidi" w:hAnsiTheme="majorBidi" w:cstheme="majorBidi"/>
          <w:szCs w:val="24"/>
          <w:lang w:val="en-MY"/>
        </w:rPr>
        <w:t>Bidāyat</w:t>
      </w:r>
      <w:proofErr w:type="spellEnd"/>
      <w:r w:rsidRPr="009B5519">
        <w:rPr>
          <w:rFonts w:asciiTheme="majorBidi" w:hAnsiTheme="majorBidi" w:cstheme="majorBidi"/>
          <w:szCs w:val="24"/>
          <w:lang w:val="en-MY"/>
        </w:rPr>
        <w:t xml:space="preserve"> al-mujtahid </w:t>
      </w:r>
      <w:proofErr w:type="spellStart"/>
      <w:r w:rsidRPr="009B5519">
        <w:rPr>
          <w:rFonts w:asciiTheme="majorBidi" w:hAnsiTheme="majorBidi" w:cstheme="majorBidi"/>
          <w:szCs w:val="24"/>
          <w:lang w:val="en-MY"/>
        </w:rPr>
        <w:t>wa</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nihāyat</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muqtaṣid</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Ḥadīth</w:t>
      </w:r>
      <w:proofErr w:type="spellEnd"/>
      <w:r w:rsidRPr="009B5519">
        <w:rPr>
          <w:rFonts w:asciiTheme="majorBidi" w:hAnsiTheme="majorBidi" w:cstheme="majorBidi"/>
          <w:szCs w:val="24"/>
          <w:lang w:val="en-MY"/>
        </w:rPr>
        <w:t>.</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lastRenderedPageBreak/>
        <w:t xml:space="preserve">International Monetary Fund. (2024). Currency composition of official foreign exchange reserves (COFER). </w:t>
      </w:r>
      <w:hyperlink r:id="rId19" w:history="1">
        <w:r w:rsidR="00BF2F29" w:rsidRPr="00B50E79">
          <w:rPr>
            <w:rStyle w:val="Hyperlink"/>
            <w:rFonts w:asciiTheme="majorBidi" w:hAnsiTheme="majorBidi" w:cstheme="majorBidi"/>
            <w:szCs w:val="24"/>
            <w:lang w:val="en-MY"/>
          </w:rPr>
          <w:t>https://data.imf.org</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Kahf</w:t>
      </w:r>
      <w:proofErr w:type="spellEnd"/>
      <w:r w:rsidRPr="009B5519">
        <w:rPr>
          <w:rFonts w:asciiTheme="majorBidi" w:hAnsiTheme="majorBidi" w:cstheme="majorBidi"/>
          <w:szCs w:val="24"/>
          <w:lang w:val="en-MY"/>
        </w:rPr>
        <w:t xml:space="preserve">, M. (1999). The performance of the institution of </w:t>
      </w:r>
      <w:proofErr w:type="spellStart"/>
      <w:r w:rsidRPr="009B5519">
        <w:rPr>
          <w:rFonts w:asciiTheme="majorBidi" w:hAnsiTheme="majorBidi" w:cstheme="majorBidi"/>
          <w:szCs w:val="24"/>
          <w:lang w:val="en-MY"/>
        </w:rPr>
        <w:t>zakah</w:t>
      </w:r>
      <w:proofErr w:type="spellEnd"/>
      <w:r w:rsidRPr="009B5519">
        <w:rPr>
          <w:rFonts w:asciiTheme="majorBidi" w:hAnsiTheme="majorBidi" w:cstheme="majorBidi"/>
          <w:szCs w:val="24"/>
          <w:lang w:val="en-MY"/>
        </w:rPr>
        <w:t xml:space="preserve"> in theory and practice. International Conference on Islamic Economics.</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Kahf</w:t>
      </w:r>
      <w:proofErr w:type="spellEnd"/>
      <w:r w:rsidRPr="009B5519">
        <w:rPr>
          <w:rFonts w:asciiTheme="majorBidi" w:hAnsiTheme="majorBidi" w:cstheme="majorBidi"/>
          <w:szCs w:val="24"/>
          <w:lang w:val="en-MY"/>
        </w:rPr>
        <w:t xml:space="preserve">, M. (2000). </w:t>
      </w:r>
      <w:proofErr w:type="spellStart"/>
      <w:r w:rsidRPr="009B5519">
        <w:rPr>
          <w:rFonts w:asciiTheme="majorBidi" w:hAnsiTheme="majorBidi" w:cstheme="majorBidi"/>
          <w:szCs w:val="24"/>
          <w:lang w:val="en-MY"/>
        </w:rPr>
        <w:t>Zakah</w:t>
      </w:r>
      <w:proofErr w:type="spellEnd"/>
      <w:r w:rsidRPr="009B5519">
        <w:rPr>
          <w:rFonts w:asciiTheme="majorBidi" w:hAnsiTheme="majorBidi" w:cstheme="majorBidi"/>
          <w:szCs w:val="24"/>
          <w:lang w:val="en-MY"/>
        </w:rPr>
        <w:t xml:space="preserve"> management in some Muslim societies. Islamic Research and Training Institute, Islamic Development Bank.</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Kamali</w:t>
      </w:r>
      <w:proofErr w:type="spellEnd"/>
      <w:r w:rsidRPr="009B5519">
        <w:rPr>
          <w:rFonts w:asciiTheme="majorBidi" w:hAnsiTheme="majorBidi" w:cstheme="majorBidi"/>
          <w:szCs w:val="24"/>
          <w:lang w:val="en-MY"/>
        </w:rPr>
        <w:t xml:space="preserve">, M. H. (2008). </w:t>
      </w:r>
      <w:proofErr w:type="spellStart"/>
      <w:r w:rsidRPr="009B5519">
        <w:rPr>
          <w:rFonts w:asciiTheme="majorBidi" w:hAnsiTheme="majorBidi" w:cstheme="majorBidi"/>
          <w:szCs w:val="24"/>
          <w:lang w:val="en-MY"/>
        </w:rPr>
        <w:t>Maqasid</w:t>
      </w:r>
      <w:proofErr w:type="spellEnd"/>
      <w:r w:rsidRPr="009B5519">
        <w:rPr>
          <w:rFonts w:asciiTheme="majorBidi" w:hAnsiTheme="majorBidi" w:cstheme="majorBidi"/>
          <w:szCs w:val="24"/>
          <w:lang w:val="en-MY"/>
        </w:rPr>
        <w:t xml:space="preserve"> al-shariah made simple. International Institute of Islamic Thought.</w:t>
      </w:r>
    </w:p>
    <w:p w:rsidR="004D0968" w:rsidRDefault="004D0968" w:rsidP="00E42491">
      <w:pPr>
        <w:ind w:left="720" w:hanging="720"/>
        <w:jc w:val="both"/>
        <w:rPr>
          <w:rFonts w:asciiTheme="majorBidi" w:hAnsiTheme="majorBidi" w:cstheme="majorBidi"/>
          <w:szCs w:val="24"/>
          <w:lang w:val="en-MY"/>
        </w:rPr>
      </w:pPr>
      <w:proofErr w:type="spellStart"/>
      <w:r w:rsidRPr="004D0968">
        <w:rPr>
          <w:rFonts w:asciiTheme="majorBidi" w:hAnsiTheme="majorBidi" w:cstheme="majorBidi"/>
          <w:szCs w:val="24"/>
          <w:lang w:val="en-MY"/>
        </w:rPr>
        <w:t>Kharisma</w:t>
      </w:r>
      <w:proofErr w:type="spellEnd"/>
      <w:r w:rsidRPr="004D0968">
        <w:rPr>
          <w:rFonts w:asciiTheme="majorBidi" w:hAnsiTheme="majorBidi" w:cstheme="majorBidi"/>
          <w:szCs w:val="24"/>
          <w:lang w:val="en-MY"/>
        </w:rPr>
        <w:t xml:space="preserve">, P., &amp; </w:t>
      </w:r>
      <w:proofErr w:type="spellStart"/>
      <w:r w:rsidRPr="004D0968">
        <w:rPr>
          <w:rFonts w:asciiTheme="majorBidi" w:hAnsiTheme="majorBidi" w:cstheme="majorBidi"/>
          <w:szCs w:val="24"/>
          <w:lang w:val="en-MY"/>
        </w:rPr>
        <w:t>Jayanto</w:t>
      </w:r>
      <w:proofErr w:type="spellEnd"/>
      <w:r w:rsidRPr="004D0968">
        <w:rPr>
          <w:rFonts w:asciiTheme="majorBidi" w:hAnsiTheme="majorBidi" w:cstheme="majorBidi"/>
          <w:szCs w:val="24"/>
          <w:lang w:val="en-MY"/>
        </w:rPr>
        <w:t xml:space="preserve">, P. Y. (2021). </w:t>
      </w:r>
      <w:proofErr w:type="spellStart"/>
      <w:r w:rsidRPr="004D0968">
        <w:rPr>
          <w:rFonts w:asciiTheme="majorBidi" w:hAnsiTheme="majorBidi" w:cstheme="majorBidi"/>
          <w:szCs w:val="24"/>
          <w:lang w:val="en-MY"/>
        </w:rPr>
        <w:t>Faktor-Faktor</w:t>
      </w:r>
      <w:proofErr w:type="spellEnd"/>
      <w:r w:rsidRPr="004D0968">
        <w:rPr>
          <w:rFonts w:asciiTheme="majorBidi" w:hAnsiTheme="majorBidi" w:cstheme="majorBidi"/>
          <w:szCs w:val="24"/>
          <w:lang w:val="en-MY"/>
        </w:rPr>
        <w:t xml:space="preserve"> yang </w:t>
      </w:r>
      <w:proofErr w:type="spellStart"/>
      <w:r w:rsidRPr="004D0968">
        <w:rPr>
          <w:rFonts w:asciiTheme="majorBidi" w:hAnsiTheme="majorBidi" w:cstheme="majorBidi"/>
          <w:szCs w:val="24"/>
          <w:lang w:val="en-MY"/>
        </w:rPr>
        <w:t>Mempengaruhi</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Minat</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Menggunakan</w:t>
      </w:r>
      <w:proofErr w:type="spellEnd"/>
      <w:r w:rsidRPr="004D0968">
        <w:rPr>
          <w:rFonts w:asciiTheme="majorBidi" w:hAnsiTheme="majorBidi" w:cstheme="majorBidi"/>
          <w:szCs w:val="24"/>
          <w:lang w:val="en-MY"/>
        </w:rPr>
        <w:t xml:space="preserve"> E-Zakat </w:t>
      </w:r>
      <w:proofErr w:type="spellStart"/>
      <w:r w:rsidRPr="004D0968">
        <w:rPr>
          <w:rFonts w:asciiTheme="majorBidi" w:hAnsiTheme="majorBidi" w:cstheme="majorBidi"/>
          <w:szCs w:val="24"/>
          <w:lang w:val="en-MY"/>
        </w:rPr>
        <w:t>dalam</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Membayar</w:t>
      </w:r>
      <w:proofErr w:type="spellEnd"/>
      <w:r w:rsidRPr="004D0968">
        <w:rPr>
          <w:rFonts w:asciiTheme="majorBidi" w:hAnsiTheme="majorBidi" w:cstheme="majorBidi"/>
          <w:szCs w:val="24"/>
          <w:lang w:val="en-MY"/>
        </w:rPr>
        <w:t xml:space="preserve"> Zakat, </w:t>
      </w:r>
      <w:proofErr w:type="spellStart"/>
      <w:r w:rsidRPr="004D0968">
        <w:rPr>
          <w:rFonts w:asciiTheme="majorBidi" w:hAnsiTheme="majorBidi" w:cstheme="majorBidi"/>
          <w:szCs w:val="24"/>
          <w:lang w:val="en-MY"/>
        </w:rPr>
        <w:t>Infaq</w:t>
      </w:r>
      <w:proofErr w:type="spellEnd"/>
      <w:r w:rsidRPr="004D0968">
        <w:rPr>
          <w:rFonts w:asciiTheme="majorBidi" w:hAnsiTheme="majorBidi" w:cstheme="majorBidi"/>
          <w:szCs w:val="24"/>
          <w:lang w:val="en-MY"/>
        </w:rPr>
        <w:t xml:space="preserve">, dan </w:t>
      </w:r>
      <w:proofErr w:type="spellStart"/>
      <w:r w:rsidRPr="004D0968">
        <w:rPr>
          <w:rFonts w:asciiTheme="majorBidi" w:hAnsiTheme="majorBidi" w:cstheme="majorBidi"/>
          <w:szCs w:val="24"/>
          <w:lang w:val="en-MY"/>
        </w:rPr>
        <w:t>Sedekah</w:t>
      </w:r>
      <w:proofErr w:type="spellEnd"/>
      <w:r w:rsidRPr="004D0968">
        <w:rPr>
          <w:rFonts w:asciiTheme="majorBidi" w:hAnsiTheme="majorBidi" w:cstheme="majorBidi"/>
          <w:szCs w:val="24"/>
          <w:lang w:val="en-MY"/>
        </w:rPr>
        <w:t xml:space="preserve">. AKSES: </w:t>
      </w:r>
      <w:proofErr w:type="spellStart"/>
      <w:r w:rsidRPr="004D0968">
        <w:rPr>
          <w:rFonts w:asciiTheme="majorBidi" w:hAnsiTheme="majorBidi" w:cstheme="majorBidi"/>
          <w:szCs w:val="24"/>
          <w:lang w:val="en-MY"/>
        </w:rPr>
        <w:t>Jurnal</w:t>
      </w:r>
      <w:proofErr w:type="spellEnd"/>
      <w:r w:rsidRPr="004D0968">
        <w:rPr>
          <w:rFonts w:asciiTheme="majorBidi" w:hAnsiTheme="majorBidi" w:cstheme="majorBidi"/>
          <w:szCs w:val="24"/>
          <w:lang w:val="en-MY"/>
        </w:rPr>
        <w:t xml:space="preserve"> </w:t>
      </w:r>
      <w:proofErr w:type="spellStart"/>
      <w:r w:rsidRPr="004D0968">
        <w:rPr>
          <w:rFonts w:asciiTheme="majorBidi" w:hAnsiTheme="majorBidi" w:cstheme="majorBidi"/>
          <w:szCs w:val="24"/>
          <w:lang w:val="en-MY"/>
        </w:rPr>
        <w:t>Ekonomi</w:t>
      </w:r>
      <w:proofErr w:type="spellEnd"/>
      <w:r w:rsidRPr="004D0968">
        <w:rPr>
          <w:rFonts w:asciiTheme="majorBidi" w:hAnsiTheme="majorBidi" w:cstheme="majorBidi"/>
          <w:szCs w:val="24"/>
          <w:lang w:val="en-MY"/>
        </w:rPr>
        <w:t xml:space="preserve"> Dan </w:t>
      </w:r>
      <w:proofErr w:type="spellStart"/>
      <w:r w:rsidRPr="004D0968">
        <w:rPr>
          <w:rFonts w:asciiTheme="majorBidi" w:hAnsiTheme="majorBidi" w:cstheme="majorBidi"/>
          <w:szCs w:val="24"/>
          <w:lang w:val="en-MY"/>
        </w:rPr>
        <w:t>Bisnis</w:t>
      </w:r>
      <w:proofErr w:type="spellEnd"/>
      <w:r w:rsidRPr="004D0968">
        <w:rPr>
          <w:rFonts w:asciiTheme="majorBidi" w:hAnsiTheme="majorBidi" w:cstheme="majorBidi"/>
          <w:szCs w:val="24"/>
          <w:lang w:val="en-MY"/>
        </w:rPr>
        <w:t xml:space="preserve">, 16(1). </w:t>
      </w:r>
      <w:hyperlink r:id="rId20" w:history="1">
        <w:r w:rsidRPr="00B50E79">
          <w:rPr>
            <w:rStyle w:val="Hyperlink"/>
            <w:rFonts w:asciiTheme="majorBidi" w:hAnsiTheme="majorBidi" w:cstheme="majorBidi"/>
            <w:szCs w:val="24"/>
            <w:lang w:val="en-MY"/>
          </w:rPr>
          <w:t>https://doi.org/10.31942/akses.v16i1.4471</w:t>
        </w:r>
      </w:hyperlink>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London Bullion Market Association. (2025). LBMA gold price. https://www.lbma.org.uk/prices-and-data/lbma-gold-price</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Mālik</w:t>
      </w:r>
      <w:proofErr w:type="spellEnd"/>
      <w:r w:rsidRPr="009B5519">
        <w:rPr>
          <w:rFonts w:asciiTheme="majorBidi" w:hAnsiTheme="majorBidi" w:cstheme="majorBidi"/>
          <w:szCs w:val="24"/>
          <w:lang w:val="en-MY"/>
        </w:rPr>
        <w:t xml:space="preserve"> ibn Anas. (1985). Al-</w:t>
      </w:r>
      <w:proofErr w:type="spellStart"/>
      <w:r w:rsidRPr="009B5519">
        <w:rPr>
          <w:rFonts w:asciiTheme="majorBidi" w:hAnsiTheme="majorBidi" w:cstheme="majorBidi"/>
          <w:szCs w:val="24"/>
          <w:lang w:val="en-MY"/>
        </w:rPr>
        <w:t>Muwaṭṭaʾ</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Dār</w:t>
      </w:r>
      <w:proofErr w:type="spellEnd"/>
      <w:r w:rsidRPr="009B5519">
        <w:rPr>
          <w:rFonts w:asciiTheme="majorBidi" w:hAnsiTheme="majorBidi" w:cstheme="majorBidi"/>
          <w:szCs w:val="24"/>
          <w:lang w:val="en-MY"/>
        </w:rPr>
        <w:t xml:space="preserve"> </w:t>
      </w:r>
      <w:proofErr w:type="spellStart"/>
      <w:r w:rsidRPr="009B5519">
        <w:rPr>
          <w:rFonts w:asciiTheme="majorBidi" w:hAnsiTheme="majorBidi" w:cstheme="majorBidi"/>
          <w:szCs w:val="24"/>
          <w:lang w:val="en-MY"/>
        </w:rPr>
        <w:t>Iḥyāʾ</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Turāth</w:t>
      </w:r>
      <w:proofErr w:type="spellEnd"/>
      <w:r w:rsidRPr="009B5519">
        <w:rPr>
          <w:rFonts w:asciiTheme="majorBidi" w:hAnsiTheme="majorBidi" w:cstheme="majorBidi"/>
          <w:szCs w:val="24"/>
          <w:lang w:val="en-MY"/>
        </w:rPr>
        <w:t xml:space="preserve"> al-</w:t>
      </w:r>
      <w:proofErr w:type="spellStart"/>
      <w:r w:rsidRPr="009B5519">
        <w:rPr>
          <w:rFonts w:asciiTheme="majorBidi" w:hAnsiTheme="majorBidi" w:cstheme="majorBidi"/>
          <w:szCs w:val="24"/>
          <w:lang w:val="en-MY"/>
        </w:rPr>
        <w:t>ʿArabī</w:t>
      </w:r>
      <w:proofErr w:type="spellEnd"/>
      <w:r w:rsidRPr="009B5519">
        <w:rPr>
          <w:rFonts w:asciiTheme="majorBidi" w:hAnsiTheme="majorBidi" w:cstheme="majorBidi"/>
          <w:szCs w:val="24"/>
          <w:lang w:val="en-MY"/>
        </w:rPr>
        <w:t>.</w:t>
      </w:r>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Muneeza</w:t>
      </w:r>
      <w:proofErr w:type="spellEnd"/>
      <w:r w:rsidRPr="009B5519">
        <w:rPr>
          <w:rFonts w:asciiTheme="majorBidi" w:hAnsiTheme="majorBidi" w:cstheme="majorBidi"/>
          <w:szCs w:val="24"/>
          <w:lang w:val="en-MY"/>
        </w:rPr>
        <w:t xml:space="preserve">, A., &amp; </w:t>
      </w:r>
      <w:proofErr w:type="spellStart"/>
      <w:r w:rsidRPr="009B5519">
        <w:rPr>
          <w:rFonts w:asciiTheme="majorBidi" w:hAnsiTheme="majorBidi" w:cstheme="majorBidi"/>
          <w:szCs w:val="24"/>
          <w:lang w:val="en-MY"/>
        </w:rPr>
        <w:t>Nadwi</w:t>
      </w:r>
      <w:proofErr w:type="spellEnd"/>
      <w:r w:rsidRPr="009B5519">
        <w:rPr>
          <w:rFonts w:asciiTheme="majorBidi" w:hAnsiTheme="majorBidi" w:cstheme="majorBidi"/>
          <w:szCs w:val="24"/>
          <w:lang w:val="en-MY"/>
        </w:rPr>
        <w:t>, S. (2019). The potential of application of technology-based innovations for zakat administration in India. International Journal of Zakat, 4(2), 87–100.</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Obaidullah, M. (2016). A framework for analysis of Islamic endowment and </w:t>
      </w:r>
      <w:proofErr w:type="spellStart"/>
      <w:r w:rsidRPr="009B5519">
        <w:rPr>
          <w:rFonts w:asciiTheme="majorBidi" w:hAnsiTheme="majorBidi" w:cstheme="majorBidi"/>
          <w:szCs w:val="24"/>
          <w:lang w:val="en-MY"/>
        </w:rPr>
        <w:t>zakah</w:t>
      </w:r>
      <w:proofErr w:type="spellEnd"/>
      <w:r w:rsidRPr="009B5519">
        <w:rPr>
          <w:rFonts w:asciiTheme="majorBidi" w:hAnsiTheme="majorBidi" w:cstheme="majorBidi"/>
          <w:szCs w:val="24"/>
          <w:lang w:val="en-MY"/>
        </w:rPr>
        <w:t xml:space="preserve"> funds. Islamic Research and Training Institute.</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O</w:t>
      </w:r>
      <w:r w:rsidR="00325619">
        <w:rPr>
          <w:rFonts w:asciiTheme="majorBidi" w:hAnsiTheme="majorBidi" w:cstheme="majorBidi"/>
          <w:szCs w:val="24"/>
          <w:lang w:val="en-MY"/>
        </w:rPr>
        <w:t>’</w:t>
      </w:r>
      <w:r w:rsidRPr="009B5519">
        <w:rPr>
          <w:rFonts w:asciiTheme="majorBidi" w:hAnsiTheme="majorBidi" w:cstheme="majorBidi"/>
          <w:szCs w:val="24"/>
          <w:lang w:val="en-MY"/>
        </w:rPr>
        <w:t xml:space="preserve">Connor, F. A., Lucey, B. M., Batten, J. A., &amp; Baur, D. G. (2015). The financial economics of gold: A survey. International Review of Financial Analysis, 41, 186–205. </w:t>
      </w:r>
      <w:hyperlink r:id="rId21" w:history="1">
        <w:r w:rsidR="00BF2F29" w:rsidRPr="00B50E79">
          <w:rPr>
            <w:rStyle w:val="Hyperlink"/>
            <w:rFonts w:asciiTheme="majorBidi" w:hAnsiTheme="majorBidi" w:cstheme="majorBidi"/>
            <w:szCs w:val="24"/>
            <w:lang w:val="en-MY"/>
          </w:rPr>
          <w:t>https://doi.org/10.1016/j.irfa.2015.07.005</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Organisation of Islamic Cooperation. (2023). Islamic social finance report. OIC and Islamic Development Bank publications.</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Wahab, N. A., &amp; Rahman, A. R. A. (2011). A framework to analyse the efficiency and governance of zakat institutions. Journal of Islamic Accounting and Business Research, 2(1), 43–62. </w:t>
      </w:r>
      <w:hyperlink r:id="rId22" w:history="1">
        <w:r w:rsidR="00BF2F29" w:rsidRPr="00B50E79">
          <w:rPr>
            <w:rStyle w:val="Hyperlink"/>
            <w:rFonts w:asciiTheme="majorBidi" w:hAnsiTheme="majorBidi" w:cstheme="majorBidi"/>
            <w:szCs w:val="24"/>
            <w:lang w:val="en-MY"/>
          </w:rPr>
          <w:t>https://doi.org/10.1108/17590811111129508</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World Bank. (2024). Commodity markets outlook: Commodity price data. </w:t>
      </w:r>
      <w:hyperlink r:id="rId23" w:history="1">
        <w:r w:rsidR="00BF2F29" w:rsidRPr="00B50E79">
          <w:rPr>
            <w:rStyle w:val="Hyperlink"/>
            <w:rFonts w:asciiTheme="majorBidi" w:hAnsiTheme="majorBidi" w:cstheme="majorBidi"/>
            <w:szCs w:val="24"/>
            <w:lang w:val="en-MY"/>
          </w:rPr>
          <w:t>https://www.worldbank.org/en/research/commodity-markets</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World Gold Council. (2023). Gold demand trends full year 2023. </w:t>
      </w:r>
      <w:hyperlink r:id="rId24" w:history="1">
        <w:r w:rsidR="00BF2F29" w:rsidRPr="00B50E79">
          <w:rPr>
            <w:rStyle w:val="Hyperlink"/>
            <w:rFonts w:asciiTheme="majorBidi" w:hAnsiTheme="majorBidi" w:cstheme="majorBidi"/>
            <w:szCs w:val="24"/>
            <w:lang w:val="en-MY"/>
          </w:rPr>
          <w:t>https://www.gold.org/goldhub/research/gold-demand-trends/gold-demand-trends-full-year-2023</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lastRenderedPageBreak/>
        <w:t xml:space="preserve">World Gold Council. (2024a). Gold demand trends full year 2024. </w:t>
      </w:r>
      <w:hyperlink r:id="rId25" w:history="1">
        <w:r w:rsidR="00BF2F29" w:rsidRPr="00B50E79">
          <w:rPr>
            <w:rStyle w:val="Hyperlink"/>
            <w:rFonts w:asciiTheme="majorBidi" w:hAnsiTheme="majorBidi" w:cstheme="majorBidi"/>
            <w:szCs w:val="24"/>
            <w:lang w:val="en-MY"/>
          </w:rPr>
          <w:t>https://www.gold.org/goldhub/research/gold-demand-trends</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World Gold Council. (2024b). Gold prices and data. </w:t>
      </w:r>
      <w:hyperlink r:id="rId26" w:history="1">
        <w:r w:rsidR="00BF2F29" w:rsidRPr="00B50E79">
          <w:rPr>
            <w:rStyle w:val="Hyperlink"/>
            <w:rFonts w:asciiTheme="majorBidi" w:hAnsiTheme="majorBidi" w:cstheme="majorBidi"/>
            <w:szCs w:val="24"/>
            <w:lang w:val="en-MY"/>
          </w:rPr>
          <w:t>https://www.gold.org/goldhub/data/gold-prices</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World Gold Council. (2025a). Central bank gold reserves survey 2025. </w:t>
      </w:r>
      <w:hyperlink r:id="rId27" w:history="1">
        <w:r w:rsidR="00BF2F29" w:rsidRPr="00B50E79">
          <w:rPr>
            <w:rStyle w:val="Hyperlink"/>
            <w:rFonts w:asciiTheme="majorBidi" w:hAnsiTheme="majorBidi" w:cstheme="majorBidi"/>
            <w:szCs w:val="24"/>
            <w:lang w:val="en-MY"/>
          </w:rPr>
          <w:t>https://www.gold.org/goldhub/research/central-bank-gold-reserves-survey-2025</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World Gold Council. (2025b). Gold reserves by country. </w:t>
      </w:r>
      <w:hyperlink r:id="rId28" w:history="1">
        <w:r w:rsidR="00BF2F29" w:rsidRPr="00B50E79">
          <w:rPr>
            <w:rStyle w:val="Hyperlink"/>
            <w:rFonts w:asciiTheme="majorBidi" w:hAnsiTheme="majorBidi" w:cstheme="majorBidi"/>
            <w:szCs w:val="24"/>
            <w:lang w:val="en-MY"/>
          </w:rPr>
          <w:t>https://www.gold.org/goldhub/data/gold-reserves-by-country</w:t>
        </w:r>
      </w:hyperlink>
      <w:r w:rsidR="00BF2F29">
        <w:rPr>
          <w:rFonts w:asciiTheme="majorBidi" w:hAnsiTheme="majorBidi" w:cstheme="majorBidi"/>
          <w:szCs w:val="24"/>
          <w:lang w:val="en-MY"/>
        </w:rPr>
        <w:t xml:space="preserve"> </w:t>
      </w:r>
    </w:p>
    <w:p w:rsidR="002A4AEB" w:rsidRPr="009B5519" w:rsidRDefault="003B4FC0" w:rsidP="00E42491">
      <w:pPr>
        <w:ind w:left="720" w:hanging="720"/>
        <w:jc w:val="both"/>
        <w:rPr>
          <w:rFonts w:asciiTheme="majorBidi" w:hAnsiTheme="majorBidi" w:cstheme="majorBidi"/>
          <w:szCs w:val="24"/>
          <w:lang w:val="en-MY"/>
        </w:rPr>
      </w:pPr>
      <w:r w:rsidRPr="009B5519">
        <w:rPr>
          <w:rFonts w:asciiTheme="majorBidi" w:hAnsiTheme="majorBidi" w:cstheme="majorBidi"/>
          <w:szCs w:val="24"/>
          <w:lang w:val="en-MY"/>
        </w:rPr>
        <w:t xml:space="preserve">Yahoo Finance. (2025). Gold futures historical data (GC=F). </w:t>
      </w:r>
      <w:hyperlink r:id="rId29" w:history="1">
        <w:r w:rsidR="009438CA" w:rsidRPr="00B50E79">
          <w:rPr>
            <w:rStyle w:val="Hyperlink"/>
            <w:rFonts w:asciiTheme="majorBidi" w:hAnsiTheme="majorBidi" w:cstheme="majorBidi"/>
            <w:szCs w:val="24"/>
            <w:lang w:val="en-MY"/>
          </w:rPr>
          <w:t>https://finance.yahoo.com/quote/GC=F/history</w:t>
        </w:r>
      </w:hyperlink>
      <w:r w:rsidR="009438CA">
        <w:rPr>
          <w:rFonts w:asciiTheme="majorBidi" w:hAnsiTheme="majorBidi" w:cstheme="majorBidi"/>
          <w:szCs w:val="24"/>
          <w:lang w:val="en-MY"/>
        </w:rPr>
        <w:t xml:space="preserve"> </w:t>
      </w:r>
    </w:p>
    <w:p w:rsidR="009438CA" w:rsidRDefault="009438CA" w:rsidP="00E42491">
      <w:pPr>
        <w:ind w:left="720" w:hanging="720"/>
        <w:jc w:val="both"/>
        <w:rPr>
          <w:rFonts w:asciiTheme="majorBidi" w:hAnsiTheme="majorBidi" w:cstheme="majorBidi"/>
          <w:szCs w:val="24"/>
          <w:lang w:val="en-MY"/>
        </w:rPr>
      </w:pPr>
      <w:r w:rsidRPr="009438CA">
        <w:rPr>
          <w:rFonts w:asciiTheme="majorBidi" w:hAnsiTheme="majorBidi" w:cstheme="majorBidi"/>
          <w:szCs w:val="24"/>
          <w:lang w:val="en-MY"/>
        </w:rPr>
        <w:t xml:space="preserve">Yahoo Finance. (2026). Gold Aug 26 (GC=F) Stock Price, News, Quote &amp; History. Yahoo. </w:t>
      </w:r>
      <w:hyperlink r:id="rId30" w:history="1">
        <w:r w:rsidRPr="00B50E79">
          <w:rPr>
            <w:rStyle w:val="Hyperlink"/>
            <w:rFonts w:asciiTheme="majorBidi" w:hAnsiTheme="majorBidi" w:cstheme="majorBidi"/>
            <w:szCs w:val="24"/>
            <w:lang w:val="en-MY"/>
          </w:rPr>
          <w:t>https://finance.yahoo.com/quote/GC%3DF/?guccounter=1&amp;guce_referrer=aHR0cHM6Ly93d3cuZ29vZ2xlLmNvbS8&amp;guce_referrer_sig=AQAAAEG9Nhd5rdDfEYVzAjXkP31cPXJF4QWF6x3ArLuOP5XNFA2VQIomAccRfL3SyvfItHJrjdc9w3QVtPEr-pGkl5fRcFjA724KDzNIVMi63b1ceDyFqVfbZgnNca25eAg-2sQ8I3hHSGXPLa65I2qjpCcysSdw1seUJL1ljdLR9fIE</w:t>
        </w:r>
      </w:hyperlink>
    </w:p>
    <w:p w:rsidR="002A4AEB" w:rsidRPr="009B5519" w:rsidRDefault="003B4FC0" w:rsidP="00E42491">
      <w:pPr>
        <w:ind w:left="720" w:hanging="720"/>
        <w:jc w:val="both"/>
        <w:rPr>
          <w:rFonts w:asciiTheme="majorBidi" w:hAnsiTheme="majorBidi" w:cstheme="majorBidi"/>
          <w:szCs w:val="24"/>
          <w:lang w:val="en-MY"/>
        </w:rPr>
      </w:pPr>
      <w:proofErr w:type="spellStart"/>
      <w:r w:rsidRPr="009B5519">
        <w:rPr>
          <w:rFonts w:asciiTheme="majorBidi" w:hAnsiTheme="majorBidi" w:cstheme="majorBidi"/>
          <w:szCs w:val="24"/>
          <w:lang w:val="en-MY"/>
        </w:rPr>
        <w:t>Yusoff</w:t>
      </w:r>
      <w:proofErr w:type="spellEnd"/>
      <w:r w:rsidRPr="009B5519">
        <w:rPr>
          <w:rFonts w:asciiTheme="majorBidi" w:hAnsiTheme="majorBidi" w:cstheme="majorBidi"/>
          <w:szCs w:val="24"/>
          <w:lang w:val="en-MY"/>
        </w:rPr>
        <w:t xml:space="preserve">, M. B. (2008). Zakat expenditure, school </w:t>
      </w:r>
      <w:proofErr w:type="spellStart"/>
      <w:r w:rsidRPr="009B5519">
        <w:rPr>
          <w:rFonts w:asciiTheme="majorBidi" w:hAnsiTheme="majorBidi" w:cstheme="majorBidi"/>
          <w:szCs w:val="24"/>
          <w:lang w:val="en-MY"/>
        </w:rPr>
        <w:t>enrollment</w:t>
      </w:r>
      <w:proofErr w:type="spellEnd"/>
      <w:r w:rsidRPr="009B5519">
        <w:rPr>
          <w:rFonts w:asciiTheme="majorBidi" w:hAnsiTheme="majorBidi" w:cstheme="majorBidi"/>
          <w:szCs w:val="24"/>
          <w:lang w:val="en-MY"/>
        </w:rPr>
        <w:t>, and economic growth in Malaysia. International Journal of Business and Social Science, 1(1), 175–181.</w:t>
      </w:r>
    </w:p>
    <w:p w:rsidR="00186F89" w:rsidRDefault="00186F89" w:rsidP="00073750">
      <w:pPr>
        <w:jc w:val="both"/>
        <w:rPr>
          <w:rFonts w:asciiTheme="majorBidi" w:hAnsiTheme="majorBidi" w:cstheme="majorBidi"/>
          <w:szCs w:val="24"/>
          <w:lang w:val="en-MY"/>
        </w:rPr>
      </w:pPr>
    </w:p>
    <w:sectPr w:rsidR="00186F8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0C4B44"/>
    <w:multiLevelType w:val="hybridMultilevel"/>
    <w:tmpl w:val="68F60C1A"/>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9CE0178"/>
    <w:multiLevelType w:val="hybridMultilevel"/>
    <w:tmpl w:val="2F9826E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12C1EA1"/>
    <w:multiLevelType w:val="hybridMultilevel"/>
    <w:tmpl w:val="8974B1E2"/>
    <w:lvl w:ilvl="0" w:tplc="F0C09B84">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88563D6"/>
    <w:multiLevelType w:val="hybridMultilevel"/>
    <w:tmpl w:val="950EE41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C871EB6"/>
    <w:multiLevelType w:val="hybridMultilevel"/>
    <w:tmpl w:val="DDB2A1CC"/>
    <w:lvl w:ilvl="0" w:tplc="9E6409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19E3258"/>
    <w:multiLevelType w:val="hybridMultilevel"/>
    <w:tmpl w:val="C9D694AC"/>
    <w:lvl w:ilvl="0" w:tplc="7F8ED45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6020738"/>
    <w:multiLevelType w:val="hybridMultilevel"/>
    <w:tmpl w:val="3C109840"/>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15"/>
  </w:num>
  <w:num w:numId="13">
    <w:abstractNumId w:val="9"/>
  </w:num>
  <w:num w:numId="14">
    <w:abstractNumId w:val="1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4CE"/>
    <w:rsid w:val="00034616"/>
    <w:rsid w:val="00037C71"/>
    <w:rsid w:val="00042CBD"/>
    <w:rsid w:val="0005756D"/>
    <w:rsid w:val="0006063C"/>
    <w:rsid w:val="00073750"/>
    <w:rsid w:val="00097647"/>
    <w:rsid w:val="000C2A79"/>
    <w:rsid w:val="000F62EF"/>
    <w:rsid w:val="00133221"/>
    <w:rsid w:val="00137F58"/>
    <w:rsid w:val="0015074B"/>
    <w:rsid w:val="00186F89"/>
    <w:rsid w:val="00187813"/>
    <w:rsid w:val="001A6ACA"/>
    <w:rsid w:val="001B2CF6"/>
    <w:rsid w:val="001B3AF2"/>
    <w:rsid w:val="001B50BB"/>
    <w:rsid w:val="001C717F"/>
    <w:rsid w:val="001D1A09"/>
    <w:rsid w:val="002857CC"/>
    <w:rsid w:val="0029639D"/>
    <w:rsid w:val="002A4AEB"/>
    <w:rsid w:val="002B1B79"/>
    <w:rsid w:val="00320C21"/>
    <w:rsid w:val="00325619"/>
    <w:rsid w:val="00326F90"/>
    <w:rsid w:val="003361D3"/>
    <w:rsid w:val="00384E92"/>
    <w:rsid w:val="003A06B3"/>
    <w:rsid w:val="003B4FC0"/>
    <w:rsid w:val="003F1946"/>
    <w:rsid w:val="004657B1"/>
    <w:rsid w:val="00483245"/>
    <w:rsid w:val="00490D3C"/>
    <w:rsid w:val="004D0968"/>
    <w:rsid w:val="004D4E47"/>
    <w:rsid w:val="00526103"/>
    <w:rsid w:val="00534F9E"/>
    <w:rsid w:val="00660147"/>
    <w:rsid w:val="006B1668"/>
    <w:rsid w:val="006E2B96"/>
    <w:rsid w:val="0077334E"/>
    <w:rsid w:val="007F261A"/>
    <w:rsid w:val="007F3329"/>
    <w:rsid w:val="00875604"/>
    <w:rsid w:val="008E1C51"/>
    <w:rsid w:val="00935405"/>
    <w:rsid w:val="009438CA"/>
    <w:rsid w:val="009751BE"/>
    <w:rsid w:val="009B5519"/>
    <w:rsid w:val="009B5949"/>
    <w:rsid w:val="00A029D4"/>
    <w:rsid w:val="00A16DB0"/>
    <w:rsid w:val="00AA1D8D"/>
    <w:rsid w:val="00AB4297"/>
    <w:rsid w:val="00AC2FCA"/>
    <w:rsid w:val="00B00403"/>
    <w:rsid w:val="00B47730"/>
    <w:rsid w:val="00B808DC"/>
    <w:rsid w:val="00BF2F29"/>
    <w:rsid w:val="00C2242D"/>
    <w:rsid w:val="00C2405B"/>
    <w:rsid w:val="00C5065E"/>
    <w:rsid w:val="00CB0664"/>
    <w:rsid w:val="00CD2D9D"/>
    <w:rsid w:val="00CE4405"/>
    <w:rsid w:val="00D1124B"/>
    <w:rsid w:val="00D46F25"/>
    <w:rsid w:val="00D92201"/>
    <w:rsid w:val="00DA367F"/>
    <w:rsid w:val="00DC575A"/>
    <w:rsid w:val="00E06EAA"/>
    <w:rsid w:val="00E31636"/>
    <w:rsid w:val="00E42491"/>
    <w:rsid w:val="00E4327E"/>
    <w:rsid w:val="00F50DBF"/>
    <w:rsid w:val="00FA0B45"/>
    <w:rsid w:val="00FB684B"/>
    <w:rsid w:val="00FC693F"/>
    <w:rsid w:val="00FD48CD"/>
    <w:rsid w:val="00FE3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2B95928-E853-4AB5-8B3A-60FFF3EC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ibliography">
    <w:name w:val="Bibliography"/>
    <w:basedOn w:val="Normal"/>
    <w:next w:val="Normal"/>
    <w:uiPriority w:val="37"/>
    <w:semiHidden/>
    <w:unhideWhenUsed/>
    <w:rsid w:val="001B2CF6"/>
  </w:style>
  <w:style w:type="character" w:customStyle="1" w:styleId="cursor-pointer">
    <w:name w:val="cursor-pointer"/>
    <w:basedOn w:val="DefaultParagraphFont"/>
    <w:rsid w:val="00F50DBF"/>
  </w:style>
  <w:style w:type="character" w:styleId="Hyperlink">
    <w:name w:val="Hyperlink"/>
    <w:basedOn w:val="DefaultParagraphFont"/>
    <w:uiPriority w:val="99"/>
    <w:unhideWhenUsed/>
    <w:rsid w:val="009438CA"/>
    <w:rPr>
      <w:color w:val="0000FF" w:themeColor="hyperlink"/>
      <w:u w:val="single"/>
    </w:rPr>
  </w:style>
  <w:style w:type="character" w:styleId="UnresolvedMention">
    <w:name w:val="Unresolved Mention"/>
    <w:basedOn w:val="DefaultParagraphFont"/>
    <w:uiPriority w:val="99"/>
    <w:semiHidden/>
    <w:unhideWhenUsed/>
    <w:rsid w:val="0094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888920">
      <w:bodyDiv w:val="1"/>
      <w:marLeft w:val="0"/>
      <w:marRight w:val="0"/>
      <w:marTop w:val="0"/>
      <w:marBottom w:val="0"/>
      <w:divBdr>
        <w:top w:val="none" w:sz="0" w:space="0" w:color="auto"/>
        <w:left w:val="none" w:sz="0" w:space="0" w:color="auto"/>
        <w:bottom w:val="none" w:sz="0" w:space="0" w:color="auto"/>
        <w:right w:val="none" w:sz="0" w:space="0" w:color="auto"/>
      </w:divBdr>
    </w:div>
    <w:div w:id="1497304458">
      <w:bodyDiv w:val="1"/>
      <w:marLeft w:val="0"/>
      <w:marRight w:val="0"/>
      <w:marTop w:val="0"/>
      <w:marBottom w:val="0"/>
      <w:divBdr>
        <w:top w:val="none" w:sz="0" w:space="0" w:color="auto"/>
        <w:left w:val="none" w:sz="0" w:space="0" w:color="auto"/>
        <w:bottom w:val="none" w:sz="0" w:space="0" w:color="auto"/>
        <w:right w:val="none" w:sz="0" w:space="0" w:color="auto"/>
      </w:divBdr>
      <w:divsChild>
        <w:div w:id="1145701673">
          <w:marLeft w:val="0"/>
          <w:marRight w:val="0"/>
          <w:marTop w:val="15"/>
          <w:marBottom w:val="15"/>
          <w:divBdr>
            <w:top w:val="single" w:sz="2" w:space="0" w:color="E5E7EB"/>
            <w:left w:val="single" w:sz="2" w:space="0" w:color="E5E7EB"/>
            <w:bottom w:val="single" w:sz="2" w:space="0" w:color="E5E7EB"/>
            <w:right w:val="single" w:sz="2" w:space="0" w:color="E5E7EB"/>
          </w:divBdr>
          <w:divsChild>
            <w:div w:id="33037595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590821579">
          <w:marLeft w:val="0"/>
          <w:marRight w:val="0"/>
          <w:marTop w:val="15"/>
          <w:marBottom w:val="15"/>
          <w:divBdr>
            <w:top w:val="single" w:sz="2" w:space="0" w:color="E5E7EB"/>
            <w:left w:val="single" w:sz="2" w:space="0" w:color="E5E7EB"/>
            <w:bottom w:val="single" w:sz="2" w:space="0" w:color="E5E7EB"/>
            <w:right w:val="single" w:sz="2" w:space="0" w:color="E5E7EB"/>
          </w:divBdr>
          <w:divsChild>
            <w:div w:id="204710049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635259295">
          <w:marLeft w:val="0"/>
          <w:marRight w:val="0"/>
          <w:marTop w:val="15"/>
          <w:marBottom w:val="15"/>
          <w:divBdr>
            <w:top w:val="single" w:sz="2" w:space="0" w:color="E5E7EB"/>
            <w:left w:val="single" w:sz="2" w:space="0" w:color="E5E7EB"/>
            <w:bottom w:val="single" w:sz="2" w:space="0" w:color="E5E7EB"/>
            <w:right w:val="single" w:sz="2" w:space="0" w:color="E5E7EB"/>
          </w:divBdr>
          <w:divsChild>
            <w:div w:id="1875383608">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931669991">
          <w:marLeft w:val="0"/>
          <w:marRight w:val="0"/>
          <w:marTop w:val="15"/>
          <w:marBottom w:val="15"/>
          <w:divBdr>
            <w:top w:val="single" w:sz="2" w:space="0" w:color="E5E7EB"/>
            <w:left w:val="single" w:sz="2" w:space="0" w:color="E5E7EB"/>
            <w:bottom w:val="single" w:sz="2" w:space="0" w:color="E5E7EB"/>
            <w:right w:val="single" w:sz="2" w:space="0" w:color="E5E7EB"/>
          </w:divBdr>
          <w:divsChild>
            <w:div w:id="1821919018">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27912289">
          <w:marLeft w:val="0"/>
          <w:marRight w:val="0"/>
          <w:marTop w:val="15"/>
          <w:marBottom w:val="15"/>
          <w:divBdr>
            <w:top w:val="single" w:sz="2" w:space="0" w:color="E5E7EB"/>
            <w:left w:val="single" w:sz="2" w:space="0" w:color="E5E7EB"/>
            <w:bottom w:val="single" w:sz="2" w:space="0" w:color="E5E7EB"/>
            <w:right w:val="single" w:sz="2" w:space="0" w:color="E5E7EB"/>
          </w:divBdr>
          <w:divsChild>
            <w:div w:id="130569594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74980211">
          <w:marLeft w:val="0"/>
          <w:marRight w:val="0"/>
          <w:marTop w:val="15"/>
          <w:marBottom w:val="15"/>
          <w:divBdr>
            <w:top w:val="single" w:sz="2" w:space="0" w:color="E5E7EB"/>
            <w:left w:val="single" w:sz="2" w:space="0" w:color="E5E7EB"/>
            <w:bottom w:val="single" w:sz="2" w:space="0" w:color="E5E7EB"/>
            <w:right w:val="single" w:sz="2" w:space="0" w:color="E5E7EB"/>
          </w:divBdr>
          <w:divsChild>
            <w:div w:id="9852988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45463399">
          <w:marLeft w:val="0"/>
          <w:marRight w:val="0"/>
          <w:marTop w:val="15"/>
          <w:marBottom w:val="15"/>
          <w:divBdr>
            <w:top w:val="single" w:sz="2" w:space="0" w:color="E5E7EB"/>
            <w:left w:val="single" w:sz="2" w:space="0" w:color="E5E7EB"/>
            <w:bottom w:val="single" w:sz="2" w:space="0" w:color="E5E7EB"/>
            <w:right w:val="single" w:sz="2" w:space="0" w:color="E5E7EB"/>
          </w:divBdr>
          <w:divsChild>
            <w:div w:id="120016184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325358775">
          <w:marLeft w:val="0"/>
          <w:marRight w:val="0"/>
          <w:marTop w:val="15"/>
          <w:marBottom w:val="15"/>
          <w:divBdr>
            <w:top w:val="single" w:sz="2" w:space="0" w:color="E5E7EB"/>
            <w:left w:val="single" w:sz="2" w:space="0" w:color="E5E7EB"/>
            <w:bottom w:val="single" w:sz="2" w:space="0" w:color="E5E7EB"/>
            <w:right w:val="single" w:sz="2" w:space="0" w:color="E5E7EB"/>
          </w:divBdr>
          <w:divsChild>
            <w:div w:id="211894111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510531150">
          <w:marLeft w:val="0"/>
          <w:marRight w:val="0"/>
          <w:marTop w:val="15"/>
          <w:marBottom w:val="15"/>
          <w:divBdr>
            <w:top w:val="single" w:sz="2" w:space="0" w:color="E5E7EB"/>
            <w:left w:val="single" w:sz="2" w:space="0" w:color="E5E7EB"/>
            <w:bottom w:val="single" w:sz="2" w:space="0" w:color="E5E7EB"/>
            <w:right w:val="single" w:sz="2" w:space="0" w:color="E5E7EB"/>
          </w:divBdr>
          <w:divsChild>
            <w:div w:id="860557194">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45144214">
          <w:marLeft w:val="0"/>
          <w:marRight w:val="0"/>
          <w:marTop w:val="15"/>
          <w:marBottom w:val="15"/>
          <w:divBdr>
            <w:top w:val="single" w:sz="2" w:space="0" w:color="E5E7EB"/>
            <w:left w:val="single" w:sz="2" w:space="0" w:color="E5E7EB"/>
            <w:bottom w:val="single" w:sz="2" w:space="0" w:color="E5E7EB"/>
            <w:right w:val="single" w:sz="2" w:space="0" w:color="E5E7EB"/>
          </w:divBdr>
          <w:divsChild>
            <w:div w:id="1074352052">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28029193">
          <w:marLeft w:val="0"/>
          <w:marRight w:val="0"/>
          <w:marTop w:val="15"/>
          <w:marBottom w:val="15"/>
          <w:divBdr>
            <w:top w:val="single" w:sz="2" w:space="0" w:color="E5E7EB"/>
            <w:left w:val="single" w:sz="2" w:space="0" w:color="E5E7EB"/>
            <w:bottom w:val="single" w:sz="2" w:space="0" w:color="E5E7EB"/>
            <w:right w:val="single" w:sz="2" w:space="0" w:color="E5E7EB"/>
          </w:divBdr>
          <w:divsChild>
            <w:div w:id="21123584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663124809">
          <w:marLeft w:val="0"/>
          <w:marRight w:val="0"/>
          <w:marTop w:val="15"/>
          <w:marBottom w:val="0"/>
          <w:divBdr>
            <w:top w:val="single" w:sz="2" w:space="0" w:color="E5E7EB"/>
            <w:left w:val="single" w:sz="2" w:space="0" w:color="E5E7EB"/>
            <w:bottom w:val="single" w:sz="2" w:space="0" w:color="E5E7EB"/>
            <w:right w:val="single" w:sz="2" w:space="0" w:color="E5E7EB"/>
          </w:divBdr>
          <w:divsChild>
            <w:div w:id="1417942732">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2087533989">
      <w:bodyDiv w:val="1"/>
      <w:marLeft w:val="0"/>
      <w:marRight w:val="0"/>
      <w:marTop w:val="0"/>
      <w:marBottom w:val="0"/>
      <w:divBdr>
        <w:top w:val="none" w:sz="0" w:space="0" w:color="auto"/>
        <w:left w:val="none" w:sz="0" w:space="0" w:color="auto"/>
        <w:bottom w:val="none" w:sz="0" w:space="0" w:color="auto"/>
        <w:right w:val="none" w:sz="0" w:space="0" w:color="auto"/>
      </w:divBdr>
      <w:divsChild>
        <w:div w:id="112216055">
          <w:marLeft w:val="0"/>
          <w:marRight w:val="0"/>
          <w:marTop w:val="15"/>
          <w:marBottom w:val="15"/>
          <w:divBdr>
            <w:top w:val="single" w:sz="2" w:space="0" w:color="E5E7EB"/>
            <w:left w:val="single" w:sz="2" w:space="0" w:color="E5E7EB"/>
            <w:bottom w:val="single" w:sz="2" w:space="0" w:color="E5E7EB"/>
            <w:right w:val="single" w:sz="2" w:space="0" w:color="E5E7EB"/>
          </w:divBdr>
          <w:divsChild>
            <w:div w:id="1983731478">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396589324">
          <w:marLeft w:val="0"/>
          <w:marRight w:val="0"/>
          <w:marTop w:val="15"/>
          <w:marBottom w:val="15"/>
          <w:divBdr>
            <w:top w:val="single" w:sz="2" w:space="0" w:color="E5E7EB"/>
            <w:left w:val="single" w:sz="2" w:space="0" w:color="E5E7EB"/>
            <w:bottom w:val="single" w:sz="2" w:space="0" w:color="E5E7EB"/>
            <w:right w:val="single" w:sz="2" w:space="0" w:color="E5E7EB"/>
          </w:divBdr>
          <w:divsChild>
            <w:div w:id="1942453514">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23638272">
          <w:marLeft w:val="0"/>
          <w:marRight w:val="0"/>
          <w:marTop w:val="15"/>
          <w:marBottom w:val="15"/>
          <w:divBdr>
            <w:top w:val="single" w:sz="2" w:space="0" w:color="E5E7EB"/>
            <w:left w:val="single" w:sz="2" w:space="0" w:color="E5E7EB"/>
            <w:bottom w:val="single" w:sz="2" w:space="0" w:color="E5E7EB"/>
            <w:right w:val="single" w:sz="2" w:space="0" w:color="E5E7EB"/>
          </w:divBdr>
          <w:divsChild>
            <w:div w:id="2032411142">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05178196">
          <w:marLeft w:val="0"/>
          <w:marRight w:val="0"/>
          <w:marTop w:val="15"/>
          <w:marBottom w:val="15"/>
          <w:divBdr>
            <w:top w:val="single" w:sz="2" w:space="0" w:color="E5E7EB"/>
            <w:left w:val="single" w:sz="2" w:space="0" w:color="E5E7EB"/>
            <w:bottom w:val="single" w:sz="2" w:space="0" w:color="E5E7EB"/>
            <w:right w:val="single" w:sz="2" w:space="0" w:color="E5E7EB"/>
          </w:divBdr>
          <w:divsChild>
            <w:div w:id="1350569784">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1312735">
          <w:marLeft w:val="0"/>
          <w:marRight w:val="0"/>
          <w:marTop w:val="0"/>
          <w:marBottom w:val="0"/>
          <w:divBdr>
            <w:top w:val="single" w:sz="2" w:space="6" w:color="E5E7EB"/>
            <w:left w:val="single" w:sz="2" w:space="0" w:color="E5E7EB"/>
            <w:bottom w:val="single" w:sz="2" w:space="14" w:color="E5E7EB"/>
            <w:right w:val="single" w:sz="2" w:space="0" w:color="E5E7EB"/>
          </w:divBdr>
          <w:divsChild>
            <w:div w:id="1495955611">
              <w:marLeft w:val="0"/>
              <w:marRight w:val="0"/>
              <w:marTop w:val="0"/>
              <w:marBottom w:val="0"/>
              <w:divBdr>
                <w:top w:val="single" w:sz="2" w:space="0" w:color="E5E7EB"/>
                <w:left w:val="single" w:sz="2" w:space="0" w:color="E5E7EB"/>
                <w:bottom w:val="single" w:sz="2" w:space="0" w:color="E5E7EB"/>
                <w:right w:val="single" w:sz="2" w:space="0" w:color="E5E7EB"/>
              </w:divBdr>
              <w:divsChild>
                <w:div w:id="1321226825">
                  <w:marLeft w:val="0"/>
                  <w:marRight w:val="0"/>
                  <w:marTop w:val="0"/>
                  <w:marBottom w:val="0"/>
                  <w:divBdr>
                    <w:top w:val="none" w:sz="0" w:space="0" w:color="auto"/>
                    <w:left w:val="none" w:sz="0" w:space="0" w:color="auto"/>
                    <w:bottom w:val="none" w:sz="0" w:space="0" w:color="auto"/>
                    <w:right w:val="none" w:sz="0" w:space="0" w:color="auto"/>
                  </w:divBdr>
                  <w:divsChild>
                    <w:div w:id="665982439">
                      <w:marLeft w:val="0"/>
                      <w:marRight w:val="0"/>
                      <w:marTop w:val="0"/>
                      <w:marBottom w:val="0"/>
                      <w:divBdr>
                        <w:top w:val="single" w:sz="2" w:space="0" w:color="E5E7EB"/>
                        <w:left w:val="single" w:sz="2" w:space="0" w:color="E5E7EB"/>
                        <w:bottom w:val="single" w:sz="2" w:space="0" w:color="E5E7EB"/>
                        <w:right w:val="single" w:sz="2" w:space="0" w:color="E5E7EB"/>
                      </w:divBdr>
                    </w:div>
                    <w:div w:id="1270433674">
                      <w:marLeft w:val="0"/>
                      <w:marRight w:val="0"/>
                      <w:marTop w:val="0"/>
                      <w:marBottom w:val="0"/>
                      <w:divBdr>
                        <w:top w:val="single" w:sz="2" w:space="0" w:color="E5E7EB"/>
                        <w:left w:val="single" w:sz="2" w:space="0" w:color="E5E7EB"/>
                        <w:bottom w:val="single" w:sz="2" w:space="0" w:color="E5E7EB"/>
                        <w:right w:val="single" w:sz="2" w:space="0" w:color="E5E7EB"/>
                      </w:divBdr>
                    </w:div>
                    <w:div w:id="316496238">
                      <w:marLeft w:val="0"/>
                      <w:marRight w:val="0"/>
                      <w:marTop w:val="0"/>
                      <w:marBottom w:val="0"/>
                      <w:divBdr>
                        <w:top w:val="single" w:sz="2" w:space="0" w:color="E5E7EB"/>
                        <w:left w:val="single" w:sz="2" w:space="0" w:color="E5E7EB"/>
                        <w:bottom w:val="single" w:sz="2" w:space="0" w:color="E5E7EB"/>
                        <w:right w:val="single" w:sz="2" w:space="0" w:color="E5E7EB"/>
                      </w:divBdr>
                    </w:div>
                    <w:div w:id="1654601243">
                      <w:marLeft w:val="0"/>
                      <w:marRight w:val="0"/>
                      <w:marTop w:val="0"/>
                      <w:marBottom w:val="0"/>
                      <w:divBdr>
                        <w:top w:val="single" w:sz="2" w:space="0" w:color="E5E7EB"/>
                        <w:left w:val="single" w:sz="2" w:space="0" w:color="E5E7EB"/>
                        <w:bottom w:val="single" w:sz="2" w:space="0" w:color="E5E7EB"/>
                        <w:right w:val="single" w:sz="2" w:space="0" w:color="E5E7EB"/>
                      </w:divBdr>
                    </w:div>
                    <w:div w:id="1391924822">
                      <w:marLeft w:val="0"/>
                      <w:marRight w:val="0"/>
                      <w:marTop w:val="0"/>
                      <w:marBottom w:val="0"/>
                      <w:divBdr>
                        <w:top w:val="single" w:sz="2" w:space="0" w:color="E5E7EB"/>
                        <w:left w:val="single" w:sz="2" w:space="0" w:color="E5E7EB"/>
                        <w:bottom w:val="single" w:sz="2" w:space="0" w:color="E5E7EB"/>
                        <w:right w:val="single" w:sz="2" w:space="0" w:color="E5E7EB"/>
                      </w:divBdr>
                    </w:div>
                    <w:div w:id="1598904164">
                      <w:marLeft w:val="0"/>
                      <w:marRight w:val="0"/>
                      <w:marTop w:val="0"/>
                      <w:marBottom w:val="0"/>
                      <w:divBdr>
                        <w:top w:val="single" w:sz="2" w:space="0" w:color="E5E7EB"/>
                        <w:left w:val="single" w:sz="2" w:space="0" w:color="E5E7EB"/>
                        <w:bottom w:val="single" w:sz="2" w:space="0" w:color="E5E7EB"/>
                        <w:right w:val="single" w:sz="2" w:space="0" w:color="E5E7EB"/>
                      </w:divBdr>
                    </w:div>
                    <w:div w:id="728696772">
                      <w:marLeft w:val="0"/>
                      <w:marRight w:val="0"/>
                      <w:marTop w:val="0"/>
                      <w:marBottom w:val="0"/>
                      <w:divBdr>
                        <w:top w:val="single" w:sz="2" w:space="0" w:color="E5E7EB"/>
                        <w:left w:val="single" w:sz="2" w:space="0" w:color="E5E7EB"/>
                        <w:bottom w:val="single" w:sz="2" w:space="0" w:color="E5E7EB"/>
                        <w:right w:val="single" w:sz="2" w:space="0" w:color="E5E7EB"/>
                      </w:divBdr>
                    </w:div>
                    <w:div w:id="1740320977">
                      <w:marLeft w:val="0"/>
                      <w:marRight w:val="0"/>
                      <w:marTop w:val="0"/>
                      <w:marBottom w:val="0"/>
                      <w:divBdr>
                        <w:top w:val="single" w:sz="2" w:space="0" w:color="E5E7EB"/>
                        <w:left w:val="single" w:sz="2" w:space="0" w:color="E5E7EB"/>
                        <w:bottom w:val="single" w:sz="2" w:space="0" w:color="E5E7EB"/>
                        <w:right w:val="single" w:sz="2" w:space="0" w:color="E5E7EB"/>
                      </w:divBdr>
                    </w:div>
                    <w:div w:id="1256326902">
                      <w:marLeft w:val="0"/>
                      <w:marRight w:val="0"/>
                      <w:marTop w:val="0"/>
                      <w:marBottom w:val="0"/>
                      <w:divBdr>
                        <w:top w:val="single" w:sz="2" w:space="0" w:color="E5E7EB"/>
                        <w:left w:val="single" w:sz="2" w:space="0" w:color="E5E7EB"/>
                        <w:bottom w:val="single" w:sz="2" w:space="0" w:color="E5E7EB"/>
                        <w:right w:val="single" w:sz="2" w:space="0" w:color="E5E7EB"/>
                      </w:divBdr>
                    </w:div>
                    <w:div w:id="452870737">
                      <w:marLeft w:val="0"/>
                      <w:marRight w:val="0"/>
                      <w:marTop w:val="0"/>
                      <w:marBottom w:val="0"/>
                      <w:divBdr>
                        <w:top w:val="single" w:sz="2" w:space="0" w:color="E5E7EB"/>
                        <w:left w:val="single" w:sz="2" w:space="0" w:color="E5E7EB"/>
                        <w:bottom w:val="single" w:sz="2" w:space="0" w:color="E5E7EB"/>
                        <w:right w:val="single" w:sz="2" w:space="0" w:color="E5E7EB"/>
                      </w:divBdr>
                    </w:div>
                    <w:div w:id="1259486107">
                      <w:marLeft w:val="0"/>
                      <w:marRight w:val="0"/>
                      <w:marTop w:val="0"/>
                      <w:marBottom w:val="0"/>
                      <w:divBdr>
                        <w:top w:val="single" w:sz="2" w:space="0" w:color="E5E7EB"/>
                        <w:left w:val="single" w:sz="2" w:space="0" w:color="E5E7EB"/>
                        <w:bottom w:val="single" w:sz="2" w:space="0" w:color="E5E7EB"/>
                        <w:right w:val="single" w:sz="2" w:space="0" w:color="E5E7EB"/>
                      </w:divBdr>
                    </w:div>
                    <w:div w:id="831484653">
                      <w:marLeft w:val="0"/>
                      <w:marRight w:val="0"/>
                      <w:marTop w:val="0"/>
                      <w:marBottom w:val="0"/>
                      <w:divBdr>
                        <w:top w:val="single" w:sz="2" w:space="0" w:color="E5E7EB"/>
                        <w:left w:val="single" w:sz="2" w:space="0" w:color="E5E7EB"/>
                        <w:bottom w:val="single" w:sz="2" w:space="0" w:color="E5E7EB"/>
                        <w:right w:val="single" w:sz="2" w:space="0" w:color="E5E7EB"/>
                      </w:divBdr>
                    </w:div>
                    <w:div w:id="170802295">
                      <w:marLeft w:val="0"/>
                      <w:marRight w:val="0"/>
                      <w:marTop w:val="0"/>
                      <w:marBottom w:val="0"/>
                      <w:divBdr>
                        <w:top w:val="single" w:sz="2" w:space="0" w:color="E5E7EB"/>
                        <w:left w:val="single" w:sz="2" w:space="0" w:color="E5E7EB"/>
                        <w:bottom w:val="single" w:sz="2" w:space="0" w:color="E5E7EB"/>
                        <w:right w:val="single" w:sz="2" w:space="0" w:color="E5E7EB"/>
                      </w:divBdr>
                    </w:div>
                    <w:div w:id="1010647870">
                      <w:marLeft w:val="0"/>
                      <w:marRight w:val="0"/>
                      <w:marTop w:val="0"/>
                      <w:marBottom w:val="0"/>
                      <w:divBdr>
                        <w:top w:val="single" w:sz="2" w:space="0" w:color="E5E7EB"/>
                        <w:left w:val="single" w:sz="2" w:space="0" w:color="E5E7EB"/>
                        <w:bottom w:val="single" w:sz="2" w:space="0" w:color="E5E7EB"/>
                        <w:right w:val="single" w:sz="2" w:space="0" w:color="E5E7EB"/>
                      </w:divBdr>
                    </w:div>
                    <w:div w:id="1307734290">
                      <w:marLeft w:val="0"/>
                      <w:marRight w:val="0"/>
                      <w:marTop w:val="0"/>
                      <w:marBottom w:val="0"/>
                      <w:divBdr>
                        <w:top w:val="single" w:sz="2" w:space="0" w:color="E5E7EB"/>
                        <w:left w:val="single" w:sz="2" w:space="0" w:color="E5E7EB"/>
                        <w:bottom w:val="single" w:sz="2" w:space="0" w:color="E5E7EB"/>
                        <w:right w:val="single" w:sz="2" w:space="0" w:color="E5E7EB"/>
                      </w:divBdr>
                    </w:div>
                    <w:div w:id="1588735786">
                      <w:marLeft w:val="0"/>
                      <w:marRight w:val="0"/>
                      <w:marTop w:val="0"/>
                      <w:marBottom w:val="0"/>
                      <w:divBdr>
                        <w:top w:val="single" w:sz="2" w:space="0" w:color="E5E7EB"/>
                        <w:left w:val="single" w:sz="2" w:space="0" w:color="E5E7EB"/>
                        <w:bottom w:val="single" w:sz="2" w:space="0" w:color="E5E7EB"/>
                        <w:right w:val="single" w:sz="2" w:space="0" w:color="E5E7EB"/>
                      </w:divBdr>
                    </w:div>
                    <w:div w:id="1727681802">
                      <w:marLeft w:val="0"/>
                      <w:marRight w:val="0"/>
                      <w:marTop w:val="0"/>
                      <w:marBottom w:val="0"/>
                      <w:divBdr>
                        <w:top w:val="single" w:sz="2" w:space="0" w:color="E5E7EB"/>
                        <w:left w:val="single" w:sz="2" w:space="0" w:color="E5E7EB"/>
                        <w:bottom w:val="single" w:sz="2" w:space="0" w:color="E5E7EB"/>
                        <w:right w:val="single" w:sz="2" w:space="0" w:color="E5E7EB"/>
                      </w:divBdr>
                    </w:div>
                    <w:div w:id="2037542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7896781">
          <w:marLeft w:val="0"/>
          <w:marRight w:val="0"/>
          <w:marTop w:val="15"/>
          <w:marBottom w:val="15"/>
          <w:divBdr>
            <w:top w:val="single" w:sz="2" w:space="0" w:color="E5E7EB"/>
            <w:left w:val="single" w:sz="2" w:space="0" w:color="E5E7EB"/>
            <w:bottom w:val="single" w:sz="2" w:space="0" w:color="E5E7EB"/>
            <w:right w:val="single" w:sz="2" w:space="0" w:color="E5E7EB"/>
          </w:divBdr>
          <w:divsChild>
            <w:div w:id="1347634138">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636420367">
          <w:marLeft w:val="0"/>
          <w:marRight w:val="0"/>
          <w:marTop w:val="15"/>
          <w:marBottom w:val="15"/>
          <w:divBdr>
            <w:top w:val="single" w:sz="2" w:space="0" w:color="E5E7EB"/>
            <w:left w:val="single" w:sz="2" w:space="0" w:color="E5E7EB"/>
            <w:bottom w:val="single" w:sz="2" w:space="0" w:color="E5E7EB"/>
            <w:right w:val="single" w:sz="2" w:space="0" w:color="E5E7EB"/>
          </w:divBdr>
          <w:divsChild>
            <w:div w:id="2216459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69355920">
          <w:marLeft w:val="0"/>
          <w:marRight w:val="0"/>
          <w:marTop w:val="15"/>
          <w:marBottom w:val="15"/>
          <w:divBdr>
            <w:top w:val="single" w:sz="2" w:space="0" w:color="E5E7EB"/>
            <w:left w:val="single" w:sz="2" w:space="0" w:color="E5E7EB"/>
            <w:bottom w:val="single" w:sz="2" w:space="0" w:color="E5E7EB"/>
            <w:right w:val="single" w:sz="2" w:space="0" w:color="E5E7EB"/>
          </w:divBdr>
          <w:divsChild>
            <w:div w:id="51773581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347412110">
          <w:marLeft w:val="0"/>
          <w:marRight w:val="0"/>
          <w:marTop w:val="15"/>
          <w:marBottom w:val="15"/>
          <w:divBdr>
            <w:top w:val="single" w:sz="2" w:space="0" w:color="E5E7EB"/>
            <w:left w:val="single" w:sz="2" w:space="0" w:color="E5E7EB"/>
            <w:bottom w:val="single" w:sz="2" w:space="0" w:color="E5E7EB"/>
            <w:right w:val="single" w:sz="2" w:space="0" w:color="E5E7EB"/>
          </w:divBdr>
          <w:divsChild>
            <w:div w:id="109474608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56647703">
          <w:marLeft w:val="0"/>
          <w:marRight w:val="0"/>
          <w:marTop w:val="15"/>
          <w:marBottom w:val="15"/>
          <w:divBdr>
            <w:top w:val="single" w:sz="2" w:space="0" w:color="E5E7EB"/>
            <w:left w:val="single" w:sz="2" w:space="0" w:color="E5E7EB"/>
            <w:bottom w:val="single" w:sz="2" w:space="0" w:color="E5E7EB"/>
            <w:right w:val="single" w:sz="2" w:space="0" w:color="E5E7EB"/>
          </w:divBdr>
          <w:divsChild>
            <w:div w:id="116543962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02846189">
          <w:marLeft w:val="0"/>
          <w:marRight w:val="0"/>
          <w:marTop w:val="15"/>
          <w:marBottom w:val="15"/>
          <w:divBdr>
            <w:top w:val="single" w:sz="2" w:space="0" w:color="E5E7EB"/>
            <w:left w:val="single" w:sz="2" w:space="0" w:color="E5E7EB"/>
            <w:bottom w:val="single" w:sz="2" w:space="0" w:color="E5E7EB"/>
            <w:right w:val="single" w:sz="2" w:space="0" w:color="E5E7EB"/>
          </w:divBdr>
          <w:divsChild>
            <w:div w:id="10013924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19437683">
          <w:marLeft w:val="0"/>
          <w:marRight w:val="0"/>
          <w:marTop w:val="15"/>
          <w:marBottom w:val="15"/>
          <w:divBdr>
            <w:top w:val="single" w:sz="2" w:space="0" w:color="E5E7EB"/>
            <w:left w:val="single" w:sz="2" w:space="0" w:color="E5E7EB"/>
            <w:bottom w:val="single" w:sz="2" w:space="0" w:color="E5E7EB"/>
            <w:right w:val="single" w:sz="2" w:space="0" w:color="E5E7EB"/>
          </w:divBdr>
          <w:divsChild>
            <w:div w:id="2116703284">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553467889">
          <w:marLeft w:val="0"/>
          <w:marRight w:val="0"/>
          <w:marTop w:val="0"/>
          <w:marBottom w:val="0"/>
          <w:divBdr>
            <w:top w:val="single" w:sz="2" w:space="2" w:color="E5E7EB"/>
            <w:left w:val="single" w:sz="2" w:space="0" w:color="E5E7EB"/>
            <w:bottom w:val="single" w:sz="2" w:space="2" w:color="E5E7EB"/>
            <w:right w:val="single" w:sz="2" w:space="0" w:color="E5E7EB"/>
          </w:divBdr>
          <w:divsChild>
            <w:div w:id="394011628">
              <w:marLeft w:val="0"/>
              <w:marRight w:val="0"/>
              <w:marTop w:val="0"/>
              <w:marBottom w:val="0"/>
              <w:divBdr>
                <w:top w:val="single" w:sz="2" w:space="3" w:color="E5E7EB"/>
                <w:left w:val="single" w:sz="2" w:space="0" w:color="E5E7EB"/>
                <w:bottom w:val="single" w:sz="2" w:space="3" w:color="E5E7EB"/>
                <w:right w:val="single" w:sz="2" w:space="0" w:color="E5E7EB"/>
              </w:divBdr>
              <w:divsChild>
                <w:div w:id="297494379">
                  <w:marLeft w:val="0"/>
                  <w:marRight w:val="0"/>
                  <w:marTop w:val="15"/>
                  <w:marBottom w:val="15"/>
                  <w:divBdr>
                    <w:top w:val="single" w:sz="2" w:space="0" w:color="E5E7EB"/>
                    <w:left w:val="single" w:sz="2" w:space="0" w:color="E5E7EB"/>
                    <w:bottom w:val="single" w:sz="2" w:space="0" w:color="E5E7EB"/>
                    <w:right w:val="single" w:sz="2" w:space="0" w:color="E5E7EB"/>
                  </w:divBdr>
                  <w:divsChild>
                    <w:div w:id="1691035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sChild>
        </w:div>
        <w:div w:id="376970527">
          <w:marLeft w:val="0"/>
          <w:marRight w:val="0"/>
          <w:marTop w:val="15"/>
          <w:marBottom w:val="15"/>
          <w:divBdr>
            <w:top w:val="single" w:sz="2" w:space="0" w:color="E5E7EB"/>
            <w:left w:val="single" w:sz="2" w:space="0" w:color="E5E7EB"/>
            <w:bottom w:val="single" w:sz="2" w:space="0" w:color="E5E7EB"/>
            <w:right w:val="single" w:sz="2" w:space="0" w:color="E5E7EB"/>
          </w:divBdr>
          <w:divsChild>
            <w:div w:id="2824218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93643166">
          <w:marLeft w:val="0"/>
          <w:marRight w:val="0"/>
          <w:marTop w:val="15"/>
          <w:marBottom w:val="15"/>
          <w:divBdr>
            <w:top w:val="single" w:sz="2" w:space="0" w:color="E5E7EB"/>
            <w:left w:val="single" w:sz="2" w:space="0" w:color="E5E7EB"/>
            <w:bottom w:val="single" w:sz="2" w:space="0" w:color="E5E7EB"/>
            <w:right w:val="single" w:sz="2" w:space="0" w:color="E5E7EB"/>
          </w:divBdr>
          <w:divsChild>
            <w:div w:id="1195457892">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110204386">
          <w:marLeft w:val="0"/>
          <w:marRight w:val="0"/>
          <w:marTop w:val="15"/>
          <w:marBottom w:val="15"/>
          <w:divBdr>
            <w:top w:val="single" w:sz="2" w:space="0" w:color="E5E7EB"/>
            <w:left w:val="single" w:sz="2" w:space="0" w:color="E5E7EB"/>
            <w:bottom w:val="single" w:sz="2" w:space="0" w:color="E5E7EB"/>
            <w:right w:val="single" w:sz="2" w:space="0" w:color="E5E7EB"/>
          </w:divBdr>
          <w:divsChild>
            <w:div w:id="354892245">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58/ipnj.v07.01.04.0048" TargetMode="External"/><Relationship Id="rId13" Type="http://schemas.openxmlformats.org/officeDocument/2006/relationships/hyperlink" Target="https://doi.org/10.1016/j.jbankfin.2009.12.008" TargetMode="External"/><Relationship Id="rId18" Type="http://schemas.openxmlformats.org/officeDocument/2006/relationships/hyperlink" Target="https://doi.org/10.2469/faj.v69.n4.1" TargetMode="External"/><Relationship Id="rId26" Type="http://schemas.openxmlformats.org/officeDocument/2006/relationships/hyperlink" Target="https://www.gold.org/goldhub/data/gold-prices" TargetMode="External"/><Relationship Id="rId3" Type="http://schemas.openxmlformats.org/officeDocument/2006/relationships/styles" Target="styles.xml"/><Relationship Id="rId21" Type="http://schemas.openxmlformats.org/officeDocument/2006/relationships/hyperlink" Target="https://doi.org/10.1016/j.irfa.2015.07.005" TargetMode="External"/><Relationship Id="rId7" Type="http://schemas.openxmlformats.org/officeDocument/2006/relationships/image" Target="media/image2.png"/><Relationship Id="rId12" Type="http://schemas.openxmlformats.org/officeDocument/2006/relationships/hyperlink" Target="https://doi.org/10.1111/j.1540-6288.2010.00244.x" TargetMode="External"/><Relationship Id="rId17" Type="http://schemas.openxmlformats.org/officeDocument/2006/relationships/hyperlink" Target="https://doi.org/10.1007/s10693-010-0089-0" TargetMode="External"/><Relationship Id="rId25" Type="http://schemas.openxmlformats.org/officeDocument/2006/relationships/hyperlink" Target="https://www.gold.org/goldhub/research/gold-demand-trends" TargetMode="External"/><Relationship Id="rId2" Type="http://schemas.openxmlformats.org/officeDocument/2006/relationships/numbering" Target="numbering.xml"/><Relationship Id="rId16" Type="http://schemas.openxmlformats.org/officeDocument/2006/relationships/hyperlink" Target="https://doi.org/10.1016/j.intfin.2004.07.002" TargetMode="External"/><Relationship Id="rId20" Type="http://schemas.openxmlformats.org/officeDocument/2006/relationships/hyperlink" Target="https://doi.org/10.31942/akses.v16i1.4471" TargetMode="External"/><Relationship Id="rId29" Type="http://schemas.openxmlformats.org/officeDocument/2006/relationships/hyperlink" Target="https://finance.yahoo.com/quote/GC=F/histor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r.uitm.edu.my/id/eprint/88694/" TargetMode="External"/><Relationship Id="rId24" Type="http://schemas.openxmlformats.org/officeDocument/2006/relationships/hyperlink" Target="https://www.gold.org/goldhub/research/gold-demand-trends/gold-demand-trends-full-year-20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irfa.2015.01.010" TargetMode="External"/><Relationship Id="rId23" Type="http://schemas.openxmlformats.org/officeDocument/2006/relationships/hyperlink" Target="https://www.worldbank.org/en/research/commodity-markets" TargetMode="External"/><Relationship Id="rId28" Type="http://schemas.openxmlformats.org/officeDocument/2006/relationships/hyperlink" Target="https://www.gold.org/goldhub/data/gold-reserves-by-country" TargetMode="External"/><Relationship Id="rId10" Type="http://schemas.openxmlformats.org/officeDocument/2006/relationships/hyperlink" Target="https://shamela.ws/book/2186" TargetMode="External"/><Relationship Id="rId19" Type="http://schemas.openxmlformats.org/officeDocument/2006/relationships/hyperlink" Target="https://data.imf.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2890/ijib2021.6.1.3" TargetMode="External"/><Relationship Id="rId14" Type="http://schemas.openxmlformats.org/officeDocument/2006/relationships/hyperlink" Target="https://doi.org/10.1016/j.econmod.2014.10.044" TargetMode="External"/><Relationship Id="rId22" Type="http://schemas.openxmlformats.org/officeDocument/2006/relationships/hyperlink" Target="https://doi.org/10.1108/17590811111129508" TargetMode="External"/><Relationship Id="rId27" Type="http://schemas.openxmlformats.org/officeDocument/2006/relationships/hyperlink" Target="https://www.gold.org/goldhub/research/central-bank-gold-reserves-survey-2025" TargetMode="External"/><Relationship Id="rId30" Type="http://schemas.openxmlformats.org/officeDocument/2006/relationships/hyperlink" Target="https://finance.yahoo.com/quote/GC%3DF/?guccounter=1&amp;guce_referrer=aHR0cHM6Ly93d3cuZ29vZ2xlLmNvbS8&amp;guce_referrer_sig=AQAAAEG9Nhd5rdDfEYVzAjXkP31cPXJF4QWF6x3ArLuOP5XNFA2VQIomAccRfL3SyvfItHJrjdc9w3QVtPEr-pGkl5fRcFjA724KDzNIVMi63b1ceDyFqVfbZgnNca25eAg-2sQ8I3hHSGXPLa65I2qjpCcysSdw1seUJL1ljdLR9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4B6F-4199-4F37-AECF-953ADC66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17</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Hidir Baharudin</cp:lastModifiedBy>
  <cp:revision>51</cp:revision>
  <dcterms:created xsi:type="dcterms:W3CDTF">2013-12-23T23:15:00Z</dcterms:created>
  <dcterms:modified xsi:type="dcterms:W3CDTF">2026-06-17T16:34:00Z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ed4839ba-6dd7-4523-ae65-1e9995f53202</vt:lpwstr>
  </property>
  <property fmtid="{D5CDD505-2E9C-101B-9397-08002B2CF9AE}" pid="3" name="ZOTERO_PREF_1">
    <vt:lpwstr>&lt;data data-version="3" zotero-version="9.0.5"&gt;&lt;session id="O871q4er"/&gt;&lt;style id="http://www.zotero.org/styles/apa" locale="en-GB" hasBibliography="1" bibliographyStyleHasBeenSet="1"/&gt;&lt;prefs&gt;&lt;pref name="fieldType" value="Field"/&gt;&lt;/prefs&gt;&lt;/data&gt;</vt:lpwstr>
  </property>
</Properties>
</file>