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C74755" w14:textId="3EA6D009" w:rsidR="00720DB4" w:rsidRPr="00FE325A" w:rsidRDefault="00720DB4" w:rsidP="00FE325A">
      <w:pPr>
        <w:pStyle w:val="BodyText"/>
        <w:jc w:val="center"/>
        <w:rPr>
          <w:rFonts w:ascii="Times New Roman" w:hAnsi="Times New Roman" w:cs="Times New Roman"/>
          <w:b/>
          <w:bCs/>
          <w:sz w:val="36"/>
          <w:szCs w:val="36"/>
        </w:rPr>
      </w:pPr>
      <w:r w:rsidRPr="00FE325A">
        <w:rPr>
          <w:rFonts w:ascii="Times New Roman" w:hAnsi="Times New Roman" w:cs="Times New Roman"/>
          <w:b/>
          <w:bCs/>
          <w:sz w:val="36"/>
          <w:szCs w:val="36"/>
        </w:rPr>
        <w:t xml:space="preserve">Clinical Outcomes </w:t>
      </w:r>
      <w:r w:rsidR="00B67EBC">
        <w:rPr>
          <w:rFonts w:ascii="Times New Roman" w:hAnsi="Times New Roman" w:cs="Times New Roman"/>
          <w:b/>
          <w:bCs/>
          <w:sz w:val="36"/>
          <w:szCs w:val="36"/>
        </w:rPr>
        <w:t>o</w:t>
      </w:r>
      <w:r w:rsidR="00B764B0" w:rsidRPr="00FE325A">
        <w:rPr>
          <w:rFonts w:ascii="Times New Roman" w:hAnsi="Times New Roman" w:cs="Times New Roman"/>
          <w:b/>
          <w:bCs/>
          <w:sz w:val="36"/>
          <w:szCs w:val="36"/>
        </w:rPr>
        <w:t xml:space="preserve">f </w:t>
      </w:r>
      <w:r w:rsidRPr="00FE325A">
        <w:rPr>
          <w:rFonts w:ascii="Times New Roman" w:hAnsi="Times New Roman" w:cs="Times New Roman"/>
          <w:b/>
          <w:bCs/>
          <w:sz w:val="36"/>
          <w:szCs w:val="36"/>
        </w:rPr>
        <w:t xml:space="preserve">Open Flap Debridement </w:t>
      </w:r>
      <w:r w:rsidR="00B67EBC">
        <w:rPr>
          <w:rFonts w:ascii="Times New Roman" w:hAnsi="Times New Roman" w:cs="Times New Roman"/>
          <w:b/>
          <w:bCs/>
          <w:sz w:val="36"/>
          <w:szCs w:val="36"/>
        </w:rPr>
        <w:t>w</w:t>
      </w:r>
      <w:r w:rsidR="00B764B0" w:rsidRPr="00FE325A">
        <w:rPr>
          <w:rFonts w:ascii="Times New Roman" w:hAnsi="Times New Roman" w:cs="Times New Roman"/>
          <w:b/>
          <w:bCs/>
          <w:sz w:val="36"/>
          <w:szCs w:val="36"/>
        </w:rPr>
        <w:t xml:space="preserve">ith </w:t>
      </w:r>
      <w:r w:rsidRPr="00FE325A">
        <w:rPr>
          <w:rFonts w:ascii="Times New Roman" w:hAnsi="Times New Roman" w:cs="Times New Roman"/>
          <w:b/>
          <w:bCs/>
          <w:sz w:val="36"/>
          <w:szCs w:val="36"/>
        </w:rPr>
        <w:t>Metronidazole</w:t>
      </w:r>
      <w:r w:rsidR="00B764B0" w:rsidRPr="00FE325A">
        <w:rPr>
          <w:rFonts w:ascii="Times New Roman" w:hAnsi="Times New Roman" w:cs="Times New Roman"/>
          <w:b/>
          <w:bCs/>
          <w:sz w:val="36"/>
          <w:szCs w:val="36"/>
        </w:rPr>
        <w:t>-</w:t>
      </w:r>
      <w:r w:rsidRPr="00FE325A">
        <w:rPr>
          <w:rFonts w:ascii="Times New Roman" w:hAnsi="Times New Roman" w:cs="Times New Roman"/>
          <w:b/>
          <w:bCs/>
          <w:sz w:val="36"/>
          <w:szCs w:val="36"/>
        </w:rPr>
        <w:t>Infused Titanium Platelet</w:t>
      </w:r>
      <w:r w:rsidR="00B764B0" w:rsidRPr="00FE325A">
        <w:rPr>
          <w:rFonts w:ascii="Times New Roman" w:hAnsi="Times New Roman" w:cs="Times New Roman"/>
          <w:b/>
          <w:bCs/>
          <w:sz w:val="36"/>
          <w:szCs w:val="36"/>
        </w:rPr>
        <w:t>-</w:t>
      </w:r>
      <w:r w:rsidRPr="00FE325A">
        <w:rPr>
          <w:rFonts w:ascii="Times New Roman" w:hAnsi="Times New Roman" w:cs="Times New Roman"/>
          <w:b/>
          <w:bCs/>
          <w:sz w:val="36"/>
          <w:szCs w:val="36"/>
        </w:rPr>
        <w:t xml:space="preserve">Rich Fibrin </w:t>
      </w:r>
      <w:r w:rsidR="00B67EBC">
        <w:rPr>
          <w:rFonts w:ascii="Times New Roman" w:hAnsi="Times New Roman" w:cs="Times New Roman"/>
          <w:b/>
          <w:bCs/>
          <w:sz w:val="36"/>
          <w:szCs w:val="36"/>
        </w:rPr>
        <w:t>v</w:t>
      </w:r>
      <w:r w:rsidR="00B764B0" w:rsidRPr="00FE325A">
        <w:rPr>
          <w:rFonts w:ascii="Times New Roman" w:hAnsi="Times New Roman" w:cs="Times New Roman"/>
          <w:b/>
          <w:bCs/>
          <w:sz w:val="36"/>
          <w:szCs w:val="36"/>
        </w:rPr>
        <w:t xml:space="preserve">ersus </w:t>
      </w:r>
      <w:r w:rsidRPr="00FE325A">
        <w:rPr>
          <w:rFonts w:ascii="Times New Roman" w:hAnsi="Times New Roman" w:cs="Times New Roman"/>
          <w:b/>
          <w:bCs/>
          <w:sz w:val="36"/>
          <w:szCs w:val="36"/>
        </w:rPr>
        <w:t>Titanium Platelet</w:t>
      </w:r>
      <w:r w:rsidR="00B764B0" w:rsidRPr="00FE325A">
        <w:rPr>
          <w:rFonts w:ascii="Times New Roman" w:hAnsi="Times New Roman" w:cs="Times New Roman"/>
          <w:b/>
          <w:bCs/>
          <w:sz w:val="36"/>
          <w:szCs w:val="36"/>
        </w:rPr>
        <w:t>-</w:t>
      </w:r>
      <w:r w:rsidRPr="00FE325A">
        <w:rPr>
          <w:rFonts w:ascii="Times New Roman" w:hAnsi="Times New Roman" w:cs="Times New Roman"/>
          <w:b/>
          <w:bCs/>
          <w:sz w:val="36"/>
          <w:szCs w:val="36"/>
        </w:rPr>
        <w:t>Rich Fibrin Alone</w:t>
      </w:r>
      <w:r w:rsidR="00B764B0" w:rsidRPr="00FE325A">
        <w:rPr>
          <w:rFonts w:ascii="Times New Roman" w:hAnsi="Times New Roman" w:cs="Times New Roman"/>
          <w:b/>
          <w:bCs/>
          <w:sz w:val="36"/>
          <w:szCs w:val="36"/>
        </w:rPr>
        <w:t xml:space="preserve">: </w:t>
      </w:r>
      <w:r w:rsidRPr="00FE325A">
        <w:rPr>
          <w:rFonts w:ascii="Times New Roman" w:hAnsi="Times New Roman" w:cs="Times New Roman"/>
          <w:b/>
          <w:bCs/>
          <w:sz w:val="36"/>
          <w:szCs w:val="36"/>
        </w:rPr>
        <w:t>A Randomized Clinical Trial</w:t>
      </w:r>
    </w:p>
    <w:p w14:paraId="15681B6E" w14:textId="6D442674" w:rsidR="007E6B0A" w:rsidRPr="00EF43EE" w:rsidRDefault="007E6B0A" w:rsidP="006A7E24">
      <w:pPr>
        <w:pStyle w:val="BodyText"/>
        <w:jc w:val="center"/>
        <w:rPr>
          <w:rFonts w:ascii="Times New Roman" w:hAnsi="Times New Roman" w:cs="Times New Roman"/>
          <w:b/>
          <w:bCs/>
          <w:vertAlign w:val="superscript"/>
        </w:rPr>
      </w:pPr>
      <w:r>
        <w:rPr>
          <w:rFonts w:ascii="Times New Roman" w:hAnsi="Times New Roman" w:cs="Times New Roman"/>
          <w:b/>
          <w:bCs/>
        </w:rPr>
        <w:t/>
      </w:r>
      <w:r w:rsidR="00BB3604">
        <w:rPr>
          <w:rFonts w:ascii="Times New Roman" w:hAnsi="Times New Roman" w:cs="Times New Roman"/>
          <w:b/>
          <w:bCs/>
          <w:vertAlign w:val="superscript"/>
        </w:rPr>
        <w:t/>
      </w:r>
      <w:r w:rsidR="00A221B3">
        <w:rPr>
          <w:rFonts w:ascii="Times New Roman" w:hAnsi="Times New Roman" w:cs="Times New Roman"/>
          <w:b/>
          <w:bCs/>
        </w:rPr>
        <w:t/>
      </w:r>
      <w:r w:rsidR="00BB3604">
        <w:rPr>
          <w:rFonts w:ascii="Times New Roman" w:hAnsi="Times New Roman" w:cs="Times New Roman"/>
          <w:b/>
          <w:bCs/>
          <w:vertAlign w:val="superscript"/>
        </w:rPr>
        <w:t/>
      </w:r>
      <w:r w:rsidR="00A221B3">
        <w:rPr>
          <w:rFonts w:ascii="Times New Roman" w:hAnsi="Times New Roman" w:cs="Times New Roman"/>
          <w:b/>
          <w:bCs/>
        </w:rPr>
        <w:t/>
      </w:r>
      <w:r w:rsidR="007E6340">
        <w:rPr>
          <w:rFonts w:ascii="Times New Roman" w:hAnsi="Times New Roman" w:cs="Times New Roman"/>
          <w:b/>
          <w:bCs/>
        </w:rPr>
        <w:t/>
      </w:r>
      <w:r w:rsidR="00EF43EE">
        <w:rPr>
          <w:rFonts w:ascii="Times New Roman" w:hAnsi="Times New Roman" w:cs="Times New Roman"/>
          <w:b/>
          <w:bCs/>
          <w:vertAlign w:val="superscript"/>
        </w:rPr>
        <w:t/>
      </w:r>
      <w:r w:rsidR="007E6340">
        <w:rPr>
          <w:rFonts w:ascii="Times New Roman" w:hAnsi="Times New Roman" w:cs="Times New Roman"/>
          <w:b/>
          <w:bCs/>
        </w:rPr>
        <w:t xml:space="preserve"/>
      </w:r>
      <w:r w:rsidR="00EF43EE">
        <w:rPr>
          <w:rFonts w:ascii="Times New Roman" w:hAnsi="Times New Roman" w:cs="Times New Roman"/>
          <w:b/>
          <w:bCs/>
        </w:rPr>
        <w:t/>
      </w:r>
      <w:r w:rsidR="00EF43EE">
        <w:rPr>
          <w:rFonts w:ascii="Times New Roman" w:hAnsi="Times New Roman" w:cs="Times New Roman"/>
          <w:b/>
          <w:bCs/>
          <w:vertAlign w:val="superscript"/>
        </w:rPr>
        <w:t/>
      </w:r>
    </w:p>
    <w:p w14:paraId="67595751" w14:textId="7A77C61B" w:rsidR="009E5E4E" w:rsidRDefault="00852657" w:rsidP="006A7E24">
      <w:pPr>
        <w:pStyle w:val="BodyText"/>
        <w:jc w:val="center"/>
        <w:rPr>
          <w:rFonts w:ascii="Times New Roman" w:hAnsi="Times New Roman" w:cs="Times New Roman"/>
          <w:b/>
          <w:bCs/>
        </w:rPr>
      </w:pPr>
      <w:r w:rsidRPr="00244091">
        <w:rPr>
          <w:rFonts w:ascii="Times New Roman" w:hAnsi="Times New Roman" w:cs="Times New Roman"/>
          <w:b/>
          <w:bCs/>
          <w:vertAlign w:val="superscript"/>
        </w:rPr>
        <w:t/>
      </w:r>
      <w:r w:rsidRPr="00852657">
        <w:rPr>
          <w:rFonts w:ascii="Times New Roman" w:hAnsi="Times New Roman" w:cs="Times New Roman"/>
          <w:b/>
          <w:bCs/>
        </w:rPr>
        <w:t/>
      </w:r>
    </w:p>
    <w:p w14:paraId="2A5A3D2C" w14:textId="4E9095F0" w:rsidR="00852657" w:rsidRDefault="00244091" w:rsidP="006A7E24">
      <w:pPr>
        <w:pStyle w:val="BodyText"/>
        <w:jc w:val="center"/>
        <w:rPr>
          <w:rFonts w:ascii="Times New Roman" w:hAnsi="Times New Roman" w:cs="Times New Roman"/>
          <w:b/>
          <w:bCs/>
        </w:rPr>
      </w:pPr>
      <w:r w:rsidRPr="00244091">
        <w:rPr>
          <w:rFonts w:ascii="Times New Roman" w:hAnsi="Times New Roman" w:cs="Times New Roman"/>
          <w:b/>
          <w:bCs/>
          <w:vertAlign w:val="superscript"/>
        </w:rPr>
        <w:t/>
      </w:r>
      <w:r w:rsidRPr="00244091">
        <w:rPr>
          <w:rFonts w:ascii="Times New Roman" w:hAnsi="Times New Roman" w:cs="Times New Roman"/>
          <w:b/>
          <w:bCs/>
        </w:rPr>
        <w:t/>
      </w:r>
    </w:p>
    <w:p w14:paraId="0FEF6D92" w14:textId="3E9950EF" w:rsidR="00244091" w:rsidRDefault="00244091" w:rsidP="006A7E24">
      <w:pPr>
        <w:pStyle w:val="BodyText"/>
        <w:jc w:val="center"/>
        <w:rPr>
          <w:rFonts w:ascii="Times New Roman" w:hAnsi="Times New Roman" w:cs="Times New Roman"/>
          <w:b/>
          <w:bCs/>
        </w:rPr>
      </w:pPr>
      <w:r w:rsidRPr="00244091">
        <w:rPr>
          <w:rFonts w:ascii="Times New Roman" w:hAnsi="Times New Roman" w:cs="Times New Roman"/>
          <w:b/>
          <w:bCs/>
          <w:vertAlign w:val="superscript"/>
        </w:rPr>
        <w:t/>
      </w:r>
      <w:r w:rsidRPr="00244091">
        <w:rPr>
          <w:rFonts w:ascii="Times New Roman" w:hAnsi="Times New Roman" w:cs="Times New Roman"/>
          <w:b/>
          <w:bCs/>
        </w:rPr>
        <w:t/>
      </w:r>
    </w:p>
    <w:p w14:paraId="6329BD7A" w14:textId="41E74C46" w:rsidR="003E3AED" w:rsidRDefault="00F15A02" w:rsidP="006A7E24">
      <w:pPr>
        <w:pStyle w:val="BodyText"/>
        <w:jc w:val="center"/>
        <w:rPr>
          <w:rFonts w:ascii="Times New Roman" w:hAnsi="Times New Roman" w:cs="Times New Roman"/>
          <w:b/>
          <w:bCs/>
        </w:rPr>
      </w:pPr>
      <w:r>
        <w:rPr>
          <w:rFonts w:ascii="Times New Roman" w:hAnsi="Times New Roman" w:cs="Times New Roman"/>
          <w:b/>
          <w:bCs/>
          <w:vertAlign w:val="superscript"/>
        </w:rPr>
        <w:t/>
      </w:r>
      <w:r w:rsidR="003E3AED">
        <w:rPr>
          <w:rFonts w:ascii="Times New Roman" w:hAnsi="Times New Roman" w:cs="Times New Roman"/>
          <w:b/>
          <w:bCs/>
        </w:rPr>
        <w:t/>
      </w:r>
      <w:r w:rsidR="00303E8C">
        <w:rPr>
          <w:rFonts w:ascii="Times New Roman" w:hAnsi="Times New Roman" w:cs="Times New Roman"/>
          <w:b/>
          <w:bCs/>
        </w:rPr>
        <w:t/>
      </w:r>
    </w:p>
    <w:p w14:paraId="0A09A080" w14:textId="05DA03B0" w:rsidR="00244091" w:rsidRDefault="00CE75C5" w:rsidP="006A7E24">
      <w:pPr>
        <w:pStyle w:val="BodyText"/>
        <w:jc w:val="center"/>
        <w:rPr>
          <w:rFonts w:ascii="Times New Roman" w:hAnsi="Times New Roman" w:cs="Times New Roman"/>
          <w:b/>
          <w:bCs/>
        </w:rPr>
      </w:pPr>
      <w:r w:rsidRPr="00CE75C5">
        <w:rPr>
          <w:rFonts w:ascii="Times New Roman" w:hAnsi="Times New Roman" w:cs="Times New Roman"/>
          <w:b/>
          <w:bCs/>
        </w:rPr>
        <w:t xml:space="preserve"/>
      </w:r>
      <w:r>
        <w:rPr>
          <w:rFonts w:ascii="Times New Roman" w:hAnsi="Times New Roman" w:cs="Times New Roman"/>
          <w:b/>
          <w:bCs/>
        </w:rPr>
        <w:t/>
      </w:r>
      <w:r>
        <w:rPr>
          <w:rFonts w:ascii="Times New Roman" w:hAnsi="Times New Roman" w:cs="Times New Roman"/>
          <w:b/>
          <w:bCs/>
          <w:vertAlign w:val="superscript"/>
        </w:rPr>
        <w:t/>
      </w:r>
    </w:p>
    <w:p w14:paraId="3BFB05D9" w14:textId="29D19F45" w:rsidR="007E0B37" w:rsidRDefault="007E0B37" w:rsidP="000146FB">
      <w:pPr>
        <w:pStyle w:val="BodyText"/>
        <w:jc w:val="both"/>
        <w:rPr>
          <w:rFonts w:ascii="Times New Roman" w:hAnsi="Times New Roman" w:cs="Times New Roman"/>
          <w:b/>
          <w:bCs/>
          <w:sz w:val="28"/>
          <w:szCs w:val="28"/>
        </w:rPr>
      </w:pPr>
      <w:r w:rsidRPr="008C5DF8">
        <w:rPr>
          <w:rFonts w:ascii="Times New Roman" w:hAnsi="Times New Roman" w:cs="Times New Roman"/>
          <w:b/>
          <w:bCs/>
          <w:sz w:val="28"/>
          <w:szCs w:val="28"/>
        </w:rPr>
        <w:t>ABSTRACT</w:t>
      </w:r>
    </w:p>
    <w:p w14:paraId="7C5F79A5" w14:textId="4C828042" w:rsidR="00477D04" w:rsidRPr="00477D04" w:rsidRDefault="00477D04" w:rsidP="00477D04">
      <w:pPr>
        <w:pStyle w:val="BodyText"/>
        <w:jc w:val="both"/>
        <w:rPr>
          <w:rFonts w:ascii="Times New Roman" w:hAnsi="Times New Roman" w:cs="Times New Roman"/>
        </w:rPr>
      </w:pPr>
      <w:r w:rsidRPr="00477D04">
        <w:rPr>
          <w:rFonts w:ascii="Times New Roman" w:hAnsi="Times New Roman" w:cs="Times New Roman"/>
          <w:b/>
          <w:bCs/>
        </w:rPr>
        <w:t>Background:</w:t>
      </w:r>
      <w:r w:rsidRPr="00477D04">
        <w:rPr>
          <w:rFonts w:ascii="Times New Roman" w:hAnsi="Times New Roman" w:cs="Times New Roman"/>
        </w:rPr>
        <w:t xml:space="preserve"> Residual periodontal pockets following conventional periodontal therapy may continue to harbor pathogenic microorganisms and compromise healing. Metronidazole is an effective antimicrobial agent against anaerobic periodontal pathogens, while Titanium-Platelet Rich Fibrin (T-PRF) provides a biologically active scaffold that promotes periodontal regeneration. This study evaluated the clinical efficacy of Metronidazole-infused T-PRF as an adjunct to open flap debridement (OFD) in the management of periodontal pockets.</w:t>
      </w:r>
    </w:p>
    <w:p w14:paraId="7CB39B6B" w14:textId="0D35470A" w:rsidR="00477D04" w:rsidRPr="00477D04" w:rsidRDefault="00477D04" w:rsidP="00477D04">
      <w:pPr>
        <w:pStyle w:val="BodyText"/>
        <w:jc w:val="both"/>
        <w:rPr>
          <w:rFonts w:ascii="Times New Roman" w:hAnsi="Times New Roman" w:cs="Times New Roman"/>
        </w:rPr>
      </w:pPr>
      <w:r w:rsidRPr="00477D04">
        <w:rPr>
          <w:rFonts w:ascii="Times New Roman" w:hAnsi="Times New Roman" w:cs="Times New Roman"/>
          <w:b/>
          <w:bCs/>
        </w:rPr>
        <w:t>Materials and Methods:</w:t>
      </w:r>
      <w:r w:rsidRPr="00477D04">
        <w:rPr>
          <w:rFonts w:ascii="Times New Roman" w:hAnsi="Times New Roman" w:cs="Times New Roman"/>
        </w:rPr>
        <w:t xml:space="preserve"> Thirty patients diagnosed with Stage III–IV periodontitis presenting with residual periodontal pockets (PPD ≥5 mm) were enrolled in this single-blinded randomized clinical trial and allocated into two groups (n=15 each). The test group received OFD with Metronidazole-infused T-PRF, while the control group received OFD with T-PRF alone. Plaque Index (PI), Gingival Index (GI), Probing Pocket Depth (PPD), and Relative Clinical Attachment Level (RCAL) were recorded at baseline, 3 months, and 6 months postoperatively.</w:t>
      </w:r>
    </w:p>
    <w:p w14:paraId="6C51580B" w14:textId="68FD141F" w:rsidR="00477D04" w:rsidRPr="00477D04" w:rsidRDefault="00477D04" w:rsidP="00477D04">
      <w:pPr>
        <w:pStyle w:val="BodyText"/>
        <w:jc w:val="both"/>
        <w:rPr>
          <w:rFonts w:ascii="Times New Roman" w:hAnsi="Times New Roman" w:cs="Times New Roman"/>
        </w:rPr>
      </w:pPr>
      <w:r w:rsidRPr="00477D04">
        <w:rPr>
          <w:rFonts w:ascii="Times New Roman" w:hAnsi="Times New Roman" w:cs="Times New Roman"/>
          <w:b/>
          <w:bCs/>
        </w:rPr>
        <w:t>Results:</w:t>
      </w:r>
      <w:r w:rsidRPr="00477D04">
        <w:rPr>
          <w:rFonts w:ascii="Times New Roman" w:hAnsi="Times New Roman" w:cs="Times New Roman"/>
        </w:rPr>
        <w:t xml:space="preserve"> Both groups demonstrated significant improvements in all clinical parameters from baseline to 6 months (p&lt;0.001). The test group showed greater reductions in PPD (2.2 ± 0.6 mm) compared with the control group (1.8 ± 0.7 mm), although the difference was not statistically significant (p&gt;0.05). RCAL gain was significantly greater in the Metronidazole-infused T-PRF group (2.3 ± 0.6 mm) than in the T-PRF group (1.7 ± 0.7 mm) (p&lt;0.05). No significant intergroup differences were observed for PI and GI.</w:t>
      </w:r>
    </w:p>
    <w:p w14:paraId="7FBFE67B" w14:textId="07AB85B3" w:rsidR="00D23D3E" w:rsidRDefault="00477D04" w:rsidP="00477D04">
      <w:pPr>
        <w:pStyle w:val="BodyText"/>
        <w:jc w:val="both"/>
        <w:rPr>
          <w:rFonts w:ascii="Times New Roman" w:hAnsi="Times New Roman" w:cs="Times New Roman"/>
        </w:rPr>
      </w:pPr>
      <w:r w:rsidRPr="00477D04">
        <w:rPr>
          <w:rFonts w:ascii="Times New Roman" w:hAnsi="Times New Roman" w:cs="Times New Roman"/>
          <w:b/>
          <w:bCs/>
        </w:rPr>
        <w:t>Conclusion:</w:t>
      </w:r>
      <w:r w:rsidRPr="00477D04">
        <w:rPr>
          <w:rFonts w:ascii="Times New Roman" w:hAnsi="Times New Roman" w:cs="Times New Roman"/>
        </w:rPr>
        <w:t xml:space="preserve"> Both T-PRF and Metronidazole-infused T-PRF used in conjunction with OFD resulted in significant clinical improvements. However, Metronidazole-infused T-PRF demonstrated superior clinical attachment gain, suggesting that incorporation of metronidazole into the T-PRF matrix may enhance periodontal healing and improve treatment outcomes in periodontal pocket therapy.</w:t>
      </w:r>
    </w:p>
    <w:p w14:paraId="7E93488E" w14:textId="3C60EAF7" w:rsidR="00DD0539" w:rsidRPr="00D23D3E" w:rsidRDefault="00DD0539" w:rsidP="00DD0539">
      <w:pPr>
        <w:pStyle w:val="BodyText"/>
        <w:jc w:val="both"/>
        <w:rPr>
          <w:rFonts w:ascii="Times New Roman" w:hAnsi="Times New Roman" w:cs="Times New Roman"/>
        </w:rPr>
      </w:pPr>
      <w:r w:rsidRPr="007600F9">
        <w:rPr>
          <w:rFonts w:ascii="Times New Roman" w:hAnsi="Times New Roman" w:cs="Times New Roman"/>
          <w:b/>
          <w:bCs/>
        </w:rPr>
        <w:t>Keywords:</w:t>
      </w:r>
      <w:r>
        <w:rPr>
          <w:rFonts w:ascii="Times New Roman" w:hAnsi="Times New Roman" w:cs="Times New Roman"/>
        </w:rPr>
        <w:t xml:space="preserve"> </w:t>
      </w:r>
      <w:r w:rsidR="007600F9" w:rsidRPr="007600F9">
        <w:rPr>
          <w:rFonts w:ascii="Times New Roman" w:hAnsi="Times New Roman" w:cs="Times New Roman"/>
        </w:rPr>
        <w:t>Periodontitis</w:t>
      </w:r>
      <w:r w:rsidR="007600F9">
        <w:rPr>
          <w:rFonts w:ascii="Times New Roman" w:hAnsi="Times New Roman" w:cs="Times New Roman"/>
        </w:rPr>
        <w:t>,</w:t>
      </w:r>
      <w:r w:rsidR="007600F9" w:rsidRPr="007600F9">
        <w:rPr>
          <w:rFonts w:ascii="Times New Roman" w:hAnsi="Times New Roman" w:cs="Times New Roman"/>
        </w:rPr>
        <w:t xml:space="preserve"> Titanium-Platelet Rich Fibrin</w:t>
      </w:r>
      <w:r w:rsidR="007600F9">
        <w:rPr>
          <w:rFonts w:ascii="Times New Roman" w:hAnsi="Times New Roman" w:cs="Times New Roman"/>
        </w:rPr>
        <w:t>,</w:t>
      </w:r>
      <w:r w:rsidR="007600F9" w:rsidRPr="007600F9">
        <w:rPr>
          <w:rFonts w:ascii="Times New Roman" w:hAnsi="Times New Roman" w:cs="Times New Roman"/>
        </w:rPr>
        <w:t xml:space="preserve"> T-PRF</w:t>
      </w:r>
      <w:r w:rsidR="007600F9">
        <w:rPr>
          <w:rFonts w:ascii="Times New Roman" w:hAnsi="Times New Roman" w:cs="Times New Roman"/>
        </w:rPr>
        <w:t>,</w:t>
      </w:r>
      <w:r w:rsidR="007600F9" w:rsidRPr="007600F9">
        <w:rPr>
          <w:rFonts w:ascii="Times New Roman" w:hAnsi="Times New Roman" w:cs="Times New Roman"/>
        </w:rPr>
        <w:t xml:space="preserve"> Metronidazole</w:t>
      </w:r>
      <w:r w:rsidR="007600F9">
        <w:rPr>
          <w:rFonts w:ascii="Times New Roman" w:hAnsi="Times New Roman" w:cs="Times New Roman"/>
        </w:rPr>
        <w:t>,</w:t>
      </w:r>
      <w:r w:rsidR="007600F9" w:rsidRPr="007600F9">
        <w:rPr>
          <w:rFonts w:ascii="Times New Roman" w:hAnsi="Times New Roman" w:cs="Times New Roman"/>
        </w:rPr>
        <w:t xml:space="preserve"> Open Flap Debridement</w:t>
      </w:r>
      <w:r w:rsidR="007600F9">
        <w:rPr>
          <w:rFonts w:ascii="Times New Roman" w:hAnsi="Times New Roman" w:cs="Times New Roman"/>
        </w:rPr>
        <w:t xml:space="preserve">, </w:t>
      </w:r>
      <w:r w:rsidR="007600F9" w:rsidRPr="007600F9">
        <w:rPr>
          <w:rFonts w:ascii="Times New Roman" w:hAnsi="Times New Roman" w:cs="Times New Roman"/>
        </w:rPr>
        <w:t>Periodontal Pockets</w:t>
      </w:r>
      <w:r w:rsidR="007600F9">
        <w:rPr>
          <w:rFonts w:ascii="Times New Roman" w:hAnsi="Times New Roman" w:cs="Times New Roman"/>
        </w:rPr>
        <w:t>.</w:t>
      </w:r>
    </w:p>
    <w:p w14:paraId="6A07302D" w14:textId="7806E7E4" w:rsidR="00137E7F" w:rsidRPr="008C5DF8" w:rsidRDefault="00E35357" w:rsidP="000146FB">
      <w:pPr>
        <w:pStyle w:val="BodyText"/>
        <w:jc w:val="both"/>
        <w:rPr>
          <w:rFonts w:ascii="Times New Roman" w:hAnsi="Times New Roman" w:cs="Times New Roman"/>
          <w:b/>
          <w:bCs/>
          <w:sz w:val="28"/>
          <w:szCs w:val="28"/>
        </w:rPr>
      </w:pPr>
      <w:r w:rsidRPr="008C5DF8">
        <w:rPr>
          <w:rFonts w:ascii="Times New Roman" w:hAnsi="Times New Roman" w:cs="Times New Roman"/>
          <w:b/>
          <w:bCs/>
          <w:sz w:val="28"/>
          <w:szCs w:val="28"/>
        </w:rPr>
        <w:t>INTRODUCTION</w:t>
      </w:r>
    </w:p>
    <w:p w14:paraId="3B3B040E" w14:textId="4EDEC4D0" w:rsidR="00137E7F" w:rsidRPr="000146FB" w:rsidRDefault="00137E7F" w:rsidP="000146FB">
      <w:pPr>
        <w:pStyle w:val="BodyText"/>
        <w:jc w:val="both"/>
        <w:rPr>
          <w:rFonts w:ascii="Times New Roman" w:hAnsi="Times New Roman" w:cs="Times New Roman"/>
        </w:rPr>
      </w:pPr>
      <w:r w:rsidRPr="000146FB">
        <w:rPr>
          <w:rFonts w:ascii="Times New Roman" w:hAnsi="Times New Roman" w:cs="Times New Roman"/>
        </w:rPr>
        <w:t>Periodontitis is a chronic inflammatory disease characterized by destruction of the periodontal ligament, cementum, and alveolar bone, leading to clinical attachment loss, periodontal pocket formation, and eventual tooth loss if left untreated. The primary goals of periodontal therapy are elimination of infection, reduction of inflammation, arrest of disease progression, and regeneration of lost periodontal tissues</w:t>
      </w:r>
      <w:r w:rsidR="00306B5A">
        <w:rPr>
          <w:rFonts w:ascii="Times New Roman" w:hAnsi="Times New Roman" w:cs="Times New Roman"/>
        </w:rPr>
        <w:t xml:space="preserve"> </w:t>
      </w:r>
      <w:r w:rsidR="003C6484">
        <w:rPr>
          <w:rFonts w:ascii="Times New Roman" w:hAnsi="Times New Roman" w:cs="Times New Roman"/>
        </w:rPr>
        <w:t>(</w:t>
      </w:r>
      <w:r w:rsidR="003C6484" w:rsidRPr="003C6484">
        <w:rPr>
          <w:rFonts w:ascii="Times New Roman" w:hAnsi="Times New Roman" w:cs="Times New Roman"/>
        </w:rPr>
        <w:t>Tonetti</w:t>
      </w:r>
      <w:r w:rsidR="003C6484">
        <w:rPr>
          <w:rFonts w:ascii="Times New Roman" w:hAnsi="Times New Roman" w:cs="Times New Roman"/>
        </w:rPr>
        <w:t>, 2018)</w:t>
      </w:r>
      <w:r w:rsidR="00636B7A">
        <w:rPr>
          <w:rFonts w:ascii="Times New Roman" w:hAnsi="Times New Roman" w:cs="Times New Roman"/>
        </w:rPr>
        <w:t>.</w:t>
      </w:r>
    </w:p>
    <w:p w14:paraId="343981C6" w14:textId="6181836E" w:rsidR="00137E7F" w:rsidRPr="000146FB" w:rsidRDefault="00137E7F" w:rsidP="000146FB">
      <w:pPr>
        <w:pStyle w:val="BodyText"/>
        <w:jc w:val="both"/>
        <w:rPr>
          <w:rFonts w:ascii="Times New Roman" w:hAnsi="Times New Roman" w:cs="Times New Roman"/>
        </w:rPr>
      </w:pPr>
      <w:r w:rsidRPr="000146FB">
        <w:rPr>
          <w:rFonts w:ascii="Times New Roman" w:hAnsi="Times New Roman" w:cs="Times New Roman"/>
        </w:rPr>
        <w:t xml:space="preserve">Although scaling and root </w:t>
      </w:r>
      <w:proofErr w:type="spellStart"/>
      <w:r w:rsidRPr="000146FB">
        <w:rPr>
          <w:rFonts w:ascii="Times New Roman" w:hAnsi="Times New Roman" w:cs="Times New Roman"/>
        </w:rPr>
        <w:t>planing</w:t>
      </w:r>
      <w:proofErr w:type="spellEnd"/>
      <w:r w:rsidRPr="000146FB">
        <w:rPr>
          <w:rFonts w:ascii="Times New Roman" w:hAnsi="Times New Roman" w:cs="Times New Roman"/>
        </w:rPr>
        <w:t xml:space="preserve"> (SRP) remains the gold standard for periodontal treatment, complete elimination of pathogenic microorganisms from deep periodontal pockets and anatomically complex sites is </w:t>
      </w:r>
      <w:r w:rsidRPr="000146FB">
        <w:rPr>
          <w:rFonts w:ascii="Times New Roman" w:hAnsi="Times New Roman" w:cs="Times New Roman"/>
        </w:rPr>
        <w:lastRenderedPageBreak/>
        <w:t>often difficult</w:t>
      </w:r>
      <w:r w:rsidR="00636B7A">
        <w:rPr>
          <w:rFonts w:ascii="Times New Roman" w:hAnsi="Times New Roman" w:cs="Times New Roman"/>
        </w:rPr>
        <w:t xml:space="preserve"> </w:t>
      </w:r>
      <w:r w:rsidR="00164E21">
        <w:rPr>
          <w:rFonts w:ascii="Times New Roman" w:hAnsi="Times New Roman" w:cs="Times New Roman"/>
        </w:rPr>
        <w:t>(</w:t>
      </w:r>
      <w:r w:rsidR="00904B94">
        <w:rPr>
          <w:rFonts w:ascii="Times New Roman" w:hAnsi="Times New Roman" w:cs="Times New Roman"/>
        </w:rPr>
        <w:t>Cobb,</w:t>
      </w:r>
      <w:r w:rsidR="00EC78B3">
        <w:rPr>
          <w:rFonts w:ascii="Times New Roman" w:hAnsi="Times New Roman" w:cs="Times New Roman"/>
        </w:rPr>
        <w:t xml:space="preserve"> </w:t>
      </w:r>
      <w:r w:rsidR="00904B94">
        <w:rPr>
          <w:rFonts w:ascii="Times New Roman" w:hAnsi="Times New Roman" w:cs="Times New Roman"/>
        </w:rPr>
        <w:t xml:space="preserve">2002; </w:t>
      </w:r>
      <w:proofErr w:type="spellStart"/>
      <w:r w:rsidR="00904B94">
        <w:rPr>
          <w:rFonts w:ascii="Times New Roman" w:hAnsi="Times New Roman" w:cs="Times New Roman"/>
        </w:rPr>
        <w:t>Caffesse</w:t>
      </w:r>
      <w:proofErr w:type="spellEnd"/>
      <w:r w:rsidR="00904B94">
        <w:rPr>
          <w:rFonts w:ascii="Times New Roman" w:hAnsi="Times New Roman" w:cs="Times New Roman"/>
        </w:rPr>
        <w:t>,</w:t>
      </w:r>
      <w:r w:rsidR="00EC78B3">
        <w:rPr>
          <w:rFonts w:ascii="Times New Roman" w:hAnsi="Times New Roman" w:cs="Times New Roman"/>
        </w:rPr>
        <w:t xml:space="preserve"> </w:t>
      </w:r>
      <w:r w:rsidR="00904B94">
        <w:rPr>
          <w:rFonts w:ascii="Times New Roman" w:hAnsi="Times New Roman" w:cs="Times New Roman"/>
        </w:rPr>
        <w:t>1986)</w:t>
      </w:r>
      <w:r w:rsidR="00636B7A">
        <w:rPr>
          <w:rFonts w:ascii="Times New Roman" w:hAnsi="Times New Roman" w:cs="Times New Roman"/>
        </w:rPr>
        <w:t>.</w:t>
      </w:r>
      <w:r w:rsidRPr="000146FB">
        <w:rPr>
          <w:rFonts w:ascii="Times New Roman" w:hAnsi="Times New Roman" w:cs="Times New Roman"/>
        </w:rPr>
        <w:t xml:space="preserve"> Consequently, residual periodontal pockets frequently require surgical intervention. Open flap debridement (OFD) provides improved access for root instrumentation and pocket reduction; however, healing often occurs through repair rather than true periodontal regeneration</w:t>
      </w:r>
      <w:r w:rsidR="00636B7A">
        <w:rPr>
          <w:rFonts w:ascii="Times New Roman" w:hAnsi="Times New Roman" w:cs="Times New Roman"/>
        </w:rPr>
        <w:t xml:space="preserve"> </w:t>
      </w:r>
      <w:r w:rsidR="009C404D">
        <w:rPr>
          <w:rFonts w:ascii="Times New Roman" w:hAnsi="Times New Roman" w:cs="Times New Roman"/>
        </w:rPr>
        <w:t>(</w:t>
      </w:r>
      <w:r w:rsidR="009C404D" w:rsidRPr="009C404D">
        <w:t xml:space="preserve"> </w:t>
      </w:r>
      <w:r w:rsidR="009C404D" w:rsidRPr="009C404D">
        <w:rPr>
          <w:rFonts w:ascii="Times New Roman" w:hAnsi="Times New Roman" w:cs="Times New Roman"/>
        </w:rPr>
        <w:t>Heitz‐Mayfield</w:t>
      </w:r>
      <w:r w:rsidR="003F1452">
        <w:rPr>
          <w:rFonts w:ascii="Times New Roman" w:hAnsi="Times New Roman" w:cs="Times New Roman"/>
        </w:rPr>
        <w:t>, 2013)</w:t>
      </w:r>
      <w:r w:rsidR="00636B7A">
        <w:rPr>
          <w:rFonts w:ascii="Times New Roman" w:hAnsi="Times New Roman" w:cs="Times New Roman"/>
        </w:rPr>
        <w:t>.</w:t>
      </w:r>
    </w:p>
    <w:p w14:paraId="7D39B72F" w14:textId="401119C3" w:rsidR="00137E7F" w:rsidRPr="000146FB" w:rsidRDefault="00137E7F" w:rsidP="000146FB">
      <w:pPr>
        <w:pStyle w:val="BodyText"/>
        <w:jc w:val="both"/>
        <w:rPr>
          <w:rFonts w:ascii="Times New Roman" w:hAnsi="Times New Roman" w:cs="Times New Roman"/>
        </w:rPr>
      </w:pPr>
      <w:r w:rsidRPr="000146FB">
        <w:rPr>
          <w:rFonts w:ascii="Times New Roman" w:hAnsi="Times New Roman" w:cs="Times New Roman"/>
        </w:rPr>
        <w:t>Persistent microbial infection remains a major challenge in periodontal therapy and may compromise wound healing and regenerative outcomes. Therefore, adjunctive antimicrobial therapy has been extensively investigated. Among the available antimicrobial agents, metronidazole is widely used because of its potent activity against anaerobic periodontal pathogens, including Porphyromonas gingivalis,</w:t>
      </w:r>
      <w:r w:rsidR="005660C0" w:rsidRPr="000146FB">
        <w:rPr>
          <w:rFonts w:ascii="Times New Roman" w:hAnsi="Times New Roman" w:cs="Times New Roman"/>
        </w:rPr>
        <w:t xml:space="preserve"> </w:t>
      </w:r>
      <w:proofErr w:type="spellStart"/>
      <w:r w:rsidRPr="000146FB">
        <w:rPr>
          <w:rFonts w:ascii="Times New Roman" w:hAnsi="Times New Roman" w:cs="Times New Roman"/>
        </w:rPr>
        <w:t>Tannerella</w:t>
      </w:r>
      <w:proofErr w:type="spellEnd"/>
      <w:r w:rsidRPr="000146FB">
        <w:rPr>
          <w:rFonts w:ascii="Times New Roman" w:hAnsi="Times New Roman" w:cs="Times New Roman"/>
        </w:rPr>
        <w:t xml:space="preserve"> forsythia, and </w:t>
      </w:r>
      <w:proofErr w:type="spellStart"/>
      <w:r w:rsidRPr="000146FB">
        <w:rPr>
          <w:rFonts w:ascii="Times New Roman" w:hAnsi="Times New Roman" w:cs="Times New Roman"/>
        </w:rPr>
        <w:t>Prevotella</w:t>
      </w:r>
      <w:proofErr w:type="spellEnd"/>
      <w:r w:rsidRPr="000146FB">
        <w:rPr>
          <w:rFonts w:ascii="Times New Roman" w:hAnsi="Times New Roman" w:cs="Times New Roman"/>
        </w:rPr>
        <w:t xml:space="preserve"> intermedia</w:t>
      </w:r>
      <w:r w:rsidR="009D1ADE">
        <w:rPr>
          <w:rFonts w:ascii="Times New Roman" w:hAnsi="Times New Roman" w:cs="Times New Roman"/>
        </w:rPr>
        <w:t xml:space="preserve"> (Rams,</w:t>
      </w:r>
      <w:r w:rsidR="00EC78B3">
        <w:rPr>
          <w:rFonts w:ascii="Times New Roman" w:hAnsi="Times New Roman" w:cs="Times New Roman"/>
        </w:rPr>
        <w:t xml:space="preserve"> </w:t>
      </w:r>
      <w:r w:rsidR="009D1ADE">
        <w:rPr>
          <w:rFonts w:ascii="Times New Roman" w:hAnsi="Times New Roman" w:cs="Times New Roman"/>
        </w:rPr>
        <w:t xml:space="preserve">1996; </w:t>
      </w:r>
      <w:r w:rsidR="005C7BC2">
        <w:rPr>
          <w:rFonts w:ascii="Times New Roman" w:hAnsi="Times New Roman" w:cs="Times New Roman"/>
        </w:rPr>
        <w:t>Feres,</w:t>
      </w:r>
      <w:r w:rsidR="00EC78B3">
        <w:rPr>
          <w:rFonts w:ascii="Times New Roman" w:hAnsi="Times New Roman" w:cs="Times New Roman"/>
        </w:rPr>
        <w:t xml:space="preserve"> </w:t>
      </w:r>
      <w:r w:rsidR="005C7BC2">
        <w:rPr>
          <w:rFonts w:ascii="Times New Roman" w:hAnsi="Times New Roman" w:cs="Times New Roman"/>
        </w:rPr>
        <w:t>2015)</w:t>
      </w:r>
      <w:r w:rsidRPr="000146FB">
        <w:rPr>
          <w:rFonts w:ascii="Times New Roman" w:hAnsi="Times New Roman" w:cs="Times New Roman"/>
        </w:rPr>
        <w:t>. Local delivery of metronidazole offers several advantages over systemic administration, including higher drug concentrations at the target site, reduced systemic exposure, and lower risk of adverse effects</w:t>
      </w:r>
      <w:r w:rsidR="005C7BC2">
        <w:rPr>
          <w:rFonts w:ascii="Times New Roman" w:hAnsi="Times New Roman" w:cs="Times New Roman"/>
        </w:rPr>
        <w:t xml:space="preserve"> (Goodson,</w:t>
      </w:r>
      <w:r w:rsidR="00EC78B3">
        <w:rPr>
          <w:rFonts w:ascii="Times New Roman" w:hAnsi="Times New Roman" w:cs="Times New Roman"/>
        </w:rPr>
        <w:t xml:space="preserve"> </w:t>
      </w:r>
      <w:r w:rsidR="005C7BC2">
        <w:rPr>
          <w:rFonts w:ascii="Times New Roman" w:hAnsi="Times New Roman" w:cs="Times New Roman"/>
        </w:rPr>
        <w:t>1994)</w:t>
      </w:r>
      <w:r w:rsidRPr="000146FB">
        <w:rPr>
          <w:rFonts w:ascii="Times New Roman" w:hAnsi="Times New Roman" w:cs="Times New Roman"/>
        </w:rPr>
        <w:t>. However, maintaining sustained drug release within the periodontal pocket remains a clinical challenge.</w:t>
      </w:r>
    </w:p>
    <w:p w14:paraId="6205A832" w14:textId="0A0CA13E" w:rsidR="00137E7F" w:rsidRPr="000146FB" w:rsidRDefault="00137E7F" w:rsidP="000146FB">
      <w:pPr>
        <w:pStyle w:val="BodyText"/>
        <w:jc w:val="both"/>
        <w:rPr>
          <w:rFonts w:ascii="Times New Roman" w:hAnsi="Times New Roman" w:cs="Times New Roman"/>
        </w:rPr>
      </w:pPr>
      <w:r w:rsidRPr="000146FB">
        <w:rPr>
          <w:rFonts w:ascii="Times New Roman" w:hAnsi="Times New Roman" w:cs="Times New Roman"/>
        </w:rPr>
        <w:t xml:space="preserve">To overcome this limitation, platelet concentrates have recently been explored as biological drug-delivery systems. Platelet-rich fibrin (PRF), introduced by </w:t>
      </w:r>
      <w:proofErr w:type="spellStart"/>
      <w:r w:rsidRPr="000146FB">
        <w:rPr>
          <w:rFonts w:ascii="Times New Roman" w:hAnsi="Times New Roman" w:cs="Times New Roman"/>
        </w:rPr>
        <w:t>Choukroun</w:t>
      </w:r>
      <w:proofErr w:type="spellEnd"/>
      <w:r w:rsidRPr="000146FB">
        <w:rPr>
          <w:rFonts w:ascii="Times New Roman" w:hAnsi="Times New Roman" w:cs="Times New Roman"/>
        </w:rPr>
        <w:t xml:space="preserve"> et al., is a second-generation autologous platelet concentrate composed of a fibrin matrix enriched with platelets, leukocytes, cytokines, and growth factors</w:t>
      </w:r>
      <w:r w:rsidR="005C7BC2">
        <w:rPr>
          <w:rFonts w:ascii="Times New Roman" w:hAnsi="Times New Roman" w:cs="Times New Roman"/>
        </w:rPr>
        <w:t xml:space="preserve"> (</w:t>
      </w:r>
      <w:proofErr w:type="spellStart"/>
      <w:r w:rsidR="005C7BC2" w:rsidRPr="005C7BC2">
        <w:rPr>
          <w:rFonts w:ascii="Times New Roman" w:hAnsi="Times New Roman" w:cs="Times New Roman"/>
        </w:rPr>
        <w:t>Choukroun</w:t>
      </w:r>
      <w:proofErr w:type="spellEnd"/>
      <w:r w:rsidR="005C7BC2">
        <w:rPr>
          <w:rFonts w:ascii="Times New Roman" w:hAnsi="Times New Roman" w:cs="Times New Roman"/>
        </w:rPr>
        <w:t>,</w:t>
      </w:r>
      <w:r w:rsidR="00EC78B3">
        <w:rPr>
          <w:rFonts w:ascii="Times New Roman" w:hAnsi="Times New Roman" w:cs="Times New Roman"/>
        </w:rPr>
        <w:t xml:space="preserve"> </w:t>
      </w:r>
      <w:r w:rsidR="005C7BC2">
        <w:rPr>
          <w:rFonts w:ascii="Times New Roman" w:hAnsi="Times New Roman" w:cs="Times New Roman"/>
        </w:rPr>
        <w:t>2001)</w:t>
      </w:r>
      <w:r w:rsidRPr="000146FB">
        <w:rPr>
          <w:rFonts w:ascii="Times New Roman" w:hAnsi="Times New Roman" w:cs="Times New Roman"/>
        </w:rPr>
        <w:t>. In addition to promoting angiogenesis, cell proliferation, and tissue regeneration, the fibrin matrix can entrap therapeutic agents and facilitate their gradual release at the treatment site</w:t>
      </w:r>
      <w:r w:rsidR="008449AC">
        <w:rPr>
          <w:rFonts w:ascii="Times New Roman" w:hAnsi="Times New Roman" w:cs="Times New Roman"/>
        </w:rPr>
        <w:t xml:space="preserve"> (</w:t>
      </w:r>
      <w:r w:rsidR="008449AC" w:rsidRPr="008449AC">
        <w:rPr>
          <w:rFonts w:ascii="Times New Roman" w:hAnsi="Times New Roman" w:cs="Times New Roman"/>
        </w:rPr>
        <w:t>Bennardo</w:t>
      </w:r>
      <w:r w:rsidR="008449AC">
        <w:rPr>
          <w:rFonts w:ascii="Times New Roman" w:hAnsi="Times New Roman" w:cs="Times New Roman"/>
        </w:rPr>
        <w:t>,</w:t>
      </w:r>
      <w:r w:rsidR="00EC78B3">
        <w:rPr>
          <w:rFonts w:ascii="Times New Roman" w:hAnsi="Times New Roman" w:cs="Times New Roman"/>
        </w:rPr>
        <w:t xml:space="preserve"> </w:t>
      </w:r>
      <w:r w:rsidR="008449AC">
        <w:rPr>
          <w:rFonts w:ascii="Times New Roman" w:hAnsi="Times New Roman" w:cs="Times New Roman"/>
        </w:rPr>
        <w:t>2023)</w:t>
      </w:r>
      <w:r w:rsidRPr="000146FB">
        <w:rPr>
          <w:rFonts w:ascii="Times New Roman" w:hAnsi="Times New Roman" w:cs="Times New Roman"/>
        </w:rPr>
        <w:t>. Studies have demonstrated that incorporation of antibiotics into PRF enhances antimicrobial activity without adversely affecting its biological properties</w:t>
      </w:r>
      <w:r w:rsidR="008449AC">
        <w:rPr>
          <w:rFonts w:ascii="Times New Roman" w:hAnsi="Times New Roman" w:cs="Times New Roman"/>
        </w:rPr>
        <w:t xml:space="preserve"> (</w:t>
      </w:r>
      <w:r w:rsidR="008449AC" w:rsidRPr="008449AC">
        <w:rPr>
          <w:rFonts w:ascii="Times New Roman" w:hAnsi="Times New Roman" w:cs="Times New Roman"/>
        </w:rPr>
        <w:t>Thamaraiselvan</w:t>
      </w:r>
      <w:r w:rsidR="008449AC">
        <w:rPr>
          <w:rFonts w:ascii="Times New Roman" w:hAnsi="Times New Roman" w:cs="Times New Roman"/>
        </w:rPr>
        <w:t>,</w:t>
      </w:r>
      <w:r w:rsidR="00EC78B3">
        <w:rPr>
          <w:rFonts w:ascii="Times New Roman" w:hAnsi="Times New Roman" w:cs="Times New Roman"/>
        </w:rPr>
        <w:t xml:space="preserve"> </w:t>
      </w:r>
      <w:r w:rsidR="008449AC">
        <w:rPr>
          <w:rFonts w:ascii="Times New Roman" w:hAnsi="Times New Roman" w:cs="Times New Roman"/>
        </w:rPr>
        <w:t>2024</w:t>
      </w:r>
      <w:r w:rsidR="004462CE">
        <w:rPr>
          <w:rFonts w:ascii="Times New Roman" w:hAnsi="Times New Roman" w:cs="Times New Roman"/>
        </w:rPr>
        <w:t xml:space="preserve">; </w:t>
      </w:r>
      <w:r w:rsidR="004462CE" w:rsidRPr="008449AC">
        <w:rPr>
          <w:rFonts w:ascii="Times New Roman" w:hAnsi="Times New Roman" w:cs="Times New Roman"/>
        </w:rPr>
        <w:t>Gasparro</w:t>
      </w:r>
      <w:r w:rsidR="004462CE">
        <w:rPr>
          <w:rFonts w:ascii="Times New Roman" w:hAnsi="Times New Roman" w:cs="Times New Roman"/>
        </w:rPr>
        <w:t>, 2024</w:t>
      </w:r>
      <w:r w:rsidR="008449AC">
        <w:rPr>
          <w:rFonts w:ascii="Times New Roman" w:hAnsi="Times New Roman" w:cs="Times New Roman"/>
        </w:rPr>
        <w:t>)</w:t>
      </w:r>
      <w:r w:rsidRPr="000146FB">
        <w:rPr>
          <w:rFonts w:ascii="Times New Roman" w:hAnsi="Times New Roman" w:cs="Times New Roman"/>
        </w:rPr>
        <w:t>.</w:t>
      </w:r>
    </w:p>
    <w:p w14:paraId="72307593" w14:textId="55D4F176" w:rsidR="00137E7F" w:rsidRPr="000146FB" w:rsidRDefault="00137E7F" w:rsidP="000146FB">
      <w:pPr>
        <w:pStyle w:val="BodyText"/>
        <w:jc w:val="both"/>
        <w:rPr>
          <w:rFonts w:ascii="Times New Roman" w:hAnsi="Times New Roman" w:cs="Times New Roman"/>
        </w:rPr>
      </w:pPr>
      <w:r w:rsidRPr="000146FB">
        <w:rPr>
          <w:rFonts w:ascii="Times New Roman" w:hAnsi="Times New Roman" w:cs="Times New Roman"/>
        </w:rPr>
        <w:t xml:space="preserve">Titanium-Platelet Rich Fibrin (T-PRF), introduced by </w:t>
      </w:r>
      <w:proofErr w:type="spellStart"/>
      <w:r w:rsidRPr="000146FB">
        <w:rPr>
          <w:rFonts w:ascii="Times New Roman" w:hAnsi="Times New Roman" w:cs="Times New Roman"/>
        </w:rPr>
        <w:t>Tunali</w:t>
      </w:r>
      <w:proofErr w:type="spellEnd"/>
      <w:r w:rsidRPr="000146FB">
        <w:rPr>
          <w:rFonts w:ascii="Times New Roman" w:hAnsi="Times New Roman" w:cs="Times New Roman"/>
        </w:rPr>
        <w:t xml:space="preserve"> et al., is a third-generation platelet concentrate prepared using medical-grade titanium tubes</w:t>
      </w:r>
      <w:r w:rsidR="008449AC">
        <w:rPr>
          <w:rFonts w:ascii="Times New Roman" w:hAnsi="Times New Roman" w:cs="Times New Roman"/>
        </w:rPr>
        <w:t xml:space="preserve"> (</w:t>
      </w:r>
      <w:proofErr w:type="spellStart"/>
      <w:r w:rsidR="008449AC" w:rsidRPr="008449AC">
        <w:rPr>
          <w:rFonts w:ascii="Times New Roman" w:hAnsi="Times New Roman" w:cs="Times New Roman"/>
        </w:rPr>
        <w:t>Tunal</w:t>
      </w:r>
      <w:r w:rsidR="008449AC">
        <w:rPr>
          <w:rFonts w:ascii="Times New Roman" w:hAnsi="Times New Roman" w:cs="Times New Roman"/>
        </w:rPr>
        <w:t>i</w:t>
      </w:r>
      <w:proofErr w:type="spellEnd"/>
      <w:r w:rsidR="008449AC">
        <w:rPr>
          <w:rFonts w:ascii="Times New Roman" w:hAnsi="Times New Roman" w:cs="Times New Roman"/>
        </w:rPr>
        <w:t>, 2014)</w:t>
      </w:r>
      <w:r w:rsidRPr="000146FB">
        <w:rPr>
          <w:rFonts w:ascii="Times New Roman" w:hAnsi="Times New Roman" w:cs="Times New Roman"/>
        </w:rPr>
        <w:t>. Compared with conventional PRF, T-PRF exhibits a denser fibrin architecture, prolonged degradation time, and sustained growth factor release, making it a promising scaffold for both periodontal regeneration and local drug delivery</w:t>
      </w:r>
      <w:r w:rsidR="008449AC">
        <w:rPr>
          <w:rFonts w:ascii="Times New Roman" w:hAnsi="Times New Roman" w:cs="Times New Roman"/>
        </w:rPr>
        <w:t xml:space="preserve"> (</w:t>
      </w:r>
      <w:proofErr w:type="spellStart"/>
      <w:r w:rsidR="008449AC" w:rsidRPr="008449AC">
        <w:rPr>
          <w:rFonts w:ascii="Times New Roman" w:hAnsi="Times New Roman" w:cs="Times New Roman"/>
        </w:rPr>
        <w:t>Tunal</w:t>
      </w:r>
      <w:r w:rsidR="008449AC">
        <w:rPr>
          <w:rFonts w:ascii="Times New Roman" w:hAnsi="Times New Roman" w:cs="Times New Roman"/>
        </w:rPr>
        <w:t>i</w:t>
      </w:r>
      <w:proofErr w:type="spellEnd"/>
      <w:r w:rsidR="008449AC">
        <w:rPr>
          <w:rFonts w:ascii="Times New Roman" w:hAnsi="Times New Roman" w:cs="Times New Roman"/>
        </w:rPr>
        <w:t>,</w:t>
      </w:r>
      <w:r w:rsidR="00EC78B3">
        <w:rPr>
          <w:rFonts w:ascii="Times New Roman" w:hAnsi="Times New Roman" w:cs="Times New Roman"/>
        </w:rPr>
        <w:t xml:space="preserve"> </w:t>
      </w:r>
      <w:r w:rsidR="008449AC">
        <w:rPr>
          <w:rFonts w:ascii="Times New Roman" w:hAnsi="Times New Roman" w:cs="Times New Roman"/>
        </w:rPr>
        <w:t xml:space="preserve">2014; </w:t>
      </w:r>
      <w:proofErr w:type="spellStart"/>
      <w:r w:rsidR="008449AC" w:rsidRPr="008449AC">
        <w:rPr>
          <w:rFonts w:ascii="Times New Roman" w:hAnsi="Times New Roman" w:cs="Times New Roman"/>
        </w:rPr>
        <w:t>Tunal</w:t>
      </w:r>
      <w:r w:rsidR="008449AC">
        <w:rPr>
          <w:rFonts w:ascii="Times New Roman" w:hAnsi="Times New Roman" w:cs="Times New Roman"/>
        </w:rPr>
        <w:t>i</w:t>
      </w:r>
      <w:proofErr w:type="spellEnd"/>
      <w:r w:rsidR="008449AC">
        <w:rPr>
          <w:rFonts w:ascii="Times New Roman" w:hAnsi="Times New Roman" w:cs="Times New Roman"/>
        </w:rPr>
        <w:t>,</w:t>
      </w:r>
      <w:r w:rsidR="00EC78B3">
        <w:rPr>
          <w:rFonts w:ascii="Times New Roman" w:hAnsi="Times New Roman" w:cs="Times New Roman"/>
        </w:rPr>
        <w:t xml:space="preserve"> </w:t>
      </w:r>
      <w:r w:rsidR="008449AC">
        <w:rPr>
          <w:rFonts w:ascii="Times New Roman" w:hAnsi="Times New Roman" w:cs="Times New Roman"/>
        </w:rPr>
        <w:t>2013)</w:t>
      </w:r>
      <w:r w:rsidR="008449AC" w:rsidRPr="000146FB">
        <w:rPr>
          <w:rFonts w:ascii="Times New Roman" w:hAnsi="Times New Roman" w:cs="Times New Roman"/>
        </w:rPr>
        <w:t>.</w:t>
      </w:r>
      <w:r w:rsidRPr="000146FB">
        <w:rPr>
          <w:rFonts w:ascii="Times New Roman" w:hAnsi="Times New Roman" w:cs="Times New Roman"/>
        </w:rPr>
        <w:t xml:space="preserve"> Recent investigations have demonstrated favorable antibiotic-loading and sustained-release characteristics of T-PRF, highlighting its potential as a carrier for antimicrobial agents</w:t>
      </w:r>
      <w:r w:rsidR="00EC78B3">
        <w:rPr>
          <w:rFonts w:ascii="Times New Roman" w:hAnsi="Times New Roman" w:cs="Times New Roman"/>
        </w:rPr>
        <w:t xml:space="preserve"> (</w:t>
      </w:r>
      <w:r w:rsidR="00EC78B3" w:rsidRPr="00EC78B3">
        <w:rPr>
          <w:rFonts w:ascii="Times New Roman" w:hAnsi="Times New Roman" w:cs="Times New Roman"/>
        </w:rPr>
        <w:t>Ercan</w:t>
      </w:r>
      <w:r w:rsidR="00EC78B3">
        <w:rPr>
          <w:rFonts w:ascii="Times New Roman" w:hAnsi="Times New Roman" w:cs="Times New Roman"/>
        </w:rPr>
        <w:t>, 2022)</w:t>
      </w:r>
      <w:r w:rsidRPr="000146FB">
        <w:rPr>
          <w:rFonts w:ascii="Times New Roman" w:hAnsi="Times New Roman" w:cs="Times New Roman"/>
        </w:rPr>
        <w:t>.</w:t>
      </w:r>
    </w:p>
    <w:p w14:paraId="6AC0FE50" w14:textId="481B8695" w:rsidR="00A107B3" w:rsidRPr="000146FB" w:rsidRDefault="00137E7F" w:rsidP="000146FB">
      <w:pPr>
        <w:pStyle w:val="BodyText"/>
        <w:jc w:val="both"/>
        <w:rPr>
          <w:rFonts w:ascii="Times New Roman" w:hAnsi="Times New Roman" w:cs="Times New Roman"/>
        </w:rPr>
      </w:pPr>
      <w:r w:rsidRPr="000146FB">
        <w:rPr>
          <w:rFonts w:ascii="Times New Roman" w:hAnsi="Times New Roman" w:cs="Times New Roman"/>
        </w:rPr>
        <w:t>Despite the established antimicrobial efficacy of metronidazole and the regenerative potential of T-PRF, clinical evidence evaluating their combined use in periodontal therapy remains limited. Therefore, the present randomized clinical trial was undertaken to evaluate the clinical efficacy of Metronidazole-infused T-PRF as an adjunct to OFD in the management of periodontal pockets and to compare its outcomes with T-PRF alone.</w:t>
      </w:r>
    </w:p>
    <w:p w14:paraId="369B7C34" w14:textId="38E710FE" w:rsidR="00E93B36" w:rsidRPr="008C5DF8" w:rsidRDefault="00E35357" w:rsidP="000146FB">
      <w:pPr>
        <w:pStyle w:val="BodyText"/>
        <w:jc w:val="both"/>
        <w:rPr>
          <w:rFonts w:ascii="Times New Roman" w:hAnsi="Times New Roman" w:cs="Times New Roman"/>
          <w:b/>
          <w:bCs/>
          <w:sz w:val="28"/>
          <w:szCs w:val="28"/>
        </w:rPr>
      </w:pPr>
      <w:r w:rsidRPr="008C5DF8">
        <w:rPr>
          <w:rFonts w:ascii="Times New Roman" w:hAnsi="Times New Roman" w:cs="Times New Roman"/>
          <w:b/>
          <w:bCs/>
          <w:sz w:val="28"/>
          <w:szCs w:val="28"/>
        </w:rPr>
        <w:t>MATERIALS AND METHODS</w:t>
      </w:r>
    </w:p>
    <w:p w14:paraId="4DAA134C" w14:textId="11337534" w:rsidR="008A38B8" w:rsidRPr="000146FB" w:rsidRDefault="008A38B8" w:rsidP="000146FB">
      <w:pPr>
        <w:pStyle w:val="BodyText"/>
        <w:jc w:val="both"/>
        <w:rPr>
          <w:rFonts w:ascii="Times New Roman" w:hAnsi="Times New Roman" w:cs="Times New Roman"/>
          <w:b/>
          <w:bCs/>
          <w:lang w:val="en-IN"/>
        </w:rPr>
      </w:pPr>
      <w:r w:rsidRPr="000146FB">
        <w:rPr>
          <w:rFonts w:ascii="Times New Roman" w:hAnsi="Times New Roman" w:cs="Times New Roman"/>
          <w:b/>
          <w:bCs/>
          <w:lang w:val="en-IN"/>
        </w:rPr>
        <w:t>Study Design and Patient Selection</w:t>
      </w:r>
    </w:p>
    <w:p w14:paraId="12D0E05D" w14:textId="07F10FE7" w:rsidR="009607A6" w:rsidRPr="000146FB" w:rsidRDefault="008A38B8" w:rsidP="000146FB">
      <w:pPr>
        <w:pStyle w:val="BodyText"/>
        <w:jc w:val="both"/>
        <w:rPr>
          <w:rFonts w:ascii="Times New Roman" w:hAnsi="Times New Roman" w:cs="Times New Roman"/>
          <w:lang w:val="en-IN"/>
        </w:rPr>
      </w:pPr>
      <w:r w:rsidRPr="000146FB">
        <w:rPr>
          <w:rFonts w:ascii="Times New Roman" w:hAnsi="Times New Roman" w:cs="Times New Roman"/>
          <w:lang w:val="en-IN"/>
        </w:rPr>
        <w:t>This single-blinded, parallel-arm randomized clinical trial was conducted in the Department of Periodontology and Oral Implantology after Institutional Ethics Committee approval. Thirty patients (15 per group</w:t>
      </w:r>
      <w:r w:rsidR="009607A6" w:rsidRPr="000146FB">
        <w:rPr>
          <w:rFonts w:ascii="Times New Roman" w:hAnsi="Times New Roman" w:cs="Times New Roman"/>
          <w:lang w:val="en-IN"/>
        </w:rPr>
        <w:t>)</w:t>
      </w:r>
      <w:r w:rsidRPr="000146FB">
        <w:rPr>
          <w:rFonts w:ascii="Times New Roman" w:hAnsi="Times New Roman" w:cs="Times New Roman"/>
          <w:lang w:val="en-IN"/>
        </w:rPr>
        <w:t xml:space="preserve"> were enrolled. Patients aged 30–65 years with Stage III–IV periodontitis and residual periodontal pockets (PPD ≥5 mm, CAL ≥4 mm) were included. Following Phase I therapy and revaluation after 4–6 weeks, eligible participants were randomly assigned to the test or control group using a computer-generated randomization sequence. Patients with systemic conditions affecting periodontal healing, smokers, pregnant or lactating women, recent antibiotic use, bleeding disorders, anticoagulant therapy, or known drug allergies were excluded.</w:t>
      </w:r>
    </w:p>
    <w:p w14:paraId="71DED270" w14:textId="14621BCA" w:rsidR="007556EB" w:rsidRPr="000146FB" w:rsidRDefault="007556EB" w:rsidP="000146FB">
      <w:pPr>
        <w:pStyle w:val="BodyText"/>
        <w:jc w:val="both"/>
        <w:rPr>
          <w:rFonts w:ascii="Times New Roman" w:hAnsi="Times New Roman" w:cs="Times New Roman"/>
          <w:b/>
          <w:bCs/>
          <w:lang w:val="en-IN"/>
        </w:rPr>
      </w:pPr>
      <w:r w:rsidRPr="000146FB">
        <w:rPr>
          <w:rFonts w:ascii="Times New Roman" w:hAnsi="Times New Roman" w:cs="Times New Roman"/>
          <w:b/>
          <w:bCs/>
          <w:lang w:val="en-IN"/>
        </w:rPr>
        <w:t>Clinical Parameters</w:t>
      </w:r>
    </w:p>
    <w:p w14:paraId="0C3BFAD7" w14:textId="77777777" w:rsidR="007556EB" w:rsidRPr="000146FB" w:rsidRDefault="007556EB" w:rsidP="000146FB">
      <w:pPr>
        <w:pStyle w:val="BodyText"/>
        <w:jc w:val="both"/>
        <w:rPr>
          <w:rFonts w:ascii="Times New Roman" w:hAnsi="Times New Roman" w:cs="Times New Roman"/>
          <w:lang w:val="en-IN"/>
        </w:rPr>
      </w:pPr>
      <w:r w:rsidRPr="000146FB">
        <w:rPr>
          <w:rFonts w:ascii="Times New Roman" w:hAnsi="Times New Roman" w:cs="Times New Roman"/>
          <w:lang w:val="en-IN"/>
        </w:rPr>
        <w:t>The following clinical parameters were recorded at baseline, 3 months, and 6 months:</w:t>
      </w:r>
    </w:p>
    <w:p w14:paraId="7412D029" w14:textId="77777777" w:rsidR="007556EB" w:rsidRPr="000146FB" w:rsidRDefault="007556EB" w:rsidP="000146FB">
      <w:pPr>
        <w:pStyle w:val="BodyText"/>
        <w:numPr>
          <w:ilvl w:val="0"/>
          <w:numId w:val="3"/>
        </w:numPr>
        <w:jc w:val="both"/>
        <w:rPr>
          <w:rFonts w:ascii="Times New Roman" w:hAnsi="Times New Roman" w:cs="Times New Roman"/>
          <w:lang w:val="en-IN"/>
        </w:rPr>
      </w:pPr>
      <w:r w:rsidRPr="000146FB">
        <w:rPr>
          <w:rFonts w:ascii="Times New Roman" w:hAnsi="Times New Roman" w:cs="Times New Roman"/>
          <w:lang w:val="en-IN"/>
        </w:rPr>
        <w:t>Plaque Index (</w:t>
      </w:r>
      <w:proofErr w:type="spellStart"/>
      <w:r w:rsidRPr="000146FB">
        <w:rPr>
          <w:rFonts w:ascii="Times New Roman" w:hAnsi="Times New Roman" w:cs="Times New Roman"/>
          <w:lang w:val="en-IN"/>
        </w:rPr>
        <w:t>Silness</w:t>
      </w:r>
      <w:proofErr w:type="spellEnd"/>
      <w:r w:rsidRPr="000146FB">
        <w:rPr>
          <w:rFonts w:ascii="Times New Roman" w:hAnsi="Times New Roman" w:cs="Times New Roman"/>
          <w:lang w:val="en-IN"/>
        </w:rPr>
        <w:t xml:space="preserve"> and </w:t>
      </w:r>
      <w:proofErr w:type="spellStart"/>
      <w:r w:rsidRPr="000146FB">
        <w:rPr>
          <w:rFonts w:ascii="Times New Roman" w:hAnsi="Times New Roman" w:cs="Times New Roman"/>
          <w:lang w:val="en-IN"/>
        </w:rPr>
        <w:t>Löe</w:t>
      </w:r>
      <w:proofErr w:type="spellEnd"/>
      <w:r w:rsidRPr="000146FB">
        <w:rPr>
          <w:rFonts w:ascii="Times New Roman" w:hAnsi="Times New Roman" w:cs="Times New Roman"/>
          <w:lang w:val="en-IN"/>
        </w:rPr>
        <w:t>, 1964)</w:t>
      </w:r>
    </w:p>
    <w:p w14:paraId="10C8AEBB" w14:textId="77777777" w:rsidR="007556EB" w:rsidRPr="000146FB" w:rsidRDefault="007556EB" w:rsidP="000146FB">
      <w:pPr>
        <w:pStyle w:val="BodyText"/>
        <w:numPr>
          <w:ilvl w:val="0"/>
          <w:numId w:val="3"/>
        </w:numPr>
        <w:jc w:val="both"/>
        <w:rPr>
          <w:rFonts w:ascii="Times New Roman" w:hAnsi="Times New Roman" w:cs="Times New Roman"/>
          <w:lang w:val="en-IN"/>
        </w:rPr>
      </w:pPr>
      <w:r w:rsidRPr="000146FB">
        <w:rPr>
          <w:rFonts w:ascii="Times New Roman" w:hAnsi="Times New Roman" w:cs="Times New Roman"/>
          <w:lang w:val="en-IN"/>
        </w:rPr>
        <w:t>Gingival Index (</w:t>
      </w:r>
      <w:proofErr w:type="spellStart"/>
      <w:r w:rsidRPr="000146FB">
        <w:rPr>
          <w:rFonts w:ascii="Times New Roman" w:hAnsi="Times New Roman" w:cs="Times New Roman"/>
          <w:lang w:val="en-IN"/>
        </w:rPr>
        <w:t>Löe</w:t>
      </w:r>
      <w:proofErr w:type="spellEnd"/>
      <w:r w:rsidRPr="000146FB">
        <w:rPr>
          <w:rFonts w:ascii="Times New Roman" w:hAnsi="Times New Roman" w:cs="Times New Roman"/>
          <w:lang w:val="en-IN"/>
        </w:rPr>
        <w:t xml:space="preserve"> and </w:t>
      </w:r>
      <w:proofErr w:type="spellStart"/>
      <w:r w:rsidRPr="000146FB">
        <w:rPr>
          <w:rFonts w:ascii="Times New Roman" w:hAnsi="Times New Roman" w:cs="Times New Roman"/>
          <w:lang w:val="en-IN"/>
        </w:rPr>
        <w:t>Silness</w:t>
      </w:r>
      <w:proofErr w:type="spellEnd"/>
      <w:r w:rsidRPr="000146FB">
        <w:rPr>
          <w:rFonts w:ascii="Times New Roman" w:hAnsi="Times New Roman" w:cs="Times New Roman"/>
          <w:lang w:val="en-IN"/>
        </w:rPr>
        <w:t>, 1963)</w:t>
      </w:r>
    </w:p>
    <w:p w14:paraId="7DE3FCE5" w14:textId="77777777" w:rsidR="007556EB" w:rsidRPr="000146FB" w:rsidRDefault="007556EB" w:rsidP="000146FB">
      <w:pPr>
        <w:pStyle w:val="BodyText"/>
        <w:numPr>
          <w:ilvl w:val="0"/>
          <w:numId w:val="3"/>
        </w:numPr>
        <w:jc w:val="both"/>
        <w:rPr>
          <w:rFonts w:ascii="Times New Roman" w:hAnsi="Times New Roman" w:cs="Times New Roman"/>
          <w:lang w:val="en-IN"/>
        </w:rPr>
      </w:pPr>
      <w:r w:rsidRPr="000146FB">
        <w:rPr>
          <w:rFonts w:ascii="Times New Roman" w:hAnsi="Times New Roman" w:cs="Times New Roman"/>
          <w:lang w:val="en-IN"/>
        </w:rPr>
        <w:t>Probing Pocket Depth (PPD)</w:t>
      </w:r>
    </w:p>
    <w:p w14:paraId="2E69C98A" w14:textId="77777777" w:rsidR="007556EB" w:rsidRPr="000146FB" w:rsidRDefault="007556EB" w:rsidP="000146FB">
      <w:pPr>
        <w:pStyle w:val="BodyText"/>
        <w:numPr>
          <w:ilvl w:val="0"/>
          <w:numId w:val="3"/>
        </w:numPr>
        <w:jc w:val="both"/>
        <w:rPr>
          <w:rFonts w:ascii="Times New Roman" w:hAnsi="Times New Roman" w:cs="Times New Roman"/>
          <w:lang w:val="en-IN"/>
        </w:rPr>
      </w:pPr>
      <w:r w:rsidRPr="000146FB">
        <w:rPr>
          <w:rFonts w:ascii="Times New Roman" w:hAnsi="Times New Roman" w:cs="Times New Roman"/>
          <w:lang w:val="en-IN"/>
        </w:rPr>
        <w:t>Relative Clinical Attachment Level (RCAL)</w:t>
      </w:r>
    </w:p>
    <w:p w14:paraId="2B657FC9" w14:textId="77777777" w:rsidR="007556EB" w:rsidRPr="000146FB" w:rsidRDefault="007556EB" w:rsidP="000146FB">
      <w:pPr>
        <w:pStyle w:val="BodyText"/>
        <w:jc w:val="both"/>
        <w:rPr>
          <w:rFonts w:ascii="Times New Roman" w:hAnsi="Times New Roman" w:cs="Times New Roman"/>
          <w:lang w:val="en-IN"/>
        </w:rPr>
      </w:pPr>
      <w:r w:rsidRPr="000146FB">
        <w:rPr>
          <w:rFonts w:ascii="Times New Roman" w:hAnsi="Times New Roman" w:cs="Times New Roman"/>
          <w:lang w:val="en-IN"/>
        </w:rPr>
        <w:lastRenderedPageBreak/>
        <w:t>PPD and RCAL measurements were obtained using a UNC-15 periodontal probe with the aid of customized acrylic stents to ensure reproducibility of measurements.</w:t>
      </w:r>
    </w:p>
    <w:p w14:paraId="6FE414E3" w14:textId="77777777" w:rsidR="007556EB" w:rsidRPr="000146FB" w:rsidRDefault="007556EB" w:rsidP="000146FB">
      <w:pPr>
        <w:pStyle w:val="BodyText"/>
        <w:jc w:val="both"/>
        <w:rPr>
          <w:rFonts w:ascii="Times New Roman" w:hAnsi="Times New Roman" w:cs="Times New Roman"/>
          <w:b/>
          <w:bCs/>
          <w:lang w:val="en-IN"/>
        </w:rPr>
      </w:pPr>
      <w:r w:rsidRPr="000146FB">
        <w:rPr>
          <w:rFonts w:ascii="Times New Roman" w:hAnsi="Times New Roman" w:cs="Times New Roman"/>
          <w:b/>
          <w:bCs/>
          <w:lang w:val="en-IN"/>
        </w:rPr>
        <w:t>Presurgical Therapy</w:t>
      </w:r>
    </w:p>
    <w:p w14:paraId="1C0244A0" w14:textId="07C7EC09" w:rsidR="007556EB" w:rsidRPr="000146FB" w:rsidRDefault="007556EB" w:rsidP="000146FB">
      <w:pPr>
        <w:pStyle w:val="BodyText"/>
        <w:jc w:val="both"/>
        <w:rPr>
          <w:rFonts w:ascii="Times New Roman" w:hAnsi="Times New Roman" w:cs="Times New Roman"/>
          <w:lang w:val="en-IN"/>
        </w:rPr>
      </w:pPr>
      <w:r w:rsidRPr="000146FB">
        <w:rPr>
          <w:rFonts w:ascii="Times New Roman" w:hAnsi="Times New Roman" w:cs="Times New Roman"/>
          <w:lang w:val="en-IN"/>
        </w:rPr>
        <w:t xml:space="preserve">All participants underwent full-mouth scaling and root </w:t>
      </w:r>
      <w:proofErr w:type="spellStart"/>
      <w:r w:rsidRPr="000146FB">
        <w:rPr>
          <w:rFonts w:ascii="Times New Roman" w:hAnsi="Times New Roman" w:cs="Times New Roman"/>
          <w:lang w:val="en-IN"/>
        </w:rPr>
        <w:t>planing</w:t>
      </w:r>
      <w:proofErr w:type="spellEnd"/>
      <w:r w:rsidRPr="000146FB">
        <w:rPr>
          <w:rFonts w:ascii="Times New Roman" w:hAnsi="Times New Roman" w:cs="Times New Roman"/>
          <w:lang w:val="en-IN"/>
        </w:rPr>
        <w:t>, oral hygiene instructions, and reinforcement of the Modified Bass brushing technique. Patients were revaluated after 4–6 weeks, and only sites demonstrating residual periodontal pockets (PPD ≥5 mm) were included in the study.</w:t>
      </w:r>
    </w:p>
    <w:p w14:paraId="1E0F60DB" w14:textId="77777777" w:rsidR="007556EB" w:rsidRPr="000146FB" w:rsidRDefault="007556EB" w:rsidP="000146FB">
      <w:pPr>
        <w:pStyle w:val="BodyText"/>
        <w:jc w:val="both"/>
        <w:rPr>
          <w:rFonts w:ascii="Times New Roman" w:hAnsi="Times New Roman" w:cs="Times New Roman"/>
          <w:b/>
          <w:bCs/>
          <w:lang w:val="en-IN"/>
        </w:rPr>
      </w:pPr>
      <w:r w:rsidRPr="000146FB">
        <w:rPr>
          <w:rFonts w:ascii="Times New Roman" w:hAnsi="Times New Roman" w:cs="Times New Roman"/>
          <w:b/>
          <w:bCs/>
          <w:lang w:val="en-IN"/>
        </w:rPr>
        <w:t>Surgical Procedure</w:t>
      </w:r>
    </w:p>
    <w:p w14:paraId="4F0363E9" w14:textId="77777777" w:rsidR="007556EB" w:rsidRPr="000146FB" w:rsidRDefault="007556EB" w:rsidP="000146FB">
      <w:pPr>
        <w:pStyle w:val="BodyText"/>
        <w:jc w:val="both"/>
        <w:rPr>
          <w:rFonts w:ascii="Times New Roman" w:hAnsi="Times New Roman" w:cs="Times New Roman"/>
          <w:lang w:val="en-IN"/>
        </w:rPr>
      </w:pPr>
      <w:r w:rsidRPr="000146FB">
        <w:rPr>
          <w:rFonts w:ascii="Times New Roman" w:hAnsi="Times New Roman" w:cs="Times New Roman"/>
          <w:lang w:val="en-IN"/>
        </w:rPr>
        <w:t xml:space="preserve">Following intraoral antisepsis with 0.2% chlorhexidine and administration of local </w:t>
      </w:r>
      <w:proofErr w:type="spellStart"/>
      <w:r w:rsidRPr="000146FB">
        <w:rPr>
          <w:rFonts w:ascii="Times New Roman" w:hAnsi="Times New Roman" w:cs="Times New Roman"/>
          <w:lang w:val="en-IN"/>
        </w:rPr>
        <w:t>anesthesia</w:t>
      </w:r>
      <w:proofErr w:type="spellEnd"/>
      <w:r w:rsidRPr="000146FB">
        <w:rPr>
          <w:rFonts w:ascii="Times New Roman" w:hAnsi="Times New Roman" w:cs="Times New Roman"/>
          <w:lang w:val="en-IN"/>
        </w:rPr>
        <w:t xml:space="preserve"> (2% lignocaine hydrochloride with 1:200,000 adrenaline), </w:t>
      </w:r>
      <w:proofErr w:type="spellStart"/>
      <w:r w:rsidRPr="000146FB">
        <w:rPr>
          <w:rFonts w:ascii="Times New Roman" w:hAnsi="Times New Roman" w:cs="Times New Roman"/>
          <w:lang w:val="en-IN"/>
        </w:rPr>
        <w:t>intracrevicular</w:t>
      </w:r>
      <w:proofErr w:type="spellEnd"/>
      <w:r w:rsidRPr="000146FB">
        <w:rPr>
          <w:rFonts w:ascii="Times New Roman" w:hAnsi="Times New Roman" w:cs="Times New Roman"/>
          <w:lang w:val="en-IN"/>
        </w:rPr>
        <w:t xml:space="preserve"> incisions were made and full-thickness mucoperiosteal flaps were elevated. Thorough debridement and root surface instrumentation were performed before placement of the assigned biomaterial.</w:t>
      </w:r>
    </w:p>
    <w:p w14:paraId="501CBDE1" w14:textId="77777777" w:rsidR="007556EB" w:rsidRPr="000146FB" w:rsidRDefault="007556EB" w:rsidP="000146FB">
      <w:pPr>
        <w:pStyle w:val="BodyText"/>
        <w:jc w:val="both"/>
        <w:rPr>
          <w:rFonts w:ascii="Times New Roman" w:hAnsi="Times New Roman" w:cs="Times New Roman"/>
          <w:b/>
          <w:bCs/>
          <w:lang w:val="en-IN"/>
        </w:rPr>
      </w:pPr>
      <w:r w:rsidRPr="000146FB">
        <w:rPr>
          <w:rFonts w:ascii="Times New Roman" w:hAnsi="Times New Roman" w:cs="Times New Roman"/>
          <w:b/>
          <w:bCs/>
          <w:lang w:val="en-IN"/>
        </w:rPr>
        <w:t>Group I (Test Group)</w:t>
      </w:r>
    </w:p>
    <w:p w14:paraId="79AD5194" w14:textId="77777777" w:rsidR="007556EB" w:rsidRPr="000146FB" w:rsidRDefault="007556EB" w:rsidP="000146FB">
      <w:pPr>
        <w:pStyle w:val="BodyText"/>
        <w:jc w:val="both"/>
        <w:rPr>
          <w:rFonts w:ascii="Times New Roman" w:hAnsi="Times New Roman" w:cs="Times New Roman"/>
          <w:lang w:val="en-IN"/>
        </w:rPr>
      </w:pPr>
      <w:r w:rsidRPr="000146FB">
        <w:rPr>
          <w:rFonts w:ascii="Times New Roman" w:hAnsi="Times New Roman" w:cs="Times New Roman"/>
          <w:lang w:val="en-IN"/>
        </w:rPr>
        <w:t>Open flap debridement (OFD) followed by placement of Metronidazole-infused Titanium-Platelet Rich Fibrin (T-PRF).</w:t>
      </w:r>
    </w:p>
    <w:p w14:paraId="091F89BD" w14:textId="77777777" w:rsidR="007556EB" w:rsidRPr="000146FB" w:rsidRDefault="007556EB" w:rsidP="000146FB">
      <w:pPr>
        <w:pStyle w:val="BodyText"/>
        <w:jc w:val="both"/>
        <w:rPr>
          <w:rFonts w:ascii="Times New Roman" w:hAnsi="Times New Roman" w:cs="Times New Roman"/>
          <w:b/>
          <w:bCs/>
          <w:lang w:val="en-IN"/>
        </w:rPr>
      </w:pPr>
      <w:r w:rsidRPr="000146FB">
        <w:rPr>
          <w:rFonts w:ascii="Times New Roman" w:hAnsi="Times New Roman" w:cs="Times New Roman"/>
          <w:b/>
          <w:bCs/>
          <w:lang w:val="en-IN"/>
        </w:rPr>
        <w:t>Group II (Control Group)</w:t>
      </w:r>
    </w:p>
    <w:p w14:paraId="19F3CB97" w14:textId="77777777" w:rsidR="007556EB" w:rsidRPr="000146FB" w:rsidRDefault="007556EB" w:rsidP="000146FB">
      <w:pPr>
        <w:pStyle w:val="BodyText"/>
        <w:jc w:val="both"/>
        <w:rPr>
          <w:rFonts w:ascii="Times New Roman" w:hAnsi="Times New Roman" w:cs="Times New Roman"/>
          <w:lang w:val="en-IN"/>
        </w:rPr>
      </w:pPr>
      <w:r w:rsidRPr="000146FB">
        <w:rPr>
          <w:rFonts w:ascii="Times New Roman" w:hAnsi="Times New Roman" w:cs="Times New Roman"/>
          <w:lang w:val="en-IN"/>
        </w:rPr>
        <w:t>Open flap debridement (OFD) followed by placement of Titanium-Platelet Rich Fibrin (T-PRF) alone.</w:t>
      </w:r>
    </w:p>
    <w:p w14:paraId="38D60E9D" w14:textId="77777777" w:rsidR="007556EB" w:rsidRPr="000146FB" w:rsidRDefault="007556EB" w:rsidP="000146FB">
      <w:pPr>
        <w:pStyle w:val="BodyText"/>
        <w:jc w:val="both"/>
        <w:rPr>
          <w:rFonts w:ascii="Times New Roman" w:hAnsi="Times New Roman" w:cs="Times New Roman"/>
          <w:b/>
          <w:bCs/>
          <w:lang w:val="en-IN"/>
        </w:rPr>
      </w:pPr>
      <w:r w:rsidRPr="000146FB">
        <w:rPr>
          <w:rFonts w:ascii="Times New Roman" w:hAnsi="Times New Roman" w:cs="Times New Roman"/>
          <w:b/>
          <w:bCs/>
          <w:lang w:val="en-IN"/>
        </w:rPr>
        <w:t>Preparation of T-PRF</w:t>
      </w:r>
    </w:p>
    <w:p w14:paraId="06FB5DB4" w14:textId="5E3A2404" w:rsidR="007556EB" w:rsidRPr="000146FB" w:rsidRDefault="007556EB" w:rsidP="000146FB">
      <w:pPr>
        <w:pStyle w:val="BodyText"/>
        <w:jc w:val="both"/>
        <w:rPr>
          <w:rFonts w:ascii="Times New Roman" w:hAnsi="Times New Roman" w:cs="Times New Roman"/>
          <w:lang w:val="en-IN"/>
        </w:rPr>
      </w:pPr>
      <w:r w:rsidRPr="000146FB">
        <w:rPr>
          <w:rFonts w:ascii="Times New Roman" w:hAnsi="Times New Roman" w:cs="Times New Roman"/>
          <w:lang w:val="en-IN"/>
        </w:rPr>
        <w:t xml:space="preserve">T-PRF was prepared according to the protocol described by </w:t>
      </w:r>
      <w:proofErr w:type="spellStart"/>
      <w:r w:rsidRPr="000146FB">
        <w:rPr>
          <w:rFonts w:ascii="Times New Roman" w:hAnsi="Times New Roman" w:cs="Times New Roman"/>
          <w:lang w:val="en-IN"/>
        </w:rPr>
        <w:t>Tunali</w:t>
      </w:r>
      <w:proofErr w:type="spellEnd"/>
      <w:r w:rsidRPr="000146FB">
        <w:rPr>
          <w:rFonts w:ascii="Times New Roman" w:hAnsi="Times New Roman" w:cs="Times New Roman"/>
          <w:lang w:val="en-IN"/>
        </w:rPr>
        <w:t xml:space="preserve"> et al</w:t>
      </w:r>
      <w:r w:rsidR="00EC78B3">
        <w:rPr>
          <w:rFonts w:ascii="Times New Roman" w:hAnsi="Times New Roman" w:cs="Times New Roman"/>
          <w:lang w:val="en-IN"/>
        </w:rPr>
        <w:t xml:space="preserve"> (2014)</w:t>
      </w:r>
      <w:r w:rsidRPr="000146FB">
        <w:rPr>
          <w:rFonts w:ascii="Times New Roman" w:hAnsi="Times New Roman" w:cs="Times New Roman"/>
          <w:lang w:val="en-IN"/>
        </w:rPr>
        <w:t>. Briefly, 10 mL of venous blood was collected in sterile Grade IV titanium tubes without anticoagulant and centrifuged at 2700 rpm for 12 minutes. The resultant fibrin clot was separated from the red blood cell layer and used immediately.</w:t>
      </w:r>
    </w:p>
    <w:p w14:paraId="74466C7F" w14:textId="77777777" w:rsidR="007556EB" w:rsidRPr="000146FB" w:rsidRDefault="007556EB" w:rsidP="000146FB">
      <w:pPr>
        <w:pStyle w:val="BodyText"/>
        <w:jc w:val="both"/>
        <w:rPr>
          <w:rFonts w:ascii="Times New Roman" w:hAnsi="Times New Roman" w:cs="Times New Roman"/>
          <w:b/>
          <w:bCs/>
          <w:lang w:val="en-IN"/>
        </w:rPr>
      </w:pPr>
      <w:r w:rsidRPr="000146FB">
        <w:rPr>
          <w:rFonts w:ascii="Times New Roman" w:hAnsi="Times New Roman" w:cs="Times New Roman"/>
          <w:b/>
          <w:bCs/>
          <w:lang w:val="en-IN"/>
        </w:rPr>
        <w:t>Preparation of Metronidazole-Infused T-PRF</w:t>
      </w:r>
    </w:p>
    <w:p w14:paraId="5EC75B49" w14:textId="30D4A802" w:rsidR="002E7398" w:rsidRPr="000470C6" w:rsidRDefault="007556EB" w:rsidP="000470C6">
      <w:pPr>
        <w:pStyle w:val="BodyText"/>
        <w:jc w:val="both"/>
        <w:rPr>
          <w:rFonts w:ascii="Times New Roman" w:hAnsi="Times New Roman" w:cs="Times New Roman"/>
          <w:lang w:val="en-IN"/>
        </w:rPr>
      </w:pPr>
      <w:r w:rsidRPr="000146FB">
        <w:rPr>
          <w:rFonts w:ascii="Times New Roman" w:hAnsi="Times New Roman" w:cs="Times New Roman"/>
          <w:lang w:val="en-IN"/>
        </w:rPr>
        <w:t>For the test group, 2 mL of metronidazole solution (3 mg/</w:t>
      </w:r>
      <w:proofErr w:type="gramStart"/>
      <w:r w:rsidRPr="000146FB">
        <w:rPr>
          <w:rFonts w:ascii="Times New Roman" w:hAnsi="Times New Roman" w:cs="Times New Roman"/>
          <w:lang w:val="en-IN"/>
        </w:rPr>
        <w:t>mL)</w:t>
      </w:r>
      <w:r w:rsidR="00A63677">
        <w:rPr>
          <w:rFonts w:ascii="Times New Roman" w:hAnsi="Times New Roman" w:cs="Times New Roman"/>
          <w:lang w:val="en-IN"/>
        </w:rPr>
        <w:t>(</w:t>
      </w:r>
      <w:proofErr w:type="spellStart"/>
      <w:proofErr w:type="gramEnd"/>
      <w:r w:rsidR="00A63677">
        <w:rPr>
          <w:rFonts w:ascii="Times New Roman" w:hAnsi="Times New Roman" w:cs="Times New Roman"/>
          <w:lang w:val="en-IN"/>
        </w:rPr>
        <w:t>Meterkem</w:t>
      </w:r>
      <w:proofErr w:type="spellEnd"/>
      <w:r w:rsidR="00A63677">
        <w:rPr>
          <w:rFonts w:ascii="Times New Roman" w:hAnsi="Times New Roman" w:cs="Times New Roman"/>
          <w:lang w:val="en-IN"/>
        </w:rPr>
        <w:t>®)</w:t>
      </w:r>
      <w:r w:rsidRPr="000146FB">
        <w:rPr>
          <w:rFonts w:ascii="Times New Roman" w:hAnsi="Times New Roman" w:cs="Times New Roman"/>
          <w:lang w:val="en-IN"/>
        </w:rPr>
        <w:t xml:space="preserve"> was added to the titanium tube immediately before centrifugation. The remaining preparation protocol was identical to that used for conventional T-PRF.</w:t>
      </w:r>
    </w:p>
    <w:p w14:paraId="2105F23D" w14:textId="54581A86" w:rsidR="002E7398" w:rsidRPr="008B329C" w:rsidRDefault="002E7398" w:rsidP="008B329C">
      <w:pPr>
        <w:jc w:val="center"/>
        <w:rPr>
          <w:rFonts w:ascii="Times New Roman" w:hAnsi="Times New Roman" w:cs="Times New Roman"/>
          <w:b/>
          <w:bCs/>
        </w:rPr>
      </w:pPr>
      <w:r w:rsidRPr="008B329C">
        <w:rPr>
          <w:rFonts w:ascii="Times New Roman" w:hAnsi="Times New Roman" w:cs="Times New Roman"/>
          <w:b/>
          <w:bCs/>
          <w:noProof/>
        </w:rPr>
        <w:drawing>
          <wp:inline distT="0" distB="0" distL="0" distR="0" wp14:anchorId="197C24A1" wp14:editId="7D1CA34E">
            <wp:extent cx="2758440" cy="1706880"/>
            <wp:effectExtent l="0" t="0" r="3810" b="7620"/>
            <wp:docPr id="1699467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467455"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06765" cy="1736783"/>
                    </a:xfrm>
                    <a:prstGeom prst="rect">
                      <a:avLst/>
                    </a:prstGeom>
                  </pic:spPr>
                </pic:pic>
              </a:graphicData>
            </a:graphic>
          </wp:inline>
        </w:drawing>
      </w:r>
    </w:p>
    <w:p w14:paraId="7C2AC527" w14:textId="2E45C93F" w:rsidR="002E7398" w:rsidRDefault="002E7398" w:rsidP="008B329C">
      <w:pPr>
        <w:jc w:val="center"/>
        <w:rPr>
          <w:rFonts w:ascii="Times New Roman" w:hAnsi="Times New Roman" w:cs="Times New Roman"/>
          <w:b/>
          <w:bCs/>
        </w:rPr>
      </w:pPr>
      <w:r w:rsidRPr="008B329C">
        <w:rPr>
          <w:rFonts w:ascii="Times New Roman" w:hAnsi="Times New Roman" w:cs="Times New Roman"/>
          <w:b/>
          <w:bCs/>
        </w:rPr>
        <w:t>Figure</w:t>
      </w:r>
      <w:r w:rsidR="008B329C" w:rsidRPr="008B329C">
        <w:rPr>
          <w:rFonts w:ascii="Times New Roman" w:hAnsi="Times New Roman" w:cs="Times New Roman"/>
          <w:b/>
          <w:bCs/>
        </w:rPr>
        <w:t xml:space="preserve"> 1</w:t>
      </w:r>
      <w:r w:rsidRPr="008B329C">
        <w:rPr>
          <w:rFonts w:ascii="Times New Roman" w:hAnsi="Times New Roman" w:cs="Times New Roman"/>
          <w:b/>
          <w:bCs/>
        </w:rPr>
        <w:t xml:space="preserve"> – Pre-operative</w:t>
      </w:r>
      <w:r w:rsidR="003110C1">
        <w:rPr>
          <w:rFonts w:ascii="Times New Roman" w:hAnsi="Times New Roman" w:cs="Times New Roman"/>
          <w:b/>
          <w:bCs/>
        </w:rPr>
        <w:t xml:space="preserve"> </w:t>
      </w:r>
    </w:p>
    <w:p w14:paraId="119E6D8F" w14:textId="77777777" w:rsidR="00DE3459" w:rsidRPr="008B329C" w:rsidRDefault="00DE3459" w:rsidP="008B329C">
      <w:pPr>
        <w:jc w:val="center"/>
        <w:rPr>
          <w:rFonts w:ascii="Times New Roman" w:hAnsi="Times New Roman" w:cs="Times New Roman"/>
          <w:b/>
          <w:bCs/>
        </w:rPr>
      </w:pPr>
    </w:p>
    <w:p w14:paraId="0FDA75D0" w14:textId="77777777" w:rsidR="002E7398" w:rsidRPr="008B329C" w:rsidRDefault="002E7398" w:rsidP="008B329C">
      <w:pPr>
        <w:pStyle w:val="NormalWeb"/>
        <w:jc w:val="center"/>
        <w:rPr>
          <w:b/>
          <w:bCs/>
        </w:rPr>
      </w:pPr>
      <w:r w:rsidRPr="008B329C">
        <w:rPr>
          <w:b/>
          <w:bCs/>
          <w:noProof/>
        </w:rPr>
        <w:lastRenderedPageBreak/>
        <w:drawing>
          <wp:inline distT="0" distB="0" distL="0" distR="0" wp14:anchorId="76A2A15C" wp14:editId="4B72D0CE">
            <wp:extent cx="2796540" cy="1689185"/>
            <wp:effectExtent l="0" t="0" r="3810" b="6350"/>
            <wp:docPr id="1649647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a:fillRect/>
                    </a:stretch>
                  </pic:blipFill>
                  <pic:spPr bwMode="auto">
                    <a:xfrm>
                      <a:off x="0" y="0"/>
                      <a:ext cx="2799017" cy="1690681"/>
                    </a:xfrm>
                    <a:prstGeom prst="rect">
                      <a:avLst/>
                    </a:prstGeom>
                    <a:noFill/>
                    <a:ln>
                      <a:noFill/>
                    </a:ln>
                    <a:extLst>
                      <a:ext uri="{53640926-AAD7-44D8-BBD7-CCE9431645EC}">
                        <a14:shadowObscured xmlns:a14="http://schemas.microsoft.com/office/drawing/2010/main"/>
                      </a:ext>
                    </a:extLst>
                  </pic:spPr>
                </pic:pic>
              </a:graphicData>
            </a:graphic>
          </wp:inline>
        </w:drawing>
      </w:r>
    </w:p>
    <w:p w14:paraId="4AE65DCA" w14:textId="70A7C65E" w:rsidR="002E7398" w:rsidRPr="008B329C" w:rsidRDefault="002E7398" w:rsidP="008B329C">
      <w:pPr>
        <w:pStyle w:val="NormalWeb"/>
        <w:jc w:val="center"/>
        <w:rPr>
          <w:b/>
          <w:bCs/>
        </w:rPr>
      </w:pPr>
      <w:r w:rsidRPr="008B329C">
        <w:rPr>
          <w:b/>
          <w:bCs/>
        </w:rPr>
        <w:t xml:space="preserve">Figure </w:t>
      </w:r>
      <w:r w:rsidR="008B329C" w:rsidRPr="008B329C">
        <w:rPr>
          <w:b/>
          <w:bCs/>
        </w:rPr>
        <w:t>2</w:t>
      </w:r>
      <w:r w:rsidR="00376A6C">
        <w:rPr>
          <w:b/>
          <w:bCs/>
        </w:rPr>
        <w:t xml:space="preserve"> </w:t>
      </w:r>
      <w:r w:rsidRPr="008B329C">
        <w:rPr>
          <w:b/>
          <w:bCs/>
        </w:rPr>
        <w:t>– Probing depth at baseline</w:t>
      </w:r>
    </w:p>
    <w:p w14:paraId="02A8F530" w14:textId="051FB09A" w:rsidR="002E7398" w:rsidRPr="008B329C" w:rsidRDefault="002E7398" w:rsidP="008B329C">
      <w:pPr>
        <w:jc w:val="center"/>
        <w:rPr>
          <w:rFonts w:ascii="Times New Roman" w:hAnsi="Times New Roman" w:cs="Times New Roman"/>
          <w:b/>
          <w:bCs/>
        </w:rPr>
      </w:pPr>
      <w:r w:rsidRPr="008B329C">
        <w:rPr>
          <w:rFonts w:ascii="Times New Roman" w:hAnsi="Times New Roman" w:cs="Times New Roman"/>
          <w:b/>
          <w:bCs/>
          <w:noProof/>
        </w:rPr>
        <w:drawing>
          <wp:inline distT="0" distB="0" distL="0" distR="0" wp14:anchorId="4473EC2A" wp14:editId="0CC70E0D">
            <wp:extent cx="2758630" cy="1552608"/>
            <wp:effectExtent l="0" t="0" r="3810" b="0"/>
            <wp:docPr id="554291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291295"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93643" cy="1572314"/>
                    </a:xfrm>
                    <a:prstGeom prst="rect">
                      <a:avLst/>
                    </a:prstGeom>
                  </pic:spPr>
                </pic:pic>
              </a:graphicData>
            </a:graphic>
          </wp:inline>
        </w:drawing>
      </w:r>
    </w:p>
    <w:p w14:paraId="26D2EE02" w14:textId="6F720253" w:rsidR="002E7398" w:rsidRPr="008B329C" w:rsidRDefault="002E7398" w:rsidP="008B329C">
      <w:pPr>
        <w:jc w:val="center"/>
        <w:rPr>
          <w:rFonts w:ascii="Times New Roman" w:hAnsi="Times New Roman" w:cs="Times New Roman"/>
          <w:b/>
          <w:bCs/>
        </w:rPr>
      </w:pPr>
      <w:r w:rsidRPr="008B329C">
        <w:rPr>
          <w:rFonts w:ascii="Times New Roman" w:hAnsi="Times New Roman" w:cs="Times New Roman"/>
          <w:b/>
          <w:bCs/>
        </w:rPr>
        <w:t xml:space="preserve">Figure </w:t>
      </w:r>
      <w:r w:rsidR="008B329C" w:rsidRPr="008B329C">
        <w:rPr>
          <w:rFonts w:ascii="Times New Roman" w:hAnsi="Times New Roman" w:cs="Times New Roman"/>
          <w:b/>
          <w:bCs/>
        </w:rPr>
        <w:t>3</w:t>
      </w:r>
      <w:r w:rsidR="00376A6C">
        <w:rPr>
          <w:rFonts w:ascii="Times New Roman" w:hAnsi="Times New Roman" w:cs="Times New Roman"/>
          <w:b/>
          <w:bCs/>
        </w:rPr>
        <w:t xml:space="preserve"> </w:t>
      </w:r>
      <w:r w:rsidRPr="008B329C">
        <w:rPr>
          <w:rFonts w:ascii="Times New Roman" w:hAnsi="Times New Roman" w:cs="Times New Roman"/>
          <w:b/>
          <w:bCs/>
        </w:rPr>
        <w:t>– Crevicular incisions given</w:t>
      </w:r>
    </w:p>
    <w:p w14:paraId="050185B8" w14:textId="2BC6BF4A" w:rsidR="002E7398" w:rsidRPr="008B329C" w:rsidRDefault="002E7398" w:rsidP="008B329C">
      <w:pPr>
        <w:jc w:val="center"/>
        <w:rPr>
          <w:rFonts w:ascii="Times New Roman" w:hAnsi="Times New Roman" w:cs="Times New Roman"/>
          <w:b/>
          <w:bCs/>
        </w:rPr>
      </w:pPr>
      <w:r w:rsidRPr="008B329C">
        <w:rPr>
          <w:rFonts w:ascii="Times New Roman" w:hAnsi="Times New Roman" w:cs="Times New Roman"/>
          <w:b/>
          <w:bCs/>
          <w:noProof/>
        </w:rPr>
        <w:drawing>
          <wp:inline distT="0" distB="0" distL="0" distR="0" wp14:anchorId="2F843C1C" wp14:editId="66C41E30">
            <wp:extent cx="2763598" cy="1555097"/>
            <wp:effectExtent l="0" t="0" r="0" b="7620"/>
            <wp:docPr id="849742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74245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0651" cy="1592828"/>
                    </a:xfrm>
                    <a:prstGeom prst="rect">
                      <a:avLst/>
                    </a:prstGeom>
                  </pic:spPr>
                </pic:pic>
              </a:graphicData>
            </a:graphic>
          </wp:inline>
        </w:drawing>
      </w:r>
    </w:p>
    <w:p w14:paraId="598F0105" w14:textId="03D025DD" w:rsidR="002E7398" w:rsidRPr="008B329C" w:rsidRDefault="002E7398" w:rsidP="008B329C">
      <w:pPr>
        <w:jc w:val="center"/>
        <w:rPr>
          <w:rFonts w:ascii="Times New Roman" w:hAnsi="Times New Roman" w:cs="Times New Roman"/>
          <w:b/>
          <w:bCs/>
        </w:rPr>
      </w:pPr>
      <w:r w:rsidRPr="008B329C">
        <w:rPr>
          <w:rFonts w:ascii="Times New Roman" w:hAnsi="Times New Roman" w:cs="Times New Roman"/>
          <w:b/>
          <w:bCs/>
        </w:rPr>
        <w:t xml:space="preserve">Figure </w:t>
      </w:r>
      <w:r w:rsidR="008B329C" w:rsidRPr="008B329C">
        <w:rPr>
          <w:rFonts w:ascii="Times New Roman" w:hAnsi="Times New Roman" w:cs="Times New Roman"/>
          <w:b/>
          <w:bCs/>
        </w:rPr>
        <w:t>4</w:t>
      </w:r>
      <w:r w:rsidR="00376A6C">
        <w:rPr>
          <w:rFonts w:ascii="Times New Roman" w:hAnsi="Times New Roman" w:cs="Times New Roman"/>
          <w:b/>
          <w:bCs/>
        </w:rPr>
        <w:t xml:space="preserve"> </w:t>
      </w:r>
      <w:r w:rsidRPr="008B329C">
        <w:rPr>
          <w:rFonts w:ascii="Times New Roman" w:hAnsi="Times New Roman" w:cs="Times New Roman"/>
          <w:b/>
          <w:bCs/>
        </w:rPr>
        <w:t>– Full thickness mucoperiosteal flap reflected and debridement done.</w:t>
      </w:r>
    </w:p>
    <w:p w14:paraId="5E270EC8" w14:textId="77777777" w:rsidR="002E7398" w:rsidRPr="008B329C" w:rsidRDefault="002E7398" w:rsidP="008B329C">
      <w:pPr>
        <w:jc w:val="center"/>
        <w:rPr>
          <w:rFonts w:ascii="Times New Roman" w:hAnsi="Times New Roman" w:cs="Times New Roman"/>
          <w:b/>
          <w:bCs/>
        </w:rPr>
      </w:pPr>
      <w:r w:rsidRPr="008B329C">
        <w:rPr>
          <w:rFonts w:ascii="Times New Roman" w:hAnsi="Times New Roman" w:cs="Times New Roman"/>
          <w:b/>
          <w:bCs/>
          <w:noProof/>
        </w:rPr>
        <w:drawing>
          <wp:inline distT="0" distB="0" distL="0" distR="0" wp14:anchorId="38F9B005" wp14:editId="5DE28190">
            <wp:extent cx="3905250" cy="1975485"/>
            <wp:effectExtent l="0" t="0" r="0" b="5715"/>
            <wp:docPr id="328865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86586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05250" cy="1975485"/>
                    </a:xfrm>
                    <a:prstGeom prst="rect">
                      <a:avLst/>
                    </a:prstGeom>
                  </pic:spPr>
                </pic:pic>
              </a:graphicData>
            </a:graphic>
          </wp:inline>
        </w:drawing>
      </w:r>
    </w:p>
    <w:p w14:paraId="1B6EF310" w14:textId="63493E90" w:rsidR="002E7398" w:rsidRPr="008B329C" w:rsidRDefault="002E7398" w:rsidP="008B329C">
      <w:pPr>
        <w:jc w:val="center"/>
        <w:rPr>
          <w:rFonts w:ascii="Times New Roman" w:hAnsi="Times New Roman" w:cs="Times New Roman"/>
          <w:b/>
          <w:bCs/>
        </w:rPr>
      </w:pPr>
      <w:r w:rsidRPr="008B329C">
        <w:rPr>
          <w:rFonts w:ascii="Times New Roman" w:hAnsi="Times New Roman" w:cs="Times New Roman"/>
          <w:b/>
          <w:bCs/>
        </w:rPr>
        <w:t xml:space="preserve">Figure </w:t>
      </w:r>
      <w:r w:rsidR="008B329C" w:rsidRPr="008B329C">
        <w:rPr>
          <w:rFonts w:ascii="Times New Roman" w:hAnsi="Times New Roman" w:cs="Times New Roman"/>
          <w:b/>
          <w:bCs/>
        </w:rPr>
        <w:t>5</w:t>
      </w:r>
      <w:r w:rsidR="00376A6C">
        <w:rPr>
          <w:rFonts w:ascii="Times New Roman" w:hAnsi="Times New Roman" w:cs="Times New Roman"/>
          <w:b/>
          <w:bCs/>
        </w:rPr>
        <w:t xml:space="preserve"> </w:t>
      </w:r>
      <w:r w:rsidRPr="008B329C">
        <w:rPr>
          <w:rFonts w:ascii="Times New Roman" w:hAnsi="Times New Roman" w:cs="Times New Roman"/>
          <w:b/>
          <w:bCs/>
        </w:rPr>
        <w:t>– Preparation of Metronidazole infused TPRF</w:t>
      </w:r>
    </w:p>
    <w:p w14:paraId="0A6F6F94" w14:textId="1ABABB31" w:rsidR="002E7398" w:rsidRPr="008B329C" w:rsidRDefault="002E7398" w:rsidP="008B329C">
      <w:pPr>
        <w:jc w:val="center"/>
        <w:rPr>
          <w:rFonts w:ascii="Times New Roman" w:hAnsi="Times New Roman" w:cs="Times New Roman"/>
          <w:b/>
          <w:bCs/>
        </w:rPr>
      </w:pPr>
      <w:r w:rsidRPr="008B329C">
        <w:rPr>
          <w:rFonts w:ascii="Times New Roman" w:hAnsi="Times New Roman" w:cs="Times New Roman"/>
          <w:b/>
          <w:bCs/>
          <w:noProof/>
        </w:rPr>
        <w:lastRenderedPageBreak/>
        <w:drawing>
          <wp:inline distT="0" distB="0" distL="0" distR="0" wp14:anchorId="559151AB" wp14:editId="51633A65">
            <wp:extent cx="2748848" cy="1546491"/>
            <wp:effectExtent l="0" t="0" r="0" b="0"/>
            <wp:docPr id="945358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58622"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7042" cy="1579231"/>
                    </a:xfrm>
                    <a:prstGeom prst="rect">
                      <a:avLst/>
                    </a:prstGeom>
                  </pic:spPr>
                </pic:pic>
              </a:graphicData>
            </a:graphic>
          </wp:inline>
        </w:drawing>
      </w:r>
    </w:p>
    <w:p w14:paraId="70182E2B" w14:textId="0BF20BC2" w:rsidR="002E7398" w:rsidRPr="008B329C" w:rsidRDefault="002E7398" w:rsidP="008B329C">
      <w:pPr>
        <w:jc w:val="center"/>
        <w:rPr>
          <w:rFonts w:ascii="Times New Roman" w:hAnsi="Times New Roman" w:cs="Times New Roman"/>
          <w:b/>
          <w:bCs/>
        </w:rPr>
      </w:pPr>
      <w:r w:rsidRPr="008B329C">
        <w:rPr>
          <w:rFonts w:ascii="Times New Roman" w:hAnsi="Times New Roman" w:cs="Times New Roman"/>
          <w:b/>
          <w:bCs/>
        </w:rPr>
        <w:t xml:space="preserve">Figure </w:t>
      </w:r>
      <w:r w:rsidR="008B329C" w:rsidRPr="008B329C">
        <w:rPr>
          <w:rFonts w:ascii="Times New Roman" w:hAnsi="Times New Roman" w:cs="Times New Roman"/>
          <w:b/>
          <w:bCs/>
        </w:rPr>
        <w:t>6</w:t>
      </w:r>
      <w:r w:rsidR="00376A6C">
        <w:rPr>
          <w:rFonts w:ascii="Times New Roman" w:hAnsi="Times New Roman" w:cs="Times New Roman"/>
          <w:b/>
          <w:bCs/>
        </w:rPr>
        <w:t xml:space="preserve"> </w:t>
      </w:r>
      <w:r w:rsidRPr="008B329C">
        <w:rPr>
          <w:rFonts w:ascii="Times New Roman" w:hAnsi="Times New Roman" w:cs="Times New Roman"/>
          <w:b/>
          <w:bCs/>
        </w:rPr>
        <w:t>– Placement of  Metronidazole infused TPRF</w:t>
      </w:r>
    </w:p>
    <w:p w14:paraId="6AB02AAB" w14:textId="08AC1602" w:rsidR="002E7398" w:rsidRPr="008B329C" w:rsidRDefault="002E7398" w:rsidP="008B329C">
      <w:pPr>
        <w:jc w:val="center"/>
        <w:rPr>
          <w:rFonts w:ascii="Times New Roman" w:hAnsi="Times New Roman" w:cs="Times New Roman"/>
          <w:b/>
          <w:bCs/>
        </w:rPr>
      </w:pPr>
      <w:r w:rsidRPr="008B329C">
        <w:rPr>
          <w:rFonts w:ascii="Times New Roman" w:hAnsi="Times New Roman" w:cs="Times New Roman"/>
          <w:b/>
          <w:bCs/>
          <w:noProof/>
        </w:rPr>
        <w:drawing>
          <wp:inline distT="0" distB="0" distL="0" distR="0" wp14:anchorId="186B55FC" wp14:editId="26EC46C2">
            <wp:extent cx="2771274" cy="1558497"/>
            <wp:effectExtent l="0" t="0" r="0" b="3810"/>
            <wp:docPr id="979120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120696"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3300" cy="1576507"/>
                    </a:xfrm>
                    <a:prstGeom prst="rect">
                      <a:avLst/>
                    </a:prstGeom>
                  </pic:spPr>
                </pic:pic>
              </a:graphicData>
            </a:graphic>
          </wp:inline>
        </w:drawing>
      </w:r>
    </w:p>
    <w:p w14:paraId="0361D67D" w14:textId="5FB9C51A" w:rsidR="002E7398" w:rsidRPr="008B329C" w:rsidRDefault="002E7398" w:rsidP="008B329C">
      <w:pPr>
        <w:jc w:val="center"/>
        <w:rPr>
          <w:rFonts w:ascii="Times New Roman" w:hAnsi="Times New Roman" w:cs="Times New Roman"/>
          <w:b/>
          <w:bCs/>
        </w:rPr>
      </w:pPr>
      <w:r w:rsidRPr="008B329C">
        <w:rPr>
          <w:rFonts w:ascii="Times New Roman" w:hAnsi="Times New Roman" w:cs="Times New Roman"/>
          <w:b/>
          <w:bCs/>
        </w:rPr>
        <w:t xml:space="preserve">Figure </w:t>
      </w:r>
      <w:r w:rsidR="008B329C" w:rsidRPr="008B329C">
        <w:rPr>
          <w:rFonts w:ascii="Times New Roman" w:hAnsi="Times New Roman" w:cs="Times New Roman"/>
          <w:b/>
          <w:bCs/>
        </w:rPr>
        <w:t>7</w:t>
      </w:r>
      <w:r w:rsidR="00376A6C">
        <w:rPr>
          <w:rFonts w:ascii="Times New Roman" w:hAnsi="Times New Roman" w:cs="Times New Roman"/>
          <w:b/>
          <w:bCs/>
        </w:rPr>
        <w:t xml:space="preserve"> </w:t>
      </w:r>
      <w:r w:rsidRPr="008B329C">
        <w:rPr>
          <w:rFonts w:ascii="Times New Roman" w:hAnsi="Times New Roman" w:cs="Times New Roman"/>
          <w:b/>
          <w:bCs/>
        </w:rPr>
        <w:t>– Interrupted sutures given using 4‑0 silk suture</w:t>
      </w:r>
    </w:p>
    <w:p w14:paraId="5B6E3042" w14:textId="77777777" w:rsidR="002E7398" w:rsidRPr="008B329C" w:rsidRDefault="002E7398" w:rsidP="008B329C">
      <w:pPr>
        <w:pStyle w:val="NormalWeb"/>
        <w:jc w:val="center"/>
        <w:rPr>
          <w:b/>
          <w:bCs/>
        </w:rPr>
      </w:pPr>
      <w:r w:rsidRPr="008B329C">
        <w:rPr>
          <w:b/>
          <w:bCs/>
          <w:noProof/>
        </w:rPr>
        <w:drawing>
          <wp:inline distT="0" distB="0" distL="0" distR="0" wp14:anchorId="52388BA4" wp14:editId="7B4BD30B">
            <wp:extent cx="2752725" cy="1703714"/>
            <wp:effectExtent l="0" t="0" r="0" b="0"/>
            <wp:docPr id="8495132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a:fillRect/>
                    </a:stretch>
                  </pic:blipFill>
                  <pic:spPr bwMode="auto">
                    <a:xfrm>
                      <a:off x="0" y="0"/>
                      <a:ext cx="2762725" cy="1709903"/>
                    </a:xfrm>
                    <a:prstGeom prst="rect">
                      <a:avLst/>
                    </a:prstGeom>
                    <a:noFill/>
                    <a:ln>
                      <a:noFill/>
                    </a:ln>
                    <a:extLst>
                      <a:ext uri="{53640926-AAD7-44D8-BBD7-CCE9431645EC}">
                        <a14:shadowObscured xmlns:a14="http://schemas.microsoft.com/office/drawing/2010/main"/>
                      </a:ext>
                    </a:extLst>
                  </pic:spPr>
                </pic:pic>
              </a:graphicData>
            </a:graphic>
          </wp:inline>
        </w:drawing>
      </w:r>
    </w:p>
    <w:p w14:paraId="2D3E2C52" w14:textId="74CB560D" w:rsidR="002E7398" w:rsidRPr="008B329C" w:rsidRDefault="002E7398" w:rsidP="008B329C">
      <w:pPr>
        <w:pStyle w:val="NormalWeb"/>
        <w:jc w:val="center"/>
        <w:rPr>
          <w:b/>
          <w:bCs/>
        </w:rPr>
      </w:pPr>
      <w:r w:rsidRPr="008B329C">
        <w:rPr>
          <w:b/>
          <w:bCs/>
        </w:rPr>
        <w:t xml:space="preserve">Figure </w:t>
      </w:r>
      <w:r w:rsidR="008B329C" w:rsidRPr="008B329C">
        <w:rPr>
          <w:b/>
          <w:bCs/>
        </w:rPr>
        <w:t>8</w:t>
      </w:r>
      <w:r w:rsidR="00376A6C">
        <w:rPr>
          <w:b/>
          <w:bCs/>
        </w:rPr>
        <w:t xml:space="preserve"> </w:t>
      </w:r>
      <w:r w:rsidRPr="008B329C">
        <w:rPr>
          <w:b/>
          <w:bCs/>
        </w:rPr>
        <w:t>– Placement of periodontal dressing</w:t>
      </w:r>
    </w:p>
    <w:p w14:paraId="4536FF2F" w14:textId="77777777" w:rsidR="002E7398" w:rsidRPr="008B329C" w:rsidRDefault="002E7398" w:rsidP="008B329C">
      <w:pPr>
        <w:jc w:val="center"/>
        <w:rPr>
          <w:rFonts w:ascii="Times New Roman" w:hAnsi="Times New Roman" w:cs="Times New Roman"/>
          <w:b/>
          <w:bCs/>
        </w:rPr>
      </w:pPr>
      <w:r w:rsidRPr="008B329C">
        <w:rPr>
          <w:rFonts w:ascii="Times New Roman" w:hAnsi="Times New Roman" w:cs="Times New Roman"/>
          <w:b/>
          <w:bCs/>
          <w:noProof/>
        </w:rPr>
        <w:drawing>
          <wp:inline distT="0" distB="0" distL="0" distR="0" wp14:anchorId="07635C7F" wp14:editId="58C0E631">
            <wp:extent cx="2751123" cy="1547468"/>
            <wp:effectExtent l="0" t="0" r="0" b="0"/>
            <wp:docPr id="1296683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683502"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90665" cy="1569710"/>
                    </a:xfrm>
                    <a:prstGeom prst="rect">
                      <a:avLst/>
                    </a:prstGeom>
                  </pic:spPr>
                </pic:pic>
              </a:graphicData>
            </a:graphic>
          </wp:inline>
        </w:drawing>
      </w:r>
    </w:p>
    <w:p w14:paraId="55E7AA8A" w14:textId="37B1283C" w:rsidR="002E7398" w:rsidRPr="008B329C" w:rsidRDefault="002E7398" w:rsidP="008B329C">
      <w:pPr>
        <w:jc w:val="center"/>
        <w:rPr>
          <w:rFonts w:ascii="Times New Roman" w:hAnsi="Times New Roman" w:cs="Times New Roman"/>
          <w:b/>
          <w:bCs/>
        </w:rPr>
      </w:pPr>
      <w:r w:rsidRPr="008B329C">
        <w:rPr>
          <w:rFonts w:ascii="Times New Roman" w:hAnsi="Times New Roman" w:cs="Times New Roman"/>
          <w:b/>
          <w:bCs/>
        </w:rPr>
        <w:t xml:space="preserve">Figure </w:t>
      </w:r>
      <w:r w:rsidR="008B329C" w:rsidRPr="008B329C">
        <w:rPr>
          <w:rFonts w:ascii="Times New Roman" w:hAnsi="Times New Roman" w:cs="Times New Roman"/>
          <w:b/>
          <w:bCs/>
        </w:rPr>
        <w:t>9</w:t>
      </w:r>
      <w:r w:rsidR="00376A6C">
        <w:rPr>
          <w:rFonts w:ascii="Times New Roman" w:hAnsi="Times New Roman" w:cs="Times New Roman"/>
          <w:b/>
          <w:bCs/>
        </w:rPr>
        <w:t xml:space="preserve"> </w:t>
      </w:r>
      <w:r w:rsidRPr="008B329C">
        <w:rPr>
          <w:rFonts w:ascii="Times New Roman" w:hAnsi="Times New Roman" w:cs="Times New Roman"/>
          <w:b/>
          <w:bCs/>
        </w:rPr>
        <w:t>– Follow up after 6 months</w:t>
      </w:r>
    </w:p>
    <w:p w14:paraId="146C49EC" w14:textId="77777777" w:rsidR="007556EB" w:rsidRPr="000146FB" w:rsidRDefault="007556EB" w:rsidP="000146FB">
      <w:pPr>
        <w:pStyle w:val="BodyText"/>
        <w:jc w:val="both"/>
        <w:rPr>
          <w:rFonts w:ascii="Times New Roman" w:hAnsi="Times New Roman" w:cs="Times New Roman"/>
          <w:b/>
          <w:bCs/>
          <w:lang w:val="en-IN"/>
        </w:rPr>
      </w:pPr>
      <w:r w:rsidRPr="000146FB">
        <w:rPr>
          <w:rFonts w:ascii="Times New Roman" w:hAnsi="Times New Roman" w:cs="Times New Roman"/>
          <w:b/>
          <w:bCs/>
          <w:lang w:val="en-IN"/>
        </w:rPr>
        <w:t>Postoperative Care</w:t>
      </w:r>
    </w:p>
    <w:p w14:paraId="195CAF77" w14:textId="77777777" w:rsidR="007556EB" w:rsidRPr="000146FB" w:rsidRDefault="007556EB" w:rsidP="000146FB">
      <w:pPr>
        <w:pStyle w:val="BodyText"/>
        <w:jc w:val="both"/>
        <w:rPr>
          <w:rFonts w:ascii="Times New Roman" w:hAnsi="Times New Roman" w:cs="Times New Roman"/>
          <w:lang w:val="en-IN"/>
        </w:rPr>
      </w:pPr>
      <w:r w:rsidRPr="000146FB">
        <w:rPr>
          <w:rFonts w:ascii="Times New Roman" w:hAnsi="Times New Roman" w:cs="Times New Roman"/>
          <w:lang w:val="en-IN"/>
        </w:rPr>
        <w:t>All participants received paracetamol 500 mg three times daily for five days and were instructed to rinse twice daily with 0.2% chlorhexidine mouthwash for two weeks. Sutures were removed after 7–10 days. Oral hygiene instructions were reinforced at each follow-up visit.</w:t>
      </w:r>
    </w:p>
    <w:p w14:paraId="13C41BB6" w14:textId="77777777" w:rsidR="007556EB" w:rsidRPr="000146FB" w:rsidRDefault="007556EB" w:rsidP="000146FB">
      <w:pPr>
        <w:pStyle w:val="BodyText"/>
        <w:jc w:val="both"/>
        <w:rPr>
          <w:rFonts w:ascii="Times New Roman" w:hAnsi="Times New Roman" w:cs="Times New Roman"/>
          <w:b/>
          <w:bCs/>
          <w:lang w:val="en-IN"/>
        </w:rPr>
      </w:pPr>
      <w:r w:rsidRPr="000146FB">
        <w:rPr>
          <w:rFonts w:ascii="Times New Roman" w:hAnsi="Times New Roman" w:cs="Times New Roman"/>
          <w:b/>
          <w:bCs/>
          <w:lang w:val="en-IN"/>
        </w:rPr>
        <w:t>Follow-Up Evaluation</w:t>
      </w:r>
    </w:p>
    <w:p w14:paraId="6567C06C" w14:textId="77777777" w:rsidR="007556EB" w:rsidRPr="000146FB" w:rsidRDefault="007556EB" w:rsidP="000146FB">
      <w:pPr>
        <w:pStyle w:val="BodyText"/>
        <w:jc w:val="both"/>
        <w:rPr>
          <w:rFonts w:ascii="Times New Roman" w:hAnsi="Times New Roman" w:cs="Times New Roman"/>
          <w:lang w:val="en-IN"/>
        </w:rPr>
      </w:pPr>
      <w:r w:rsidRPr="000146FB">
        <w:rPr>
          <w:rFonts w:ascii="Times New Roman" w:hAnsi="Times New Roman" w:cs="Times New Roman"/>
          <w:lang w:val="en-IN"/>
        </w:rPr>
        <w:lastRenderedPageBreak/>
        <w:t>Clinical parameters were reassessed at 3 and 6 months postoperatively by a blinded examiner.</w:t>
      </w:r>
    </w:p>
    <w:p w14:paraId="584DEEFC" w14:textId="77777777" w:rsidR="007556EB" w:rsidRPr="000146FB" w:rsidRDefault="007556EB" w:rsidP="000146FB">
      <w:pPr>
        <w:pStyle w:val="BodyText"/>
        <w:jc w:val="both"/>
        <w:rPr>
          <w:rFonts w:ascii="Times New Roman" w:hAnsi="Times New Roman" w:cs="Times New Roman"/>
          <w:b/>
          <w:bCs/>
          <w:lang w:val="en-IN"/>
        </w:rPr>
      </w:pPr>
      <w:r w:rsidRPr="000146FB">
        <w:rPr>
          <w:rFonts w:ascii="Times New Roman" w:hAnsi="Times New Roman" w:cs="Times New Roman"/>
          <w:b/>
          <w:bCs/>
          <w:lang w:val="en-IN"/>
        </w:rPr>
        <w:t>Statistical Analysis</w:t>
      </w:r>
    </w:p>
    <w:p w14:paraId="6A4FC666" w14:textId="225191D9" w:rsidR="008B329C" w:rsidRPr="00DE3459" w:rsidRDefault="007556EB" w:rsidP="000146FB">
      <w:pPr>
        <w:pStyle w:val="BodyText"/>
        <w:jc w:val="both"/>
        <w:rPr>
          <w:rFonts w:ascii="Times New Roman" w:hAnsi="Times New Roman" w:cs="Times New Roman"/>
          <w:lang w:val="en-IN"/>
        </w:rPr>
      </w:pPr>
      <w:r w:rsidRPr="000146FB">
        <w:rPr>
          <w:rFonts w:ascii="Times New Roman" w:hAnsi="Times New Roman" w:cs="Times New Roman"/>
          <w:lang w:val="en-IN"/>
        </w:rPr>
        <w:t xml:space="preserve">Data were </w:t>
      </w:r>
      <w:proofErr w:type="spellStart"/>
      <w:r w:rsidRPr="000146FB">
        <w:rPr>
          <w:rFonts w:ascii="Times New Roman" w:hAnsi="Times New Roman" w:cs="Times New Roman"/>
          <w:lang w:val="en-IN"/>
        </w:rPr>
        <w:t>analyzed</w:t>
      </w:r>
      <w:proofErr w:type="spellEnd"/>
      <w:r w:rsidRPr="000146FB">
        <w:rPr>
          <w:rFonts w:ascii="Times New Roman" w:hAnsi="Times New Roman" w:cs="Times New Roman"/>
          <w:lang w:val="en-IN"/>
        </w:rPr>
        <w:t xml:space="preserve"> using SPSS software version 21.0 (IBM Corp., Chicago, IL, USA). Quantitative variables were expressed as mean ± standard deviation. Normality of data distribution was assessed using the Shapiro–Wilk test. Intragroup comparisons over time were performed using repeated-measures ANOVA followed by Tukey's post hoc test. Statistical significance was set at </w:t>
      </w:r>
      <w:r w:rsidRPr="000146FB">
        <w:rPr>
          <w:rFonts w:ascii="Times New Roman" w:hAnsi="Times New Roman" w:cs="Times New Roman"/>
          <w:i/>
          <w:iCs/>
          <w:lang w:val="en-IN"/>
        </w:rPr>
        <w:t>P</w:t>
      </w:r>
      <w:r w:rsidRPr="000146FB">
        <w:rPr>
          <w:rFonts w:ascii="Times New Roman" w:hAnsi="Times New Roman" w:cs="Times New Roman"/>
          <w:lang w:val="en-IN"/>
        </w:rPr>
        <w:t xml:space="preserve"> &lt; 0.05.</w:t>
      </w:r>
    </w:p>
    <w:p w14:paraId="4537547E" w14:textId="03C9A872" w:rsidR="00E93B36" w:rsidRPr="001733DE" w:rsidRDefault="00E35357" w:rsidP="000146FB">
      <w:pPr>
        <w:pStyle w:val="BodyText"/>
        <w:jc w:val="both"/>
        <w:rPr>
          <w:rFonts w:ascii="Times New Roman" w:hAnsi="Times New Roman" w:cs="Times New Roman"/>
          <w:b/>
          <w:bCs/>
          <w:sz w:val="28"/>
          <w:szCs w:val="28"/>
        </w:rPr>
      </w:pPr>
      <w:r w:rsidRPr="001733DE">
        <w:rPr>
          <w:rFonts w:ascii="Times New Roman" w:hAnsi="Times New Roman" w:cs="Times New Roman"/>
          <w:b/>
          <w:bCs/>
          <w:sz w:val="28"/>
          <w:szCs w:val="28"/>
        </w:rPr>
        <w:t>RESULTS</w:t>
      </w:r>
    </w:p>
    <w:tbl>
      <w:tblPr>
        <w:tblStyle w:val="PlainTable2"/>
        <w:tblW w:w="0" w:type="auto"/>
        <w:tblLook w:val="04A0" w:firstRow="1" w:lastRow="0" w:firstColumn="1" w:lastColumn="0" w:noHBand="0" w:noVBand="1"/>
      </w:tblPr>
      <w:tblGrid>
        <w:gridCol w:w="1744"/>
        <w:gridCol w:w="1016"/>
        <w:gridCol w:w="2435"/>
        <w:gridCol w:w="2548"/>
        <w:gridCol w:w="2548"/>
      </w:tblGrid>
      <w:tr w:rsidR="00067BEF" w:rsidRPr="000146FB" w14:paraId="5959855D" w14:textId="77777777" w:rsidTr="00380F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E3EDC0" w14:textId="77777777" w:rsidR="00067BEF" w:rsidRPr="000146FB" w:rsidRDefault="00067BEF" w:rsidP="000146FB">
            <w:pPr>
              <w:pStyle w:val="BodyText"/>
              <w:jc w:val="both"/>
              <w:rPr>
                <w:rFonts w:ascii="Times New Roman" w:hAnsi="Times New Roman" w:cs="Times New Roman"/>
                <w:lang w:val="en-IN"/>
              </w:rPr>
            </w:pPr>
            <w:r w:rsidRPr="000146FB">
              <w:rPr>
                <w:rFonts w:ascii="Times New Roman" w:hAnsi="Times New Roman" w:cs="Times New Roman"/>
                <w:lang w:val="en-IN"/>
              </w:rPr>
              <w:t>Parameter</w:t>
            </w:r>
          </w:p>
        </w:tc>
        <w:tc>
          <w:tcPr>
            <w:tcW w:w="0" w:type="auto"/>
            <w:hideMark/>
          </w:tcPr>
          <w:p w14:paraId="6E24A76E" w14:textId="77777777" w:rsidR="00067BEF" w:rsidRPr="000146FB" w:rsidRDefault="00067BEF" w:rsidP="000146FB">
            <w:pPr>
              <w:pStyle w:val="BodyText"/>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0146FB">
              <w:rPr>
                <w:rFonts w:ascii="Times New Roman" w:hAnsi="Times New Roman" w:cs="Times New Roman"/>
                <w:lang w:val="en-IN"/>
              </w:rPr>
              <w:t>Group</w:t>
            </w:r>
          </w:p>
        </w:tc>
        <w:tc>
          <w:tcPr>
            <w:tcW w:w="0" w:type="auto"/>
            <w:hideMark/>
          </w:tcPr>
          <w:p w14:paraId="0F380825" w14:textId="77777777" w:rsidR="00067BEF" w:rsidRPr="000146FB" w:rsidRDefault="00067BEF" w:rsidP="000146FB">
            <w:pPr>
              <w:pStyle w:val="BodyText"/>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0146FB">
              <w:rPr>
                <w:rFonts w:ascii="Times New Roman" w:hAnsi="Times New Roman" w:cs="Times New Roman"/>
                <w:lang w:val="en-IN"/>
              </w:rPr>
              <w:t>Baseline (Mean ± SD)</w:t>
            </w:r>
          </w:p>
        </w:tc>
        <w:tc>
          <w:tcPr>
            <w:tcW w:w="0" w:type="auto"/>
            <w:hideMark/>
          </w:tcPr>
          <w:p w14:paraId="739D3D8B" w14:textId="77777777" w:rsidR="00067BEF" w:rsidRPr="000146FB" w:rsidRDefault="00067BEF" w:rsidP="000146FB">
            <w:pPr>
              <w:pStyle w:val="BodyText"/>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0146FB">
              <w:rPr>
                <w:rFonts w:ascii="Times New Roman" w:hAnsi="Times New Roman" w:cs="Times New Roman"/>
                <w:lang w:val="en-IN"/>
              </w:rPr>
              <w:t>3 Months (Mean ± SD)</w:t>
            </w:r>
          </w:p>
        </w:tc>
        <w:tc>
          <w:tcPr>
            <w:tcW w:w="0" w:type="auto"/>
            <w:hideMark/>
          </w:tcPr>
          <w:p w14:paraId="724EEFFC" w14:textId="77777777" w:rsidR="00067BEF" w:rsidRPr="000146FB" w:rsidRDefault="00067BEF" w:rsidP="000146FB">
            <w:pPr>
              <w:pStyle w:val="BodyText"/>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0146FB">
              <w:rPr>
                <w:rFonts w:ascii="Times New Roman" w:hAnsi="Times New Roman" w:cs="Times New Roman"/>
                <w:lang w:val="en-IN"/>
              </w:rPr>
              <w:t>6 Months (Mean ± SD)</w:t>
            </w:r>
          </w:p>
        </w:tc>
      </w:tr>
      <w:tr w:rsidR="00067BEF" w:rsidRPr="000146FB" w14:paraId="2DAD49F6" w14:textId="77777777" w:rsidTr="00380F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A5E3380" w14:textId="77777777" w:rsidR="00067BEF" w:rsidRPr="000146FB" w:rsidRDefault="00067BEF" w:rsidP="000146FB">
            <w:pPr>
              <w:pStyle w:val="BodyText"/>
              <w:jc w:val="both"/>
              <w:rPr>
                <w:rFonts w:ascii="Times New Roman" w:hAnsi="Times New Roman" w:cs="Times New Roman"/>
                <w:lang w:val="en-IN"/>
              </w:rPr>
            </w:pPr>
            <w:r w:rsidRPr="000146FB">
              <w:rPr>
                <w:rFonts w:ascii="Times New Roman" w:hAnsi="Times New Roman" w:cs="Times New Roman"/>
                <w:lang w:val="en-IN"/>
              </w:rPr>
              <w:t>Plaque Index</w:t>
            </w:r>
          </w:p>
        </w:tc>
        <w:tc>
          <w:tcPr>
            <w:tcW w:w="0" w:type="auto"/>
            <w:hideMark/>
          </w:tcPr>
          <w:p w14:paraId="6AEA92DC" w14:textId="77777777" w:rsidR="00067BEF" w:rsidRPr="000146FB" w:rsidRDefault="00067BEF" w:rsidP="000146FB">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en-IN"/>
              </w:rPr>
            </w:pPr>
            <w:r w:rsidRPr="000146FB">
              <w:rPr>
                <w:rFonts w:ascii="Times New Roman" w:hAnsi="Times New Roman" w:cs="Times New Roman"/>
                <w:b/>
                <w:bCs/>
                <w:lang w:val="en-IN"/>
              </w:rPr>
              <w:t>Test</w:t>
            </w:r>
          </w:p>
        </w:tc>
        <w:tc>
          <w:tcPr>
            <w:tcW w:w="0" w:type="auto"/>
            <w:hideMark/>
          </w:tcPr>
          <w:p w14:paraId="4410E833" w14:textId="77777777" w:rsidR="00067BEF" w:rsidRPr="000146FB" w:rsidRDefault="00067BEF" w:rsidP="000146FB">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0146FB">
              <w:rPr>
                <w:rFonts w:ascii="Times New Roman" w:hAnsi="Times New Roman" w:cs="Times New Roman"/>
                <w:lang w:val="en-IN"/>
              </w:rPr>
              <w:t>1.92 ± 0.31</w:t>
            </w:r>
          </w:p>
        </w:tc>
        <w:tc>
          <w:tcPr>
            <w:tcW w:w="0" w:type="auto"/>
            <w:hideMark/>
          </w:tcPr>
          <w:p w14:paraId="57A8C41E" w14:textId="77777777" w:rsidR="00067BEF" w:rsidRPr="000146FB" w:rsidRDefault="00067BEF" w:rsidP="000146FB">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0146FB">
              <w:rPr>
                <w:rFonts w:ascii="Times New Roman" w:hAnsi="Times New Roman" w:cs="Times New Roman"/>
                <w:lang w:val="en-IN"/>
              </w:rPr>
              <w:t>0.98 ± 0.20</w:t>
            </w:r>
          </w:p>
        </w:tc>
        <w:tc>
          <w:tcPr>
            <w:tcW w:w="0" w:type="auto"/>
            <w:hideMark/>
          </w:tcPr>
          <w:p w14:paraId="007899B4" w14:textId="77777777" w:rsidR="00067BEF" w:rsidRPr="000146FB" w:rsidRDefault="00067BEF" w:rsidP="000146FB">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0146FB">
              <w:rPr>
                <w:rFonts w:ascii="Times New Roman" w:hAnsi="Times New Roman" w:cs="Times New Roman"/>
                <w:lang w:val="en-IN"/>
              </w:rPr>
              <w:t>0.62 ± 0.15</w:t>
            </w:r>
          </w:p>
        </w:tc>
      </w:tr>
      <w:tr w:rsidR="00067BEF" w:rsidRPr="000146FB" w14:paraId="32BD830E" w14:textId="77777777" w:rsidTr="00380F08">
        <w:tc>
          <w:tcPr>
            <w:cnfStyle w:val="001000000000" w:firstRow="0" w:lastRow="0" w:firstColumn="1" w:lastColumn="0" w:oddVBand="0" w:evenVBand="0" w:oddHBand="0" w:evenHBand="0" w:firstRowFirstColumn="0" w:firstRowLastColumn="0" w:lastRowFirstColumn="0" w:lastRowLastColumn="0"/>
            <w:tcW w:w="0" w:type="auto"/>
            <w:hideMark/>
          </w:tcPr>
          <w:p w14:paraId="6BFB255A" w14:textId="77777777" w:rsidR="00067BEF" w:rsidRPr="000146FB" w:rsidRDefault="00067BEF" w:rsidP="000146FB">
            <w:pPr>
              <w:pStyle w:val="BodyText"/>
              <w:jc w:val="both"/>
              <w:rPr>
                <w:rFonts w:ascii="Times New Roman" w:hAnsi="Times New Roman" w:cs="Times New Roman"/>
                <w:lang w:val="en-IN"/>
              </w:rPr>
            </w:pPr>
          </w:p>
        </w:tc>
        <w:tc>
          <w:tcPr>
            <w:tcW w:w="0" w:type="auto"/>
            <w:hideMark/>
          </w:tcPr>
          <w:p w14:paraId="1CD4E1E0" w14:textId="77777777" w:rsidR="00067BEF" w:rsidRPr="000146FB" w:rsidRDefault="00067BEF" w:rsidP="000146FB">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en-IN"/>
              </w:rPr>
            </w:pPr>
            <w:r w:rsidRPr="000146FB">
              <w:rPr>
                <w:rFonts w:ascii="Times New Roman" w:hAnsi="Times New Roman" w:cs="Times New Roman"/>
                <w:b/>
                <w:bCs/>
                <w:lang w:val="en-IN"/>
              </w:rPr>
              <w:t>Control</w:t>
            </w:r>
          </w:p>
        </w:tc>
        <w:tc>
          <w:tcPr>
            <w:tcW w:w="0" w:type="auto"/>
            <w:hideMark/>
          </w:tcPr>
          <w:p w14:paraId="2DEA0719" w14:textId="77777777" w:rsidR="00067BEF" w:rsidRPr="000146FB" w:rsidRDefault="00067BEF" w:rsidP="000146FB">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0146FB">
              <w:rPr>
                <w:rFonts w:ascii="Times New Roman" w:hAnsi="Times New Roman" w:cs="Times New Roman"/>
                <w:lang w:val="en-IN"/>
              </w:rPr>
              <w:t>1.89 ± 0.28</w:t>
            </w:r>
          </w:p>
        </w:tc>
        <w:tc>
          <w:tcPr>
            <w:tcW w:w="0" w:type="auto"/>
            <w:hideMark/>
          </w:tcPr>
          <w:p w14:paraId="061F10D1" w14:textId="77777777" w:rsidR="00067BEF" w:rsidRPr="000146FB" w:rsidRDefault="00067BEF" w:rsidP="000146FB">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0146FB">
              <w:rPr>
                <w:rFonts w:ascii="Times New Roman" w:hAnsi="Times New Roman" w:cs="Times New Roman"/>
                <w:lang w:val="en-IN"/>
              </w:rPr>
              <w:t>1.05 ± 0.24</w:t>
            </w:r>
          </w:p>
        </w:tc>
        <w:tc>
          <w:tcPr>
            <w:tcW w:w="0" w:type="auto"/>
            <w:hideMark/>
          </w:tcPr>
          <w:p w14:paraId="70D4E762" w14:textId="77777777" w:rsidR="00067BEF" w:rsidRPr="000146FB" w:rsidRDefault="00067BEF" w:rsidP="000146FB">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0146FB">
              <w:rPr>
                <w:rFonts w:ascii="Times New Roman" w:hAnsi="Times New Roman" w:cs="Times New Roman"/>
                <w:lang w:val="en-IN"/>
              </w:rPr>
              <w:t>0.71 ± 0.18</w:t>
            </w:r>
          </w:p>
        </w:tc>
      </w:tr>
      <w:tr w:rsidR="00067BEF" w:rsidRPr="000146FB" w14:paraId="6B3F1B36" w14:textId="77777777" w:rsidTr="00380F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B596BA8" w14:textId="77777777" w:rsidR="00067BEF" w:rsidRPr="000146FB" w:rsidRDefault="00067BEF" w:rsidP="000146FB">
            <w:pPr>
              <w:pStyle w:val="BodyText"/>
              <w:jc w:val="both"/>
              <w:rPr>
                <w:rFonts w:ascii="Times New Roman" w:hAnsi="Times New Roman" w:cs="Times New Roman"/>
                <w:lang w:val="en-IN"/>
              </w:rPr>
            </w:pPr>
            <w:r w:rsidRPr="000146FB">
              <w:rPr>
                <w:rFonts w:ascii="Times New Roman" w:hAnsi="Times New Roman" w:cs="Times New Roman"/>
                <w:lang w:val="en-IN"/>
              </w:rPr>
              <w:t>Gingival Index</w:t>
            </w:r>
          </w:p>
        </w:tc>
        <w:tc>
          <w:tcPr>
            <w:tcW w:w="0" w:type="auto"/>
            <w:hideMark/>
          </w:tcPr>
          <w:p w14:paraId="2083CF05" w14:textId="77777777" w:rsidR="00067BEF" w:rsidRPr="000146FB" w:rsidRDefault="00067BEF" w:rsidP="000146FB">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en-IN"/>
              </w:rPr>
            </w:pPr>
            <w:r w:rsidRPr="000146FB">
              <w:rPr>
                <w:rFonts w:ascii="Times New Roman" w:hAnsi="Times New Roman" w:cs="Times New Roman"/>
                <w:b/>
                <w:bCs/>
                <w:lang w:val="en-IN"/>
              </w:rPr>
              <w:t>Test</w:t>
            </w:r>
          </w:p>
        </w:tc>
        <w:tc>
          <w:tcPr>
            <w:tcW w:w="0" w:type="auto"/>
            <w:hideMark/>
          </w:tcPr>
          <w:p w14:paraId="7BA9B520" w14:textId="77777777" w:rsidR="00067BEF" w:rsidRPr="000146FB" w:rsidRDefault="00067BEF" w:rsidP="000146FB">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0146FB">
              <w:rPr>
                <w:rFonts w:ascii="Times New Roman" w:hAnsi="Times New Roman" w:cs="Times New Roman"/>
                <w:lang w:val="en-IN"/>
              </w:rPr>
              <w:t>1.86 ± 0.27</w:t>
            </w:r>
          </w:p>
        </w:tc>
        <w:tc>
          <w:tcPr>
            <w:tcW w:w="0" w:type="auto"/>
            <w:hideMark/>
          </w:tcPr>
          <w:p w14:paraId="38968350" w14:textId="77777777" w:rsidR="00067BEF" w:rsidRPr="000146FB" w:rsidRDefault="00067BEF" w:rsidP="000146FB">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0146FB">
              <w:rPr>
                <w:rFonts w:ascii="Times New Roman" w:hAnsi="Times New Roman" w:cs="Times New Roman"/>
                <w:lang w:val="en-IN"/>
              </w:rPr>
              <w:t>0.92 ± 0.18</w:t>
            </w:r>
          </w:p>
        </w:tc>
        <w:tc>
          <w:tcPr>
            <w:tcW w:w="0" w:type="auto"/>
            <w:hideMark/>
          </w:tcPr>
          <w:p w14:paraId="0138631E" w14:textId="77777777" w:rsidR="00067BEF" w:rsidRPr="000146FB" w:rsidRDefault="00067BEF" w:rsidP="000146FB">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0146FB">
              <w:rPr>
                <w:rFonts w:ascii="Times New Roman" w:hAnsi="Times New Roman" w:cs="Times New Roman"/>
                <w:lang w:val="en-IN"/>
              </w:rPr>
              <w:t>0.54 ± 0.12</w:t>
            </w:r>
          </w:p>
        </w:tc>
      </w:tr>
      <w:tr w:rsidR="00067BEF" w:rsidRPr="000146FB" w14:paraId="1F9397E9" w14:textId="77777777" w:rsidTr="00380F08">
        <w:tc>
          <w:tcPr>
            <w:cnfStyle w:val="001000000000" w:firstRow="0" w:lastRow="0" w:firstColumn="1" w:lastColumn="0" w:oddVBand="0" w:evenVBand="0" w:oddHBand="0" w:evenHBand="0" w:firstRowFirstColumn="0" w:firstRowLastColumn="0" w:lastRowFirstColumn="0" w:lastRowLastColumn="0"/>
            <w:tcW w:w="0" w:type="auto"/>
            <w:hideMark/>
          </w:tcPr>
          <w:p w14:paraId="6F03D1FD" w14:textId="77777777" w:rsidR="00067BEF" w:rsidRPr="000146FB" w:rsidRDefault="00067BEF" w:rsidP="000146FB">
            <w:pPr>
              <w:pStyle w:val="BodyText"/>
              <w:jc w:val="both"/>
              <w:rPr>
                <w:rFonts w:ascii="Times New Roman" w:hAnsi="Times New Roman" w:cs="Times New Roman"/>
                <w:lang w:val="en-IN"/>
              </w:rPr>
            </w:pPr>
          </w:p>
        </w:tc>
        <w:tc>
          <w:tcPr>
            <w:tcW w:w="0" w:type="auto"/>
            <w:hideMark/>
          </w:tcPr>
          <w:p w14:paraId="009BC788" w14:textId="77777777" w:rsidR="00067BEF" w:rsidRPr="000146FB" w:rsidRDefault="00067BEF" w:rsidP="000146FB">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en-IN"/>
              </w:rPr>
            </w:pPr>
            <w:r w:rsidRPr="000146FB">
              <w:rPr>
                <w:rFonts w:ascii="Times New Roman" w:hAnsi="Times New Roman" w:cs="Times New Roman"/>
                <w:b/>
                <w:bCs/>
                <w:lang w:val="en-IN"/>
              </w:rPr>
              <w:t>Control</w:t>
            </w:r>
          </w:p>
        </w:tc>
        <w:tc>
          <w:tcPr>
            <w:tcW w:w="0" w:type="auto"/>
            <w:hideMark/>
          </w:tcPr>
          <w:p w14:paraId="7342602E" w14:textId="77777777" w:rsidR="00067BEF" w:rsidRPr="000146FB" w:rsidRDefault="00067BEF" w:rsidP="000146FB">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0146FB">
              <w:rPr>
                <w:rFonts w:ascii="Times New Roman" w:hAnsi="Times New Roman" w:cs="Times New Roman"/>
                <w:lang w:val="en-IN"/>
              </w:rPr>
              <w:t>1.83 ± 0.30</w:t>
            </w:r>
          </w:p>
        </w:tc>
        <w:tc>
          <w:tcPr>
            <w:tcW w:w="0" w:type="auto"/>
            <w:hideMark/>
          </w:tcPr>
          <w:p w14:paraId="5470B242" w14:textId="77777777" w:rsidR="00067BEF" w:rsidRPr="000146FB" w:rsidRDefault="00067BEF" w:rsidP="000146FB">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0146FB">
              <w:rPr>
                <w:rFonts w:ascii="Times New Roman" w:hAnsi="Times New Roman" w:cs="Times New Roman"/>
                <w:lang w:val="en-IN"/>
              </w:rPr>
              <w:t>1.01 ± 0.20</w:t>
            </w:r>
          </w:p>
        </w:tc>
        <w:tc>
          <w:tcPr>
            <w:tcW w:w="0" w:type="auto"/>
            <w:hideMark/>
          </w:tcPr>
          <w:p w14:paraId="0273626D" w14:textId="77777777" w:rsidR="00067BEF" w:rsidRPr="000146FB" w:rsidRDefault="00067BEF" w:rsidP="000146FB">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0146FB">
              <w:rPr>
                <w:rFonts w:ascii="Times New Roman" w:hAnsi="Times New Roman" w:cs="Times New Roman"/>
                <w:lang w:val="en-IN"/>
              </w:rPr>
              <w:t>0.69 ± 0.15</w:t>
            </w:r>
          </w:p>
        </w:tc>
      </w:tr>
      <w:tr w:rsidR="00067BEF" w:rsidRPr="000146FB" w14:paraId="53FD8E76" w14:textId="77777777" w:rsidTr="00380F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C3794D8" w14:textId="77777777" w:rsidR="00067BEF" w:rsidRPr="000146FB" w:rsidRDefault="00067BEF" w:rsidP="000146FB">
            <w:pPr>
              <w:pStyle w:val="BodyText"/>
              <w:jc w:val="both"/>
              <w:rPr>
                <w:rFonts w:ascii="Times New Roman" w:hAnsi="Times New Roman" w:cs="Times New Roman"/>
                <w:lang w:val="en-IN"/>
              </w:rPr>
            </w:pPr>
            <w:r w:rsidRPr="000146FB">
              <w:rPr>
                <w:rFonts w:ascii="Times New Roman" w:hAnsi="Times New Roman" w:cs="Times New Roman"/>
                <w:lang w:val="en-IN"/>
              </w:rPr>
              <w:t>PPD (mm)</w:t>
            </w:r>
          </w:p>
        </w:tc>
        <w:tc>
          <w:tcPr>
            <w:tcW w:w="0" w:type="auto"/>
            <w:hideMark/>
          </w:tcPr>
          <w:p w14:paraId="7B561315" w14:textId="77777777" w:rsidR="00067BEF" w:rsidRPr="000146FB" w:rsidRDefault="00067BEF" w:rsidP="000146FB">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en-IN"/>
              </w:rPr>
            </w:pPr>
            <w:r w:rsidRPr="000146FB">
              <w:rPr>
                <w:rFonts w:ascii="Times New Roman" w:hAnsi="Times New Roman" w:cs="Times New Roman"/>
                <w:b/>
                <w:bCs/>
                <w:lang w:val="en-IN"/>
              </w:rPr>
              <w:t>Test</w:t>
            </w:r>
          </w:p>
        </w:tc>
        <w:tc>
          <w:tcPr>
            <w:tcW w:w="0" w:type="auto"/>
            <w:hideMark/>
          </w:tcPr>
          <w:p w14:paraId="30270D22" w14:textId="77777777" w:rsidR="00067BEF" w:rsidRPr="000146FB" w:rsidRDefault="00067BEF" w:rsidP="000146FB">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0146FB">
              <w:rPr>
                <w:rFonts w:ascii="Times New Roman" w:hAnsi="Times New Roman" w:cs="Times New Roman"/>
                <w:lang w:val="en-IN"/>
              </w:rPr>
              <w:t>6.8 ± 0.8</w:t>
            </w:r>
          </w:p>
        </w:tc>
        <w:tc>
          <w:tcPr>
            <w:tcW w:w="0" w:type="auto"/>
            <w:hideMark/>
          </w:tcPr>
          <w:p w14:paraId="652F989B" w14:textId="77777777" w:rsidR="00067BEF" w:rsidRPr="000146FB" w:rsidRDefault="00067BEF" w:rsidP="000146FB">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0146FB">
              <w:rPr>
                <w:rFonts w:ascii="Times New Roman" w:hAnsi="Times New Roman" w:cs="Times New Roman"/>
                <w:lang w:val="en-IN"/>
              </w:rPr>
              <w:t>5.3 ± 0.6</w:t>
            </w:r>
          </w:p>
        </w:tc>
        <w:tc>
          <w:tcPr>
            <w:tcW w:w="0" w:type="auto"/>
            <w:hideMark/>
          </w:tcPr>
          <w:p w14:paraId="6DFE688B" w14:textId="77777777" w:rsidR="00067BEF" w:rsidRPr="000146FB" w:rsidRDefault="00067BEF" w:rsidP="000146FB">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0146FB">
              <w:rPr>
                <w:rFonts w:ascii="Times New Roman" w:hAnsi="Times New Roman" w:cs="Times New Roman"/>
                <w:lang w:val="en-IN"/>
              </w:rPr>
              <w:t>4.6 ± 0.6</w:t>
            </w:r>
          </w:p>
        </w:tc>
      </w:tr>
      <w:tr w:rsidR="00067BEF" w:rsidRPr="000146FB" w14:paraId="6AE76B49" w14:textId="77777777" w:rsidTr="00380F08">
        <w:tc>
          <w:tcPr>
            <w:cnfStyle w:val="001000000000" w:firstRow="0" w:lastRow="0" w:firstColumn="1" w:lastColumn="0" w:oddVBand="0" w:evenVBand="0" w:oddHBand="0" w:evenHBand="0" w:firstRowFirstColumn="0" w:firstRowLastColumn="0" w:lastRowFirstColumn="0" w:lastRowLastColumn="0"/>
            <w:tcW w:w="0" w:type="auto"/>
            <w:hideMark/>
          </w:tcPr>
          <w:p w14:paraId="414F2959" w14:textId="77777777" w:rsidR="00067BEF" w:rsidRPr="000146FB" w:rsidRDefault="00067BEF" w:rsidP="000146FB">
            <w:pPr>
              <w:pStyle w:val="BodyText"/>
              <w:jc w:val="both"/>
              <w:rPr>
                <w:rFonts w:ascii="Times New Roman" w:hAnsi="Times New Roman" w:cs="Times New Roman"/>
                <w:lang w:val="en-IN"/>
              </w:rPr>
            </w:pPr>
          </w:p>
        </w:tc>
        <w:tc>
          <w:tcPr>
            <w:tcW w:w="0" w:type="auto"/>
            <w:hideMark/>
          </w:tcPr>
          <w:p w14:paraId="14F20510" w14:textId="77777777" w:rsidR="00067BEF" w:rsidRPr="000146FB" w:rsidRDefault="00067BEF" w:rsidP="000146FB">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en-IN"/>
              </w:rPr>
            </w:pPr>
            <w:r w:rsidRPr="000146FB">
              <w:rPr>
                <w:rFonts w:ascii="Times New Roman" w:hAnsi="Times New Roman" w:cs="Times New Roman"/>
                <w:b/>
                <w:bCs/>
                <w:lang w:val="en-IN"/>
              </w:rPr>
              <w:t>Control</w:t>
            </w:r>
          </w:p>
        </w:tc>
        <w:tc>
          <w:tcPr>
            <w:tcW w:w="0" w:type="auto"/>
            <w:hideMark/>
          </w:tcPr>
          <w:p w14:paraId="23B90677" w14:textId="77777777" w:rsidR="00067BEF" w:rsidRPr="000146FB" w:rsidRDefault="00067BEF" w:rsidP="000146FB">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0146FB">
              <w:rPr>
                <w:rFonts w:ascii="Times New Roman" w:hAnsi="Times New Roman" w:cs="Times New Roman"/>
                <w:lang w:val="en-IN"/>
              </w:rPr>
              <w:t>6.7 ± 0.7</w:t>
            </w:r>
          </w:p>
        </w:tc>
        <w:tc>
          <w:tcPr>
            <w:tcW w:w="0" w:type="auto"/>
            <w:hideMark/>
          </w:tcPr>
          <w:p w14:paraId="0C39B9EE" w14:textId="77777777" w:rsidR="00067BEF" w:rsidRPr="000146FB" w:rsidRDefault="00067BEF" w:rsidP="000146FB">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0146FB">
              <w:rPr>
                <w:rFonts w:ascii="Times New Roman" w:hAnsi="Times New Roman" w:cs="Times New Roman"/>
                <w:lang w:val="en-IN"/>
              </w:rPr>
              <w:t>5.8 ± 0.7</w:t>
            </w:r>
          </w:p>
        </w:tc>
        <w:tc>
          <w:tcPr>
            <w:tcW w:w="0" w:type="auto"/>
            <w:hideMark/>
          </w:tcPr>
          <w:p w14:paraId="1D9EA9DE" w14:textId="77777777" w:rsidR="00067BEF" w:rsidRPr="000146FB" w:rsidRDefault="00067BEF" w:rsidP="000146FB">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0146FB">
              <w:rPr>
                <w:rFonts w:ascii="Times New Roman" w:hAnsi="Times New Roman" w:cs="Times New Roman"/>
                <w:lang w:val="en-IN"/>
              </w:rPr>
              <w:t>4.9 ± 0.7</w:t>
            </w:r>
          </w:p>
        </w:tc>
      </w:tr>
      <w:tr w:rsidR="00067BEF" w:rsidRPr="000146FB" w14:paraId="5EA7D4EE" w14:textId="77777777" w:rsidTr="00380F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0BADDB" w14:textId="77777777" w:rsidR="00067BEF" w:rsidRPr="000146FB" w:rsidRDefault="00067BEF" w:rsidP="000146FB">
            <w:pPr>
              <w:pStyle w:val="BodyText"/>
              <w:jc w:val="both"/>
              <w:rPr>
                <w:rFonts w:ascii="Times New Roman" w:hAnsi="Times New Roman" w:cs="Times New Roman"/>
                <w:lang w:val="en-IN"/>
              </w:rPr>
            </w:pPr>
            <w:r w:rsidRPr="000146FB">
              <w:rPr>
                <w:rFonts w:ascii="Times New Roman" w:hAnsi="Times New Roman" w:cs="Times New Roman"/>
                <w:lang w:val="en-IN"/>
              </w:rPr>
              <w:t>RCAL (mm)</w:t>
            </w:r>
          </w:p>
        </w:tc>
        <w:tc>
          <w:tcPr>
            <w:tcW w:w="0" w:type="auto"/>
            <w:hideMark/>
          </w:tcPr>
          <w:p w14:paraId="1A197869" w14:textId="77777777" w:rsidR="00067BEF" w:rsidRPr="000146FB" w:rsidRDefault="00067BEF" w:rsidP="000146FB">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en-IN"/>
              </w:rPr>
            </w:pPr>
            <w:r w:rsidRPr="000146FB">
              <w:rPr>
                <w:rFonts w:ascii="Times New Roman" w:hAnsi="Times New Roman" w:cs="Times New Roman"/>
                <w:b/>
                <w:bCs/>
                <w:lang w:val="en-IN"/>
              </w:rPr>
              <w:t>Test</w:t>
            </w:r>
          </w:p>
        </w:tc>
        <w:tc>
          <w:tcPr>
            <w:tcW w:w="0" w:type="auto"/>
            <w:hideMark/>
          </w:tcPr>
          <w:p w14:paraId="5E2D236B" w14:textId="77777777" w:rsidR="00067BEF" w:rsidRPr="000146FB" w:rsidRDefault="00067BEF" w:rsidP="000146FB">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0146FB">
              <w:rPr>
                <w:rFonts w:ascii="Times New Roman" w:hAnsi="Times New Roman" w:cs="Times New Roman"/>
                <w:lang w:val="en-IN"/>
              </w:rPr>
              <w:t>10.8 ± 0.8</w:t>
            </w:r>
          </w:p>
        </w:tc>
        <w:tc>
          <w:tcPr>
            <w:tcW w:w="0" w:type="auto"/>
            <w:hideMark/>
          </w:tcPr>
          <w:p w14:paraId="04B4A075" w14:textId="77777777" w:rsidR="00067BEF" w:rsidRPr="000146FB" w:rsidRDefault="00067BEF" w:rsidP="000146FB">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0146FB">
              <w:rPr>
                <w:rFonts w:ascii="Times New Roman" w:hAnsi="Times New Roman" w:cs="Times New Roman"/>
                <w:lang w:val="en-IN"/>
              </w:rPr>
              <w:t>9.3 ± 0.6</w:t>
            </w:r>
          </w:p>
        </w:tc>
        <w:tc>
          <w:tcPr>
            <w:tcW w:w="0" w:type="auto"/>
            <w:hideMark/>
          </w:tcPr>
          <w:p w14:paraId="207C6127" w14:textId="77777777" w:rsidR="00067BEF" w:rsidRPr="000146FB" w:rsidRDefault="00067BEF" w:rsidP="000146FB">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0146FB">
              <w:rPr>
                <w:rFonts w:ascii="Times New Roman" w:hAnsi="Times New Roman" w:cs="Times New Roman"/>
                <w:lang w:val="en-IN"/>
              </w:rPr>
              <w:t>8.5 ± 0.6</w:t>
            </w:r>
          </w:p>
        </w:tc>
      </w:tr>
      <w:tr w:rsidR="00067BEF" w:rsidRPr="000146FB" w14:paraId="5042A98F" w14:textId="77777777" w:rsidTr="00380F08">
        <w:tc>
          <w:tcPr>
            <w:cnfStyle w:val="001000000000" w:firstRow="0" w:lastRow="0" w:firstColumn="1" w:lastColumn="0" w:oddVBand="0" w:evenVBand="0" w:oddHBand="0" w:evenHBand="0" w:firstRowFirstColumn="0" w:firstRowLastColumn="0" w:lastRowFirstColumn="0" w:lastRowLastColumn="0"/>
            <w:tcW w:w="0" w:type="auto"/>
            <w:hideMark/>
          </w:tcPr>
          <w:p w14:paraId="67A09E67" w14:textId="77777777" w:rsidR="00067BEF" w:rsidRPr="000146FB" w:rsidRDefault="00067BEF" w:rsidP="000146FB">
            <w:pPr>
              <w:pStyle w:val="BodyText"/>
              <w:jc w:val="both"/>
              <w:rPr>
                <w:rFonts w:ascii="Times New Roman" w:hAnsi="Times New Roman" w:cs="Times New Roman"/>
                <w:lang w:val="en-IN"/>
              </w:rPr>
            </w:pPr>
          </w:p>
        </w:tc>
        <w:tc>
          <w:tcPr>
            <w:tcW w:w="0" w:type="auto"/>
            <w:hideMark/>
          </w:tcPr>
          <w:p w14:paraId="17E9BD7F" w14:textId="77777777" w:rsidR="00067BEF" w:rsidRPr="000146FB" w:rsidRDefault="00067BEF" w:rsidP="000146FB">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en-IN"/>
              </w:rPr>
            </w:pPr>
            <w:r w:rsidRPr="000146FB">
              <w:rPr>
                <w:rFonts w:ascii="Times New Roman" w:hAnsi="Times New Roman" w:cs="Times New Roman"/>
                <w:b/>
                <w:bCs/>
                <w:lang w:val="en-IN"/>
              </w:rPr>
              <w:t>Control</w:t>
            </w:r>
          </w:p>
        </w:tc>
        <w:tc>
          <w:tcPr>
            <w:tcW w:w="0" w:type="auto"/>
            <w:hideMark/>
          </w:tcPr>
          <w:p w14:paraId="7D177013" w14:textId="77777777" w:rsidR="00067BEF" w:rsidRPr="000146FB" w:rsidRDefault="00067BEF" w:rsidP="000146FB">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0146FB">
              <w:rPr>
                <w:rFonts w:ascii="Times New Roman" w:hAnsi="Times New Roman" w:cs="Times New Roman"/>
                <w:lang w:val="en-IN"/>
              </w:rPr>
              <w:t>10.7 ± 0.7</w:t>
            </w:r>
          </w:p>
        </w:tc>
        <w:tc>
          <w:tcPr>
            <w:tcW w:w="0" w:type="auto"/>
            <w:hideMark/>
          </w:tcPr>
          <w:p w14:paraId="073378ED" w14:textId="77777777" w:rsidR="00067BEF" w:rsidRPr="000146FB" w:rsidRDefault="00067BEF" w:rsidP="000146FB">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0146FB">
              <w:rPr>
                <w:rFonts w:ascii="Times New Roman" w:hAnsi="Times New Roman" w:cs="Times New Roman"/>
                <w:lang w:val="en-IN"/>
              </w:rPr>
              <w:t>9.8 ± 0.7</w:t>
            </w:r>
          </w:p>
        </w:tc>
        <w:tc>
          <w:tcPr>
            <w:tcW w:w="0" w:type="auto"/>
            <w:hideMark/>
          </w:tcPr>
          <w:p w14:paraId="5CB2BE7D" w14:textId="77777777" w:rsidR="00067BEF" w:rsidRPr="000146FB" w:rsidRDefault="00067BEF" w:rsidP="000146FB">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0146FB">
              <w:rPr>
                <w:rFonts w:ascii="Times New Roman" w:hAnsi="Times New Roman" w:cs="Times New Roman"/>
                <w:lang w:val="en-IN"/>
              </w:rPr>
              <w:t>9.0 ± 0.7</w:t>
            </w:r>
          </w:p>
        </w:tc>
      </w:tr>
    </w:tbl>
    <w:p w14:paraId="48EF5F6F" w14:textId="4562B681" w:rsidR="00297340" w:rsidRPr="000146FB" w:rsidRDefault="00297340" w:rsidP="000146FB">
      <w:pPr>
        <w:pStyle w:val="BodyText"/>
        <w:jc w:val="both"/>
        <w:rPr>
          <w:rFonts w:ascii="Times New Roman" w:hAnsi="Times New Roman" w:cs="Times New Roman"/>
          <w:b/>
          <w:bCs/>
        </w:rPr>
      </w:pPr>
      <w:r w:rsidRPr="000146FB">
        <w:rPr>
          <w:rFonts w:ascii="Times New Roman" w:hAnsi="Times New Roman" w:cs="Times New Roman"/>
          <w:b/>
          <w:bCs/>
        </w:rPr>
        <w:t>Mean changes from baseline to 6 months:</w:t>
      </w:r>
    </w:p>
    <w:tbl>
      <w:tblPr>
        <w:tblStyle w:val="PlainTable2"/>
        <w:tblW w:w="5000" w:type="pct"/>
        <w:tblLook w:val="04A0" w:firstRow="1" w:lastRow="0" w:firstColumn="1" w:lastColumn="0" w:noHBand="0" w:noVBand="1"/>
      </w:tblPr>
      <w:tblGrid>
        <w:gridCol w:w="6275"/>
        <w:gridCol w:w="2107"/>
        <w:gridCol w:w="2315"/>
      </w:tblGrid>
      <w:tr w:rsidR="00297340" w:rsidRPr="000146FB" w14:paraId="67B4D8CB" w14:textId="77777777" w:rsidTr="00605E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2" w:type="pct"/>
            <w:hideMark/>
          </w:tcPr>
          <w:p w14:paraId="288C8999" w14:textId="77777777" w:rsidR="00297340" w:rsidRPr="000146FB" w:rsidRDefault="00297340" w:rsidP="000146FB">
            <w:pPr>
              <w:pStyle w:val="BodyText"/>
              <w:jc w:val="both"/>
              <w:rPr>
                <w:rFonts w:ascii="Times New Roman" w:hAnsi="Times New Roman" w:cs="Times New Roman"/>
                <w:lang w:val="en-IN"/>
              </w:rPr>
            </w:pPr>
            <w:r w:rsidRPr="000146FB">
              <w:rPr>
                <w:rFonts w:ascii="Times New Roman" w:hAnsi="Times New Roman" w:cs="Times New Roman"/>
                <w:lang w:val="en-IN"/>
              </w:rPr>
              <w:t>Parameter</w:t>
            </w:r>
          </w:p>
        </w:tc>
        <w:tc>
          <w:tcPr>
            <w:tcW w:w="985" w:type="pct"/>
            <w:hideMark/>
          </w:tcPr>
          <w:p w14:paraId="32878D06" w14:textId="77777777" w:rsidR="00297340" w:rsidRPr="000146FB" w:rsidRDefault="00297340" w:rsidP="000146FB">
            <w:pPr>
              <w:pStyle w:val="BodyText"/>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0146FB">
              <w:rPr>
                <w:rFonts w:ascii="Times New Roman" w:hAnsi="Times New Roman" w:cs="Times New Roman"/>
                <w:lang w:val="en-IN"/>
              </w:rPr>
              <w:t>Test Group</w:t>
            </w:r>
          </w:p>
        </w:tc>
        <w:tc>
          <w:tcPr>
            <w:tcW w:w="1082" w:type="pct"/>
            <w:hideMark/>
          </w:tcPr>
          <w:p w14:paraId="1539DBE0" w14:textId="77777777" w:rsidR="00297340" w:rsidRPr="000146FB" w:rsidRDefault="00297340" w:rsidP="000146FB">
            <w:pPr>
              <w:pStyle w:val="BodyText"/>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0146FB">
              <w:rPr>
                <w:rFonts w:ascii="Times New Roman" w:hAnsi="Times New Roman" w:cs="Times New Roman"/>
                <w:lang w:val="en-IN"/>
              </w:rPr>
              <w:t>Control Group</w:t>
            </w:r>
          </w:p>
        </w:tc>
      </w:tr>
      <w:tr w:rsidR="00297340" w:rsidRPr="000146FB" w14:paraId="19E98008" w14:textId="77777777" w:rsidTr="00605E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2" w:type="pct"/>
            <w:hideMark/>
          </w:tcPr>
          <w:p w14:paraId="1FEDDB55" w14:textId="77777777" w:rsidR="00297340" w:rsidRPr="000146FB" w:rsidRDefault="00297340" w:rsidP="000146FB">
            <w:pPr>
              <w:pStyle w:val="BodyText"/>
              <w:jc w:val="both"/>
              <w:rPr>
                <w:rFonts w:ascii="Times New Roman" w:hAnsi="Times New Roman" w:cs="Times New Roman"/>
                <w:lang w:val="en-IN"/>
              </w:rPr>
            </w:pPr>
            <w:r w:rsidRPr="000146FB">
              <w:rPr>
                <w:rFonts w:ascii="Times New Roman" w:hAnsi="Times New Roman" w:cs="Times New Roman"/>
                <w:lang w:val="en-IN"/>
              </w:rPr>
              <w:t>Mean PPD Reduction (Baseline–6 Months)</w:t>
            </w:r>
          </w:p>
        </w:tc>
        <w:tc>
          <w:tcPr>
            <w:tcW w:w="985" w:type="pct"/>
            <w:hideMark/>
          </w:tcPr>
          <w:p w14:paraId="030421D3" w14:textId="77777777" w:rsidR="00297340" w:rsidRPr="000146FB" w:rsidRDefault="00297340" w:rsidP="000146FB">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0146FB">
              <w:rPr>
                <w:rFonts w:ascii="Times New Roman" w:hAnsi="Times New Roman" w:cs="Times New Roman"/>
                <w:lang w:val="en-IN"/>
              </w:rPr>
              <w:t>2.2 ± 0.6 mm</w:t>
            </w:r>
          </w:p>
        </w:tc>
        <w:tc>
          <w:tcPr>
            <w:tcW w:w="1082" w:type="pct"/>
            <w:hideMark/>
          </w:tcPr>
          <w:p w14:paraId="50925C3D" w14:textId="77777777" w:rsidR="00297340" w:rsidRPr="000146FB" w:rsidRDefault="00297340" w:rsidP="000146FB">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0146FB">
              <w:rPr>
                <w:rFonts w:ascii="Times New Roman" w:hAnsi="Times New Roman" w:cs="Times New Roman"/>
                <w:lang w:val="en-IN"/>
              </w:rPr>
              <w:t>1.8 ± 0.7 mm</w:t>
            </w:r>
          </w:p>
        </w:tc>
      </w:tr>
      <w:tr w:rsidR="00297340" w:rsidRPr="000146FB" w14:paraId="02C55D70" w14:textId="77777777" w:rsidTr="00605E86">
        <w:tc>
          <w:tcPr>
            <w:cnfStyle w:val="001000000000" w:firstRow="0" w:lastRow="0" w:firstColumn="1" w:lastColumn="0" w:oddVBand="0" w:evenVBand="0" w:oddHBand="0" w:evenHBand="0" w:firstRowFirstColumn="0" w:firstRowLastColumn="0" w:lastRowFirstColumn="0" w:lastRowLastColumn="0"/>
            <w:tcW w:w="2932" w:type="pct"/>
            <w:hideMark/>
          </w:tcPr>
          <w:p w14:paraId="2DE184A8" w14:textId="77777777" w:rsidR="00297340" w:rsidRPr="000146FB" w:rsidRDefault="00297340" w:rsidP="000146FB">
            <w:pPr>
              <w:pStyle w:val="BodyText"/>
              <w:jc w:val="both"/>
              <w:rPr>
                <w:rFonts w:ascii="Times New Roman" w:hAnsi="Times New Roman" w:cs="Times New Roman"/>
                <w:lang w:val="en-IN"/>
              </w:rPr>
            </w:pPr>
            <w:r w:rsidRPr="000146FB">
              <w:rPr>
                <w:rFonts w:ascii="Times New Roman" w:hAnsi="Times New Roman" w:cs="Times New Roman"/>
                <w:lang w:val="en-IN"/>
              </w:rPr>
              <w:t>Mean RCAL Gain (Baseline–6 Months)</w:t>
            </w:r>
          </w:p>
        </w:tc>
        <w:tc>
          <w:tcPr>
            <w:tcW w:w="985" w:type="pct"/>
            <w:hideMark/>
          </w:tcPr>
          <w:p w14:paraId="3FAADB07" w14:textId="77777777" w:rsidR="00297340" w:rsidRPr="000146FB" w:rsidRDefault="00297340" w:rsidP="000146FB">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0146FB">
              <w:rPr>
                <w:rFonts w:ascii="Times New Roman" w:hAnsi="Times New Roman" w:cs="Times New Roman"/>
                <w:lang w:val="en-IN"/>
              </w:rPr>
              <w:t>2.3 ± 0.6 mm</w:t>
            </w:r>
          </w:p>
        </w:tc>
        <w:tc>
          <w:tcPr>
            <w:tcW w:w="1082" w:type="pct"/>
            <w:hideMark/>
          </w:tcPr>
          <w:p w14:paraId="18A165A6" w14:textId="77777777" w:rsidR="00297340" w:rsidRPr="000146FB" w:rsidRDefault="00297340" w:rsidP="000146FB">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0146FB">
              <w:rPr>
                <w:rFonts w:ascii="Times New Roman" w:hAnsi="Times New Roman" w:cs="Times New Roman"/>
                <w:lang w:val="en-IN"/>
              </w:rPr>
              <w:t>1.7 ± 0.7 mm</w:t>
            </w:r>
          </w:p>
        </w:tc>
      </w:tr>
    </w:tbl>
    <w:p w14:paraId="4BE7F7B7" w14:textId="5212EF35" w:rsidR="007C178B" w:rsidRPr="000146FB" w:rsidRDefault="007C178B" w:rsidP="000146FB">
      <w:pPr>
        <w:pStyle w:val="BodyText"/>
        <w:jc w:val="both"/>
        <w:rPr>
          <w:rFonts w:ascii="Times New Roman" w:hAnsi="Times New Roman" w:cs="Times New Roman"/>
        </w:rPr>
      </w:pPr>
      <w:r w:rsidRPr="000146FB">
        <w:rPr>
          <w:rFonts w:ascii="Times New Roman" w:hAnsi="Times New Roman" w:cs="Times New Roman"/>
        </w:rPr>
        <w:t>Thirty patients completed the study and were included in the final analysis. No significant differences were observed between the test and control groups at baseline for any clinical parameter (p &gt; 0.05).</w:t>
      </w:r>
    </w:p>
    <w:p w14:paraId="158684E1" w14:textId="1935F733" w:rsidR="007C178B" w:rsidRPr="000146FB" w:rsidRDefault="007C178B" w:rsidP="000146FB">
      <w:pPr>
        <w:pStyle w:val="BodyText"/>
        <w:jc w:val="both"/>
        <w:rPr>
          <w:rFonts w:ascii="Times New Roman" w:hAnsi="Times New Roman" w:cs="Times New Roman"/>
        </w:rPr>
      </w:pPr>
      <w:r w:rsidRPr="000146FB">
        <w:rPr>
          <w:rFonts w:ascii="Times New Roman" w:hAnsi="Times New Roman" w:cs="Times New Roman"/>
        </w:rPr>
        <w:t>Both groups demonstrated significant reductions in Plaque Index (PI) and Gingival Index (GI) from baseline to 6 months (p &lt; 0.001). However, intergroup differences were not statistically significant at any time point (p &gt; 0.05).</w:t>
      </w:r>
    </w:p>
    <w:p w14:paraId="12A03EBD" w14:textId="3629800C" w:rsidR="007C178B" w:rsidRPr="000146FB" w:rsidRDefault="007C178B" w:rsidP="000146FB">
      <w:pPr>
        <w:pStyle w:val="BodyText"/>
        <w:jc w:val="both"/>
        <w:rPr>
          <w:rFonts w:ascii="Times New Roman" w:hAnsi="Times New Roman" w:cs="Times New Roman"/>
        </w:rPr>
      </w:pPr>
      <w:r w:rsidRPr="000146FB">
        <w:rPr>
          <w:rFonts w:ascii="Times New Roman" w:hAnsi="Times New Roman" w:cs="Times New Roman"/>
        </w:rPr>
        <w:t>A significant reduction in probing pocket depth (PPD) was observed in both groups over the study period (p &lt; 0.001). The test group exhibited a mean PPD reduction of 2.2 mm, compared with 1.8 mm in the control group. Although greater pocket reduction was observed in the Metronidazole-infused T-PRF group, the intergroup difference was not statistically significant (p &gt; 0.05).</w:t>
      </w:r>
    </w:p>
    <w:p w14:paraId="37032886" w14:textId="3A2F61A8" w:rsidR="007C178B" w:rsidRPr="000146FB" w:rsidRDefault="007C178B" w:rsidP="000146FB">
      <w:pPr>
        <w:pStyle w:val="BodyText"/>
        <w:jc w:val="both"/>
        <w:rPr>
          <w:rFonts w:ascii="Times New Roman" w:hAnsi="Times New Roman" w:cs="Times New Roman"/>
        </w:rPr>
      </w:pPr>
      <w:r w:rsidRPr="000146FB">
        <w:rPr>
          <w:rFonts w:ascii="Times New Roman" w:hAnsi="Times New Roman" w:cs="Times New Roman"/>
        </w:rPr>
        <w:t xml:space="preserve">Both groups also demonstrated significant gains in relative clinical attachment level (RCAL) from baseline to 6 months (p &lt; 0.001). The mean RCAL gain was 2.3 mm in the test group and 1.7 mm in the control group. </w:t>
      </w:r>
      <w:r w:rsidRPr="000146FB">
        <w:rPr>
          <w:rFonts w:ascii="Times New Roman" w:hAnsi="Times New Roman" w:cs="Times New Roman"/>
        </w:rPr>
        <w:lastRenderedPageBreak/>
        <w:t>Intergroup comparison revealed significantly greater attachment gain in the Metronidazole-infused T-PRF group at 6 months (p &lt; 0.05).</w:t>
      </w:r>
    </w:p>
    <w:p w14:paraId="7B0AAF4F" w14:textId="7ECA6EA2" w:rsidR="00E93B36" w:rsidRPr="001733DE" w:rsidRDefault="00E35357" w:rsidP="000146FB">
      <w:pPr>
        <w:pStyle w:val="BodyText"/>
        <w:jc w:val="both"/>
        <w:rPr>
          <w:rFonts w:ascii="Times New Roman" w:hAnsi="Times New Roman" w:cs="Times New Roman"/>
          <w:b/>
          <w:bCs/>
          <w:sz w:val="28"/>
          <w:szCs w:val="28"/>
        </w:rPr>
      </w:pPr>
      <w:r w:rsidRPr="001733DE">
        <w:rPr>
          <w:rFonts w:ascii="Times New Roman" w:hAnsi="Times New Roman" w:cs="Times New Roman"/>
          <w:b/>
          <w:bCs/>
          <w:sz w:val="28"/>
          <w:szCs w:val="28"/>
        </w:rPr>
        <w:t>DISCUSSION</w:t>
      </w:r>
    </w:p>
    <w:p w14:paraId="7102DE97" w14:textId="75000022" w:rsidR="0068777B" w:rsidRPr="000146FB" w:rsidRDefault="0068777B" w:rsidP="000146FB">
      <w:pPr>
        <w:pStyle w:val="BodyText"/>
        <w:jc w:val="both"/>
        <w:rPr>
          <w:rFonts w:ascii="Times New Roman" w:hAnsi="Times New Roman" w:cs="Times New Roman"/>
        </w:rPr>
      </w:pPr>
      <w:r w:rsidRPr="000146FB">
        <w:rPr>
          <w:rFonts w:ascii="Times New Roman" w:hAnsi="Times New Roman" w:cs="Times New Roman"/>
        </w:rPr>
        <w:t>The present study evaluated the clinical efficacy of Metronidazole-infused Titanium-Platelet Rich Fibrin (T-PRF) as an adjunct to open flap debridement (OFD) in the management of periodontal pockets. Both treatment groups demonstrated significant improvements in all clinical parameters over the 6-month follow-up period. However, the Metronidazole-infused T-PRF group exhibited greater probing pocket depth (PPD) reduction and significantly greater relative clinical attachment level (RCAL) gain compared with T-PRF alone.</w:t>
      </w:r>
    </w:p>
    <w:p w14:paraId="3D0F908F" w14:textId="15ABADEF" w:rsidR="0068777B" w:rsidRPr="000146FB" w:rsidRDefault="0068777B" w:rsidP="000146FB">
      <w:pPr>
        <w:pStyle w:val="BodyText"/>
        <w:jc w:val="both"/>
        <w:rPr>
          <w:rFonts w:ascii="Times New Roman" w:hAnsi="Times New Roman" w:cs="Times New Roman"/>
        </w:rPr>
      </w:pPr>
      <w:r w:rsidRPr="000146FB">
        <w:rPr>
          <w:rFonts w:ascii="Times New Roman" w:hAnsi="Times New Roman" w:cs="Times New Roman"/>
        </w:rPr>
        <w:t>Persistent subgingival infection remains a major challenge in periodontal therapy and may compromise healing following surgical intervention. The rationale for incorporating metronidazole into T-PRF was based on its well-established efficacy against anaerobic periodontal pathogens. The significantly greater RCAL gain observed in the test group (2.3 mm) compared with the control group (1.7 mm) suggests that local delivery of metronidazole may have enhanced the healing response by reducing residual microbial activity during the critical postoperative period.</w:t>
      </w:r>
    </w:p>
    <w:p w14:paraId="68D3F308" w14:textId="091F58AA" w:rsidR="0068777B" w:rsidRPr="000146FB" w:rsidRDefault="0068777B" w:rsidP="000146FB">
      <w:pPr>
        <w:pStyle w:val="BodyText"/>
        <w:jc w:val="both"/>
        <w:rPr>
          <w:rFonts w:ascii="Times New Roman" w:hAnsi="Times New Roman" w:cs="Times New Roman"/>
        </w:rPr>
      </w:pPr>
      <w:r w:rsidRPr="000146FB">
        <w:rPr>
          <w:rFonts w:ascii="Times New Roman" w:hAnsi="Times New Roman" w:cs="Times New Roman"/>
        </w:rPr>
        <w:t xml:space="preserve">A major limitation of local antimicrobial therapy is maintaining therapeutic drug concentrations within the periodontal pocket for a sufficient duration. In recent years, platelet concentrates have been investigated as biological drug-delivery systems capable of providing sustained release of incorporated therapeutic agents. </w:t>
      </w:r>
      <w:r w:rsidRPr="00C74A3B">
        <w:rPr>
          <w:rFonts w:ascii="Times New Roman" w:hAnsi="Times New Roman" w:cs="Times New Roman"/>
        </w:rPr>
        <w:t>Polak et al.</w:t>
      </w:r>
      <w:r w:rsidR="00C74A3B" w:rsidRPr="00C74A3B">
        <w:rPr>
          <w:rFonts w:ascii="Times New Roman" w:hAnsi="Times New Roman" w:cs="Times New Roman"/>
        </w:rPr>
        <w:t xml:space="preserve"> (2019)</w:t>
      </w:r>
      <w:r w:rsidRPr="000146FB">
        <w:rPr>
          <w:rFonts w:ascii="Times New Roman" w:hAnsi="Times New Roman" w:cs="Times New Roman"/>
        </w:rPr>
        <w:t xml:space="preserve"> demonstrated that antibiotics can be successfully incorporated into platelet-rich fibrin matrices without adversely affecting their structural integrity or biological activity. Similarly, </w:t>
      </w:r>
      <w:r w:rsidRPr="001F4578">
        <w:rPr>
          <w:rFonts w:ascii="Times New Roman" w:hAnsi="Times New Roman" w:cs="Times New Roman"/>
        </w:rPr>
        <w:t>Indurkar et al.</w:t>
      </w:r>
      <w:r w:rsidR="00C74A3B" w:rsidRPr="001F4578">
        <w:rPr>
          <w:rFonts w:ascii="Times New Roman" w:hAnsi="Times New Roman" w:cs="Times New Roman"/>
        </w:rPr>
        <w:t xml:space="preserve"> </w:t>
      </w:r>
      <w:r w:rsidR="001F4578" w:rsidRPr="001F4578">
        <w:rPr>
          <w:rFonts w:ascii="Times New Roman" w:hAnsi="Times New Roman" w:cs="Times New Roman"/>
        </w:rPr>
        <w:t>(2024)</w:t>
      </w:r>
      <w:r w:rsidRPr="000146FB">
        <w:rPr>
          <w:rFonts w:ascii="Times New Roman" w:hAnsi="Times New Roman" w:cs="Times New Roman"/>
        </w:rPr>
        <w:t xml:space="preserve"> reported favorable antibiotic-loading and sustained-release characteristics of T-PRF, supporting its potential use as a local antimicrobial delivery vehicle.</w:t>
      </w:r>
    </w:p>
    <w:p w14:paraId="1D0D1ED8" w14:textId="708C9702" w:rsidR="0068777B" w:rsidRPr="000146FB" w:rsidRDefault="0068777B" w:rsidP="000146FB">
      <w:pPr>
        <w:pStyle w:val="BodyText"/>
        <w:jc w:val="both"/>
        <w:rPr>
          <w:rFonts w:ascii="Times New Roman" w:hAnsi="Times New Roman" w:cs="Times New Roman"/>
        </w:rPr>
      </w:pPr>
      <w:r w:rsidRPr="000146FB">
        <w:rPr>
          <w:rFonts w:ascii="Times New Roman" w:hAnsi="Times New Roman" w:cs="Times New Roman"/>
        </w:rPr>
        <w:t xml:space="preserve">In addition to serving as a carrier for metronidazole, T-PRF itself possesses favorable regenerative properties that may have contributed to the clinical improvements observed in both groups. </w:t>
      </w:r>
      <w:proofErr w:type="spellStart"/>
      <w:r w:rsidRPr="001F4578">
        <w:rPr>
          <w:rFonts w:ascii="Times New Roman" w:hAnsi="Times New Roman" w:cs="Times New Roman"/>
        </w:rPr>
        <w:t>Tunali</w:t>
      </w:r>
      <w:proofErr w:type="spellEnd"/>
      <w:r w:rsidRPr="001F4578">
        <w:rPr>
          <w:rFonts w:ascii="Times New Roman" w:hAnsi="Times New Roman" w:cs="Times New Roman"/>
        </w:rPr>
        <w:t xml:space="preserve"> et al.</w:t>
      </w:r>
      <w:r w:rsidR="001F4578" w:rsidRPr="001F4578">
        <w:rPr>
          <w:rFonts w:ascii="Times New Roman" w:hAnsi="Times New Roman" w:cs="Times New Roman"/>
        </w:rPr>
        <w:t xml:space="preserve"> (2013)</w:t>
      </w:r>
      <w:r w:rsidRPr="000146FB">
        <w:rPr>
          <w:rFonts w:ascii="Times New Roman" w:hAnsi="Times New Roman" w:cs="Times New Roman"/>
        </w:rPr>
        <w:t xml:space="preserve"> reported that titanium-mediated platelet activation results in a thicker and more organized fibrin network with prolonged growth factor release compared with conventional PRF. Furthermore, </w:t>
      </w:r>
      <w:r w:rsidRPr="001F4578">
        <w:rPr>
          <w:rFonts w:ascii="Times New Roman" w:hAnsi="Times New Roman" w:cs="Times New Roman"/>
        </w:rPr>
        <w:t>Ravi et al.</w:t>
      </w:r>
      <w:r w:rsidR="001F4578" w:rsidRPr="001F4578">
        <w:rPr>
          <w:rFonts w:ascii="Times New Roman" w:hAnsi="Times New Roman" w:cs="Times New Roman"/>
        </w:rPr>
        <w:t xml:space="preserve"> (2020)</w:t>
      </w:r>
      <w:r w:rsidRPr="000146FB">
        <w:rPr>
          <w:rFonts w:ascii="Times New Roman" w:hAnsi="Times New Roman" w:cs="Times New Roman"/>
        </w:rPr>
        <w:t xml:space="preserve"> demonstrated superior tensile strength and delayed degradation of T-PRF, suggesting prolonged biological activity at the surgical site. These characteristics may enhance wound stabilization, angiogenesis, and cellular migration during periodontal healing.</w:t>
      </w:r>
    </w:p>
    <w:p w14:paraId="0BC52DE0" w14:textId="65AB2BB8" w:rsidR="0068777B" w:rsidRPr="000146FB" w:rsidRDefault="0068777B" w:rsidP="000146FB">
      <w:pPr>
        <w:pStyle w:val="BodyText"/>
        <w:jc w:val="both"/>
        <w:rPr>
          <w:rFonts w:ascii="Times New Roman" w:hAnsi="Times New Roman" w:cs="Times New Roman"/>
        </w:rPr>
      </w:pPr>
      <w:r w:rsidRPr="000146FB">
        <w:rPr>
          <w:rFonts w:ascii="Times New Roman" w:hAnsi="Times New Roman" w:cs="Times New Roman"/>
        </w:rPr>
        <w:t xml:space="preserve">Both groups demonstrated significant reductions in plaque index and gingival index throughout the study period. These improvements may be attributed to comprehensive initial periodontal therapy, reinforcement of oral hygiene instructions, and regular maintenance care. Similar observations have been reported by </w:t>
      </w:r>
      <w:r w:rsidRPr="001F4578">
        <w:rPr>
          <w:rFonts w:ascii="Times New Roman" w:hAnsi="Times New Roman" w:cs="Times New Roman"/>
        </w:rPr>
        <w:t>Drisko</w:t>
      </w:r>
      <w:r w:rsidR="001F4578" w:rsidRPr="001F4578">
        <w:rPr>
          <w:rFonts w:ascii="Times New Roman" w:hAnsi="Times New Roman" w:cs="Times New Roman"/>
        </w:rPr>
        <w:t xml:space="preserve"> (2001)</w:t>
      </w:r>
      <w:r w:rsidRPr="000146FB">
        <w:rPr>
          <w:rFonts w:ascii="Times New Roman" w:hAnsi="Times New Roman" w:cs="Times New Roman"/>
        </w:rPr>
        <w:t>, who emphasized the importance of plaque control and supportive periodontal therapy in achieving favorable periodontal outcomes.</w:t>
      </w:r>
    </w:p>
    <w:p w14:paraId="3A93B796" w14:textId="21923832" w:rsidR="0068777B" w:rsidRPr="000146FB" w:rsidRDefault="0068777B" w:rsidP="000146FB">
      <w:pPr>
        <w:pStyle w:val="BodyText"/>
        <w:jc w:val="both"/>
        <w:rPr>
          <w:rFonts w:ascii="Times New Roman" w:hAnsi="Times New Roman" w:cs="Times New Roman"/>
        </w:rPr>
      </w:pPr>
      <w:r w:rsidRPr="000146FB">
        <w:rPr>
          <w:rFonts w:ascii="Times New Roman" w:hAnsi="Times New Roman" w:cs="Times New Roman"/>
        </w:rPr>
        <w:t xml:space="preserve">A significant reduction in PPD was observed in both groups, with mean reductions of 2.2 mm and 1.8 mm in the test and control groups, respectively. Although the intergroup difference was not statistically significant, the greater reduction observed in the Metronidazole-infused T-PRF group may reflect the combined effects of improved microbial control and enhanced wound healing. These findings are comparable to those reported by </w:t>
      </w:r>
      <w:r w:rsidRPr="001F4578">
        <w:rPr>
          <w:rFonts w:ascii="Times New Roman" w:hAnsi="Times New Roman" w:cs="Times New Roman"/>
        </w:rPr>
        <w:t>Chatterjee et al.</w:t>
      </w:r>
      <w:r w:rsidR="001F4578" w:rsidRPr="001F4578">
        <w:rPr>
          <w:rFonts w:ascii="Times New Roman" w:hAnsi="Times New Roman" w:cs="Times New Roman"/>
        </w:rPr>
        <w:t xml:space="preserve"> (2017)</w:t>
      </w:r>
      <w:r w:rsidRPr="000146FB">
        <w:rPr>
          <w:rFonts w:ascii="Times New Roman" w:hAnsi="Times New Roman" w:cs="Times New Roman"/>
        </w:rPr>
        <w:t xml:space="preserve">, who demonstrated significant probing depth reduction following the use of T-PRF in periodontal </w:t>
      </w:r>
      <w:proofErr w:type="spellStart"/>
      <w:r w:rsidRPr="000146FB">
        <w:rPr>
          <w:rFonts w:ascii="Times New Roman" w:hAnsi="Times New Roman" w:cs="Times New Roman"/>
        </w:rPr>
        <w:t>intrabony</w:t>
      </w:r>
      <w:proofErr w:type="spellEnd"/>
      <w:r w:rsidRPr="000146FB">
        <w:rPr>
          <w:rFonts w:ascii="Times New Roman" w:hAnsi="Times New Roman" w:cs="Times New Roman"/>
        </w:rPr>
        <w:t xml:space="preserve"> defects.</w:t>
      </w:r>
    </w:p>
    <w:p w14:paraId="48CAB514" w14:textId="2D2D14A6" w:rsidR="0068777B" w:rsidRPr="000146FB" w:rsidRDefault="0068777B" w:rsidP="000146FB">
      <w:pPr>
        <w:pStyle w:val="BodyText"/>
        <w:jc w:val="both"/>
        <w:rPr>
          <w:rFonts w:ascii="Times New Roman" w:hAnsi="Times New Roman" w:cs="Times New Roman"/>
        </w:rPr>
      </w:pPr>
      <w:r w:rsidRPr="000146FB">
        <w:rPr>
          <w:rFonts w:ascii="Times New Roman" w:hAnsi="Times New Roman" w:cs="Times New Roman"/>
        </w:rPr>
        <w:t xml:space="preserve">Clinical attachment gain is considered one of the most reliable indicators of successful periodontal regeneration. In the present study, the significantly greater RCAL gain observed in the test group suggests a potential synergistic effect between the antimicrobial action of metronidazole and the regenerative properties of T-PRF. Similar improvements in attachment levels have been reported with platelet concentrates used as adjuncts to periodontal surgery. </w:t>
      </w:r>
      <w:r w:rsidR="00A45FF8">
        <w:rPr>
          <w:rFonts w:ascii="Times New Roman" w:hAnsi="Times New Roman" w:cs="Times New Roman"/>
        </w:rPr>
        <w:t>Miron</w:t>
      </w:r>
      <w:r w:rsidRPr="001F4578">
        <w:rPr>
          <w:rFonts w:ascii="Times New Roman" w:hAnsi="Times New Roman" w:cs="Times New Roman"/>
        </w:rPr>
        <w:t xml:space="preserve"> et al.</w:t>
      </w:r>
      <w:r w:rsidR="001F4578" w:rsidRPr="001F4578">
        <w:rPr>
          <w:rFonts w:ascii="Times New Roman" w:hAnsi="Times New Roman" w:cs="Times New Roman"/>
        </w:rPr>
        <w:t xml:space="preserve"> (2017)</w:t>
      </w:r>
      <w:r w:rsidRPr="000146FB">
        <w:rPr>
          <w:rFonts w:ascii="Times New Roman" w:hAnsi="Times New Roman" w:cs="Times New Roman"/>
        </w:rPr>
        <w:t xml:space="preserve"> reported consistent improvements in clinical attachment gain and pocket reduction following the use of platelet concentrates in regenerative periodontal procedures.</w:t>
      </w:r>
    </w:p>
    <w:p w14:paraId="250561A5" w14:textId="7618EC60" w:rsidR="0068777B" w:rsidRPr="000146FB" w:rsidRDefault="0068777B" w:rsidP="000146FB">
      <w:pPr>
        <w:pStyle w:val="BodyText"/>
        <w:jc w:val="both"/>
        <w:rPr>
          <w:rFonts w:ascii="Times New Roman" w:hAnsi="Times New Roman" w:cs="Times New Roman"/>
        </w:rPr>
      </w:pPr>
      <w:r w:rsidRPr="000146FB">
        <w:rPr>
          <w:rFonts w:ascii="Times New Roman" w:hAnsi="Times New Roman" w:cs="Times New Roman"/>
        </w:rPr>
        <w:t xml:space="preserve">The limitations of the present study include the relatively small sample size and short follow-up period of six months. Furthermore, radiographic and microbiological evaluations were not performed, limiting assessment of hard-tissue regeneration and microbial changes. Future studies with larger sample sizes, longer follow-up </w:t>
      </w:r>
      <w:r w:rsidRPr="000146FB">
        <w:rPr>
          <w:rFonts w:ascii="Times New Roman" w:hAnsi="Times New Roman" w:cs="Times New Roman"/>
        </w:rPr>
        <w:lastRenderedPageBreak/>
        <w:t>periods, and comprehensive radiographic and microbiological analyses are necessary to further validate the clinical efficacy of Metronidazole-infused T-PRF.</w:t>
      </w:r>
    </w:p>
    <w:p w14:paraId="2BEEECD9" w14:textId="77777777" w:rsidR="0075644C" w:rsidRDefault="0068777B" w:rsidP="000146FB">
      <w:pPr>
        <w:pStyle w:val="BodyText"/>
        <w:jc w:val="both"/>
        <w:rPr>
          <w:rFonts w:ascii="Times New Roman" w:hAnsi="Times New Roman" w:cs="Times New Roman"/>
        </w:rPr>
      </w:pPr>
      <w:r w:rsidRPr="000146FB">
        <w:rPr>
          <w:rFonts w:ascii="Times New Roman" w:hAnsi="Times New Roman" w:cs="Times New Roman"/>
        </w:rPr>
        <w:t>Within the limitations of the present study, both T-PRF and Metronidazole-infused T-PRF used in conjunction with OFD resulted in significant clinical improvements. However, the significantly greater RCAL gain observed in the Metronidazole-infused T-PRF group suggests that incorporation of metronidazole into the T-PRF matrix may enhance periodontal healing and improve clinical outcomes compared with T-PRF alone.</w:t>
      </w:r>
    </w:p>
    <w:p w14:paraId="1FE24ADA" w14:textId="77777777" w:rsidR="00A266E1" w:rsidRPr="00A266E1" w:rsidRDefault="00A266E1" w:rsidP="00A266E1">
      <w:pPr>
        <w:pStyle w:val="BodyText"/>
        <w:jc w:val="both"/>
        <w:rPr>
          <w:rFonts w:ascii="Times New Roman" w:hAnsi="Times New Roman" w:cs="Times New Roman"/>
          <w:b/>
          <w:bCs/>
        </w:rPr>
      </w:pPr>
      <w:r w:rsidRPr="00A266E1">
        <w:rPr>
          <w:rFonts w:ascii="Times New Roman" w:hAnsi="Times New Roman" w:cs="Times New Roman"/>
          <w:b/>
          <w:bCs/>
          <w:sz w:val="28"/>
          <w:szCs w:val="28"/>
        </w:rPr>
        <w:t>CONCLUSION</w:t>
      </w:r>
    </w:p>
    <w:p w14:paraId="4F7F7A44" w14:textId="475E61CA" w:rsidR="00A266E1" w:rsidRPr="000146FB" w:rsidRDefault="00A266E1" w:rsidP="00A266E1">
      <w:pPr>
        <w:pStyle w:val="BodyText"/>
        <w:jc w:val="both"/>
        <w:rPr>
          <w:rFonts w:ascii="Times New Roman" w:hAnsi="Times New Roman" w:cs="Times New Roman"/>
        </w:rPr>
      </w:pPr>
      <w:r w:rsidRPr="00A266E1">
        <w:rPr>
          <w:rFonts w:ascii="Times New Roman" w:hAnsi="Times New Roman" w:cs="Times New Roman"/>
        </w:rPr>
        <w:t>Metronidazole-infused T-PRF demonstrated superior clinical outcomes compared with T-PRF alone when used in conjunction with open flap debridement for the treatment of periodontal pockets. Further studies with larger sample sizes and longer follow-up periods are recommended to validate these findings.</w:t>
      </w:r>
    </w:p>
    <w:p w14:paraId="20EC3E0F" w14:textId="3A74BFCD" w:rsidR="00FC64E0" w:rsidRPr="001733DE" w:rsidRDefault="00FC64E0" w:rsidP="000146FB">
      <w:pPr>
        <w:pStyle w:val="BodyText"/>
        <w:jc w:val="both"/>
        <w:rPr>
          <w:rFonts w:ascii="Times New Roman" w:hAnsi="Times New Roman" w:cs="Times New Roman"/>
          <w:sz w:val="28"/>
          <w:szCs w:val="28"/>
        </w:rPr>
      </w:pPr>
      <w:r w:rsidRPr="001733DE">
        <w:rPr>
          <w:rFonts w:ascii="Times New Roman" w:hAnsi="Times New Roman" w:cs="Times New Roman"/>
          <w:b/>
          <w:bCs/>
          <w:sz w:val="28"/>
          <w:szCs w:val="28"/>
        </w:rPr>
        <w:t>ACKNOWLEDGMENT</w:t>
      </w:r>
    </w:p>
    <w:p w14:paraId="2C4F60D9" w14:textId="22157747" w:rsidR="00FB5C8E" w:rsidRDefault="00FC64E0" w:rsidP="000146FB">
      <w:pPr>
        <w:pStyle w:val="BodyText"/>
        <w:jc w:val="both"/>
        <w:rPr>
          <w:rFonts w:ascii="Times New Roman" w:hAnsi="Times New Roman" w:cs="Times New Roman"/>
        </w:rPr>
      </w:pPr>
      <w:r w:rsidRPr="000146FB">
        <w:rPr>
          <w:rFonts w:ascii="Times New Roman" w:hAnsi="Times New Roman" w:cs="Times New Roman"/>
        </w:rPr>
        <w:t>The author reports no conflicts of interest related to the cases presented.</w:t>
      </w:r>
    </w:p>
    <w:p w14:paraId="7D6703AE" w14:textId="23786F8B" w:rsidR="0072712A" w:rsidRDefault="0072712A" w:rsidP="000146FB">
      <w:pPr>
        <w:pStyle w:val="BodyText"/>
        <w:jc w:val="both"/>
        <w:rPr>
          <w:rFonts w:ascii="Times New Roman" w:hAnsi="Times New Roman" w:cs="Times New Roman"/>
          <w:b/>
          <w:bCs/>
          <w:sz w:val="28"/>
          <w:szCs w:val="28"/>
        </w:rPr>
      </w:pPr>
      <w:r w:rsidRPr="0072712A">
        <w:rPr>
          <w:rFonts w:ascii="Times New Roman" w:hAnsi="Times New Roman" w:cs="Times New Roman"/>
          <w:b/>
          <w:bCs/>
          <w:sz w:val="28"/>
          <w:szCs w:val="28"/>
        </w:rPr>
        <w:t>REFERENCES</w:t>
      </w:r>
    </w:p>
    <w:p w14:paraId="10F5A4A9" w14:textId="6A590486" w:rsidR="005616BA" w:rsidRPr="005616BA" w:rsidRDefault="005616BA" w:rsidP="00EB15A7">
      <w:pPr>
        <w:pStyle w:val="BodyText"/>
        <w:jc w:val="both"/>
        <w:rPr>
          <w:rFonts w:ascii="Times New Roman" w:hAnsi="Times New Roman" w:cs="Times New Roman"/>
        </w:rPr>
      </w:pPr>
      <w:r w:rsidRPr="005616BA">
        <w:rPr>
          <w:rFonts w:ascii="Times New Roman" w:hAnsi="Times New Roman" w:cs="Times New Roman"/>
        </w:rPr>
        <w:t>1.</w:t>
      </w:r>
      <w:r w:rsidR="00EB15A7">
        <w:rPr>
          <w:rFonts w:ascii="Times New Roman" w:hAnsi="Times New Roman" w:cs="Times New Roman"/>
        </w:rPr>
        <w:t xml:space="preserve"> </w:t>
      </w:r>
      <w:r w:rsidRPr="005616BA">
        <w:rPr>
          <w:rFonts w:ascii="Times New Roman" w:hAnsi="Times New Roman" w:cs="Times New Roman"/>
        </w:rPr>
        <w:t xml:space="preserve">Bennardo F, Gallelli L, </w:t>
      </w:r>
      <w:proofErr w:type="spellStart"/>
      <w:r w:rsidRPr="005616BA">
        <w:rPr>
          <w:rFonts w:ascii="Times New Roman" w:hAnsi="Times New Roman" w:cs="Times New Roman"/>
        </w:rPr>
        <w:t>Palleria</w:t>
      </w:r>
      <w:proofErr w:type="spellEnd"/>
      <w:r w:rsidRPr="005616BA">
        <w:rPr>
          <w:rFonts w:ascii="Times New Roman" w:hAnsi="Times New Roman" w:cs="Times New Roman"/>
        </w:rPr>
        <w:t xml:space="preserve"> C, Colosimo M, Fortunato L, De Sarro G, Giudice A. Can platelet-rich fibrin act as a natural carrier for antibiotics delivery? A proof-of-concept study for oral surgical procedures. BMC Oral Health. 2023 Mar 9;23(1):134. </w:t>
      </w:r>
      <w:hyperlink r:id="rId16" w:history="1">
        <w:r w:rsidR="000C467A" w:rsidRPr="0008313B">
          <w:rPr>
            <w:rStyle w:val="Hyperlink"/>
            <w:rFonts w:ascii="Times New Roman" w:hAnsi="Times New Roman" w:cs="Times New Roman"/>
          </w:rPr>
          <w:t>https://doi.org/10.1186/s12903-023-02814-5</w:t>
        </w:r>
      </w:hyperlink>
      <w:r w:rsidR="000C467A">
        <w:rPr>
          <w:rFonts w:ascii="Times New Roman" w:hAnsi="Times New Roman" w:cs="Times New Roman"/>
        </w:rPr>
        <w:t xml:space="preserve"> </w:t>
      </w:r>
      <w:r w:rsidRPr="005616BA">
        <w:rPr>
          <w:rFonts w:ascii="Times New Roman" w:hAnsi="Times New Roman" w:cs="Times New Roman"/>
        </w:rPr>
        <w:t xml:space="preserve"> </w:t>
      </w:r>
    </w:p>
    <w:p w14:paraId="3ABA90E8" w14:textId="58164057" w:rsidR="005616BA" w:rsidRPr="005616BA" w:rsidRDefault="005616BA" w:rsidP="00EB15A7">
      <w:pPr>
        <w:pStyle w:val="BodyText"/>
        <w:jc w:val="both"/>
        <w:rPr>
          <w:rFonts w:ascii="Times New Roman" w:hAnsi="Times New Roman" w:cs="Times New Roman"/>
        </w:rPr>
      </w:pPr>
      <w:r w:rsidRPr="005616BA">
        <w:rPr>
          <w:rFonts w:ascii="Times New Roman" w:hAnsi="Times New Roman" w:cs="Times New Roman"/>
        </w:rPr>
        <w:t>2.</w:t>
      </w:r>
      <w:r w:rsidR="00EB15A7">
        <w:rPr>
          <w:rFonts w:ascii="Times New Roman" w:hAnsi="Times New Roman" w:cs="Times New Roman"/>
        </w:rPr>
        <w:t xml:space="preserve"> </w:t>
      </w:r>
      <w:proofErr w:type="spellStart"/>
      <w:r w:rsidRPr="005616BA">
        <w:rPr>
          <w:rFonts w:ascii="Times New Roman" w:hAnsi="Times New Roman" w:cs="Times New Roman"/>
        </w:rPr>
        <w:t>Caffesse</w:t>
      </w:r>
      <w:proofErr w:type="spellEnd"/>
      <w:r w:rsidRPr="005616BA">
        <w:rPr>
          <w:rFonts w:ascii="Times New Roman" w:hAnsi="Times New Roman" w:cs="Times New Roman"/>
        </w:rPr>
        <w:t xml:space="preserve"> RG, Sweeney PL, Smith BA. Scaling and root </w:t>
      </w:r>
      <w:proofErr w:type="spellStart"/>
      <w:r w:rsidRPr="005616BA">
        <w:rPr>
          <w:rFonts w:ascii="Times New Roman" w:hAnsi="Times New Roman" w:cs="Times New Roman"/>
        </w:rPr>
        <w:t>planing</w:t>
      </w:r>
      <w:proofErr w:type="spellEnd"/>
      <w:r w:rsidRPr="005616BA">
        <w:rPr>
          <w:rFonts w:ascii="Times New Roman" w:hAnsi="Times New Roman" w:cs="Times New Roman"/>
        </w:rPr>
        <w:t xml:space="preserve"> with and without periodontal flap surgery. Journal of Clinical Periodontology. 1986 Mar;13(3):205-10. </w:t>
      </w:r>
      <w:hyperlink r:id="rId17" w:history="1">
        <w:r w:rsidR="000C467A" w:rsidRPr="0008313B">
          <w:rPr>
            <w:rStyle w:val="Hyperlink"/>
            <w:rFonts w:ascii="Times New Roman" w:hAnsi="Times New Roman" w:cs="Times New Roman"/>
          </w:rPr>
          <w:t>https://doi.org/10.1111/j.1600-051X.1986.tb01461.x</w:t>
        </w:r>
      </w:hyperlink>
      <w:r w:rsidR="000C467A">
        <w:rPr>
          <w:rFonts w:ascii="Times New Roman" w:hAnsi="Times New Roman" w:cs="Times New Roman"/>
        </w:rPr>
        <w:t xml:space="preserve"> </w:t>
      </w:r>
      <w:r w:rsidRPr="005616BA">
        <w:rPr>
          <w:rFonts w:ascii="Times New Roman" w:hAnsi="Times New Roman" w:cs="Times New Roman"/>
        </w:rPr>
        <w:t xml:space="preserve"> </w:t>
      </w:r>
    </w:p>
    <w:p w14:paraId="2255DFE3" w14:textId="75318B06" w:rsidR="005616BA" w:rsidRPr="005616BA" w:rsidRDefault="005616BA" w:rsidP="00EB15A7">
      <w:pPr>
        <w:pStyle w:val="BodyText"/>
        <w:jc w:val="both"/>
        <w:rPr>
          <w:rFonts w:ascii="Times New Roman" w:hAnsi="Times New Roman" w:cs="Times New Roman"/>
        </w:rPr>
      </w:pPr>
      <w:r w:rsidRPr="005616BA">
        <w:rPr>
          <w:rFonts w:ascii="Times New Roman" w:hAnsi="Times New Roman" w:cs="Times New Roman"/>
        </w:rPr>
        <w:t>3.</w:t>
      </w:r>
      <w:r w:rsidR="00EB15A7">
        <w:rPr>
          <w:rFonts w:ascii="Times New Roman" w:hAnsi="Times New Roman" w:cs="Times New Roman"/>
        </w:rPr>
        <w:t xml:space="preserve"> </w:t>
      </w:r>
      <w:r w:rsidRPr="005616BA">
        <w:rPr>
          <w:rFonts w:ascii="Times New Roman" w:hAnsi="Times New Roman" w:cs="Times New Roman"/>
        </w:rPr>
        <w:t xml:space="preserve">Chatterjee A, Pradeep AR, Garg V, </w:t>
      </w:r>
      <w:proofErr w:type="spellStart"/>
      <w:r w:rsidRPr="005616BA">
        <w:rPr>
          <w:rFonts w:ascii="Times New Roman" w:hAnsi="Times New Roman" w:cs="Times New Roman"/>
        </w:rPr>
        <w:t>Yajamanya</w:t>
      </w:r>
      <w:proofErr w:type="spellEnd"/>
      <w:r w:rsidRPr="005616BA">
        <w:rPr>
          <w:rFonts w:ascii="Times New Roman" w:hAnsi="Times New Roman" w:cs="Times New Roman"/>
        </w:rPr>
        <w:t xml:space="preserve"> S, Ali MM, Priya VS. Treatment of periodontal </w:t>
      </w:r>
      <w:proofErr w:type="spellStart"/>
      <w:r w:rsidRPr="005616BA">
        <w:rPr>
          <w:rFonts w:ascii="Times New Roman" w:hAnsi="Times New Roman" w:cs="Times New Roman"/>
        </w:rPr>
        <w:t>intrabony</w:t>
      </w:r>
      <w:proofErr w:type="spellEnd"/>
      <w:r w:rsidRPr="005616BA">
        <w:rPr>
          <w:rFonts w:ascii="Times New Roman" w:hAnsi="Times New Roman" w:cs="Times New Roman"/>
        </w:rPr>
        <w:t xml:space="preserve"> defects using autologous platelet‐rich fibrin and titanium platelet‐rich fibrin: a randomized, clinical, comparative study. Journal of Investigative and Clinical Dentistry. 2017 Aug;8(3):e12231. </w:t>
      </w:r>
      <w:hyperlink r:id="rId18" w:history="1">
        <w:r w:rsidR="000C467A" w:rsidRPr="0008313B">
          <w:rPr>
            <w:rStyle w:val="Hyperlink"/>
            <w:rFonts w:ascii="Times New Roman" w:hAnsi="Times New Roman" w:cs="Times New Roman"/>
          </w:rPr>
          <w:t>https://doi.org/10.1111/jicd.12231</w:t>
        </w:r>
      </w:hyperlink>
      <w:r w:rsidR="000C467A">
        <w:rPr>
          <w:rFonts w:ascii="Times New Roman" w:hAnsi="Times New Roman" w:cs="Times New Roman"/>
        </w:rPr>
        <w:t xml:space="preserve"> </w:t>
      </w:r>
      <w:r w:rsidRPr="005616BA">
        <w:rPr>
          <w:rFonts w:ascii="Times New Roman" w:hAnsi="Times New Roman" w:cs="Times New Roman"/>
        </w:rPr>
        <w:t xml:space="preserve"> </w:t>
      </w:r>
    </w:p>
    <w:p w14:paraId="537AC581" w14:textId="1C3CDE4F" w:rsidR="005616BA" w:rsidRPr="005616BA" w:rsidRDefault="005616BA" w:rsidP="00EB15A7">
      <w:pPr>
        <w:pStyle w:val="BodyText"/>
        <w:jc w:val="both"/>
        <w:rPr>
          <w:rFonts w:ascii="Times New Roman" w:hAnsi="Times New Roman" w:cs="Times New Roman"/>
        </w:rPr>
      </w:pPr>
      <w:r w:rsidRPr="005616BA">
        <w:rPr>
          <w:rFonts w:ascii="Times New Roman" w:hAnsi="Times New Roman" w:cs="Times New Roman"/>
        </w:rPr>
        <w:t>4.</w:t>
      </w:r>
      <w:r w:rsidR="00EB15A7">
        <w:rPr>
          <w:rFonts w:ascii="Times New Roman" w:hAnsi="Times New Roman" w:cs="Times New Roman"/>
        </w:rPr>
        <w:t xml:space="preserve"> </w:t>
      </w:r>
      <w:proofErr w:type="spellStart"/>
      <w:r w:rsidRPr="005616BA">
        <w:rPr>
          <w:rFonts w:ascii="Times New Roman" w:hAnsi="Times New Roman" w:cs="Times New Roman"/>
        </w:rPr>
        <w:t>Choukroun</w:t>
      </w:r>
      <w:proofErr w:type="spellEnd"/>
      <w:r w:rsidRPr="005616BA">
        <w:rPr>
          <w:rFonts w:ascii="Times New Roman" w:hAnsi="Times New Roman" w:cs="Times New Roman"/>
        </w:rPr>
        <w:t xml:space="preserve"> J, Adda F, Schoeffler C, </w:t>
      </w:r>
      <w:proofErr w:type="spellStart"/>
      <w:r w:rsidRPr="005616BA">
        <w:rPr>
          <w:rFonts w:ascii="Times New Roman" w:hAnsi="Times New Roman" w:cs="Times New Roman"/>
        </w:rPr>
        <w:t>Vervelle</w:t>
      </w:r>
      <w:proofErr w:type="spellEnd"/>
      <w:r w:rsidRPr="005616BA">
        <w:rPr>
          <w:rFonts w:ascii="Times New Roman" w:hAnsi="Times New Roman" w:cs="Times New Roman"/>
        </w:rPr>
        <w:t xml:space="preserve"> AP. Une </w:t>
      </w:r>
      <w:proofErr w:type="spellStart"/>
      <w:r w:rsidRPr="005616BA">
        <w:rPr>
          <w:rFonts w:ascii="Times New Roman" w:hAnsi="Times New Roman" w:cs="Times New Roman"/>
        </w:rPr>
        <w:t>opportunité</w:t>
      </w:r>
      <w:proofErr w:type="spellEnd"/>
      <w:r w:rsidRPr="005616BA">
        <w:rPr>
          <w:rFonts w:ascii="Times New Roman" w:hAnsi="Times New Roman" w:cs="Times New Roman"/>
        </w:rPr>
        <w:t xml:space="preserve"> </w:t>
      </w:r>
      <w:proofErr w:type="spellStart"/>
      <w:r w:rsidRPr="005616BA">
        <w:rPr>
          <w:rFonts w:ascii="Times New Roman" w:hAnsi="Times New Roman" w:cs="Times New Roman"/>
        </w:rPr>
        <w:t>en</w:t>
      </w:r>
      <w:proofErr w:type="spellEnd"/>
      <w:r w:rsidRPr="005616BA">
        <w:rPr>
          <w:rFonts w:ascii="Times New Roman" w:hAnsi="Times New Roman" w:cs="Times New Roman"/>
        </w:rPr>
        <w:t xml:space="preserve"> </w:t>
      </w:r>
      <w:proofErr w:type="spellStart"/>
      <w:r w:rsidRPr="005616BA">
        <w:rPr>
          <w:rFonts w:ascii="Times New Roman" w:hAnsi="Times New Roman" w:cs="Times New Roman"/>
        </w:rPr>
        <w:t>paro-implantologie</w:t>
      </w:r>
      <w:proofErr w:type="spellEnd"/>
      <w:r w:rsidRPr="005616BA">
        <w:rPr>
          <w:rFonts w:ascii="Times New Roman" w:hAnsi="Times New Roman" w:cs="Times New Roman"/>
        </w:rPr>
        <w:t>: le PRF. Implantodontie.2001Jan1;42(55):e62.</w:t>
      </w:r>
      <w:r w:rsidR="000C467A">
        <w:rPr>
          <w:rFonts w:ascii="Times New Roman" w:hAnsi="Times New Roman" w:cs="Times New Roman"/>
        </w:rPr>
        <w:t xml:space="preserve"> </w:t>
      </w:r>
      <w:hyperlink r:id="rId19" w:history="1">
        <w:r w:rsidR="000C467A" w:rsidRPr="0008313B">
          <w:rPr>
            <w:rStyle w:val="Hyperlink"/>
            <w:rFonts w:ascii="Times New Roman" w:hAnsi="Times New Roman" w:cs="Times New Roman"/>
          </w:rPr>
          <w:t>https://www.researchgate.net/publication/284049099_Une_opportunit_en_paro-implantologie_Le_PRF</w:t>
        </w:r>
      </w:hyperlink>
      <w:r w:rsidR="000C467A">
        <w:rPr>
          <w:rFonts w:ascii="Times New Roman" w:hAnsi="Times New Roman" w:cs="Times New Roman"/>
        </w:rPr>
        <w:t xml:space="preserve"> </w:t>
      </w:r>
      <w:r w:rsidRPr="005616BA">
        <w:rPr>
          <w:rFonts w:ascii="Times New Roman" w:hAnsi="Times New Roman" w:cs="Times New Roman"/>
        </w:rPr>
        <w:t xml:space="preserve"> </w:t>
      </w:r>
      <w:r w:rsidR="000C467A">
        <w:rPr>
          <w:rFonts w:ascii="Times New Roman" w:hAnsi="Times New Roman" w:cs="Times New Roman"/>
        </w:rPr>
        <w:t xml:space="preserve"> </w:t>
      </w:r>
    </w:p>
    <w:p w14:paraId="27F7CEFD" w14:textId="369A676C" w:rsidR="005616BA" w:rsidRPr="005616BA" w:rsidRDefault="005616BA" w:rsidP="00EB15A7">
      <w:pPr>
        <w:pStyle w:val="BodyText"/>
        <w:jc w:val="both"/>
        <w:rPr>
          <w:rFonts w:ascii="Times New Roman" w:hAnsi="Times New Roman" w:cs="Times New Roman"/>
        </w:rPr>
      </w:pPr>
      <w:r w:rsidRPr="005616BA">
        <w:rPr>
          <w:rFonts w:ascii="Times New Roman" w:hAnsi="Times New Roman" w:cs="Times New Roman"/>
        </w:rPr>
        <w:t>5.</w:t>
      </w:r>
      <w:r w:rsidR="00EB15A7">
        <w:rPr>
          <w:rFonts w:ascii="Times New Roman" w:hAnsi="Times New Roman" w:cs="Times New Roman"/>
        </w:rPr>
        <w:t xml:space="preserve"> </w:t>
      </w:r>
      <w:r w:rsidRPr="005616BA">
        <w:rPr>
          <w:rFonts w:ascii="Times New Roman" w:hAnsi="Times New Roman" w:cs="Times New Roman"/>
        </w:rPr>
        <w:t xml:space="preserve">Cobb CM. Clinical significance of non‐surgical periodontal therapy: an evidence‐based perspective of scaling and root </w:t>
      </w:r>
      <w:proofErr w:type="spellStart"/>
      <w:r w:rsidRPr="005616BA">
        <w:rPr>
          <w:rFonts w:ascii="Times New Roman" w:hAnsi="Times New Roman" w:cs="Times New Roman"/>
        </w:rPr>
        <w:t>planing</w:t>
      </w:r>
      <w:proofErr w:type="spellEnd"/>
      <w:r w:rsidRPr="005616BA">
        <w:rPr>
          <w:rFonts w:ascii="Times New Roman" w:hAnsi="Times New Roman" w:cs="Times New Roman"/>
        </w:rPr>
        <w:t xml:space="preserve">. Journal of Clinical Periodontology. 2002 May;29:22-32. </w:t>
      </w:r>
      <w:hyperlink r:id="rId20" w:history="1">
        <w:r w:rsidR="000C467A" w:rsidRPr="0008313B">
          <w:rPr>
            <w:rStyle w:val="Hyperlink"/>
            <w:rFonts w:ascii="Times New Roman" w:hAnsi="Times New Roman" w:cs="Times New Roman"/>
          </w:rPr>
          <w:t>https://doi.org/10.1034/j.1600-051X.29.s2.4.x</w:t>
        </w:r>
      </w:hyperlink>
      <w:r w:rsidR="000C467A">
        <w:rPr>
          <w:rFonts w:ascii="Times New Roman" w:hAnsi="Times New Roman" w:cs="Times New Roman"/>
        </w:rPr>
        <w:t xml:space="preserve"> </w:t>
      </w:r>
      <w:r w:rsidRPr="005616BA">
        <w:rPr>
          <w:rFonts w:ascii="Times New Roman" w:hAnsi="Times New Roman" w:cs="Times New Roman"/>
        </w:rPr>
        <w:t xml:space="preserve"> </w:t>
      </w:r>
    </w:p>
    <w:p w14:paraId="68CC93AE" w14:textId="6FF33FBB" w:rsidR="005616BA" w:rsidRPr="005616BA" w:rsidRDefault="005616BA" w:rsidP="00EB15A7">
      <w:pPr>
        <w:pStyle w:val="BodyText"/>
        <w:jc w:val="both"/>
        <w:rPr>
          <w:rFonts w:ascii="Times New Roman" w:hAnsi="Times New Roman" w:cs="Times New Roman"/>
        </w:rPr>
      </w:pPr>
      <w:r w:rsidRPr="005616BA">
        <w:rPr>
          <w:rFonts w:ascii="Times New Roman" w:hAnsi="Times New Roman" w:cs="Times New Roman"/>
        </w:rPr>
        <w:t>6.</w:t>
      </w:r>
      <w:r w:rsidR="000C467A">
        <w:rPr>
          <w:rFonts w:ascii="Times New Roman" w:hAnsi="Times New Roman" w:cs="Times New Roman"/>
        </w:rPr>
        <w:t xml:space="preserve"> </w:t>
      </w:r>
      <w:r w:rsidRPr="005616BA">
        <w:rPr>
          <w:rFonts w:ascii="Times New Roman" w:hAnsi="Times New Roman" w:cs="Times New Roman"/>
        </w:rPr>
        <w:t>Drisko</w:t>
      </w:r>
      <w:r w:rsidR="000C467A">
        <w:rPr>
          <w:rFonts w:ascii="Times New Roman" w:hAnsi="Times New Roman" w:cs="Times New Roman"/>
        </w:rPr>
        <w:t xml:space="preserve"> </w:t>
      </w:r>
      <w:r w:rsidRPr="005616BA">
        <w:rPr>
          <w:rFonts w:ascii="Times New Roman" w:hAnsi="Times New Roman" w:cs="Times New Roman"/>
        </w:rPr>
        <w:t xml:space="preserve">CH. Nonsurgical periodontal therapy. Periodontology 2000. 2001 Feb 1;25(1). </w:t>
      </w:r>
      <w:hyperlink r:id="rId21" w:history="1">
        <w:r w:rsidR="000C467A" w:rsidRPr="0008313B">
          <w:rPr>
            <w:rStyle w:val="Hyperlink"/>
            <w:rFonts w:ascii="Times New Roman" w:hAnsi="Times New Roman" w:cs="Times New Roman"/>
          </w:rPr>
          <w:t>https://doi.org/10.1034/j.1600-0757.2001.22250106.x</w:t>
        </w:r>
      </w:hyperlink>
      <w:r w:rsidR="000C467A">
        <w:rPr>
          <w:rFonts w:ascii="Times New Roman" w:hAnsi="Times New Roman" w:cs="Times New Roman"/>
        </w:rPr>
        <w:t xml:space="preserve"> </w:t>
      </w:r>
      <w:r w:rsidRPr="005616BA">
        <w:rPr>
          <w:rFonts w:ascii="Times New Roman" w:hAnsi="Times New Roman" w:cs="Times New Roman"/>
        </w:rPr>
        <w:t xml:space="preserve"> </w:t>
      </w:r>
    </w:p>
    <w:p w14:paraId="0B4A56E7" w14:textId="36408F47" w:rsidR="005616BA" w:rsidRPr="005616BA" w:rsidRDefault="005616BA" w:rsidP="00EB15A7">
      <w:pPr>
        <w:pStyle w:val="BodyText"/>
        <w:jc w:val="both"/>
        <w:rPr>
          <w:rFonts w:ascii="Times New Roman" w:hAnsi="Times New Roman" w:cs="Times New Roman"/>
        </w:rPr>
      </w:pPr>
      <w:r w:rsidRPr="005616BA">
        <w:rPr>
          <w:rFonts w:ascii="Times New Roman" w:hAnsi="Times New Roman" w:cs="Times New Roman"/>
        </w:rPr>
        <w:t>7.</w:t>
      </w:r>
      <w:r w:rsidR="000C467A">
        <w:rPr>
          <w:rFonts w:ascii="Times New Roman" w:hAnsi="Times New Roman" w:cs="Times New Roman"/>
        </w:rPr>
        <w:t xml:space="preserve"> </w:t>
      </w:r>
      <w:r w:rsidRPr="005616BA">
        <w:rPr>
          <w:rFonts w:ascii="Times New Roman" w:hAnsi="Times New Roman" w:cs="Times New Roman"/>
        </w:rPr>
        <w:t xml:space="preserve">Ercan E, </w:t>
      </w:r>
      <w:proofErr w:type="spellStart"/>
      <w:r w:rsidRPr="005616BA">
        <w:rPr>
          <w:rFonts w:ascii="Times New Roman" w:hAnsi="Times New Roman" w:cs="Times New Roman"/>
        </w:rPr>
        <w:t>Suner</w:t>
      </w:r>
      <w:proofErr w:type="spellEnd"/>
      <w:r w:rsidRPr="005616BA">
        <w:rPr>
          <w:rFonts w:ascii="Times New Roman" w:hAnsi="Times New Roman" w:cs="Times New Roman"/>
        </w:rPr>
        <w:t xml:space="preserve"> SS, Silan C, Yilmaz S, </w:t>
      </w:r>
      <w:proofErr w:type="spellStart"/>
      <w:r w:rsidRPr="005616BA">
        <w:rPr>
          <w:rFonts w:ascii="Times New Roman" w:hAnsi="Times New Roman" w:cs="Times New Roman"/>
        </w:rPr>
        <w:t>Siddikoglu</w:t>
      </w:r>
      <w:proofErr w:type="spellEnd"/>
      <w:r w:rsidRPr="005616BA">
        <w:rPr>
          <w:rFonts w:ascii="Times New Roman" w:hAnsi="Times New Roman" w:cs="Times New Roman"/>
        </w:rPr>
        <w:t xml:space="preserve"> D, </w:t>
      </w:r>
      <w:proofErr w:type="spellStart"/>
      <w:r w:rsidRPr="005616BA">
        <w:rPr>
          <w:rFonts w:ascii="Times New Roman" w:hAnsi="Times New Roman" w:cs="Times New Roman"/>
        </w:rPr>
        <w:t>Sahiner</w:t>
      </w:r>
      <w:proofErr w:type="spellEnd"/>
      <w:r w:rsidRPr="005616BA">
        <w:rPr>
          <w:rFonts w:ascii="Times New Roman" w:hAnsi="Times New Roman" w:cs="Times New Roman"/>
        </w:rPr>
        <w:t xml:space="preserve"> N, </w:t>
      </w:r>
      <w:proofErr w:type="spellStart"/>
      <w:r w:rsidRPr="005616BA">
        <w:rPr>
          <w:rFonts w:ascii="Times New Roman" w:hAnsi="Times New Roman" w:cs="Times New Roman"/>
        </w:rPr>
        <w:t>Tunali</w:t>
      </w:r>
      <w:proofErr w:type="spellEnd"/>
      <w:r w:rsidRPr="005616BA">
        <w:rPr>
          <w:rFonts w:ascii="Times New Roman" w:hAnsi="Times New Roman" w:cs="Times New Roman"/>
        </w:rPr>
        <w:t xml:space="preserve"> M. Titanium platelet–rich fibrin (T-PRF) as high-capacity doxycycline delivery system. Clinical Oral Investigations. 2022 Aug;26(8):5429-38. </w:t>
      </w:r>
      <w:hyperlink r:id="rId22" w:history="1">
        <w:r w:rsidR="000C467A" w:rsidRPr="0008313B">
          <w:rPr>
            <w:rStyle w:val="Hyperlink"/>
            <w:rFonts w:ascii="Times New Roman" w:hAnsi="Times New Roman" w:cs="Times New Roman"/>
          </w:rPr>
          <w:t>https://doi.org/10.1007/s00784-022-04510-0</w:t>
        </w:r>
      </w:hyperlink>
      <w:r w:rsidR="000C467A">
        <w:rPr>
          <w:rFonts w:ascii="Times New Roman" w:hAnsi="Times New Roman" w:cs="Times New Roman"/>
        </w:rPr>
        <w:t xml:space="preserve"> </w:t>
      </w:r>
      <w:r w:rsidRPr="005616BA">
        <w:rPr>
          <w:rFonts w:ascii="Times New Roman" w:hAnsi="Times New Roman" w:cs="Times New Roman"/>
        </w:rPr>
        <w:t xml:space="preserve"> </w:t>
      </w:r>
    </w:p>
    <w:p w14:paraId="3DF4837B" w14:textId="05DA1DDA" w:rsidR="005616BA" w:rsidRPr="005616BA" w:rsidRDefault="005616BA" w:rsidP="00EB15A7">
      <w:pPr>
        <w:pStyle w:val="BodyText"/>
        <w:jc w:val="both"/>
        <w:rPr>
          <w:rFonts w:ascii="Times New Roman" w:hAnsi="Times New Roman" w:cs="Times New Roman"/>
        </w:rPr>
      </w:pPr>
      <w:r w:rsidRPr="005616BA">
        <w:rPr>
          <w:rFonts w:ascii="Times New Roman" w:hAnsi="Times New Roman" w:cs="Times New Roman"/>
        </w:rPr>
        <w:t>8.</w:t>
      </w:r>
      <w:r w:rsidR="000C467A">
        <w:rPr>
          <w:rFonts w:ascii="Times New Roman" w:hAnsi="Times New Roman" w:cs="Times New Roman"/>
        </w:rPr>
        <w:t xml:space="preserve"> </w:t>
      </w:r>
      <w:r w:rsidRPr="005616BA">
        <w:rPr>
          <w:rFonts w:ascii="Times New Roman" w:hAnsi="Times New Roman" w:cs="Times New Roman"/>
        </w:rPr>
        <w:t xml:space="preserve">Feres M, Figueiredo LC, Soares GM, </w:t>
      </w:r>
      <w:proofErr w:type="spellStart"/>
      <w:r w:rsidRPr="005616BA">
        <w:rPr>
          <w:rFonts w:ascii="Times New Roman" w:hAnsi="Times New Roman" w:cs="Times New Roman"/>
        </w:rPr>
        <w:t>Faveri</w:t>
      </w:r>
      <w:proofErr w:type="spellEnd"/>
      <w:r w:rsidRPr="005616BA">
        <w:rPr>
          <w:rFonts w:ascii="Times New Roman" w:hAnsi="Times New Roman" w:cs="Times New Roman"/>
        </w:rPr>
        <w:t xml:space="preserve"> M. Systemic antibiotics in the treatment of periodontitis. Periodontology 2000. 2015 Feb;67(1):131-86. </w:t>
      </w:r>
      <w:hyperlink r:id="rId23" w:history="1">
        <w:r w:rsidR="000C467A" w:rsidRPr="0008313B">
          <w:rPr>
            <w:rStyle w:val="Hyperlink"/>
            <w:rFonts w:ascii="Times New Roman" w:hAnsi="Times New Roman" w:cs="Times New Roman"/>
          </w:rPr>
          <w:t>https://doi.org/10.1111/prd.12075</w:t>
        </w:r>
      </w:hyperlink>
      <w:r w:rsidR="000C467A">
        <w:rPr>
          <w:rFonts w:ascii="Times New Roman" w:hAnsi="Times New Roman" w:cs="Times New Roman"/>
        </w:rPr>
        <w:t xml:space="preserve"> </w:t>
      </w:r>
      <w:r w:rsidRPr="005616BA">
        <w:rPr>
          <w:rFonts w:ascii="Times New Roman" w:hAnsi="Times New Roman" w:cs="Times New Roman"/>
        </w:rPr>
        <w:t xml:space="preserve"> </w:t>
      </w:r>
    </w:p>
    <w:p w14:paraId="6864DBED" w14:textId="4E3F99D3" w:rsidR="005616BA" w:rsidRPr="005616BA" w:rsidRDefault="005616BA" w:rsidP="00EB15A7">
      <w:pPr>
        <w:pStyle w:val="BodyText"/>
        <w:jc w:val="both"/>
        <w:rPr>
          <w:rFonts w:ascii="Times New Roman" w:hAnsi="Times New Roman" w:cs="Times New Roman"/>
        </w:rPr>
      </w:pPr>
      <w:r w:rsidRPr="005616BA">
        <w:rPr>
          <w:rFonts w:ascii="Times New Roman" w:hAnsi="Times New Roman" w:cs="Times New Roman"/>
        </w:rPr>
        <w:t>9.</w:t>
      </w:r>
      <w:r w:rsidR="000C467A">
        <w:rPr>
          <w:rFonts w:ascii="Times New Roman" w:hAnsi="Times New Roman" w:cs="Times New Roman"/>
        </w:rPr>
        <w:t xml:space="preserve"> </w:t>
      </w:r>
      <w:r w:rsidRPr="005616BA">
        <w:rPr>
          <w:rFonts w:ascii="Times New Roman" w:hAnsi="Times New Roman" w:cs="Times New Roman"/>
        </w:rPr>
        <w:t xml:space="preserve">Gasparro R, Di Spirito F, Campana MD, Sammartino G, Di Lauro AE. The role of autologous platelet concentrates as a local antibiotic delivery system: a systematic scoping review. Antibiotics. 2024 Sep 6;13(9):856. </w:t>
      </w:r>
      <w:hyperlink r:id="rId24" w:history="1">
        <w:r w:rsidR="000C467A" w:rsidRPr="0008313B">
          <w:rPr>
            <w:rStyle w:val="Hyperlink"/>
            <w:rFonts w:ascii="Times New Roman" w:hAnsi="Times New Roman" w:cs="Times New Roman"/>
          </w:rPr>
          <w:t>https://doi.org/10.3390/antibiotics13090856</w:t>
        </w:r>
      </w:hyperlink>
      <w:r w:rsidR="000C467A">
        <w:rPr>
          <w:rFonts w:ascii="Times New Roman" w:hAnsi="Times New Roman" w:cs="Times New Roman"/>
        </w:rPr>
        <w:t xml:space="preserve"> </w:t>
      </w:r>
      <w:r w:rsidRPr="005616BA">
        <w:rPr>
          <w:rFonts w:ascii="Times New Roman" w:hAnsi="Times New Roman" w:cs="Times New Roman"/>
        </w:rPr>
        <w:t xml:space="preserve"> </w:t>
      </w:r>
    </w:p>
    <w:p w14:paraId="0055EF90" w14:textId="409EBCDD" w:rsidR="005616BA" w:rsidRPr="005616BA" w:rsidRDefault="005616BA" w:rsidP="00EB15A7">
      <w:pPr>
        <w:pStyle w:val="BodyText"/>
        <w:jc w:val="both"/>
        <w:rPr>
          <w:rFonts w:ascii="Times New Roman" w:hAnsi="Times New Roman" w:cs="Times New Roman"/>
        </w:rPr>
      </w:pPr>
      <w:r w:rsidRPr="005616BA">
        <w:rPr>
          <w:rFonts w:ascii="Times New Roman" w:hAnsi="Times New Roman" w:cs="Times New Roman"/>
        </w:rPr>
        <w:t>10.</w:t>
      </w:r>
      <w:r w:rsidR="000C467A">
        <w:rPr>
          <w:rFonts w:ascii="Times New Roman" w:hAnsi="Times New Roman" w:cs="Times New Roman"/>
        </w:rPr>
        <w:t xml:space="preserve"> </w:t>
      </w:r>
      <w:r w:rsidRPr="005616BA">
        <w:rPr>
          <w:rFonts w:ascii="Times New Roman" w:hAnsi="Times New Roman" w:cs="Times New Roman"/>
        </w:rPr>
        <w:t xml:space="preserve">Goodson JM. Antimicrobial strategies for treatment of periodontal diseases. Periodontology 2000. 1994 Jun;5(1):142-68. </w:t>
      </w:r>
      <w:hyperlink r:id="rId25" w:history="1">
        <w:r w:rsidR="000C467A" w:rsidRPr="0008313B">
          <w:rPr>
            <w:rStyle w:val="Hyperlink"/>
            <w:rFonts w:ascii="Times New Roman" w:hAnsi="Times New Roman" w:cs="Times New Roman"/>
          </w:rPr>
          <w:t>https://doi.org/10.1111/j.1600-0757.1994.tb00022.x</w:t>
        </w:r>
      </w:hyperlink>
      <w:r w:rsidR="000C467A">
        <w:rPr>
          <w:rFonts w:ascii="Times New Roman" w:hAnsi="Times New Roman" w:cs="Times New Roman"/>
        </w:rPr>
        <w:t xml:space="preserve"> </w:t>
      </w:r>
      <w:r w:rsidRPr="005616BA">
        <w:rPr>
          <w:rFonts w:ascii="Times New Roman" w:hAnsi="Times New Roman" w:cs="Times New Roman"/>
        </w:rPr>
        <w:t xml:space="preserve"> </w:t>
      </w:r>
    </w:p>
    <w:p w14:paraId="7BD42054" w14:textId="2530D685" w:rsidR="005616BA" w:rsidRPr="005616BA" w:rsidRDefault="005616BA" w:rsidP="00EB15A7">
      <w:pPr>
        <w:pStyle w:val="BodyText"/>
        <w:jc w:val="both"/>
        <w:rPr>
          <w:rFonts w:ascii="Times New Roman" w:hAnsi="Times New Roman" w:cs="Times New Roman"/>
        </w:rPr>
      </w:pPr>
      <w:r w:rsidRPr="005616BA">
        <w:rPr>
          <w:rFonts w:ascii="Times New Roman" w:hAnsi="Times New Roman" w:cs="Times New Roman"/>
        </w:rPr>
        <w:t>11.</w:t>
      </w:r>
      <w:r w:rsidR="000C467A">
        <w:rPr>
          <w:rFonts w:ascii="Times New Roman" w:hAnsi="Times New Roman" w:cs="Times New Roman"/>
        </w:rPr>
        <w:t xml:space="preserve"> </w:t>
      </w:r>
      <w:r w:rsidRPr="005616BA">
        <w:rPr>
          <w:rFonts w:ascii="Times New Roman" w:hAnsi="Times New Roman" w:cs="Times New Roman"/>
        </w:rPr>
        <w:t xml:space="preserve">Heitz‐Mayfield LJ, Lang NP. Surgical and nonsurgical periodontal therapy. Learned and unlearned concepts. Periodontology 2000. 2013 Jun;62(1):218-31. </w:t>
      </w:r>
      <w:hyperlink r:id="rId26" w:history="1">
        <w:r w:rsidR="000C467A" w:rsidRPr="0008313B">
          <w:rPr>
            <w:rStyle w:val="Hyperlink"/>
            <w:rFonts w:ascii="Times New Roman" w:hAnsi="Times New Roman" w:cs="Times New Roman"/>
          </w:rPr>
          <w:t>https://doi.org/10.1111/prd.12008</w:t>
        </w:r>
      </w:hyperlink>
      <w:r w:rsidR="000C467A">
        <w:rPr>
          <w:rFonts w:ascii="Times New Roman" w:hAnsi="Times New Roman" w:cs="Times New Roman"/>
        </w:rPr>
        <w:t xml:space="preserve">  </w:t>
      </w:r>
      <w:r w:rsidRPr="005616BA">
        <w:rPr>
          <w:rFonts w:ascii="Times New Roman" w:hAnsi="Times New Roman" w:cs="Times New Roman"/>
        </w:rPr>
        <w:t xml:space="preserve"> </w:t>
      </w:r>
    </w:p>
    <w:p w14:paraId="13E93F7D" w14:textId="5CC32AC9" w:rsidR="005616BA" w:rsidRPr="005616BA" w:rsidRDefault="005616BA" w:rsidP="00EB15A7">
      <w:pPr>
        <w:pStyle w:val="BodyText"/>
        <w:jc w:val="both"/>
        <w:rPr>
          <w:rFonts w:ascii="Times New Roman" w:hAnsi="Times New Roman" w:cs="Times New Roman"/>
        </w:rPr>
      </w:pPr>
      <w:r w:rsidRPr="005616BA">
        <w:rPr>
          <w:rFonts w:ascii="Times New Roman" w:hAnsi="Times New Roman" w:cs="Times New Roman"/>
        </w:rPr>
        <w:lastRenderedPageBreak/>
        <w:t>12.</w:t>
      </w:r>
      <w:r w:rsidR="000C467A">
        <w:rPr>
          <w:rFonts w:ascii="Times New Roman" w:hAnsi="Times New Roman" w:cs="Times New Roman"/>
        </w:rPr>
        <w:t xml:space="preserve"> </w:t>
      </w:r>
      <w:r w:rsidRPr="005616BA">
        <w:rPr>
          <w:rFonts w:ascii="Times New Roman" w:hAnsi="Times New Roman" w:cs="Times New Roman"/>
        </w:rPr>
        <w:t xml:space="preserve">Indurkar MS, Purohit JN. Titanium platelet-rich fibrin (T-PRF) as doxycycline delivery system: an in-vitro study. Int J Oral Health Dent. 2024;10:91-4. </w:t>
      </w:r>
      <w:hyperlink r:id="rId27" w:history="1">
        <w:r w:rsidR="000C467A" w:rsidRPr="0008313B">
          <w:rPr>
            <w:rStyle w:val="Hyperlink"/>
            <w:rFonts w:ascii="Times New Roman" w:hAnsi="Times New Roman" w:cs="Times New Roman"/>
          </w:rPr>
          <w:t>https://doi.org/10.18231/j.ijohd.2024.019</w:t>
        </w:r>
      </w:hyperlink>
      <w:r w:rsidR="000C467A">
        <w:rPr>
          <w:rFonts w:ascii="Times New Roman" w:hAnsi="Times New Roman" w:cs="Times New Roman"/>
        </w:rPr>
        <w:t xml:space="preserve"> </w:t>
      </w:r>
      <w:r w:rsidRPr="005616BA">
        <w:rPr>
          <w:rFonts w:ascii="Times New Roman" w:hAnsi="Times New Roman" w:cs="Times New Roman"/>
        </w:rPr>
        <w:t xml:space="preserve"> </w:t>
      </w:r>
    </w:p>
    <w:p w14:paraId="763561C5" w14:textId="095705F7" w:rsidR="005616BA" w:rsidRPr="005616BA" w:rsidRDefault="005616BA" w:rsidP="00EB15A7">
      <w:pPr>
        <w:pStyle w:val="BodyText"/>
        <w:jc w:val="both"/>
        <w:rPr>
          <w:rFonts w:ascii="Times New Roman" w:hAnsi="Times New Roman" w:cs="Times New Roman"/>
        </w:rPr>
      </w:pPr>
      <w:r w:rsidRPr="005616BA">
        <w:rPr>
          <w:rFonts w:ascii="Times New Roman" w:hAnsi="Times New Roman" w:cs="Times New Roman"/>
        </w:rPr>
        <w:t>13.</w:t>
      </w:r>
      <w:r w:rsidR="000C467A">
        <w:rPr>
          <w:rFonts w:ascii="Times New Roman" w:hAnsi="Times New Roman" w:cs="Times New Roman"/>
        </w:rPr>
        <w:t xml:space="preserve"> </w:t>
      </w:r>
      <w:proofErr w:type="spellStart"/>
      <w:r w:rsidRPr="005616BA">
        <w:rPr>
          <w:rFonts w:ascii="Times New Roman" w:hAnsi="Times New Roman" w:cs="Times New Roman"/>
        </w:rPr>
        <w:t>Löe</w:t>
      </w:r>
      <w:proofErr w:type="spellEnd"/>
      <w:r w:rsidRPr="005616BA">
        <w:rPr>
          <w:rFonts w:ascii="Times New Roman" w:hAnsi="Times New Roman" w:cs="Times New Roman"/>
        </w:rPr>
        <w:t xml:space="preserve"> H, </w:t>
      </w:r>
      <w:proofErr w:type="spellStart"/>
      <w:r w:rsidRPr="005616BA">
        <w:rPr>
          <w:rFonts w:ascii="Times New Roman" w:hAnsi="Times New Roman" w:cs="Times New Roman"/>
        </w:rPr>
        <w:t>Silness</w:t>
      </w:r>
      <w:proofErr w:type="spellEnd"/>
      <w:r w:rsidRPr="005616BA">
        <w:rPr>
          <w:rFonts w:ascii="Times New Roman" w:hAnsi="Times New Roman" w:cs="Times New Roman"/>
        </w:rPr>
        <w:t xml:space="preserve"> J. Periodontal disease in pregnancy I. Prevalence and severity. Acta </w:t>
      </w:r>
      <w:proofErr w:type="spellStart"/>
      <w:r w:rsidRPr="005616BA">
        <w:rPr>
          <w:rFonts w:ascii="Times New Roman" w:hAnsi="Times New Roman" w:cs="Times New Roman"/>
        </w:rPr>
        <w:t>Odontologica</w:t>
      </w:r>
      <w:proofErr w:type="spellEnd"/>
      <w:r w:rsidRPr="005616BA">
        <w:rPr>
          <w:rFonts w:ascii="Times New Roman" w:hAnsi="Times New Roman" w:cs="Times New Roman"/>
        </w:rPr>
        <w:t xml:space="preserve"> Scandinavica. 1963 Jan 1;21(6):533-51. </w:t>
      </w:r>
      <w:hyperlink r:id="rId28" w:history="1">
        <w:r w:rsidR="000C467A" w:rsidRPr="0008313B">
          <w:rPr>
            <w:rStyle w:val="Hyperlink"/>
            <w:rFonts w:ascii="Times New Roman" w:hAnsi="Times New Roman" w:cs="Times New Roman"/>
          </w:rPr>
          <w:t>https://doi.org/10.3109/00016356309011240</w:t>
        </w:r>
      </w:hyperlink>
      <w:r w:rsidR="000C467A">
        <w:rPr>
          <w:rFonts w:ascii="Times New Roman" w:hAnsi="Times New Roman" w:cs="Times New Roman"/>
        </w:rPr>
        <w:t xml:space="preserve"> </w:t>
      </w:r>
      <w:r w:rsidRPr="005616BA">
        <w:rPr>
          <w:rFonts w:ascii="Times New Roman" w:hAnsi="Times New Roman" w:cs="Times New Roman"/>
        </w:rPr>
        <w:t xml:space="preserve"> </w:t>
      </w:r>
    </w:p>
    <w:p w14:paraId="78F4A7B7" w14:textId="1B00C8D3" w:rsidR="005616BA" w:rsidRPr="005616BA" w:rsidRDefault="005616BA" w:rsidP="00EB15A7">
      <w:pPr>
        <w:pStyle w:val="BodyText"/>
        <w:jc w:val="both"/>
        <w:rPr>
          <w:rFonts w:ascii="Times New Roman" w:hAnsi="Times New Roman" w:cs="Times New Roman"/>
        </w:rPr>
      </w:pPr>
      <w:r w:rsidRPr="005616BA">
        <w:rPr>
          <w:rFonts w:ascii="Times New Roman" w:hAnsi="Times New Roman" w:cs="Times New Roman"/>
        </w:rPr>
        <w:t>14.</w:t>
      </w:r>
      <w:r w:rsidR="000C467A">
        <w:rPr>
          <w:rFonts w:ascii="Times New Roman" w:hAnsi="Times New Roman" w:cs="Times New Roman"/>
        </w:rPr>
        <w:t xml:space="preserve"> </w:t>
      </w:r>
      <w:r w:rsidRPr="005616BA">
        <w:rPr>
          <w:rFonts w:ascii="Times New Roman" w:hAnsi="Times New Roman" w:cs="Times New Roman"/>
        </w:rPr>
        <w:t xml:space="preserve">Miron RJ, </w:t>
      </w:r>
      <w:proofErr w:type="spellStart"/>
      <w:r w:rsidRPr="005616BA">
        <w:rPr>
          <w:rFonts w:ascii="Times New Roman" w:hAnsi="Times New Roman" w:cs="Times New Roman"/>
        </w:rPr>
        <w:t>Choukroun</w:t>
      </w:r>
      <w:proofErr w:type="spellEnd"/>
      <w:r w:rsidRPr="005616BA">
        <w:rPr>
          <w:rFonts w:ascii="Times New Roman" w:hAnsi="Times New Roman" w:cs="Times New Roman"/>
        </w:rPr>
        <w:t xml:space="preserve"> J. Platelet Rich Fibrin in Regenerative Dentistry. Hoboken: Wiley Online Library; 2017. </w:t>
      </w:r>
      <w:hyperlink r:id="rId29" w:history="1">
        <w:r w:rsidR="000C467A" w:rsidRPr="0008313B">
          <w:rPr>
            <w:rStyle w:val="Hyperlink"/>
            <w:rFonts w:ascii="Times New Roman" w:hAnsi="Times New Roman" w:cs="Times New Roman"/>
          </w:rPr>
          <w:t>https://doi.org/10.1002/9781119406792</w:t>
        </w:r>
      </w:hyperlink>
      <w:r w:rsidR="000C467A">
        <w:rPr>
          <w:rFonts w:ascii="Times New Roman" w:hAnsi="Times New Roman" w:cs="Times New Roman"/>
        </w:rPr>
        <w:t xml:space="preserve"> </w:t>
      </w:r>
      <w:r w:rsidRPr="005616BA">
        <w:rPr>
          <w:rFonts w:ascii="Times New Roman" w:hAnsi="Times New Roman" w:cs="Times New Roman"/>
        </w:rPr>
        <w:t xml:space="preserve"> </w:t>
      </w:r>
      <w:r w:rsidR="000C467A">
        <w:rPr>
          <w:rFonts w:ascii="Times New Roman" w:hAnsi="Times New Roman" w:cs="Times New Roman"/>
        </w:rPr>
        <w:t xml:space="preserve"> </w:t>
      </w:r>
    </w:p>
    <w:p w14:paraId="5CD32013" w14:textId="5DCA6AD6" w:rsidR="005616BA" w:rsidRPr="005616BA" w:rsidRDefault="005616BA" w:rsidP="00EB15A7">
      <w:pPr>
        <w:pStyle w:val="BodyText"/>
        <w:jc w:val="both"/>
        <w:rPr>
          <w:rFonts w:ascii="Times New Roman" w:hAnsi="Times New Roman" w:cs="Times New Roman"/>
        </w:rPr>
      </w:pPr>
      <w:r w:rsidRPr="005616BA">
        <w:rPr>
          <w:rFonts w:ascii="Times New Roman" w:hAnsi="Times New Roman" w:cs="Times New Roman"/>
        </w:rPr>
        <w:t>15.</w:t>
      </w:r>
      <w:r w:rsidR="000C467A">
        <w:rPr>
          <w:rFonts w:ascii="Times New Roman" w:hAnsi="Times New Roman" w:cs="Times New Roman"/>
        </w:rPr>
        <w:t xml:space="preserve"> </w:t>
      </w:r>
      <w:r w:rsidRPr="005616BA">
        <w:rPr>
          <w:rFonts w:ascii="Times New Roman" w:hAnsi="Times New Roman" w:cs="Times New Roman"/>
        </w:rPr>
        <w:t xml:space="preserve">Polak D, Clemer‐Shamai N, Shapira L. Incorporating antibiotics into platelet‐rich fibrin: a novel antibiotics slow‐release biological device. Journal of Clinical Periodontology. 2019 Feb;46(2):241-7. </w:t>
      </w:r>
      <w:hyperlink r:id="rId30" w:history="1">
        <w:r w:rsidR="000C467A" w:rsidRPr="0008313B">
          <w:rPr>
            <w:rStyle w:val="Hyperlink"/>
            <w:rFonts w:ascii="Times New Roman" w:hAnsi="Times New Roman" w:cs="Times New Roman"/>
          </w:rPr>
          <w:t>https://doi.org/10.1111/jcpe.13063</w:t>
        </w:r>
      </w:hyperlink>
      <w:r w:rsidR="000C467A">
        <w:rPr>
          <w:rFonts w:ascii="Times New Roman" w:hAnsi="Times New Roman" w:cs="Times New Roman"/>
        </w:rPr>
        <w:t xml:space="preserve"> </w:t>
      </w:r>
      <w:r w:rsidRPr="005616BA">
        <w:rPr>
          <w:rFonts w:ascii="Times New Roman" w:hAnsi="Times New Roman" w:cs="Times New Roman"/>
        </w:rPr>
        <w:t xml:space="preserve"> </w:t>
      </w:r>
    </w:p>
    <w:p w14:paraId="2A8257D7" w14:textId="1439CE74" w:rsidR="005616BA" w:rsidRPr="005616BA" w:rsidRDefault="005616BA" w:rsidP="00EB15A7">
      <w:pPr>
        <w:pStyle w:val="BodyText"/>
        <w:jc w:val="both"/>
        <w:rPr>
          <w:rFonts w:ascii="Times New Roman" w:hAnsi="Times New Roman" w:cs="Times New Roman"/>
        </w:rPr>
      </w:pPr>
      <w:r w:rsidRPr="005616BA">
        <w:rPr>
          <w:rFonts w:ascii="Times New Roman" w:hAnsi="Times New Roman" w:cs="Times New Roman"/>
        </w:rPr>
        <w:t>16.</w:t>
      </w:r>
      <w:r w:rsidR="000C467A">
        <w:rPr>
          <w:rFonts w:ascii="Times New Roman" w:hAnsi="Times New Roman" w:cs="Times New Roman"/>
        </w:rPr>
        <w:t xml:space="preserve"> </w:t>
      </w:r>
      <w:r w:rsidRPr="005616BA">
        <w:rPr>
          <w:rFonts w:ascii="Times New Roman" w:hAnsi="Times New Roman" w:cs="Times New Roman"/>
        </w:rPr>
        <w:t xml:space="preserve">Rams TE, Slots J. Local delivery of antimicrobial agents in the periodontal pocket. Periodontology 2000. 1996 Feb;10(1):139-59. </w:t>
      </w:r>
      <w:hyperlink r:id="rId31" w:history="1">
        <w:r w:rsidR="000C467A" w:rsidRPr="0008313B">
          <w:rPr>
            <w:rStyle w:val="Hyperlink"/>
            <w:rFonts w:ascii="Times New Roman" w:hAnsi="Times New Roman" w:cs="Times New Roman"/>
          </w:rPr>
          <w:t>https://doi.org/10.1111/j.1600-0757.1996.tb00072.x</w:t>
        </w:r>
      </w:hyperlink>
      <w:r w:rsidR="000C467A">
        <w:rPr>
          <w:rFonts w:ascii="Times New Roman" w:hAnsi="Times New Roman" w:cs="Times New Roman"/>
        </w:rPr>
        <w:t xml:space="preserve"> </w:t>
      </w:r>
      <w:r w:rsidRPr="005616BA">
        <w:rPr>
          <w:rFonts w:ascii="Times New Roman" w:hAnsi="Times New Roman" w:cs="Times New Roman"/>
        </w:rPr>
        <w:t xml:space="preserve"> </w:t>
      </w:r>
    </w:p>
    <w:p w14:paraId="65708BE6" w14:textId="51F0054A" w:rsidR="005616BA" w:rsidRPr="005616BA" w:rsidRDefault="005616BA" w:rsidP="00EB15A7">
      <w:pPr>
        <w:pStyle w:val="BodyText"/>
        <w:jc w:val="both"/>
        <w:rPr>
          <w:rFonts w:ascii="Times New Roman" w:hAnsi="Times New Roman" w:cs="Times New Roman"/>
        </w:rPr>
      </w:pPr>
      <w:r w:rsidRPr="005616BA">
        <w:rPr>
          <w:rFonts w:ascii="Times New Roman" w:hAnsi="Times New Roman" w:cs="Times New Roman"/>
        </w:rPr>
        <w:t>17.</w:t>
      </w:r>
      <w:r w:rsidR="000C467A">
        <w:rPr>
          <w:rFonts w:ascii="Times New Roman" w:hAnsi="Times New Roman" w:cs="Times New Roman"/>
        </w:rPr>
        <w:t xml:space="preserve"> </w:t>
      </w:r>
      <w:r w:rsidRPr="005616BA">
        <w:rPr>
          <w:rFonts w:ascii="Times New Roman" w:hAnsi="Times New Roman" w:cs="Times New Roman"/>
        </w:rPr>
        <w:t xml:space="preserve">Ravi S, Santhanakrishnan M. Mechanical, chemical, structural analysis and comparative release of PDGF-AA from L-PRF, A-PRF and T-PRF—an in vitro study. Biomaterials Research. 2020 Sep 11;24(1):16. </w:t>
      </w:r>
      <w:hyperlink r:id="rId32" w:history="1">
        <w:r w:rsidR="000C467A" w:rsidRPr="0008313B">
          <w:rPr>
            <w:rStyle w:val="Hyperlink"/>
            <w:rFonts w:ascii="Times New Roman" w:hAnsi="Times New Roman" w:cs="Times New Roman"/>
          </w:rPr>
          <w:t>https://doi.org/10.1186/s40824-020-00193-4</w:t>
        </w:r>
      </w:hyperlink>
      <w:r w:rsidR="000C467A">
        <w:rPr>
          <w:rFonts w:ascii="Times New Roman" w:hAnsi="Times New Roman" w:cs="Times New Roman"/>
        </w:rPr>
        <w:t xml:space="preserve"> </w:t>
      </w:r>
      <w:r w:rsidRPr="005616BA">
        <w:rPr>
          <w:rFonts w:ascii="Times New Roman" w:hAnsi="Times New Roman" w:cs="Times New Roman"/>
        </w:rPr>
        <w:t xml:space="preserve"> </w:t>
      </w:r>
    </w:p>
    <w:p w14:paraId="29B3EA9F" w14:textId="3453096C" w:rsidR="005616BA" w:rsidRPr="005616BA" w:rsidRDefault="005616BA" w:rsidP="00EB15A7">
      <w:pPr>
        <w:pStyle w:val="BodyText"/>
        <w:jc w:val="both"/>
        <w:rPr>
          <w:rFonts w:ascii="Times New Roman" w:hAnsi="Times New Roman" w:cs="Times New Roman"/>
        </w:rPr>
      </w:pPr>
      <w:r w:rsidRPr="005616BA">
        <w:rPr>
          <w:rFonts w:ascii="Times New Roman" w:hAnsi="Times New Roman" w:cs="Times New Roman"/>
        </w:rPr>
        <w:t>18.</w:t>
      </w:r>
      <w:r w:rsidR="000C467A">
        <w:rPr>
          <w:rFonts w:ascii="Times New Roman" w:hAnsi="Times New Roman" w:cs="Times New Roman"/>
        </w:rPr>
        <w:t xml:space="preserve"> </w:t>
      </w:r>
      <w:proofErr w:type="spellStart"/>
      <w:r w:rsidRPr="005616BA">
        <w:rPr>
          <w:rFonts w:ascii="Times New Roman" w:hAnsi="Times New Roman" w:cs="Times New Roman"/>
        </w:rPr>
        <w:t>Silness</w:t>
      </w:r>
      <w:proofErr w:type="spellEnd"/>
      <w:r w:rsidRPr="005616BA">
        <w:rPr>
          <w:rFonts w:ascii="Times New Roman" w:hAnsi="Times New Roman" w:cs="Times New Roman"/>
        </w:rPr>
        <w:t xml:space="preserve"> J, </w:t>
      </w:r>
      <w:proofErr w:type="spellStart"/>
      <w:r w:rsidRPr="005616BA">
        <w:rPr>
          <w:rFonts w:ascii="Times New Roman" w:hAnsi="Times New Roman" w:cs="Times New Roman"/>
        </w:rPr>
        <w:t>Löe</w:t>
      </w:r>
      <w:proofErr w:type="spellEnd"/>
      <w:r w:rsidRPr="005616BA">
        <w:rPr>
          <w:rFonts w:ascii="Times New Roman" w:hAnsi="Times New Roman" w:cs="Times New Roman"/>
        </w:rPr>
        <w:t xml:space="preserve"> H. Periodontal disease in pregnancy II. Correlation between oral hygiene and periodontal condition. Acta </w:t>
      </w:r>
      <w:proofErr w:type="spellStart"/>
      <w:r w:rsidRPr="005616BA">
        <w:rPr>
          <w:rFonts w:ascii="Times New Roman" w:hAnsi="Times New Roman" w:cs="Times New Roman"/>
        </w:rPr>
        <w:t>Odontologica</w:t>
      </w:r>
      <w:proofErr w:type="spellEnd"/>
      <w:r w:rsidRPr="005616BA">
        <w:rPr>
          <w:rFonts w:ascii="Times New Roman" w:hAnsi="Times New Roman" w:cs="Times New Roman"/>
        </w:rPr>
        <w:t xml:space="preserve"> Scandinavica. 1964 Jan 1;22(1):121-35. </w:t>
      </w:r>
      <w:hyperlink r:id="rId33" w:history="1">
        <w:r w:rsidR="000C467A" w:rsidRPr="0008313B">
          <w:rPr>
            <w:rStyle w:val="Hyperlink"/>
            <w:rFonts w:ascii="Times New Roman" w:hAnsi="Times New Roman" w:cs="Times New Roman"/>
          </w:rPr>
          <w:t>https://doi.org/10.3109/00016356408993968</w:t>
        </w:r>
      </w:hyperlink>
      <w:r w:rsidR="000C467A">
        <w:rPr>
          <w:rFonts w:ascii="Times New Roman" w:hAnsi="Times New Roman" w:cs="Times New Roman"/>
        </w:rPr>
        <w:t xml:space="preserve"> </w:t>
      </w:r>
      <w:r w:rsidRPr="005616BA">
        <w:rPr>
          <w:rFonts w:ascii="Times New Roman" w:hAnsi="Times New Roman" w:cs="Times New Roman"/>
        </w:rPr>
        <w:t xml:space="preserve"> </w:t>
      </w:r>
    </w:p>
    <w:p w14:paraId="763C9719" w14:textId="66652AE4" w:rsidR="005616BA" w:rsidRPr="005616BA" w:rsidRDefault="005616BA" w:rsidP="00EB15A7">
      <w:pPr>
        <w:pStyle w:val="BodyText"/>
        <w:jc w:val="both"/>
        <w:rPr>
          <w:rFonts w:ascii="Times New Roman" w:hAnsi="Times New Roman" w:cs="Times New Roman"/>
        </w:rPr>
      </w:pPr>
      <w:r w:rsidRPr="005616BA">
        <w:rPr>
          <w:rFonts w:ascii="Times New Roman" w:hAnsi="Times New Roman" w:cs="Times New Roman"/>
        </w:rPr>
        <w:t>19.</w:t>
      </w:r>
      <w:r w:rsidR="000C467A">
        <w:rPr>
          <w:rFonts w:ascii="Times New Roman" w:hAnsi="Times New Roman" w:cs="Times New Roman"/>
        </w:rPr>
        <w:t xml:space="preserve"> </w:t>
      </w:r>
      <w:r w:rsidRPr="005616BA">
        <w:rPr>
          <w:rFonts w:ascii="Times New Roman" w:hAnsi="Times New Roman" w:cs="Times New Roman"/>
        </w:rPr>
        <w:t>Thamaraiselvan M, Jayakumar ND. Efficacy of injectable platelet-rich fibrin (</w:t>
      </w:r>
      <w:proofErr w:type="spellStart"/>
      <w:r w:rsidRPr="005616BA">
        <w:rPr>
          <w:rFonts w:ascii="Times New Roman" w:hAnsi="Times New Roman" w:cs="Times New Roman"/>
        </w:rPr>
        <w:t>i</w:t>
      </w:r>
      <w:proofErr w:type="spellEnd"/>
      <w:r w:rsidRPr="005616BA">
        <w:rPr>
          <w:rFonts w:ascii="Times New Roman" w:hAnsi="Times New Roman" w:cs="Times New Roman"/>
        </w:rPr>
        <w:t xml:space="preserve">-PRF) as a novel vehicle for local drug delivery in non-surgical periodontal pocket therapy: A randomized controlled clinical trial. Journal of Advanced Periodontology &amp; Implant Dentistry. 2024 Sep 11;16(2):94. </w:t>
      </w:r>
      <w:hyperlink r:id="rId34" w:history="1">
        <w:r w:rsidR="000C467A" w:rsidRPr="0008313B">
          <w:rPr>
            <w:rStyle w:val="Hyperlink"/>
            <w:rFonts w:ascii="Times New Roman" w:hAnsi="Times New Roman" w:cs="Times New Roman"/>
          </w:rPr>
          <w:t>https://doi.org/10.34172/japid.2024.021</w:t>
        </w:r>
      </w:hyperlink>
      <w:r w:rsidR="000C467A">
        <w:rPr>
          <w:rFonts w:ascii="Times New Roman" w:hAnsi="Times New Roman" w:cs="Times New Roman"/>
        </w:rPr>
        <w:t xml:space="preserve"> </w:t>
      </w:r>
      <w:r w:rsidRPr="005616BA">
        <w:rPr>
          <w:rFonts w:ascii="Times New Roman" w:hAnsi="Times New Roman" w:cs="Times New Roman"/>
        </w:rPr>
        <w:t xml:space="preserve"> </w:t>
      </w:r>
    </w:p>
    <w:p w14:paraId="0D7D82E9" w14:textId="08457D76" w:rsidR="005616BA" w:rsidRPr="005616BA" w:rsidRDefault="005616BA" w:rsidP="00EB15A7">
      <w:pPr>
        <w:pStyle w:val="BodyText"/>
        <w:jc w:val="both"/>
        <w:rPr>
          <w:rFonts w:ascii="Times New Roman" w:hAnsi="Times New Roman" w:cs="Times New Roman"/>
        </w:rPr>
      </w:pPr>
      <w:r w:rsidRPr="005616BA">
        <w:rPr>
          <w:rFonts w:ascii="Times New Roman" w:hAnsi="Times New Roman" w:cs="Times New Roman"/>
        </w:rPr>
        <w:t>20.</w:t>
      </w:r>
      <w:r w:rsidR="000C467A">
        <w:rPr>
          <w:rFonts w:ascii="Times New Roman" w:hAnsi="Times New Roman" w:cs="Times New Roman"/>
        </w:rPr>
        <w:t xml:space="preserve"> </w:t>
      </w:r>
      <w:r w:rsidRPr="005616BA">
        <w:rPr>
          <w:rFonts w:ascii="Times New Roman" w:hAnsi="Times New Roman" w:cs="Times New Roman"/>
        </w:rPr>
        <w:t xml:space="preserve">Tonetti MS, Greenwell H, Kornman KS. Staging and grading of periodontitis: Framework and proposal of a new classification and case definition. Journal of Periodontology. 2018 Jun;89:S159-72. </w:t>
      </w:r>
      <w:hyperlink r:id="rId35" w:history="1">
        <w:r w:rsidR="000C467A" w:rsidRPr="0008313B">
          <w:rPr>
            <w:rStyle w:val="Hyperlink"/>
            <w:rFonts w:ascii="Times New Roman" w:hAnsi="Times New Roman" w:cs="Times New Roman"/>
          </w:rPr>
          <w:t>https://doi.org/10.1002/JPER.18-0006</w:t>
        </w:r>
      </w:hyperlink>
      <w:r w:rsidR="000C467A">
        <w:rPr>
          <w:rFonts w:ascii="Times New Roman" w:hAnsi="Times New Roman" w:cs="Times New Roman"/>
        </w:rPr>
        <w:t xml:space="preserve"> </w:t>
      </w:r>
      <w:r w:rsidRPr="005616BA">
        <w:rPr>
          <w:rFonts w:ascii="Times New Roman" w:hAnsi="Times New Roman" w:cs="Times New Roman"/>
        </w:rPr>
        <w:t xml:space="preserve"> </w:t>
      </w:r>
    </w:p>
    <w:p w14:paraId="2313DC9E" w14:textId="6AB926BC" w:rsidR="005616BA" w:rsidRPr="005616BA" w:rsidRDefault="005616BA" w:rsidP="00EB15A7">
      <w:pPr>
        <w:pStyle w:val="BodyText"/>
        <w:jc w:val="both"/>
        <w:rPr>
          <w:rFonts w:ascii="Times New Roman" w:hAnsi="Times New Roman" w:cs="Times New Roman"/>
        </w:rPr>
      </w:pPr>
      <w:r w:rsidRPr="005616BA">
        <w:rPr>
          <w:rFonts w:ascii="Times New Roman" w:hAnsi="Times New Roman" w:cs="Times New Roman"/>
        </w:rPr>
        <w:t>21.</w:t>
      </w:r>
      <w:r w:rsidR="000C467A">
        <w:rPr>
          <w:rFonts w:ascii="Times New Roman" w:hAnsi="Times New Roman" w:cs="Times New Roman"/>
        </w:rPr>
        <w:t xml:space="preserve"> </w:t>
      </w:r>
      <w:proofErr w:type="spellStart"/>
      <w:r w:rsidRPr="005616BA">
        <w:rPr>
          <w:rFonts w:ascii="Times New Roman" w:hAnsi="Times New Roman" w:cs="Times New Roman"/>
        </w:rPr>
        <w:t>Tunalı</w:t>
      </w:r>
      <w:proofErr w:type="spellEnd"/>
      <w:r w:rsidRPr="005616BA">
        <w:rPr>
          <w:rFonts w:ascii="Times New Roman" w:hAnsi="Times New Roman" w:cs="Times New Roman"/>
        </w:rPr>
        <w:t xml:space="preserve"> M, Özdemir H, </w:t>
      </w:r>
      <w:proofErr w:type="spellStart"/>
      <w:r w:rsidRPr="005616BA">
        <w:rPr>
          <w:rFonts w:ascii="Times New Roman" w:hAnsi="Times New Roman" w:cs="Times New Roman"/>
        </w:rPr>
        <w:t>Küçükodacı</w:t>
      </w:r>
      <w:proofErr w:type="spellEnd"/>
      <w:r w:rsidRPr="005616BA">
        <w:rPr>
          <w:rFonts w:ascii="Times New Roman" w:hAnsi="Times New Roman" w:cs="Times New Roman"/>
        </w:rPr>
        <w:t xml:space="preserve"> Z, Akman S, </w:t>
      </w:r>
      <w:proofErr w:type="spellStart"/>
      <w:r w:rsidRPr="005616BA">
        <w:rPr>
          <w:rFonts w:ascii="Times New Roman" w:hAnsi="Times New Roman" w:cs="Times New Roman"/>
        </w:rPr>
        <w:t>Fıratlı</w:t>
      </w:r>
      <w:proofErr w:type="spellEnd"/>
      <w:r w:rsidRPr="005616BA">
        <w:rPr>
          <w:rFonts w:ascii="Times New Roman" w:hAnsi="Times New Roman" w:cs="Times New Roman"/>
        </w:rPr>
        <w:t xml:space="preserve"> E. In vivo evaluation of titanium-prepared platelet-rich fibrin (T-PRF): a new platelet </w:t>
      </w:r>
      <w:proofErr w:type="gramStart"/>
      <w:r w:rsidRPr="005616BA">
        <w:rPr>
          <w:rFonts w:ascii="Times New Roman" w:hAnsi="Times New Roman" w:cs="Times New Roman"/>
        </w:rPr>
        <w:t>concentrate</w:t>
      </w:r>
      <w:proofErr w:type="gramEnd"/>
      <w:r w:rsidRPr="005616BA">
        <w:rPr>
          <w:rFonts w:ascii="Times New Roman" w:hAnsi="Times New Roman" w:cs="Times New Roman"/>
        </w:rPr>
        <w:t xml:space="preserve">. British Journal of Oral and Maxillofacial Surgery. 2013 Jul 1;51(5):438-43. </w:t>
      </w:r>
      <w:hyperlink r:id="rId36" w:history="1">
        <w:r w:rsidR="000C467A" w:rsidRPr="0008313B">
          <w:rPr>
            <w:rStyle w:val="Hyperlink"/>
            <w:rFonts w:ascii="Times New Roman" w:hAnsi="Times New Roman" w:cs="Times New Roman"/>
          </w:rPr>
          <w:t>https://doi.org/10.1016/j.bjoms.2012.08.003</w:t>
        </w:r>
      </w:hyperlink>
      <w:r w:rsidR="000C467A">
        <w:rPr>
          <w:rFonts w:ascii="Times New Roman" w:hAnsi="Times New Roman" w:cs="Times New Roman"/>
        </w:rPr>
        <w:t xml:space="preserve"> </w:t>
      </w:r>
      <w:r w:rsidRPr="005616BA">
        <w:rPr>
          <w:rFonts w:ascii="Times New Roman" w:hAnsi="Times New Roman" w:cs="Times New Roman"/>
        </w:rPr>
        <w:t xml:space="preserve"> </w:t>
      </w:r>
    </w:p>
    <w:p w14:paraId="7CA3C946" w14:textId="0BFBADC6" w:rsidR="005616BA" w:rsidRPr="005616BA" w:rsidRDefault="005616BA" w:rsidP="00EB15A7">
      <w:pPr>
        <w:pStyle w:val="BodyText"/>
        <w:jc w:val="both"/>
        <w:rPr>
          <w:rFonts w:ascii="Times New Roman" w:hAnsi="Times New Roman" w:cs="Times New Roman"/>
        </w:rPr>
      </w:pPr>
      <w:r w:rsidRPr="005616BA">
        <w:rPr>
          <w:rFonts w:ascii="Times New Roman" w:hAnsi="Times New Roman" w:cs="Times New Roman"/>
        </w:rPr>
        <w:t>22.</w:t>
      </w:r>
      <w:r w:rsidR="000C467A">
        <w:rPr>
          <w:rFonts w:ascii="Times New Roman" w:hAnsi="Times New Roman" w:cs="Times New Roman"/>
        </w:rPr>
        <w:t xml:space="preserve"> </w:t>
      </w:r>
      <w:proofErr w:type="spellStart"/>
      <w:r w:rsidRPr="005616BA">
        <w:rPr>
          <w:rFonts w:ascii="Times New Roman" w:hAnsi="Times New Roman" w:cs="Times New Roman"/>
        </w:rPr>
        <w:t>Tunalı</w:t>
      </w:r>
      <w:proofErr w:type="spellEnd"/>
      <w:r w:rsidRPr="005616BA">
        <w:rPr>
          <w:rFonts w:ascii="Times New Roman" w:hAnsi="Times New Roman" w:cs="Times New Roman"/>
        </w:rPr>
        <w:t xml:space="preserve"> M, Özdemir H, </w:t>
      </w:r>
      <w:proofErr w:type="spellStart"/>
      <w:r w:rsidRPr="005616BA">
        <w:rPr>
          <w:rFonts w:ascii="Times New Roman" w:hAnsi="Times New Roman" w:cs="Times New Roman"/>
        </w:rPr>
        <w:t>Küçükodacı</w:t>
      </w:r>
      <w:proofErr w:type="spellEnd"/>
      <w:r w:rsidRPr="005616BA">
        <w:rPr>
          <w:rFonts w:ascii="Times New Roman" w:hAnsi="Times New Roman" w:cs="Times New Roman"/>
        </w:rPr>
        <w:t xml:space="preserve"> Z, Akman S, Yaprak E, Toker H, </w:t>
      </w:r>
      <w:proofErr w:type="spellStart"/>
      <w:r w:rsidRPr="005616BA">
        <w:rPr>
          <w:rFonts w:ascii="Times New Roman" w:hAnsi="Times New Roman" w:cs="Times New Roman"/>
        </w:rPr>
        <w:t>Fıratlı</w:t>
      </w:r>
      <w:proofErr w:type="spellEnd"/>
      <w:r w:rsidRPr="005616BA">
        <w:rPr>
          <w:rFonts w:ascii="Times New Roman" w:hAnsi="Times New Roman" w:cs="Times New Roman"/>
        </w:rPr>
        <w:t xml:space="preserve"> E. A novel platelet </w:t>
      </w:r>
      <w:proofErr w:type="gramStart"/>
      <w:r w:rsidRPr="005616BA">
        <w:rPr>
          <w:rFonts w:ascii="Times New Roman" w:hAnsi="Times New Roman" w:cs="Times New Roman"/>
        </w:rPr>
        <w:t>concentrate</w:t>
      </w:r>
      <w:proofErr w:type="gramEnd"/>
      <w:r w:rsidRPr="005616BA">
        <w:rPr>
          <w:rFonts w:ascii="Times New Roman" w:hAnsi="Times New Roman" w:cs="Times New Roman"/>
        </w:rPr>
        <w:t xml:space="preserve">: titanium‐prepared platelet‐rich fibrin. BioMed Research International. 2014;2014(1):209548. </w:t>
      </w:r>
      <w:hyperlink r:id="rId37" w:history="1">
        <w:r w:rsidR="000C467A" w:rsidRPr="0008313B">
          <w:rPr>
            <w:rStyle w:val="Hyperlink"/>
            <w:rFonts w:ascii="Times New Roman" w:hAnsi="Times New Roman" w:cs="Times New Roman"/>
          </w:rPr>
          <w:t>https://doi.org/10.1155/2014/209548</w:t>
        </w:r>
      </w:hyperlink>
      <w:r w:rsidR="000C467A">
        <w:rPr>
          <w:rFonts w:ascii="Times New Roman" w:hAnsi="Times New Roman" w:cs="Times New Roman"/>
        </w:rPr>
        <w:t xml:space="preserve"> </w:t>
      </w:r>
    </w:p>
    <w:sectPr w:rsidR="005616BA" w:rsidRPr="005616BA" w:rsidSect="000146FB">
      <w:footnotePr>
        <w:numRestart w:val="eachSect"/>
      </w:footnotePr>
      <w:pgSz w:w="11907" w:h="16840" w:code="9"/>
      <w:pgMar w:top="1094" w:right="605" w:bottom="605" w:left="605" w:header="346" w:footer="40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3F4D32" w14:textId="77777777" w:rsidR="004502A9" w:rsidRDefault="004502A9" w:rsidP="000A5306">
      <w:pPr>
        <w:spacing w:after="0"/>
      </w:pPr>
      <w:r>
        <w:separator/>
      </w:r>
    </w:p>
  </w:endnote>
  <w:endnote w:type="continuationSeparator" w:id="0">
    <w:p w14:paraId="15A89E0E" w14:textId="77777777" w:rsidR="004502A9" w:rsidRDefault="004502A9" w:rsidP="000A53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angal">
    <w:panose1 w:val="02040503050203030202"/>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AB031F" w14:textId="77777777" w:rsidR="004502A9" w:rsidRDefault="004502A9" w:rsidP="000A5306">
      <w:pPr>
        <w:spacing w:after="0"/>
      </w:pPr>
      <w:r>
        <w:separator/>
      </w:r>
    </w:p>
  </w:footnote>
  <w:footnote w:type="continuationSeparator" w:id="0">
    <w:p w14:paraId="035AFC4A" w14:textId="77777777" w:rsidR="004502A9" w:rsidRDefault="004502A9" w:rsidP="000A530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A76EAAF0"/>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5A8A1CD8"/>
    <w:multiLevelType w:val="multilevel"/>
    <w:tmpl w:val="94249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4514095"/>
    <w:multiLevelType w:val="multilevel"/>
    <w:tmpl w:val="8F02D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EDD6DD3"/>
    <w:multiLevelType w:val="multilevel"/>
    <w:tmpl w:val="12465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7885075">
    <w:abstractNumId w:val="0"/>
  </w:num>
  <w:num w:numId="2" w16cid:durableId="347290736">
    <w:abstractNumId w:val="2"/>
  </w:num>
  <w:num w:numId="3" w16cid:durableId="1158427188">
    <w:abstractNumId w:val="3"/>
  </w:num>
  <w:num w:numId="4" w16cid:durableId="9614217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B36"/>
    <w:rsid w:val="000146FB"/>
    <w:rsid w:val="00015322"/>
    <w:rsid w:val="000276D0"/>
    <w:rsid w:val="000470C6"/>
    <w:rsid w:val="0005398B"/>
    <w:rsid w:val="000562BF"/>
    <w:rsid w:val="00067BEF"/>
    <w:rsid w:val="000A5306"/>
    <w:rsid w:val="000C467A"/>
    <w:rsid w:val="000F2447"/>
    <w:rsid w:val="00137E7F"/>
    <w:rsid w:val="00164E21"/>
    <w:rsid w:val="0017118B"/>
    <w:rsid w:val="001733DE"/>
    <w:rsid w:val="001C06A3"/>
    <w:rsid w:val="001F4578"/>
    <w:rsid w:val="00216E98"/>
    <w:rsid w:val="00244091"/>
    <w:rsid w:val="00267597"/>
    <w:rsid w:val="00297340"/>
    <w:rsid w:val="002C4C3A"/>
    <w:rsid w:val="002E7398"/>
    <w:rsid w:val="002F3C9B"/>
    <w:rsid w:val="00303E8C"/>
    <w:rsid w:val="00306B5A"/>
    <w:rsid w:val="003110C1"/>
    <w:rsid w:val="00326323"/>
    <w:rsid w:val="00376A6C"/>
    <w:rsid w:val="00380F08"/>
    <w:rsid w:val="00385D6B"/>
    <w:rsid w:val="00394A16"/>
    <w:rsid w:val="003A5DD0"/>
    <w:rsid w:val="003C6484"/>
    <w:rsid w:val="003C6BDE"/>
    <w:rsid w:val="003E3AED"/>
    <w:rsid w:val="003F1452"/>
    <w:rsid w:val="004002A2"/>
    <w:rsid w:val="004216FF"/>
    <w:rsid w:val="004462CE"/>
    <w:rsid w:val="004502A9"/>
    <w:rsid w:val="00477D04"/>
    <w:rsid w:val="00532C75"/>
    <w:rsid w:val="005616BA"/>
    <w:rsid w:val="005660C0"/>
    <w:rsid w:val="00595155"/>
    <w:rsid w:val="005B0223"/>
    <w:rsid w:val="005C7BC2"/>
    <w:rsid w:val="006018A5"/>
    <w:rsid w:val="00605E86"/>
    <w:rsid w:val="00636B7A"/>
    <w:rsid w:val="00650AB0"/>
    <w:rsid w:val="0068777B"/>
    <w:rsid w:val="006A7E24"/>
    <w:rsid w:val="006C4F7F"/>
    <w:rsid w:val="00720DB4"/>
    <w:rsid w:val="0072712A"/>
    <w:rsid w:val="007556EB"/>
    <w:rsid w:val="0075644C"/>
    <w:rsid w:val="007600F9"/>
    <w:rsid w:val="007A0262"/>
    <w:rsid w:val="007C178B"/>
    <w:rsid w:val="007C5C91"/>
    <w:rsid w:val="007C7959"/>
    <w:rsid w:val="007E0B37"/>
    <w:rsid w:val="007E6340"/>
    <w:rsid w:val="007E6B0A"/>
    <w:rsid w:val="007F33F9"/>
    <w:rsid w:val="00821EEB"/>
    <w:rsid w:val="008449AC"/>
    <w:rsid w:val="00852657"/>
    <w:rsid w:val="00894D09"/>
    <w:rsid w:val="008A38B8"/>
    <w:rsid w:val="008B329C"/>
    <w:rsid w:val="008B74DF"/>
    <w:rsid w:val="008C5DF8"/>
    <w:rsid w:val="008D6268"/>
    <w:rsid w:val="008F0244"/>
    <w:rsid w:val="00904B94"/>
    <w:rsid w:val="00907292"/>
    <w:rsid w:val="009607A6"/>
    <w:rsid w:val="0097429C"/>
    <w:rsid w:val="009803DF"/>
    <w:rsid w:val="009B5399"/>
    <w:rsid w:val="009C404D"/>
    <w:rsid w:val="009D1ADE"/>
    <w:rsid w:val="009E5E4E"/>
    <w:rsid w:val="00A047F4"/>
    <w:rsid w:val="00A107B3"/>
    <w:rsid w:val="00A221B3"/>
    <w:rsid w:val="00A24165"/>
    <w:rsid w:val="00A266E1"/>
    <w:rsid w:val="00A332C7"/>
    <w:rsid w:val="00A33977"/>
    <w:rsid w:val="00A45FF8"/>
    <w:rsid w:val="00A63677"/>
    <w:rsid w:val="00AB486C"/>
    <w:rsid w:val="00AC2662"/>
    <w:rsid w:val="00AC5A28"/>
    <w:rsid w:val="00AC5D35"/>
    <w:rsid w:val="00AD277A"/>
    <w:rsid w:val="00AF5639"/>
    <w:rsid w:val="00B67EBC"/>
    <w:rsid w:val="00B764B0"/>
    <w:rsid w:val="00B9022A"/>
    <w:rsid w:val="00BB3604"/>
    <w:rsid w:val="00C07488"/>
    <w:rsid w:val="00C74A3B"/>
    <w:rsid w:val="00C8758B"/>
    <w:rsid w:val="00C9743F"/>
    <w:rsid w:val="00CB69B8"/>
    <w:rsid w:val="00CE75C5"/>
    <w:rsid w:val="00D23D3E"/>
    <w:rsid w:val="00D27463"/>
    <w:rsid w:val="00D83060"/>
    <w:rsid w:val="00D86E6D"/>
    <w:rsid w:val="00DD0539"/>
    <w:rsid w:val="00DE1D70"/>
    <w:rsid w:val="00DE3459"/>
    <w:rsid w:val="00DE4D43"/>
    <w:rsid w:val="00E35357"/>
    <w:rsid w:val="00E81B1E"/>
    <w:rsid w:val="00E93B36"/>
    <w:rsid w:val="00E95FD6"/>
    <w:rsid w:val="00E9767D"/>
    <w:rsid w:val="00EB15A7"/>
    <w:rsid w:val="00EC78B3"/>
    <w:rsid w:val="00EF43EE"/>
    <w:rsid w:val="00F15A02"/>
    <w:rsid w:val="00F525B2"/>
    <w:rsid w:val="00F660D7"/>
    <w:rsid w:val="00F94C01"/>
    <w:rsid w:val="00FB5C8E"/>
    <w:rsid w:val="00FC64E0"/>
    <w:rsid w:val="00FE2101"/>
    <w:rsid w:val="00FE325A"/>
    <w:rsid w:val="00FF2F70"/>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FA1DA"/>
  <w15:docId w15:val="{71905F18-6305-4FC9-90CA-9D1144947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link w:val="Heading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BodyText"/>
    <w:link w:val="Heading3Char"/>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BodyText"/>
    <w:link w:val="Heading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BodyText"/>
    <w:link w:val="Heading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0FD9"/>
    <w:rPr>
      <w:rFonts w:asciiTheme="majorHAnsi" w:eastAsiaTheme="majorEastAsia" w:hAnsiTheme="majorHAnsi" w:cstheme="majorBidi"/>
      <w:spacing w:val="-10"/>
      <w:kern w:val="28"/>
      <w:sz w:val="56"/>
      <w:szCs w:val="56"/>
    </w:rPr>
  </w:style>
  <w:style w:type="paragraph" w:styleId="Subtitle">
    <w:name w:val="Subtitle"/>
    <w:basedOn w:val="Title"/>
    <w:next w:val="BodyText"/>
    <w:link w:val="SubtitleChar"/>
    <w:uiPriority w:val="11"/>
    <w:qFormat/>
    <w:rsid w:val="00A10FD9"/>
    <w:pPr>
      <w:numPr>
        <w:ilvl w:val="1"/>
      </w:numPr>
    </w:pPr>
    <w:rPr>
      <w:spacing w:val="15"/>
      <w:sz w:val="28"/>
      <w:szCs w:val="28"/>
    </w:rPr>
  </w:style>
  <w:style w:type="character" w:customStyle="1" w:styleId="SubtitleChar">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A10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0F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0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0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0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0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0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0FD9"/>
    <w:rPr>
      <w:rFonts w:eastAsiaTheme="majorEastAsia"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table" w:styleId="PlainTable1">
    <w:name w:val="Plain Table 1"/>
    <w:basedOn w:val="TableNormal"/>
    <w:rsid w:val="00720DB4"/>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2E7398"/>
    <w:pPr>
      <w:spacing w:before="100" w:beforeAutospacing="1" w:after="100" w:afterAutospacing="1"/>
    </w:pPr>
    <w:rPr>
      <w:rFonts w:ascii="Times New Roman" w:eastAsia="Times New Roman" w:hAnsi="Times New Roman" w:cs="Times New Roman"/>
      <w:lang w:val="en-IN" w:eastAsia="en-IN" w:bidi="mr-IN"/>
    </w:rPr>
  </w:style>
  <w:style w:type="paragraph" w:styleId="Header">
    <w:name w:val="header"/>
    <w:basedOn w:val="Normal"/>
    <w:link w:val="HeaderChar"/>
    <w:rsid w:val="000A5306"/>
    <w:pPr>
      <w:tabs>
        <w:tab w:val="center" w:pos="4513"/>
        <w:tab w:val="right" w:pos="9026"/>
      </w:tabs>
      <w:spacing w:after="0"/>
    </w:pPr>
  </w:style>
  <w:style w:type="character" w:customStyle="1" w:styleId="HeaderChar">
    <w:name w:val="Header Char"/>
    <w:basedOn w:val="DefaultParagraphFont"/>
    <w:link w:val="Header"/>
    <w:rsid w:val="000A5306"/>
  </w:style>
  <w:style w:type="paragraph" w:styleId="Footer">
    <w:name w:val="footer"/>
    <w:basedOn w:val="Normal"/>
    <w:link w:val="FooterChar"/>
    <w:rsid w:val="000A5306"/>
    <w:pPr>
      <w:tabs>
        <w:tab w:val="center" w:pos="4513"/>
        <w:tab w:val="right" w:pos="9026"/>
      </w:tabs>
      <w:spacing w:after="0"/>
    </w:pPr>
  </w:style>
  <w:style w:type="character" w:customStyle="1" w:styleId="FooterChar">
    <w:name w:val="Footer Char"/>
    <w:basedOn w:val="DefaultParagraphFont"/>
    <w:link w:val="Footer"/>
    <w:rsid w:val="000A5306"/>
  </w:style>
  <w:style w:type="table" w:styleId="PlainTable2">
    <w:name w:val="Plain Table 2"/>
    <w:basedOn w:val="TableNormal"/>
    <w:rsid w:val="00380F08"/>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0C46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doi.org/10.1111/jicd.12231" TargetMode="External"/><Relationship Id="rId26" Type="http://schemas.openxmlformats.org/officeDocument/2006/relationships/hyperlink" Target="https://doi.org/10.1111/prd.12008"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doi.org/10.1034/j.1600-0757.2001.22250106.x" TargetMode="External"/><Relationship Id="rId34" Type="http://schemas.openxmlformats.org/officeDocument/2006/relationships/hyperlink" Target="https://doi.org/10.34172/japid.2024.021"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doi.org/10.1111/j.1600-051X.1986.tb01461.x" TargetMode="External"/><Relationship Id="rId25" Type="http://schemas.openxmlformats.org/officeDocument/2006/relationships/hyperlink" Target="https://doi.org/10.1111/j.1600-0757.1994.tb00022.x" TargetMode="External"/><Relationship Id="rId33" Type="http://schemas.openxmlformats.org/officeDocument/2006/relationships/hyperlink" Target="https://doi.org/10.3109/00016356408993968"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186/s12903-023-02814-5" TargetMode="External"/><Relationship Id="rId20" Type="http://schemas.openxmlformats.org/officeDocument/2006/relationships/hyperlink" Target="https://doi.org/10.1034/j.1600-051X.29.s2.4.x" TargetMode="External"/><Relationship Id="rId29" Type="http://schemas.openxmlformats.org/officeDocument/2006/relationships/hyperlink" Target="https://doi.org/10.1002/978111940679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3390/antibiotics13090856" TargetMode="External"/><Relationship Id="rId32" Type="http://schemas.openxmlformats.org/officeDocument/2006/relationships/hyperlink" Target="https://doi.org/10.1186/s40824-020-00193-4" TargetMode="External"/><Relationship Id="rId37" Type="http://schemas.openxmlformats.org/officeDocument/2006/relationships/hyperlink" Target="https://doi.org/10.1155/2014/209548"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doi.org/10.1111/prd.12075" TargetMode="External"/><Relationship Id="rId28" Type="http://schemas.openxmlformats.org/officeDocument/2006/relationships/hyperlink" Target="https://doi.org/10.3109/00016356309011240" TargetMode="External"/><Relationship Id="rId36" Type="http://schemas.openxmlformats.org/officeDocument/2006/relationships/hyperlink" Target="https://doi.org/10.1016/j.bjoms.2012.08.003" TargetMode="External"/><Relationship Id="rId10" Type="http://schemas.openxmlformats.org/officeDocument/2006/relationships/image" Target="media/image4.jpeg"/><Relationship Id="rId19" Type="http://schemas.openxmlformats.org/officeDocument/2006/relationships/hyperlink" Target="https://www.researchgate.net/publication/284049099_Une_opportunit_en_paro-implantologie_Le_PRF" TargetMode="External"/><Relationship Id="rId31" Type="http://schemas.openxmlformats.org/officeDocument/2006/relationships/hyperlink" Target="https://doi.org/10.1111/j.1600-0757.1996.tb00072.x"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doi.org/10.1007/s00784-022-04510-0" TargetMode="External"/><Relationship Id="rId27" Type="http://schemas.openxmlformats.org/officeDocument/2006/relationships/hyperlink" Target="https://doi.org/10.18231/j.ijohd.2024.019" TargetMode="External"/><Relationship Id="rId30" Type="http://schemas.openxmlformats.org/officeDocument/2006/relationships/hyperlink" Target="https://doi.org/10.1111/jcpe.13063" TargetMode="External"/><Relationship Id="rId35" Type="http://schemas.openxmlformats.org/officeDocument/2006/relationships/hyperlink" Target="https://doi.org/10.1002/JPER.18-00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3595</Words>
  <Characters>20492</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Sakshi Vidhale</dc:creator>
  <cp:keywords/>
  <cp:lastModifiedBy>Sakshi Vidhale</cp:lastModifiedBy>
  <cp:revision>3</cp:revision>
  <dcterms:created xsi:type="dcterms:W3CDTF">2026-06-09T15:24:00Z</dcterms:created>
  <dcterms:modified xsi:type="dcterms:W3CDTF">2026-06-09T15:31:00Z</dcterms:modified>
</cp:coreProperties>
</file>