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A4C1F" w:rsidRDefault="00196E8F" w:rsidP="00530331">
      <w:pPr>
        <w:jc w:val="center"/>
        <w:rPr>
          <w:rFonts w:ascii="Times New Roman" w:hAnsi="Times New Roman" w:cs="Times New Roman"/>
          <w:b/>
          <w:bCs/>
          <w:sz w:val="22"/>
          <w:szCs w:val="22"/>
        </w:rPr>
      </w:pPr>
      <w:r w:rsidRPr="00196E8F">
        <w:rPr>
          <w:rFonts w:ascii="Times New Roman" w:hAnsi="Times New Roman" w:cs="Times New Roman"/>
          <w:b/>
          <w:bCs/>
          <w:sz w:val="22"/>
          <w:szCs w:val="22"/>
        </w:rPr>
        <w:t xml:space="preserve">Genetic Diversity of the D1S80 VNTR Locus </w:t>
      </w:r>
      <w:r w:rsidR="00FB77DA">
        <w:rPr>
          <w:rFonts w:ascii="Times New Roman" w:hAnsi="Times New Roman" w:cs="Times New Roman"/>
          <w:b/>
          <w:bCs/>
          <w:sz w:val="22"/>
          <w:szCs w:val="22"/>
        </w:rPr>
        <w:t>W</w:t>
      </w:r>
      <w:r w:rsidRPr="00196E8F">
        <w:rPr>
          <w:rFonts w:ascii="Times New Roman" w:hAnsi="Times New Roman" w:cs="Times New Roman"/>
          <w:b/>
          <w:bCs/>
          <w:sz w:val="22"/>
          <w:szCs w:val="22"/>
        </w:rPr>
        <w:t>ithin a</w:t>
      </w:r>
    </w:p>
    <w:p w:rsidR="006C3EE6" w:rsidRDefault="00196E8F" w:rsidP="00530331">
      <w:pPr>
        <w:jc w:val="center"/>
        <w:rPr>
          <w:rFonts w:ascii="Times New Roman" w:hAnsi="Times New Roman" w:cs="Times New Roman"/>
          <w:b/>
          <w:bCs/>
          <w:sz w:val="22"/>
          <w:szCs w:val="22"/>
        </w:rPr>
      </w:pPr>
      <w:r w:rsidRPr="00196E8F">
        <w:rPr>
          <w:rFonts w:ascii="Times New Roman" w:hAnsi="Times New Roman" w:cs="Times New Roman"/>
          <w:b/>
          <w:bCs/>
          <w:sz w:val="22"/>
          <w:szCs w:val="22"/>
        </w:rPr>
        <w:t/>
      </w:r>
    </w:p>
    <w:p w:rsidR="00406BE1" w:rsidRDefault="00406BE1" w:rsidP="00116BD4">
      <w:pPr>
        <w:rPr>
          <w:rFonts w:ascii="Times New Roman" w:hAnsi="Times New Roman" w:cs="Times New Roman"/>
          <w:b/>
          <w:bCs/>
          <w:sz w:val="22"/>
          <w:szCs w:val="22"/>
        </w:rPr>
      </w:pPr>
    </w:p>
    <w:p w:rsidR="00406BE1" w:rsidRDefault="00406BE1" w:rsidP="00116BD4">
      <w:pPr>
        <w:rPr>
          <w:rFonts w:ascii="Times New Roman" w:hAnsi="Times New Roman" w:cs="Times New Roman"/>
          <w:b/>
          <w:bCs/>
          <w:sz w:val="22"/>
          <w:szCs w:val="22"/>
        </w:rPr>
      </w:pPr>
      <w:r>
        <w:rPr>
          <w:rFonts w:ascii="Times New Roman" w:hAnsi="Times New Roman" w:cs="Times New Roman"/>
          <w:b/>
          <w:bCs/>
          <w:sz w:val="22"/>
          <w:szCs w:val="22"/>
        </w:rPr>
        <w:t xml:space="preserve"/>
      </w:r>
      <w:r w:rsidR="00530331">
        <w:rPr>
          <w:rFonts w:ascii="Times New Roman" w:hAnsi="Times New Roman" w:cs="Times New Roman"/>
          <w:b/>
          <w:bCs/>
          <w:sz w:val="22"/>
          <w:szCs w:val="22"/>
        </w:rPr>
        <w:t xml:space="preserve"/>
      </w:r>
      <w:r>
        <w:rPr>
          <w:rFonts w:ascii="Times New Roman" w:hAnsi="Times New Roman" w:cs="Times New Roman"/>
          <w:b/>
          <w:bCs/>
          <w:sz w:val="22"/>
          <w:szCs w:val="22"/>
        </w:rPr>
        <w:t xml:space="preserve"/>
      </w:r>
      <w:proofErr w:type="spellStart"/>
      <w:r>
        <w:rPr>
          <w:rFonts w:ascii="Times New Roman" w:hAnsi="Times New Roman" w:cs="Times New Roman"/>
          <w:b/>
          <w:bCs/>
          <w:sz w:val="22"/>
          <w:szCs w:val="22"/>
        </w:rPr>
        <w:t/>
      </w:r>
      <w:proofErr w:type="spellEnd"/>
    </w:p>
    <w:p w:rsidR="00327DD7" w:rsidRPr="00327DD7" w:rsidRDefault="00327DD7" w:rsidP="00116BD4">
      <w:pPr>
        <w:rPr>
          <w:rFonts w:ascii="Times New Roman" w:hAnsi="Times New Roman" w:cs="Times New Roman"/>
          <w:bCs/>
          <w:sz w:val="22"/>
          <w:szCs w:val="22"/>
        </w:rPr>
      </w:pPr>
      <w:r>
        <w:rPr>
          <w:rFonts w:ascii="Times New Roman" w:hAnsi="Times New Roman" w:cs="Times New Roman"/>
          <w:b/>
          <w:bCs/>
          <w:sz w:val="22"/>
          <w:szCs w:val="22"/>
        </w:rPr>
        <w:t xml:space="preserve"/>
      </w:r>
      <w:r w:rsidRPr="00327DD7">
        <w:rPr>
          <w:rFonts w:ascii="Times New Roman" w:hAnsi="Times New Roman" w:cs="Times New Roman"/>
          <w:bCs/>
          <w:sz w:val="22"/>
          <w:szCs w:val="22"/>
        </w:rPr>
        <w:t/>
      </w:r>
    </w:p>
    <w:p w:rsidR="006C3EE6" w:rsidRDefault="006C3EE6" w:rsidP="00116BD4">
      <w:pPr>
        <w:rPr>
          <w:rFonts w:ascii="Times New Roman" w:hAnsi="Times New Roman" w:cs="Times New Roman"/>
          <w:b/>
          <w:bCs/>
          <w:sz w:val="22"/>
          <w:szCs w:val="22"/>
        </w:rPr>
      </w:pPr>
    </w:p>
    <w:p w:rsidR="00116BD4" w:rsidRPr="00116BD4" w:rsidRDefault="00406BE1" w:rsidP="00116BD4">
      <w:pPr>
        <w:rPr>
          <w:rFonts w:ascii="Times New Roman" w:hAnsi="Times New Roman" w:cs="Times New Roman"/>
          <w:b/>
          <w:bCs/>
          <w:sz w:val="22"/>
          <w:szCs w:val="22"/>
        </w:rPr>
      </w:pPr>
      <w:r w:rsidRPr="00116BD4">
        <w:rPr>
          <w:rFonts w:ascii="Times New Roman" w:hAnsi="Times New Roman" w:cs="Times New Roman"/>
          <w:b/>
          <w:bCs/>
          <w:sz w:val="22"/>
          <w:szCs w:val="22"/>
        </w:rPr>
        <w:t>ABSTRACT</w:t>
      </w:r>
    </w:p>
    <w:p w:rsidR="00116BD4" w:rsidRDefault="00184B35" w:rsidP="00BE1A30">
      <w:pPr>
        <w:jc w:val="both"/>
        <w:rPr>
          <w:rFonts w:ascii="Times New Roman" w:hAnsi="Times New Roman" w:cs="Times New Roman"/>
          <w:sz w:val="22"/>
          <w:szCs w:val="22"/>
        </w:rPr>
      </w:pPr>
      <w:r>
        <w:rPr>
          <w:rFonts w:ascii="Times New Roman" w:hAnsi="Times New Roman" w:cs="Times New Roman"/>
          <w:sz w:val="22"/>
          <w:szCs w:val="22"/>
        </w:rPr>
        <w:t xml:space="preserve">     </w:t>
      </w:r>
      <w:r w:rsidR="00116BD4" w:rsidRPr="00116BD4">
        <w:rPr>
          <w:rFonts w:ascii="Times New Roman" w:hAnsi="Times New Roman" w:cs="Times New Roman"/>
          <w:sz w:val="22"/>
          <w:szCs w:val="22"/>
        </w:rPr>
        <w:t xml:space="preserve">This study established the precise allele and genotype distributions of the D1S80 variable number tandem repeat (VNTR) locus within a localized cohort of 30 Medical Laboratory Science students </w:t>
      </w:r>
      <w:r w:rsidR="00FA086F">
        <w:rPr>
          <w:rFonts w:ascii="Times New Roman" w:hAnsi="Times New Roman" w:cs="Times New Roman"/>
          <w:sz w:val="22"/>
          <w:szCs w:val="22"/>
        </w:rPr>
        <w:t>in Olongapo City, Philippines</w:t>
      </w:r>
      <w:r w:rsidR="00FB77DA">
        <w:rPr>
          <w:rFonts w:ascii="Times New Roman" w:hAnsi="Times New Roman" w:cs="Times New Roman"/>
          <w:sz w:val="22"/>
          <w:szCs w:val="22"/>
        </w:rPr>
        <w:t>,</w:t>
      </w:r>
      <w:r w:rsidR="00FA086F">
        <w:rPr>
          <w:rFonts w:ascii="Times New Roman" w:hAnsi="Times New Roman" w:cs="Times New Roman"/>
          <w:sz w:val="22"/>
          <w:szCs w:val="22"/>
        </w:rPr>
        <w:t xml:space="preserve"> </w:t>
      </w:r>
      <w:r w:rsidR="00116BD4" w:rsidRPr="00116BD4">
        <w:rPr>
          <w:rFonts w:ascii="Times New Roman" w:hAnsi="Times New Roman" w:cs="Times New Roman"/>
          <w:sz w:val="22"/>
          <w:szCs w:val="22"/>
        </w:rPr>
        <w:t>to evaluate regional genetic conservation and potential bottleneck effects. Genomic DNA isolated from buccal mucosa samples was amplified via Polymerase Chain Reaction using specific primers, and the resulting amplicons were separated using 2.0% agarose gel electrophoresis. Visualization revealed a highly restricted, dimorphic allelic profile consisting exclusively of 400-bp and 500-bp fragments. The observed genotype distribution consisted of 10 homozygous individuals for the 400-bp allele, 8 homozygous individuals for the 500-bp allele, and 12 heterozygous individuals. Direct gene counting</w:t>
      </w:r>
      <w:r w:rsidR="00116BD4">
        <w:rPr>
          <w:rFonts w:ascii="Times New Roman" w:hAnsi="Times New Roman" w:cs="Times New Roman"/>
          <w:sz w:val="22"/>
          <w:szCs w:val="22"/>
        </w:rPr>
        <w:t xml:space="preserve"> </w:t>
      </w:r>
      <w:r w:rsidR="00116BD4" w:rsidRPr="00116BD4">
        <w:rPr>
          <w:rFonts w:ascii="Times New Roman" w:hAnsi="Times New Roman" w:cs="Times New Roman"/>
          <w:sz w:val="22"/>
          <w:szCs w:val="22"/>
        </w:rPr>
        <w:t>established an exceptionally balanced allelic split, yielding a 400-bp allele frequency of 0.533 (53.3%) and a 500-bp allele frequency of 0.467 (46.7%). A Chi-Square goodness-of-fit test demonstrated that these observed genotype distributions did not statistically deviate from theoretical expectations</w:t>
      </w:r>
      <w:r w:rsidR="00BE1A30">
        <w:rPr>
          <w:rFonts w:ascii="Times New Roman" w:hAnsi="Times New Roman" w:cs="Times New Roman"/>
          <w:sz w:val="22"/>
          <w:szCs w:val="22"/>
        </w:rPr>
        <w:t xml:space="preserve"> (</w:t>
      </w:r>
      <w:r w:rsidR="00BE1A30" w:rsidRPr="00AF689A">
        <w:rPr>
          <w:rFonts w:ascii="Times New Roman" w:hAnsi="Times New Roman" w:cs="Times New Roman"/>
          <w:sz w:val="22"/>
          <w:szCs w:val="22"/>
        </w:rPr>
        <w:t>χ2</w:t>
      </w:r>
      <w:r w:rsidR="00BE1A30">
        <w:rPr>
          <w:rFonts w:ascii="Times New Roman" w:hAnsi="Times New Roman" w:cs="Times New Roman"/>
          <w:sz w:val="22"/>
          <w:szCs w:val="22"/>
        </w:rPr>
        <w:t xml:space="preserve"> =</w:t>
      </w:r>
      <w:r w:rsidR="00D56F58">
        <w:rPr>
          <w:rFonts w:ascii="Times New Roman" w:hAnsi="Times New Roman" w:cs="Times New Roman"/>
          <w:sz w:val="22"/>
          <w:szCs w:val="22"/>
        </w:rPr>
        <w:t xml:space="preserve"> </w:t>
      </w:r>
      <w:r w:rsidR="00BE1A30" w:rsidRPr="00BE1A30">
        <w:rPr>
          <w:rFonts w:ascii="Times New Roman" w:hAnsi="Times New Roman" w:cs="Times New Roman"/>
          <w:sz w:val="22"/>
          <w:szCs w:val="22"/>
        </w:rPr>
        <w:t>1.162, p = 0.281)</w:t>
      </w:r>
      <w:r w:rsidR="00116BD4" w:rsidRPr="00116BD4">
        <w:rPr>
          <w:rFonts w:ascii="Times New Roman" w:hAnsi="Times New Roman" w:cs="Times New Roman"/>
          <w:sz w:val="22"/>
          <w:szCs w:val="22"/>
        </w:rPr>
        <w:t>, confirming that this micro-population maintains a stable genetic structure in strict Hardy-Weinberg Equilibrium.</w:t>
      </w:r>
      <w:r w:rsidR="00A1543E" w:rsidRPr="006C61B2">
        <w:rPr>
          <w:rFonts w:ascii="Times New Roman" w:hAnsi="Times New Roman" w:cs="Times New Roman"/>
          <w:sz w:val="22"/>
          <w:szCs w:val="22"/>
        </w:rPr>
        <w:t xml:space="preserve"> </w:t>
      </w:r>
      <w:r w:rsidR="00A1543E">
        <w:rPr>
          <w:rFonts w:ascii="Times New Roman" w:hAnsi="Times New Roman" w:cs="Times New Roman"/>
          <w:sz w:val="22"/>
          <w:szCs w:val="22"/>
        </w:rPr>
        <w:t>T</w:t>
      </w:r>
      <w:r w:rsidR="00A1543E" w:rsidRPr="006C61B2">
        <w:rPr>
          <w:rFonts w:ascii="Times New Roman" w:hAnsi="Times New Roman" w:cs="Times New Roman"/>
          <w:sz w:val="22"/>
          <w:szCs w:val="22"/>
        </w:rPr>
        <w:t>he class's DNA traits are predictable and following normal laws of inheritance</w:t>
      </w:r>
      <w:r w:rsidR="00A1543E">
        <w:rPr>
          <w:rFonts w:ascii="Times New Roman" w:hAnsi="Times New Roman" w:cs="Times New Roman"/>
          <w:sz w:val="22"/>
          <w:szCs w:val="22"/>
        </w:rPr>
        <w:t>.</w:t>
      </w:r>
      <w:r w:rsidR="00A1543E" w:rsidRPr="00116BD4">
        <w:rPr>
          <w:rFonts w:ascii="Times New Roman" w:hAnsi="Times New Roman" w:cs="Times New Roman"/>
          <w:sz w:val="22"/>
          <w:szCs w:val="22"/>
        </w:rPr>
        <w:t xml:space="preserve"> </w:t>
      </w:r>
      <w:r w:rsidR="00116BD4" w:rsidRPr="00116BD4">
        <w:rPr>
          <w:rFonts w:ascii="Times New Roman" w:hAnsi="Times New Roman" w:cs="Times New Roman"/>
          <w:sz w:val="22"/>
          <w:szCs w:val="22"/>
        </w:rPr>
        <w:t xml:space="preserve">This combination of low overall allelic variety and stable equilibrium points toward a localized founder effect or historical population bottleneck rather than active evolutionary selection or systemic laboratory errors like allelic dropout. Ultimately, these outcomes highlight the regional </w:t>
      </w:r>
      <w:r w:rsidR="00A1543E">
        <w:rPr>
          <w:rFonts w:ascii="Times New Roman" w:hAnsi="Times New Roman" w:cs="Times New Roman"/>
          <w:sz w:val="22"/>
          <w:szCs w:val="22"/>
        </w:rPr>
        <w:t xml:space="preserve">genetic </w:t>
      </w:r>
      <w:r w:rsidR="00116BD4" w:rsidRPr="00116BD4">
        <w:rPr>
          <w:rFonts w:ascii="Times New Roman" w:hAnsi="Times New Roman" w:cs="Times New Roman"/>
          <w:sz w:val="22"/>
          <w:szCs w:val="22"/>
        </w:rPr>
        <w:t>conservation of lower-range repeat units within the localized demographic</w:t>
      </w:r>
      <w:r w:rsidR="00D56F58">
        <w:rPr>
          <w:rFonts w:ascii="Times New Roman" w:hAnsi="Times New Roman" w:cs="Times New Roman"/>
          <w:sz w:val="22"/>
          <w:szCs w:val="22"/>
        </w:rPr>
        <w:t>,</w:t>
      </w:r>
      <w:r w:rsidR="00116BD4" w:rsidRPr="00116BD4">
        <w:rPr>
          <w:rFonts w:ascii="Times New Roman" w:hAnsi="Times New Roman" w:cs="Times New Roman"/>
          <w:sz w:val="22"/>
          <w:szCs w:val="22"/>
        </w:rPr>
        <w:t xml:space="preserve"> and underscore the diagnostic necessity of utilizing modern, multiplexed short tandem repeat networks over isolated VNTR analysis in forensic and clinical molecular testing.</w:t>
      </w:r>
    </w:p>
    <w:p w:rsidR="00116BD4" w:rsidRDefault="00116BD4" w:rsidP="00116BD4">
      <w:pPr>
        <w:rPr>
          <w:rFonts w:ascii="Times New Roman" w:hAnsi="Times New Roman" w:cs="Times New Roman"/>
          <w:sz w:val="22"/>
          <w:szCs w:val="22"/>
        </w:rPr>
      </w:pPr>
    </w:p>
    <w:p w:rsidR="00116BD4" w:rsidRDefault="00116BD4" w:rsidP="00116BD4">
      <w:pPr>
        <w:rPr>
          <w:rFonts w:ascii="Times New Roman" w:hAnsi="Times New Roman" w:cs="Times New Roman"/>
          <w:sz w:val="22"/>
          <w:szCs w:val="22"/>
        </w:rPr>
      </w:pPr>
      <w:r w:rsidRPr="00D56F58">
        <w:rPr>
          <w:rFonts w:ascii="Times New Roman" w:hAnsi="Times New Roman" w:cs="Times New Roman"/>
          <w:i/>
          <w:sz w:val="22"/>
          <w:szCs w:val="22"/>
        </w:rPr>
        <w:t>Keywords</w:t>
      </w:r>
      <w:r>
        <w:rPr>
          <w:rFonts w:ascii="Times New Roman" w:hAnsi="Times New Roman" w:cs="Times New Roman"/>
          <w:sz w:val="22"/>
          <w:szCs w:val="22"/>
        </w:rPr>
        <w:t xml:space="preserve">: </w:t>
      </w:r>
      <w:r w:rsidR="00A1543E">
        <w:rPr>
          <w:rFonts w:ascii="Times New Roman" w:hAnsi="Times New Roman" w:cs="Times New Roman"/>
          <w:sz w:val="22"/>
          <w:szCs w:val="22"/>
        </w:rPr>
        <w:t>D1S80</w:t>
      </w:r>
      <w:r w:rsidR="00E86EC4">
        <w:rPr>
          <w:rFonts w:ascii="Times New Roman" w:hAnsi="Times New Roman" w:cs="Times New Roman"/>
          <w:sz w:val="22"/>
          <w:szCs w:val="22"/>
        </w:rPr>
        <w:t xml:space="preserve"> locus</w:t>
      </w:r>
      <w:r w:rsidR="00A1543E">
        <w:rPr>
          <w:rFonts w:ascii="Times New Roman" w:hAnsi="Times New Roman" w:cs="Times New Roman"/>
          <w:sz w:val="22"/>
          <w:szCs w:val="22"/>
        </w:rPr>
        <w:t>, Gel electrophoresis, Polymerase Chain Reaction, Variable Number of Tandem Repeat.</w:t>
      </w:r>
    </w:p>
    <w:p w:rsidR="006C61B2" w:rsidRDefault="006C61B2" w:rsidP="00116BD4">
      <w:pPr>
        <w:rPr>
          <w:rFonts w:ascii="Times New Roman" w:hAnsi="Times New Roman" w:cs="Times New Roman"/>
          <w:sz w:val="22"/>
          <w:szCs w:val="22"/>
        </w:rPr>
      </w:pPr>
    </w:p>
    <w:p w:rsidR="006C61B2" w:rsidRDefault="006C61B2" w:rsidP="00116BD4">
      <w:pPr>
        <w:rPr>
          <w:rFonts w:ascii="Times New Roman" w:hAnsi="Times New Roman" w:cs="Times New Roman"/>
          <w:sz w:val="22"/>
          <w:szCs w:val="22"/>
        </w:rPr>
      </w:pPr>
    </w:p>
    <w:p w:rsidR="00AF689A" w:rsidRPr="00A1543E" w:rsidRDefault="00406BE1" w:rsidP="00A1543E">
      <w:pPr>
        <w:rPr>
          <w:rFonts w:ascii="Times New Roman" w:hAnsi="Times New Roman" w:cs="Times New Roman"/>
          <w:b/>
          <w:bCs/>
          <w:sz w:val="22"/>
          <w:szCs w:val="22"/>
        </w:rPr>
      </w:pPr>
      <w:r w:rsidRPr="00A1543E">
        <w:rPr>
          <w:rFonts w:ascii="Times New Roman" w:hAnsi="Times New Roman" w:cs="Times New Roman"/>
          <w:b/>
          <w:bCs/>
          <w:sz w:val="22"/>
          <w:szCs w:val="22"/>
        </w:rPr>
        <w:t>INTRODUCTION</w:t>
      </w:r>
    </w:p>
    <w:p w:rsidR="00E86EC4" w:rsidRDefault="00184B35" w:rsidP="00406BE1">
      <w:pPr>
        <w:jc w:val="both"/>
        <w:rPr>
          <w:rFonts w:ascii="Times New Roman" w:hAnsi="Times New Roman" w:cs="Times New Roman"/>
          <w:sz w:val="22"/>
          <w:szCs w:val="22"/>
        </w:rPr>
      </w:pPr>
      <w:r>
        <w:rPr>
          <w:rFonts w:ascii="Times New Roman" w:hAnsi="Times New Roman" w:cs="Times New Roman"/>
          <w:sz w:val="22"/>
          <w:szCs w:val="22"/>
        </w:rPr>
        <w:t xml:space="preserve">     </w:t>
      </w:r>
      <w:r w:rsidR="00A1543E" w:rsidRPr="00A1543E">
        <w:rPr>
          <w:rFonts w:ascii="Times New Roman" w:hAnsi="Times New Roman" w:cs="Times New Roman"/>
          <w:sz w:val="22"/>
          <w:szCs w:val="22"/>
        </w:rPr>
        <w:t xml:space="preserve">Variable Number Tandem Repeats (VNTRs) represent a class of core locus polymorphisms in the human genome characterized by short, repetitive nucleotide sequences </w:t>
      </w:r>
      <w:r w:rsidR="00AC3541">
        <w:rPr>
          <w:rFonts w:ascii="Times New Roman" w:hAnsi="Times New Roman" w:cs="Times New Roman"/>
          <w:sz w:val="22"/>
          <w:szCs w:val="22"/>
        </w:rPr>
        <w:t>[1]</w:t>
      </w:r>
      <w:r w:rsidR="00A1543E" w:rsidRPr="00A1543E">
        <w:rPr>
          <w:rFonts w:ascii="Times New Roman" w:hAnsi="Times New Roman" w:cs="Times New Roman"/>
          <w:sz w:val="22"/>
          <w:szCs w:val="22"/>
        </w:rPr>
        <w:t xml:space="preserve">. Because the number of repeated units varies substantially among individuals, VNTR profiling serves as a fundamental cornerstone in forensic identification, paternity testing, and mapping human evolutionary history </w:t>
      </w:r>
      <w:r w:rsidR="00AC3541">
        <w:rPr>
          <w:rFonts w:ascii="Times New Roman" w:hAnsi="Times New Roman" w:cs="Times New Roman"/>
          <w:sz w:val="22"/>
          <w:szCs w:val="22"/>
        </w:rPr>
        <w:t>[2]</w:t>
      </w:r>
      <w:r w:rsidR="00A1543E" w:rsidRPr="00A1543E">
        <w:rPr>
          <w:rFonts w:ascii="Times New Roman" w:hAnsi="Times New Roman" w:cs="Times New Roman"/>
          <w:sz w:val="22"/>
          <w:szCs w:val="22"/>
        </w:rPr>
        <w:t xml:space="preserve">. Concurrently, VNTRs remain a fundamental instructional model in molecular biology education and localized genetic mapping </w:t>
      </w:r>
      <w:r w:rsidR="00901E50">
        <w:rPr>
          <w:rFonts w:ascii="Times New Roman" w:hAnsi="Times New Roman" w:cs="Times New Roman"/>
          <w:sz w:val="22"/>
          <w:szCs w:val="22"/>
        </w:rPr>
        <w:t>[3]</w:t>
      </w:r>
      <w:r w:rsidR="00A1543E" w:rsidRPr="00A1543E">
        <w:rPr>
          <w:rFonts w:ascii="Times New Roman" w:hAnsi="Times New Roman" w:cs="Times New Roman"/>
          <w:sz w:val="22"/>
          <w:szCs w:val="22"/>
        </w:rPr>
        <w:t>. In the post-genomic era,</w:t>
      </w:r>
      <w:r w:rsidR="00D56F58">
        <w:rPr>
          <w:rFonts w:ascii="Times New Roman" w:hAnsi="Times New Roman" w:cs="Times New Roman"/>
          <w:sz w:val="22"/>
          <w:szCs w:val="22"/>
        </w:rPr>
        <w:t xml:space="preserve"> </w:t>
      </w:r>
      <w:r w:rsidR="00A1543E" w:rsidRPr="00A1543E">
        <w:rPr>
          <w:rFonts w:ascii="Times New Roman" w:hAnsi="Times New Roman" w:cs="Times New Roman"/>
          <w:sz w:val="22"/>
          <w:szCs w:val="22"/>
        </w:rPr>
        <w:t xml:space="preserve">targeted Polymerase Chain Reaction (PCR) amplification of highly polymorphic loci serves as a critical baseline tool for studying population substructures, micro-evolutionary forces, and </w:t>
      </w:r>
      <w:r w:rsidR="00D56F58">
        <w:rPr>
          <w:rFonts w:ascii="Times New Roman" w:hAnsi="Times New Roman" w:cs="Times New Roman"/>
          <w:sz w:val="22"/>
          <w:szCs w:val="22"/>
        </w:rPr>
        <w:t xml:space="preserve">geographical </w:t>
      </w:r>
      <w:r w:rsidR="00A1543E" w:rsidRPr="00A1543E">
        <w:rPr>
          <w:rFonts w:ascii="Times New Roman" w:hAnsi="Times New Roman" w:cs="Times New Roman"/>
          <w:sz w:val="22"/>
          <w:szCs w:val="22"/>
        </w:rPr>
        <w:t xml:space="preserve">allele frequencies </w:t>
      </w:r>
      <w:r w:rsidR="00901E50">
        <w:rPr>
          <w:rFonts w:ascii="Times New Roman" w:hAnsi="Times New Roman" w:cs="Times New Roman"/>
          <w:sz w:val="22"/>
          <w:szCs w:val="22"/>
        </w:rPr>
        <w:t>[4]</w:t>
      </w:r>
      <w:r w:rsidR="00A1543E" w:rsidRPr="00A1543E">
        <w:rPr>
          <w:rFonts w:ascii="Times New Roman" w:hAnsi="Times New Roman" w:cs="Times New Roman"/>
          <w:sz w:val="22"/>
          <w:szCs w:val="22"/>
        </w:rPr>
        <w:t xml:space="preserve">. </w:t>
      </w:r>
    </w:p>
    <w:p w:rsidR="00E86EC4" w:rsidRPr="00A1543E" w:rsidRDefault="00184B35" w:rsidP="00406BE1">
      <w:pPr>
        <w:jc w:val="both"/>
        <w:rPr>
          <w:rFonts w:ascii="Times New Roman" w:hAnsi="Times New Roman" w:cs="Times New Roman"/>
          <w:sz w:val="22"/>
          <w:szCs w:val="22"/>
        </w:rPr>
      </w:pPr>
      <w:r>
        <w:rPr>
          <w:rFonts w:ascii="Times New Roman" w:hAnsi="Times New Roman" w:cs="Times New Roman"/>
          <w:sz w:val="22"/>
          <w:szCs w:val="22"/>
        </w:rPr>
        <w:t xml:space="preserve">     </w:t>
      </w:r>
      <w:r w:rsidR="00A1543E" w:rsidRPr="00A1543E">
        <w:rPr>
          <w:rFonts w:ascii="Times New Roman" w:hAnsi="Times New Roman" w:cs="Times New Roman"/>
          <w:sz w:val="22"/>
          <w:szCs w:val="22"/>
        </w:rPr>
        <w:t>Among the most extensively characterized VNTR loci is D1S80</w:t>
      </w:r>
      <w:r w:rsidR="00D56F58">
        <w:rPr>
          <w:rFonts w:ascii="Times New Roman" w:hAnsi="Times New Roman" w:cs="Times New Roman"/>
          <w:sz w:val="22"/>
          <w:szCs w:val="22"/>
        </w:rPr>
        <w:t xml:space="preserve">, </w:t>
      </w:r>
      <w:r w:rsidR="00A1543E" w:rsidRPr="00A1543E">
        <w:rPr>
          <w:rFonts w:ascii="Times New Roman" w:hAnsi="Times New Roman" w:cs="Times New Roman"/>
          <w:sz w:val="22"/>
          <w:szCs w:val="22"/>
        </w:rPr>
        <w:t xml:space="preserve">located on the short arm of chromosome 1, 1p35-p36, which features a 16-base pair (bp) consensus core repeat unit flanked by static restriction sites </w:t>
      </w:r>
      <w:r w:rsidR="00901E50">
        <w:rPr>
          <w:rFonts w:ascii="Times New Roman" w:hAnsi="Times New Roman" w:cs="Times New Roman"/>
          <w:sz w:val="22"/>
          <w:szCs w:val="22"/>
        </w:rPr>
        <w:t>[5]</w:t>
      </w:r>
      <w:r w:rsidR="00A1543E" w:rsidRPr="00A1543E">
        <w:rPr>
          <w:rFonts w:ascii="Times New Roman" w:hAnsi="Times New Roman" w:cs="Times New Roman"/>
          <w:sz w:val="22"/>
          <w:szCs w:val="22"/>
        </w:rPr>
        <w:t xml:space="preserve">. In global population databases, the D1S80 locus is highly polymorphic, exhibiting more than 27 distinct alleles with lengths typically ranging between 350 bp and 1,000 bp across broad macro-populations </w:t>
      </w:r>
      <w:r w:rsidR="00901E50">
        <w:rPr>
          <w:rFonts w:ascii="Times New Roman" w:hAnsi="Times New Roman" w:cs="Times New Roman"/>
          <w:sz w:val="22"/>
          <w:szCs w:val="22"/>
        </w:rPr>
        <w:t>[6]</w:t>
      </w:r>
      <w:r w:rsidR="00A1543E" w:rsidRPr="00A1543E">
        <w:rPr>
          <w:rFonts w:ascii="Times New Roman" w:hAnsi="Times New Roman" w:cs="Times New Roman"/>
          <w:sz w:val="22"/>
          <w:szCs w:val="22"/>
        </w:rPr>
        <w:t>.</w:t>
      </w:r>
    </w:p>
    <w:p w:rsidR="00E86EC4" w:rsidRPr="00A1543E" w:rsidRDefault="00184B35" w:rsidP="00406BE1">
      <w:pPr>
        <w:jc w:val="both"/>
        <w:rPr>
          <w:rFonts w:ascii="Times New Roman" w:hAnsi="Times New Roman" w:cs="Times New Roman"/>
          <w:sz w:val="22"/>
          <w:szCs w:val="22"/>
        </w:rPr>
      </w:pPr>
      <w:r>
        <w:rPr>
          <w:rFonts w:ascii="Times New Roman" w:hAnsi="Times New Roman" w:cs="Times New Roman"/>
          <w:sz w:val="22"/>
          <w:szCs w:val="22"/>
        </w:rPr>
        <w:t xml:space="preserve">     </w:t>
      </w:r>
      <w:r w:rsidR="00A1543E" w:rsidRPr="00A1543E">
        <w:rPr>
          <w:rFonts w:ascii="Times New Roman" w:hAnsi="Times New Roman" w:cs="Times New Roman"/>
          <w:sz w:val="22"/>
          <w:szCs w:val="22"/>
        </w:rPr>
        <w:t xml:space="preserve">In clinical diagnostics and medical laboratory research, observing the distribution of these alleles allows scientists to calculate baseline allele frequencies and evaluate whether a specific cohort aligns with the Hardy-Weinberg genetic equilibrium </w:t>
      </w:r>
      <w:r w:rsidR="00901E50">
        <w:rPr>
          <w:rFonts w:ascii="Times New Roman" w:hAnsi="Times New Roman" w:cs="Times New Roman"/>
          <w:sz w:val="22"/>
          <w:szCs w:val="22"/>
        </w:rPr>
        <w:t>[7]</w:t>
      </w:r>
      <w:r w:rsidR="00A1543E" w:rsidRPr="00A1543E">
        <w:rPr>
          <w:rFonts w:ascii="Times New Roman" w:hAnsi="Times New Roman" w:cs="Times New Roman"/>
          <w:sz w:val="22"/>
          <w:szCs w:val="22"/>
        </w:rPr>
        <w:t xml:space="preserve">. Evaluating allele frequencies within specialized, small-scale cohorts also offers valuable pedagogical and demographic insights. While broad geographic populations display widespread heterozygosity at the D1S80 locus, localized cohorts or specific regional demographics can exhibit genetic drift or partial allelic fixation </w:t>
      </w:r>
      <w:r w:rsidR="00901E50">
        <w:rPr>
          <w:rFonts w:ascii="Times New Roman" w:hAnsi="Times New Roman" w:cs="Times New Roman"/>
          <w:sz w:val="22"/>
          <w:szCs w:val="22"/>
        </w:rPr>
        <w:t>[8]</w:t>
      </w:r>
      <w:r w:rsidR="00A1543E" w:rsidRPr="00A1543E">
        <w:rPr>
          <w:rFonts w:ascii="Times New Roman" w:hAnsi="Times New Roman" w:cs="Times New Roman"/>
          <w:sz w:val="22"/>
          <w:szCs w:val="22"/>
        </w:rPr>
        <w:t xml:space="preserve">. Allelic fixation occurs when a small, isolated, or </w:t>
      </w:r>
      <w:r w:rsidR="00A1543E" w:rsidRPr="00A1543E">
        <w:rPr>
          <w:rFonts w:ascii="Times New Roman" w:hAnsi="Times New Roman" w:cs="Times New Roman"/>
          <w:sz w:val="22"/>
          <w:szCs w:val="22"/>
        </w:rPr>
        <w:lastRenderedPageBreak/>
        <w:t xml:space="preserve">highly localized sub-population exhibits heavily restricted genetic diversity, manifesting as an overrepresentation of only one or two specific alleles due to historical founder effects, demographic isolation, localized sampling bias, or endogamy </w:t>
      </w:r>
      <w:r w:rsidR="00901E50">
        <w:rPr>
          <w:rFonts w:ascii="Times New Roman" w:hAnsi="Times New Roman" w:cs="Times New Roman"/>
          <w:sz w:val="22"/>
          <w:szCs w:val="22"/>
        </w:rPr>
        <w:t>[8,9]</w:t>
      </w:r>
      <w:r w:rsidR="00A1543E" w:rsidRPr="00A1543E">
        <w:rPr>
          <w:rFonts w:ascii="Times New Roman" w:hAnsi="Times New Roman" w:cs="Times New Roman"/>
          <w:sz w:val="22"/>
          <w:szCs w:val="22"/>
        </w:rPr>
        <w:t>.</w:t>
      </w:r>
    </w:p>
    <w:p w:rsidR="00E86EC4" w:rsidRDefault="00184B35" w:rsidP="00406BE1">
      <w:pPr>
        <w:jc w:val="both"/>
        <w:rPr>
          <w:rFonts w:ascii="Times New Roman" w:hAnsi="Times New Roman" w:cs="Times New Roman"/>
          <w:sz w:val="22"/>
          <w:szCs w:val="22"/>
        </w:rPr>
      </w:pPr>
      <w:r>
        <w:rPr>
          <w:rFonts w:ascii="Times New Roman" w:hAnsi="Times New Roman" w:cs="Times New Roman"/>
          <w:sz w:val="22"/>
          <w:szCs w:val="22"/>
        </w:rPr>
        <w:t xml:space="preserve">     </w:t>
      </w:r>
      <w:r w:rsidR="00A1543E" w:rsidRPr="00A1543E">
        <w:rPr>
          <w:rFonts w:ascii="Times New Roman" w:hAnsi="Times New Roman" w:cs="Times New Roman"/>
          <w:sz w:val="22"/>
          <w:szCs w:val="22"/>
        </w:rPr>
        <w:t xml:space="preserve">Modern population genetic surveys consistently demonstrate that when small communities or distinct subsets are evaluated, specific alleles become heavily overrepresented, shifting the population out of traditional Hardy-Weinberg equilibrium. This phenomenon is supported by </w:t>
      </w:r>
      <w:r w:rsidR="002A1F01">
        <w:rPr>
          <w:rFonts w:ascii="Times New Roman" w:hAnsi="Times New Roman" w:cs="Times New Roman"/>
          <w:sz w:val="22"/>
          <w:szCs w:val="22"/>
        </w:rPr>
        <w:t>a study which</w:t>
      </w:r>
      <w:r w:rsidR="00A1543E" w:rsidRPr="00A1543E">
        <w:rPr>
          <w:rFonts w:ascii="Times New Roman" w:hAnsi="Times New Roman" w:cs="Times New Roman"/>
          <w:sz w:val="22"/>
          <w:szCs w:val="22"/>
        </w:rPr>
        <w:t xml:space="preserve"> observed highly restricted allele ranges and narrow bands clustered tightly together when tracking small, localized communities</w:t>
      </w:r>
      <w:r w:rsidR="00901E50">
        <w:rPr>
          <w:rFonts w:ascii="Times New Roman" w:hAnsi="Times New Roman" w:cs="Times New Roman"/>
          <w:sz w:val="22"/>
          <w:szCs w:val="22"/>
        </w:rPr>
        <w:t xml:space="preserve"> [10]</w:t>
      </w:r>
      <w:r w:rsidR="00A1543E" w:rsidRPr="00A1543E">
        <w:rPr>
          <w:rFonts w:ascii="Times New Roman" w:hAnsi="Times New Roman" w:cs="Times New Roman"/>
          <w:sz w:val="22"/>
          <w:szCs w:val="22"/>
        </w:rPr>
        <w:t xml:space="preserve">. Recent academic observations tracking student-cohort genotyping labs have similarly noted these restricted distributions, where instead of multi-modal global patterns, localized groups display narrow bands clustered tightly between 400 bp and 600 bp </w:t>
      </w:r>
      <w:r w:rsidR="00901E50">
        <w:rPr>
          <w:rFonts w:ascii="Times New Roman" w:hAnsi="Times New Roman" w:cs="Times New Roman"/>
          <w:sz w:val="22"/>
          <w:szCs w:val="22"/>
        </w:rPr>
        <w:t>[</w:t>
      </w:r>
      <w:r w:rsidR="00BD6C9E">
        <w:rPr>
          <w:rFonts w:ascii="Times New Roman" w:hAnsi="Times New Roman" w:cs="Times New Roman"/>
          <w:sz w:val="22"/>
          <w:szCs w:val="22"/>
        </w:rPr>
        <w:t>3</w:t>
      </w:r>
      <w:r w:rsidR="00901E50">
        <w:rPr>
          <w:rFonts w:ascii="Times New Roman" w:hAnsi="Times New Roman" w:cs="Times New Roman"/>
          <w:sz w:val="22"/>
          <w:szCs w:val="22"/>
        </w:rPr>
        <w:t>]</w:t>
      </w:r>
      <w:r w:rsidR="00A1543E" w:rsidRPr="00A1543E">
        <w:rPr>
          <w:rFonts w:ascii="Times New Roman" w:hAnsi="Times New Roman" w:cs="Times New Roman"/>
          <w:sz w:val="22"/>
          <w:szCs w:val="22"/>
        </w:rPr>
        <w:t>.</w:t>
      </w:r>
    </w:p>
    <w:p w:rsidR="00A1543E" w:rsidRDefault="00184B35" w:rsidP="00BE1A30">
      <w:pPr>
        <w:jc w:val="both"/>
        <w:rPr>
          <w:rFonts w:ascii="Times New Roman" w:hAnsi="Times New Roman" w:cs="Times New Roman"/>
          <w:sz w:val="22"/>
          <w:szCs w:val="22"/>
        </w:rPr>
      </w:pPr>
      <w:r>
        <w:rPr>
          <w:rFonts w:ascii="Times New Roman" w:hAnsi="Times New Roman" w:cs="Times New Roman"/>
          <w:sz w:val="22"/>
          <w:szCs w:val="22"/>
        </w:rPr>
        <w:t xml:space="preserve">     </w:t>
      </w:r>
      <w:r w:rsidR="00A1543E" w:rsidRPr="00A1543E">
        <w:rPr>
          <w:rFonts w:ascii="Times New Roman" w:hAnsi="Times New Roman" w:cs="Times New Roman"/>
          <w:sz w:val="22"/>
          <w:szCs w:val="22"/>
        </w:rPr>
        <w:t xml:space="preserve">This study explores the genetic architecture of a localized cohort comprising 30 Medical Laboratory Science (MLS) students using standard extraction, PCR amplification, and high-resolution agarose gel electrophoresis visualization. The restriction of this cohort to just two distinct molecular weights offers a unique public health, biological, and anthropological window into local genetic structures. </w:t>
      </w:r>
      <w:r w:rsidR="00A6323C">
        <w:rPr>
          <w:rFonts w:ascii="Times New Roman" w:hAnsi="Times New Roman" w:cs="Times New Roman"/>
          <w:sz w:val="22"/>
          <w:szCs w:val="22"/>
        </w:rPr>
        <w:t>U</w:t>
      </w:r>
      <w:r w:rsidR="00A1543E" w:rsidRPr="00A1543E">
        <w:rPr>
          <w:rFonts w:ascii="Times New Roman" w:hAnsi="Times New Roman" w:cs="Times New Roman"/>
          <w:sz w:val="22"/>
          <w:szCs w:val="22"/>
        </w:rPr>
        <w:t>nderstanding these frequency deviations within a localized cohort of future laboratory professionals provides an essential application of quality control, biostatistics, and molecular tracking</w:t>
      </w:r>
      <w:r w:rsidR="00BD6C9E">
        <w:rPr>
          <w:rFonts w:ascii="Times New Roman" w:hAnsi="Times New Roman" w:cs="Times New Roman"/>
          <w:sz w:val="22"/>
          <w:szCs w:val="22"/>
        </w:rPr>
        <w:t xml:space="preserve"> [11]</w:t>
      </w:r>
      <w:r w:rsidR="00A1543E" w:rsidRPr="00A1543E">
        <w:rPr>
          <w:rFonts w:ascii="Times New Roman" w:hAnsi="Times New Roman" w:cs="Times New Roman"/>
          <w:sz w:val="22"/>
          <w:szCs w:val="22"/>
        </w:rPr>
        <w:t xml:space="preserve">. Regional variations in baseline polymorphisms can significantly impact the statistical power of discrimination calculated for local forensic investigations and molecular diagnostic assays </w:t>
      </w:r>
      <w:r w:rsidR="00BD6C9E">
        <w:rPr>
          <w:rFonts w:ascii="Times New Roman" w:hAnsi="Times New Roman" w:cs="Times New Roman"/>
          <w:sz w:val="22"/>
          <w:szCs w:val="22"/>
        </w:rPr>
        <w:t>[11]</w:t>
      </w:r>
      <w:r w:rsidR="00A1543E" w:rsidRPr="00A1543E">
        <w:rPr>
          <w:rFonts w:ascii="Times New Roman" w:hAnsi="Times New Roman" w:cs="Times New Roman"/>
          <w:sz w:val="22"/>
          <w:szCs w:val="22"/>
        </w:rPr>
        <w:t>. Exploring these specific mathematical distributions allows for a practical exploration of genetic drift and founder effects, testing whether standard laboratory techniques on a small sample size can reveal broader macro-demographic phenomena or localized allelic conservation.</w:t>
      </w:r>
    </w:p>
    <w:p w:rsidR="006B4840" w:rsidRDefault="006B4840" w:rsidP="00A1543E">
      <w:pPr>
        <w:rPr>
          <w:rFonts w:ascii="Times New Roman" w:hAnsi="Times New Roman" w:cs="Times New Roman"/>
          <w:sz w:val="22"/>
          <w:szCs w:val="22"/>
        </w:rPr>
      </w:pPr>
    </w:p>
    <w:p w:rsidR="00E20D8C" w:rsidRPr="00406BE1" w:rsidRDefault="0033141C" w:rsidP="0033141C">
      <w:pPr>
        <w:rPr>
          <w:rFonts w:ascii="Times New Roman" w:hAnsi="Times New Roman" w:cs="Times New Roman"/>
          <w:bCs/>
          <w:i/>
          <w:sz w:val="22"/>
          <w:szCs w:val="22"/>
        </w:rPr>
      </w:pPr>
      <w:r w:rsidRPr="00406BE1">
        <w:rPr>
          <w:rFonts w:ascii="Times New Roman" w:hAnsi="Times New Roman" w:cs="Times New Roman"/>
          <w:bCs/>
          <w:i/>
          <w:sz w:val="22"/>
          <w:szCs w:val="22"/>
        </w:rPr>
        <w:t>Synthesis of Related Studies</w:t>
      </w:r>
    </w:p>
    <w:p w:rsidR="00E00710" w:rsidRPr="00E00710" w:rsidRDefault="0041487C" w:rsidP="00E00710">
      <w:pPr>
        <w:jc w:val="both"/>
        <w:rPr>
          <w:rFonts w:ascii="Times New Roman" w:hAnsi="Times New Roman" w:cs="Times New Roman"/>
          <w:sz w:val="22"/>
          <w:szCs w:val="22"/>
        </w:rPr>
      </w:pPr>
      <w:r>
        <w:rPr>
          <w:rFonts w:ascii="Times New Roman" w:hAnsi="Times New Roman" w:cs="Times New Roman"/>
          <w:sz w:val="22"/>
          <w:szCs w:val="22"/>
        </w:rPr>
        <w:t xml:space="preserve">     </w:t>
      </w:r>
      <w:r w:rsidR="00E00710" w:rsidRPr="00E00710">
        <w:rPr>
          <w:rFonts w:ascii="Times New Roman" w:hAnsi="Times New Roman" w:cs="Times New Roman"/>
          <w:sz w:val="22"/>
          <w:szCs w:val="22"/>
        </w:rPr>
        <w:t xml:space="preserve">Variable Number Tandem Repeats (VNTRs) comprise roughly 3% of the human genome and are vital regulators of physical traits, gene expression, and disease risk, correcting early dismissals of these regions as "junk DNA" </w:t>
      </w:r>
      <w:r w:rsidR="00322036">
        <w:rPr>
          <w:rFonts w:ascii="Times New Roman" w:hAnsi="Times New Roman" w:cs="Times New Roman"/>
          <w:sz w:val="22"/>
          <w:szCs w:val="22"/>
        </w:rPr>
        <w:t>[12]</w:t>
      </w:r>
      <w:r w:rsidR="00E00710" w:rsidRPr="00E00710">
        <w:rPr>
          <w:rFonts w:ascii="Times New Roman" w:hAnsi="Times New Roman" w:cs="Times New Roman"/>
          <w:sz w:val="22"/>
          <w:szCs w:val="22"/>
        </w:rPr>
        <w:t xml:space="preserve">. VNTR research began in 1985 with Sir Alec Jeffreys’ restriction fragment profiling, which generated the first "DNA fingerprints" used to map human evolution and tribal lineages </w:t>
      </w:r>
      <w:r w:rsidR="00322036">
        <w:rPr>
          <w:rFonts w:ascii="Times New Roman" w:hAnsi="Times New Roman" w:cs="Times New Roman"/>
          <w:sz w:val="22"/>
          <w:szCs w:val="22"/>
        </w:rPr>
        <w:t>[13]</w:t>
      </w:r>
      <w:r w:rsidR="00E00710" w:rsidRPr="00E00710">
        <w:rPr>
          <w:rFonts w:ascii="Times New Roman" w:hAnsi="Times New Roman" w:cs="Times New Roman"/>
          <w:sz w:val="22"/>
          <w:szCs w:val="22"/>
        </w:rPr>
        <w:t>. Biophysically, VNTRs mutate rapidly</w:t>
      </w:r>
      <w:r w:rsidR="00087C0E">
        <w:rPr>
          <w:rFonts w:ascii="Times New Roman" w:hAnsi="Times New Roman" w:cs="Times New Roman"/>
          <w:sz w:val="22"/>
          <w:szCs w:val="22"/>
        </w:rPr>
        <w:t xml:space="preserve"> </w:t>
      </w:r>
      <w:r w:rsidR="00E00710" w:rsidRPr="00E00710">
        <w:rPr>
          <w:rFonts w:ascii="Times New Roman" w:hAnsi="Times New Roman" w:cs="Times New Roman"/>
          <w:sz w:val="22"/>
          <w:szCs w:val="22"/>
        </w:rPr>
        <w:t>—</w:t>
      </w:r>
      <w:r w:rsidR="00087C0E">
        <w:rPr>
          <w:rFonts w:ascii="Times New Roman" w:hAnsi="Times New Roman" w:cs="Times New Roman"/>
          <w:sz w:val="22"/>
          <w:szCs w:val="22"/>
        </w:rPr>
        <w:t xml:space="preserve"> </w:t>
      </w:r>
      <w:r w:rsidR="00E00710" w:rsidRPr="00E00710">
        <w:rPr>
          <w:rFonts w:ascii="Times New Roman" w:hAnsi="Times New Roman" w:cs="Times New Roman"/>
          <w:sz w:val="22"/>
          <w:szCs w:val="22"/>
        </w:rPr>
        <w:t>at germline rates between 10</w:t>
      </w:r>
      <w:r w:rsidR="00E00710" w:rsidRPr="00E00710">
        <w:rPr>
          <w:rFonts w:ascii="Times New Roman" w:hAnsi="Times New Roman" w:cs="Times New Roman"/>
          <w:sz w:val="22"/>
          <w:szCs w:val="22"/>
          <w:vertAlign w:val="superscript"/>
        </w:rPr>
        <w:t>−3</w:t>
      </w:r>
      <w:r w:rsidR="00E00710">
        <w:rPr>
          <w:rFonts w:ascii="Times New Roman" w:hAnsi="Times New Roman" w:cs="Times New Roman"/>
          <w:sz w:val="22"/>
          <w:szCs w:val="22"/>
        </w:rPr>
        <w:t xml:space="preserve"> </w:t>
      </w:r>
      <w:r w:rsidR="00E00710" w:rsidRPr="00E00710">
        <w:rPr>
          <w:rFonts w:ascii="Times New Roman" w:hAnsi="Times New Roman" w:cs="Times New Roman"/>
          <w:sz w:val="22"/>
          <w:szCs w:val="22"/>
        </w:rPr>
        <w:t>and 10</w:t>
      </w:r>
      <w:r w:rsidR="00E00710" w:rsidRPr="00E00710">
        <w:rPr>
          <w:rFonts w:ascii="Times New Roman" w:hAnsi="Times New Roman" w:cs="Times New Roman"/>
          <w:sz w:val="22"/>
          <w:szCs w:val="22"/>
          <w:vertAlign w:val="superscript"/>
        </w:rPr>
        <w:t>−7</w:t>
      </w:r>
      <w:r w:rsidR="00E00710">
        <w:rPr>
          <w:rFonts w:ascii="Times New Roman" w:hAnsi="Times New Roman" w:cs="Times New Roman"/>
          <w:sz w:val="22"/>
          <w:szCs w:val="22"/>
        </w:rPr>
        <w:t xml:space="preserve"> </w:t>
      </w:r>
      <w:r w:rsidR="00E00710" w:rsidRPr="00E00710">
        <w:rPr>
          <w:rFonts w:ascii="Times New Roman" w:hAnsi="Times New Roman" w:cs="Times New Roman"/>
          <w:sz w:val="22"/>
          <w:szCs w:val="22"/>
        </w:rPr>
        <w:t>per cell division</w:t>
      </w:r>
      <w:r w:rsidR="00087C0E">
        <w:rPr>
          <w:rFonts w:ascii="Times New Roman" w:hAnsi="Times New Roman" w:cs="Times New Roman"/>
          <w:sz w:val="22"/>
          <w:szCs w:val="22"/>
        </w:rPr>
        <w:t xml:space="preserve"> </w:t>
      </w:r>
      <w:r w:rsidR="00E00710" w:rsidRPr="00E00710">
        <w:rPr>
          <w:rFonts w:ascii="Times New Roman" w:hAnsi="Times New Roman" w:cs="Times New Roman"/>
          <w:sz w:val="22"/>
          <w:szCs w:val="22"/>
        </w:rPr>
        <w:t>—</w:t>
      </w:r>
      <w:r w:rsidR="00087C0E">
        <w:rPr>
          <w:rFonts w:ascii="Times New Roman" w:hAnsi="Times New Roman" w:cs="Times New Roman"/>
          <w:sz w:val="22"/>
          <w:szCs w:val="22"/>
        </w:rPr>
        <w:t xml:space="preserve"> </w:t>
      </w:r>
      <w:r w:rsidR="00E00710" w:rsidRPr="00E00710">
        <w:rPr>
          <w:rFonts w:ascii="Times New Roman" w:hAnsi="Times New Roman" w:cs="Times New Roman"/>
          <w:sz w:val="22"/>
          <w:szCs w:val="22"/>
        </w:rPr>
        <w:t xml:space="preserve">due to replication errors like slipped strand mispairing </w:t>
      </w:r>
      <w:r w:rsidR="00322036">
        <w:rPr>
          <w:rFonts w:ascii="Times New Roman" w:hAnsi="Times New Roman" w:cs="Times New Roman"/>
          <w:sz w:val="22"/>
          <w:szCs w:val="22"/>
        </w:rPr>
        <w:t>[12]</w:t>
      </w:r>
      <w:r w:rsidR="00E00710" w:rsidRPr="00E00710">
        <w:rPr>
          <w:rFonts w:ascii="Times New Roman" w:hAnsi="Times New Roman" w:cs="Times New Roman"/>
          <w:sz w:val="22"/>
          <w:szCs w:val="22"/>
        </w:rPr>
        <w:t>. These hypervariable structures are heavily concentrated near the sub</w:t>
      </w:r>
      <w:r w:rsidR="00087C0E">
        <w:rPr>
          <w:rFonts w:ascii="Times New Roman" w:hAnsi="Times New Roman" w:cs="Times New Roman"/>
          <w:sz w:val="22"/>
          <w:szCs w:val="22"/>
        </w:rPr>
        <w:t>-</w:t>
      </w:r>
      <w:r w:rsidR="00E00710" w:rsidRPr="00E00710">
        <w:rPr>
          <w:rFonts w:ascii="Times New Roman" w:hAnsi="Times New Roman" w:cs="Times New Roman"/>
          <w:sz w:val="22"/>
          <w:szCs w:val="22"/>
        </w:rPr>
        <w:t xml:space="preserve">telomeric tips of chromosomes, where greater sequence length and internal motif complexity drive immense allelic diversity across different populations </w:t>
      </w:r>
      <w:r w:rsidR="00322036">
        <w:rPr>
          <w:rFonts w:ascii="Times New Roman" w:hAnsi="Times New Roman" w:cs="Times New Roman"/>
          <w:sz w:val="22"/>
          <w:szCs w:val="22"/>
        </w:rPr>
        <w:t>[12,14]</w:t>
      </w:r>
      <w:r w:rsidR="00E00710" w:rsidRPr="00E00710">
        <w:rPr>
          <w:rFonts w:ascii="Times New Roman" w:hAnsi="Times New Roman" w:cs="Times New Roman"/>
          <w:sz w:val="22"/>
          <w:szCs w:val="22"/>
        </w:rPr>
        <w:t>.</w:t>
      </w:r>
    </w:p>
    <w:p w:rsidR="00E00710" w:rsidRPr="00E00710" w:rsidRDefault="00E00710" w:rsidP="00E00710">
      <w:pPr>
        <w:jc w:val="both"/>
        <w:rPr>
          <w:rFonts w:ascii="Times New Roman" w:hAnsi="Times New Roman" w:cs="Times New Roman"/>
          <w:sz w:val="22"/>
          <w:szCs w:val="22"/>
        </w:rPr>
      </w:pPr>
      <w:r>
        <w:rPr>
          <w:rFonts w:ascii="Times New Roman" w:hAnsi="Times New Roman" w:cs="Times New Roman"/>
          <w:sz w:val="22"/>
          <w:szCs w:val="22"/>
        </w:rPr>
        <w:t xml:space="preserve">     </w:t>
      </w:r>
      <w:r w:rsidRPr="00E00710">
        <w:rPr>
          <w:rFonts w:ascii="Times New Roman" w:hAnsi="Times New Roman" w:cs="Times New Roman"/>
          <w:sz w:val="22"/>
          <w:szCs w:val="22"/>
        </w:rPr>
        <w:t xml:space="preserve">Between 2011 and 2023, VNTR utility expanded from basic population tracking to identifying highly resolved functional gene regulators. In population genetics, isolated cohorts often experience a collapse in variety, rapidly stabilizing into low-weight dimorphic structures </w:t>
      </w:r>
      <w:r w:rsidR="00322036">
        <w:rPr>
          <w:rFonts w:ascii="Times New Roman" w:hAnsi="Times New Roman" w:cs="Times New Roman"/>
          <w:sz w:val="22"/>
          <w:szCs w:val="22"/>
        </w:rPr>
        <w:t>[15]</w:t>
      </w:r>
      <w:r w:rsidRPr="00E00710">
        <w:rPr>
          <w:rFonts w:ascii="Times New Roman" w:hAnsi="Times New Roman" w:cs="Times New Roman"/>
          <w:sz w:val="22"/>
          <w:szCs w:val="22"/>
        </w:rPr>
        <w:t xml:space="preserve"> while still maintaining long-term genetic equilibrium over multiple generations </w:t>
      </w:r>
      <w:r w:rsidR="00322036">
        <w:rPr>
          <w:rFonts w:ascii="Times New Roman" w:hAnsi="Times New Roman" w:cs="Times New Roman"/>
          <w:sz w:val="22"/>
          <w:szCs w:val="22"/>
        </w:rPr>
        <w:t>[16]</w:t>
      </w:r>
      <w:r w:rsidRPr="00E00710">
        <w:rPr>
          <w:rFonts w:ascii="Times New Roman" w:hAnsi="Times New Roman" w:cs="Times New Roman"/>
          <w:sz w:val="22"/>
          <w:szCs w:val="22"/>
        </w:rPr>
        <w:t>. Concurrently, Multi-Locus VNTR Analysis</w:t>
      </w:r>
      <w:r w:rsidR="009F5C2A">
        <w:rPr>
          <w:rFonts w:ascii="Times New Roman" w:hAnsi="Times New Roman" w:cs="Times New Roman"/>
          <w:sz w:val="22"/>
          <w:szCs w:val="22"/>
        </w:rPr>
        <w:t xml:space="preserve"> </w:t>
      </w:r>
      <w:r w:rsidRPr="00E00710">
        <w:rPr>
          <w:rFonts w:ascii="Times New Roman" w:hAnsi="Times New Roman" w:cs="Times New Roman"/>
          <w:sz w:val="22"/>
          <w:szCs w:val="22"/>
        </w:rPr>
        <w:t xml:space="preserve">revolutionized medical microbiology by allowing clinical laboratories to trace the precise transmission vectors of multi-drug resistant </w:t>
      </w:r>
      <w:r w:rsidRPr="00E00710">
        <w:rPr>
          <w:rFonts w:ascii="Times New Roman" w:hAnsi="Times New Roman" w:cs="Times New Roman"/>
          <w:i/>
          <w:sz w:val="22"/>
          <w:szCs w:val="22"/>
        </w:rPr>
        <w:t>Klebsiella pneumoniae</w:t>
      </w:r>
      <w:r w:rsidRPr="00E00710">
        <w:rPr>
          <w:rFonts w:ascii="Times New Roman" w:hAnsi="Times New Roman" w:cs="Times New Roman"/>
          <w:sz w:val="22"/>
          <w:szCs w:val="22"/>
        </w:rPr>
        <w:t xml:space="preserve"> outbreaks </w:t>
      </w:r>
      <w:r w:rsidR="002C7C87">
        <w:rPr>
          <w:rFonts w:ascii="Times New Roman" w:hAnsi="Times New Roman" w:cs="Times New Roman"/>
          <w:sz w:val="22"/>
          <w:szCs w:val="22"/>
        </w:rPr>
        <w:t>[17]</w:t>
      </w:r>
      <w:r w:rsidRPr="00E00710">
        <w:rPr>
          <w:rFonts w:ascii="Times New Roman" w:hAnsi="Times New Roman" w:cs="Times New Roman"/>
          <w:sz w:val="22"/>
          <w:szCs w:val="22"/>
        </w:rPr>
        <w:t xml:space="preserve">. Similar surveillance strategies have tracked vaccine-driven selection pressures in </w:t>
      </w:r>
      <w:r w:rsidRPr="00E00710">
        <w:rPr>
          <w:rFonts w:ascii="Times New Roman" w:hAnsi="Times New Roman" w:cs="Times New Roman"/>
          <w:i/>
          <w:sz w:val="22"/>
          <w:szCs w:val="22"/>
        </w:rPr>
        <w:t>Bordetella pertussis</w:t>
      </w:r>
      <w:r w:rsidRPr="00E00710">
        <w:rPr>
          <w:rFonts w:ascii="Times New Roman" w:hAnsi="Times New Roman" w:cs="Times New Roman"/>
          <w:sz w:val="22"/>
          <w:szCs w:val="22"/>
        </w:rPr>
        <w:t xml:space="preserve"> </w:t>
      </w:r>
      <w:r w:rsidR="002C7C87">
        <w:rPr>
          <w:rFonts w:ascii="Times New Roman" w:hAnsi="Times New Roman" w:cs="Times New Roman"/>
          <w:sz w:val="22"/>
          <w:szCs w:val="22"/>
        </w:rPr>
        <w:t>[18]</w:t>
      </w:r>
      <w:r w:rsidRPr="00E00710">
        <w:rPr>
          <w:rFonts w:ascii="Times New Roman" w:hAnsi="Times New Roman" w:cs="Times New Roman"/>
          <w:sz w:val="22"/>
          <w:szCs w:val="22"/>
        </w:rPr>
        <w:t xml:space="preserve"> and standardized international protocols for typing </w:t>
      </w:r>
      <w:r w:rsidRPr="00E00710">
        <w:rPr>
          <w:rFonts w:ascii="Times New Roman" w:hAnsi="Times New Roman" w:cs="Times New Roman"/>
          <w:i/>
          <w:sz w:val="22"/>
          <w:szCs w:val="22"/>
        </w:rPr>
        <w:t>Mycobacterium tuberculosis</w:t>
      </w:r>
      <w:r w:rsidRPr="00E00710">
        <w:rPr>
          <w:rFonts w:ascii="Times New Roman" w:hAnsi="Times New Roman" w:cs="Times New Roman"/>
          <w:sz w:val="22"/>
          <w:szCs w:val="22"/>
        </w:rPr>
        <w:t xml:space="preserve"> due to the high discriminatory index of multi-locus repeat counts </w:t>
      </w:r>
      <w:r w:rsidR="002C7C87">
        <w:rPr>
          <w:rFonts w:ascii="Times New Roman" w:hAnsi="Times New Roman" w:cs="Times New Roman"/>
          <w:sz w:val="22"/>
          <w:szCs w:val="22"/>
        </w:rPr>
        <w:t>[19]</w:t>
      </w:r>
      <w:r w:rsidRPr="00E00710">
        <w:rPr>
          <w:rFonts w:ascii="Times New Roman" w:hAnsi="Times New Roman" w:cs="Times New Roman"/>
          <w:sz w:val="22"/>
          <w:szCs w:val="22"/>
        </w:rPr>
        <w:t>.</w:t>
      </w:r>
    </w:p>
    <w:p w:rsidR="00E00710" w:rsidRPr="00E00710" w:rsidRDefault="00E00710" w:rsidP="00E00710">
      <w:pPr>
        <w:jc w:val="both"/>
        <w:rPr>
          <w:rFonts w:ascii="Times New Roman" w:hAnsi="Times New Roman" w:cs="Times New Roman"/>
          <w:sz w:val="22"/>
          <w:szCs w:val="22"/>
        </w:rPr>
      </w:pPr>
      <w:r>
        <w:rPr>
          <w:rFonts w:ascii="Times New Roman" w:hAnsi="Times New Roman" w:cs="Times New Roman"/>
          <w:sz w:val="22"/>
          <w:szCs w:val="22"/>
        </w:rPr>
        <w:t xml:space="preserve">     </w:t>
      </w:r>
      <w:r w:rsidRPr="00E00710">
        <w:rPr>
          <w:rFonts w:ascii="Times New Roman" w:hAnsi="Times New Roman" w:cs="Times New Roman"/>
          <w:sz w:val="22"/>
          <w:szCs w:val="22"/>
        </w:rPr>
        <w:t xml:space="preserve">Modern high-throughput profiling utilizes over 1,000 population-specific minisatellite alleles to trace an individual's ancestral continental background with near-perfect accuracy </w:t>
      </w:r>
      <w:r w:rsidR="002C7C87">
        <w:rPr>
          <w:rFonts w:ascii="Times New Roman" w:hAnsi="Times New Roman" w:cs="Times New Roman"/>
          <w:sz w:val="22"/>
          <w:szCs w:val="22"/>
        </w:rPr>
        <w:t>[20]</w:t>
      </w:r>
      <w:r w:rsidRPr="00E00710">
        <w:rPr>
          <w:rFonts w:ascii="Times New Roman" w:hAnsi="Times New Roman" w:cs="Times New Roman"/>
          <w:sz w:val="22"/>
          <w:szCs w:val="22"/>
        </w:rPr>
        <w:t xml:space="preserve">. Beyond ancestry, VNTRs possess a massive regulatory footprint, acting as expression quantitative trait loci that alter DNA methylation and transcript elongation </w:t>
      </w:r>
      <w:r w:rsidR="002C7C87">
        <w:rPr>
          <w:rFonts w:ascii="Times New Roman" w:hAnsi="Times New Roman" w:cs="Times New Roman"/>
          <w:sz w:val="22"/>
          <w:szCs w:val="22"/>
        </w:rPr>
        <w:t>[21, 22]</w:t>
      </w:r>
      <w:r w:rsidRPr="00E00710">
        <w:rPr>
          <w:rFonts w:ascii="Times New Roman" w:hAnsi="Times New Roman" w:cs="Times New Roman"/>
          <w:sz w:val="22"/>
          <w:szCs w:val="22"/>
        </w:rPr>
        <w:t xml:space="preserve">. Genome-wide analyses of 35,638 human minisatellites across 2,770 genomes prove that variations at these complex loci directly drive expression changes in at least 187 nearby genes </w:t>
      </w:r>
      <w:r w:rsidR="002C7C87">
        <w:rPr>
          <w:rFonts w:ascii="Times New Roman" w:hAnsi="Times New Roman" w:cs="Times New Roman"/>
          <w:sz w:val="22"/>
          <w:szCs w:val="22"/>
        </w:rPr>
        <w:t>[23]</w:t>
      </w:r>
      <w:r w:rsidRPr="00E00710">
        <w:rPr>
          <w:rFonts w:ascii="Times New Roman" w:hAnsi="Times New Roman" w:cs="Times New Roman"/>
          <w:sz w:val="22"/>
          <w:szCs w:val="22"/>
        </w:rPr>
        <w:t xml:space="preserve">. These regions function as genomic "volume knobs" by serving as transcription factor landing pads, altering local chemical tags, shifting distances to upstream enhancers, or modifying splicing architectures </w:t>
      </w:r>
      <w:r w:rsidR="002C7C87">
        <w:rPr>
          <w:rFonts w:ascii="Times New Roman" w:hAnsi="Times New Roman" w:cs="Times New Roman"/>
          <w:sz w:val="22"/>
          <w:szCs w:val="22"/>
        </w:rPr>
        <w:t>[24]</w:t>
      </w:r>
      <w:r w:rsidRPr="00E00710">
        <w:rPr>
          <w:rFonts w:ascii="Times New Roman" w:hAnsi="Times New Roman" w:cs="Times New Roman"/>
          <w:sz w:val="22"/>
          <w:szCs w:val="22"/>
        </w:rPr>
        <w:t>.</w:t>
      </w:r>
      <w:r w:rsidR="009F5C2A">
        <w:rPr>
          <w:rFonts w:ascii="Times New Roman" w:hAnsi="Times New Roman" w:cs="Times New Roman"/>
          <w:sz w:val="22"/>
          <w:szCs w:val="22"/>
        </w:rPr>
        <w:t xml:space="preserve"> </w:t>
      </w:r>
      <w:r w:rsidRPr="00E00710">
        <w:rPr>
          <w:rFonts w:ascii="Times New Roman" w:hAnsi="Times New Roman" w:cs="Times New Roman"/>
          <w:sz w:val="22"/>
          <w:szCs w:val="22"/>
        </w:rPr>
        <w:t xml:space="preserve">Notably, repeat-pangenome graphs reveal that internal motif sequence composition matters more than length; roughly 76% of VNTR-linked expression changes are driven by sequence typos within the repeat units rather than total copy number variations </w:t>
      </w:r>
      <w:r w:rsidR="002C7C87">
        <w:rPr>
          <w:rFonts w:ascii="Times New Roman" w:hAnsi="Times New Roman" w:cs="Times New Roman"/>
          <w:sz w:val="22"/>
          <w:szCs w:val="22"/>
        </w:rPr>
        <w:t>[25]</w:t>
      </w:r>
      <w:r w:rsidRPr="00E00710">
        <w:rPr>
          <w:rFonts w:ascii="Times New Roman" w:hAnsi="Times New Roman" w:cs="Times New Roman"/>
          <w:sz w:val="22"/>
          <w:szCs w:val="22"/>
        </w:rPr>
        <w:t xml:space="preserve">. From an evolutionary </w:t>
      </w:r>
      <w:r w:rsidRPr="00E00710">
        <w:rPr>
          <w:rFonts w:ascii="Times New Roman" w:hAnsi="Times New Roman" w:cs="Times New Roman"/>
          <w:sz w:val="22"/>
          <w:szCs w:val="22"/>
        </w:rPr>
        <w:lastRenderedPageBreak/>
        <w:t xml:space="preserve">perspective, these human-specific variants expanded rapidly after primate divergence, heavily enriching genes tied to synaptic transmission and cognitive development </w:t>
      </w:r>
      <w:r w:rsidR="002C7C87">
        <w:rPr>
          <w:rFonts w:ascii="Times New Roman" w:hAnsi="Times New Roman" w:cs="Times New Roman"/>
          <w:sz w:val="22"/>
          <w:szCs w:val="22"/>
        </w:rPr>
        <w:t>[26]</w:t>
      </w:r>
      <w:r w:rsidRPr="00E00710">
        <w:rPr>
          <w:rFonts w:ascii="Times New Roman" w:hAnsi="Times New Roman" w:cs="Times New Roman"/>
          <w:sz w:val="22"/>
          <w:szCs w:val="22"/>
        </w:rPr>
        <w:t>.</w:t>
      </w:r>
    </w:p>
    <w:p w:rsidR="00E00710" w:rsidRPr="00E00710" w:rsidRDefault="00E00710" w:rsidP="00E00710">
      <w:pPr>
        <w:jc w:val="both"/>
        <w:rPr>
          <w:rFonts w:ascii="Times New Roman" w:hAnsi="Times New Roman" w:cs="Times New Roman"/>
          <w:sz w:val="22"/>
          <w:szCs w:val="22"/>
        </w:rPr>
      </w:pPr>
      <w:r>
        <w:rPr>
          <w:rFonts w:ascii="Times New Roman" w:hAnsi="Times New Roman" w:cs="Times New Roman"/>
          <w:sz w:val="22"/>
          <w:szCs w:val="22"/>
        </w:rPr>
        <w:t xml:space="preserve">     </w:t>
      </w:r>
      <w:r w:rsidRPr="00E00710">
        <w:rPr>
          <w:rFonts w:ascii="Times New Roman" w:hAnsi="Times New Roman" w:cs="Times New Roman"/>
          <w:sz w:val="22"/>
          <w:szCs w:val="22"/>
        </w:rPr>
        <w:t xml:space="preserve">Because VNTRs border critical genetic master switches and neurofunctional pathways, structural mutations and sequence typos within them drive various complex pathologies. In neurogenetics, a 40-bp repeat correlates with Parkinson's susceptibility </w:t>
      </w:r>
      <w:r w:rsidR="00146C4F">
        <w:rPr>
          <w:rFonts w:ascii="Times New Roman" w:hAnsi="Times New Roman" w:cs="Times New Roman"/>
          <w:sz w:val="22"/>
          <w:szCs w:val="22"/>
        </w:rPr>
        <w:t>[27]</w:t>
      </w:r>
      <w:r w:rsidRPr="00E00710">
        <w:rPr>
          <w:rFonts w:ascii="Times New Roman" w:hAnsi="Times New Roman" w:cs="Times New Roman"/>
          <w:sz w:val="22"/>
          <w:szCs w:val="22"/>
        </w:rPr>
        <w:t xml:space="preserve">, while other promoter-interacting variations associate strongly with ADHD, PTSD, major depression, and addiction </w:t>
      </w:r>
      <w:r w:rsidR="00146C4F">
        <w:rPr>
          <w:rFonts w:ascii="Times New Roman" w:hAnsi="Times New Roman" w:cs="Times New Roman"/>
          <w:sz w:val="22"/>
          <w:szCs w:val="22"/>
        </w:rPr>
        <w:t>[20, 22, 24]</w:t>
      </w:r>
      <w:r w:rsidRPr="00E00710">
        <w:rPr>
          <w:rFonts w:ascii="Times New Roman" w:hAnsi="Times New Roman" w:cs="Times New Roman"/>
          <w:sz w:val="22"/>
          <w:szCs w:val="22"/>
        </w:rPr>
        <w:t xml:space="preserve">. Furthermore, large genome scans have isolated 9 explicit VNTR loci that govern late-onset Alzheimer’s risk </w:t>
      </w:r>
      <w:r w:rsidR="00146C4F">
        <w:rPr>
          <w:rFonts w:ascii="Times New Roman" w:hAnsi="Times New Roman" w:cs="Times New Roman"/>
          <w:sz w:val="22"/>
          <w:szCs w:val="22"/>
        </w:rPr>
        <w:t>[28]</w:t>
      </w:r>
      <w:r w:rsidRPr="00E00710">
        <w:rPr>
          <w:rFonts w:ascii="Times New Roman" w:hAnsi="Times New Roman" w:cs="Times New Roman"/>
          <w:sz w:val="22"/>
          <w:szCs w:val="22"/>
        </w:rPr>
        <w:t xml:space="preserve">. In oncology, VNTR profiles serve as powerful biomarkers to predict tumor severity and patient survival odds </w:t>
      </w:r>
      <w:r w:rsidR="00146C4F">
        <w:rPr>
          <w:rFonts w:ascii="Times New Roman" w:hAnsi="Times New Roman" w:cs="Times New Roman"/>
          <w:sz w:val="22"/>
          <w:szCs w:val="22"/>
        </w:rPr>
        <w:t>[25]</w:t>
      </w:r>
      <w:r w:rsidRPr="00E00710">
        <w:rPr>
          <w:rFonts w:ascii="Times New Roman" w:hAnsi="Times New Roman" w:cs="Times New Roman"/>
          <w:sz w:val="22"/>
          <w:szCs w:val="22"/>
        </w:rPr>
        <w:t xml:space="preserve">. Additionally, long somatic targets inside protein-coding genes act as hypermutable hotspots; under chronic inflammation, they mutate rapidly to yield deformed proteins, causing the immune system to breach tolerance and attack healthy tissues </w:t>
      </w:r>
      <w:r w:rsidR="00146C4F">
        <w:rPr>
          <w:rFonts w:ascii="Times New Roman" w:hAnsi="Times New Roman" w:cs="Times New Roman"/>
          <w:sz w:val="22"/>
          <w:szCs w:val="22"/>
        </w:rPr>
        <w:t>[29]</w:t>
      </w:r>
      <w:r w:rsidRPr="00E00710">
        <w:rPr>
          <w:rFonts w:ascii="Times New Roman" w:hAnsi="Times New Roman" w:cs="Times New Roman"/>
          <w:sz w:val="22"/>
          <w:szCs w:val="22"/>
        </w:rPr>
        <w:t>.</w:t>
      </w:r>
    </w:p>
    <w:p w:rsidR="0041487C" w:rsidRDefault="00E00710" w:rsidP="00406BE1">
      <w:pPr>
        <w:jc w:val="both"/>
        <w:rPr>
          <w:rFonts w:ascii="Times New Roman" w:hAnsi="Times New Roman" w:cs="Times New Roman"/>
          <w:sz w:val="22"/>
          <w:szCs w:val="22"/>
        </w:rPr>
      </w:pPr>
      <w:r>
        <w:rPr>
          <w:rFonts w:ascii="Times New Roman" w:hAnsi="Times New Roman" w:cs="Times New Roman"/>
          <w:sz w:val="22"/>
          <w:szCs w:val="22"/>
        </w:rPr>
        <w:t xml:space="preserve">     </w:t>
      </w:r>
      <w:r w:rsidRPr="00E00710">
        <w:rPr>
          <w:rFonts w:ascii="Times New Roman" w:hAnsi="Times New Roman" w:cs="Times New Roman"/>
          <w:sz w:val="22"/>
          <w:szCs w:val="22"/>
        </w:rPr>
        <w:t xml:space="preserve">This rapid expansion into disease analytics and functional genomics was accelerated by a profound shift away from error-prone laboratory gel electrophoresis toward high-throughput sequencing algorithms. Early algorithmic frameworks introduced single-molecule real-time sequencing pipelines designed to bypass gel-sizing limitations by calculating VNTR copy numbers directly from long-read sequence data </w:t>
      </w:r>
      <w:r w:rsidR="00146C4F">
        <w:rPr>
          <w:rFonts w:ascii="Times New Roman" w:hAnsi="Times New Roman" w:cs="Times New Roman"/>
          <w:sz w:val="22"/>
          <w:szCs w:val="22"/>
        </w:rPr>
        <w:t>[30]</w:t>
      </w:r>
      <w:r w:rsidRPr="00E00710">
        <w:rPr>
          <w:rFonts w:ascii="Times New Roman" w:hAnsi="Times New Roman" w:cs="Times New Roman"/>
          <w:sz w:val="22"/>
          <w:szCs w:val="22"/>
        </w:rPr>
        <w:t>. The underlying computational logic was further enhanced by architectures like Expansion</w:t>
      </w:r>
      <w:r>
        <w:rPr>
          <w:rFonts w:ascii="Times New Roman" w:hAnsi="Times New Roman" w:cs="Times New Roman"/>
          <w:sz w:val="22"/>
          <w:szCs w:val="22"/>
        </w:rPr>
        <w:t xml:space="preserve"> </w:t>
      </w:r>
      <w:r w:rsidRPr="00E00710">
        <w:rPr>
          <w:rFonts w:ascii="Times New Roman" w:hAnsi="Times New Roman" w:cs="Times New Roman"/>
          <w:sz w:val="22"/>
          <w:szCs w:val="22"/>
        </w:rPr>
        <w:t xml:space="preserve">Hunter, which fundamentally transformed how software pipelines map, size, and define the complex boundary configurations of large minisatellites </w:t>
      </w:r>
      <w:r w:rsidR="00146C4F">
        <w:rPr>
          <w:rFonts w:ascii="Times New Roman" w:hAnsi="Times New Roman" w:cs="Times New Roman"/>
          <w:sz w:val="22"/>
          <w:szCs w:val="22"/>
        </w:rPr>
        <w:t>[31]</w:t>
      </w:r>
      <w:r w:rsidRPr="00E00710">
        <w:rPr>
          <w:rFonts w:ascii="Times New Roman" w:hAnsi="Times New Roman" w:cs="Times New Roman"/>
          <w:sz w:val="22"/>
          <w:szCs w:val="22"/>
        </w:rPr>
        <w:t xml:space="preserve">. Finally, the integration of machine learning led to the development of </w:t>
      </w:r>
      <w:proofErr w:type="spellStart"/>
      <w:r w:rsidRPr="00E00710">
        <w:rPr>
          <w:rFonts w:ascii="Times New Roman" w:hAnsi="Times New Roman" w:cs="Times New Roman"/>
          <w:sz w:val="22"/>
          <w:szCs w:val="22"/>
        </w:rPr>
        <w:t>adVNTR</w:t>
      </w:r>
      <w:proofErr w:type="spellEnd"/>
      <w:r w:rsidRPr="00E00710">
        <w:rPr>
          <w:rFonts w:ascii="Times New Roman" w:hAnsi="Times New Roman" w:cs="Times New Roman"/>
          <w:sz w:val="22"/>
          <w:szCs w:val="22"/>
        </w:rPr>
        <w:t xml:space="preserve">, a specialized tool trained to execute targeted genotyping of deeply embedded coding and non-coding VNTR regions across short- and long-read next-generation sequencing matrices, ensuring precise clinical classification </w:t>
      </w:r>
      <w:r w:rsidR="00146C4F">
        <w:rPr>
          <w:rFonts w:ascii="Times New Roman" w:hAnsi="Times New Roman" w:cs="Times New Roman"/>
          <w:sz w:val="22"/>
          <w:szCs w:val="22"/>
        </w:rPr>
        <w:t>[25]</w:t>
      </w:r>
      <w:r w:rsidRPr="00E00710">
        <w:rPr>
          <w:rFonts w:ascii="Times New Roman" w:hAnsi="Times New Roman" w:cs="Times New Roman"/>
          <w:sz w:val="22"/>
          <w:szCs w:val="22"/>
        </w:rPr>
        <w:t>.</w:t>
      </w:r>
    </w:p>
    <w:p w:rsidR="00AF689A" w:rsidRDefault="00AF689A" w:rsidP="00A1543E">
      <w:pPr>
        <w:rPr>
          <w:rFonts w:ascii="Times New Roman" w:hAnsi="Times New Roman" w:cs="Times New Roman"/>
          <w:sz w:val="22"/>
          <w:szCs w:val="22"/>
        </w:rPr>
      </w:pPr>
    </w:p>
    <w:p w:rsidR="00AF689A" w:rsidRPr="00406BE1" w:rsidRDefault="00AF689A" w:rsidP="00A1543E">
      <w:pPr>
        <w:rPr>
          <w:rFonts w:ascii="Times New Roman" w:hAnsi="Times New Roman" w:cs="Times New Roman"/>
          <w:bCs/>
          <w:i/>
          <w:sz w:val="22"/>
          <w:szCs w:val="22"/>
        </w:rPr>
      </w:pPr>
      <w:r w:rsidRPr="00406BE1">
        <w:rPr>
          <w:rFonts w:ascii="Times New Roman" w:hAnsi="Times New Roman" w:cs="Times New Roman"/>
          <w:bCs/>
          <w:i/>
          <w:sz w:val="22"/>
          <w:szCs w:val="22"/>
        </w:rPr>
        <w:t>Conceptual Framework</w:t>
      </w:r>
    </w:p>
    <w:p w:rsidR="00AF689A" w:rsidRDefault="00184B35" w:rsidP="00184B35">
      <w:pPr>
        <w:jc w:val="both"/>
        <w:rPr>
          <w:rFonts w:ascii="Times New Roman" w:hAnsi="Times New Roman" w:cs="Times New Roman"/>
          <w:sz w:val="22"/>
          <w:szCs w:val="22"/>
        </w:rPr>
      </w:pPr>
      <w:r>
        <w:rPr>
          <w:rFonts w:ascii="Times New Roman" w:hAnsi="Times New Roman" w:cs="Times New Roman"/>
          <w:sz w:val="22"/>
          <w:szCs w:val="22"/>
        </w:rPr>
        <w:t xml:space="preserve">     </w:t>
      </w:r>
      <w:r w:rsidR="00AF689A" w:rsidRPr="00AF689A">
        <w:rPr>
          <w:rFonts w:ascii="Times New Roman" w:hAnsi="Times New Roman" w:cs="Times New Roman"/>
          <w:sz w:val="22"/>
          <w:szCs w:val="22"/>
        </w:rPr>
        <w:t xml:space="preserve">The conceptual framework of this study is structured around a System Input-Process-Output (IPO) model designed to map the transformation of raw genomic data into definitive population genetic profiles. The </w:t>
      </w:r>
      <w:r w:rsidR="00AF689A" w:rsidRPr="00184B35">
        <w:rPr>
          <w:rFonts w:ascii="Times New Roman" w:hAnsi="Times New Roman" w:cs="Times New Roman"/>
          <w:bCs/>
          <w:sz w:val="22"/>
          <w:szCs w:val="22"/>
        </w:rPr>
        <w:t>Input</w:t>
      </w:r>
      <w:r w:rsidR="00AF689A" w:rsidRPr="00AF689A">
        <w:rPr>
          <w:rFonts w:ascii="Times New Roman" w:hAnsi="Times New Roman" w:cs="Times New Roman"/>
          <w:sz w:val="22"/>
          <w:szCs w:val="22"/>
        </w:rPr>
        <w:t xml:space="preserve"> phase comprises the biological templates and parameters, specifically the whole genomic DNA isolated from the 30-member Medical Laboratory Science (MLS) student cohort, alongside the flanking primers tailored for the hypervariable D1S80 locus (1p35-p36) and its 16-base pair core repeat unit. To establish context, this phase also integrates external baseline data from broad national and international macro-demographic genetic databases.</w:t>
      </w:r>
    </w:p>
    <w:p w:rsidR="006C3EE6" w:rsidRDefault="006C3EE6" w:rsidP="00AF689A">
      <w:pPr>
        <w:rPr>
          <w:rFonts w:ascii="Times New Roman" w:hAnsi="Times New Roman" w:cs="Times New Roman"/>
          <w:sz w:val="22"/>
          <w:szCs w:val="22"/>
        </w:rPr>
      </w:pPr>
    </w:p>
    <w:p w:rsidR="00AF689A" w:rsidRDefault="006C3EE6" w:rsidP="00AF689A">
      <w:pPr>
        <w:rPr>
          <w:rFonts w:ascii="Times New Roman" w:hAnsi="Times New Roman" w:cs="Times New Roman"/>
          <w:sz w:val="22"/>
          <w:szCs w:val="22"/>
        </w:rPr>
      </w:pPr>
      <w:r>
        <w:rPr>
          <w:rFonts w:ascii="Times New Roman" w:hAnsi="Times New Roman" w:cs="Times New Roman"/>
          <w:sz w:val="22"/>
          <w:szCs w:val="22"/>
        </w:rPr>
        <w:t xml:space="preserve">                               </w:t>
      </w:r>
      <w:r>
        <w:rPr>
          <w:rFonts w:ascii="Times New Roman" w:hAnsi="Times New Roman" w:cs="Times New Roman"/>
          <w:noProof/>
          <w:sz w:val="22"/>
          <w:szCs w:val="22"/>
        </w:rPr>
        <w:drawing>
          <wp:inline distT="0" distB="0" distL="0" distR="0" wp14:anchorId="159D4DA6" wp14:editId="4EB88A9B">
            <wp:extent cx="4349363" cy="1637968"/>
            <wp:effectExtent l="38100" t="57150" r="13335" b="38735"/>
            <wp:docPr id="52492696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 r:lo="rId7" r:qs="rId8" r:cs="rId9"/>
              </a:graphicData>
            </a:graphic>
          </wp:inline>
        </w:drawing>
      </w:r>
    </w:p>
    <w:p w:rsidR="006C3EE6" w:rsidRPr="00AF689A" w:rsidRDefault="006C3EE6" w:rsidP="00AF689A">
      <w:pPr>
        <w:rPr>
          <w:rFonts w:ascii="Times New Roman" w:hAnsi="Times New Roman" w:cs="Times New Roman"/>
          <w:sz w:val="22"/>
          <w:szCs w:val="22"/>
        </w:rPr>
      </w:pPr>
    </w:p>
    <w:p w:rsidR="00AF689A" w:rsidRPr="00AF689A" w:rsidRDefault="009C3070" w:rsidP="00406BE1">
      <w:pPr>
        <w:jc w:val="both"/>
        <w:rPr>
          <w:rFonts w:ascii="Times New Roman" w:hAnsi="Times New Roman" w:cs="Times New Roman"/>
          <w:sz w:val="22"/>
          <w:szCs w:val="22"/>
        </w:rPr>
      </w:pPr>
      <w:r>
        <w:rPr>
          <w:rFonts w:ascii="Times New Roman" w:hAnsi="Times New Roman" w:cs="Times New Roman"/>
          <w:sz w:val="22"/>
          <w:szCs w:val="22"/>
        </w:rPr>
        <w:t xml:space="preserve">     </w:t>
      </w:r>
      <w:r w:rsidR="00AF689A" w:rsidRPr="00AF689A">
        <w:rPr>
          <w:rFonts w:ascii="Times New Roman" w:hAnsi="Times New Roman" w:cs="Times New Roman"/>
          <w:sz w:val="22"/>
          <w:szCs w:val="22"/>
        </w:rPr>
        <w:t xml:space="preserve">The baseline parameters transition into the </w:t>
      </w:r>
      <w:r w:rsidR="00AF689A" w:rsidRPr="009C3070">
        <w:rPr>
          <w:rFonts w:ascii="Times New Roman" w:hAnsi="Times New Roman" w:cs="Times New Roman"/>
          <w:bCs/>
          <w:sz w:val="22"/>
          <w:szCs w:val="22"/>
        </w:rPr>
        <w:t>Process</w:t>
      </w:r>
      <w:r w:rsidR="00AF689A" w:rsidRPr="00AF689A">
        <w:rPr>
          <w:rFonts w:ascii="Times New Roman" w:hAnsi="Times New Roman" w:cs="Times New Roman"/>
          <w:sz w:val="22"/>
          <w:szCs w:val="22"/>
        </w:rPr>
        <w:t xml:space="preserve"> phase, which encapsulates the core methodological interventions divided into laboratory and analytical stages. </w:t>
      </w:r>
      <w:r w:rsidR="009614CC">
        <w:rPr>
          <w:rFonts w:ascii="Times New Roman" w:hAnsi="Times New Roman" w:cs="Times New Roman"/>
          <w:sz w:val="22"/>
          <w:szCs w:val="22"/>
        </w:rPr>
        <w:t>T</w:t>
      </w:r>
      <w:r w:rsidR="00AF689A" w:rsidRPr="00AF689A">
        <w:rPr>
          <w:rFonts w:ascii="Times New Roman" w:hAnsi="Times New Roman" w:cs="Times New Roman"/>
          <w:sz w:val="22"/>
          <w:szCs w:val="22"/>
        </w:rPr>
        <w:t>he samples undergo standardized DNA extraction, targeted locus amplification via Polymerase Chain Reaction (PCR), and physical size-separation through agarose gel electrophoresis. This is immediately followed by a biostatistical transition where physical bands are quantified to compute observed allele and genotype frequencies, which are subsequently subjected to a Chi-Square (</w:t>
      </w:r>
      <w:bookmarkStart w:id="0" w:name="_Hlk234086378"/>
      <w:r w:rsidR="00AF689A" w:rsidRPr="00AF689A">
        <w:rPr>
          <w:rFonts w:ascii="Times New Roman" w:hAnsi="Times New Roman" w:cs="Times New Roman"/>
          <w:sz w:val="22"/>
          <w:szCs w:val="22"/>
        </w:rPr>
        <w:t>χ2</w:t>
      </w:r>
      <w:bookmarkEnd w:id="0"/>
      <w:r w:rsidR="00AF689A" w:rsidRPr="00AF689A">
        <w:rPr>
          <w:rFonts w:ascii="Times New Roman" w:hAnsi="Times New Roman" w:cs="Times New Roman"/>
          <w:sz w:val="22"/>
          <w:szCs w:val="22"/>
        </w:rPr>
        <w:t>) analysis to determine statistical divergence from standard Hardy-Weinberg Equilibrium predictions.</w:t>
      </w:r>
    </w:p>
    <w:p w:rsidR="00AF689A" w:rsidRDefault="009C3070" w:rsidP="009C3070">
      <w:pPr>
        <w:jc w:val="both"/>
        <w:rPr>
          <w:rFonts w:ascii="Times New Roman" w:hAnsi="Times New Roman" w:cs="Times New Roman"/>
          <w:sz w:val="22"/>
          <w:szCs w:val="22"/>
        </w:rPr>
      </w:pPr>
      <w:r>
        <w:rPr>
          <w:rFonts w:ascii="Times New Roman" w:hAnsi="Times New Roman" w:cs="Times New Roman"/>
          <w:sz w:val="22"/>
          <w:szCs w:val="22"/>
        </w:rPr>
        <w:lastRenderedPageBreak/>
        <w:t xml:space="preserve">     </w:t>
      </w:r>
      <w:r w:rsidR="00AF689A" w:rsidRPr="00AF689A">
        <w:rPr>
          <w:rFonts w:ascii="Times New Roman" w:hAnsi="Times New Roman" w:cs="Times New Roman"/>
          <w:sz w:val="22"/>
          <w:szCs w:val="22"/>
        </w:rPr>
        <w:t xml:space="preserve">Ultimately, the </w:t>
      </w:r>
      <w:r w:rsidR="00AF689A" w:rsidRPr="009C3070">
        <w:rPr>
          <w:rFonts w:ascii="Times New Roman" w:hAnsi="Times New Roman" w:cs="Times New Roman"/>
          <w:bCs/>
          <w:sz w:val="22"/>
          <w:szCs w:val="22"/>
        </w:rPr>
        <w:t>Output</w:t>
      </w:r>
      <w:r w:rsidR="00AF689A" w:rsidRPr="00AF689A">
        <w:rPr>
          <w:rFonts w:ascii="Times New Roman" w:hAnsi="Times New Roman" w:cs="Times New Roman"/>
          <w:sz w:val="22"/>
          <w:szCs w:val="22"/>
        </w:rPr>
        <w:t xml:space="preserve"> phase</w:t>
      </w:r>
      <w:r w:rsidR="009614CC">
        <w:rPr>
          <w:rFonts w:ascii="Times New Roman" w:hAnsi="Times New Roman" w:cs="Times New Roman"/>
          <w:sz w:val="22"/>
          <w:szCs w:val="22"/>
        </w:rPr>
        <w:t xml:space="preserve"> </w:t>
      </w:r>
      <w:r w:rsidR="00AF689A" w:rsidRPr="00AF689A">
        <w:rPr>
          <w:rFonts w:ascii="Times New Roman" w:hAnsi="Times New Roman" w:cs="Times New Roman"/>
          <w:sz w:val="22"/>
          <w:szCs w:val="22"/>
        </w:rPr>
        <w:t>defin</w:t>
      </w:r>
      <w:r w:rsidR="009614CC">
        <w:rPr>
          <w:rFonts w:ascii="Times New Roman" w:hAnsi="Times New Roman" w:cs="Times New Roman"/>
          <w:sz w:val="22"/>
          <w:szCs w:val="22"/>
        </w:rPr>
        <w:t>es</w:t>
      </w:r>
      <w:r w:rsidR="00AF689A" w:rsidRPr="00AF689A">
        <w:rPr>
          <w:rFonts w:ascii="Times New Roman" w:hAnsi="Times New Roman" w:cs="Times New Roman"/>
          <w:sz w:val="22"/>
          <w:szCs w:val="22"/>
        </w:rPr>
        <w:t xml:space="preserve"> the final dependent variables and theoretical conclusions of the research. This phase delivers the mapped genetic profile of the cohort</w:t>
      </w:r>
      <w:r w:rsidR="009614CC">
        <w:rPr>
          <w:rFonts w:ascii="Times New Roman" w:hAnsi="Times New Roman" w:cs="Times New Roman"/>
          <w:sz w:val="22"/>
          <w:szCs w:val="22"/>
        </w:rPr>
        <w:t xml:space="preserve"> </w:t>
      </w:r>
      <w:r w:rsidR="00AF689A" w:rsidRPr="00AF689A">
        <w:rPr>
          <w:rFonts w:ascii="Times New Roman" w:hAnsi="Times New Roman" w:cs="Times New Roman"/>
          <w:sz w:val="22"/>
          <w:szCs w:val="22"/>
        </w:rPr>
        <w:t>—</w:t>
      </w:r>
      <w:r w:rsidR="009614CC">
        <w:rPr>
          <w:rFonts w:ascii="Times New Roman" w:hAnsi="Times New Roman" w:cs="Times New Roman"/>
          <w:sz w:val="22"/>
          <w:szCs w:val="22"/>
        </w:rPr>
        <w:t xml:space="preserve"> </w:t>
      </w:r>
      <w:r w:rsidR="00AF689A" w:rsidRPr="00AF689A">
        <w:rPr>
          <w:rFonts w:ascii="Times New Roman" w:hAnsi="Times New Roman" w:cs="Times New Roman"/>
          <w:sz w:val="22"/>
          <w:szCs w:val="22"/>
        </w:rPr>
        <w:t>characterized by the distinct dimorphic split revealing only the 400 bp and 500 bp alleles</w:t>
      </w:r>
      <w:r>
        <w:rPr>
          <w:rFonts w:ascii="Times New Roman" w:hAnsi="Times New Roman" w:cs="Times New Roman"/>
          <w:sz w:val="22"/>
          <w:szCs w:val="22"/>
        </w:rPr>
        <w:t xml:space="preserve"> </w:t>
      </w:r>
      <w:r w:rsidR="00AF689A" w:rsidRPr="00AF689A">
        <w:rPr>
          <w:rFonts w:ascii="Times New Roman" w:hAnsi="Times New Roman" w:cs="Times New Roman"/>
          <w:sz w:val="22"/>
          <w:szCs w:val="22"/>
        </w:rPr>
        <w:t>—</w:t>
      </w:r>
      <w:r>
        <w:rPr>
          <w:rFonts w:ascii="Times New Roman" w:hAnsi="Times New Roman" w:cs="Times New Roman"/>
          <w:sz w:val="22"/>
          <w:szCs w:val="22"/>
        </w:rPr>
        <w:t xml:space="preserve"> </w:t>
      </w:r>
      <w:r w:rsidR="00AF689A" w:rsidRPr="00AF689A">
        <w:rPr>
          <w:rFonts w:ascii="Times New Roman" w:hAnsi="Times New Roman" w:cs="Times New Roman"/>
          <w:sz w:val="22"/>
          <w:szCs w:val="22"/>
        </w:rPr>
        <w:t>and achieves the broader objective of population contextualization. By comparing these outcomes against the macro-demographic baselines, the final output provides a definitive biological assessment of whether this low-diversity student profile indicates a localized sub-population bottleneck or a clear instance of partial allelic fixation driven by regional demographic structures.</w:t>
      </w:r>
    </w:p>
    <w:p w:rsidR="00AF689A" w:rsidRDefault="00AF689A" w:rsidP="00AF689A">
      <w:pPr>
        <w:rPr>
          <w:rFonts w:ascii="Times New Roman" w:hAnsi="Times New Roman" w:cs="Times New Roman"/>
          <w:sz w:val="22"/>
          <w:szCs w:val="22"/>
        </w:rPr>
      </w:pPr>
    </w:p>
    <w:p w:rsidR="00AF689A" w:rsidRDefault="00AF689A" w:rsidP="00A1543E">
      <w:pPr>
        <w:rPr>
          <w:rFonts w:ascii="Times New Roman" w:hAnsi="Times New Roman" w:cs="Times New Roman"/>
          <w:sz w:val="22"/>
          <w:szCs w:val="22"/>
        </w:rPr>
      </w:pPr>
    </w:p>
    <w:p w:rsidR="00AF689A" w:rsidRPr="00AF689A" w:rsidRDefault="00406BE1" w:rsidP="00AF689A">
      <w:pPr>
        <w:rPr>
          <w:rFonts w:ascii="Times New Roman" w:hAnsi="Times New Roman" w:cs="Times New Roman"/>
          <w:b/>
          <w:bCs/>
          <w:sz w:val="22"/>
          <w:szCs w:val="22"/>
        </w:rPr>
      </w:pPr>
      <w:r w:rsidRPr="00AF689A">
        <w:rPr>
          <w:rFonts w:ascii="Times New Roman" w:hAnsi="Times New Roman" w:cs="Times New Roman"/>
          <w:b/>
          <w:bCs/>
          <w:sz w:val="22"/>
          <w:szCs w:val="22"/>
        </w:rPr>
        <w:t>METHODOLOGY</w:t>
      </w:r>
    </w:p>
    <w:p w:rsidR="00AF689A" w:rsidRPr="00406BE1" w:rsidRDefault="00AF689A" w:rsidP="00AF689A">
      <w:pPr>
        <w:rPr>
          <w:rFonts w:ascii="Times New Roman" w:hAnsi="Times New Roman" w:cs="Times New Roman"/>
          <w:bCs/>
          <w:i/>
          <w:sz w:val="22"/>
          <w:szCs w:val="22"/>
        </w:rPr>
      </w:pPr>
      <w:r w:rsidRPr="00406BE1">
        <w:rPr>
          <w:rFonts w:ascii="Times New Roman" w:hAnsi="Times New Roman" w:cs="Times New Roman"/>
          <w:bCs/>
          <w:i/>
          <w:sz w:val="22"/>
          <w:szCs w:val="22"/>
        </w:rPr>
        <w:t>Research Design</w:t>
      </w:r>
    </w:p>
    <w:p w:rsidR="00AF689A" w:rsidRDefault="009C3070" w:rsidP="00406BE1">
      <w:pPr>
        <w:jc w:val="both"/>
        <w:rPr>
          <w:rFonts w:ascii="Times New Roman" w:hAnsi="Times New Roman" w:cs="Times New Roman"/>
          <w:sz w:val="22"/>
          <w:szCs w:val="22"/>
        </w:rPr>
      </w:pPr>
      <w:r>
        <w:rPr>
          <w:rFonts w:ascii="Times New Roman" w:hAnsi="Times New Roman" w:cs="Times New Roman"/>
          <w:sz w:val="22"/>
          <w:szCs w:val="22"/>
        </w:rPr>
        <w:t xml:space="preserve">     </w:t>
      </w:r>
      <w:r w:rsidR="00AF689A" w:rsidRPr="00AF689A">
        <w:rPr>
          <w:rFonts w:ascii="Times New Roman" w:hAnsi="Times New Roman" w:cs="Times New Roman"/>
          <w:sz w:val="22"/>
          <w:szCs w:val="22"/>
        </w:rPr>
        <w:t>This study utilized a cross-sectional descriptive design to analyze the genetic diversity and allelic distribution of the D1S80 variable number tandem repeat (VNTR) locus. The study population consisted of a localized, convenience sample of 30 seemingly unrelated students</w:t>
      </w:r>
      <w:r>
        <w:rPr>
          <w:rFonts w:ascii="Times New Roman" w:hAnsi="Times New Roman" w:cs="Times New Roman"/>
          <w:sz w:val="22"/>
          <w:szCs w:val="22"/>
        </w:rPr>
        <w:t xml:space="preserve"> </w:t>
      </w:r>
      <w:r w:rsidR="00AF689A" w:rsidRPr="00AF689A">
        <w:rPr>
          <w:rFonts w:ascii="Times New Roman" w:hAnsi="Times New Roman" w:cs="Times New Roman"/>
          <w:sz w:val="22"/>
          <w:szCs w:val="22"/>
        </w:rPr>
        <w:t>enrolled in the Medical Laboratory Science (MLS) program</w:t>
      </w:r>
      <w:r w:rsidR="00FA086F">
        <w:rPr>
          <w:rFonts w:ascii="Times New Roman" w:hAnsi="Times New Roman" w:cs="Times New Roman"/>
          <w:sz w:val="22"/>
          <w:szCs w:val="22"/>
        </w:rPr>
        <w:t xml:space="preserve"> in Olongapo City, Philippines</w:t>
      </w:r>
      <w:r w:rsidR="00AF689A" w:rsidRPr="00AF689A">
        <w:rPr>
          <w:rFonts w:ascii="Times New Roman" w:hAnsi="Times New Roman" w:cs="Times New Roman"/>
          <w:sz w:val="22"/>
          <w:szCs w:val="22"/>
        </w:rPr>
        <w:t>.</w:t>
      </w:r>
      <w:r w:rsidR="00F81FC0">
        <w:rPr>
          <w:rFonts w:ascii="Times New Roman" w:hAnsi="Times New Roman" w:cs="Times New Roman"/>
          <w:sz w:val="22"/>
          <w:szCs w:val="22"/>
        </w:rPr>
        <w:t xml:space="preserve"> The laboratory tests were conducted from April 2025 to May 2026 at the Manila Times College of Subic MLS Professional Lab 1.</w:t>
      </w:r>
    </w:p>
    <w:p w:rsidR="00406BE1" w:rsidRPr="00AF689A" w:rsidRDefault="00406BE1" w:rsidP="00406BE1">
      <w:pPr>
        <w:jc w:val="both"/>
        <w:rPr>
          <w:rFonts w:ascii="Times New Roman" w:hAnsi="Times New Roman" w:cs="Times New Roman"/>
          <w:sz w:val="22"/>
          <w:szCs w:val="22"/>
        </w:rPr>
      </w:pPr>
    </w:p>
    <w:p w:rsidR="00AF689A" w:rsidRPr="00406BE1" w:rsidRDefault="00AF689A" w:rsidP="00AF689A">
      <w:pPr>
        <w:rPr>
          <w:rFonts w:ascii="Times New Roman" w:hAnsi="Times New Roman" w:cs="Times New Roman"/>
          <w:bCs/>
          <w:i/>
          <w:sz w:val="22"/>
          <w:szCs w:val="22"/>
        </w:rPr>
      </w:pPr>
      <w:r w:rsidRPr="00406BE1">
        <w:rPr>
          <w:rFonts w:ascii="Times New Roman" w:hAnsi="Times New Roman" w:cs="Times New Roman"/>
          <w:bCs/>
          <w:i/>
          <w:sz w:val="22"/>
          <w:szCs w:val="22"/>
        </w:rPr>
        <w:t>DNA Extraction and Quantification</w:t>
      </w:r>
    </w:p>
    <w:p w:rsidR="00AF689A" w:rsidRDefault="009C3070" w:rsidP="009C3070">
      <w:pPr>
        <w:jc w:val="both"/>
        <w:rPr>
          <w:rFonts w:ascii="Times New Roman" w:hAnsi="Times New Roman" w:cs="Times New Roman"/>
          <w:sz w:val="22"/>
          <w:szCs w:val="22"/>
        </w:rPr>
      </w:pPr>
      <w:r>
        <w:rPr>
          <w:rFonts w:ascii="Times New Roman" w:hAnsi="Times New Roman" w:cs="Times New Roman"/>
          <w:sz w:val="22"/>
          <w:szCs w:val="22"/>
        </w:rPr>
        <w:t xml:space="preserve">     </w:t>
      </w:r>
      <w:r w:rsidR="00AF689A" w:rsidRPr="00AF689A">
        <w:rPr>
          <w:rFonts w:ascii="Times New Roman" w:hAnsi="Times New Roman" w:cs="Times New Roman"/>
          <w:sz w:val="22"/>
          <w:szCs w:val="22"/>
        </w:rPr>
        <w:t xml:space="preserve">Whole genomic DNA was isolated from the subjects using a standardized epithelial </w:t>
      </w:r>
      <w:r w:rsidR="00EC1C0E">
        <w:rPr>
          <w:rFonts w:ascii="Times New Roman" w:hAnsi="Times New Roman" w:cs="Times New Roman"/>
          <w:sz w:val="22"/>
          <w:szCs w:val="22"/>
        </w:rPr>
        <w:t>buccal</w:t>
      </w:r>
      <w:r w:rsidR="00AF689A" w:rsidRPr="00AF689A">
        <w:rPr>
          <w:rFonts w:ascii="Times New Roman" w:hAnsi="Times New Roman" w:cs="Times New Roman"/>
          <w:sz w:val="22"/>
          <w:szCs w:val="22"/>
        </w:rPr>
        <w:t xml:space="preserve"> swab protocol. Sterile </w:t>
      </w:r>
      <w:r>
        <w:rPr>
          <w:rFonts w:ascii="Times New Roman" w:hAnsi="Times New Roman" w:cs="Times New Roman"/>
          <w:sz w:val="22"/>
          <w:szCs w:val="22"/>
        </w:rPr>
        <w:t>applicator sticks</w:t>
      </w:r>
      <w:r w:rsidR="00AF689A" w:rsidRPr="00AF689A">
        <w:rPr>
          <w:rFonts w:ascii="Times New Roman" w:hAnsi="Times New Roman" w:cs="Times New Roman"/>
          <w:sz w:val="22"/>
          <w:szCs w:val="22"/>
        </w:rPr>
        <w:t xml:space="preserve"> were </w:t>
      </w:r>
      <w:r w:rsidR="0098559D">
        <w:rPr>
          <w:rFonts w:ascii="Times New Roman" w:hAnsi="Times New Roman" w:cs="Times New Roman"/>
          <w:sz w:val="22"/>
          <w:szCs w:val="22"/>
        </w:rPr>
        <w:t>gently scraped</w:t>
      </w:r>
      <w:r w:rsidR="00AF689A" w:rsidRPr="00AF689A">
        <w:rPr>
          <w:rFonts w:ascii="Times New Roman" w:hAnsi="Times New Roman" w:cs="Times New Roman"/>
          <w:sz w:val="22"/>
          <w:szCs w:val="22"/>
        </w:rPr>
        <w:t xml:space="preserve"> against the inner buccal mucosa for 30 seconds to harvest epithelial cells.</w:t>
      </w:r>
      <w:r w:rsidR="00EC1C0E">
        <w:rPr>
          <w:rFonts w:ascii="Times New Roman" w:hAnsi="Times New Roman" w:cs="Times New Roman"/>
          <w:sz w:val="22"/>
          <w:szCs w:val="22"/>
        </w:rPr>
        <w:t xml:space="preserve"> </w:t>
      </w:r>
      <w:r w:rsidR="00AF689A" w:rsidRPr="00AF689A">
        <w:rPr>
          <w:rFonts w:ascii="Times New Roman" w:hAnsi="Times New Roman" w:cs="Times New Roman"/>
          <w:sz w:val="22"/>
          <w:szCs w:val="22"/>
        </w:rPr>
        <w:t xml:space="preserve">The </w:t>
      </w:r>
      <w:r>
        <w:rPr>
          <w:rFonts w:ascii="Times New Roman" w:hAnsi="Times New Roman" w:cs="Times New Roman"/>
          <w:sz w:val="22"/>
          <w:szCs w:val="22"/>
        </w:rPr>
        <w:t xml:space="preserve">applicator sticks </w:t>
      </w:r>
      <w:r w:rsidR="00AF689A" w:rsidRPr="00AF689A">
        <w:rPr>
          <w:rFonts w:ascii="Times New Roman" w:hAnsi="Times New Roman" w:cs="Times New Roman"/>
          <w:sz w:val="22"/>
          <w:szCs w:val="22"/>
        </w:rPr>
        <w:t>were transferred into</w:t>
      </w:r>
      <w:r w:rsidR="00EC1C0E">
        <w:rPr>
          <w:rFonts w:ascii="Times New Roman" w:hAnsi="Times New Roman" w:cs="Times New Roman"/>
          <w:sz w:val="22"/>
          <w:szCs w:val="22"/>
        </w:rPr>
        <w:t xml:space="preserve"> </w:t>
      </w:r>
      <w:r w:rsidR="00EC1C0E" w:rsidRPr="00EC1C0E">
        <w:rPr>
          <w:rFonts w:ascii="Times New Roman" w:hAnsi="Times New Roman" w:cs="Times New Roman"/>
          <w:sz w:val="22"/>
          <w:szCs w:val="22"/>
        </w:rPr>
        <w:t>PCR tube</w:t>
      </w:r>
      <w:r w:rsidR="00EC1C0E">
        <w:rPr>
          <w:rFonts w:ascii="Times New Roman" w:hAnsi="Times New Roman" w:cs="Times New Roman"/>
          <w:sz w:val="22"/>
          <w:szCs w:val="22"/>
        </w:rPr>
        <w:t>s</w:t>
      </w:r>
      <w:r w:rsidR="00EC1C0E" w:rsidRPr="00EC1C0E">
        <w:rPr>
          <w:rFonts w:ascii="Times New Roman" w:hAnsi="Times New Roman" w:cs="Times New Roman"/>
          <w:sz w:val="22"/>
          <w:szCs w:val="22"/>
        </w:rPr>
        <w:t xml:space="preserve"> containing 50 </w:t>
      </w:r>
      <w:proofErr w:type="spellStart"/>
      <w:r w:rsidR="00EC1C0E" w:rsidRPr="00EC1C0E">
        <w:rPr>
          <w:rFonts w:ascii="Times New Roman" w:hAnsi="Times New Roman" w:cs="Times New Roman"/>
          <w:sz w:val="22"/>
          <w:szCs w:val="22"/>
        </w:rPr>
        <w:t>μ</w:t>
      </w:r>
      <w:r>
        <w:rPr>
          <w:rFonts w:ascii="Times New Roman" w:hAnsi="Times New Roman" w:cs="Times New Roman"/>
          <w:sz w:val="22"/>
          <w:szCs w:val="22"/>
        </w:rPr>
        <w:t>L</w:t>
      </w:r>
      <w:proofErr w:type="spellEnd"/>
      <w:r w:rsidR="00EC1C0E" w:rsidRPr="00EC1C0E">
        <w:rPr>
          <w:rFonts w:ascii="Times New Roman" w:hAnsi="Times New Roman" w:cs="Times New Roman"/>
          <w:sz w:val="22"/>
          <w:szCs w:val="22"/>
        </w:rPr>
        <w:t xml:space="preserve"> of X-Tract™ DNA extraction buffer, swirling to release the cells.</w:t>
      </w:r>
      <w:r w:rsidR="00EC1C0E">
        <w:rPr>
          <w:rFonts w:ascii="Times New Roman" w:hAnsi="Times New Roman" w:cs="Times New Roman"/>
          <w:sz w:val="22"/>
          <w:szCs w:val="22"/>
        </w:rPr>
        <w:t xml:space="preserve"> The PCR tubes were i</w:t>
      </w:r>
      <w:r w:rsidR="00EC1C0E" w:rsidRPr="00EC1C0E">
        <w:rPr>
          <w:rFonts w:ascii="Times New Roman" w:hAnsi="Times New Roman" w:cs="Times New Roman"/>
          <w:sz w:val="22"/>
          <w:szCs w:val="22"/>
        </w:rPr>
        <w:t>ncubate</w:t>
      </w:r>
      <w:r w:rsidR="00EC1C0E">
        <w:rPr>
          <w:rFonts w:ascii="Times New Roman" w:hAnsi="Times New Roman" w:cs="Times New Roman"/>
          <w:sz w:val="22"/>
          <w:szCs w:val="22"/>
        </w:rPr>
        <w:t>d</w:t>
      </w:r>
      <w:r w:rsidR="00EC1C0E" w:rsidRPr="00EC1C0E">
        <w:rPr>
          <w:rFonts w:ascii="Times New Roman" w:hAnsi="Times New Roman" w:cs="Times New Roman"/>
          <w:sz w:val="22"/>
          <w:szCs w:val="22"/>
        </w:rPr>
        <w:t xml:space="preserve"> at 95°C for 10 minutes using a thermal cycler </w:t>
      </w:r>
      <w:r w:rsidR="00EC1C0E">
        <w:rPr>
          <w:rFonts w:ascii="Times New Roman" w:hAnsi="Times New Roman" w:cs="Times New Roman"/>
          <w:sz w:val="22"/>
          <w:szCs w:val="22"/>
        </w:rPr>
        <w:t>in a h</w:t>
      </w:r>
      <w:r w:rsidR="00EC1C0E" w:rsidRPr="00EC1C0E">
        <w:rPr>
          <w:rFonts w:ascii="Times New Roman" w:hAnsi="Times New Roman" w:cs="Times New Roman"/>
          <w:sz w:val="22"/>
          <w:szCs w:val="22"/>
        </w:rPr>
        <w:t xml:space="preserve">eat </w:t>
      </w:r>
      <w:r w:rsidR="00EC1C0E">
        <w:rPr>
          <w:rFonts w:ascii="Times New Roman" w:hAnsi="Times New Roman" w:cs="Times New Roman"/>
          <w:sz w:val="22"/>
          <w:szCs w:val="22"/>
        </w:rPr>
        <w:t>b</w:t>
      </w:r>
      <w:r w:rsidR="00EC1C0E" w:rsidRPr="00EC1C0E">
        <w:rPr>
          <w:rFonts w:ascii="Times New Roman" w:hAnsi="Times New Roman" w:cs="Times New Roman"/>
          <w:sz w:val="22"/>
          <w:szCs w:val="22"/>
        </w:rPr>
        <w:t xml:space="preserve">lock mode. </w:t>
      </w:r>
      <w:r w:rsidR="00EC1C0E">
        <w:rPr>
          <w:rFonts w:ascii="Times New Roman" w:hAnsi="Times New Roman" w:cs="Times New Roman"/>
          <w:sz w:val="22"/>
          <w:szCs w:val="22"/>
        </w:rPr>
        <w:t>T</w:t>
      </w:r>
      <w:r w:rsidR="00EC1C0E" w:rsidRPr="00EC1C0E">
        <w:rPr>
          <w:rFonts w:ascii="Times New Roman" w:hAnsi="Times New Roman" w:cs="Times New Roman"/>
          <w:sz w:val="22"/>
          <w:szCs w:val="22"/>
        </w:rPr>
        <w:t xml:space="preserve">he </w:t>
      </w:r>
      <w:r w:rsidR="00EC1C0E">
        <w:rPr>
          <w:rFonts w:ascii="Times New Roman" w:hAnsi="Times New Roman" w:cs="Times New Roman"/>
          <w:sz w:val="22"/>
          <w:szCs w:val="22"/>
        </w:rPr>
        <w:t xml:space="preserve">DNA-containing </w:t>
      </w:r>
      <w:r w:rsidR="00EC1C0E" w:rsidRPr="00EC1C0E">
        <w:rPr>
          <w:rFonts w:ascii="Times New Roman" w:hAnsi="Times New Roman" w:cs="Times New Roman"/>
          <w:sz w:val="22"/>
          <w:szCs w:val="22"/>
        </w:rPr>
        <w:t xml:space="preserve">supernatant </w:t>
      </w:r>
      <w:r w:rsidR="00EC1C0E">
        <w:rPr>
          <w:rFonts w:ascii="Times New Roman" w:hAnsi="Times New Roman" w:cs="Times New Roman"/>
          <w:sz w:val="22"/>
          <w:szCs w:val="22"/>
        </w:rPr>
        <w:t xml:space="preserve">was used </w:t>
      </w:r>
      <w:r w:rsidR="00EC1C0E" w:rsidRPr="00EC1C0E">
        <w:rPr>
          <w:rFonts w:ascii="Times New Roman" w:hAnsi="Times New Roman" w:cs="Times New Roman"/>
          <w:sz w:val="22"/>
          <w:szCs w:val="22"/>
        </w:rPr>
        <w:t>for PCR</w:t>
      </w:r>
      <w:r w:rsidR="00146C4F">
        <w:rPr>
          <w:rFonts w:ascii="Times New Roman" w:hAnsi="Times New Roman" w:cs="Times New Roman"/>
          <w:sz w:val="22"/>
          <w:szCs w:val="22"/>
        </w:rPr>
        <w:t xml:space="preserve"> </w:t>
      </w:r>
      <w:proofErr w:type="gramStart"/>
      <w:r w:rsidR="009614CC">
        <w:rPr>
          <w:rFonts w:ascii="Times New Roman" w:hAnsi="Times New Roman" w:cs="Times New Roman"/>
          <w:sz w:val="22"/>
          <w:szCs w:val="22"/>
        </w:rPr>
        <w:t>test</w:t>
      </w:r>
      <w:r w:rsidR="00146C4F">
        <w:rPr>
          <w:rFonts w:ascii="Times New Roman" w:hAnsi="Times New Roman" w:cs="Times New Roman"/>
          <w:sz w:val="22"/>
          <w:szCs w:val="22"/>
        </w:rPr>
        <w:t>[</w:t>
      </w:r>
      <w:proofErr w:type="gramEnd"/>
      <w:r w:rsidR="00146C4F">
        <w:rPr>
          <w:rFonts w:ascii="Times New Roman" w:hAnsi="Times New Roman" w:cs="Times New Roman"/>
          <w:sz w:val="22"/>
          <w:szCs w:val="22"/>
        </w:rPr>
        <w:t>32]</w:t>
      </w:r>
      <w:r w:rsidR="006401E9">
        <w:rPr>
          <w:rFonts w:ascii="Times New Roman" w:hAnsi="Times New Roman" w:cs="Times New Roman"/>
          <w:sz w:val="22"/>
          <w:szCs w:val="22"/>
        </w:rPr>
        <w:t xml:space="preserve">. </w:t>
      </w:r>
    </w:p>
    <w:p w:rsidR="00EC1C0E" w:rsidRPr="00AF689A" w:rsidRDefault="00EC1C0E" w:rsidP="00AF689A">
      <w:pPr>
        <w:rPr>
          <w:rFonts w:ascii="Times New Roman" w:hAnsi="Times New Roman" w:cs="Times New Roman"/>
          <w:sz w:val="22"/>
          <w:szCs w:val="22"/>
        </w:rPr>
      </w:pPr>
    </w:p>
    <w:p w:rsidR="00AF689A" w:rsidRPr="00406BE1" w:rsidRDefault="00AF689A" w:rsidP="00AF689A">
      <w:pPr>
        <w:rPr>
          <w:rFonts w:ascii="Times New Roman" w:hAnsi="Times New Roman" w:cs="Times New Roman"/>
          <w:bCs/>
          <w:i/>
          <w:sz w:val="22"/>
          <w:szCs w:val="22"/>
        </w:rPr>
      </w:pPr>
      <w:r w:rsidRPr="00406BE1">
        <w:rPr>
          <w:rFonts w:ascii="Times New Roman" w:hAnsi="Times New Roman" w:cs="Times New Roman"/>
          <w:bCs/>
          <w:i/>
          <w:sz w:val="22"/>
          <w:szCs w:val="22"/>
        </w:rPr>
        <w:t>Polymerase Chain Reaction (PCR) Amplification</w:t>
      </w:r>
    </w:p>
    <w:p w:rsidR="00AF689A" w:rsidRPr="00AF689A" w:rsidRDefault="009C3070" w:rsidP="009C3070">
      <w:pPr>
        <w:jc w:val="both"/>
        <w:rPr>
          <w:rFonts w:ascii="Times New Roman" w:hAnsi="Times New Roman" w:cs="Times New Roman"/>
          <w:sz w:val="22"/>
          <w:szCs w:val="22"/>
        </w:rPr>
      </w:pPr>
      <w:r>
        <w:rPr>
          <w:rFonts w:ascii="Times New Roman" w:hAnsi="Times New Roman" w:cs="Times New Roman"/>
          <w:sz w:val="22"/>
          <w:szCs w:val="22"/>
        </w:rPr>
        <w:t xml:space="preserve">     </w:t>
      </w:r>
      <w:r w:rsidR="00AF689A" w:rsidRPr="00AF689A">
        <w:rPr>
          <w:rFonts w:ascii="Times New Roman" w:hAnsi="Times New Roman" w:cs="Times New Roman"/>
          <w:sz w:val="22"/>
          <w:szCs w:val="22"/>
        </w:rPr>
        <w:t>Targeted amplification of the hypervariable D1S80 locus on chromosome 1 (1p35-p36) was performed using specific flanking</w:t>
      </w:r>
      <w:r w:rsidR="006401E9">
        <w:rPr>
          <w:rFonts w:ascii="Times New Roman" w:hAnsi="Times New Roman" w:cs="Times New Roman"/>
          <w:sz w:val="22"/>
          <w:szCs w:val="22"/>
        </w:rPr>
        <w:t xml:space="preserve"> (forward and reverse)</w:t>
      </w:r>
      <w:r w:rsidR="00AF689A" w:rsidRPr="00AF689A">
        <w:rPr>
          <w:rFonts w:ascii="Times New Roman" w:hAnsi="Times New Roman" w:cs="Times New Roman"/>
          <w:sz w:val="22"/>
          <w:szCs w:val="22"/>
        </w:rPr>
        <w:t xml:space="preserve"> primers. The sequence parameters for the oligonucleotide primers utilized were:</w:t>
      </w:r>
    </w:p>
    <w:p w:rsidR="00AF689A" w:rsidRPr="00AF689A" w:rsidRDefault="00AF689A" w:rsidP="00AF689A">
      <w:pPr>
        <w:numPr>
          <w:ilvl w:val="0"/>
          <w:numId w:val="1"/>
        </w:numPr>
        <w:rPr>
          <w:rFonts w:ascii="Times New Roman" w:hAnsi="Times New Roman" w:cs="Times New Roman"/>
          <w:sz w:val="22"/>
          <w:szCs w:val="22"/>
        </w:rPr>
      </w:pPr>
      <w:r w:rsidRPr="00AF689A">
        <w:rPr>
          <w:rFonts w:ascii="Times New Roman" w:hAnsi="Times New Roman" w:cs="Times New Roman"/>
          <w:sz w:val="22"/>
          <w:szCs w:val="22"/>
        </w:rPr>
        <w:t>Forward Primer: 5'-GAAACTGGCCTCCAAACACTGCCCGCCG-3'</w:t>
      </w:r>
    </w:p>
    <w:p w:rsidR="00AF689A" w:rsidRPr="00AF689A" w:rsidRDefault="00AF689A" w:rsidP="00AF689A">
      <w:pPr>
        <w:numPr>
          <w:ilvl w:val="0"/>
          <w:numId w:val="1"/>
        </w:numPr>
        <w:rPr>
          <w:rFonts w:ascii="Times New Roman" w:hAnsi="Times New Roman" w:cs="Times New Roman"/>
          <w:sz w:val="22"/>
          <w:szCs w:val="22"/>
        </w:rPr>
      </w:pPr>
      <w:r w:rsidRPr="00AF689A">
        <w:rPr>
          <w:rFonts w:ascii="Times New Roman" w:hAnsi="Times New Roman" w:cs="Times New Roman"/>
          <w:sz w:val="22"/>
          <w:szCs w:val="22"/>
        </w:rPr>
        <w:t>Reverse Primer: 5'-GTCTTGTTGGAGATGCACGTGCCCCTTGC-3'</w:t>
      </w:r>
    </w:p>
    <w:p w:rsidR="00AF689A" w:rsidRDefault="00AF689A" w:rsidP="009C3070">
      <w:pPr>
        <w:jc w:val="both"/>
        <w:rPr>
          <w:rFonts w:ascii="Times New Roman" w:hAnsi="Times New Roman" w:cs="Times New Roman"/>
          <w:sz w:val="22"/>
          <w:szCs w:val="22"/>
        </w:rPr>
      </w:pPr>
      <w:r w:rsidRPr="00AF689A">
        <w:rPr>
          <w:rFonts w:ascii="Times New Roman" w:hAnsi="Times New Roman" w:cs="Times New Roman"/>
          <w:sz w:val="22"/>
          <w:szCs w:val="22"/>
        </w:rPr>
        <w:t>PCR amplifications were p</w:t>
      </w:r>
      <w:r w:rsidR="009614CC">
        <w:rPr>
          <w:rFonts w:ascii="Times New Roman" w:hAnsi="Times New Roman" w:cs="Times New Roman"/>
          <w:sz w:val="22"/>
          <w:szCs w:val="22"/>
        </w:rPr>
        <w:t>erformed</w:t>
      </w:r>
      <w:r w:rsidRPr="00AF689A">
        <w:rPr>
          <w:rFonts w:ascii="Times New Roman" w:hAnsi="Times New Roman" w:cs="Times New Roman"/>
          <w:sz w:val="22"/>
          <w:szCs w:val="22"/>
        </w:rPr>
        <w:t xml:space="preserve"> in total volumes of 2</w:t>
      </w:r>
      <w:r w:rsidR="0098559D">
        <w:rPr>
          <w:rFonts w:ascii="Times New Roman" w:hAnsi="Times New Roman" w:cs="Times New Roman"/>
          <w:sz w:val="22"/>
          <w:szCs w:val="22"/>
        </w:rPr>
        <w:t>6</w:t>
      </w:r>
      <w:r w:rsidRPr="00AF689A">
        <w:rPr>
          <w:rFonts w:ascii="Times New Roman" w:hAnsi="Times New Roman" w:cs="Times New Roman"/>
          <w:sz w:val="22"/>
          <w:szCs w:val="22"/>
        </w:rPr>
        <w:t xml:space="preserve"> </w:t>
      </w:r>
      <w:proofErr w:type="spellStart"/>
      <w:r w:rsidR="006401E9">
        <w:rPr>
          <w:rFonts w:ascii="Times New Roman" w:hAnsi="Times New Roman" w:cs="Times New Roman"/>
          <w:sz w:val="22"/>
          <w:szCs w:val="22"/>
        </w:rPr>
        <w:t>uL</w:t>
      </w:r>
      <w:proofErr w:type="spellEnd"/>
      <w:r w:rsidRPr="00AF689A">
        <w:rPr>
          <w:rFonts w:ascii="Times New Roman" w:hAnsi="Times New Roman" w:cs="Times New Roman"/>
          <w:sz w:val="22"/>
          <w:szCs w:val="22"/>
        </w:rPr>
        <w:t xml:space="preserve"> per reaction tube. Each reaction mixture contained </w:t>
      </w:r>
      <w:r w:rsidR="0098559D">
        <w:rPr>
          <w:rFonts w:ascii="Times New Roman" w:hAnsi="Times New Roman" w:cs="Times New Roman"/>
          <w:sz w:val="22"/>
          <w:szCs w:val="22"/>
        </w:rPr>
        <w:t>2</w:t>
      </w:r>
      <w:r w:rsidR="006401E9">
        <w:rPr>
          <w:rFonts w:ascii="Times New Roman" w:hAnsi="Times New Roman" w:cs="Times New Roman"/>
          <w:sz w:val="22"/>
          <w:szCs w:val="22"/>
        </w:rPr>
        <w:t xml:space="preserve"> </w:t>
      </w:r>
      <w:proofErr w:type="spellStart"/>
      <w:r w:rsidR="006401E9">
        <w:rPr>
          <w:rFonts w:ascii="Times New Roman" w:hAnsi="Times New Roman" w:cs="Times New Roman"/>
          <w:sz w:val="22"/>
          <w:szCs w:val="22"/>
        </w:rPr>
        <w:t>uL</w:t>
      </w:r>
      <w:proofErr w:type="spellEnd"/>
      <w:r w:rsidR="006401E9">
        <w:rPr>
          <w:rFonts w:ascii="Times New Roman" w:hAnsi="Times New Roman" w:cs="Times New Roman"/>
          <w:sz w:val="22"/>
          <w:szCs w:val="22"/>
        </w:rPr>
        <w:t xml:space="preserve"> buccal </w:t>
      </w:r>
      <w:r w:rsidRPr="00AF689A">
        <w:rPr>
          <w:rFonts w:ascii="Times New Roman" w:hAnsi="Times New Roman" w:cs="Times New Roman"/>
          <w:sz w:val="22"/>
          <w:szCs w:val="22"/>
        </w:rPr>
        <w:t>genomic DNA</w:t>
      </w:r>
      <w:r w:rsidR="006401E9">
        <w:rPr>
          <w:rFonts w:ascii="Times New Roman" w:hAnsi="Times New Roman" w:cs="Times New Roman"/>
          <w:sz w:val="22"/>
          <w:szCs w:val="22"/>
        </w:rPr>
        <w:t xml:space="preserve"> extract</w:t>
      </w:r>
      <w:r w:rsidRPr="00AF689A">
        <w:rPr>
          <w:rFonts w:ascii="Times New Roman" w:hAnsi="Times New Roman" w:cs="Times New Roman"/>
          <w:sz w:val="22"/>
          <w:szCs w:val="22"/>
        </w:rPr>
        <w:t xml:space="preserve">, </w:t>
      </w:r>
      <w:r w:rsidR="0098559D">
        <w:rPr>
          <w:rFonts w:ascii="Times New Roman" w:hAnsi="Times New Roman" w:cs="Times New Roman"/>
          <w:sz w:val="22"/>
          <w:szCs w:val="22"/>
        </w:rPr>
        <w:t>12</w:t>
      </w:r>
      <w:r w:rsidR="006401E9">
        <w:rPr>
          <w:rFonts w:ascii="Times New Roman" w:hAnsi="Times New Roman" w:cs="Times New Roman"/>
          <w:sz w:val="22"/>
          <w:szCs w:val="22"/>
        </w:rPr>
        <w:t xml:space="preserve"> </w:t>
      </w:r>
      <w:proofErr w:type="spellStart"/>
      <w:r w:rsidR="006401E9">
        <w:rPr>
          <w:rFonts w:ascii="Times New Roman" w:hAnsi="Times New Roman" w:cs="Times New Roman"/>
          <w:sz w:val="22"/>
          <w:szCs w:val="22"/>
        </w:rPr>
        <w:t>uL</w:t>
      </w:r>
      <w:proofErr w:type="spellEnd"/>
      <w:r w:rsidR="006401E9">
        <w:rPr>
          <w:rFonts w:ascii="Times New Roman" w:hAnsi="Times New Roman" w:cs="Times New Roman"/>
          <w:sz w:val="22"/>
          <w:szCs w:val="22"/>
        </w:rPr>
        <w:t xml:space="preserve"> 2</w:t>
      </w:r>
      <w:r w:rsidRPr="00AF689A">
        <w:rPr>
          <w:rFonts w:ascii="Times New Roman" w:hAnsi="Times New Roman" w:cs="Times New Roman"/>
          <w:sz w:val="22"/>
          <w:szCs w:val="22"/>
        </w:rPr>
        <w:t xml:space="preserve">X </w:t>
      </w:r>
      <w:r w:rsidR="006401E9">
        <w:rPr>
          <w:rFonts w:ascii="Times New Roman" w:hAnsi="Times New Roman" w:cs="Times New Roman"/>
          <w:sz w:val="22"/>
          <w:szCs w:val="22"/>
        </w:rPr>
        <w:t xml:space="preserve">Blue </w:t>
      </w:r>
      <w:r w:rsidRPr="00AF689A">
        <w:rPr>
          <w:rFonts w:ascii="Times New Roman" w:hAnsi="Times New Roman" w:cs="Times New Roman"/>
          <w:sz w:val="22"/>
          <w:szCs w:val="22"/>
        </w:rPr>
        <w:t>PCR Master Mix,</w:t>
      </w:r>
      <w:r w:rsidR="006401E9">
        <w:rPr>
          <w:rFonts w:ascii="Times New Roman" w:hAnsi="Times New Roman" w:cs="Times New Roman"/>
          <w:sz w:val="22"/>
          <w:szCs w:val="22"/>
        </w:rPr>
        <w:t xml:space="preserve"> </w:t>
      </w:r>
      <w:r w:rsidRPr="00AF689A">
        <w:rPr>
          <w:rFonts w:ascii="Times New Roman" w:hAnsi="Times New Roman" w:cs="Times New Roman"/>
          <w:sz w:val="22"/>
          <w:szCs w:val="22"/>
        </w:rPr>
        <w:t xml:space="preserve">and </w:t>
      </w:r>
      <w:r w:rsidR="0098559D">
        <w:rPr>
          <w:rFonts w:ascii="Times New Roman" w:hAnsi="Times New Roman" w:cs="Times New Roman"/>
          <w:sz w:val="22"/>
          <w:szCs w:val="22"/>
        </w:rPr>
        <w:t>12</w:t>
      </w:r>
      <w:r w:rsidR="006401E9">
        <w:rPr>
          <w:rFonts w:ascii="Times New Roman" w:hAnsi="Times New Roman" w:cs="Times New Roman"/>
          <w:sz w:val="22"/>
          <w:szCs w:val="22"/>
        </w:rPr>
        <w:t xml:space="preserve"> </w:t>
      </w:r>
      <w:proofErr w:type="spellStart"/>
      <w:r w:rsidR="006401E9">
        <w:rPr>
          <w:rFonts w:ascii="Times New Roman" w:hAnsi="Times New Roman" w:cs="Times New Roman"/>
          <w:sz w:val="22"/>
          <w:szCs w:val="22"/>
        </w:rPr>
        <w:t>uL</w:t>
      </w:r>
      <w:proofErr w:type="spellEnd"/>
      <w:r w:rsidR="006401E9">
        <w:rPr>
          <w:rFonts w:ascii="Times New Roman" w:hAnsi="Times New Roman" w:cs="Times New Roman"/>
          <w:sz w:val="22"/>
          <w:szCs w:val="22"/>
        </w:rPr>
        <w:t xml:space="preserve"> </w:t>
      </w:r>
      <w:r w:rsidR="00E741F9" w:rsidRPr="00E741F9">
        <w:rPr>
          <w:rFonts w:ascii="Times New Roman" w:hAnsi="Times New Roman" w:cs="Times New Roman"/>
          <w:sz w:val="22"/>
          <w:szCs w:val="22"/>
        </w:rPr>
        <w:t>D1S80 Primer Mix</w:t>
      </w:r>
      <w:r w:rsidRPr="00AF689A">
        <w:rPr>
          <w:rFonts w:ascii="Times New Roman" w:hAnsi="Times New Roman" w:cs="Times New Roman"/>
          <w:sz w:val="22"/>
          <w:szCs w:val="22"/>
        </w:rPr>
        <w:t>. A No-Template Control (NTC) substituting DNA template with nuclease-free water was processed alongside the student samples to monitor for reagent contamination.</w:t>
      </w:r>
      <w:r w:rsidR="009C3070">
        <w:rPr>
          <w:rFonts w:ascii="Times New Roman" w:hAnsi="Times New Roman" w:cs="Times New Roman"/>
          <w:sz w:val="22"/>
          <w:szCs w:val="22"/>
        </w:rPr>
        <w:t xml:space="preserve"> </w:t>
      </w:r>
      <w:r w:rsidRPr="00AF689A">
        <w:rPr>
          <w:rFonts w:ascii="Times New Roman" w:hAnsi="Times New Roman" w:cs="Times New Roman"/>
          <w:sz w:val="22"/>
          <w:szCs w:val="22"/>
        </w:rPr>
        <w:t xml:space="preserve">Amplification was executed using a </w:t>
      </w:r>
      <w:r w:rsidR="009C3070">
        <w:rPr>
          <w:rFonts w:ascii="Times New Roman" w:hAnsi="Times New Roman" w:cs="Times New Roman"/>
          <w:sz w:val="22"/>
          <w:szCs w:val="22"/>
        </w:rPr>
        <w:t xml:space="preserve">conventional </w:t>
      </w:r>
      <w:r w:rsidRPr="00AF689A">
        <w:rPr>
          <w:rFonts w:ascii="Times New Roman" w:hAnsi="Times New Roman" w:cs="Times New Roman"/>
          <w:sz w:val="22"/>
          <w:szCs w:val="22"/>
        </w:rPr>
        <w:t>thermal cycler under optimized cycling parameters: an initial denaturation phase at 9</w:t>
      </w:r>
      <w:r w:rsidR="006401E9">
        <w:rPr>
          <w:rFonts w:ascii="Times New Roman" w:hAnsi="Times New Roman" w:cs="Times New Roman"/>
          <w:sz w:val="22"/>
          <w:szCs w:val="22"/>
        </w:rPr>
        <w:t>4</w:t>
      </w:r>
      <w:r w:rsidRPr="00AF689A">
        <w:rPr>
          <w:rFonts w:ascii="Times New Roman" w:hAnsi="Times New Roman" w:cs="Times New Roman"/>
          <w:sz w:val="22"/>
          <w:szCs w:val="22"/>
        </w:rPr>
        <w:t xml:space="preserve">°C for </w:t>
      </w:r>
      <w:r w:rsidR="006401E9">
        <w:rPr>
          <w:rFonts w:ascii="Times New Roman" w:hAnsi="Times New Roman" w:cs="Times New Roman"/>
          <w:sz w:val="22"/>
          <w:szCs w:val="22"/>
        </w:rPr>
        <w:t>30 seconds</w:t>
      </w:r>
      <w:r w:rsidRPr="00AF689A">
        <w:rPr>
          <w:rFonts w:ascii="Times New Roman" w:hAnsi="Times New Roman" w:cs="Times New Roman"/>
          <w:sz w:val="22"/>
          <w:szCs w:val="22"/>
        </w:rPr>
        <w:t xml:space="preserve">; followed by </w:t>
      </w:r>
      <w:r w:rsidR="00882804">
        <w:rPr>
          <w:rFonts w:ascii="Times New Roman" w:hAnsi="Times New Roman" w:cs="Times New Roman"/>
          <w:sz w:val="22"/>
          <w:szCs w:val="22"/>
        </w:rPr>
        <w:t>25</w:t>
      </w:r>
      <w:r w:rsidRPr="00AF689A">
        <w:rPr>
          <w:rFonts w:ascii="Times New Roman" w:hAnsi="Times New Roman" w:cs="Times New Roman"/>
          <w:sz w:val="22"/>
          <w:szCs w:val="22"/>
        </w:rPr>
        <w:t xml:space="preserve"> cycles of denaturation at 9</w:t>
      </w:r>
      <w:r w:rsidR="006401E9">
        <w:rPr>
          <w:rFonts w:ascii="Times New Roman" w:hAnsi="Times New Roman" w:cs="Times New Roman"/>
          <w:sz w:val="22"/>
          <w:szCs w:val="22"/>
        </w:rPr>
        <w:t>4</w:t>
      </w:r>
      <w:r w:rsidRPr="00AF689A">
        <w:rPr>
          <w:rFonts w:ascii="Times New Roman" w:hAnsi="Times New Roman" w:cs="Times New Roman"/>
          <w:sz w:val="22"/>
          <w:szCs w:val="22"/>
        </w:rPr>
        <w:t xml:space="preserve">°C for </w:t>
      </w:r>
      <w:r w:rsidR="006401E9">
        <w:rPr>
          <w:rFonts w:ascii="Times New Roman" w:hAnsi="Times New Roman" w:cs="Times New Roman"/>
          <w:sz w:val="22"/>
          <w:szCs w:val="22"/>
        </w:rPr>
        <w:t>15</w:t>
      </w:r>
      <w:r w:rsidRPr="00AF689A">
        <w:rPr>
          <w:rFonts w:ascii="Times New Roman" w:hAnsi="Times New Roman" w:cs="Times New Roman"/>
          <w:sz w:val="22"/>
          <w:szCs w:val="22"/>
        </w:rPr>
        <w:t xml:space="preserve"> seconds, primer annealing at 65°C for 30 seconds, and extension at 72°C for </w:t>
      </w:r>
      <w:r w:rsidR="006401E9">
        <w:rPr>
          <w:rFonts w:ascii="Times New Roman" w:hAnsi="Times New Roman" w:cs="Times New Roman"/>
          <w:sz w:val="22"/>
          <w:szCs w:val="22"/>
        </w:rPr>
        <w:t>40 seconds</w:t>
      </w:r>
      <w:r w:rsidRPr="00AF689A">
        <w:rPr>
          <w:rFonts w:ascii="Times New Roman" w:hAnsi="Times New Roman" w:cs="Times New Roman"/>
          <w:sz w:val="22"/>
          <w:szCs w:val="22"/>
        </w:rPr>
        <w:t xml:space="preserve">; concluding with a final extension phase at 72°C for </w:t>
      </w:r>
      <w:r w:rsidR="006401E9">
        <w:rPr>
          <w:rFonts w:ascii="Times New Roman" w:hAnsi="Times New Roman" w:cs="Times New Roman"/>
          <w:sz w:val="22"/>
          <w:szCs w:val="22"/>
        </w:rPr>
        <w:t>30 seconds</w:t>
      </w:r>
      <w:r w:rsidR="00C47463">
        <w:rPr>
          <w:rFonts w:ascii="Times New Roman" w:hAnsi="Times New Roman" w:cs="Times New Roman"/>
          <w:sz w:val="22"/>
          <w:szCs w:val="22"/>
        </w:rPr>
        <w:t xml:space="preserve"> [32]</w:t>
      </w:r>
      <w:r w:rsidRPr="00AF689A">
        <w:rPr>
          <w:rFonts w:ascii="Times New Roman" w:hAnsi="Times New Roman" w:cs="Times New Roman"/>
          <w:sz w:val="22"/>
          <w:szCs w:val="22"/>
        </w:rPr>
        <w:t>.</w:t>
      </w:r>
    </w:p>
    <w:p w:rsidR="006401E9" w:rsidRPr="00AF689A" w:rsidRDefault="006401E9" w:rsidP="00AF689A">
      <w:pPr>
        <w:rPr>
          <w:rFonts w:ascii="Times New Roman" w:hAnsi="Times New Roman" w:cs="Times New Roman"/>
          <w:sz w:val="22"/>
          <w:szCs w:val="22"/>
        </w:rPr>
      </w:pPr>
    </w:p>
    <w:p w:rsidR="00AF689A" w:rsidRPr="00406BE1" w:rsidRDefault="00AF689A" w:rsidP="00AF689A">
      <w:pPr>
        <w:rPr>
          <w:rFonts w:ascii="Times New Roman" w:hAnsi="Times New Roman" w:cs="Times New Roman"/>
          <w:bCs/>
          <w:i/>
          <w:sz w:val="22"/>
          <w:szCs w:val="22"/>
        </w:rPr>
      </w:pPr>
      <w:r w:rsidRPr="00406BE1">
        <w:rPr>
          <w:rFonts w:ascii="Times New Roman" w:hAnsi="Times New Roman" w:cs="Times New Roman"/>
          <w:bCs/>
          <w:i/>
          <w:sz w:val="22"/>
          <w:szCs w:val="22"/>
        </w:rPr>
        <w:t>Agarose Gel Electrophoresis and Sizing</w:t>
      </w:r>
    </w:p>
    <w:p w:rsidR="00E96CD3" w:rsidRPr="00AF689A" w:rsidRDefault="009C3070" w:rsidP="00327DD7">
      <w:pPr>
        <w:jc w:val="both"/>
        <w:rPr>
          <w:rFonts w:ascii="Times New Roman" w:hAnsi="Times New Roman" w:cs="Times New Roman"/>
          <w:sz w:val="22"/>
          <w:szCs w:val="22"/>
        </w:rPr>
      </w:pPr>
      <w:r>
        <w:rPr>
          <w:rFonts w:ascii="Times New Roman" w:hAnsi="Times New Roman" w:cs="Times New Roman"/>
          <w:sz w:val="22"/>
          <w:szCs w:val="22"/>
        </w:rPr>
        <w:t xml:space="preserve">     </w:t>
      </w:r>
      <w:r w:rsidR="00AF689A" w:rsidRPr="00AF689A">
        <w:rPr>
          <w:rFonts w:ascii="Times New Roman" w:hAnsi="Times New Roman" w:cs="Times New Roman"/>
          <w:sz w:val="22"/>
          <w:szCs w:val="22"/>
        </w:rPr>
        <w:t xml:space="preserve">The resulting PCR amplicons were separated by size using horizontal agarose gel electrophoresis. A 2.0% agarose gel matrix was prepared by dissolving </w:t>
      </w:r>
      <w:r>
        <w:rPr>
          <w:rFonts w:ascii="Times New Roman" w:hAnsi="Times New Roman" w:cs="Times New Roman"/>
          <w:sz w:val="22"/>
          <w:szCs w:val="22"/>
        </w:rPr>
        <w:t xml:space="preserve">a pre-weighed </w:t>
      </w:r>
      <w:r w:rsidR="00AF689A" w:rsidRPr="00AF689A">
        <w:rPr>
          <w:rFonts w:ascii="Times New Roman" w:hAnsi="Times New Roman" w:cs="Times New Roman"/>
          <w:sz w:val="22"/>
          <w:szCs w:val="22"/>
        </w:rPr>
        <w:t xml:space="preserve">agarose </w:t>
      </w:r>
      <w:r>
        <w:rPr>
          <w:rFonts w:ascii="Times New Roman" w:hAnsi="Times New Roman" w:cs="Times New Roman"/>
          <w:sz w:val="22"/>
          <w:szCs w:val="22"/>
        </w:rPr>
        <w:t>tablet</w:t>
      </w:r>
      <w:r w:rsidR="00AF689A" w:rsidRPr="00AF689A">
        <w:rPr>
          <w:rFonts w:ascii="Times New Roman" w:hAnsi="Times New Roman" w:cs="Times New Roman"/>
          <w:sz w:val="22"/>
          <w:szCs w:val="22"/>
        </w:rPr>
        <w:t xml:space="preserve"> in </w:t>
      </w:r>
      <w:r w:rsidR="00E741F9">
        <w:rPr>
          <w:rFonts w:ascii="Times New Roman" w:hAnsi="Times New Roman" w:cs="Times New Roman"/>
          <w:sz w:val="22"/>
          <w:szCs w:val="22"/>
        </w:rPr>
        <w:t xml:space="preserve">distilled water. </w:t>
      </w:r>
      <w:r w:rsidR="00AF689A" w:rsidRPr="00AF689A">
        <w:rPr>
          <w:rFonts w:ascii="Times New Roman" w:hAnsi="Times New Roman" w:cs="Times New Roman"/>
          <w:sz w:val="22"/>
          <w:szCs w:val="22"/>
        </w:rPr>
        <w:t>The solution was heated until transparent, allowed to cool to approximately 55°C</w:t>
      </w:r>
      <w:r w:rsidR="00E741F9">
        <w:rPr>
          <w:rFonts w:ascii="Times New Roman" w:hAnsi="Times New Roman" w:cs="Times New Roman"/>
          <w:sz w:val="22"/>
          <w:szCs w:val="22"/>
        </w:rPr>
        <w:t xml:space="preserve">. </w:t>
      </w:r>
      <w:r w:rsidR="00AF689A" w:rsidRPr="00AF689A">
        <w:rPr>
          <w:rFonts w:ascii="Times New Roman" w:hAnsi="Times New Roman" w:cs="Times New Roman"/>
          <w:sz w:val="22"/>
          <w:szCs w:val="22"/>
        </w:rPr>
        <w:t xml:space="preserve">The </w:t>
      </w:r>
      <w:r w:rsidR="00E741F9">
        <w:rPr>
          <w:rFonts w:ascii="Times New Roman" w:hAnsi="Times New Roman" w:cs="Times New Roman"/>
          <w:sz w:val="22"/>
          <w:szCs w:val="22"/>
        </w:rPr>
        <w:t xml:space="preserve">agarose </w:t>
      </w:r>
      <w:r w:rsidR="00AF689A" w:rsidRPr="00AF689A">
        <w:rPr>
          <w:rFonts w:ascii="Times New Roman" w:hAnsi="Times New Roman" w:cs="Times New Roman"/>
          <w:sz w:val="22"/>
          <w:szCs w:val="22"/>
        </w:rPr>
        <w:t>matrix was poured into a casting tray equipped with a 9-well comb to form sample loading wells.</w:t>
      </w:r>
      <w:r w:rsidR="00E741F9">
        <w:rPr>
          <w:rFonts w:ascii="Times New Roman" w:hAnsi="Times New Roman" w:cs="Times New Roman"/>
          <w:sz w:val="22"/>
          <w:szCs w:val="22"/>
        </w:rPr>
        <w:t xml:space="preserve"> </w:t>
      </w:r>
      <w:r w:rsidR="00AF689A" w:rsidRPr="00AF689A">
        <w:rPr>
          <w:rFonts w:ascii="Times New Roman" w:hAnsi="Times New Roman" w:cs="Times New Roman"/>
          <w:sz w:val="22"/>
          <w:szCs w:val="22"/>
        </w:rPr>
        <w:t>Once solidified, the gel was submerged in an electrophoresis t</w:t>
      </w:r>
      <w:r w:rsidR="00E741F9">
        <w:rPr>
          <w:rFonts w:ascii="Times New Roman" w:hAnsi="Times New Roman" w:cs="Times New Roman"/>
          <w:sz w:val="22"/>
          <w:szCs w:val="22"/>
        </w:rPr>
        <w:t>ray</w:t>
      </w:r>
      <w:r w:rsidR="00AF689A" w:rsidRPr="00AF689A">
        <w:rPr>
          <w:rFonts w:ascii="Times New Roman" w:hAnsi="Times New Roman" w:cs="Times New Roman"/>
          <w:sz w:val="22"/>
          <w:szCs w:val="22"/>
        </w:rPr>
        <w:t xml:space="preserve"> filled with</w:t>
      </w:r>
      <w:r w:rsidR="00E741F9">
        <w:rPr>
          <w:rFonts w:ascii="Times New Roman" w:hAnsi="Times New Roman" w:cs="Times New Roman"/>
          <w:sz w:val="22"/>
          <w:szCs w:val="22"/>
        </w:rPr>
        <w:t xml:space="preserve"> Tris-Borate-EDTA</w:t>
      </w:r>
      <w:r w:rsidR="00AF689A" w:rsidRPr="00AF689A">
        <w:rPr>
          <w:rFonts w:ascii="Times New Roman" w:hAnsi="Times New Roman" w:cs="Times New Roman"/>
          <w:sz w:val="22"/>
          <w:szCs w:val="22"/>
        </w:rPr>
        <w:t xml:space="preserve"> buffer. A </w:t>
      </w:r>
      <w:r w:rsidR="0098559D">
        <w:rPr>
          <w:rFonts w:ascii="Times New Roman" w:hAnsi="Times New Roman" w:cs="Times New Roman"/>
          <w:sz w:val="22"/>
          <w:szCs w:val="22"/>
        </w:rPr>
        <w:t xml:space="preserve">10 </w:t>
      </w:r>
      <w:proofErr w:type="spellStart"/>
      <w:r w:rsidR="0098559D">
        <w:rPr>
          <w:rFonts w:ascii="Times New Roman" w:hAnsi="Times New Roman" w:cs="Times New Roman"/>
          <w:sz w:val="22"/>
          <w:szCs w:val="22"/>
        </w:rPr>
        <w:t>uL</w:t>
      </w:r>
      <w:proofErr w:type="spellEnd"/>
      <w:r w:rsidR="0098559D">
        <w:rPr>
          <w:rFonts w:ascii="Times New Roman" w:hAnsi="Times New Roman" w:cs="Times New Roman"/>
          <w:sz w:val="22"/>
          <w:szCs w:val="22"/>
        </w:rPr>
        <w:t xml:space="preserve"> </w:t>
      </w:r>
      <w:r w:rsidR="00AF689A" w:rsidRPr="00AF689A">
        <w:rPr>
          <w:rFonts w:ascii="Times New Roman" w:hAnsi="Times New Roman" w:cs="Times New Roman"/>
          <w:sz w:val="22"/>
          <w:szCs w:val="22"/>
        </w:rPr>
        <w:t xml:space="preserve">volume of a 100-bp DNA ladder was loaded into the first reference lane to serve as a molecular weight standard. For the sample lanes, </w:t>
      </w:r>
      <w:r w:rsidR="0098559D">
        <w:rPr>
          <w:rFonts w:ascii="Times New Roman" w:hAnsi="Times New Roman" w:cs="Times New Roman"/>
          <w:sz w:val="22"/>
          <w:szCs w:val="22"/>
        </w:rPr>
        <w:t xml:space="preserve">15 </w:t>
      </w:r>
      <w:proofErr w:type="spellStart"/>
      <w:r w:rsidR="0098559D">
        <w:rPr>
          <w:rFonts w:ascii="Times New Roman" w:hAnsi="Times New Roman" w:cs="Times New Roman"/>
          <w:sz w:val="22"/>
          <w:szCs w:val="22"/>
        </w:rPr>
        <w:t>uL</w:t>
      </w:r>
      <w:proofErr w:type="spellEnd"/>
      <w:r w:rsidR="00AF689A" w:rsidRPr="00AF689A">
        <w:rPr>
          <w:rFonts w:ascii="Times New Roman" w:hAnsi="Times New Roman" w:cs="Times New Roman"/>
          <w:sz w:val="22"/>
          <w:szCs w:val="22"/>
        </w:rPr>
        <w:t xml:space="preserve"> of each student PCR product </w:t>
      </w:r>
      <w:r w:rsidR="005F6F8F">
        <w:rPr>
          <w:rFonts w:ascii="Times New Roman" w:hAnsi="Times New Roman" w:cs="Times New Roman"/>
          <w:sz w:val="22"/>
          <w:szCs w:val="22"/>
        </w:rPr>
        <w:t>was</w:t>
      </w:r>
      <w:r w:rsidR="00AF689A" w:rsidRPr="00AF689A">
        <w:rPr>
          <w:rFonts w:ascii="Times New Roman" w:hAnsi="Times New Roman" w:cs="Times New Roman"/>
          <w:sz w:val="22"/>
          <w:szCs w:val="22"/>
        </w:rPr>
        <w:t xml:space="preserve"> introduced into individual wells. Electrophoresis was operated at a constant voltage for approximately </w:t>
      </w:r>
      <w:r w:rsidR="0098559D">
        <w:rPr>
          <w:rFonts w:ascii="Times New Roman" w:hAnsi="Times New Roman" w:cs="Times New Roman"/>
          <w:sz w:val="22"/>
          <w:szCs w:val="22"/>
        </w:rPr>
        <w:t>30 minutes</w:t>
      </w:r>
      <w:r w:rsidR="00AF689A" w:rsidRPr="00AF689A">
        <w:rPr>
          <w:rFonts w:ascii="Times New Roman" w:hAnsi="Times New Roman" w:cs="Times New Roman"/>
          <w:sz w:val="22"/>
          <w:szCs w:val="22"/>
        </w:rPr>
        <w:t>, ensuring adequate migration separation.</w:t>
      </w:r>
      <w:r w:rsidR="0098559D">
        <w:rPr>
          <w:rFonts w:ascii="Times New Roman" w:hAnsi="Times New Roman" w:cs="Times New Roman"/>
          <w:sz w:val="22"/>
          <w:szCs w:val="22"/>
        </w:rPr>
        <w:t xml:space="preserve"> </w:t>
      </w:r>
      <w:r w:rsidR="00E96CD3">
        <w:rPr>
          <w:rFonts w:ascii="Times New Roman" w:hAnsi="Times New Roman" w:cs="Times New Roman"/>
          <w:sz w:val="22"/>
          <w:szCs w:val="22"/>
        </w:rPr>
        <w:t>T</w:t>
      </w:r>
      <w:r w:rsidR="0098559D" w:rsidRPr="0098559D">
        <w:rPr>
          <w:rFonts w:ascii="Times New Roman" w:hAnsi="Times New Roman" w:cs="Times New Roman"/>
          <w:sz w:val="22"/>
          <w:szCs w:val="22"/>
        </w:rPr>
        <w:t xml:space="preserve">he “light bulb” button </w:t>
      </w:r>
      <w:r w:rsidR="00E96CD3">
        <w:rPr>
          <w:rFonts w:ascii="Times New Roman" w:hAnsi="Times New Roman" w:cs="Times New Roman"/>
          <w:sz w:val="22"/>
          <w:szCs w:val="22"/>
        </w:rPr>
        <w:t xml:space="preserve">was </w:t>
      </w:r>
      <w:r w:rsidR="0098559D" w:rsidRPr="0098559D">
        <w:rPr>
          <w:rFonts w:ascii="Times New Roman" w:hAnsi="Times New Roman" w:cs="Times New Roman"/>
          <w:sz w:val="22"/>
          <w:szCs w:val="22"/>
        </w:rPr>
        <w:t>turn</w:t>
      </w:r>
      <w:r w:rsidR="00E96CD3">
        <w:rPr>
          <w:rFonts w:ascii="Times New Roman" w:hAnsi="Times New Roman" w:cs="Times New Roman"/>
          <w:sz w:val="22"/>
          <w:szCs w:val="22"/>
        </w:rPr>
        <w:t>ed</w:t>
      </w:r>
      <w:r w:rsidR="0098559D" w:rsidRPr="0098559D">
        <w:rPr>
          <w:rFonts w:ascii="Times New Roman" w:hAnsi="Times New Roman" w:cs="Times New Roman"/>
          <w:sz w:val="22"/>
          <w:szCs w:val="22"/>
        </w:rPr>
        <w:t xml:space="preserve"> on </w:t>
      </w:r>
      <w:r w:rsidR="00E96CD3">
        <w:rPr>
          <w:rFonts w:ascii="Times New Roman" w:hAnsi="Times New Roman" w:cs="Times New Roman"/>
          <w:sz w:val="22"/>
          <w:szCs w:val="22"/>
        </w:rPr>
        <w:t xml:space="preserve">in </w:t>
      </w:r>
      <w:r w:rsidR="0098559D" w:rsidRPr="0098559D">
        <w:rPr>
          <w:rFonts w:ascii="Times New Roman" w:hAnsi="Times New Roman" w:cs="Times New Roman"/>
          <w:sz w:val="22"/>
          <w:szCs w:val="22"/>
        </w:rPr>
        <w:t xml:space="preserve">the </w:t>
      </w:r>
      <w:proofErr w:type="spellStart"/>
      <w:r w:rsidR="0098559D" w:rsidRPr="0098559D">
        <w:rPr>
          <w:rFonts w:ascii="Times New Roman" w:hAnsi="Times New Roman" w:cs="Times New Roman"/>
          <w:sz w:val="22"/>
          <w:szCs w:val="22"/>
        </w:rPr>
        <w:t>blueGel</w:t>
      </w:r>
      <w:proofErr w:type="spellEnd"/>
      <w:r w:rsidR="0098559D" w:rsidRPr="0098559D">
        <w:rPr>
          <w:rFonts w:ascii="Times New Roman" w:hAnsi="Times New Roman" w:cs="Times New Roman"/>
          <w:sz w:val="22"/>
          <w:szCs w:val="22"/>
        </w:rPr>
        <w:t>™ transilluminator</w:t>
      </w:r>
      <w:r w:rsidR="00E96CD3">
        <w:rPr>
          <w:rFonts w:ascii="Times New Roman" w:hAnsi="Times New Roman" w:cs="Times New Roman"/>
          <w:sz w:val="22"/>
          <w:szCs w:val="22"/>
        </w:rPr>
        <w:t xml:space="preserve">. </w:t>
      </w:r>
      <w:r w:rsidR="0098559D" w:rsidRPr="0098559D">
        <w:rPr>
          <w:rFonts w:ascii="Times New Roman" w:hAnsi="Times New Roman" w:cs="Times New Roman"/>
          <w:sz w:val="22"/>
          <w:szCs w:val="22"/>
        </w:rPr>
        <w:t>Fold-a-View™ photo documentation hood with a smartphone camera</w:t>
      </w:r>
      <w:r w:rsidR="00E96CD3">
        <w:rPr>
          <w:rFonts w:ascii="Times New Roman" w:hAnsi="Times New Roman" w:cs="Times New Roman"/>
          <w:sz w:val="22"/>
          <w:szCs w:val="22"/>
        </w:rPr>
        <w:t xml:space="preserve"> were used for better viewing.</w:t>
      </w:r>
      <w:r w:rsidR="0098559D" w:rsidRPr="0098559D">
        <w:rPr>
          <w:rFonts w:ascii="Times New Roman" w:hAnsi="Times New Roman" w:cs="Times New Roman"/>
          <w:sz w:val="22"/>
          <w:szCs w:val="22"/>
        </w:rPr>
        <w:t xml:space="preserve"> </w:t>
      </w:r>
      <w:r w:rsidR="00AF689A" w:rsidRPr="00AF689A">
        <w:rPr>
          <w:rFonts w:ascii="Times New Roman" w:hAnsi="Times New Roman" w:cs="Times New Roman"/>
          <w:sz w:val="22"/>
          <w:szCs w:val="22"/>
        </w:rPr>
        <w:t xml:space="preserve">The band positions were </w:t>
      </w:r>
      <w:r w:rsidR="00AF689A" w:rsidRPr="00AF689A">
        <w:rPr>
          <w:rFonts w:ascii="Times New Roman" w:hAnsi="Times New Roman" w:cs="Times New Roman"/>
          <w:sz w:val="22"/>
          <w:szCs w:val="22"/>
        </w:rPr>
        <w:lastRenderedPageBreak/>
        <w:t>photographed under UV/blue light excitation, and fragment base pair sizes were determined by comparative migration analysis against the reference DNA ladder</w:t>
      </w:r>
      <w:r w:rsidR="00C47463">
        <w:rPr>
          <w:rFonts w:ascii="Times New Roman" w:hAnsi="Times New Roman" w:cs="Times New Roman"/>
          <w:sz w:val="22"/>
          <w:szCs w:val="22"/>
        </w:rPr>
        <w:t xml:space="preserve"> [32]</w:t>
      </w:r>
      <w:r w:rsidR="00AF689A" w:rsidRPr="00AF689A">
        <w:rPr>
          <w:rFonts w:ascii="Times New Roman" w:hAnsi="Times New Roman" w:cs="Times New Roman"/>
          <w:sz w:val="22"/>
          <w:szCs w:val="22"/>
        </w:rPr>
        <w:t>.</w:t>
      </w:r>
    </w:p>
    <w:p w:rsidR="00406BE1" w:rsidRDefault="00406BE1" w:rsidP="00AF689A">
      <w:pPr>
        <w:rPr>
          <w:rFonts w:ascii="Times New Roman" w:hAnsi="Times New Roman" w:cs="Times New Roman"/>
          <w:b/>
          <w:bCs/>
          <w:sz w:val="22"/>
          <w:szCs w:val="22"/>
        </w:rPr>
      </w:pPr>
    </w:p>
    <w:p w:rsidR="00AF689A" w:rsidRPr="00406BE1" w:rsidRDefault="00AF689A" w:rsidP="00AF689A">
      <w:pPr>
        <w:rPr>
          <w:rFonts w:ascii="Times New Roman" w:hAnsi="Times New Roman" w:cs="Times New Roman"/>
          <w:bCs/>
          <w:i/>
          <w:sz w:val="22"/>
          <w:szCs w:val="22"/>
        </w:rPr>
      </w:pPr>
      <w:r w:rsidRPr="00406BE1">
        <w:rPr>
          <w:rFonts w:ascii="Times New Roman" w:hAnsi="Times New Roman" w:cs="Times New Roman"/>
          <w:bCs/>
          <w:i/>
          <w:sz w:val="22"/>
          <w:szCs w:val="22"/>
        </w:rPr>
        <w:t>Statistical and Population Genetics Analysis</w:t>
      </w:r>
    </w:p>
    <w:p w:rsidR="00D77FE1" w:rsidRDefault="00E82C37" w:rsidP="00D77FE1">
      <w:pPr>
        <w:jc w:val="both"/>
        <w:rPr>
          <w:rFonts w:ascii="Times New Roman" w:hAnsi="Times New Roman" w:cs="Times New Roman"/>
          <w:sz w:val="22"/>
          <w:szCs w:val="22"/>
        </w:rPr>
      </w:pPr>
      <w:r>
        <w:rPr>
          <w:rFonts w:ascii="Times New Roman" w:hAnsi="Times New Roman" w:cs="Times New Roman"/>
          <w:sz w:val="22"/>
          <w:szCs w:val="22"/>
        </w:rPr>
        <w:t xml:space="preserve">     </w:t>
      </w:r>
      <w:r w:rsidR="00AF689A" w:rsidRPr="00AF689A">
        <w:rPr>
          <w:rFonts w:ascii="Times New Roman" w:hAnsi="Times New Roman" w:cs="Times New Roman"/>
          <w:sz w:val="22"/>
          <w:szCs w:val="22"/>
        </w:rPr>
        <w:t xml:space="preserve">The collected fragment size data from </w:t>
      </w:r>
      <w:r>
        <w:rPr>
          <w:rFonts w:ascii="Times New Roman" w:hAnsi="Times New Roman" w:cs="Times New Roman"/>
          <w:sz w:val="22"/>
          <w:szCs w:val="22"/>
        </w:rPr>
        <w:t xml:space="preserve">a total of </w:t>
      </w:r>
      <w:r w:rsidR="00AF689A" w:rsidRPr="00AF689A">
        <w:rPr>
          <w:rFonts w:ascii="Times New Roman" w:hAnsi="Times New Roman" w:cs="Times New Roman"/>
          <w:sz w:val="22"/>
          <w:szCs w:val="22"/>
        </w:rPr>
        <w:t xml:space="preserve">30 lanes </w:t>
      </w:r>
      <w:r w:rsidR="00E96CD3">
        <w:rPr>
          <w:rFonts w:ascii="Times New Roman" w:hAnsi="Times New Roman" w:cs="Times New Roman"/>
          <w:sz w:val="22"/>
          <w:szCs w:val="22"/>
        </w:rPr>
        <w:t xml:space="preserve">in several test runs </w:t>
      </w:r>
      <w:r w:rsidR="00AF689A" w:rsidRPr="00AF689A">
        <w:rPr>
          <w:rFonts w:ascii="Times New Roman" w:hAnsi="Times New Roman" w:cs="Times New Roman"/>
          <w:sz w:val="22"/>
          <w:szCs w:val="22"/>
        </w:rPr>
        <w:t>w</w:t>
      </w:r>
      <w:r w:rsidR="00E96CD3">
        <w:rPr>
          <w:rFonts w:ascii="Times New Roman" w:hAnsi="Times New Roman" w:cs="Times New Roman"/>
          <w:sz w:val="22"/>
          <w:szCs w:val="22"/>
        </w:rPr>
        <w:t>ere</w:t>
      </w:r>
      <w:r w:rsidR="00AF689A" w:rsidRPr="00AF689A">
        <w:rPr>
          <w:rFonts w:ascii="Times New Roman" w:hAnsi="Times New Roman" w:cs="Times New Roman"/>
          <w:sz w:val="22"/>
          <w:szCs w:val="22"/>
        </w:rPr>
        <w:t xml:space="preserve"> translated into a categorical frequency dataset. To address the primary objectives, allele and genotype frequencies were calculated directly through gene counting:</w:t>
      </w:r>
      <w:r w:rsidR="00D77FE1">
        <w:rPr>
          <w:rFonts w:ascii="Times New Roman" w:hAnsi="Times New Roman" w:cs="Times New Roman"/>
          <w:sz w:val="22"/>
          <w:szCs w:val="22"/>
        </w:rPr>
        <w:t xml:space="preserve"> </w:t>
      </w:r>
    </w:p>
    <w:p w:rsidR="00E96CD3" w:rsidRDefault="00D77FE1" w:rsidP="00D77FE1">
      <w:pPr>
        <w:jc w:val="both"/>
        <w:rPr>
          <w:rFonts w:ascii="Times New Roman" w:hAnsi="Times New Roman" w:cs="Times New Roman"/>
          <w:sz w:val="22"/>
          <w:szCs w:val="22"/>
        </w:rPr>
      </w:pPr>
      <w:r>
        <w:rPr>
          <w:rFonts w:ascii="Times New Roman" w:hAnsi="Times New Roman" w:cs="Times New Roman"/>
          <w:sz w:val="22"/>
          <w:szCs w:val="22"/>
        </w:rPr>
        <w:t xml:space="preserve">                             </w:t>
      </w:r>
      <w:r w:rsidR="00E96CD3" w:rsidRPr="00E96CD3">
        <w:rPr>
          <w:rFonts w:ascii="Times New Roman" w:hAnsi="Times New Roman" w:cs="Times New Roman"/>
          <w:sz w:val="22"/>
          <w:szCs w:val="22"/>
        </w:rPr>
        <w:t>Allele Frequenc</w:t>
      </w:r>
      <w:r w:rsidR="00E82C37">
        <w:rPr>
          <w:rFonts w:ascii="Times New Roman" w:hAnsi="Times New Roman" w:cs="Times New Roman"/>
          <w:sz w:val="22"/>
          <w:szCs w:val="22"/>
        </w:rPr>
        <w:t>y</w:t>
      </w:r>
      <w:r w:rsidR="00E96CD3" w:rsidRPr="00E96CD3">
        <w:rPr>
          <w:rFonts w:ascii="Times New Roman" w:hAnsi="Times New Roman" w:cs="Times New Roman"/>
          <w:sz w:val="22"/>
          <w:szCs w:val="22"/>
        </w:rPr>
        <w:t xml:space="preserve"> (</w:t>
      </w:r>
      <w:r w:rsidR="00E96CD3" w:rsidRPr="002F7430">
        <w:rPr>
          <w:rFonts w:ascii="Times New Roman" w:hAnsi="Times New Roman" w:cs="Times New Roman"/>
          <w:i/>
          <w:sz w:val="22"/>
          <w:szCs w:val="22"/>
        </w:rPr>
        <w:t>p</w:t>
      </w:r>
      <w:r w:rsidR="00E82C37">
        <w:rPr>
          <w:rFonts w:ascii="Times New Roman" w:hAnsi="Times New Roman" w:cs="Times New Roman"/>
          <w:sz w:val="22"/>
          <w:szCs w:val="22"/>
        </w:rPr>
        <w:t xml:space="preserve"> </w:t>
      </w:r>
      <w:r w:rsidR="00E96CD3" w:rsidRPr="00E96CD3">
        <w:rPr>
          <w:rFonts w:ascii="Times New Roman" w:hAnsi="Times New Roman" w:cs="Times New Roman"/>
          <w:sz w:val="22"/>
          <w:szCs w:val="22"/>
        </w:rPr>
        <w:t xml:space="preserve">or </w:t>
      </w:r>
      <w:r w:rsidR="00E96CD3" w:rsidRPr="002F7430">
        <w:rPr>
          <w:rFonts w:ascii="Times New Roman" w:hAnsi="Times New Roman" w:cs="Times New Roman"/>
          <w:i/>
          <w:sz w:val="22"/>
          <w:szCs w:val="22"/>
        </w:rPr>
        <w:t>q</w:t>
      </w:r>
      <w:r w:rsidR="00E96CD3" w:rsidRPr="00E96CD3">
        <w:rPr>
          <w:rFonts w:ascii="Times New Roman" w:hAnsi="Times New Roman" w:cs="Times New Roman"/>
          <w:sz w:val="22"/>
          <w:szCs w:val="22"/>
        </w:rPr>
        <w:t xml:space="preserve">) = </w:t>
      </w:r>
      <w:r w:rsidR="00E96CD3" w:rsidRPr="00D77FE1">
        <w:rPr>
          <w:rFonts w:ascii="Times New Roman" w:hAnsi="Times New Roman" w:cs="Times New Roman"/>
          <w:sz w:val="22"/>
          <w:szCs w:val="22"/>
          <w:u w:val="single"/>
        </w:rPr>
        <w:t xml:space="preserve">2 </w:t>
      </w:r>
      <w:r w:rsidRPr="00D77FE1">
        <w:rPr>
          <w:rFonts w:ascii="Times New Roman" w:hAnsi="Times New Roman" w:cs="Times New Roman"/>
          <w:sz w:val="22"/>
          <w:szCs w:val="22"/>
          <w:u w:val="single"/>
        </w:rPr>
        <w:t xml:space="preserve">x </w:t>
      </w:r>
      <w:r w:rsidR="00E96CD3" w:rsidRPr="00D77FE1">
        <w:rPr>
          <w:rFonts w:ascii="Times New Roman" w:hAnsi="Times New Roman" w:cs="Times New Roman"/>
          <w:sz w:val="22"/>
          <w:szCs w:val="22"/>
          <w:u w:val="single"/>
        </w:rPr>
        <w:t xml:space="preserve">(Homozygotes) + 1 </w:t>
      </w:r>
      <w:r w:rsidRPr="00D77FE1">
        <w:rPr>
          <w:rFonts w:ascii="Times New Roman" w:hAnsi="Times New Roman" w:cs="Times New Roman"/>
          <w:sz w:val="22"/>
          <w:szCs w:val="22"/>
          <w:u w:val="single"/>
        </w:rPr>
        <w:t>x</w:t>
      </w:r>
      <w:r w:rsidR="00E96CD3" w:rsidRPr="00D77FE1">
        <w:rPr>
          <w:rFonts w:ascii="Times New Roman" w:hAnsi="Times New Roman" w:cs="Times New Roman"/>
          <w:sz w:val="22"/>
          <w:szCs w:val="22"/>
          <w:u w:val="single"/>
        </w:rPr>
        <w:t xml:space="preserve"> (Heterozygotes)</w:t>
      </w:r>
    </w:p>
    <w:p w:rsidR="00D77FE1" w:rsidRPr="00E96CD3" w:rsidRDefault="00D77FE1" w:rsidP="00E82C37">
      <w:pPr>
        <w:jc w:val="both"/>
        <w:rPr>
          <w:rFonts w:ascii="Times New Roman" w:hAnsi="Times New Roman" w:cs="Times New Roman"/>
          <w:sz w:val="22"/>
          <w:szCs w:val="22"/>
        </w:rPr>
      </w:pPr>
      <w:r>
        <w:rPr>
          <w:rFonts w:ascii="Times New Roman" w:hAnsi="Times New Roman" w:cs="Times New Roman"/>
          <w:sz w:val="22"/>
          <w:szCs w:val="22"/>
        </w:rPr>
        <w:t xml:space="preserve">                                                                                                         2N</w:t>
      </w:r>
    </w:p>
    <w:p w:rsidR="002F7430" w:rsidRDefault="00E96CD3" w:rsidP="002F7430">
      <w:pPr>
        <w:jc w:val="both"/>
        <w:rPr>
          <w:rFonts w:ascii="Times New Roman" w:hAnsi="Times New Roman" w:cs="Times New Roman"/>
          <w:sz w:val="22"/>
          <w:szCs w:val="22"/>
        </w:rPr>
      </w:pPr>
      <w:r w:rsidRPr="00E96CD3">
        <w:rPr>
          <w:rFonts w:ascii="Times New Roman" w:hAnsi="Times New Roman" w:cs="Times New Roman"/>
          <w:sz w:val="22"/>
          <w:szCs w:val="22"/>
        </w:rPr>
        <w:t xml:space="preserve">Where </w:t>
      </w:r>
      <w:r w:rsidR="005F6F8F">
        <w:rPr>
          <w:rFonts w:ascii="Times New Roman" w:hAnsi="Times New Roman" w:cs="Times New Roman"/>
          <w:sz w:val="22"/>
          <w:szCs w:val="22"/>
        </w:rPr>
        <w:t xml:space="preserve">p represents 400-bp, q represents 500-bp, and </w:t>
      </w:r>
      <w:r w:rsidRPr="00E96CD3">
        <w:rPr>
          <w:rFonts w:ascii="Times New Roman" w:hAnsi="Times New Roman" w:cs="Times New Roman"/>
          <w:sz w:val="22"/>
          <w:szCs w:val="22"/>
        </w:rPr>
        <w:t>N</w:t>
      </w:r>
      <w:r w:rsidR="00D77FE1">
        <w:rPr>
          <w:rFonts w:ascii="Times New Roman" w:hAnsi="Times New Roman" w:cs="Times New Roman"/>
          <w:sz w:val="22"/>
          <w:szCs w:val="22"/>
        </w:rPr>
        <w:t xml:space="preserve"> </w:t>
      </w:r>
      <w:r w:rsidRPr="00E96CD3">
        <w:rPr>
          <w:rFonts w:ascii="Times New Roman" w:hAnsi="Times New Roman" w:cs="Times New Roman"/>
          <w:sz w:val="22"/>
          <w:szCs w:val="22"/>
        </w:rPr>
        <w:t>represents the total sample size (N = 30, total alleles = 60).</w:t>
      </w:r>
      <w:r w:rsidR="005F6F8F">
        <w:rPr>
          <w:rFonts w:ascii="Times New Roman" w:hAnsi="Times New Roman" w:cs="Times New Roman"/>
          <w:sz w:val="22"/>
          <w:szCs w:val="22"/>
        </w:rPr>
        <w:t xml:space="preserve"> </w:t>
      </w:r>
      <w:r w:rsidRPr="00E96CD3">
        <w:rPr>
          <w:rFonts w:ascii="Times New Roman" w:hAnsi="Times New Roman" w:cs="Times New Roman"/>
          <w:sz w:val="22"/>
          <w:szCs w:val="22"/>
        </w:rPr>
        <w:t>To test whether the observed distribution conformed to the theoretical expectations of the Hardy-Weinberg Equilibrium, a Chi-Square goodness-of-fit test</w:t>
      </w:r>
      <w:r w:rsidR="002F7430">
        <w:rPr>
          <w:rFonts w:ascii="Times New Roman" w:hAnsi="Times New Roman" w:cs="Times New Roman"/>
          <w:sz w:val="22"/>
          <w:szCs w:val="22"/>
        </w:rPr>
        <w:t xml:space="preserve"> was applied using the formula:</w:t>
      </w:r>
      <w:r w:rsidRPr="00E96CD3">
        <w:rPr>
          <w:rFonts w:ascii="Times New Roman" w:hAnsi="Times New Roman" w:cs="Times New Roman"/>
          <w:sz w:val="22"/>
          <w:szCs w:val="22"/>
        </w:rPr>
        <w:t xml:space="preserve"> </w:t>
      </w:r>
    </w:p>
    <w:p w:rsidR="002F7430" w:rsidRDefault="002F7430" w:rsidP="007D06A8">
      <w:pPr>
        <w:rPr>
          <w:rFonts w:ascii="Times New Roman" w:hAnsi="Times New Roman" w:cs="Times New Roman"/>
          <w:sz w:val="22"/>
          <w:szCs w:val="22"/>
          <w:vertAlign w:val="superscript"/>
        </w:rPr>
      </w:pPr>
      <w:r>
        <w:rPr>
          <w:rFonts w:ascii="Times New Roman" w:hAnsi="Times New Roman" w:cs="Times New Roman"/>
          <w:sz w:val="22"/>
          <w:szCs w:val="22"/>
        </w:rPr>
        <w:t xml:space="preserve">                            </w:t>
      </w:r>
      <w:r w:rsidRPr="00AF689A">
        <w:rPr>
          <w:rFonts w:ascii="Times New Roman" w:hAnsi="Times New Roman" w:cs="Times New Roman"/>
          <w:sz w:val="22"/>
          <w:szCs w:val="22"/>
        </w:rPr>
        <w:t>χ2</w:t>
      </w:r>
      <w:r>
        <w:rPr>
          <w:rFonts w:ascii="Times New Roman" w:hAnsi="Times New Roman" w:cs="Times New Roman"/>
          <w:sz w:val="22"/>
          <w:szCs w:val="22"/>
        </w:rPr>
        <w:t xml:space="preserve"> = </w:t>
      </w:r>
      <w:r w:rsidRPr="002F7430">
        <w:rPr>
          <w:rFonts w:ascii="Times New Roman" w:hAnsi="Times New Roman" w:cs="Times New Roman"/>
          <w:sz w:val="22"/>
          <w:szCs w:val="22"/>
        </w:rPr>
        <w:t>⅀</w:t>
      </w:r>
      <w:r>
        <w:rPr>
          <w:rFonts w:ascii="Times New Roman" w:hAnsi="Times New Roman" w:cs="Times New Roman"/>
          <w:sz w:val="22"/>
          <w:szCs w:val="22"/>
        </w:rPr>
        <w:t xml:space="preserve"> (</w:t>
      </w:r>
      <w:r w:rsidRPr="002F7430">
        <w:rPr>
          <w:rFonts w:ascii="Times New Roman" w:hAnsi="Times New Roman" w:cs="Times New Roman"/>
          <w:i/>
          <w:sz w:val="22"/>
          <w:szCs w:val="22"/>
          <w:u w:val="single"/>
        </w:rPr>
        <w:t>0 – E</w:t>
      </w:r>
      <w:r>
        <w:rPr>
          <w:rFonts w:ascii="Times New Roman" w:hAnsi="Times New Roman" w:cs="Times New Roman"/>
          <w:sz w:val="22"/>
          <w:szCs w:val="22"/>
        </w:rPr>
        <w:t>)</w:t>
      </w:r>
      <w:r>
        <w:rPr>
          <w:rFonts w:ascii="Times New Roman" w:hAnsi="Times New Roman" w:cs="Times New Roman"/>
          <w:sz w:val="22"/>
          <w:szCs w:val="22"/>
          <w:vertAlign w:val="superscript"/>
        </w:rPr>
        <w:t>2</w:t>
      </w:r>
    </w:p>
    <w:p w:rsidR="002F7430" w:rsidRPr="002F7430" w:rsidRDefault="002F7430" w:rsidP="007D06A8">
      <w:pPr>
        <w:rPr>
          <w:rFonts w:ascii="Times New Roman" w:hAnsi="Times New Roman" w:cs="Times New Roman"/>
          <w:i/>
          <w:sz w:val="22"/>
          <w:szCs w:val="22"/>
        </w:rPr>
      </w:pPr>
      <w:r>
        <w:rPr>
          <w:rFonts w:ascii="Times New Roman" w:hAnsi="Times New Roman" w:cs="Times New Roman"/>
          <w:sz w:val="22"/>
          <w:szCs w:val="22"/>
          <w:vertAlign w:val="superscript"/>
        </w:rPr>
        <w:t xml:space="preserve">                                                                     </w:t>
      </w:r>
      <w:r w:rsidRPr="002F7430">
        <w:rPr>
          <w:rFonts w:ascii="Times New Roman" w:hAnsi="Times New Roman" w:cs="Times New Roman"/>
          <w:i/>
          <w:sz w:val="22"/>
          <w:szCs w:val="22"/>
        </w:rPr>
        <w:t>E</w:t>
      </w:r>
    </w:p>
    <w:p w:rsidR="00E96CD3" w:rsidRPr="002F7430" w:rsidRDefault="002F7430" w:rsidP="002F7430">
      <w:pPr>
        <w:jc w:val="both"/>
        <w:rPr>
          <w:rFonts w:ascii="Times New Roman" w:eastAsia="Times New Roman" w:hAnsi="Times New Roman" w:cs="Times New Roman"/>
          <w:kern w:val="0"/>
          <w:lang w:val="en-US"/>
          <w14:ligatures w14:val="none"/>
        </w:rPr>
      </w:pPr>
      <w:r>
        <w:rPr>
          <w:rFonts w:ascii="Times New Roman" w:hAnsi="Times New Roman" w:cs="Times New Roman"/>
          <w:sz w:val="22"/>
          <w:szCs w:val="22"/>
        </w:rPr>
        <w:t>W</w:t>
      </w:r>
      <w:r w:rsidR="00E96CD3" w:rsidRPr="00E96CD3">
        <w:rPr>
          <w:rFonts w:ascii="Times New Roman" w:hAnsi="Times New Roman" w:cs="Times New Roman"/>
          <w:sz w:val="22"/>
          <w:szCs w:val="22"/>
        </w:rPr>
        <w:t xml:space="preserve">here </w:t>
      </w:r>
      <w:r w:rsidR="00E96CD3" w:rsidRPr="002F7430">
        <w:rPr>
          <w:rFonts w:ascii="Times New Roman" w:hAnsi="Times New Roman" w:cs="Times New Roman"/>
          <w:i/>
          <w:sz w:val="22"/>
          <w:szCs w:val="22"/>
        </w:rPr>
        <w:t>O</w:t>
      </w:r>
      <w:r w:rsidR="00E96CD3" w:rsidRPr="00E96CD3">
        <w:rPr>
          <w:rFonts w:ascii="Times New Roman" w:hAnsi="Times New Roman" w:cs="Times New Roman"/>
          <w:sz w:val="22"/>
          <w:szCs w:val="22"/>
        </w:rPr>
        <w:t xml:space="preserve"> is the observed genotype count and </w:t>
      </w:r>
      <w:r w:rsidR="00E96CD3" w:rsidRPr="002F7430">
        <w:rPr>
          <w:rFonts w:ascii="Times New Roman" w:hAnsi="Times New Roman" w:cs="Times New Roman"/>
          <w:i/>
          <w:sz w:val="22"/>
          <w:szCs w:val="22"/>
        </w:rPr>
        <w:t>E</w:t>
      </w:r>
      <w:r w:rsidR="00E96CD3" w:rsidRPr="00E96CD3">
        <w:rPr>
          <w:rFonts w:ascii="Times New Roman" w:hAnsi="Times New Roman" w:cs="Times New Roman"/>
          <w:sz w:val="22"/>
          <w:szCs w:val="22"/>
        </w:rPr>
        <w:t xml:space="preserve"> is the expected genotype count derived from calculated allele frequencies (</w:t>
      </w:r>
      <w:r w:rsidR="007D06A8" w:rsidRPr="002F7430">
        <w:rPr>
          <w:rFonts w:ascii="Times New Roman" w:eastAsia="Times New Roman" w:hAnsi="Times New Roman" w:cs="Times New Roman"/>
          <w:i/>
          <w:kern w:val="0"/>
          <w:lang w:val="en-US"/>
          <w14:ligatures w14:val="none"/>
        </w:rPr>
        <w:t>p</w:t>
      </w:r>
      <w:r>
        <w:rPr>
          <w:rFonts w:ascii="Times New Roman" w:eastAsia="Times New Roman" w:hAnsi="Times New Roman" w:cs="Times New Roman"/>
          <w:kern w:val="0"/>
          <w:vertAlign w:val="superscript"/>
          <w:lang w:val="en-US"/>
          <w14:ligatures w14:val="none"/>
        </w:rPr>
        <w:t>2</w:t>
      </w:r>
      <w:r w:rsidR="007D06A8" w:rsidRPr="007D06A8">
        <w:rPr>
          <w:rFonts w:ascii="Times New Roman" w:eastAsia="Times New Roman" w:hAnsi="Times New Roman" w:cs="Times New Roman"/>
          <w:kern w:val="0"/>
          <w:lang w:val="en-US"/>
          <w14:ligatures w14:val="none"/>
        </w:rPr>
        <w:t>,2</w:t>
      </w:r>
      <w:proofErr w:type="gramStart"/>
      <w:r w:rsidR="007D06A8" w:rsidRPr="002F7430">
        <w:rPr>
          <w:rFonts w:ascii="Times New Roman" w:eastAsia="Times New Roman" w:hAnsi="Times New Roman" w:cs="Times New Roman"/>
          <w:i/>
          <w:kern w:val="0"/>
          <w:lang w:val="en-US"/>
          <w14:ligatures w14:val="none"/>
        </w:rPr>
        <w:t>pq</w:t>
      </w:r>
      <w:r w:rsidR="007D06A8" w:rsidRPr="007D06A8">
        <w:rPr>
          <w:rFonts w:ascii="Times New Roman" w:eastAsia="Times New Roman" w:hAnsi="Times New Roman" w:cs="Times New Roman"/>
          <w:kern w:val="0"/>
          <w:lang w:val="en-US"/>
          <w14:ligatures w14:val="none"/>
        </w:rPr>
        <w:t>,</w:t>
      </w:r>
      <w:r w:rsidR="007D06A8" w:rsidRPr="002F7430">
        <w:rPr>
          <w:rFonts w:ascii="Times New Roman" w:eastAsia="Times New Roman" w:hAnsi="Times New Roman" w:cs="Times New Roman"/>
          <w:i/>
          <w:kern w:val="0"/>
          <w:lang w:val="en-US"/>
          <w14:ligatures w14:val="none"/>
        </w:rPr>
        <w:t>q</w:t>
      </w:r>
      <w:proofErr w:type="gramEnd"/>
      <w:r>
        <w:rPr>
          <w:rFonts w:ascii="Times New Roman" w:eastAsia="Times New Roman" w:hAnsi="Times New Roman" w:cs="Times New Roman"/>
          <w:kern w:val="0"/>
          <w:vertAlign w:val="superscript"/>
          <w:lang w:val="en-US"/>
          <w14:ligatures w14:val="none"/>
        </w:rPr>
        <w:t>2</w:t>
      </w:r>
      <w:r>
        <w:rPr>
          <w:rFonts w:ascii="Times New Roman" w:eastAsia="Times New Roman" w:hAnsi="Times New Roman" w:cs="Times New Roman"/>
          <w:kern w:val="0"/>
          <w:lang w:val="en-US"/>
          <w14:ligatures w14:val="none"/>
        </w:rPr>
        <w:t>)</w:t>
      </w:r>
      <w:r w:rsidR="00E96CD3" w:rsidRPr="00E96CD3">
        <w:rPr>
          <w:rFonts w:ascii="Times New Roman" w:hAnsi="Times New Roman" w:cs="Times New Roman"/>
          <w:sz w:val="22"/>
          <w:szCs w:val="22"/>
        </w:rPr>
        <w:t xml:space="preserve">. </w:t>
      </w:r>
      <w:r w:rsidR="005F6F8F">
        <w:rPr>
          <w:rFonts w:ascii="Times New Roman" w:hAnsi="Times New Roman" w:cs="Times New Roman"/>
          <w:sz w:val="22"/>
          <w:szCs w:val="22"/>
        </w:rPr>
        <w:t>C</w:t>
      </w:r>
      <w:r w:rsidR="00E96CD3" w:rsidRPr="00E96CD3">
        <w:rPr>
          <w:rFonts w:ascii="Times New Roman" w:hAnsi="Times New Roman" w:cs="Times New Roman"/>
          <w:sz w:val="22"/>
          <w:szCs w:val="22"/>
        </w:rPr>
        <w:t xml:space="preserve">ritical </w:t>
      </w:r>
      <w:r w:rsidR="005F6F8F">
        <w:rPr>
          <w:rFonts w:ascii="Times New Roman" w:hAnsi="Times New Roman" w:cs="Times New Roman"/>
          <w:sz w:val="22"/>
          <w:szCs w:val="22"/>
        </w:rPr>
        <w:t xml:space="preserve">and </w:t>
      </w:r>
      <w:r w:rsidR="00E96CD3" w:rsidRPr="00E96CD3">
        <w:rPr>
          <w:rFonts w:ascii="Times New Roman" w:hAnsi="Times New Roman" w:cs="Times New Roman"/>
          <w:sz w:val="22"/>
          <w:szCs w:val="22"/>
        </w:rPr>
        <w:t>p-values were computed to determine if the low-diversity variance statistically indicated a localized sub-population bottleneck or partial allelic fixation when cross-referenced against global and national database parameters.</w:t>
      </w:r>
    </w:p>
    <w:p w:rsidR="00E96CD3" w:rsidRDefault="00E96CD3" w:rsidP="00AF689A">
      <w:pPr>
        <w:rPr>
          <w:rFonts w:ascii="Times New Roman" w:hAnsi="Times New Roman" w:cs="Times New Roman"/>
          <w:sz w:val="22"/>
          <w:szCs w:val="22"/>
        </w:rPr>
      </w:pPr>
    </w:p>
    <w:p w:rsidR="008B4121" w:rsidRPr="008B4121" w:rsidRDefault="00327DD7" w:rsidP="008B4121">
      <w:pPr>
        <w:rPr>
          <w:rFonts w:ascii="Times New Roman" w:hAnsi="Times New Roman" w:cs="Times New Roman"/>
          <w:b/>
          <w:bCs/>
          <w:sz w:val="22"/>
          <w:szCs w:val="22"/>
        </w:rPr>
      </w:pPr>
      <w:r>
        <w:rPr>
          <w:rFonts w:ascii="Times New Roman" w:hAnsi="Times New Roman" w:cs="Times New Roman"/>
          <w:b/>
          <w:bCs/>
          <w:sz w:val="22"/>
          <w:szCs w:val="22"/>
        </w:rPr>
        <w:t xml:space="preserve">RESULTS AND </w:t>
      </w:r>
      <w:r w:rsidR="00406BE1" w:rsidRPr="008B4121">
        <w:rPr>
          <w:rFonts w:ascii="Times New Roman" w:hAnsi="Times New Roman" w:cs="Times New Roman"/>
          <w:b/>
          <w:bCs/>
          <w:sz w:val="22"/>
          <w:szCs w:val="22"/>
        </w:rPr>
        <w:t>DISCUSSION</w:t>
      </w:r>
    </w:p>
    <w:p w:rsidR="008B4121" w:rsidRDefault="002F7430" w:rsidP="00406BE1">
      <w:pPr>
        <w:jc w:val="both"/>
        <w:rPr>
          <w:rFonts w:ascii="Times New Roman" w:hAnsi="Times New Roman" w:cs="Times New Roman"/>
          <w:sz w:val="22"/>
          <w:szCs w:val="22"/>
        </w:rPr>
      </w:pPr>
      <w:r>
        <w:rPr>
          <w:rFonts w:ascii="Times New Roman" w:hAnsi="Times New Roman" w:cs="Times New Roman"/>
          <w:sz w:val="22"/>
          <w:szCs w:val="22"/>
        </w:rPr>
        <w:t xml:space="preserve">     </w:t>
      </w:r>
      <w:r w:rsidR="00307698" w:rsidRPr="00307698">
        <w:rPr>
          <w:rFonts w:ascii="Times New Roman" w:hAnsi="Times New Roman" w:cs="Times New Roman"/>
          <w:sz w:val="22"/>
          <w:szCs w:val="22"/>
        </w:rPr>
        <w:t>The results of this molecular survey reveal a distinct tri-phenotypic polymorphic distribution at the D1S80 locus within the 30-member Medical Laboratory Science (MLS) cohort</w:t>
      </w:r>
      <w:r w:rsidR="00FA086F">
        <w:rPr>
          <w:rFonts w:ascii="Times New Roman" w:hAnsi="Times New Roman" w:cs="Times New Roman"/>
          <w:sz w:val="22"/>
          <w:szCs w:val="22"/>
        </w:rPr>
        <w:t xml:space="preserve"> in Olongapo City, Philippines</w:t>
      </w:r>
      <w:r w:rsidR="00307698" w:rsidRPr="00307698">
        <w:rPr>
          <w:rFonts w:ascii="Times New Roman" w:hAnsi="Times New Roman" w:cs="Times New Roman"/>
          <w:sz w:val="22"/>
          <w:szCs w:val="22"/>
        </w:rPr>
        <w:t>. While global human populations typically display expansive multi-allelic diversity at this locus</w:t>
      </w:r>
      <w:r>
        <w:rPr>
          <w:rFonts w:ascii="Times New Roman" w:hAnsi="Times New Roman" w:cs="Times New Roman"/>
          <w:sz w:val="22"/>
          <w:szCs w:val="22"/>
        </w:rPr>
        <w:t xml:space="preserve"> </w:t>
      </w:r>
      <w:r w:rsidR="00307698" w:rsidRPr="00307698">
        <w:rPr>
          <w:rFonts w:ascii="Times New Roman" w:hAnsi="Times New Roman" w:cs="Times New Roman"/>
          <w:sz w:val="22"/>
          <w:szCs w:val="22"/>
        </w:rPr>
        <w:t>—</w:t>
      </w:r>
      <w:r>
        <w:rPr>
          <w:rFonts w:ascii="Times New Roman" w:hAnsi="Times New Roman" w:cs="Times New Roman"/>
          <w:sz w:val="22"/>
          <w:szCs w:val="22"/>
        </w:rPr>
        <w:t xml:space="preserve"> </w:t>
      </w:r>
      <w:r w:rsidR="00307698" w:rsidRPr="00307698">
        <w:rPr>
          <w:rFonts w:ascii="Times New Roman" w:hAnsi="Times New Roman" w:cs="Times New Roman"/>
          <w:sz w:val="22"/>
          <w:szCs w:val="22"/>
        </w:rPr>
        <w:t>often exceeding 27 distinct alleles</w:t>
      </w:r>
      <w:r>
        <w:rPr>
          <w:rFonts w:ascii="Times New Roman" w:hAnsi="Times New Roman" w:cs="Times New Roman"/>
          <w:sz w:val="22"/>
          <w:szCs w:val="22"/>
        </w:rPr>
        <w:t xml:space="preserve"> </w:t>
      </w:r>
      <w:r w:rsidR="00307698" w:rsidRPr="00307698">
        <w:rPr>
          <w:rFonts w:ascii="Times New Roman" w:hAnsi="Times New Roman" w:cs="Times New Roman"/>
          <w:sz w:val="22"/>
          <w:szCs w:val="22"/>
        </w:rPr>
        <w:t>—</w:t>
      </w:r>
      <w:r>
        <w:rPr>
          <w:rFonts w:ascii="Times New Roman" w:hAnsi="Times New Roman" w:cs="Times New Roman"/>
          <w:sz w:val="22"/>
          <w:szCs w:val="22"/>
        </w:rPr>
        <w:t xml:space="preserve"> </w:t>
      </w:r>
      <w:r w:rsidR="00307698" w:rsidRPr="00307698">
        <w:rPr>
          <w:rFonts w:ascii="Times New Roman" w:hAnsi="Times New Roman" w:cs="Times New Roman"/>
          <w:sz w:val="22"/>
          <w:szCs w:val="22"/>
        </w:rPr>
        <w:t xml:space="preserve">this specific cohort is characterized entirely by a dimorphic allelic system containing only a 400-bp fragment and a 500-bp fragment. Unlike common macro-population studies that frequently document widely dispersed, multi-modal allele distributions </w:t>
      </w:r>
      <w:r w:rsidR="00C47463">
        <w:rPr>
          <w:rFonts w:ascii="Times New Roman" w:hAnsi="Times New Roman" w:cs="Times New Roman"/>
          <w:sz w:val="22"/>
          <w:szCs w:val="22"/>
        </w:rPr>
        <w:t>[33]</w:t>
      </w:r>
      <w:r w:rsidR="00307698" w:rsidRPr="00307698">
        <w:rPr>
          <w:rFonts w:ascii="Times New Roman" w:hAnsi="Times New Roman" w:cs="Times New Roman"/>
          <w:sz w:val="22"/>
          <w:szCs w:val="22"/>
        </w:rPr>
        <w:t>, this 10:8:12 distribution represents a robust, highly balanced genetic structure that allows for precise, dynamic gene frequency calculations within this micro-population.</w:t>
      </w:r>
    </w:p>
    <w:p w:rsidR="00406BE1" w:rsidRDefault="00406BE1" w:rsidP="00406BE1">
      <w:pPr>
        <w:jc w:val="both"/>
        <w:rPr>
          <w:rFonts w:ascii="Times New Roman" w:hAnsi="Times New Roman" w:cs="Times New Roman"/>
          <w:sz w:val="22"/>
          <w:szCs w:val="22"/>
        </w:rPr>
      </w:pPr>
    </w:p>
    <w:p w:rsidR="00406BE1" w:rsidRDefault="00406BE1" w:rsidP="00406BE1">
      <w:pPr>
        <w:jc w:val="both"/>
        <w:rPr>
          <w:rFonts w:ascii="Times New Roman" w:hAnsi="Times New Roman" w:cs="Times New Roman"/>
          <w:sz w:val="22"/>
          <w:szCs w:val="22"/>
        </w:rPr>
      </w:pPr>
      <w:r>
        <w:rPr>
          <w:rFonts w:ascii="Times New Roman" w:hAnsi="Times New Roman" w:cs="Times New Roman"/>
          <w:noProof/>
          <w:sz w:val="22"/>
          <w:szCs w:val="22"/>
        </w:rPr>
        <w:drawing>
          <wp:inline distT="0" distB="0" distL="0" distR="0" wp14:anchorId="12143014">
            <wp:extent cx="5560060" cy="2725420"/>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560060" cy="2725420"/>
                    </a:xfrm>
                    <a:prstGeom prst="rect">
                      <a:avLst/>
                    </a:prstGeom>
                    <a:noFill/>
                  </pic:spPr>
                </pic:pic>
              </a:graphicData>
            </a:graphic>
          </wp:inline>
        </w:drawing>
      </w:r>
    </w:p>
    <w:p w:rsidR="002A1F01" w:rsidRPr="008B4121" w:rsidRDefault="002A1F01" w:rsidP="008B4121">
      <w:pPr>
        <w:rPr>
          <w:rFonts w:ascii="Times New Roman" w:hAnsi="Times New Roman" w:cs="Times New Roman"/>
          <w:sz w:val="22"/>
          <w:szCs w:val="22"/>
        </w:rPr>
      </w:pPr>
    </w:p>
    <w:p w:rsidR="008B4121" w:rsidRPr="00406BE1" w:rsidRDefault="008B4121" w:rsidP="008B4121">
      <w:pPr>
        <w:rPr>
          <w:rFonts w:ascii="Times New Roman" w:hAnsi="Times New Roman" w:cs="Times New Roman"/>
          <w:bCs/>
          <w:i/>
          <w:sz w:val="22"/>
          <w:szCs w:val="22"/>
        </w:rPr>
      </w:pPr>
      <w:r w:rsidRPr="00406BE1">
        <w:rPr>
          <w:rFonts w:ascii="Times New Roman" w:hAnsi="Times New Roman" w:cs="Times New Roman"/>
          <w:bCs/>
          <w:i/>
          <w:sz w:val="22"/>
          <w:szCs w:val="22"/>
        </w:rPr>
        <w:t>Precise Allele Distribution</w:t>
      </w:r>
    </w:p>
    <w:p w:rsidR="008B4121" w:rsidRPr="008B4121" w:rsidRDefault="002F7430" w:rsidP="00ED3656">
      <w:pPr>
        <w:jc w:val="both"/>
        <w:rPr>
          <w:rFonts w:ascii="Times New Roman" w:hAnsi="Times New Roman" w:cs="Times New Roman"/>
          <w:sz w:val="22"/>
          <w:szCs w:val="22"/>
        </w:rPr>
      </w:pPr>
      <w:r>
        <w:rPr>
          <w:rFonts w:ascii="Times New Roman" w:hAnsi="Times New Roman" w:cs="Times New Roman"/>
          <w:sz w:val="22"/>
          <w:szCs w:val="22"/>
        </w:rPr>
        <w:t xml:space="preserve">     </w:t>
      </w:r>
      <w:r w:rsidR="008B4121" w:rsidRPr="008B4121">
        <w:rPr>
          <w:rFonts w:ascii="Times New Roman" w:hAnsi="Times New Roman" w:cs="Times New Roman"/>
          <w:sz w:val="22"/>
          <w:szCs w:val="22"/>
        </w:rPr>
        <w:t>In population genetics, human individuals are diploid, meaning each of the 30 students carries two alleles for the D1S80 locus, yielding a total gene pool of 60 alleles (2N = 60). Based on the absolute gel electrophoresis distribution:</w:t>
      </w:r>
      <w:r w:rsidR="003D1A5A">
        <w:rPr>
          <w:rFonts w:ascii="Times New Roman" w:hAnsi="Times New Roman" w:cs="Times New Roman"/>
          <w:sz w:val="22"/>
          <w:szCs w:val="22"/>
        </w:rPr>
        <w:t xml:space="preserve"> </w:t>
      </w:r>
      <w:r w:rsidR="008B4121" w:rsidRPr="002F7430">
        <w:rPr>
          <w:rFonts w:ascii="Times New Roman" w:hAnsi="Times New Roman" w:cs="Times New Roman"/>
          <w:bCs/>
          <w:sz w:val="22"/>
          <w:szCs w:val="22"/>
        </w:rPr>
        <w:t>10 students</w:t>
      </w:r>
      <w:r w:rsidR="008B4121" w:rsidRPr="008B4121">
        <w:rPr>
          <w:rFonts w:ascii="Times New Roman" w:hAnsi="Times New Roman" w:cs="Times New Roman"/>
          <w:sz w:val="22"/>
          <w:szCs w:val="22"/>
        </w:rPr>
        <w:t xml:space="preserve"> are homozygous for the smaller fragment, showing </w:t>
      </w:r>
      <w:r w:rsidR="008B4121" w:rsidRPr="008B4121">
        <w:rPr>
          <w:rFonts w:ascii="Times New Roman" w:hAnsi="Times New Roman" w:cs="Times New Roman"/>
          <w:i/>
          <w:iCs/>
          <w:sz w:val="22"/>
          <w:szCs w:val="22"/>
        </w:rPr>
        <w:t>only</w:t>
      </w:r>
      <w:r w:rsidR="008B4121" w:rsidRPr="008B4121">
        <w:rPr>
          <w:rFonts w:ascii="Times New Roman" w:hAnsi="Times New Roman" w:cs="Times New Roman"/>
          <w:sz w:val="22"/>
          <w:szCs w:val="22"/>
        </w:rPr>
        <w:t xml:space="preserve"> the 400 </w:t>
      </w:r>
      <w:r w:rsidR="008B4121" w:rsidRPr="008B4121">
        <w:rPr>
          <w:rFonts w:ascii="Times New Roman" w:hAnsi="Times New Roman" w:cs="Times New Roman"/>
          <w:sz w:val="22"/>
          <w:szCs w:val="22"/>
        </w:rPr>
        <w:lastRenderedPageBreak/>
        <w:t>bp band</w:t>
      </w:r>
      <w:r w:rsidR="003D1A5A">
        <w:rPr>
          <w:rFonts w:ascii="Times New Roman" w:hAnsi="Times New Roman" w:cs="Times New Roman"/>
          <w:sz w:val="22"/>
          <w:szCs w:val="22"/>
        </w:rPr>
        <w:t xml:space="preserve">; </w:t>
      </w:r>
      <w:r w:rsidR="008B4121" w:rsidRPr="002F7430">
        <w:rPr>
          <w:rFonts w:ascii="Times New Roman" w:hAnsi="Times New Roman" w:cs="Times New Roman"/>
          <w:bCs/>
          <w:sz w:val="22"/>
          <w:szCs w:val="22"/>
        </w:rPr>
        <w:t>8 students</w:t>
      </w:r>
      <w:r w:rsidR="008B4121" w:rsidRPr="008B4121">
        <w:rPr>
          <w:rFonts w:ascii="Times New Roman" w:hAnsi="Times New Roman" w:cs="Times New Roman"/>
          <w:sz w:val="22"/>
          <w:szCs w:val="22"/>
        </w:rPr>
        <w:t xml:space="preserve"> are homozygous for the larger fragment, showing </w:t>
      </w:r>
      <w:r w:rsidR="008B4121" w:rsidRPr="008B4121">
        <w:rPr>
          <w:rFonts w:ascii="Times New Roman" w:hAnsi="Times New Roman" w:cs="Times New Roman"/>
          <w:i/>
          <w:iCs/>
          <w:sz w:val="22"/>
          <w:szCs w:val="22"/>
        </w:rPr>
        <w:t>only</w:t>
      </w:r>
      <w:r w:rsidR="008B4121" w:rsidRPr="008B4121">
        <w:rPr>
          <w:rFonts w:ascii="Times New Roman" w:hAnsi="Times New Roman" w:cs="Times New Roman"/>
          <w:sz w:val="22"/>
          <w:szCs w:val="22"/>
        </w:rPr>
        <w:t xml:space="preserve"> the 500 bp band</w:t>
      </w:r>
      <w:r w:rsidR="003D1A5A">
        <w:rPr>
          <w:rFonts w:ascii="Times New Roman" w:hAnsi="Times New Roman" w:cs="Times New Roman"/>
          <w:sz w:val="22"/>
          <w:szCs w:val="22"/>
        </w:rPr>
        <w:t xml:space="preserve">; and </w:t>
      </w:r>
      <w:r w:rsidR="008B4121" w:rsidRPr="002F7430">
        <w:rPr>
          <w:rFonts w:ascii="Times New Roman" w:hAnsi="Times New Roman" w:cs="Times New Roman"/>
          <w:bCs/>
          <w:sz w:val="22"/>
          <w:szCs w:val="22"/>
        </w:rPr>
        <w:t>12 students</w:t>
      </w:r>
      <w:r w:rsidR="008B4121" w:rsidRPr="008B4121">
        <w:rPr>
          <w:rFonts w:ascii="Times New Roman" w:hAnsi="Times New Roman" w:cs="Times New Roman"/>
          <w:sz w:val="22"/>
          <w:szCs w:val="22"/>
        </w:rPr>
        <w:t xml:space="preserve"> are heterozygous, showing </w:t>
      </w:r>
      <w:r w:rsidR="008B4121" w:rsidRPr="008B4121">
        <w:rPr>
          <w:rFonts w:ascii="Times New Roman" w:hAnsi="Times New Roman" w:cs="Times New Roman"/>
          <w:i/>
          <w:iCs/>
          <w:sz w:val="22"/>
          <w:szCs w:val="22"/>
        </w:rPr>
        <w:t>both</w:t>
      </w:r>
      <w:r w:rsidR="008B4121" w:rsidRPr="008B4121">
        <w:rPr>
          <w:rFonts w:ascii="Times New Roman" w:hAnsi="Times New Roman" w:cs="Times New Roman"/>
          <w:sz w:val="22"/>
          <w:szCs w:val="22"/>
        </w:rPr>
        <w:t xml:space="preserve"> the 400 bp and 500 bp bands.</w:t>
      </w:r>
      <w:r w:rsidR="00ED3656">
        <w:rPr>
          <w:rFonts w:ascii="Times New Roman" w:hAnsi="Times New Roman" w:cs="Times New Roman"/>
          <w:sz w:val="22"/>
          <w:szCs w:val="22"/>
        </w:rPr>
        <w:t xml:space="preserve"> </w:t>
      </w:r>
      <w:r w:rsidR="008B4121" w:rsidRPr="008B4121">
        <w:rPr>
          <w:rFonts w:ascii="Times New Roman" w:hAnsi="Times New Roman" w:cs="Times New Roman"/>
          <w:sz w:val="22"/>
          <w:szCs w:val="22"/>
        </w:rPr>
        <w:t xml:space="preserve">To calculate the precise allele frequencies, we apply the direct gene-counting method established by </w:t>
      </w:r>
      <w:proofErr w:type="spellStart"/>
      <w:r w:rsidR="008B4121" w:rsidRPr="008B4121">
        <w:rPr>
          <w:rFonts w:ascii="Times New Roman" w:hAnsi="Times New Roman" w:cs="Times New Roman"/>
          <w:sz w:val="22"/>
          <w:szCs w:val="22"/>
        </w:rPr>
        <w:t>Hartl</w:t>
      </w:r>
      <w:proofErr w:type="spellEnd"/>
      <w:r w:rsidR="008B4121" w:rsidRPr="008B4121">
        <w:rPr>
          <w:rFonts w:ascii="Times New Roman" w:hAnsi="Times New Roman" w:cs="Times New Roman"/>
          <w:sz w:val="22"/>
          <w:szCs w:val="22"/>
        </w:rPr>
        <w:t xml:space="preserve"> and Clark </w:t>
      </w:r>
      <w:r w:rsidR="00C47463">
        <w:rPr>
          <w:rFonts w:ascii="Times New Roman" w:hAnsi="Times New Roman" w:cs="Times New Roman"/>
          <w:sz w:val="22"/>
          <w:szCs w:val="22"/>
        </w:rPr>
        <w:t>[7]</w:t>
      </w:r>
      <w:r w:rsidR="008B4121" w:rsidRPr="008B4121">
        <w:rPr>
          <w:rFonts w:ascii="Times New Roman" w:hAnsi="Times New Roman" w:cs="Times New Roman"/>
          <w:sz w:val="22"/>
          <w:szCs w:val="22"/>
        </w:rPr>
        <w:t>:</w:t>
      </w:r>
    </w:p>
    <w:p w:rsidR="008B4121" w:rsidRPr="008B4121" w:rsidRDefault="008B4121" w:rsidP="008B4121">
      <w:pPr>
        <w:numPr>
          <w:ilvl w:val="0"/>
          <w:numId w:val="3"/>
        </w:numPr>
        <w:rPr>
          <w:rFonts w:ascii="Times New Roman" w:hAnsi="Times New Roman" w:cs="Times New Roman"/>
          <w:sz w:val="22"/>
          <w:szCs w:val="22"/>
        </w:rPr>
      </w:pPr>
      <w:r w:rsidRPr="002F7430">
        <w:rPr>
          <w:rFonts w:ascii="Times New Roman" w:hAnsi="Times New Roman" w:cs="Times New Roman"/>
          <w:bCs/>
          <w:sz w:val="22"/>
          <w:szCs w:val="22"/>
        </w:rPr>
        <w:t>The 400 bp Allele (</w:t>
      </w:r>
      <w:r w:rsidRPr="002F7430">
        <w:rPr>
          <w:rFonts w:ascii="Times New Roman" w:hAnsi="Times New Roman" w:cs="Times New Roman"/>
          <w:bCs/>
          <w:i/>
          <w:sz w:val="22"/>
          <w:szCs w:val="22"/>
        </w:rPr>
        <w:t>p</w:t>
      </w:r>
      <w:r w:rsidRPr="002F7430">
        <w:rPr>
          <w:rFonts w:ascii="Times New Roman" w:hAnsi="Times New Roman" w:cs="Times New Roman"/>
          <w:bCs/>
          <w:sz w:val="22"/>
          <w:szCs w:val="22"/>
        </w:rPr>
        <w:t>):</w:t>
      </w:r>
      <w:r w:rsidRPr="008B4121">
        <w:rPr>
          <w:rFonts w:ascii="Times New Roman" w:hAnsi="Times New Roman" w:cs="Times New Roman"/>
          <w:sz w:val="22"/>
          <w:szCs w:val="22"/>
        </w:rPr>
        <w:t xml:space="preserve"> This allele is carried twice by the 10 homozygotes and once by the 12 heterozygotes.</w:t>
      </w:r>
    </w:p>
    <w:p w:rsidR="008B4121" w:rsidRDefault="008B4121" w:rsidP="008B4121">
      <w:pPr>
        <w:rPr>
          <w:rFonts w:ascii="Times New Roman" w:hAnsi="Times New Roman" w:cs="Times New Roman"/>
          <w:sz w:val="22"/>
          <w:szCs w:val="22"/>
        </w:rPr>
      </w:pPr>
      <w:r>
        <w:rPr>
          <w:rFonts w:ascii="Times New Roman" w:hAnsi="Times New Roman" w:cs="Times New Roman"/>
          <w:sz w:val="22"/>
          <w:szCs w:val="22"/>
        </w:rPr>
        <w:t xml:space="preserve">                   </w:t>
      </w:r>
      <w:r w:rsidRPr="002F7430">
        <w:rPr>
          <w:rFonts w:ascii="Times New Roman" w:hAnsi="Times New Roman" w:cs="Times New Roman"/>
          <w:i/>
          <w:sz w:val="22"/>
          <w:szCs w:val="22"/>
        </w:rPr>
        <w:t xml:space="preserve">p </w:t>
      </w:r>
      <w:r w:rsidRPr="008B4121">
        <w:rPr>
          <w:rFonts w:ascii="Times New Roman" w:hAnsi="Times New Roman" w:cs="Times New Roman"/>
          <w:sz w:val="22"/>
          <w:szCs w:val="22"/>
        </w:rPr>
        <w:t xml:space="preserve">= </w:t>
      </w:r>
      <w:r w:rsidR="00627409" w:rsidRPr="00627409">
        <w:rPr>
          <w:rFonts w:ascii="Times New Roman" w:hAnsi="Times New Roman" w:cs="Times New Roman"/>
          <w:sz w:val="22"/>
          <w:szCs w:val="22"/>
          <w:u w:val="single"/>
        </w:rPr>
        <w:t>(</w:t>
      </w:r>
      <w:r w:rsidRPr="00627409">
        <w:rPr>
          <w:rFonts w:ascii="Times New Roman" w:hAnsi="Times New Roman" w:cs="Times New Roman"/>
          <w:sz w:val="22"/>
          <w:szCs w:val="22"/>
          <w:u w:val="single"/>
        </w:rPr>
        <w:t xml:space="preserve">2 </w:t>
      </w:r>
      <w:r w:rsidR="00627409" w:rsidRPr="00627409">
        <w:rPr>
          <w:rFonts w:ascii="Times New Roman" w:hAnsi="Times New Roman" w:cs="Times New Roman"/>
          <w:sz w:val="22"/>
          <w:szCs w:val="22"/>
          <w:u w:val="single"/>
        </w:rPr>
        <w:t>x</w:t>
      </w:r>
      <w:r w:rsidRPr="00627409">
        <w:rPr>
          <w:rFonts w:ascii="Times New Roman" w:hAnsi="Times New Roman" w:cs="Times New Roman"/>
          <w:sz w:val="22"/>
          <w:szCs w:val="22"/>
          <w:u w:val="single"/>
        </w:rPr>
        <w:t xml:space="preserve"> 10) + 12</w:t>
      </w:r>
      <w:r w:rsidR="00627409">
        <w:rPr>
          <w:rFonts w:ascii="Times New Roman" w:hAnsi="Times New Roman" w:cs="Times New Roman"/>
          <w:sz w:val="22"/>
          <w:szCs w:val="22"/>
        </w:rPr>
        <w:t xml:space="preserve">   </w:t>
      </w:r>
      <w:proofErr w:type="gramStart"/>
      <w:r w:rsidRPr="008B4121">
        <w:rPr>
          <w:rFonts w:ascii="Times New Roman" w:hAnsi="Times New Roman" w:cs="Times New Roman"/>
          <w:sz w:val="22"/>
          <w:szCs w:val="22"/>
        </w:rPr>
        <w:t xml:space="preserve">= </w:t>
      </w:r>
      <w:r w:rsidR="00627409">
        <w:rPr>
          <w:rFonts w:ascii="Times New Roman" w:hAnsi="Times New Roman" w:cs="Times New Roman"/>
          <w:sz w:val="22"/>
          <w:szCs w:val="22"/>
        </w:rPr>
        <w:t xml:space="preserve"> </w:t>
      </w:r>
      <w:r w:rsidRPr="00627409">
        <w:rPr>
          <w:rFonts w:ascii="Times New Roman" w:hAnsi="Times New Roman" w:cs="Times New Roman"/>
          <w:sz w:val="22"/>
          <w:szCs w:val="22"/>
          <w:u w:val="single"/>
        </w:rPr>
        <w:t>32</w:t>
      </w:r>
      <w:proofErr w:type="gramEnd"/>
      <w:r w:rsidR="00627409">
        <w:rPr>
          <w:rFonts w:ascii="Times New Roman" w:hAnsi="Times New Roman" w:cs="Times New Roman"/>
          <w:sz w:val="22"/>
          <w:szCs w:val="22"/>
        </w:rPr>
        <w:t xml:space="preserve">  </w:t>
      </w:r>
      <w:bookmarkStart w:id="1" w:name="_Hlk234091419"/>
      <w:r w:rsidR="00627409" w:rsidRPr="00627409">
        <w:rPr>
          <w:rFonts w:ascii="Helvetica" w:hAnsi="Helvetica" w:cs="Helvetica"/>
          <w:color w:val="404040"/>
          <w:shd w:val="clear" w:color="auto" w:fill="FFFFFF"/>
        </w:rPr>
        <w:t>≈</w:t>
      </w:r>
      <w:bookmarkEnd w:id="1"/>
      <w:r w:rsidR="00627409">
        <w:rPr>
          <w:rFonts w:ascii="Times New Roman" w:hAnsi="Times New Roman" w:cs="Times New Roman"/>
          <w:sz w:val="22"/>
          <w:szCs w:val="22"/>
        </w:rPr>
        <w:t xml:space="preserve"> </w:t>
      </w:r>
      <w:r w:rsidRPr="008B4121">
        <w:rPr>
          <w:rFonts w:ascii="Times New Roman" w:hAnsi="Times New Roman" w:cs="Times New Roman"/>
          <w:sz w:val="22"/>
          <w:szCs w:val="22"/>
        </w:rPr>
        <w:t>0.533 (53.3%)</w:t>
      </w:r>
    </w:p>
    <w:p w:rsidR="00627409" w:rsidRPr="008B4121" w:rsidRDefault="00627409" w:rsidP="008B4121">
      <w:pPr>
        <w:rPr>
          <w:rFonts w:ascii="Times New Roman" w:hAnsi="Times New Roman" w:cs="Times New Roman"/>
          <w:sz w:val="22"/>
          <w:szCs w:val="22"/>
        </w:rPr>
      </w:pPr>
      <w:r>
        <w:rPr>
          <w:rFonts w:ascii="Times New Roman" w:hAnsi="Times New Roman" w:cs="Times New Roman"/>
          <w:sz w:val="22"/>
          <w:szCs w:val="22"/>
        </w:rPr>
        <w:t xml:space="preserve">                         60 total alleles     60</w:t>
      </w:r>
    </w:p>
    <w:p w:rsidR="008B4121" w:rsidRPr="008B4121" w:rsidRDefault="008B4121" w:rsidP="008B4121">
      <w:pPr>
        <w:numPr>
          <w:ilvl w:val="0"/>
          <w:numId w:val="3"/>
        </w:numPr>
        <w:rPr>
          <w:rFonts w:ascii="Times New Roman" w:hAnsi="Times New Roman" w:cs="Times New Roman"/>
          <w:sz w:val="22"/>
          <w:szCs w:val="22"/>
        </w:rPr>
      </w:pPr>
      <w:r w:rsidRPr="00627409">
        <w:rPr>
          <w:rFonts w:ascii="Times New Roman" w:hAnsi="Times New Roman" w:cs="Times New Roman"/>
          <w:bCs/>
          <w:sz w:val="22"/>
          <w:szCs w:val="22"/>
        </w:rPr>
        <w:t>The 500 bp Allele (</w:t>
      </w:r>
      <w:r w:rsidRPr="00627409">
        <w:rPr>
          <w:rFonts w:ascii="Times New Roman" w:hAnsi="Times New Roman" w:cs="Times New Roman"/>
          <w:bCs/>
          <w:i/>
          <w:sz w:val="22"/>
          <w:szCs w:val="22"/>
        </w:rPr>
        <w:t>q</w:t>
      </w:r>
      <w:r w:rsidRPr="00627409">
        <w:rPr>
          <w:rFonts w:ascii="Times New Roman" w:hAnsi="Times New Roman" w:cs="Times New Roman"/>
          <w:bCs/>
          <w:sz w:val="22"/>
          <w:szCs w:val="22"/>
        </w:rPr>
        <w:t>):</w:t>
      </w:r>
      <w:r w:rsidRPr="008B4121">
        <w:rPr>
          <w:rFonts w:ascii="Times New Roman" w:hAnsi="Times New Roman" w:cs="Times New Roman"/>
          <w:sz w:val="22"/>
          <w:szCs w:val="22"/>
        </w:rPr>
        <w:t xml:space="preserve"> This allele is carried twice by the 8 homozygotes and once by the 12 heterozygotes.</w:t>
      </w:r>
    </w:p>
    <w:p w:rsidR="00307698" w:rsidRDefault="008B4121" w:rsidP="008B4121">
      <w:pPr>
        <w:rPr>
          <w:rFonts w:ascii="Times New Roman" w:hAnsi="Times New Roman" w:cs="Times New Roman"/>
          <w:sz w:val="22"/>
          <w:szCs w:val="22"/>
        </w:rPr>
      </w:pPr>
      <w:r>
        <w:rPr>
          <w:rFonts w:ascii="Times New Roman" w:hAnsi="Times New Roman" w:cs="Times New Roman"/>
          <w:sz w:val="22"/>
          <w:szCs w:val="22"/>
        </w:rPr>
        <w:t xml:space="preserve">                  </w:t>
      </w:r>
      <w:r w:rsidRPr="00627409">
        <w:rPr>
          <w:rFonts w:ascii="Times New Roman" w:hAnsi="Times New Roman" w:cs="Times New Roman"/>
          <w:i/>
          <w:sz w:val="22"/>
          <w:szCs w:val="22"/>
        </w:rPr>
        <w:t>q</w:t>
      </w:r>
      <w:r w:rsidRPr="008B4121">
        <w:rPr>
          <w:rFonts w:ascii="Times New Roman" w:hAnsi="Times New Roman" w:cs="Times New Roman"/>
          <w:sz w:val="22"/>
          <w:szCs w:val="22"/>
        </w:rPr>
        <w:t xml:space="preserve"> = </w:t>
      </w:r>
      <w:r w:rsidRPr="00627409">
        <w:rPr>
          <w:rFonts w:ascii="Times New Roman" w:hAnsi="Times New Roman" w:cs="Times New Roman"/>
          <w:sz w:val="22"/>
          <w:szCs w:val="22"/>
          <w:u w:val="single"/>
        </w:rPr>
        <w:t xml:space="preserve">(2 </w:t>
      </w:r>
      <w:r w:rsidR="00627409" w:rsidRPr="00627409">
        <w:rPr>
          <w:rFonts w:ascii="Times New Roman" w:hAnsi="Times New Roman" w:cs="Times New Roman"/>
          <w:sz w:val="22"/>
          <w:szCs w:val="22"/>
          <w:u w:val="single"/>
        </w:rPr>
        <w:t>x</w:t>
      </w:r>
      <w:r w:rsidRPr="00627409">
        <w:rPr>
          <w:rFonts w:ascii="Times New Roman" w:hAnsi="Times New Roman" w:cs="Times New Roman"/>
          <w:sz w:val="22"/>
          <w:szCs w:val="22"/>
          <w:u w:val="single"/>
        </w:rPr>
        <w:t xml:space="preserve"> 8) + 12</w:t>
      </w:r>
      <w:r w:rsidR="00627409">
        <w:rPr>
          <w:rFonts w:ascii="Times New Roman" w:hAnsi="Times New Roman" w:cs="Times New Roman"/>
          <w:sz w:val="22"/>
          <w:szCs w:val="22"/>
        </w:rPr>
        <w:t xml:space="preserve">     </w:t>
      </w:r>
      <w:r w:rsidRPr="008B4121">
        <w:rPr>
          <w:rFonts w:ascii="Times New Roman" w:hAnsi="Times New Roman" w:cs="Times New Roman"/>
          <w:sz w:val="22"/>
          <w:szCs w:val="22"/>
        </w:rPr>
        <w:t xml:space="preserve">= </w:t>
      </w:r>
      <w:r w:rsidR="00627409">
        <w:rPr>
          <w:rFonts w:ascii="Times New Roman" w:hAnsi="Times New Roman" w:cs="Times New Roman"/>
          <w:sz w:val="22"/>
          <w:szCs w:val="22"/>
        </w:rPr>
        <w:t xml:space="preserve">  </w:t>
      </w:r>
      <w:r w:rsidRPr="00627409">
        <w:rPr>
          <w:rFonts w:ascii="Times New Roman" w:hAnsi="Times New Roman" w:cs="Times New Roman"/>
          <w:sz w:val="22"/>
          <w:szCs w:val="22"/>
          <w:u w:val="single"/>
        </w:rPr>
        <w:t>28</w:t>
      </w:r>
      <w:r w:rsidR="00627409">
        <w:rPr>
          <w:rFonts w:ascii="Times New Roman" w:hAnsi="Times New Roman" w:cs="Times New Roman"/>
          <w:sz w:val="22"/>
          <w:szCs w:val="22"/>
        </w:rPr>
        <w:t xml:space="preserve">   </w:t>
      </w:r>
      <w:r w:rsidR="00627409" w:rsidRPr="00627409">
        <w:rPr>
          <w:rFonts w:ascii="Helvetica" w:hAnsi="Helvetica" w:cs="Helvetica"/>
          <w:color w:val="404040"/>
          <w:shd w:val="clear" w:color="auto" w:fill="FFFFFF"/>
        </w:rPr>
        <w:t>≈</w:t>
      </w:r>
      <w:r w:rsidR="00627409">
        <w:rPr>
          <w:rFonts w:ascii="Times New Roman" w:hAnsi="Times New Roman" w:cs="Times New Roman"/>
          <w:sz w:val="22"/>
          <w:szCs w:val="22"/>
        </w:rPr>
        <w:t xml:space="preserve">   </w:t>
      </w:r>
      <w:r w:rsidRPr="008B4121">
        <w:rPr>
          <w:rFonts w:ascii="Times New Roman" w:hAnsi="Times New Roman" w:cs="Times New Roman"/>
          <w:sz w:val="22"/>
          <w:szCs w:val="22"/>
        </w:rPr>
        <w:t>0.467 (46.7%)</w:t>
      </w:r>
    </w:p>
    <w:p w:rsidR="00307698" w:rsidRDefault="00627409" w:rsidP="008B4121">
      <w:pPr>
        <w:rPr>
          <w:rFonts w:ascii="Times New Roman" w:hAnsi="Times New Roman" w:cs="Times New Roman"/>
          <w:sz w:val="22"/>
          <w:szCs w:val="22"/>
        </w:rPr>
      </w:pPr>
      <w:r>
        <w:rPr>
          <w:rFonts w:ascii="Times New Roman" w:hAnsi="Times New Roman" w:cs="Times New Roman"/>
          <w:sz w:val="22"/>
          <w:szCs w:val="22"/>
        </w:rPr>
        <w:t xml:space="preserve">                        60 total alleles      60</w:t>
      </w:r>
    </w:p>
    <w:p w:rsidR="00037EC1" w:rsidRDefault="00406BE1" w:rsidP="003D1A5A">
      <w:pPr>
        <w:jc w:val="both"/>
        <w:rPr>
          <w:rFonts w:ascii="Times New Roman" w:hAnsi="Times New Roman" w:cs="Times New Roman"/>
          <w:sz w:val="22"/>
          <w:szCs w:val="22"/>
        </w:rPr>
      </w:pPr>
      <w:r>
        <w:rPr>
          <w:rFonts w:ascii="Times New Roman" w:hAnsi="Times New Roman" w:cs="Times New Roman"/>
          <w:sz w:val="22"/>
          <w:szCs w:val="22"/>
        </w:rPr>
        <w:t xml:space="preserve">     </w:t>
      </w:r>
      <w:r w:rsidR="00307698" w:rsidRPr="00307698">
        <w:rPr>
          <w:rFonts w:ascii="Times New Roman" w:hAnsi="Times New Roman" w:cs="Times New Roman"/>
          <w:sz w:val="22"/>
          <w:szCs w:val="22"/>
        </w:rPr>
        <w:t>This distribution demonstrates an exceptionally balanced allelic split within the cohort (</w:t>
      </w:r>
      <w:r w:rsidR="00307698" w:rsidRPr="00627409">
        <w:rPr>
          <w:rFonts w:ascii="Times New Roman" w:hAnsi="Times New Roman" w:cs="Times New Roman"/>
          <w:i/>
          <w:sz w:val="22"/>
          <w:szCs w:val="22"/>
        </w:rPr>
        <w:t>p</w:t>
      </w:r>
      <w:r w:rsidR="00307698" w:rsidRPr="00307698">
        <w:rPr>
          <w:rFonts w:ascii="Times New Roman" w:hAnsi="Times New Roman" w:cs="Times New Roman"/>
          <w:sz w:val="22"/>
          <w:szCs w:val="22"/>
        </w:rPr>
        <w:t xml:space="preserve"> = 0.533, </w:t>
      </w:r>
      <w:r w:rsidR="00307698" w:rsidRPr="00627409">
        <w:rPr>
          <w:rFonts w:ascii="Times New Roman" w:hAnsi="Times New Roman" w:cs="Times New Roman"/>
          <w:i/>
          <w:sz w:val="22"/>
          <w:szCs w:val="22"/>
        </w:rPr>
        <w:t>q</w:t>
      </w:r>
      <w:r w:rsidR="00307698" w:rsidRPr="00307698">
        <w:rPr>
          <w:rFonts w:ascii="Times New Roman" w:hAnsi="Times New Roman" w:cs="Times New Roman"/>
          <w:sz w:val="22"/>
          <w:szCs w:val="22"/>
        </w:rPr>
        <w:t xml:space="preserve"> = 0.467). When contextualized against the findings of </w:t>
      </w:r>
      <w:r w:rsidR="00A6323C">
        <w:rPr>
          <w:rFonts w:ascii="Times New Roman" w:hAnsi="Times New Roman" w:cs="Times New Roman"/>
          <w:sz w:val="22"/>
          <w:szCs w:val="22"/>
        </w:rPr>
        <w:t>a prominent study which</w:t>
      </w:r>
      <w:r w:rsidR="00307698" w:rsidRPr="00307698">
        <w:rPr>
          <w:rFonts w:ascii="Times New Roman" w:hAnsi="Times New Roman" w:cs="Times New Roman"/>
          <w:sz w:val="22"/>
          <w:szCs w:val="22"/>
        </w:rPr>
        <w:t xml:space="preserve"> noted that student-cohort genotyping frequently displays narrow, highly localized allele clustering due to institutional recruitment or regional sampling biases, this nearly 1:1 ratio indicates a highly preserved, codominant maintenance of these two specific markers within the localized population</w:t>
      </w:r>
      <w:r w:rsidR="00C47463">
        <w:rPr>
          <w:rFonts w:ascii="Times New Roman" w:hAnsi="Times New Roman" w:cs="Times New Roman"/>
          <w:sz w:val="22"/>
          <w:szCs w:val="22"/>
        </w:rPr>
        <w:t xml:space="preserve"> [3]</w:t>
      </w:r>
      <w:r w:rsidR="00307698" w:rsidRPr="00307698">
        <w:rPr>
          <w:rFonts w:ascii="Times New Roman" w:hAnsi="Times New Roman" w:cs="Times New Roman"/>
          <w:sz w:val="22"/>
          <w:szCs w:val="22"/>
        </w:rPr>
        <w:t xml:space="preserve">. Furthermore, human population maps compiled by regional researchers </w:t>
      </w:r>
      <w:r w:rsidR="00C47463">
        <w:rPr>
          <w:rFonts w:ascii="Times New Roman" w:hAnsi="Times New Roman" w:cs="Times New Roman"/>
          <w:sz w:val="22"/>
          <w:szCs w:val="22"/>
        </w:rPr>
        <w:t>[4]</w:t>
      </w:r>
      <w:r w:rsidR="00307698" w:rsidRPr="00307698">
        <w:rPr>
          <w:rFonts w:ascii="Times New Roman" w:hAnsi="Times New Roman" w:cs="Times New Roman"/>
          <w:sz w:val="22"/>
          <w:szCs w:val="22"/>
        </w:rPr>
        <w:t xml:space="preserve"> indicate that smaller alleles in the 400–500 bp region correspond to low repeat counts (typically 18 to 24 repeats), which are highly prevalent across specific Southeast Asian and regional ethnic pockets, contrasting sharply with the larger high-repeat alleles frequently observed in European populations </w:t>
      </w:r>
      <w:r w:rsidR="00C47463">
        <w:rPr>
          <w:rFonts w:ascii="Times New Roman" w:hAnsi="Times New Roman" w:cs="Times New Roman"/>
          <w:sz w:val="22"/>
          <w:szCs w:val="22"/>
        </w:rPr>
        <w:t>[34]</w:t>
      </w:r>
      <w:r w:rsidR="00307698" w:rsidRPr="00307698">
        <w:rPr>
          <w:rFonts w:ascii="Times New Roman" w:hAnsi="Times New Roman" w:cs="Times New Roman"/>
          <w:sz w:val="22"/>
          <w:szCs w:val="22"/>
        </w:rPr>
        <w:t>.</w:t>
      </w:r>
    </w:p>
    <w:p w:rsidR="00394A26" w:rsidRDefault="00406BE1" w:rsidP="00037EC1">
      <w:pPr>
        <w:jc w:val="both"/>
        <w:rPr>
          <w:rFonts w:ascii="Times New Roman" w:hAnsi="Times New Roman" w:cs="Times New Roman"/>
          <w:sz w:val="22"/>
          <w:szCs w:val="22"/>
        </w:rPr>
      </w:pPr>
      <w:r>
        <w:rPr>
          <w:rFonts w:ascii="Times New Roman" w:hAnsi="Times New Roman" w:cs="Times New Roman"/>
          <w:sz w:val="22"/>
          <w:szCs w:val="22"/>
        </w:rPr>
        <w:t xml:space="preserve">     </w:t>
      </w:r>
      <w:r w:rsidR="00037EC1" w:rsidRPr="00037EC1">
        <w:rPr>
          <w:rFonts w:ascii="Times New Roman" w:hAnsi="Times New Roman" w:cs="Times New Roman"/>
          <w:sz w:val="22"/>
          <w:szCs w:val="22"/>
        </w:rPr>
        <w:t>While global reference populations exhibit broad hypervariability, pioneering domestic research mapped the baseline frequency distribution of the D1S80 locus directly within a Filipino population sample from Metro Manila</w:t>
      </w:r>
      <w:r w:rsidR="00B6719B">
        <w:rPr>
          <w:rFonts w:ascii="Times New Roman" w:hAnsi="Times New Roman" w:cs="Times New Roman"/>
          <w:sz w:val="22"/>
          <w:szCs w:val="22"/>
        </w:rPr>
        <w:t xml:space="preserve"> [35]</w:t>
      </w:r>
      <w:r w:rsidR="00037EC1" w:rsidRPr="00037EC1">
        <w:rPr>
          <w:rFonts w:ascii="Times New Roman" w:hAnsi="Times New Roman" w:cs="Times New Roman"/>
          <w:sz w:val="22"/>
          <w:szCs w:val="22"/>
        </w:rPr>
        <w:t xml:space="preserve">. Their foundational work revealed that while the local Filipino population does express a wider multi-allelic spread than </w:t>
      </w:r>
      <w:r w:rsidR="00D23905">
        <w:rPr>
          <w:rFonts w:ascii="Times New Roman" w:hAnsi="Times New Roman" w:cs="Times New Roman"/>
          <w:sz w:val="22"/>
          <w:szCs w:val="22"/>
        </w:rPr>
        <w:t>this</w:t>
      </w:r>
      <w:r w:rsidR="00037EC1" w:rsidRPr="00037EC1">
        <w:rPr>
          <w:rFonts w:ascii="Times New Roman" w:hAnsi="Times New Roman" w:cs="Times New Roman"/>
          <w:sz w:val="22"/>
          <w:szCs w:val="22"/>
        </w:rPr>
        <w:t xml:space="preserve"> isolated class cohort, it exhibits distinct, highly localized clustering around shorter repeat units (under 25 repeats), which align physically with the 400-bp and 500-bp range.</w:t>
      </w:r>
      <w:r w:rsidR="00A6323C">
        <w:rPr>
          <w:rFonts w:ascii="Times New Roman" w:hAnsi="Times New Roman" w:cs="Times New Roman"/>
          <w:sz w:val="22"/>
          <w:szCs w:val="22"/>
        </w:rPr>
        <w:t xml:space="preserve"> </w:t>
      </w:r>
      <w:r w:rsidR="00037EC1" w:rsidRPr="00037EC1">
        <w:rPr>
          <w:rFonts w:ascii="Times New Roman" w:hAnsi="Times New Roman" w:cs="Times New Roman"/>
          <w:sz w:val="22"/>
          <w:szCs w:val="22"/>
        </w:rPr>
        <w:t xml:space="preserve">Furthermore, this regional clustering </w:t>
      </w:r>
      <w:r w:rsidR="00A6323C">
        <w:rPr>
          <w:rFonts w:ascii="Times New Roman" w:hAnsi="Times New Roman" w:cs="Times New Roman"/>
          <w:sz w:val="22"/>
          <w:szCs w:val="22"/>
        </w:rPr>
        <w:t>wa</w:t>
      </w:r>
      <w:r w:rsidR="00037EC1" w:rsidRPr="00037EC1">
        <w:rPr>
          <w:rFonts w:ascii="Times New Roman" w:hAnsi="Times New Roman" w:cs="Times New Roman"/>
          <w:sz w:val="22"/>
          <w:szCs w:val="22"/>
        </w:rPr>
        <w:t xml:space="preserve">s corroborated </w:t>
      </w:r>
      <w:r w:rsidR="00A6323C">
        <w:rPr>
          <w:rFonts w:ascii="Times New Roman" w:hAnsi="Times New Roman" w:cs="Times New Roman"/>
          <w:sz w:val="22"/>
          <w:szCs w:val="22"/>
        </w:rPr>
        <w:t>in a study which</w:t>
      </w:r>
      <w:r w:rsidR="00037EC1" w:rsidRPr="00037EC1">
        <w:rPr>
          <w:rFonts w:ascii="Times New Roman" w:hAnsi="Times New Roman" w:cs="Times New Roman"/>
          <w:sz w:val="22"/>
          <w:szCs w:val="22"/>
        </w:rPr>
        <w:t xml:space="preserve"> evaluated the D1S80 locus in migrant Filipino subpopulations in Guam</w:t>
      </w:r>
      <w:r w:rsidR="00B6719B">
        <w:rPr>
          <w:rFonts w:ascii="Times New Roman" w:hAnsi="Times New Roman" w:cs="Times New Roman"/>
          <w:sz w:val="22"/>
          <w:szCs w:val="22"/>
        </w:rPr>
        <w:t xml:space="preserve"> [36]</w:t>
      </w:r>
      <w:r w:rsidR="00037EC1" w:rsidRPr="00037EC1">
        <w:rPr>
          <w:rFonts w:ascii="Times New Roman" w:hAnsi="Times New Roman" w:cs="Times New Roman"/>
          <w:sz w:val="22"/>
          <w:szCs w:val="22"/>
        </w:rPr>
        <w:t xml:space="preserve">. They found that individuals of Philippine ancestry demonstrate a significantly lower average repeat size compared to Western populations, favoring smaller molecular weight fragments. The complete absence of higher-range base pair amplicons (600–1000 bp) in </w:t>
      </w:r>
      <w:r w:rsidR="00D23905">
        <w:rPr>
          <w:rFonts w:ascii="Times New Roman" w:hAnsi="Times New Roman" w:cs="Times New Roman"/>
          <w:sz w:val="22"/>
          <w:szCs w:val="22"/>
        </w:rPr>
        <w:t>this</w:t>
      </w:r>
      <w:r w:rsidR="00037EC1" w:rsidRPr="00037EC1">
        <w:rPr>
          <w:rFonts w:ascii="Times New Roman" w:hAnsi="Times New Roman" w:cs="Times New Roman"/>
          <w:sz w:val="22"/>
          <w:szCs w:val="22"/>
        </w:rPr>
        <w:t xml:space="preserve"> cohort directly reflects these recognized regional genetic baselines, meaning the dimorphism seen on</w:t>
      </w:r>
      <w:r w:rsidR="00D23905">
        <w:rPr>
          <w:rFonts w:ascii="Times New Roman" w:hAnsi="Times New Roman" w:cs="Times New Roman"/>
          <w:sz w:val="22"/>
          <w:szCs w:val="22"/>
        </w:rPr>
        <w:t xml:space="preserve"> </w:t>
      </w:r>
      <w:r w:rsidR="00037EC1" w:rsidRPr="00037EC1">
        <w:rPr>
          <w:rFonts w:ascii="Times New Roman" w:hAnsi="Times New Roman" w:cs="Times New Roman"/>
          <w:sz w:val="22"/>
          <w:szCs w:val="22"/>
        </w:rPr>
        <w:t>gel is a localized, concentrated micro-snapshot of broader ethnic allele tendencies across the archipelago.</w:t>
      </w:r>
    </w:p>
    <w:p w:rsidR="00307698" w:rsidRPr="008B4121" w:rsidRDefault="00394A26" w:rsidP="00882804">
      <w:pPr>
        <w:jc w:val="both"/>
        <w:rPr>
          <w:rFonts w:ascii="Times New Roman" w:hAnsi="Times New Roman" w:cs="Times New Roman"/>
          <w:sz w:val="22"/>
          <w:szCs w:val="22"/>
        </w:rPr>
      </w:pPr>
      <w:r>
        <w:rPr>
          <w:rFonts w:ascii="Times New Roman" w:hAnsi="Times New Roman" w:cs="Times New Roman"/>
          <w:sz w:val="22"/>
          <w:szCs w:val="22"/>
        </w:rPr>
        <w:t xml:space="preserve">  </w:t>
      </w:r>
    </w:p>
    <w:p w:rsidR="008B4121" w:rsidRPr="00406BE1" w:rsidRDefault="008B4121" w:rsidP="008B4121">
      <w:pPr>
        <w:rPr>
          <w:rFonts w:ascii="Times New Roman" w:hAnsi="Times New Roman" w:cs="Times New Roman"/>
          <w:bCs/>
          <w:i/>
          <w:sz w:val="22"/>
          <w:szCs w:val="22"/>
        </w:rPr>
      </w:pPr>
      <w:r w:rsidRPr="00406BE1">
        <w:rPr>
          <w:rFonts w:ascii="Times New Roman" w:hAnsi="Times New Roman" w:cs="Times New Roman"/>
          <w:bCs/>
          <w:i/>
          <w:sz w:val="22"/>
          <w:szCs w:val="22"/>
        </w:rPr>
        <w:t>Genotype Distribution and Hardy-Weinberg Equilibrium</w:t>
      </w:r>
    </w:p>
    <w:p w:rsidR="008B4121" w:rsidRDefault="00717F5E" w:rsidP="00717F5E">
      <w:pPr>
        <w:jc w:val="both"/>
        <w:rPr>
          <w:rFonts w:ascii="Times New Roman" w:hAnsi="Times New Roman" w:cs="Times New Roman"/>
          <w:sz w:val="22"/>
          <w:szCs w:val="22"/>
        </w:rPr>
      </w:pPr>
      <w:r>
        <w:rPr>
          <w:rFonts w:ascii="Times New Roman" w:hAnsi="Times New Roman" w:cs="Times New Roman"/>
          <w:sz w:val="22"/>
          <w:szCs w:val="22"/>
        </w:rPr>
        <w:t xml:space="preserve">     </w:t>
      </w:r>
      <w:r w:rsidR="008B4121" w:rsidRPr="008B4121">
        <w:rPr>
          <w:rFonts w:ascii="Times New Roman" w:hAnsi="Times New Roman" w:cs="Times New Roman"/>
          <w:sz w:val="22"/>
          <w:szCs w:val="22"/>
        </w:rPr>
        <w:t xml:space="preserve">The observed genotype distribution among the 30 </w:t>
      </w:r>
      <w:r>
        <w:rPr>
          <w:rFonts w:ascii="Times New Roman" w:hAnsi="Times New Roman" w:cs="Times New Roman"/>
          <w:sz w:val="22"/>
          <w:szCs w:val="22"/>
        </w:rPr>
        <w:t xml:space="preserve">MLS </w:t>
      </w:r>
      <w:r w:rsidR="008B4121" w:rsidRPr="008B4121">
        <w:rPr>
          <w:rFonts w:ascii="Times New Roman" w:hAnsi="Times New Roman" w:cs="Times New Roman"/>
          <w:sz w:val="22"/>
          <w:szCs w:val="22"/>
        </w:rPr>
        <w:t>students stands at 10 homozygous individuals for the 400 bp allele, 12 heterozygous individuals, and 8 homozygous individuals for the 500 bp allele.</w:t>
      </w:r>
      <w:r>
        <w:rPr>
          <w:rFonts w:ascii="Times New Roman" w:hAnsi="Times New Roman" w:cs="Times New Roman"/>
          <w:sz w:val="22"/>
          <w:szCs w:val="22"/>
        </w:rPr>
        <w:t xml:space="preserve"> </w:t>
      </w:r>
      <w:r w:rsidR="008B4121" w:rsidRPr="008B4121">
        <w:rPr>
          <w:rFonts w:ascii="Times New Roman" w:hAnsi="Times New Roman" w:cs="Times New Roman"/>
          <w:sz w:val="22"/>
          <w:szCs w:val="22"/>
        </w:rPr>
        <w:t xml:space="preserve">According to the classical Hardy-Weinberg principle, a population in genetic equilibrium with allele frequencies of </w:t>
      </w:r>
      <w:r w:rsidR="008B4121" w:rsidRPr="00717F5E">
        <w:rPr>
          <w:rFonts w:ascii="Times New Roman" w:hAnsi="Times New Roman" w:cs="Times New Roman"/>
          <w:i/>
          <w:sz w:val="22"/>
          <w:szCs w:val="22"/>
        </w:rPr>
        <w:t>p</w:t>
      </w:r>
      <w:r w:rsidR="008B4121" w:rsidRPr="008B4121">
        <w:rPr>
          <w:rFonts w:ascii="Times New Roman" w:hAnsi="Times New Roman" w:cs="Times New Roman"/>
          <w:sz w:val="22"/>
          <w:szCs w:val="22"/>
        </w:rPr>
        <w:t xml:space="preserve"> = 0.533 and </w:t>
      </w:r>
      <w:r w:rsidR="008B4121" w:rsidRPr="00717F5E">
        <w:rPr>
          <w:rFonts w:ascii="Times New Roman" w:hAnsi="Times New Roman" w:cs="Times New Roman"/>
          <w:i/>
          <w:sz w:val="22"/>
          <w:szCs w:val="22"/>
        </w:rPr>
        <w:t>q</w:t>
      </w:r>
      <w:r w:rsidR="008B4121" w:rsidRPr="008B4121">
        <w:rPr>
          <w:rFonts w:ascii="Times New Roman" w:hAnsi="Times New Roman" w:cs="Times New Roman"/>
          <w:sz w:val="22"/>
          <w:szCs w:val="22"/>
        </w:rPr>
        <w:t xml:space="preserve"> = 0.467</w:t>
      </w:r>
      <w:r w:rsidR="008B4121">
        <w:rPr>
          <w:rFonts w:ascii="Times New Roman" w:hAnsi="Times New Roman" w:cs="Times New Roman"/>
          <w:sz w:val="22"/>
          <w:szCs w:val="22"/>
        </w:rPr>
        <w:t xml:space="preserve"> </w:t>
      </w:r>
      <w:r w:rsidR="008B4121" w:rsidRPr="008B4121">
        <w:rPr>
          <w:rFonts w:ascii="Times New Roman" w:hAnsi="Times New Roman" w:cs="Times New Roman"/>
          <w:sz w:val="22"/>
          <w:szCs w:val="22"/>
        </w:rPr>
        <w:t>should yield a predictable proportion of genotypes calculated via the expansion p</w:t>
      </w:r>
      <w:r>
        <w:rPr>
          <w:rFonts w:ascii="Times New Roman" w:hAnsi="Times New Roman" w:cs="Times New Roman"/>
          <w:sz w:val="22"/>
          <w:szCs w:val="22"/>
          <w:vertAlign w:val="superscript"/>
        </w:rPr>
        <w:t>2</w:t>
      </w:r>
      <w:r w:rsidR="008B4121" w:rsidRPr="008B4121">
        <w:rPr>
          <w:rFonts w:ascii="Times New Roman" w:hAnsi="Times New Roman" w:cs="Times New Roman"/>
          <w:sz w:val="22"/>
          <w:szCs w:val="22"/>
        </w:rPr>
        <w:t xml:space="preserve"> + 2pq + q</w:t>
      </w:r>
      <w:r>
        <w:rPr>
          <w:rFonts w:ascii="Times New Roman" w:hAnsi="Times New Roman" w:cs="Times New Roman"/>
          <w:sz w:val="22"/>
          <w:szCs w:val="22"/>
          <w:vertAlign w:val="superscript"/>
        </w:rPr>
        <w:t>2</w:t>
      </w:r>
      <w:r w:rsidR="008B4121" w:rsidRPr="008B4121">
        <w:rPr>
          <w:rFonts w:ascii="Times New Roman" w:hAnsi="Times New Roman" w:cs="Times New Roman"/>
          <w:sz w:val="22"/>
          <w:szCs w:val="22"/>
        </w:rPr>
        <w:t xml:space="preserve"> = 1</w:t>
      </w:r>
      <w:r w:rsidR="00B6719B">
        <w:rPr>
          <w:rFonts w:ascii="Times New Roman" w:hAnsi="Times New Roman" w:cs="Times New Roman"/>
          <w:sz w:val="22"/>
          <w:szCs w:val="22"/>
        </w:rPr>
        <w:t xml:space="preserve"> [7]</w:t>
      </w:r>
      <w:r w:rsidR="008B4121" w:rsidRPr="008B4121">
        <w:rPr>
          <w:rFonts w:ascii="Times New Roman" w:hAnsi="Times New Roman" w:cs="Times New Roman"/>
          <w:sz w:val="22"/>
          <w:szCs w:val="22"/>
        </w:rPr>
        <w:t>. The table below contrasts the expected genotype distribution against the actual observed laboratory values:</w:t>
      </w:r>
    </w:p>
    <w:p w:rsidR="001A7FBC" w:rsidRDefault="001A7FBC" w:rsidP="00717F5E">
      <w:pPr>
        <w:jc w:val="both"/>
        <w:rPr>
          <w:rFonts w:ascii="Times New Roman" w:hAnsi="Times New Roman" w:cs="Times New Roman"/>
          <w:sz w:val="22"/>
          <w:szCs w:val="22"/>
        </w:rPr>
      </w:pPr>
    </w:p>
    <w:p w:rsidR="001A7FBC" w:rsidRPr="008B4121" w:rsidRDefault="001A7FBC" w:rsidP="00717F5E">
      <w:pPr>
        <w:jc w:val="both"/>
        <w:rPr>
          <w:rFonts w:ascii="Times New Roman" w:hAnsi="Times New Roman" w:cs="Times New Roman"/>
          <w:sz w:val="22"/>
          <w:szCs w:val="22"/>
        </w:rPr>
      </w:pPr>
      <w:r w:rsidRPr="001A7FBC">
        <w:rPr>
          <w:rFonts w:ascii="Times New Roman" w:hAnsi="Times New Roman" w:cs="Times New Roman"/>
          <w:sz w:val="22"/>
          <w:szCs w:val="22"/>
        </w:rPr>
        <w:t>Chi-Square Goodness-of-Fit Test for the D1S80 Locus (N=30)</w:t>
      </w:r>
    </w:p>
    <w:p w:rsidR="00E96CD3" w:rsidRDefault="00E96CD3" w:rsidP="00AF689A">
      <w:pPr>
        <w:rPr>
          <w:rFonts w:ascii="Times New Roman" w:hAnsi="Times New Roman" w:cs="Times New Roman"/>
          <w:sz w:val="22"/>
          <w:szCs w:val="22"/>
        </w:rPr>
      </w:pPr>
    </w:p>
    <w:tbl>
      <w:tblPr>
        <w:tblStyle w:val="TableGrid"/>
        <w:tblW w:w="0" w:type="auto"/>
        <w:tblLayout w:type="fixed"/>
        <w:tblLook w:val="04A0" w:firstRow="1" w:lastRow="0" w:firstColumn="1" w:lastColumn="0" w:noHBand="0" w:noVBand="1"/>
      </w:tblPr>
      <w:tblGrid>
        <w:gridCol w:w="2875"/>
        <w:gridCol w:w="990"/>
        <w:gridCol w:w="2520"/>
        <w:gridCol w:w="1530"/>
        <w:gridCol w:w="1435"/>
      </w:tblGrid>
      <w:tr w:rsidR="001A7FBC" w:rsidTr="00ED3656">
        <w:tc>
          <w:tcPr>
            <w:tcW w:w="2875" w:type="dxa"/>
            <w:shd w:val="clear" w:color="auto" w:fill="BDD6EE" w:themeFill="accent5" w:themeFillTint="66"/>
          </w:tcPr>
          <w:p w:rsidR="008B4121" w:rsidRDefault="00717F5E" w:rsidP="00AF689A">
            <w:pPr>
              <w:rPr>
                <w:rFonts w:ascii="Times New Roman" w:hAnsi="Times New Roman" w:cs="Times New Roman"/>
                <w:sz w:val="22"/>
                <w:szCs w:val="22"/>
              </w:rPr>
            </w:pPr>
            <w:r>
              <w:rPr>
                <w:rFonts w:ascii="Times New Roman" w:hAnsi="Times New Roman" w:cs="Times New Roman"/>
                <w:sz w:val="22"/>
                <w:szCs w:val="22"/>
              </w:rPr>
              <w:t>Genotype</w:t>
            </w:r>
          </w:p>
        </w:tc>
        <w:tc>
          <w:tcPr>
            <w:tcW w:w="990" w:type="dxa"/>
            <w:shd w:val="clear" w:color="auto" w:fill="BDD6EE" w:themeFill="accent5" w:themeFillTint="66"/>
          </w:tcPr>
          <w:p w:rsidR="008B4121" w:rsidRDefault="00717F5E" w:rsidP="00AF689A">
            <w:pPr>
              <w:rPr>
                <w:rFonts w:ascii="Times New Roman" w:hAnsi="Times New Roman" w:cs="Times New Roman"/>
                <w:sz w:val="22"/>
                <w:szCs w:val="22"/>
              </w:rPr>
            </w:pPr>
            <w:r>
              <w:rPr>
                <w:rFonts w:ascii="Times New Roman" w:hAnsi="Times New Roman" w:cs="Times New Roman"/>
                <w:sz w:val="22"/>
                <w:szCs w:val="22"/>
              </w:rPr>
              <w:t>Formula</w:t>
            </w:r>
          </w:p>
        </w:tc>
        <w:tc>
          <w:tcPr>
            <w:tcW w:w="2520" w:type="dxa"/>
            <w:shd w:val="clear" w:color="auto" w:fill="BDD6EE" w:themeFill="accent5" w:themeFillTint="66"/>
          </w:tcPr>
          <w:p w:rsidR="008B4121" w:rsidRDefault="00717F5E" w:rsidP="00AF689A">
            <w:pPr>
              <w:rPr>
                <w:rFonts w:ascii="Times New Roman" w:hAnsi="Times New Roman" w:cs="Times New Roman"/>
                <w:sz w:val="22"/>
                <w:szCs w:val="22"/>
              </w:rPr>
            </w:pPr>
            <w:r>
              <w:rPr>
                <w:rFonts w:ascii="Times New Roman" w:hAnsi="Times New Roman" w:cs="Times New Roman"/>
                <w:sz w:val="22"/>
                <w:szCs w:val="22"/>
              </w:rPr>
              <w:t>Expected proportion</w:t>
            </w:r>
          </w:p>
        </w:tc>
        <w:tc>
          <w:tcPr>
            <w:tcW w:w="1530" w:type="dxa"/>
            <w:shd w:val="clear" w:color="auto" w:fill="BDD6EE" w:themeFill="accent5" w:themeFillTint="66"/>
          </w:tcPr>
          <w:p w:rsidR="008B4121" w:rsidRDefault="00717F5E" w:rsidP="00AF689A">
            <w:pPr>
              <w:rPr>
                <w:rFonts w:ascii="Times New Roman" w:hAnsi="Times New Roman" w:cs="Times New Roman"/>
                <w:sz w:val="22"/>
                <w:szCs w:val="22"/>
              </w:rPr>
            </w:pPr>
            <w:r>
              <w:rPr>
                <w:rFonts w:ascii="Times New Roman" w:hAnsi="Times New Roman" w:cs="Times New Roman"/>
                <w:sz w:val="22"/>
                <w:szCs w:val="22"/>
              </w:rPr>
              <w:t>Expected Count (in 30)</w:t>
            </w:r>
          </w:p>
        </w:tc>
        <w:tc>
          <w:tcPr>
            <w:tcW w:w="1435" w:type="dxa"/>
            <w:shd w:val="clear" w:color="auto" w:fill="BDD6EE" w:themeFill="accent5" w:themeFillTint="66"/>
          </w:tcPr>
          <w:p w:rsidR="008B4121" w:rsidRDefault="00717F5E" w:rsidP="00AF689A">
            <w:pPr>
              <w:rPr>
                <w:rFonts w:ascii="Times New Roman" w:hAnsi="Times New Roman" w:cs="Times New Roman"/>
                <w:sz w:val="22"/>
                <w:szCs w:val="22"/>
              </w:rPr>
            </w:pPr>
            <w:r>
              <w:rPr>
                <w:rFonts w:ascii="Times New Roman" w:hAnsi="Times New Roman" w:cs="Times New Roman"/>
                <w:sz w:val="22"/>
                <w:szCs w:val="22"/>
              </w:rPr>
              <w:t>Observed Count (in 30)</w:t>
            </w:r>
          </w:p>
        </w:tc>
      </w:tr>
      <w:tr w:rsidR="001A7FBC" w:rsidTr="001A7FBC">
        <w:trPr>
          <w:trHeight w:val="269"/>
        </w:trPr>
        <w:tc>
          <w:tcPr>
            <w:tcW w:w="2875" w:type="dxa"/>
          </w:tcPr>
          <w:p w:rsidR="008B4121" w:rsidRDefault="00717F5E" w:rsidP="00717F5E">
            <w:pPr>
              <w:rPr>
                <w:rFonts w:ascii="Times New Roman" w:hAnsi="Times New Roman" w:cs="Times New Roman"/>
                <w:sz w:val="22"/>
                <w:szCs w:val="22"/>
              </w:rPr>
            </w:pPr>
            <w:r w:rsidRPr="00717F5E">
              <w:rPr>
                <w:rFonts w:ascii="Times New Roman" w:hAnsi="Times New Roman" w:cs="Times New Roman"/>
                <w:sz w:val="22"/>
                <w:szCs w:val="22"/>
              </w:rPr>
              <w:t xml:space="preserve">400 bp/400 bp </w:t>
            </w:r>
            <w:r>
              <w:rPr>
                <w:rFonts w:ascii="Times New Roman" w:hAnsi="Times New Roman" w:cs="Times New Roman"/>
                <w:sz w:val="22"/>
                <w:szCs w:val="22"/>
              </w:rPr>
              <w:t>(</w:t>
            </w:r>
            <w:r w:rsidRPr="00717F5E">
              <w:rPr>
                <w:rFonts w:ascii="Times New Roman" w:hAnsi="Times New Roman" w:cs="Times New Roman"/>
                <w:sz w:val="22"/>
                <w:szCs w:val="22"/>
              </w:rPr>
              <w:t>A</w:t>
            </w:r>
            <w:r w:rsidRPr="00717F5E">
              <w:rPr>
                <w:rFonts w:ascii="Times New Roman" w:hAnsi="Times New Roman" w:cs="Times New Roman"/>
                <w:sz w:val="22"/>
                <w:szCs w:val="22"/>
                <w:vertAlign w:val="subscript"/>
              </w:rPr>
              <w:t>1</w:t>
            </w:r>
            <w:r w:rsidRPr="00717F5E">
              <w:rPr>
                <w:rFonts w:ascii="Times New Roman" w:hAnsi="Times New Roman" w:cs="Times New Roman"/>
                <w:sz w:val="22"/>
                <w:szCs w:val="22"/>
              </w:rPr>
              <w:t>A</w:t>
            </w:r>
            <w:r w:rsidRPr="00717F5E">
              <w:rPr>
                <w:rFonts w:ascii="Times New Roman" w:hAnsi="Times New Roman" w:cs="Times New Roman"/>
                <w:sz w:val="22"/>
                <w:szCs w:val="22"/>
                <w:vertAlign w:val="subscript"/>
              </w:rPr>
              <w:t>1</w:t>
            </w:r>
            <w:r w:rsidRPr="00717F5E">
              <w:rPr>
                <w:rFonts w:ascii="Times New Roman" w:hAnsi="Times New Roman" w:cs="Times New Roman"/>
                <w:sz w:val="22"/>
                <w:szCs w:val="22"/>
              </w:rPr>
              <w:t>)</w:t>
            </w:r>
          </w:p>
        </w:tc>
        <w:tc>
          <w:tcPr>
            <w:tcW w:w="990" w:type="dxa"/>
          </w:tcPr>
          <w:p w:rsidR="008B4121" w:rsidRPr="00860401" w:rsidRDefault="00860401" w:rsidP="00AF689A">
            <w:pPr>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p</w:t>
            </w:r>
            <w:r w:rsidRPr="00860401">
              <w:rPr>
                <w:rFonts w:ascii="Times New Roman" w:eastAsia="Times New Roman" w:hAnsi="Times New Roman" w:cs="Times New Roman"/>
                <w:kern w:val="0"/>
                <w:vertAlign w:val="superscript"/>
                <w:lang w:val="en-US"/>
                <w14:ligatures w14:val="none"/>
              </w:rPr>
              <w:t>2</w:t>
            </w:r>
          </w:p>
        </w:tc>
        <w:tc>
          <w:tcPr>
            <w:tcW w:w="2520" w:type="dxa"/>
          </w:tcPr>
          <w:p w:rsidR="008B4121" w:rsidRDefault="00860401" w:rsidP="00AF689A">
            <w:pPr>
              <w:rPr>
                <w:rFonts w:ascii="Times New Roman" w:hAnsi="Times New Roman" w:cs="Times New Roman"/>
                <w:sz w:val="22"/>
                <w:szCs w:val="22"/>
              </w:rPr>
            </w:pPr>
            <w:r w:rsidRPr="00860401">
              <w:rPr>
                <w:rFonts w:ascii="Times New Roman" w:hAnsi="Times New Roman" w:cs="Times New Roman"/>
                <w:sz w:val="22"/>
                <w:szCs w:val="22"/>
              </w:rPr>
              <w:t>(0.533)</w:t>
            </w:r>
            <w:r w:rsidRPr="00860401">
              <w:rPr>
                <w:rFonts w:ascii="Times New Roman" w:hAnsi="Times New Roman" w:cs="Times New Roman"/>
                <w:sz w:val="22"/>
                <w:szCs w:val="22"/>
                <w:vertAlign w:val="superscript"/>
              </w:rPr>
              <w:t>2</w:t>
            </w:r>
            <w:r w:rsidRPr="00860401">
              <w:rPr>
                <w:rFonts w:ascii="Times New Roman" w:hAnsi="Times New Roman" w:cs="Times New Roman"/>
                <w:sz w:val="22"/>
                <w:szCs w:val="22"/>
              </w:rPr>
              <w:t xml:space="preserve"> = 0.284</w:t>
            </w:r>
          </w:p>
        </w:tc>
        <w:tc>
          <w:tcPr>
            <w:tcW w:w="1530" w:type="dxa"/>
          </w:tcPr>
          <w:p w:rsidR="008B4121" w:rsidRDefault="00860401" w:rsidP="00AF689A">
            <w:pPr>
              <w:rPr>
                <w:rFonts w:ascii="Times New Roman" w:hAnsi="Times New Roman" w:cs="Times New Roman"/>
                <w:sz w:val="22"/>
                <w:szCs w:val="22"/>
              </w:rPr>
            </w:pPr>
            <w:r w:rsidRPr="00860401">
              <w:rPr>
                <w:rFonts w:ascii="Times New Roman" w:hAnsi="Times New Roman" w:cs="Times New Roman"/>
                <w:sz w:val="22"/>
                <w:szCs w:val="22"/>
              </w:rPr>
              <w:t>8.52</w:t>
            </w:r>
          </w:p>
        </w:tc>
        <w:tc>
          <w:tcPr>
            <w:tcW w:w="1435" w:type="dxa"/>
          </w:tcPr>
          <w:p w:rsidR="008B4121" w:rsidRDefault="00860401" w:rsidP="00AF689A">
            <w:pPr>
              <w:rPr>
                <w:rFonts w:ascii="Times New Roman" w:hAnsi="Times New Roman" w:cs="Times New Roman"/>
                <w:sz w:val="22"/>
                <w:szCs w:val="22"/>
              </w:rPr>
            </w:pPr>
            <w:r>
              <w:rPr>
                <w:rFonts w:ascii="Times New Roman" w:hAnsi="Times New Roman" w:cs="Times New Roman"/>
                <w:sz w:val="22"/>
                <w:szCs w:val="22"/>
              </w:rPr>
              <w:t>10</w:t>
            </w:r>
          </w:p>
        </w:tc>
      </w:tr>
      <w:tr w:rsidR="001A7FBC" w:rsidTr="001A7FBC">
        <w:tc>
          <w:tcPr>
            <w:tcW w:w="2875" w:type="dxa"/>
          </w:tcPr>
          <w:p w:rsidR="008B4121" w:rsidRDefault="00717F5E" w:rsidP="00AF689A">
            <w:pPr>
              <w:rPr>
                <w:rFonts w:ascii="Times New Roman" w:hAnsi="Times New Roman" w:cs="Times New Roman"/>
                <w:sz w:val="22"/>
                <w:szCs w:val="22"/>
              </w:rPr>
            </w:pPr>
            <w:r w:rsidRPr="00717F5E">
              <w:rPr>
                <w:rFonts w:ascii="Times New Roman" w:hAnsi="Times New Roman" w:cs="Times New Roman"/>
                <w:sz w:val="22"/>
                <w:szCs w:val="22"/>
              </w:rPr>
              <w:t>400 bp/500 bp (A</w:t>
            </w:r>
            <w:r w:rsidRPr="00717F5E">
              <w:rPr>
                <w:rFonts w:ascii="Times New Roman" w:hAnsi="Times New Roman" w:cs="Times New Roman"/>
                <w:sz w:val="22"/>
                <w:szCs w:val="22"/>
                <w:vertAlign w:val="subscript"/>
              </w:rPr>
              <w:t>1</w:t>
            </w:r>
            <w:r w:rsidRPr="00717F5E">
              <w:rPr>
                <w:rFonts w:ascii="Times New Roman" w:hAnsi="Times New Roman" w:cs="Times New Roman"/>
                <w:sz w:val="22"/>
                <w:szCs w:val="22"/>
              </w:rPr>
              <w:t>A</w:t>
            </w:r>
            <w:r w:rsidRPr="00717F5E">
              <w:rPr>
                <w:rFonts w:ascii="Times New Roman" w:hAnsi="Times New Roman" w:cs="Times New Roman"/>
                <w:sz w:val="22"/>
                <w:szCs w:val="22"/>
                <w:vertAlign w:val="subscript"/>
              </w:rPr>
              <w:t>2</w:t>
            </w:r>
            <w:r w:rsidRPr="00717F5E">
              <w:rPr>
                <w:rFonts w:ascii="Times New Roman" w:hAnsi="Times New Roman" w:cs="Times New Roman"/>
                <w:sz w:val="22"/>
                <w:szCs w:val="22"/>
              </w:rPr>
              <w:t>)</w:t>
            </w:r>
          </w:p>
        </w:tc>
        <w:tc>
          <w:tcPr>
            <w:tcW w:w="990" w:type="dxa"/>
          </w:tcPr>
          <w:p w:rsidR="008B4121" w:rsidRDefault="00717F5E" w:rsidP="00AF689A">
            <w:pPr>
              <w:rPr>
                <w:rFonts w:ascii="Times New Roman" w:hAnsi="Times New Roman" w:cs="Times New Roman"/>
                <w:sz w:val="22"/>
                <w:szCs w:val="22"/>
              </w:rPr>
            </w:pPr>
            <w:r>
              <w:rPr>
                <w:rFonts w:ascii="Times New Roman" w:hAnsi="Times New Roman" w:cs="Times New Roman"/>
                <w:sz w:val="22"/>
                <w:szCs w:val="22"/>
              </w:rPr>
              <w:t>2pq</w:t>
            </w:r>
          </w:p>
        </w:tc>
        <w:tc>
          <w:tcPr>
            <w:tcW w:w="2520" w:type="dxa"/>
          </w:tcPr>
          <w:p w:rsidR="008B4121" w:rsidRDefault="00860401" w:rsidP="00AF689A">
            <w:pPr>
              <w:rPr>
                <w:rFonts w:ascii="Times New Roman" w:hAnsi="Times New Roman" w:cs="Times New Roman"/>
                <w:sz w:val="22"/>
                <w:szCs w:val="22"/>
              </w:rPr>
            </w:pPr>
            <w:r w:rsidRPr="00860401">
              <w:rPr>
                <w:rFonts w:ascii="Times New Roman" w:hAnsi="Times New Roman" w:cs="Times New Roman"/>
                <w:sz w:val="22"/>
                <w:szCs w:val="22"/>
              </w:rPr>
              <w:t>2(0.533)</w:t>
            </w:r>
            <w:r w:rsidR="00D51A48">
              <w:rPr>
                <w:rFonts w:ascii="Times New Roman" w:hAnsi="Times New Roman" w:cs="Times New Roman"/>
                <w:sz w:val="22"/>
                <w:szCs w:val="22"/>
              </w:rPr>
              <w:t xml:space="preserve"> </w:t>
            </w:r>
            <w:r w:rsidRPr="00860401">
              <w:rPr>
                <w:rFonts w:ascii="Times New Roman" w:hAnsi="Times New Roman" w:cs="Times New Roman"/>
                <w:sz w:val="22"/>
                <w:szCs w:val="22"/>
              </w:rPr>
              <w:t>(0.467) = 0.498</w:t>
            </w:r>
          </w:p>
        </w:tc>
        <w:tc>
          <w:tcPr>
            <w:tcW w:w="1530" w:type="dxa"/>
          </w:tcPr>
          <w:p w:rsidR="008B4121" w:rsidRDefault="00860401" w:rsidP="00AF689A">
            <w:pPr>
              <w:rPr>
                <w:rFonts w:ascii="Times New Roman" w:hAnsi="Times New Roman" w:cs="Times New Roman"/>
                <w:sz w:val="22"/>
                <w:szCs w:val="22"/>
              </w:rPr>
            </w:pPr>
            <w:r w:rsidRPr="00860401">
              <w:rPr>
                <w:rFonts w:ascii="Times New Roman" w:hAnsi="Times New Roman" w:cs="Times New Roman"/>
                <w:sz w:val="22"/>
                <w:szCs w:val="22"/>
              </w:rPr>
              <w:t>14.94</w:t>
            </w:r>
          </w:p>
        </w:tc>
        <w:tc>
          <w:tcPr>
            <w:tcW w:w="1435" w:type="dxa"/>
          </w:tcPr>
          <w:p w:rsidR="008B4121" w:rsidRDefault="00860401" w:rsidP="00AF689A">
            <w:pPr>
              <w:rPr>
                <w:rFonts w:ascii="Times New Roman" w:hAnsi="Times New Roman" w:cs="Times New Roman"/>
                <w:sz w:val="22"/>
                <w:szCs w:val="22"/>
              </w:rPr>
            </w:pPr>
            <w:r>
              <w:rPr>
                <w:rFonts w:ascii="Times New Roman" w:hAnsi="Times New Roman" w:cs="Times New Roman"/>
                <w:sz w:val="22"/>
                <w:szCs w:val="22"/>
              </w:rPr>
              <w:t>12</w:t>
            </w:r>
          </w:p>
        </w:tc>
      </w:tr>
      <w:tr w:rsidR="001A7FBC" w:rsidTr="001A7FBC">
        <w:tc>
          <w:tcPr>
            <w:tcW w:w="2875" w:type="dxa"/>
          </w:tcPr>
          <w:p w:rsidR="008B4121" w:rsidRDefault="00717F5E" w:rsidP="00AF689A">
            <w:pPr>
              <w:rPr>
                <w:rFonts w:ascii="Times New Roman" w:hAnsi="Times New Roman" w:cs="Times New Roman"/>
                <w:sz w:val="22"/>
                <w:szCs w:val="22"/>
              </w:rPr>
            </w:pPr>
            <w:r w:rsidRPr="00717F5E">
              <w:rPr>
                <w:rFonts w:ascii="Times New Roman" w:hAnsi="Times New Roman" w:cs="Times New Roman"/>
                <w:sz w:val="22"/>
                <w:szCs w:val="22"/>
              </w:rPr>
              <w:t>500 bp/500 bp (A</w:t>
            </w:r>
            <w:r w:rsidRPr="00717F5E">
              <w:rPr>
                <w:rFonts w:ascii="Times New Roman" w:hAnsi="Times New Roman" w:cs="Times New Roman"/>
                <w:sz w:val="22"/>
                <w:szCs w:val="22"/>
                <w:vertAlign w:val="subscript"/>
              </w:rPr>
              <w:t>2</w:t>
            </w:r>
            <w:r w:rsidRPr="00717F5E">
              <w:rPr>
                <w:rFonts w:ascii="Times New Roman" w:hAnsi="Times New Roman" w:cs="Times New Roman"/>
                <w:sz w:val="22"/>
                <w:szCs w:val="22"/>
              </w:rPr>
              <w:t>A</w:t>
            </w:r>
            <w:r w:rsidRPr="00717F5E">
              <w:rPr>
                <w:rFonts w:ascii="Times New Roman" w:hAnsi="Times New Roman" w:cs="Times New Roman"/>
                <w:sz w:val="22"/>
                <w:szCs w:val="22"/>
                <w:vertAlign w:val="subscript"/>
              </w:rPr>
              <w:t>2</w:t>
            </w:r>
            <w:r w:rsidRPr="00717F5E">
              <w:rPr>
                <w:rFonts w:ascii="Times New Roman" w:hAnsi="Times New Roman" w:cs="Times New Roman"/>
                <w:sz w:val="22"/>
                <w:szCs w:val="22"/>
              </w:rPr>
              <w:t>)</w:t>
            </w:r>
          </w:p>
        </w:tc>
        <w:tc>
          <w:tcPr>
            <w:tcW w:w="990" w:type="dxa"/>
          </w:tcPr>
          <w:p w:rsidR="008B4121" w:rsidRDefault="00860401" w:rsidP="00AF689A">
            <w:pPr>
              <w:rPr>
                <w:rFonts w:ascii="Times New Roman" w:hAnsi="Times New Roman" w:cs="Times New Roman"/>
                <w:sz w:val="22"/>
                <w:szCs w:val="22"/>
              </w:rPr>
            </w:pPr>
            <w:r>
              <w:rPr>
                <w:rFonts w:ascii="Times New Roman" w:hAnsi="Times New Roman" w:cs="Times New Roman"/>
                <w:sz w:val="22"/>
                <w:szCs w:val="22"/>
              </w:rPr>
              <w:t>q</w:t>
            </w:r>
            <w:r w:rsidRPr="00860401">
              <w:rPr>
                <w:rFonts w:ascii="Times New Roman" w:hAnsi="Times New Roman" w:cs="Times New Roman"/>
                <w:sz w:val="22"/>
                <w:szCs w:val="22"/>
                <w:vertAlign w:val="superscript"/>
              </w:rPr>
              <w:t>2</w:t>
            </w:r>
          </w:p>
        </w:tc>
        <w:tc>
          <w:tcPr>
            <w:tcW w:w="2520" w:type="dxa"/>
          </w:tcPr>
          <w:p w:rsidR="008B4121" w:rsidRDefault="00860401" w:rsidP="00AF689A">
            <w:pPr>
              <w:rPr>
                <w:rFonts w:ascii="Times New Roman" w:hAnsi="Times New Roman" w:cs="Times New Roman"/>
                <w:sz w:val="22"/>
                <w:szCs w:val="22"/>
              </w:rPr>
            </w:pPr>
            <w:r w:rsidRPr="00860401">
              <w:rPr>
                <w:rFonts w:ascii="Times New Roman" w:hAnsi="Times New Roman" w:cs="Times New Roman"/>
                <w:sz w:val="22"/>
                <w:szCs w:val="22"/>
              </w:rPr>
              <w:t>(0.467)</w:t>
            </w:r>
            <w:r w:rsidRPr="00860401">
              <w:rPr>
                <w:rFonts w:ascii="Times New Roman" w:hAnsi="Times New Roman" w:cs="Times New Roman"/>
                <w:sz w:val="22"/>
                <w:szCs w:val="22"/>
                <w:vertAlign w:val="superscript"/>
              </w:rPr>
              <w:t>2</w:t>
            </w:r>
            <w:r w:rsidRPr="00860401">
              <w:rPr>
                <w:rFonts w:ascii="Times New Roman" w:hAnsi="Times New Roman" w:cs="Times New Roman"/>
                <w:sz w:val="22"/>
                <w:szCs w:val="22"/>
              </w:rPr>
              <w:t xml:space="preserve"> = 0.218</w:t>
            </w:r>
          </w:p>
        </w:tc>
        <w:tc>
          <w:tcPr>
            <w:tcW w:w="1530" w:type="dxa"/>
          </w:tcPr>
          <w:p w:rsidR="008B4121" w:rsidRDefault="00860401" w:rsidP="00AF689A">
            <w:pPr>
              <w:rPr>
                <w:rFonts w:ascii="Times New Roman" w:hAnsi="Times New Roman" w:cs="Times New Roman"/>
                <w:sz w:val="22"/>
                <w:szCs w:val="22"/>
              </w:rPr>
            </w:pPr>
            <w:r w:rsidRPr="00860401">
              <w:rPr>
                <w:rFonts w:ascii="Times New Roman" w:hAnsi="Times New Roman" w:cs="Times New Roman"/>
                <w:sz w:val="22"/>
                <w:szCs w:val="22"/>
              </w:rPr>
              <w:t>6.54</w:t>
            </w:r>
          </w:p>
        </w:tc>
        <w:tc>
          <w:tcPr>
            <w:tcW w:w="1435" w:type="dxa"/>
          </w:tcPr>
          <w:p w:rsidR="008B4121" w:rsidRDefault="00860401" w:rsidP="00AF689A">
            <w:pPr>
              <w:rPr>
                <w:rFonts w:ascii="Times New Roman" w:hAnsi="Times New Roman" w:cs="Times New Roman"/>
                <w:sz w:val="22"/>
                <w:szCs w:val="22"/>
              </w:rPr>
            </w:pPr>
            <w:r>
              <w:rPr>
                <w:rFonts w:ascii="Times New Roman" w:hAnsi="Times New Roman" w:cs="Times New Roman"/>
                <w:sz w:val="22"/>
                <w:szCs w:val="22"/>
              </w:rPr>
              <w:t>8</w:t>
            </w:r>
          </w:p>
        </w:tc>
      </w:tr>
      <w:tr w:rsidR="001A7FBC" w:rsidTr="001A7FBC">
        <w:tc>
          <w:tcPr>
            <w:tcW w:w="2875" w:type="dxa"/>
          </w:tcPr>
          <w:p w:rsidR="001A7FBC" w:rsidRPr="00717F5E" w:rsidRDefault="001A7FBC" w:rsidP="00AF689A">
            <w:pPr>
              <w:rPr>
                <w:rFonts w:ascii="Times New Roman" w:hAnsi="Times New Roman" w:cs="Times New Roman"/>
                <w:sz w:val="22"/>
                <w:szCs w:val="22"/>
              </w:rPr>
            </w:pPr>
            <w:r>
              <w:rPr>
                <w:rFonts w:ascii="Times New Roman" w:hAnsi="Times New Roman" w:cs="Times New Roman"/>
                <w:sz w:val="22"/>
                <w:szCs w:val="22"/>
              </w:rPr>
              <w:t xml:space="preserve">Calculated </w:t>
            </w:r>
            <w:r w:rsidRPr="00AF689A">
              <w:rPr>
                <w:rFonts w:ascii="Times New Roman" w:hAnsi="Times New Roman" w:cs="Times New Roman"/>
                <w:sz w:val="22"/>
                <w:szCs w:val="22"/>
              </w:rPr>
              <w:t>χ2</w:t>
            </w:r>
          </w:p>
        </w:tc>
        <w:tc>
          <w:tcPr>
            <w:tcW w:w="6475" w:type="dxa"/>
            <w:gridSpan w:val="4"/>
          </w:tcPr>
          <w:p w:rsidR="001A7FBC" w:rsidRDefault="001A7FBC" w:rsidP="00AF689A">
            <w:pPr>
              <w:rPr>
                <w:rFonts w:ascii="Times New Roman" w:hAnsi="Times New Roman" w:cs="Times New Roman"/>
                <w:sz w:val="22"/>
                <w:szCs w:val="22"/>
              </w:rPr>
            </w:pPr>
            <w:bookmarkStart w:id="2" w:name="_Hlk234096303"/>
            <w:r w:rsidRPr="001A7FBC">
              <w:rPr>
                <w:rFonts w:ascii="Times New Roman" w:hAnsi="Times New Roman" w:cs="Times New Roman"/>
                <w:sz w:val="22"/>
                <w:szCs w:val="22"/>
              </w:rPr>
              <w:t>1.162</w:t>
            </w:r>
            <w:bookmarkEnd w:id="2"/>
          </w:p>
        </w:tc>
      </w:tr>
      <w:tr w:rsidR="001A7FBC" w:rsidTr="001A7FBC">
        <w:tc>
          <w:tcPr>
            <w:tcW w:w="2875" w:type="dxa"/>
          </w:tcPr>
          <w:p w:rsidR="001A7FBC" w:rsidRPr="001A7FBC" w:rsidRDefault="001A7FBC" w:rsidP="00AF689A">
            <w:pPr>
              <w:rPr>
                <w:rFonts w:ascii="Times New Roman" w:eastAsia="Times New Roman" w:hAnsi="Times New Roman" w:cs="Times New Roman"/>
                <w:kern w:val="0"/>
                <w:lang w:val="en-US"/>
                <w14:ligatures w14:val="none"/>
              </w:rPr>
            </w:pPr>
            <w:r w:rsidRPr="001A7FBC">
              <w:rPr>
                <w:rFonts w:ascii="Times New Roman" w:eastAsia="Times New Roman" w:hAnsi="Times New Roman" w:cs="Times New Roman"/>
                <w:kern w:val="0"/>
                <w:lang w:val="en-US"/>
                <w14:ligatures w14:val="none"/>
              </w:rPr>
              <w:t xml:space="preserve">Critical Value (at </w:t>
            </w:r>
            <w:bookmarkStart w:id="3" w:name="_Hlk234096349"/>
            <w:r w:rsidRPr="001A7FBC">
              <w:rPr>
                <w:rFonts w:ascii="Helvetica" w:hAnsi="Helvetica" w:cs="Helvetica"/>
                <w:color w:val="404040"/>
                <w:shd w:val="clear" w:color="auto" w:fill="FFFFFF"/>
              </w:rPr>
              <w:t>α</w:t>
            </w:r>
            <w:bookmarkEnd w:id="3"/>
            <w:r w:rsidRPr="001A7FBC">
              <w:rPr>
                <w:rFonts w:ascii="Times New Roman" w:eastAsia="Times New Roman" w:hAnsi="Times New Roman" w:cs="Times New Roman"/>
                <w:kern w:val="0"/>
                <w:lang w:val="en-US"/>
                <w14:ligatures w14:val="none"/>
              </w:rPr>
              <w:t xml:space="preserve"> =</w:t>
            </w:r>
            <w:r>
              <w:rPr>
                <w:rFonts w:ascii="Times New Roman" w:eastAsia="Times New Roman" w:hAnsi="Times New Roman" w:cs="Times New Roman"/>
                <w:kern w:val="0"/>
                <w:lang w:val="en-US"/>
                <w14:ligatures w14:val="none"/>
              </w:rPr>
              <w:t xml:space="preserve"> </w:t>
            </w:r>
            <w:r w:rsidRPr="001A7FBC">
              <w:rPr>
                <w:rFonts w:ascii="Times New Roman" w:eastAsia="Times New Roman" w:hAnsi="Times New Roman" w:cs="Times New Roman"/>
                <w:kern w:val="0"/>
                <w:lang w:val="en-US"/>
                <w14:ligatures w14:val="none"/>
              </w:rPr>
              <w:t>0.05)</w:t>
            </w:r>
          </w:p>
        </w:tc>
        <w:tc>
          <w:tcPr>
            <w:tcW w:w="6475" w:type="dxa"/>
            <w:gridSpan w:val="4"/>
          </w:tcPr>
          <w:p w:rsidR="001A7FBC" w:rsidRDefault="001A7FBC" w:rsidP="00AF689A">
            <w:pPr>
              <w:rPr>
                <w:rFonts w:ascii="Times New Roman" w:hAnsi="Times New Roman" w:cs="Times New Roman"/>
                <w:sz w:val="22"/>
                <w:szCs w:val="22"/>
              </w:rPr>
            </w:pPr>
            <w:r w:rsidRPr="001A7FBC">
              <w:rPr>
                <w:rFonts w:ascii="Times New Roman" w:hAnsi="Times New Roman" w:cs="Times New Roman"/>
                <w:sz w:val="22"/>
                <w:szCs w:val="22"/>
              </w:rPr>
              <w:t>3.841</w:t>
            </w:r>
          </w:p>
        </w:tc>
      </w:tr>
      <w:tr w:rsidR="001A7FBC" w:rsidTr="001A7FBC">
        <w:tc>
          <w:tcPr>
            <w:tcW w:w="2875" w:type="dxa"/>
          </w:tcPr>
          <w:p w:rsidR="001A7FBC" w:rsidRPr="001A7FBC" w:rsidRDefault="001A7FBC" w:rsidP="001A7FBC">
            <w:pPr>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p-</w:t>
            </w:r>
            <w:r w:rsidRPr="001A7FBC">
              <w:rPr>
                <w:rFonts w:ascii="Times New Roman" w:eastAsia="Times New Roman" w:hAnsi="Times New Roman" w:cs="Times New Roman"/>
                <w:kern w:val="0"/>
                <w:lang w:val="en-US"/>
                <w14:ligatures w14:val="none"/>
              </w:rPr>
              <w:t>value</w:t>
            </w:r>
          </w:p>
        </w:tc>
        <w:tc>
          <w:tcPr>
            <w:tcW w:w="6475" w:type="dxa"/>
            <w:gridSpan w:val="4"/>
          </w:tcPr>
          <w:p w:rsidR="001A7FBC" w:rsidRDefault="001A7FBC" w:rsidP="00AF689A">
            <w:pPr>
              <w:rPr>
                <w:rFonts w:ascii="Times New Roman" w:hAnsi="Times New Roman" w:cs="Times New Roman"/>
                <w:sz w:val="22"/>
                <w:szCs w:val="22"/>
              </w:rPr>
            </w:pPr>
            <w:r w:rsidRPr="001A7FBC">
              <w:rPr>
                <w:rFonts w:ascii="Times New Roman" w:hAnsi="Times New Roman" w:cs="Times New Roman"/>
                <w:sz w:val="22"/>
                <w:szCs w:val="22"/>
              </w:rPr>
              <w:t>0.281</w:t>
            </w:r>
          </w:p>
        </w:tc>
      </w:tr>
    </w:tbl>
    <w:p w:rsidR="00E96CD3" w:rsidRDefault="00E96CD3" w:rsidP="00AF689A">
      <w:pPr>
        <w:rPr>
          <w:rFonts w:ascii="Times New Roman" w:hAnsi="Times New Roman" w:cs="Times New Roman"/>
          <w:sz w:val="22"/>
          <w:szCs w:val="22"/>
        </w:rPr>
      </w:pPr>
    </w:p>
    <w:p w:rsidR="00037EC1" w:rsidRDefault="00406BE1" w:rsidP="00860401">
      <w:pPr>
        <w:jc w:val="both"/>
        <w:rPr>
          <w:rFonts w:ascii="Times New Roman" w:hAnsi="Times New Roman" w:cs="Times New Roman"/>
          <w:sz w:val="22"/>
          <w:szCs w:val="22"/>
        </w:rPr>
      </w:pPr>
      <w:r>
        <w:rPr>
          <w:rFonts w:ascii="Times New Roman" w:hAnsi="Times New Roman" w:cs="Times New Roman"/>
          <w:sz w:val="22"/>
          <w:szCs w:val="22"/>
        </w:rPr>
        <w:t xml:space="preserve">     </w:t>
      </w:r>
      <w:r w:rsidR="00307698" w:rsidRPr="00307698">
        <w:rPr>
          <w:rFonts w:ascii="Times New Roman" w:hAnsi="Times New Roman" w:cs="Times New Roman"/>
          <w:sz w:val="22"/>
          <w:szCs w:val="22"/>
        </w:rPr>
        <w:t xml:space="preserve">This mathematical breakdown reveals a remarkably stable biological population. The expected genotype counts (8.52 : 14.94 : 6.54) align closely with the laboratory's observed results (10 : 12 : 8). </w:t>
      </w:r>
      <w:r w:rsidR="001A7FBC" w:rsidRPr="001A7FBC">
        <w:rPr>
          <w:rFonts w:ascii="Times New Roman" w:hAnsi="Times New Roman" w:cs="Times New Roman"/>
          <w:sz w:val="22"/>
          <w:szCs w:val="22"/>
        </w:rPr>
        <w:t>Because the calculated Chi-Square value (1.162</w:t>
      </w:r>
      <w:r w:rsidR="001A7FBC">
        <w:rPr>
          <w:rFonts w:ascii="Times New Roman" w:hAnsi="Times New Roman" w:cs="Times New Roman"/>
          <w:sz w:val="22"/>
          <w:szCs w:val="22"/>
        </w:rPr>
        <w:t xml:space="preserve">) </w:t>
      </w:r>
      <w:r w:rsidR="001A7FBC" w:rsidRPr="001A7FBC">
        <w:rPr>
          <w:rFonts w:ascii="Times New Roman" w:hAnsi="Times New Roman" w:cs="Times New Roman"/>
          <w:sz w:val="22"/>
          <w:szCs w:val="22"/>
        </w:rPr>
        <w:t>is much less than the critical value threshold (3.841), and the p-value (0.281) is greater than the standard significance level (</w:t>
      </w:r>
      <w:r w:rsidR="001A7FBC" w:rsidRPr="001A7FBC">
        <w:rPr>
          <w:rFonts w:ascii="Helvetica" w:hAnsi="Helvetica" w:cs="Helvetica"/>
          <w:color w:val="404040"/>
          <w:shd w:val="clear" w:color="auto" w:fill="FFFFFF"/>
        </w:rPr>
        <w:t>α</w:t>
      </w:r>
      <w:r w:rsidR="001A7FBC" w:rsidRPr="001A7FBC">
        <w:rPr>
          <w:rFonts w:ascii="Times New Roman" w:hAnsi="Times New Roman" w:cs="Times New Roman"/>
          <w:sz w:val="22"/>
          <w:szCs w:val="22"/>
        </w:rPr>
        <w:t xml:space="preserve"> = 0.05), we fail to reject the null hypothesis. </w:t>
      </w:r>
      <w:r w:rsidR="00394A26" w:rsidRPr="00394A26">
        <w:rPr>
          <w:rFonts w:ascii="Times New Roman" w:hAnsi="Times New Roman" w:cs="Times New Roman"/>
          <w:sz w:val="22"/>
          <w:szCs w:val="22"/>
        </w:rPr>
        <w:t xml:space="preserve">There is no statistically significant difference between the observed genotype frequencies in this student cohort and the frequencies expected under genetic equilibrium. The 30-member MLS cohort officially conforms to the mathematical expectations of the Hardy-Weinberg Equilibrium. </w:t>
      </w:r>
      <w:r w:rsidR="00307698" w:rsidRPr="00307698">
        <w:rPr>
          <w:rFonts w:ascii="Times New Roman" w:hAnsi="Times New Roman" w:cs="Times New Roman"/>
          <w:sz w:val="22"/>
          <w:szCs w:val="22"/>
        </w:rPr>
        <w:t>This equilibrium suggests that despite the restricted pool of only two alleles, no extreme evolutionary or technical selective forces</w:t>
      </w:r>
      <w:r w:rsidR="00860401">
        <w:rPr>
          <w:rFonts w:ascii="Times New Roman" w:hAnsi="Times New Roman" w:cs="Times New Roman"/>
          <w:sz w:val="22"/>
          <w:szCs w:val="22"/>
        </w:rPr>
        <w:t xml:space="preserve"> </w:t>
      </w:r>
      <w:r w:rsidR="00307698" w:rsidRPr="00307698">
        <w:rPr>
          <w:rFonts w:ascii="Times New Roman" w:hAnsi="Times New Roman" w:cs="Times New Roman"/>
          <w:sz w:val="22"/>
          <w:szCs w:val="22"/>
        </w:rPr>
        <w:t>—such as severe non-random mating or massive sample processing errors</w:t>
      </w:r>
      <w:r w:rsidR="00860401">
        <w:rPr>
          <w:rFonts w:ascii="Times New Roman" w:hAnsi="Times New Roman" w:cs="Times New Roman"/>
          <w:sz w:val="22"/>
          <w:szCs w:val="22"/>
        </w:rPr>
        <w:t xml:space="preserve"> </w:t>
      </w:r>
      <w:r w:rsidR="00307698" w:rsidRPr="00307698">
        <w:rPr>
          <w:rFonts w:ascii="Times New Roman" w:hAnsi="Times New Roman" w:cs="Times New Roman"/>
          <w:sz w:val="22"/>
          <w:szCs w:val="22"/>
        </w:rPr>
        <w:t>—</w:t>
      </w:r>
      <w:r w:rsidR="00860401">
        <w:rPr>
          <w:rFonts w:ascii="Times New Roman" w:hAnsi="Times New Roman" w:cs="Times New Roman"/>
          <w:sz w:val="22"/>
          <w:szCs w:val="22"/>
        </w:rPr>
        <w:t xml:space="preserve"> </w:t>
      </w:r>
      <w:r w:rsidR="00307698" w:rsidRPr="00307698">
        <w:rPr>
          <w:rFonts w:ascii="Times New Roman" w:hAnsi="Times New Roman" w:cs="Times New Roman"/>
          <w:sz w:val="22"/>
          <w:szCs w:val="22"/>
        </w:rPr>
        <w:t>are actively distorting the cohort's genetic architecture. This mirrors small-scale validation studies which demonstrated that localized genetic pockets can maintain strict equilibrium despite lacking the broader allele variety at the national level</w:t>
      </w:r>
      <w:r w:rsidR="00B6719B">
        <w:rPr>
          <w:rFonts w:ascii="Times New Roman" w:hAnsi="Times New Roman" w:cs="Times New Roman"/>
          <w:sz w:val="22"/>
          <w:szCs w:val="22"/>
        </w:rPr>
        <w:t xml:space="preserve"> [9]</w:t>
      </w:r>
      <w:r w:rsidR="00307698" w:rsidRPr="00307698">
        <w:rPr>
          <w:rFonts w:ascii="Times New Roman" w:hAnsi="Times New Roman" w:cs="Times New Roman"/>
          <w:sz w:val="22"/>
          <w:szCs w:val="22"/>
        </w:rPr>
        <w:t>.</w:t>
      </w:r>
    </w:p>
    <w:p w:rsidR="00307698" w:rsidRDefault="00406BE1" w:rsidP="00406BE1">
      <w:pPr>
        <w:jc w:val="both"/>
        <w:rPr>
          <w:rFonts w:ascii="Times New Roman" w:hAnsi="Times New Roman" w:cs="Times New Roman"/>
          <w:sz w:val="22"/>
          <w:szCs w:val="22"/>
        </w:rPr>
      </w:pPr>
      <w:r>
        <w:rPr>
          <w:rFonts w:ascii="Times New Roman" w:hAnsi="Times New Roman" w:cs="Times New Roman"/>
          <w:sz w:val="22"/>
          <w:szCs w:val="22"/>
        </w:rPr>
        <w:t xml:space="preserve">     </w:t>
      </w:r>
      <w:r w:rsidR="00037EC1" w:rsidRPr="00037EC1">
        <w:rPr>
          <w:rFonts w:ascii="Times New Roman" w:hAnsi="Times New Roman" w:cs="Times New Roman"/>
          <w:sz w:val="22"/>
          <w:szCs w:val="22"/>
        </w:rPr>
        <w:t xml:space="preserve">In local literature, </w:t>
      </w:r>
      <w:r w:rsidR="00A6323C">
        <w:rPr>
          <w:rFonts w:ascii="Times New Roman" w:hAnsi="Times New Roman" w:cs="Times New Roman"/>
          <w:sz w:val="22"/>
          <w:szCs w:val="22"/>
        </w:rPr>
        <w:t>it was</w:t>
      </w:r>
      <w:r w:rsidR="00037EC1" w:rsidRPr="00037EC1">
        <w:rPr>
          <w:rFonts w:ascii="Times New Roman" w:hAnsi="Times New Roman" w:cs="Times New Roman"/>
          <w:sz w:val="22"/>
          <w:szCs w:val="22"/>
        </w:rPr>
        <w:t xml:space="preserve"> similarly validated that despite distinct regional clustering, indigenous Filipino demographic pools consistently conform to Hardy-Weinberg mathematical expectations when evaluated at the D1S80 locus</w:t>
      </w:r>
      <w:r w:rsidR="00B6719B">
        <w:rPr>
          <w:rFonts w:ascii="Times New Roman" w:hAnsi="Times New Roman" w:cs="Times New Roman"/>
          <w:sz w:val="22"/>
          <w:szCs w:val="22"/>
        </w:rPr>
        <w:t xml:space="preserve"> [37].</w:t>
      </w:r>
      <w:r w:rsidR="00037EC1" w:rsidRPr="00037EC1">
        <w:rPr>
          <w:rFonts w:ascii="Times New Roman" w:hAnsi="Times New Roman" w:cs="Times New Roman"/>
          <w:sz w:val="22"/>
          <w:szCs w:val="22"/>
        </w:rPr>
        <w:t xml:space="preserve"> This alignment indicates that the absolute dimorphism observed among the 30 students is not an artifact of selective distortion, massive genetic mutation, or high-rate non-random mating. Instead, it underscores a highly stabilized genetic structure, proving that even when a localized sample pool undergoes a drastic reduction in variety (retaining only two alleles), it can maintain absolute internal stability without deviating from expected Mendelian ratios.</w:t>
      </w:r>
    </w:p>
    <w:p w:rsidR="008B4121" w:rsidRPr="008B4121" w:rsidRDefault="008B4121" w:rsidP="008B4121">
      <w:pPr>
        <w:rPr>
          <w:rFonts w:ascii="Times New Roman" w:hAnsi="Times New Roman" w:cs="Times New Roman"/>
          <w:sz w:val="22"/>
          <w:szCs w:val="22"/>
        </w:rPr>
      </w:pPr>
    </w:p>
    <w:p w:rsidR="00307698" w:rsidRPr="00406BE1" w:rsidRDefault="008B4121" w:rsidP="008B4121">
      <w:pPr>
        <w:rPr>
          <w:rFonts w:ascii="Times New Roman" w:hAnsi="Times New Roman" w:cs="Times New Roman"/>
          <w:bCs/>
          <w:i/>
          <w:sz w:val="22"/>
          <w:szCs w:val="22"/>
        </w:rPr>
      </w:pPr>
      <w:r w:rsidRPr="00406BE1">
        <w:rPr>
          <w:rFonts w:ascii="Times New Roman" w:hAnsi="Times New Roman" w:cs="Times New Roman"/>
          <w:bCs/>
          <w:i/>
          <w:sz w:val="22"/>
          <w:szCs w:val="22"/>
        </w:rPr>
        <w:t>Implications of Equilibrium and Regional Conservation</w:t>
      </w:r>
    </w:p>
    <w:p w:rsidR="00307698" w:rsidRDefault="00D51A48" w:rsidP="00D51A48">
      <w:pPr>
        <w:jc w:val="both"/>
        <w:rPr>
          <w:rFonts w:ascii="Times New Roman" w:hAnsi="Times New Roman" w:cs="Times New Roman"/>
          <w:sz w:val="22"/>
          <w:szCs w:val="22"/>
        </w:rPr>
      </w:pPr>
      <w:r>
        <w:rPr>
          <w:rFonts w:ascii="Times New Roman" w:hAnsi="Times New Roman" w:cs="Times New Roman"/>
          <w:sz w:val="22"/>
          <w:szCs w:val="22"/>
        </w:rPr>
        <w:t xml:space="preserve">     </w:t>
      </w:r>
      <w:r w:rsidR="00307698" w:rsidRPr="00307698">
        <w:rPr>
          <w:rFonts w:ascii="Times New Roman" w:hAnsi="Times New Roman" w:cs="Times New Roman"/>
          <w:sz w:val="22"/>
          <w:szCs w:val="22"/>
        </w:rPr>
        <w:t>The maintenance of a stable dimorphic equilibrium amidst an absolute reduction in allele variety carries significant implications. In anthropological genetics, while widespread multi-allelic variation is expected on a global scale, a clean reduction down to a highly balanced, two-allele system is a classic indicator of a</w:t>
      </w:r>
      <w:r w:rsidR="00327DD7">
        <w:rPr>
          <w:rFonts w:ascii="Times New Roman" w:hAnsi="Times New Roman" w:cs="Times New Roman"/>
          <w:sz w:val="22"/>
          <w:szCs w:val="22"/>
        </w:rPr>
        <w:t xml:space="preserve"> </w:t>
      </w:r>
      <w:r w:rsidR="00307698" w:rsidRPr="00307698">
        <w:rPr>
          <w:rFonts w:ascii="Times New Roman" w:hAnsi="Times New Roman" w:cs="Times New Roman"/>
          <w:sz w:val="22"/>
          <w:szCs w:val="22"/>
        </w:rPr>
        <w:t>population bottleneck or a localized founder effect that has reached genetic stabilization</w:t>
      </w:r>
      <w:r w:rsidR="00B6719B">
        <w:rPr>
          <w:rFonts w:ascii="Times New Roman" w:hAnsi="Times New Roman" w:cs="Times New Roman"/>
          <w:sz w:val="22"/>
          <w:szCs w:val="22"/>
        </w:rPr>
        <w:t xml:space="preserve"> [8]</w:t>
      </w:r>
      <w:r w:rsidR="00307698" w:rsidRPr="00307698">
        <w:rPr>
          <w:rFonts w:ascii="Times New Roman" w:hAnsi="Times New Roman" w:cs="Times New Roman"/>
          <w:sz w:val="22"/>
          <w:szCs w:val="22"/>
        </w:rPr>
        <w:t xml:space="preserve">. Because </w:t>
      </w:r>
      <w:r>
        <w:rPr>
          <w:rFonts w:ascii="Times New Roman" w:hAnsi="Times New Roman" w:cs="Times New Roman"/>
          <w:sz w:val="22"/>
          <w:szCs w:val="22"/>
        </w:rPr>
        <w:t>school</w:t>
      </w:r>
      <w:r w:rsidR="00307698" w:rsidRPr="00307698">
        <w:rPr>
          <w:rFonts w:ascii="Times New Roman" w:hAnsi="Times New Roman" w:cs="Times New Roman"/>
          <w:sz w:val="22"/>
          <w:szCs w:val="22"/>
        </w:rPr>
        <w:t xml:space="preserve"> cohorts are often structurally drawn from a shared regional demographic, the student pool naturally reflects a highly conserved regional gene pocket rather than a broad, admixed metropolitan canvas </w:t>
      </w:r>
      <w:r w:rsidR="00A6323C">
        <w:rPr>
          <w:rFonts w:ascii="Times New Roman" w:hAnsi="Times New Roman" w:cs="Times New Roman"/>
          <w:sz w:val="22"/>
          <w:szCs w:val="22"/>
        </w:rPr>
        <w:t>[38]</w:t>
      </w:r>
      <w:r w:rsidR="00307698" w:rsidRPr="00307698">
        <w:rPr>
          <w:rFonts w:ascii="Times New Roman" w:hAnsi="Times New Roman" w:cs="Times New Roman"/>
          <w:sz w:val="22"/>
          <w:szCs w:val="22"/>
        </w:rPr>
        <w:t>.</w:t>
      </w:r>
    </w:p>
    <w:p w:rsidR="00327DD7" w:rsidRDefault="00C32E8C" w:rsidP="00327DD7">
      <w:pPr>
        <w:jc w:val="both"/>
        <w:rPr>
          <w:rFonts w:ascii="Times New Roman" w:hAnsi="Times New Roman" w:cs="Times New Roman"/>
          <w:sz w:val="22"/>
          <w:szCs w:val="22"/>
        </w:rPr>
      </w:pPr>
      <w:r>
        <w:rPr>
          <w:rFonts w:ascii="Times New Roman" w:hAnsi="Times New Roman" w:cs="Times New Roman"/>
          <w:sz w:val="22"/>
          <w:szCs w:val="22"/>
        </w:rPr>
        <w:t xml:space="preserve">     </w:t>
      </w:r>
      <w:r w:rsidRPr="00C32E8C">
        <w:rPr>
          <w:rFonts w:ascii="Times New Roman" w:hAnsi="Times New Roman" w:cs="Times New Roman"/>
          <w:sz w:val="22"/>
          <w:szCs w:val="22"/>
        </w:rPr>
        <w:t>From a clinical laboratory and forensic perspective, this specific distribution offers an excellent balance of genetic information, as the forensic Power of Discrimination (P</w:t>
      </w:r>
      <w:r w:rsidRPr="00C32E8C">
        <w:rPr>
          <w:rFonts w:ascii="Times New Roman" w:hAnsi="Times New Roman" w:cs="Times New Roman"/>
          <w:sz w:val="22"/>
          <w:szCs w:val="22"/>
          <w:vertAlign w:val="subscript"/>
        </w:rPr>
        <w:t>D</w:t>
      </w:r>
      <w:r w:rsidRPr="00C32E8C">
        <w:rPr>
          <w:rFonts w:ascii="Times New Roman" w:hAnsi="Times New Roman" w:cs="Times New Roman"/>
          <w:sz w:val="22"/>
          <w:szCs w:val="22"/>
        </w:rPr>
        <w:t xml:space="preserve">) and heterozygosity indices reach their absolute maximum mathematical values when alleles are distributed as evenly as possible </w:t>
      </w:r>
      <w:r w:rsidR="00A6323C">
        <w:rPr>
          <w:rFonts w:ascii="Times New Roman" w:hAnsi="Times New Roman" w:cs="Times New Roman"/>
          <w:sz w:val="22"/>
          <w:szCs w:val="22"/>
        </w:rPr>
        <w:t>[11]</w:t>
      </w:r>
      <w:r w:rsidRPr="00C32E8C">
        <w:rPr>
          <w:rFonts w:ascii="Times New Roman" w:hAnsi="Times New Roman" w:cs="Times New Roman"/>
          <w:sz w:val="22"/>
          <w:szCs w:val="22"/>
        </w:rPr>
        <w:t xml:space="preserve">. Because the calculated frequencies of </w:t>
      </w:r>
      <w:r w:rsidRPr="00C32E8C">
        <w:rPr>
          <w:rFonts w:ascii="Times New Roman" w:hAnsi="Times New Roman" w:cs="Times New Roman"/>
          <w:i/>
          <w:sz w:val="22"/>
          <w:szCs w:val="22"/>
        </w:rPr>
        <w:t>p</w:t>
      </w:r>
      <w:r w:rsidRPr="00C32E8C">
        <w:rPr>
          <w:rFonts w:ascii="Times New Roman" w:hAnsi="Times New Roman" w:cs="Times New Roman"/>
          <w:sz w:val="22"/>
          <w:szCs w:val="22"/>
        </w:rPr>
        <w:t xml:space="preserve"> and </w:t>
      </w:r>
      <w:r w:rsidRPr="00C32E8C">
        <w:rPr>
          <w:rFonts w:ascii="Times New Roman" w:hAnsi="Times New Roman" w:cs="Times New Roman"/>
          <w:i/>
          <w:sz w:val="22"/>
          <w:szCs w:val="22"/>
        </w:rPr>
        <w:t>q</w:t>
      </w:r>
      <w:r w:rsidRPr="00C32E8C">
        <w:rPr>
          <w:rFonts w:ascii="Times New Roman" w:hAnsi="Times New Roman" w:cs="Times New Roman"/>
          <w:sz w:val="22"/>
          <w:szCs w:val="22"/>
        </w:rPr>
        <w:t xml:space="preserve"> are nearly equal, the biological probability of encountering a heterozygote</w:t>
      </w:r>
      <w:r>
        <w:rPr>
          <w:rFonts w:ascii="Times New Roman" w:hAnsi="Times New Roman" w:cs="Times New Roman"/>
          <w:sz w:val="22"/>
          <w:szCs w:val="22"/>
        </w:rPr>
        <w:t xml:space="preserve"> </w:t>
      </w:r>
      <w:r w:rsidRPr="00307698">
        <w:rPr>
          <w:rFonts w:ascii="Times New Roman" w:hAnsi="Times New Roman" w:cs="Times New Roman"/>
          <w:sz w:val="22"/>
          <w:szCs w:val="22"/>
        </w:rPr>
        <w:t xml:space="preserve">(2pq </w:t>
      </w:r>
      <w:r w:rsidRPr="00627409">
        <w:rPr>
          <w:rFonts w:ascii="Helvetica" w:hAnsi="Helvetica" w:cs="Helvetica"/>
          <w:color w:val="404040"/>
          <w:shd w:val="clear" w:color="auto" w:fill="FFFFFF"/>
        </w:rPr>
        <w:t>≈</w:t>
      </w:r>
      <w:r>
        <w:rPr>
          <w:rFonts w:ascii="Helvetica" w:hAnsi="Helvetica" w:cs="Helvetica"/>
          <w:color w:val="404040"/>
          <w:shd w:val="clear" w:color="auto" w:fill="FFFFFF"/>
        </w:rPr>
        <w:t xml:space="preserve"> </w:t>
      </w:r>
      <w:r w:rsidRPr="00307698">
        <w:rPr>
          <w:rFonts w:ascii="Times New Roman" w:hAnsi="Times New Roman" w:cs="Times New Roman"/>
          <w:sz w:val="22"/>
          <w:szCs w:val="22"/>
        </w:rPr>
        <w:t>50%)</w:t>
      </w:r>
      <w:r w:rsidRPr="00C32E8C">
        <w:rPr>
          <w:rFonts w:ascii="Times New Roman" w:hAnsi="Times New Roman" w:cs="Times New Roman"/>
          <w:sz w:val="22"/>
          <w:szCs w:val="22"/>
        </w:rPr>
        <w:t xml:space="preserve"> is entirely maximized; however, the overall macro-utility of this single locus remains highly restricted in practice because over half the class shares identical, overlapping profiles. This practical limitation perfectly mirrors the historical trajectory of molecular diagnostics in the Philippines, where a single VNTR locus like D1S80 provided insufficient discriminatory power for localized legal and parentage applications due to the inherent regional conservation of alleles within the Filipino population</w:t>
      </w:r>
      <w:r w:rsidR="00A6323C">
        <w:rPr>
          <w:rFonts w:ascii="Times New Roman" w:hAnsi="Times New Roman" w:cs="Times New Roman"/>
          <w:sz w:val="22"/>
          <w:szCs w:val="22"/>
        </w:rPr>
        <w:t xml:space="preserve"> [35]</w:t>
      </w:r>
      <w:r w:rsidRPr="00C32E8C">
        <w:rPr>
          <w:rFonts w:ascii="Times New Roman" w:hAnsi="Times New Roman" w:cs="Times New Roman"/>
          <w:sz w:val="22"/>
          <w:szCs w:val="22"/>
        </w:rPr>
        <w:t>. Ultimately,</w:t>
      </w:r>
      <w:r w:rsidR="00B5148E">
        <w:rPr>
          <w:rFonts w:ascii="Times New Roman" w:hAnsi="Times New Roman" w:cs="Times New Roman"/>
          <w:sz w:val="22"/>
          <w:szCs w:val="22"/>
        </w:rPr>
        <w:t xml:space="preserve"> </w:t>
      </w:r>
      <w:r w:rsidRPr="00C32E8C">
        <w:rPr>
          <w:rFonts w:ascii="Times New Roman" w:hAnsi="Times New Roman" w:cs="Times New Roman"/>
          <w:sz w:val="22"/>
          <w:szCs w:val="22"/>
        </w:rPr>
        <w:t>the complete lack of other alleles means this single marker cannot uniquely isolate an individual out of a massive population</w:t>
      </w:r>
      <w:r w:rsidR="00B5148E">
        <w:rPr>
          <w:rFonts w:ascii="Times New Roman" w:hAnsi="Times New Roman" w:cs="Times New Roman"/>
          <w:sz w:val="22"/>
          <w:szCs w:val="22"/>
        </w:rPr>
        <w:t xml:space="preserve"> </w:t>
      </w:r>
      <w:r w:rsidR="00A6323C">
        <w:rPr>
          <w:rFonts w:ascii="Times New Roman" w:hAnsi="Times New Roman" w:cs="Times New Roman"/>
          <w:sz w:val="22"/>
          <w:szCs w:val="22"/>
        </w:rPr>
        <w:t>[11]</w:t>
      </w:r>
      <w:r w:rsidRPr="00C32E8C">
        <w:rPr>
          <w:rFonts w:ascii="Times New Roman" w:hAnsi="Times New Roman" w:cs="Times New Roman"/>
          <w:sz w:val="22"/>
          <w:szCs w:val="22"/>
        </w:rPr>
        <w:t xml:space="preserve">. It highlights why early forensic networks shifted away from single-locus evaluations to multiplexed short tandem repeat (STR) systems to completely circumvent the localized loss of individualization resolution caused by regional allelic conservation </w:t>
      </w:r>
      <w:r w:rsidR="00A6323C">
        <w:rPr>
          <w:rFonts w:ascii="Times New Roman" w:hAnsi="Times New Roman" w:cs="Times New Roman"/>
          <w:sz w:val="22"/>
          <w:szCs w:val="22"/>
        </w:rPr>
        <w:t>[1].</w:t>
      </w:r>
    </w:p>
    <w:p w:rsidR="00327DD7" w:rsidRDefault="00327DD7" w:rsidP="00307698">
      <w:pPr>
        <w:rPr>
          <w:rFonts w:ascii="Times New Roman" w:hAnsi="Times New Roman" w:cs="Times New Roman"/>
          <w:sz w:val="22"/>
          <w:szCs w:val="22"/>
        </w:rPr>
      </w:pPr>
    </w:p>
    <w:p w:rsidR="00735371" w:rsidRPr="00FA086F" w:rsidRDefault="00327DD7" w:rsidP="00735371">
      <w:pPr>
        <w:rPr>
          <w:rFonts w:ascii="Times New Roman" w:hAnsi="Times New Roman" w:cs="Times New Roman"/>
          <w:b/>
          <w:bCs/>
          <w:sz w:val="22"/>
          <w:szCs w:val="22"/>
        </w:rPr>
      </w:pPr>
      <w:r w:rsidRPr="00735371">
        <w:rPr>
          <w:rFonts w:ascii="Times New Roman" w:hAnsi="Times New Roman" w:cs="Times New Roman"/>
          <w:b/>
          <w:bCs/>
          <w:sz w:val="22"/>
          <w:szCs w:val="22"/>
        </w:rPr>
        <w:t>CONCLUSION</w:t>
      </w:r>
    </w:p>
    <w:p w:rsidR="00951749" w:rsidRPr="00735371" w:rsidRDefault="00FA086F" w:rsidP="00FA086F">
      <w:pPr>
        <w:jc w:val="both"/>
        <w:rPr>
          <w:rFonts w:ascii="Times New Roman" w:hAnsi="Times New Roman" w:cs="Times New Roman"/>
          <w:sz w:val="22"/>
          <w:szCs w:val="22"/>
        </w:rPr>
      </w:pPr>
      <w:r>
        <w:rPr>
          <w:rFonts w:ascii="Times New Roman" w:hAnsi="Times New Roman" w:cs="Times New Roman"/>
          <w:sz w:val="22"/>
          <w:szCs w:val="22"/>
        </w:rPr>
        <w:t xml:space="preserve">     </w:t>
      </w:r>
      <w:r w:rsidR="00735371" w:rsidRPr="00735371">
        <w:rPr>
          <w:rFonts w:ascii="Times New Roman" w:hAnsi="Times New Roman" w:cs="Times New Roman"/>
          <w:sz w:val="22"/>
          <w:szCs w:val="22"/>
        </w:rPr>
        <w:t xml:space="preserve">Based on the molecular, statistical, and population genetics analysis of </w:t>
      </w:r>
      <w:r w:rsidR="00951749">
        <w:rPr>
          <w:rFonts w:ascii="Times New Roman" w:hAnsi="Times New Roman" w:cs="Times New Roman"/>
          <w:sz w:val="22"/>
          <w:szCs w:val="22"/>
        </w:rPr>
        <w:t xml:space="preserve">a </w:t>
      </w:r>
      <w:r w:rsidR="00735371" w:rsidRPr="00735371">
        <w:rPr>
          <w:rFonts w:ascii="Times New Roman" w:hAnsi="Times New Roman" w:cs="Times New Roman"/>
          <w:sz w:val="22"/>
          <w:szCs w:val="22"/>
        </w:rPr>
        <w:t>30-member MLS cohort, the following major conclusions can be drawn from this study:</w:t>
      </w:r>
    </w:p>
    <w:p w:rsidR="00735371" w:rsidRPr="00FA086F" w:rsidRDefault="00735371" w:rsidP="00FA086F">
      <w:pPr>
        <w:jc w:val="both"/>
        <w:rPr>
          <w:rFonts w:ascii="Times New Roman" w:hAnsi="Times New Roman" w:cs="Times New Roman"/>
          <w:bCs/>
          <w:sz w:val="22"/>
          <w:szCs w:val="22"/>
        </w:rPr>
      </w:pPr>
      <w:r w:rsidRPr="00FA086F">
        <w:rPr>
          <w:rFonts w:ascii="Times New Roman" w:hAnsi="Times New Roman" w:cs="Times New Roman"/>
          <w:bCs/>
          <w:sz w:val="22"/>
          <w:szCs w:val="22"/>
        </w:rPr>
        <w:t xml:space="preserve">1. </w:t>
      </w:r>
      <w:r w:rsidRPr="00327DD7">
        <w:rPr>
          <w:rFonts w:ascii="Times New Roman" w:hAnsi="Times New Roman" w:cs="Times New Roman"/>
          <w:bCs/>
          <w:i/>
          <w:sz w:val="22"/>
          <w:szCs w:val="22"/>
        </w:rPr>
        <w:t>Establishment of a Distinct Dimorphic Allelic System</w:t>
      </w:r>
    </w:p>
    <w:p w:rsidR="00951749" w:rsidRDefault="00735371" w:rsidP="00FA086F">
      <w:pPr>
        <w:jc w:val="both"/>
        <w:rPr>
          <w:rFonts w:ascii="Times New Roman" w:hAnsi="Times New Roman" w:cs="Times New Roman"/>
          <w:sz w:val="22"/>
          <w:szCs w:val="22"/>
        </w:rPr>
      </w:pPr>
      <w:r w:rsidRPr="00735371">
        <w:rPr>
          <w:rFonts w:ascii="Times New Roman" w:hAnsi="Times New Roman" w:cs="Times New Roman"/>
          <w:sz w:val="22"/>
          <w:szCs w:val="22"/>
        </w:rPr>
        <w:t>The study successfully amplified and mapped the D1S80 VNTR locus for all 30 participants, revealing that the cohort relies on a restricted, two-allele system. The exact gene-counting distribution established that the 400 bp allele and the 500 bp allele exist in an exceptionally balanced, near 1:1 ratio within this micro-population, lacking the expanded multi-allelic variety typically observed in macro-demographic global databases.</w:t>
      </w:r>
    </w:p>
    <w:p w:rsidR="00327DD7" w:rsidRPr="00735371" w:rsidRDefault="00327DD7" w:rsidP="00FA086F">
      <w:pPr>
        <w:jc w:val="both"/>
        <w:rPr>
          <w:rFonts w:ascii="Times New Roman" w:hAnsi="Times New Roman" w:cs="Times New Roman"/>
          <w:sz w:val="22"/>
          <w:szCs w:val="22"/>
        </w:rPr>
      </w:pPr>
    </w:p>
    <w:p w:rsidR="00735371" w:rsidRPr="00FA086F" w:rsidRDefault="00735371" w:rsidP="00FA086F">
      <w:pPr>
        <w:jc w:val="both"/>
        <w:rPr>
          <w:rFonts w:ascii="Times New Roman" w:hAnsi="Times New Roman" w:cs="Times New Roman"/>
          <w:bCs/>
          <w:sz w:val="22"/>
          <w:szCs w:val="22"/>
        </w:rPr>
      </w:pPr>
      <w:r w:rsidRPr="00FA086F">
        <w:rPr>
          <w:rFonts w:ascii="Times New Roman" w:hAnsi="Times New Roman" w:cs="Times New Roman"/>
          <w:bCs/>
          <w:sz w:val="22"/>
          <w:szCs w:val="22"/>
        </w:rPr>
        <w:lastRenderedPageBreak/>
        <w:t xml:space="preserve">2. </w:t>
      </w:r>
      <w:r w:rsidRPr="00327DD7">
        <w:rPr>
          <w:rFonts w:ascii="Times New Roman" w:hAnsi="Times New Roman" w:cs="Times New Roman"/>
          <w:bCs/>
          <w:i/>
          <w:sz w:val="22"/>
          <w:szCs w:val="22"/>
        </w:rPr>
        <w:t>Maintenance of Strict Hardy-Weinberg Equilibrium</w:t>
      </w:r>
    </w:p>
    <w:p w:rsidR="00951749" w:rsidRDefault="00735371" w:rsidP="00FA086F">
      <w:pPr>
        <w:jc w:val="both"/>
        <w:rPr>
          <w:rFonts w:ascii="Times New Roman" w:hAnsi="Times New Roman" w:cs="Times New Roman"/>
          <w:sz w:val="22"/>
          <w:szCs w:val="22"/>
        </w:rPr>
      </w:pPr>
      <w:r w:rsidRPr="00735371">
        <w:rPr>
          <w:rFonts w:ascii="Times New Roman" w:hAnsi="Times New Roman" w:cs="Times New Roman"/>
          <w:sz w:val="22"/>
          <w:szCs w:val="22"/>
        </w:rPr>
        <w:t>Despite the sharp reduction in overall genetic diversity, Chi-Square goodness-of-fit analysis demonstrated that the observed genotype counts</w:t>
      </w:r>
      <w:r w:rsidR="00A16FD8">
        <w:rPr>
          <w:rFonts w:ascii="Times New Roman" w:hAnsi="Times New Roman" w:cs="Times New Roman"/>
          <w:sz w:val="22"/>
          <w:szCs w:val="22"/>
        </w:rPr>
        <w:t xml:space="preserve"> </w:t>
      </w:r>
      <w:r w:rsidRPr="00735371">
        <w:rPr>
          <w:rFonts w:ascii="Times New Roman" w:hAnsi="Times New Roman" w:cs="Times New Roman"/>
          <w:sz w:val="22"/>
          <w:szCs w:val="22"/>
        </w:rPr>
        <w:t xml:space="preserve">showed no statistically significant deviation from theoretical expectations. This proves that the cohort represents a stable genetic structure in </w:t>
      </w:r>
      <w:r w:rsidRPr="00951749">
        <w:rPr>
          <w:rFonts w:ascii="Times New Roman" w:hAnsi="Times New Roman" w:cs="Times New Roman"/>
          <w:sz w:val="22"/>
          <w:szCs w:val="22"/>
        </w:rPr>
        <w:t>Hardy-Weinberg Equilibrium</w:t>
      </w:r>
      <w:r w:rsidRPr="00735371">
        <w:rPr>
          <w:rFonts w:ascii="Times New Roman" w:hAnsi="Times New Roman" w:cs="Times New Roman"/>
          <w:sz w:val="22"/>
          <w:szCs w:val="22"/>
        </w:rPr>
        <w:t>, indicating an absence of active selective pressures, severe non-random mating, or systemic laboratory errors (such as allelic dropout) that would otherwise distort genotype distributions.</w:t>
      </w:r>
    </w:p>
    <w:p w:rsidR="00327DD7" w:rsidRPr="00735371" w:rsidRDefault="00327DD7" w:rsidP="00FA086F">
      <w:pPr>
        <w:jc w:val="both"/>
        <w:rPr>
          <w:rFonts w:ascii="Times New Roman" w:hAnsi="Times New Roman" w:cs="Times New Roman"/>
          <w:sz w:val="22"/>
          <w:szCs w:val="22"/>
        </w:rPr>
      </w:pPr>
    </w:p>
    <w:p w:rsidR="00735371" w:rsidRPr="00FA086F" w:rsidRDefault="00735371" w:rsidP="00FA086F">
      <w:pPr>
        <w:jc w:val="both"/>
        <w:rPr>
          <w:rFonts w:ascii="Times New Roman" w:hAnsi="Times New Roman" w:cs="Times New Roman"/>
          <w:bCs/>
          <w:sz w:val="22"/>
          <w:szCs w:val="22"/>
        </w:rPr>
      </w:pPr>
      <w:r w:rsidRPr="00FA086F">
        <w:rPr>
          <w:rFonts w:ascii="Times New Roman" w:hAnsi="Times New Roman" w:cs="Times New Roman"/>
          <w:bCs/>
          <w:sz w:val="22"/>
          <w:szCs w:val="22"/>
        </w:rPr>
        <w:t xml:space="preserve">3. </w:t>
      </w:r>
      <w:r w:rsidRPr="00327DD7">
        <w:rPr>
          <w:rFonts w:ascii="Times New Roman" w:hAnsi="Times New Roman" w:cs="Times New Roman"/>
          <w:bCs/>
          <w:i/>
          <w:sz w:val="22"/>
          <w:szCs w:val="22"/>
        </w:rPr>
        <w:t>Evidence of Regional Conservation and Founder Effects</w:t>
      </w:r>
    </w:p>
    <w:p w:rsidR="00735371" w:rsidRDefault="00735371" w:rsidP="00FA086F">
      <w:pPr>
        <w:jc w:val="both"/>
        <w:rPr>
          <w:rFonts w:ascii="Times New Roman" w:hAnsi="Times New Roman" w:cs="Times New Roman"/>
          <w:sz w:val="22"/>
          <w:szCs w:val="22"/>
        </w:rPr>
      </w:pPr>
      <w:r w:rsidRPr="00735371">
        <w:rPr>
          <w:rFonts w:ascii="Times New Roman" w:hAnsi="Times New Roman" w:cs="Times New Roman"/>
          <w:sz w:val="22"/>
          <w:szCs w:val="22"/>
        </w:rPr>
        <w:t xml:space="preserve">The combination of low allelic variety and stable equilibrium points toward a localized </w:t>
      </w:r>
      <w:r w:rsidRPr="00951749">
        <w:rPr>
          <w:rFonts w:ascii="Times New Roman" w:hAnsi="Times New Roman" w:cs="Times New Roman"/>
          <w:sz w:val="22"/>
          <w:szCs w:val="22"/>
        </w:rPr>
        <w:t xml:space="preserve">founder effect or a stabilized historical population bottleneck rather than ongoing evolutionary flux. Because </w:t>
      </w:r>
      <w:r w:rsidR="00951749">
        <w:rPr>
          <w:rFonts w:ascii="Times New Roman" w:hAnsi="Times New Roman" w:cs="Times New Roman"/>
          <w:sz w:val="22"/>
          <w:szCs w:val="22"/>
        </w:rPr>
        <w:t>the</w:t>
      </w:r>
      <w:r w:rsidRPr="00735371">
        <w:rPr>
          <w:rFonts w:ascii="Times New Roman" w:hAnsi="Times New Roman" w:cs="Times New Roman"/>
          <w:sz w:val="22"/>
          <w:szCs w:val="22"/>
        </w:rPr>
        <w:t xml:space="preserve"> student cohorts are drawn from localized geographic catchments, this profile concludes that the regional demographic pool inherits a highly conserved, localized gene pocket dominated by lower-range repeat units characteristic of specific regional ancestral heritages.</w:t>
      </w:r>
    </w:p>
    <w:p w:rsidR="00951749" w:rsidRPr="00735371" w:rsidRDefault="00951749" w:rsidP="00FA086F">
      <w:pPr>
        <w:jc w:val="both"/>
        <w:rPr>
          <w:rFonts w:ascii="Times New Roman" w:hAnsi="Times New Roman" w:cs="Times New Roman"/>
          <w:sz w:val="22"/>
          <w:szCs w:val="22"/>
        </w:rPr>
      </w:pPr>
    </w:p>
    <w:p w:rsidR="00735371" w:rsidRPr="00FA086F" w:rsidRDefault="00735371" w:rsidP="00FA086F">
      <w:pPr>
        <w:jc w:val="both"/>
        <w:rPr>
          <w:rFonts w:ascii="Times New Roman" w:hAnsi="Times New Roman" w:cs="Times New Roman"/>
          <w:bCs/>
          <w:sz w:val="22"/>
          <w:szCs w:val="22"/>
        </w:rPr>
      </w:pPr>
      <w:r w:rsidRPr="00FA086F">
        <w:rPr>
          <w:rFonts w:ascii="Times New Roman" w:hAnsi="Times New Roman" w:cs="Times New Roman"/>
          <w:bCs/>
          <w:sz w:val="22"/>
          <w:szCs w:val="22"/>
        </w:rPr>
        <w:t xml:space="preserve">4. </w:t>
      </w:r>
      <w:r w:rsidRPr="00327DD7">
        <w:rPr>
          <w:rFonts w:ascii="Times New Roman" w:hAnsi="Times New Roman" w:cs="Times New Roman"/>
          <w:bCs/>
          <w:i/>
          <w:sz w:val="22"/>
          <w:szCs w:val="22"/>
        </w:rPr>
        <w:t>Maximized Local Forensic Capacity paired with Global Profiling Limitations</w:t>
      </w:r>
    </w:p>
    <w:p w:rsidR="00735371" w:rsidRPr="00735371" w:rsidRDefault="00735371" w:rsidP="00FA086F">
      <w:pPr>
        <w:jc w:val="both"/>
        <w:rPr>
          <w:rFonts w:ascii="Times New Roman" w:hAnsi="Times New Roman" w:cs="Times New Roman"/>
          <w:sz w:val="22"/>
          <w:szCs w:val="22"/>
        </w:rPr>
      </w:pPr>
      <w:r w:rsidRPr="00735371">
        <w:rPr>
          <w:rFonts w:ascii="Times New Roman" w:hAnsi="Times New Roman" w:cs="Times New Roman"/>
          <w:sz w:val="22"/>
          <w:szCs w:val="22"/>
        </w:rPr>
        <w:t xml:space="preserve">From an analytical and forensic perspective, because the frequencies of </w:t>
      </w:r>
      <w:r w:rsidRPr="00FA086F">
        <w:rPr>
          <w:rFonts w:ascii="Times New Roman" w:hAnsi="Times New Roman" w:cs="Times New Roman"/>
          <w:i/>
          <w:sz w:val="22"/>
          <w:szCs w:val="22"/>
        </w:rPr>
        <w:t>p</w:t>
      </w:r>
      <w:r w:rsidRPr="00735371">
        <w:rPr>
          <w:rFonts w:ascii="Times New Roman" w:hAnsi="Times New Roman" w:cs="Times New Roman"/>
          <w:sz w:val="22"/>
          <w:szCs w:val="22"/>
        </w:rPr>
        <w:t xml:space="preserve"> and </w:t>
      </w:r>
      <w:r w:rsidRPr="00FA086F">
        <w:rPr>
          <w:rFonts w:ascii="Times New Roman" w:hAnsi="Times New Roman" w:cs="Times New Roman"/>
          <w:i/>
          <w:sz w:val="22"/>
          <w:szCs w:val="22"/>
        </w:rPr>
        <w:t>q</w:t>
      </w:r>
      <w:r w:rsidRPr="00735371">
        <w:rPr>
          <w:rFonts w:ascii="Times New Roman" w:hAnsi="Times New Roman" w:cs="Times New Roman"/>
          <w:sz w:val="22"/>
          <w:szCs w:val="22"/>
        </w:rPr>
        <w:t xml:space="preserve"> are nearly equal, the locus achieves its maximum localized </w:t>
      </w:r>
      <w:r w:rsidRPr="00951749">
        <w:rPr>
          <w:rFonts w:ascii="Times New Roman" w:hAnsi="Times New Roman" w:cs="Times New Roman"/>
          <w:sz w:val="22"/>
          <w:szCs w:val="22"/>
        </w:rPr>
        <w:t>Power of Discrimination</w:t>
      </w:r>
      <w:r w:rsidRPr="00735371">
        <w:rPr>
          <w:rFonts w:ascii="Times New Roman" w:hAnsi="Times New Roman" w:cs="Times New Roman"/>
          <w:sz w:val="22"/>
          <w:szCs w:val="22"/>
        </w:rPr>
        <w:t xml:space="preserve"> and heterozygosity rate possible for a two-allele system. However, because more than half the class shares overlapping profiles, this study concludes that while the D1S80 locus is an excellent instructional model for regional screening and exclusion, it lacks the definitive individualization power required for broad forensic application, validating the modern clinical and legal necessity of multiplexed STR systems.</w:t>
      </w:r>
    </w:p>
    <w:p w:rsidR="00307698" w:rsidRDefault="00307698" w:rsidP="00307698">
      <w:pPr>
        <w:rPr>
          <w:rFonts w:ascii="Times New Roman" w:hAnsi="Times New Roman" w:cs="Times New Roman"/>
          <w:sz w:val="22"/>
          <w:szCs w:val="22"/>
        </w:rPr>
      </w:pPr>
    </w:p>
    <w:p w:rsidR="00A16FD8" w:rsidRPr="00307698" w:rsidRDefault="00A16FD8" w:rsidP="00307698">
      <w:pPr>
        <w:rPr>
          <w:rFonts w:ascii="Times New Roman" w:hAnsi="Times New Roman" w:cs="Times New Roman"/>
          <w:sz w:val="22"/>
          <w:szCs w:val="22"/>
        </w:rPr>
      </w:pPr>
    </w:p>
    <w:p w:rsidR="00327DD7" w:rsidRPr="00327DD7" w:rsidRDefault="00327DD7" w:rsidP="00327DD7">
      <w:pPr>
        <w:rPr>
          <w:rFonts w:ascii="Times New Roman" w:hAnsi="Times New Roman" w:cs="Times New Roman"/>
          <w:b/>
          <w:bCs/>
          <w:sz w:val="22"/>
          <w:szCs w:val="22"/>
        </w:rPr>
      </w:pPr>
      <w:r w:rsidRPr="00327DD7">
        <w:rPr>
          <w:rFonts w:ascii="Times New Roman" w:hAnsi="Times New Roman" w:cs="Times New Roman"/>
          <w:b/>
          <w:bCs/>
          <w:sz w:val="22"/>
          <w:szCs w:val="22"/>
        </w:rPr>
        <w:t>Disclosure statement</w:t>
      </w:r>
    </w:p>
    <w:p w:rsidR="00307698" w:rsidRPr="00327DD7" w:rsidRDefault="00327DD7" w:rsidP="00327DD7">
      <w:pPr>
        <w:rPr>
          <w:rFonts w:ascii="Times New Roman" w:hAnsi="Times New Roman" w:cs="Times New Roman"/>
          <w:bCs/>
          <w:sz w:val="22"/>
          <w:szCs w:val="22"/>
        </w:rPr>
      </w:pPr>
      <w:r w:rsidRPr="00327DD7">
        <w:rPr>
          <w:rFonts w:ascii="Times New Roman" w:hAnsi="Times New Roman" w:cs="Times New Roman"/>
          <w:bCs/>
          <w:sz w:val="22"/>
          <w:szCs w:val="22"/>
        </w:rPr>
        <w:t>The researcher has no conflict of interest to disclose.</w:t>
      </w:r>
    </w:p>
    <w:p w:rsidR="00E86EC4" w:rsidRDefault="00E86EC4" w:rsidP="00A1543E">
      <w:pPr>
        <w:rPr>
          <w:rFonts w:ascii="Times New Roman" w:hAnsi="Times New Roman" w:cs="Times New Roman"/>
          <w:sz w:val="22"/>
          <w:szCs w:val="22"/>
        </w:rPr>
      </w:pPr>
    </w:p>
    <w:p w:rsidR="00A16FD8" w:rsidRDefault="00A16FD8" w:rsidP="00A1543E">
      <w:pPr>
        <w:rPr>
          <w:rFonts w:ascii="Times New Roman" w:hAnsi="Times New Roman" w:cs="Times New Roman"/>
          <w:sz w:val="22"/>
          <w:szCs w:val="22"/>
        </w:rPr>
      </w:pPr>
      <w:bookmarkStart w:id="4" w:name="_GoBack"/>
      <w:bookmarkEnd w:id="4"/>
    </w:p>
    <w:p w:rsidR="00AF689A" w:rsidRPr="00327DD7" w:rsidRDefault="00327DD7" w:rsidP="00A1543E">
      <w:pPr>
        <w:rPr>
          <w:rFonts w:ascii="Times New Roman" w:hAnsi="Times New Roman" w:cs="Times New Roman"/>
          <w:b/>
          <w:sz w:val="22"/>
          <w:szCs w:val="22"/>
        </w:rPr>
      </w:pPr>
      <w:r w:rsidRPr="00327DD7">
        <w:rPr>
          <w:rFonts w:ascii="Times New Roman" w:hAnsi="Times New Roman" w:cs="Times New Roman"/>
          <w:b/>
          <w:sz w:val="22"/>
          <w:szCs w:val="22"/>
        </w:rPr>
        <w:t>REFERENCES</w:t>
      </w:r>
    </w:p>
    <w:p w:rsidR="00AF689A" w:rsidRPr="00901E50" w:rsidRDefault="00AF689A" w:rsidP="00F81FC0">
      <w:pPr>
        <w:pStyle w:val="ListParagraph"/>
        <w:numPr>
          <w:ilvl w:val="0"/>
          <w:numId w:val="4"/>
        </w:numPr>
        <w:autoSpaceDE w:val="0"/>
        <w:autoSpaceDN w:val="0"/>
        <w:adjustRightInd w:val="0"/>
        <w:spacing w:after="240"/>
        <w:jc w:val="both"/>
        <w:rPr>
          <w:rFonts w:ascii="Times New Roman" w:hAnsi="Times New Roman" w:cs="Times New Roman"/>
          <w:color w:val="000000" w:themeColor="text1"/>
          <w:kern w:val="0"/>
          <w:sz w:val="22"/>
          <w:szCs w:val="22"/>
          <w:lang w:val="en-US"/>
        </w:rPr>
      </w:pPr>
      <w:r w:rsidRPr="00901E50">
        <w:rPr>
          <w:rFonts w:ascii="Times New Roman" w:hAnsi="Times New Roman" w:cs="Times New Roman"/>
          <w:color w:val="000000" w:themeColor="text1"/>
          <w:kern w:val="0"/>
          <w:sz w:val="22"/>
          <w:szCs w:val="22"/>
          <w:lang w:val="en-US"/>
        </w:rPr>
        <w:t xml:space="preserve">Jeffreys, A. J., Wilson, V., &amp; Thein, S. L. (1985). Hypervariable ‘minisatellite’ regions in human DNA. </w:t>
      </w:r>
      <w:r w:rsidRPr="00901E50">
        <w:rPr>
          <w:rFonts w:ascii="Times New Roman" w:hAnsi="Times New Roman" w:cs="Times New Roman"/>
          <w:i/>
          <w:iCs/>
          <w:color w:val="000000" w:themeColor="text1"/>
          <w:kern w:val="0"/>
          <w:sz w:val="22"/>
          <w:szCs w:val="22"/>
          <w:lang w:val="en-US"/>
        </w:rPr>
        <w:t>Nature</w:t>
      </w:r>
      <w:r w:rsidRPr="00901E50">
        <w:rPr>
          <w:rFonts w:ascii="Times New Roman" w:hAnsi="Times New Roman" w:cs="Times New Roman"/>
          <w:color w:val="000000" w:themeColor="text1"/>
          <w:kern w:val="0"/>
          <w:sz w:val="22"/>
          <w:szCs w:val="22"/>
          <w:lang w:val="en-US"/>
        </w:rPr>
        <w:t xml:space="preserve">, </w:t>
      </w:r>
      <w:r w:rsidRPr="00901E50">
        <w:rPr>
          <w:rFonts w:ascii="Times New Roman" w:hAnsi="Times New Roman" w:cs="Times New Roman"/>
          <w:i/>
          <w:iCs/>
          <w:color w:val="000000" w:themeColor="text1"/>
          <w:kern w:val="0"/>
          <w:sz w:val="22"/>
          <w:szCs w:val="22"/>
          <w:lang w:val="en-US"/>
        </w:rPr>
        <w:t>314</w:t>
      </w:r>
      <w:r w:rsidRPr="00901E50">
        <w:rPr>
          <w:rFonts w:ascii="Times New Roman" w:hAnsi="Times New Roman" w:cs="Times New Roman"/>
          <w:color w:val="000000" w:themeColor="text1"/>
          <w:kern w:val="0"/>
          <w:sz w:val="22"/>
          <w:szCs w:val="22"/>
          <w:lang w:val="en-US"/>
        </w:rPr>
        <w:t xml:space="preserve">(6006), 67–73. </w:t>
      </w:r>
      <w:hyperlink r:id="rId12" w:history="1">
        <w:r w:rsidRPr="00901E50">
          <w:rPr>
            <w:rFonts w:ascii="Times New Roman" w:hAnsi="Times New Roman" w:cs="Times New Roman"/>
            <w:color w:val="000000" w:themeColor="text1"/>
            <w:kern w:val="0"/>
            <w:sz w:val="22"/>
            <w:szCs w:val="22"/>
            <w:lang w:val="en-US"/>
          </w:rPr>
          <w:t>https://doi.org/10.1038/314067a0</w:t>
        </w:r>
      </w:hyperlink>
    </w:p>
    <w:p w:rsidR="00AF689A" w:rsidRPr="00901E50" w:rsidRDefault="00AF689A" w:rsidP="00F81FC0">
      <w:pPr>
        <w:pStyle w:val="ListParagraph"/>
        <w:numPr>
          <w:ilvl w:val="0"/>
          <w:numId w:val="4"/>
        </w:numPr>
        <w:autoSpaceDE w:val="0"/>
        <w:autoSpaceDN w:val="0"/>
        <w:adjustRightInd w:val="0"/>
        <w:spacing w:after="240"/>
        <w:jc w:val="both"/>
        <w:rPr>
          <w:rFonts w:ascii="Times New Roman" w:hAnsi="Times New Roman" w:cs="Times New Roman"/>
          <w:color w:val="000000" w:themeColor="text1"/>
          <w:kern w:val="0"/>
          <w:sz w:val="22"/>
          <w:szCs w:val="22"/>
          <w:lang w:val="en-US"/>
        </w:rPr>
      </w:pPr>
      <w:r w:rsidRPr="00901E50">
        <w:rPr>
          <w:rFonts w:ascii="Times New Roman" w:hAnsi="Times New Roman" w:cs="Times New Roman"/>
          <w:color w:val="000000" w:themeColor="text1"/>
          <w:kern w:val="0"/>
          <w:sz w:val="22"/>
          <w:szCs w:val="22"/>
          <w:lang w:val="en-US"/>
        </w:rPr>
        <w:t xml:space="preserve">Nakamura, Y., </w:t>
      </w:r>
      <w:proofErr w:type="spellStart"/>
      <w:r w:rsidRPr="00901E50">
        <w:rPr>
          <w:rFonts w:ascii="Times New Roman" w:hAnsi="Times New Roman" w:cs="Times New Roman"/>
          <w:color w:val="000000" w:themeColor="text1"/>
          <w:kern w:val="0"/>
          <w:sz w:val="22"/>
          <w:szCs w:val="22"/>
          <w:lang w:val="en-US"/>
        </w:rPr>
        <w:t>Leppert</w:t>
      </w:r>
      <w:proofErr w:type="spellEnd"/>
      <w:r w:rsidRPr="00901E50">
        <w:rPr>
          <w:rFonts w:ascii="Times New Roman" w:hAnsi="Times New Roman" w:cs="Times New Roman"/>
          <w:color w:val="000000" w:themeColor="text1"/>
          <w:kern w:val="0"/>
          <w:sz w:val="22"/>
          <w:szCs w:val="22"/>
          <w:lang w:val="en-US"/>
        </w:rPr>
        <w:t xml:space="preserve">, M., O'Connell, P., Wolff, R., Holm, T., Culver, M., ... &amp; White, R. (1987). Variable number of tandem repeats (VNTR) markers for human gene mapping. </w:t>
      </w:r>
      <w:r w:rsidRPr="00901E50">
        <w:rPr>
          <w:rFonts w:ascii="Times New Roman" w:hAnsi="Times New Roman" w:cs="Times New Roman"/>
          <w:i/>
          <w:iCs/>
          <w:color w:val="000000" w:themeColor="text1"/>
          <w:kern w:val="0"/>
          <w:sz w:val="22"/>
          <w:szCs w:val="22"/>
          <w:lang w:val="en-US"/>
        </w:rPr>
        <w:t>Science</w:t>
      </w:r>
      <w:r w:rsidRPr="00901E50">
        <w:rPr>
          <w:rFonts w:ascii="Times New Roman" w:hAnsi="Times New Roman" w:cs="Times New Roman"/>
          <w:color w:val="000000" w:themeColor="text1"/>
          <w:kern w:val="0"/>
          <w:sz w:val="22"/>
          <w:szCs w:val="22"/>
          <w:lang w:val="en-US"/>
        </w:rPr>
        <w:t xml:space="preserve">, </w:t>
      </w:r>
      <w:r w:rsidRPr="00901E50">
        <w:rPr>
          <w:rFonts w:ascii="Times New Roman" w:hAnsi="Times New Roman" w:cs="Times New Roman"/>
          <w:i/>
          <w:iCs/>
          <w:color w:val="000000" w:themeColor="text1"/>
          <w:kern w:val="0"/>
          <w:sz w:val="22"/>
          <w:szCs w:val="22"/>
          <w:lang w:val="en-US"/>
        </w:rPr>
        <w:t>235</w:t>
      </w:r>
      <w:r w:rsidRPr="00901E50">
        <w:rPr>
          <w:rFonts w:ascii="Times New Roman" w:hAnsi="Times New Roman" w:cs="Times New Roman"/>
          <w:color w:val="000000" w:themeColor="text1"/>
          <w:kern w:val="0"/>
          <w:sz w:val="22"/>
          <w:szCs w:val="22"/>
          <w:lang w:val="en-US"/>
        </w:rPr>
        <w:t xml:space="preserve">(4796), 1616–1622. </w:t>
      </w:r>
    </w:p>
    <w:p w:rsidR="00AF689A" w:rsidRPr="00901E50" w:rsidRDefault="00AF689A" w:rsidP="00F81FC0">
      <w:pPr>
        <w:pStyle w:val="ListParagraph"/>
        <w:numPr>
          <w:ilvl w:val="0"/>
          <w:numId w:val="4"/>
        </w:numPr>
        <w:autoSpaceDE w:val="0"/>
        <w:autoSpaceDN w:val="0"/>
        <w:adjustRightInd w:val="0"/>
        <w:spacing w:after="240"/>
        <w:jc w:val="both"/>
        <w:rPr>
          <w:rFonts w:ascii="Times New Roman" w:hAnsi="Times New Roman" w:cs="Times New Roman"/>
          <w:color w:val="000000" w:themeColor="text1"/>
          <w:kern w:val="0"/>
          <w:sz w:val="22"/>
          <w:szCs w:val="22"/>
          <w:lang w:val="en-US"/>
        </w:rPr>
      </w:pPr>
      <w:r w:rsidRPr="00901E50">
        <w:rPr>
          <w:rFonts w:ascii="Times New Roman" w:hAnsi="Times New Roman" w:cs="Times New Roman"/>
          <w:color w:val="000000" w:themeColor="text1"/>
          <w:kern w:val="0"/>
          <w:sz w:val="22"/>
          <w:szCs w:val="22"/>
          <w:lang w:val="en-US"/>
        </w:rPr>
        <w:t xml:space="preserve">Sari </w:t>
      </w:r>
      <w:proofErr w:type="spellStart"/>
      <w:r w:rsidRPr="00901E50">
        <w:rPr>
          <w:rFonts w:ascii="Times New Roman" w:hAnsi="Times New Roman" w:cs="Times New Roman"/>
          <w:color w:val="000000" w:themeColor="text1"/>
          <w:kern w:val="0"/>
          <w:sz w:val="22"/>
          <w:szCs w:val="22"/>
          <w:lang w:val="en-US"/>
        </w:rPr>
        <w:t>Rahma</w:t>
      </w:r>
      <w:proofErr w:type="spellEnd"/>
      <w:r w:rsidRPr="00901E50">
        <w:rPr>
          <w:rFonts w:ascii="Times New Roman" w:hAnsi="Times New Roman" w:cs="Times New Roman"/>
          <w:color w:val="000000" w:themeColor="text1"/>
          <w:kern w:val="0"/>
          <w:sz w:val="22"/>
          <w:szCs w:val="22"/>
          <w:lang w:val="en-US"/>
        </w:rPr>
        <w:t xml:space="preserve"> Pinta, </w:t>
      </w:r>
      <w:proofErr w:type="spellStart"/>
      <w:r w:rsidRPr="00901E50">
        <w:rPr>
          <w:rFonts w:ascii="Times New Roman" w:hAnsi="Times New Roman" w:cs="Times New Roman"/>
          <w:color w:val="000000" w:themeColor="text1"/>
          <w:kern w:val="0"/>
          <w:sz w:val="22"/>
          <w:szCs w:val="22"/>
          <w:lang w:val="en-US"/>
        </w:rPr>
        <w:t>Pradila</w:t>
      </w:r>
      <w:proofErr w:type="spellEnd"/>
      <w:r w:rsidRPr="00901E50">
        <w:rPr>
          <w:rFonts w:ascii="Times New Roman" w:hAnsi="Times New Roman" w:cs="Times New Roman"/>
          <w:color w:val="000000" w:themeColor="text1"/>
          <w:kern w:val="0"/>
          <w:sz w:val="22"/>
          <w:szCs w:val="22"/>
          <w:lang w:val="en-US"/>
        </w:rPr>
        <w:t xml:space="preserve">, A. N., &amp; </w:t>
      </w:r>
      <w:proofErr w:type="spellStart"/>
      <w:r w:rsidRPr="00901E50">
        <w:rPr>
          <w:rFonts w:ascii="Times New Roman" w:hAnsi="Times New Roman" w:cs="Times New Roman"/>
          <w:color w:val="000000" w:themeColor="text1"/>
          <w:kern w:val="0"/>
          <w:sz w:val="22"/>
          <w:szCs w:val="22"/>
          <w:lang w:val="en-US"/>
        </w:rPr>
        <w:t>Achyar</w:t>
      </w:r>
      <w:proofErr w:type="spellEnd"/>
      <w:r w:rsidRPr="00901E50">
        <w:rPr>
          <w:rFonts w:ascii="Times New Roman" w:hAnsi="Times New Roman" w:cs="Times New Roman"/>
          <w:color w:val="000000" w:themeColor="text1"/>
          <w:kern w:val="0"/>
          <w:sz w:val="22"/>
          <w:szCs w:val="22"/>
          <w:lang w:val="en-US"/>
        </w:rPr>
        <w:t xml:space="preserve">, A. (2023). Analysis of VNTRs (variable number tandem repeat) D1S80 in Biology </w:t>
      </w:r>
      <w:proofErr w:type="gramStart"/>
      <w:r w:rsidRPr="00901E50">
        <w:rPr>
          <w:rFonts w:ascii="Times New Roman" w:hAnsi="Times New Roman" w:cs="Times New Roman"/>
          <w:color w:val="000000" w:themeColor="text1"/>
          <w:kern w:val="0"/>
          <w:sz w:val="22"/>
          <w:szCs w:val="22"/>
          <w:lang w:val="en-US"/>
        </w:rPr>
        <w:t>students</w:t>
      </w:r>
      <w:proofErr w:type="gramEnd"/>
      <w:r w:rsidRPr="00901E50">
        <w:rPr>
          <w:rFonts w:ascii="Times New Roman" w:hAnsi="Times New Roman" w:cs="Times New Roman"/>
          <w:color w:val="000000" w:themeColor="text1"/>
          <w:kern w:val="0"/>
          <w:sz w:val="22"/>
          <w:szCs w:val="22"/>
          <w:lang w:val="en-US"/>
        </w:rPr>
        <w:t xml:space="preserve"> class. </w:t>
      </w:r>
      <w:r w:rsidRPr="00901E50">
        <w:rPr>
          <w:rFonts w:ascii="Times New Roman" w:hAnsi="Times New Roman" w:cs="Times New Roman"/>
          <w:i/>
          <w:iCs/>
          <w:color w:val="000000" w:themeColor="text1"/>
          <w:kern w:val="0"/>
          <w:sz w:val="22"/>
          <w:szCs w:val="22"/>
          <w:lang w:val="en-US"/>
        </w:rPr>
        <w:t>Tropical Genetics</w:t>
      </w:r>
      <w:r w:rsidRPr="00901E50">
        <w:rPr>
          <w:rFonts w:ascii="Times New Roman" w:hAnsi="Times New Roman" w:cs="Times New Roman"/>
          <w:color w:val="000000" w:themeColor="text1"/>
          <w:kern w:val="0"/>
          <w:sz w:val="22"/>
          <w:szCs w:val="22"/>
          <w:lang w:val="en-US"/>
        </w:rPr>
        <w:t xml:space="preserve">, </w:t>
      </w:r>
      <w:r w:rsidRPr="00901E50">
        <w:rPr>
          <w:rFonts w:ascii="Times New Roman" w:hAnsi="Times New Roman" w:cs="Times New Roman"/>
          <w:i/>
          <w:iCs/>
          <w:color w:val="000000" w:themeColor="text1"/>
          <w:kern w:val="0"/>
          <w:sz w:val="22"/>
          <w:szCs w:val="22"/>
          <w:lang w:val="en-US"/>
        </w:rPr>
        <w:t>3</w:t>
      </w:r>
      <w:r w:rsidRPr="00901E50">
        <w:rPr>
          <w:rFonts w:ascii="Times New Roman" w:hAnsi="Times New Roman" w:cs="Times New Roman"/>
          <w:color w:val="000000" w:themeColor="text1"/>
          <w:kern w:val="0"/>
          <w:sz w:val="22"/>
          <w:szCs w:val="22"/>
          <w:lang w:val="en-US"/>
        </w:rPr>
        <w:t xml:space="preserve">(1), 14–19. </w:t>
      </w:r>
    </w:p>
    <w:p w:rsidR="00AF689A" w:rsidRDefault="00AF689A" w:rsidP="00F81FC0">
      <w:pPr>
        <w:pStyle w:val="ListParagraph"/>
        <w:numPr>
          <w:ilvl w:val="0"/>
          <w:numId w:val="4"/>
        </w:numPr>
        <w:autoSpaceDE w:val="0"/>
        <w:autoSpaceDN w:val="0"/>
        <w:adjustRightInd w:val="0"/>
        <w:spacing w:after="240"/>
        <w:jc w:val="both"/>
        <w:rPr>
          <w:rFonts w:ascii="Times New Roman" w:hAnsi="Times New Roman" w:cs="Times New Roman"/>
          <w:color w:val="000000" w:themeColor="text1"/>
          <w:kern w:val="0"/>
          <w:sz w:val="22"/>
          <w:szCs w:val="22"/>
          <w:lang w:val="en-US"/>
        </w:rPr>
      </w:pPr>
      <w:proofErr w:type="spellStart"/>
      <w:r w:rsidRPr="00901E50">
        <w:rPr>
          <w:rFonts w:ascii="Times New Roman" w:hAnsi="Times New Roman" w:cs="Times New Roman"/>
          <w:color w:val="000000" w:themeColor="text1"/>
          <w:kern w:val="0"/>
          <w:sz w:val="22"/>
          <w:szCs w:val="22"/>
          <w:lang w:val="en-US"/>
        </w:rPr>
        <w:t>Singsanan</w:t>
      </w:r>
      <w:proofErr w:type="spellEnd"/>
      <w:r w:rsidRPr="00901E50">
        <w:rPr>
          <w:rFonts w:ascii="Times New Roman" w:hAnsi="Times New Roman" w:cs="Times New Roman"/>
          <w:color w:val="000000" w:themeColor="text1"/>
          <w:kern w:val="0"/>
          <w:sz w:val="22"/>
          <w:szCs w:val="22"/>
          <w:lang w:val="en-US"/>
        </w:rPr>
        <w:t xml:space="preserve">, S. (2025). Alpha-globin gene cluster haplotypes and D1S80, D17S5, and TPO VNTR polymorphisms among four ethnic populations from lower northeastern Thailand. </w:t>
      </w:r>
      <w:r w:rsidRPr="00901E50">
        <w:rPr>
          <w:rFonts w:ascii="Times New Roman" w:hAnsi="Times New Roman" w:cs="Times New Roman"/>
          <w:i/>
          <w:iCs/>
          <w:color w:val="000000" w:themeColor="text1"/>
          <w:kern w:val="0"/>
          <w:sz w:val="22"/>
          <w:szCs w:val="22"/>
          <w:lang w:val="en-US"/>
        </w:rPr>
        <w:t>Journal of Medical and Molecular Genetics</w:t>
      </w:r>
      <w:r w:rsidRPr="00901E50">
        <w:rPr>
          <w:rFonts w:ascii="Times New Roman" w:hAnsi="Times New Roman" w:cs="Times New Roman"/>
          <w:color w:val="000000" w:themeColor="text1"/>
          <w:kern w:val="0"/>
          <w:sz w:val="22"/>
          <w:szCs w:val="22"/>
          <w:lang w:val="en-US"/>
        </w:rPr>
        <w:t xml:space="preserve">, </w:t>
      </w:r>
      <w:r w:rsidRPr="00901E50">
        <w:rPr>
          <w:rFonts w:ascii="Times New Roman" w:hAnsi="Times New Roman" w:cs="Times New Roman"/>
          <w:i/>
          <w:iCs/>
          <w:color w:val="000000" w:themeColor="text1"/>
          <w:kern w:val="0"/>
          <w:sz w:val="22"/>
          <w:szCs w:val="22"/>
          <w:lang w:val="en-US"/>
        </w:rPr>
        <w:t>14</w:t>
      </w:r>
      <w:r w:rsidRPr="00901E50">
        <w:rPr>
          <w:rFonts w:ascii="Times New Roman" w:hAnsi="Times New Roman" w:cs="Times New Roman"/>
          <w:color w:val="000000" w:themeColor="text1"/>
          <w:kern w:val="0"/>
          <w:sz w:val="22"/>
          <w:szCs w:val="22"/>
          <w:lang w:val="en-US"/>
        </w:rPr>
        <w:t>(2), 112–121.</w:t>
      </w:r>
    </w:p>
    <w:p w:rsidR="002A1F01" w:rsidRDefault="00BD6C9E" w:rsidP="00F81FC0">
      <w:pPr>
        <w:pStyle w:val="ListParagraph"/>
        <w:numPr>
          <w:ilvl w:val="0"/>
          <w:numId w:val="4"/>
        </w:numPr>
        <w:autoSpaceDE w:val="0"/>
        <w:autoSpaceDN w:val="0"/>
        <w:adjustRightInd w:val="0"/>
        <w:spacing w:after="240"/>
        <w:jc w:val="both"/>
        <w:rPr>
          <w:rFonts w:ascii="Times New Roman" w:hAnsi="Times New Roman" w:cs="Times New Roman"/>
          <w:color w:val="000000" w:themeColor="text1"/>
          <w:kern w:val="0"/>
          <w:sz w:val="22"/>
          <w:szCs w:val="22"/>
          <w:lang w:val="en-US"/>
        </w:rPr>
      </w:pPr>
      <w:r w:rsidRPr="002A1F01">
        <w:rPr>
          <w:rFonts w:ascii="Times New Roman" w:hAnsi="Times New Roman" w:cs="Times New Roman"/>
          <w:color w:val="000000" w:themeColor="text1"/>
          <w:kern w:val="0"/>
          <w:sz w:val="22"/>
          <w:szCs w:val="22"/>
          <w:lang w:val="en-US"/>
        </w:rPr>
        <w:t xml:space="preserve">Kasai, K., Nakamura, Y., &amp; White, R. (1990). Amplification of a VNTR locus (pMCT118) by the polymerase chain reaction (PCR) and its application to forensic science. Journal of Forensic Sciences, 35(5), 1196–1200. </w:t>
      </w:r>
    </w:p>
    <w:p w:rsidR="00BD6C9E" w:rsidRPr="002A1F01" w:rsidRDefault="00BD6C9E" w:rsidP="00F81FC0">
      <w:pPr>
        <w:pStyle w:val="ListParagraph"/>
        <w:numPr>
          <w:ilvl w:val="0"/>
          <w:numId w:val="4"/>
        </w:numPr>
        <w:autoSpaceDE w:val="0"/>
        <w:autoSpaceDN w:val="0"/>
        <w:adjustRightInd w:val="0"/>
        <w:spacing w:after="240"/>
        <w:jc w:val="both"/>
        <w:rPr>
          <w:rFonts w:ascii="Times New Roman" w:hAnsi="Times New Roman" w:cs="Times New Roman"/>
          <w:color w:val="000000" w:themeColor="text1"/>
          <w:kern w:val="0"/>
          <w:sz w:val="22"/>
          <w:szCs w:val="22"/>
          <w:lang w:val="en-US"/>
        </w:rPr>
      </w:pPr>
      <w:proofErr w:type="spellStart"/>
      <w:r w:rsidRPr="002A1F01">
        <w:rPr>
          <w:rFonts w:ascii="Times New Roman" w:hAnsi="Times New Roman" w:cs="Times New Roman"/>
          <w:color w:val="000000" w:themeColor="text1"/>
          <w:kern w:val="0"/>
          <w:sz w:val="22"/>
          <w:szCs w:val="22"/>
          <w:lang w:val="en-US"/>
        </w:rPr>
        <w:t>Budowle</w:t>
      </w:r>
      <w:proofErr w:type="spellEnd"/>
      <w:r w:rsidRPr="002A1F01">
        <w:rPr>
          <w:rFonts w:ascii="Times New Roman" w:hAnsi="Times New Roman" w:cs="Times New Roman"/>
          <w:color w:val="000000" w:themeColor="text1"/>
          <w:kern w:val="0"/>
          <w:sz w:val="22"/>
          <w:szCs w:val="22"/>
          <w:lang w:val="en-US"/>
        </w:rPr>
        <w:t xml:space="preserve">, B., Lindsay, J. A., </w:t>
      </w:r>
      <w:proofErr w:type="spellStart"/>
      <w:r w:rsidRPr="002A1F01">
        <w:rPr>
          <w:rFonts w:ascii="Times New Roman" w:hAnsi="Times New Roman" w:cs="Times New Roman"/>
          <w:color w:val="000000" w:themeColor="text1"/>
          <w:kern w:val="0"/>
          <w:sz w:val="22"/>
          <w:szCs w:val="22"/>
          <w:lang w:val="en-US"/>
        </w:rPr>
        <w:t>DeCou</w:t>
      </w:r>
      <w:proofErr w:type="spellEnd"/>
      <w:r w:rsidRPr="002A1F01">
        <w:rPr>
          <w:rFonts w:ascii="Times New Roman" w:hAnsi="Times New Roman" w:cs="Times New Roman"/>
          <w:color w:val="000000" w:themeColor="text1"/>
          <w:kern w:val="0"/>
          <w:sz w:val="22"/>
          <w:szCs w:val="22"/>
          <w:lang w:val="en-US"/>
        </w:rPr>
        <w:t xml:space="preserve">, J. A., Mackay, R., Giusti, A. M., &amp; Comey, C. T. (1995). Subpopulation effects of the D1S80 locus. Forensic Science International, 71(3), 221–237. </w:t>
      </w:r>
      <w:hyperlink r:id="rId13" w:history="1">
        <w:r w:rsidRPr="00327DD7">
          <w:rPr>
            <w:rStyle w:val="Hyperlink"/>
            <w:rFonts w:ascii="Times New Roman" w:hAnsi="Times New Roman" w:cs="Times New Roman"/>
            <w:color w:val="000000" w:themeColor="text1"/>
            <w:kern w:val="0"/>
            <w:sz w:val="22"/>
            <w:szCs w:val="22"/>
            <w:u w:val="none"/>
            <w:lang w:val="en-US"/>
          </w:rPr>
          <w:t>https://doi.org/10.1016/0379-0738(94)01671-P</w:t>
        </w:r>
      </w:hyperlink>
    </w:p>
    <w:p w:rsidR="00BD6C9E" w:rsidRDefault="00BD6C9E" w:rsidP="00F81FC0">
      <w:pPr>
        <w:pStyle w:val="ListParagraph"/>
        <w:numPr>
          <w:ilvl w:val="0"/>
          <w:numId w:val="4"/>
        </w:numPr>
        <w:autoSpaceDE w:val="0"/>
        <w:autoSpaceDN w:val="0"/>
        <w:adjustRightInd w:val="0"/>
        <w:spacing w:after="240"/>
        <w:jc w:val="both"/>
        <w:rPr>
          <w:rFonts w:ascii="Times New Roman" w:hAnsi="Times New Roman" w:cs="Times New Roman"/>
          <w:color w:val="000000" w:themeColor="text1"/>
          <w:kern w:val="0"/>
          <w:sz w:val="22"/>
          <w:szCs w:val="22"/>
          <w:lang w:val="en-US"/>
        </w:rPr>
      </w:pPr>
      <w:proofErr w:type="spellStart"/>
      <w:r w:rsidRPr="00BD6C9E">
        <w:rPr>
          <w:rFonts w:ascii="Times New Roman" w:hAnsi="Times New Roman" w:cs="Times New Roman"/>
          <w:color w:val="000000" w:themeColor="text1"/>
          <w:kern w:val="0"/>
          <w:sz w:val="22"/>
          <w:szCs w:val="22"/>
          <w:lang w:val="en-US"/>
        </w:rPr>
        <w:t>Hartl</w:t>
      </w:r>
      <w:proofErr w:type="spellEnd"/>
      <w:r w:rsidRPr="00BD6C9E">
        <w:rPr>
          <w:rFonts w:ascii="Times New Roman" w:hAnsi="Times New Roman" w:cs="Times New Roman"/>
          <w:color w:val="000000" w:themeColor="text1"/>
          <w:kern w:val="0"/>
          <w:sz w:val="22"/>
          <w:szCs w:val="22"/>
          <w:lang w:val="en-US"/>
        </w:rPr>
        <w:t>, D. L., &amp; Clark, A. G. (2007). Principles of Population Genetics (4th ed.). Sinauer Associates.</w:t>
      </w:r>
    </w:p>
    <w:p w:rsidR="00BD6C9E" w:rsidRDefault="00BD6C9E" w:rsidP="00F81FC0">
      <w:pPr>
        <w:pStyle w:val="ListParagraph"/>
        <w:numPr>
          <w:ilvl w:val="0"/>
          <w:numId w:val="4"/>
        </w:numPr>
        <w:autoSpaceDE w:val="0"/>
        <w:autoSpaceDN w:val="0"/>
        <w:adjustRightInd w:val="0"/>
        <w:spacing w:after="240"/>
        <w:jc w:val="both"/>
        <w:rPr>
          <w:rFonts w:ascii="Times New Roman" w:hAnsi="Times New Roman" w:cs="Times New Roman"/>
          <w:color w:val="000000" w:themeColor="text1"/>
          <w:kern w:val="0"/>
          <w:sz w:val="22"/>
          <w:szCs w:val="22"/>
          <w:lang w:val="en-US"/>
        </w:rPr>
      </w:pPr>
      <w:r w:rsidRPr="00BD6C9E">
        <w:rPr>
          <w:rFonts w:ascii="Times New Roman" w:hAnsi="Times New Roman" w:cs="Times New Roman"/>
          <w:color w:val="000000" w:themeColor="text1"/>
          <w:kern w:val="0"/>
          <w:sz w:val="22"/>
          <w:szCs w:val="22"/>
          <w:lang w:val="en-US"/>
        </w:rPr>
        <w:t xml:space="preserve">Cavalli-Sforza, L. L., </w:t>
      </w:r>
      <w:proofErr w:type="spellStart"/>
      <w:r w:rsidRPr="00BD6C9E">
        <w:rPr>
          <w:rFonts w:ascii="Times New Roman" w:hAnsi="Times New Roman" w:cs="Times New Roman"/>
          <w:color w:val="000000" w:themeColor="text1"/>
          <w:kern w:val="0"/>
          <w:sz w:val="22"/>
          <w:szCs w:val="22"/>
          <w:lang w:val="en-US"/>
        </w:rPr>
        <w:t>Menozzi</w:t>
      </w:r>
      <w:proofErr w:type="spellEnd"/>
      <w:r w:rsidRPr="00BD6C9E">
        <w:rPr>
          <w:rFonts w:ascii="Times New Roman" w:hAnsi="Times New Roman" w:cs="Times New Roman"/>
          <w:color w:val="000000" w:themeColor="text1"/>
          <w:kern w:val="0"/>
          <w:sz w:val="22"/>
          <w:szCs w:val="22"/>
          <w:lang w:val="en-US"/>
        </w:rPr>
        <w:t>, P., &amp; Piazza, A. (1994). The History and Geography of Human Genes. Princeton University Press.</w:t>
      </w:r>
    </w:p>
    <w:p w:rsidR="00BD6C9E" w:rsidRDefault="00BD6C9E" w:rsidP="00F81FC0">
      <w:pPr>
        <w:pStyle w:val="ListParagraph"/>
        <w:numPr>
          <w:ilvl w:val="0"/>
          <w:numId w:val="4"/>
        </w:numPr>
        <w:autoSpaceDE w:val="0"/>
        <w:autoSpaceDN w:val="0"/>
        <w:adjustRightInd w:val="0"/>
        <w:spacing w:after="240"/>
        <w:jc w:val="both"/>
        <w:rPr>
          <w:rFonts w:ascii="Times New Roman" w:hAnsi="Times New Roman" w:cs="Times New Roman"/>
          <w:color w:val="000000" w:themeColor="text1"/>
          <w:kern w:val="0"/>
          <w:sz w:val="22"/>
          <w:szCs w:val="22"/>
          <w:lang w:val="en-US"/>
        </w:rPr>
      </w:pPr>
      <w:proofErr w:type="spellStart"/>
      <w:r w:rsidRPr="00BD6C9E">
        <w:rPr>
          <w:rFonts w:ascii="Times New Roman" w:hAnsi="Times New Roman" w:cs="Times New Roman"/>
          <w:color w:val="000000" w:themeColor="text1"/>
          <w:kern w:val="0"/>
          <w:sz w:val="22"/>
          <w:szCs w:val="22"/>
          <w:lang w:val="en-US"/>
        </w:rPr>
        <w:t>Köseler</w:t>
      </w:r>
      <w:proofErr w:type="spellEnd"/>
      <w:r w:rsidRPr="00BD6C9E">
        <w:rPr>
          <w:rFonts w:ascii="Times New Roman" w:hAnsi="Times New Roman" w:cs="Times New Roman"/>
          <w:color w:val="000000" w:themeColor="text1"/>
          <w:kern w:val="0"/>
          <w:sz w:val="22"/>
          <w:szCs w:val="22"/>
          <w:lang w:val="en-US"/>
        </w:rPr>
        <w:t xml:space="preserve">, A., </w:t>
      </w:r>
      <w:proofErr w:type="spellStart"/>
      <w:r w:rsidRPr="00BD6C9E">
        <w:rPr>
          <w:rFonts w:ascii="Times New Roman" w:hAnsi="Times New Roman" w:cs="Times New Roman"/>
          <w:color w:val="000000" w:themeColor="text1"/>
          <w:kern w:val="0"/>
          <w:sz w:val="22"/>
          <w:szCs w:val="22"/>
          <w:lang w:val="en-US"/>
        </w:rPr>
        <w:t>Atalay</w:t>
      </w:r>
      <w:proofErr w:type="spellEnd"/>
      <w:r w:rsidRPr="00BD6C9E">
        <w:rPr>
          <w:rFonts w:ascii="Times New Roman" w:hAnsi="Times New Roman" w:cs="Times New Roman"/>
          <w:color w:val="000000" w:themeColor="text1"/>
          <w:kern w:val="0"/>
          <w:sz w:val="22"/>
          <w:szCs w:val="22"/>
          <w:lang w:val="en-US"/>
        </w:rPr>
        <w:t xml:space="preserve">, A., &amp; </w:t>
      </w:r>
      <w:proofErr w:type="spellStart"/>
      <w:r w:rsidRPr="00BD6C9E">
        <w:rPr>
          <w:rFonts w:ascii="Times New Roman" w:hAnsi="Times New Roman" w:cs="Times New Roman"/>
          <w:color w:val="000000" w:themeColor="text1"/>
          <w:kern w:val="0"/>
          <w:sz w:val="22"/>
          <w:szCs w:val="22"/>
          <w:lang w:val="en-US"/>
        </w:rPr>
        <w:t>Atalay</w:t>
      </w:r>
      <w:proofErr w:type="spellEnd"/>
      <w:r w:rsidRPr="00BD6C9E">
        <w:rPr>
          <w:rFonts w:ascii="Times New Roman" w:hAnsi="Times New Roman" w:cs="Times New Roman"/>
          <w:color w:val="000000" w:themeColor="text1"/>
          <w:kern w:val="0"/>
          <w:sz w:val="22"/>
          <w:szCs w:val="22"/>
          <w:lang w:val="en-US"/>
        </w:rPr>
        <w:t xml:space="preserve">, E. Ö. (2009). Allele frequency of VNTR locus D1S80 observed in </w:t>
      </w:r>
      <w:proofErr w:type="spellStart"/>
      <w:r w:rsidRPr="00BD6C9E">
        <w:rPr>
          <w:rFonts w:ascii="Times New Roman" w:hAnsi="Times New Roman" w:cs="Times New Roman"/>
          <w:color w:val="000000" w:themeColor="text1"/>
          <w:kern w:val="0"/>
          <w:sz w:val="22"/>
          <w:szCs w:val="22"/>
          <w:lang w:val="en-US"/>
        </w:rPr>
        <w:t>Denizli</w:t>
      </w:r>
      <w:proofErr w:type="spellEnd"/>
      <w:r w:rsidRPr="00BD6C9E">
        <w:rPr>
          <w:rFonts w:ascii="Times New Roman" w:hAnsi="Times New Roman" w:cs="Times New Roman"/>
          <w:color w:val="000000" w:themeColor="text1"/>
          <w:kern w:val="0"/>
          <w:sz w:val="22"/>
          <w:szCs w:val="22"/>
          <w:lang w:val="en-US"/>
        </w:rPr>
        <w:t xml:space="preserve"> Province of Turkey. Biochemical Genetics, 47(7-8), 540–546. </w:t>
      </w:r>
      <w:hyperlink r:id="rId14" w:history="1">
        <w:r w:rsidRPr="00327DD7">
          <w:rPr>
            <w:rStyle w:val="Hyperlink"/>
            <w:rFonts w:ascii="Times New Roman" w:hAnsi="Times New Roman" w:cs="Times New Roman"/>
            <w:color w:val="000000" w:themeColor="text1"/>
            <w:kern w:val="0"/>
            <w:sz w:val="22"/>
            <w:szCs w:val="22"/>
            <w:u w:val="none"/>
            <w:lang w:val="en-US"/>
          </w:rPr>
          <w:t>https://doi.org/10.1007/s10528-009-9250-6</w:t>
        </w:r>
      </w:hyperlink>
    </w:p>
    <w:p w:rsidR="00AF689A" w:rsidRDefault="00AF689A" w:rsidP="00F81FC0">
      <w:pPr>
        <w:pStyle w:val="ListParagraph"/>
        <w:numPr>
          <w:ilvl w:val="0"/>
          <w:numId w:val="4"/>
        </w:numPr>
        <w:autoSpaceDE w:val="0"/>
        <w:autoSpaceDN w:val="0"/>
        <w:adjustRightInd w:val="0"/>
        <w:spacing w:after="240"/>
        <w:jc w:val="both"/>
        <w:rPr>
          <w:rFonts w:ascii="Times New Roman" w:hAnsi="Times New Roman" w:cs="Times New Roman"/>
          <w:color w:val="000000" w:themeColor="text1"/>
          <w:kern w:val="0"/>
          <w:sz w:val="22"/>
          <w:szCs w:val="22"/>
          <w:lang w:val="en-US"/>
        </w:rPr>
      </w:pPr>
      <w:proofErr w:type="spellStart"/>
      <w:r w:rsidRPr="00BD6C9E">
        <w:rPr>
          <w:rFonts w:ascii="Times New Roman" w:hAnsi="Times New Roman" w:cs="Times New Roman"/>
          <w:color w:val="000000" w:themeColor="text1"/>
          <w:kern w:val="0"/>
          <w:sz w:val="22"/>
          <w:szCs w:val="22"/>
          <w:lang w:val="en-US"/>
        </w:rPr>
        <w:lastRenderedPageBreak/>
        <w:t>Vallinoto</w:t>
      </w:r>
      <w:proofErr w:type="spellEnd"/>
      <w:r w:rsidRPr="00BD6C9E">
        <w:rPr>
          <w:rFonts w:ascii="Times New Roman" w:hAnsi="Times New Roman" w:cs="Times New Roman"/>
          <w:color w:val="000000" w:themeColor="text1"/>
          <w:kern w:val="0"/>
          <w:sz w:val="22"/>
          <w:szCs w:val="22"/>
          <w:lang w:val="en-US"/>
        </w:rPr>
        <w:t xml:space="preserve">, I. M. V. C., </w:t>
      </w:r>
      <w:proofErr w:type="spellStart"/>
      <w:r w:rsidRPr="00BD6C9E">
        <w:rPr>
          <w:rFonts w:ascii="Times New Roman" w:hAnsi="Times New Roman" w:cs="Times New Roman"/>
          <w:color w:val="000000" w:themeColor="text1"/>
          <w:kern w:val="0"/>
          <w:sz w:val="22"/>
          <w:szCs w:val="22"/>
          <w:lang w:val="en-US"/>
        </w:rPr>
        <w:t>Vallinoto</w:t>
      </w:r>
      <w:proofErr w:type="spellEnd"/>
      <w:r w:rsidRPr="00BD6C9E">
        <w:rPr>
          <w:rFonts w:ascii="Times New Roman" w:hAnsi="Times New Roman" w:cs="Times New Roman"/>
          <w:color w:val="000000" w:themeColor="text1"/>
          <w:kern w:val="0"/>
          <w:sz w:val="22"/>
          <w:szCs w:val="22"/>
          <w:lang w:val="en-US"/>
        </w:rPr>
        <w:t xml:space="preserve">, A. C. R., Valente, C. M. D., &amp; </w:t>
      </w:r>
      <w:proofErr w:type="spellStart"/>
      <w:r w:rsidRPr="00BD6C9E">
        <w:rPr>
          <w:rFonts w:ascii="Times New Roman" w:hAnsi="Times New Roman" w:cs="Times New Roman"/>
          <w:color w:val="000000" w:themeColor="text1"/>
          <w:kern w:val="0"/>
          <w:sz w:val="22"/>
          <w:szCs w:val="22"/>
          <w:lang w:val="en-US"/>
        </w:rPr>
        <w:t>Guerreiro</w:t>
      </w:r>
      <w:proofErr w:type="spellEnd"/>
      <w:r w:rsidRPr="00BD6C9E">
        <w:rPr>
          <w:rFonts w:ascii="Times New Roman" w:hAnsi="Times New Roman" w:cs="Times New Roman"/>
          <w:color w:val="000000" w:themeColor="text1"/>
          <w:kern w:val="0"/>
          <w:sz w:val="22"/>
          <w:szCs w:val="22"/>
          <w:lang w:val="en-US"/>
        </w:rPr>
        <w:t xml:space="preserve">, J. F. (2003). Allele frequency distributions of six hypervariable loci (D1S80, APOB, D4S43, vW1, F13A and DYS19) in two African-Brazilian communities from the Amazon region. </w:t>
      </w:r>
      <w:r w:rsidRPr="00BD6C9E">
        <w:rPr>
          <w:rFonts w:ascii="Times New Roman" w:hAnsi="Times New Roman" w:cs="Times New Roman"/>
          <w:i/>
          <w:iCs/>
          <w:color w:val="000000" w:themeColor="text1"/>
          <w:kern w:val="0"/>
          <w:sz w:val="22"/>
          <w:szCs w:val="22"/>
          <w:lang w:val="en-US"/>
        </w:rPr>
        <w:t>Genetics and Molecular Biology</w:t>
      </w:r>
      <w:r w:rsidRPr="00BD6C9E">
        <w:rPr>
          <w:rFonts w:ascii="Times New Roman" w:hAnsi="Times New Roman" w:cs="Times New Roman"/>
          <w:color w:val="000000" w:themeColor="text1"/>
          <w:kern w:val="0"/>
          <w:sz w:val="22"/>
          <w:szCs w:val="22"/>
          <w:lang w:val="en-US"/>
        </w:rPr>
        <w:t xml:space="preserve">, </w:t>
      </w:r>
      <w:r w:rsidRPr="00BD6C9E">
        <w:rPr>
          <w:rFonts w:ascii="Times New Roman" w:hAnsi="Times New Roman" w:cs="Times New Roman"/>
          <w:i/>
          <w:iCs/>
          <w:color w:val="000000" w:themeColor="text1"/>
          <w:kern w:val="0"/>
          <w:sz w:val="22"/>
          <w:szCs w:val="22"/>
          <w:lang w:val="en-US"/>
        </w:rPr>
        <w:t>26</w:t>
      </w:r>
      <w:r w:rsidRPr="00BD6C9E">
        <w:rPr>
          <w:rFonts w:ascii="Times New Roman" w:hAnsi="Times New Roman" w:cs="Times New Roman"/>
          <w:color w:val="000000" w:themeColor="text1"/>
          <w:kern w:val="0"/>
          <w:sz w:val="22"/>
          <w:szCs w:val="22"/>
          <w:lang w:val="en-US"/>
        </w:rPr>
        <w:t xml:space="preserve">(3), 235–240. </w:t>
      </w:r>
      <w:hyperlink r:id="rId15" w:history="1">
        <w:r w:rsidRPr="00BD6C9E">
          <w:rPr>
            <w:rFonts w:ascii="Times New Roman" w:hAnsi="Times New Roman" w:cs="Times New Roman"/>
            <w:color w:val="000000" w:themeColor="text1"/>
            <w:kern w:val="0"/>
            <w:sz w:val="22"/>
            <w:szCs w:val="22"/>
            <w:lang w:val="en-US"/>
          </w:rPr>
          <w:t>https://doi.org/10.1590/S1415-475720030003000</w:t>
        </w:r>
      </w:hyperlink>
    </w:p>
    <w:p w:rsidR="003F4134" w:rsidRDefault="003F4134" w:rsidP="00F81FC0">
      <w:pPr>
        <w:pStyle w:val="ListParagraph"/>
        <w:numPr>
          <w:ilvl w:val="0"/>
          <w:numId w:val="4"/>
        </w:numPr>
        <w:autoSpaceDE w:val="0"/>
        <w:autoSpaceDN w:val="0"/>
        <w:adjustRightInd w:val="0"/>
        <w:spacing w:after="240"/>
        <w:jc w:val="both"/>
        <w:rPr>
          <w:rFonts w:ascii="Times New Roman" w:hAnsi="Times New Roman" w:cs="Times New Roman"/>
          <w:color w:val="000000" w:themeColor="text1"/>
          <w:kern w:val="0"/>
          <w:sz w:val="22"/>
          <w:szCs w:val="22"/>
          <w:lang w:val="en-US"/>
        </w:rPr>
      </w:pPr>
      <w:r w:rsidRPr="003F4134">
        <w:rPr>
          <w:rFonts w:ascii="Times New Roman" w:hAnsi="Times New Roman" w:cs="Times New Roman"/>
          <w:color w:val="000000" w:themeColor="text1"/>
          <w:kern w:val="0"/>
          <w:sz w:val="22"/>
          <w:szCs w:val="22"/>
          <w:lang w:val="en-US"/>
        </w:rPr>
        <w:t>Butler, J. M. (2012). Advanced Topics in Forensic DNA Typing: Methodology. Academic Press.</w:t>
      </w:r>
    </w:p>
    <w:p w:rsidR="00322036" w:rsidRDefault="00322036" w:rsidP="00F81FC0">
      <w:pPr>
        <w:pStyle w:val="ListParagraph"/>
        <w:numPr>
          <w:ilvl w:val="0"/>
          <w:numId w:val="4"/>
        </w:numPr>
        <w:autoSpaceDE w:val="0"/>
        <w:autoSpaceDN w:val="0"/>
        <w:adjustRightInd w:val="0"/>
        <w:spacing w:after="240"/>
        <w:jc w:val="both"/>
        <w:rPr>
          <w:rFonts w:ascii="Times New Roman" w:hAnsi="Times New Roman" w:cs="Times New Roman"/>
          <w:color w:val="000000" w:themeColor="text1"/>
          <w:kern w:val="0"/>
          <w:sz w:val="22"/>
          <w:szCs w:val="22"/>
          <w:lang w:val="en-US"/>
        </w:rPr>
      </w:pPr>
      <w:proofErr w:type="spellStart"/>
      <w:r w:rsidRPr="00322036">
        <w:rPr>
          <w:rFonts w:ascii="Times New Roman" w:hAnsi="Times New Roman" w:cs="Times New Roman"/>
          <w:color w:val="000000" w:themeColor="text1"/>
          <w:kern w:val="0"/>
          <w:sz w:val="22"/>
          <w:szCs w:val="22"/>
          <w:lang w:val="en-US"/>
        </w:rPr>
        <w:t>Denoeud</w:t>
      </w:r>
      <w:proofErr w:type="spellEnd"/>
      <w:r w:rsidRPr="00322036">
        <w:rPr>
          <w:rFonts w:ascii="Times New Roman" w:hAnsi="Times New Roman" w:cs="Times New Roman"/>
          <w:color w:val="000000" w:themeColor="text1"/>
          <w:kern w:val="0"/>
          <w:sz w:val="22"/>
          <w:szCs w:val="22"/>
          <w:lang w:val="en-US"/>
        </w:rPr>
        <w:t xml:space="preserve">, F., </w:t>
      </w:r>
      <w:proofErr w:type="spellStart"/>
      <w:r w:rsidRPr="00322036">
        <w:rPr>
          <w:rFonts w:ascii="Times New Roman" w:hAnsi="Times New Roman" w:cs="Times New Roman"/>
          <w:color w:val="000000" w:themeColor="text1"/>
          <w:kern w:val="0"/>
          <w:sz w:val="22"/>
          <w:szCs w:val="22"/>
          <w:lang w:val="en-US"/>
        </w:rPr>
        <w:t>Vergnaud</w:t>
      </w:r>
      <w:proofErr w:type="spellEnd"/>
      <w:r w:rsidRPr="00322036">
        <w:rPr>
          <w:rFonts w:ascii="Times New Roman" w:hAnsi="Times New Roman" w:cs="Times New Roman"/>
          <w:color w:val="000000" w:themeColor="text1"/>
          <w:kern w:val="0"/>
          <w:sz w:val="22"/>
          <w:szCs w:val="22"/>
          <w:lang w:val="en-US"/>
        </w:rPr>
        <w:t xml:space="preserve">, G., &amp; Benson, G. (2003). Predicting human minisatellite polymorphism. Genome Research, 13(5), 856–867. </w:t>
      </w:r>
      <w:hyperlink r:id="rId16" w:history="1">
        <w:r w:rsidRPr="00327DD7">
          <w:rPr>
            <w:rStyle w:val="Hyperlink"/>
            <w:rFonts w:ascii="Times New Roman" w:hAnsi="Times New Roman" w:cs="Times New Roman"/>
            <w:color w:val="000000" w:themeColor="text1"/>
            <w:kern w:val="0"/>
            <w:sz w:val="22"/>
            <w:szCs w:val="22"/>
            <w:u w:val="none"/>
            <w:lang w:val="en-US"/>
          </w:rPr>
          <w:t>https://doi.org/10.1101/gr.574403</w:t>
        </w:r>
      </w:hyperlink>
    </w:p>
    <w:p w:rsidR="00322036" w:rsidRDefault="00322036" w:rsidP="00F81FC0">
      <w:pPr>
        <w:pStyle w:val="ListParagraph"/>
        <w:numPr>
          <w:ilvl w:val="0"/>
          <w:numId w:val="4"/>
        </w:numPr>
        <w:autoSpaceDE w:val="0"/>
        <w:autoSpaceDN w:val="0"/>
        <w:adjustRightInd w:val="0"/>
        <w:spacing w:after="240"/>
        <w:jc w:val="both"/>
        <w:rPr>
          <w:rFonts w:ascii="Times New Roman" w:hAnsi="Times New Roman" w:cs="Times New Roman"/>
          <w:color w:val="000000" w:themeColor="text1"/>
          <w:kern w:val="0"/>
          <w:sz w:val="22"/>
          <w:szCs w:val="22"/>
          <w:lang w:val="en-US"/>
        </w:rPr>
      </w:pPr>
      <w:r w:rsidRPr="00322036">
        <w:rPr>
          <w:rFonts w:ascii="Times New Roman" w:hAnsi="Times New Roman" w:cs="Times New Roman"/>
          <w:color w:val="000000" w:themeColor="text1"/>
          <w:kern w:val="0"/>
          <w:sz w:val="22"/>
          <w:szCs w:val="22"/>
          <w:lang w:val="en-US"/>
        </w:rPr>
        <w:t xml:space="preserve">Crawford, M. H., &amp; </w:t>
      </w:r>
      <w:proofErr w:type="spellStart"/>
      <w:r w:rsidRPr="00322036">
        <w:rPr>
          <w:rFonts w:ascii="Times New Roman" w:hAnsi="Times New Roman" w:cs="Times New Roman"/>
          <w:color w:val="000000" w:themeColor="text1"/>
          <w:kern w:val="0"/>
          <w:sz w:val="22"/>
          <w:szCs w:val="22"/>
          <w:lang w:val="en-US"/>
        </w:rPr>
        <w:t>Beaty</w:t>
      </w:r>
      <w:proofErr w:type="spellEnd"/>
      <w:r w:rsidRPr="00322036">
        <w:rPr>
          <w:rFonts w:ascii="Times New Roman" w:hAnsi="Times New Roman" w:cs="Times New Roman"/>
          <w:color w:val="000000" w:themeColor="text1"/>
          <w:kern w:val="0"/>
          <w:sz w:val="22"/>
          <w:szCs w:val="22"/>
          <w:lang w:val="en-US"/>
        </w:rPr>
        <w:t xml:space="preserve">, K. G. (2013). DNA fingerprinting in anthropological genetics: past, present, future. Investigative Genetics, 4, Article 23. </w:t>
      </w:r>
      <w:hyperlink r:id="rId17" w:history="1">
        <w:r w:rsidRPr="00327DD7">
          <w:rPr>
            <w:rStyle w:val="Hyperlink"/>
            <w:rFonts w:ascii="Times New Roman" w:hAnsi="Times New Roman" w:cs="Times New Roman"/>
            <w:color w:val="000000" w:themeColor="text1"/>
            <w:kern w:val="0"/>
            <w:sz w:val="22"/>
            <w:szCs w:val="22"/>
            <w:u w:val="none"/>
            <w:lang w:val="en-US"/>
          </w:rPr>
          <w:t>https://doi.org/10.1186/2041-2223-4-23</w:t>
        </w:r>
      </w:hyperlink>
    </w:p>
    <w:p w:rsidR="00322036" w:rsidRDefault="00322036" w:rsidP="00F81FC0">
      <w:pPr>
        <w:pStyle w:val="ListParagraph"/>
        <w:numPr>
          <w:ilvl w:val="0"/>
          <w:numId w:val="4"/>
        </w:numPr>
        <w:autoSpaceDE w:val="0"/>
        <w:autoSpaceDN w:val="0"/>
        <w:adjustRightInd w:val="0"/>
        <w:spacing w:after="240"/>
        <w:jc w:val="both"/>
        <w:rPr>
          <w:rFonts w:ascii="Times New Roman" w:hAnsi="Times New Roman" w:cs="Times New Roman"/>
          <w:color w:val="000000" w:themeColor="text1"/>
          <w:kern w:val="0"/>
          <w:sz w:val="22"/>
          <w:szCs w:val="22"/>
          <w:lang w:val="en-US"/>
        </w:rPr>
      </w:pPr>
      <w:r w:rsidRPr="00322036">
        <w:rPr>
          <w:rFonts w:ascii="Times New Roman" w:hAnsi="Times New Roman" w:cs="Times New Roman"/>
          <w:color w:val="000000" w:themeColor="text1"/>
          <w:kern w:val="0"/>
          <w:sz w:val="22"/>
          <w:szCs w:val="22"/>
          <w:lang w:val="en-US"/>
        </w:rPr>
        <w:t xml:space="preserve">Hartley, G., &amp; O’Neill, R. J. (2019). Centromere repeats: Hidden gems of the genome. Genes, 10(3), 223. </w:t>
      </w:r>
      <w:hyperlink r:id="rId18" w:history="1">
        <w:r w:rsidRPr="00327DD7">
          <w:rPr>
            <w:rStyle w:val="Hyperlink"/>
            <w:rFonts w:ascii="Times New Roman" w:hAnsi="Times New Roman" w:cs="Times New Roman"/>
            <w:color w:val="000000" w:themeColor="text1"/>
            <w:kern w:val="0"/>
            <w:sz w:val="22"/>
            <w:szCs w:val="22"/>
            <w:u w:val="none"/>
            <w:lang w:val="en-US"/>
          </w:rPr>
          <w:t>https://doi.org/10.3390/genes10030223</w:t>
        </w:r>
      </w:hyperlink>
    </w:p>
    <w:p w:rsidR="00322036" w:rsidRPr="00327DD7" w:rsidRDefault="00322036" w:rsidP="00F81FC0">
      <w:pPr>
        <w:pStyle w:val="ListParagraph"/>
        <w:numPr>
          <w:ilvl w:val="0"/>
          <w:numId w:val="4"/>
        </w:numPr>
        <w:autoSpaceDE w:val="0"/>
        <w:autoSpaceDN w:val="0"/>
        <w:adjustRightInd w:val="0"/>
        <w:spacing w:after="240"/>
        <w:jc w:val="both"/>
        <w:rPr>
          <w:rFonts w:ascii="Times New Roman" w:hAnsi="Times New Roman" w:cs="Times New Roman"/>
          <w:color w:val="000000" w:themeColor="text1"/>
          <w:kern w:val="0"/>
          <w:sz w:val="22"/>
          <w:szCs w:val="22"/>
          <w:lang w:val="en-US"/>
        </w:rPr>
      </w:pPr>
      <w:r w:rsidRPr="00322036">
        <w:rPr>
          <w:rFonts w:ascii="Times New Roman" w:hAnsi="Times New Roman" w:cs="Times New Roman"/>
          <w:color w:val="000000" w:themeColor="text1"/>
          <w:kern w:val="0"/>
          <w:sz w:val="22"/>
          <w:szCs w:val="22"/>
          <w:lang w:val="en-US"/>
        </w:rPr>
        <w:t xml:space="preserve">Balamurugan, K., Duncan, G., &amp; Tracy, M. (2012). Allele frequency distribution of the D1S80 locus in localized ethnic demographic clusters. Journal of Forensic Research, 3(4), 142–148. </w:t>
      </w:r>
      <w:hyperlink r:id="rId19" w:history="1">
        <w:r w:rsidRPr="00327DD7">
          <w:rPr>
            <w:rStyle w:val="Hyperlink"/>
            <w:rFonts w:ascii="Times New Roman" w:hAnsi="Times New Roman" w:cs="Times New Roman"/>
            <w:color w:val="000000" w:themeColor="text1"/>
            <w:kern w:val="0"/>
            <w:sz w:val="22"/>
            <w:szCs w:val="22"/>
            <w:u w:val="none"/>
            <w:lang w:val="en-US"/>
          </w:rPr>
          <w:t>https://doi.org/10.4172/2157-7145.1000142</w:t>
        </w:r>
      </w:hyperlink>
    </w:p>
    <w:p w:rsidR="00322036" w:rsidRPr="00327DD7" w:rsidRDefault="002C7C87" w:rsidP="00F81FC0">
      <w:pPr>
        <w:pStyle w:val="ListParagraph"/>
        <w:numPr>
          <w:ilvl w:val="0"/>
          <w:numId w:val="4"/>
        </w:numPr>
        <w:autoSpaceDE w:val="0"/>
        <w:autoSpaceDN w:val="0"/>
        <w:adjustRightInd w:val="0"/>
        <w:spacing w:after="240"/>
        <w:jc w:val="both"/>
        <w:rPr>
          <w:rFonts w:ascii="Times New Roman" w:hAnsi="Times New Roman" w:cs="Times New Roman"/>
          <w:color w:val="000000" w:themeColor="text1"/>
          <w:kern w:val="0"/>
          <w:sz w:val="22"/>
          <w:szCs w:val="22"/>
          <w:lang w:val="en-US"/>
        </w:rPr>
      </w:pPr>
      <w:proofErr w:type="spellStart"/>
      <w:r w:rsidRPr="002C7C87">
        <w:rPr>
          <w:rFonts w:ascii="Times New Roman" w:hAnsi="Times New Roman" w:cs="Times New Roman"/>
          <w:color w:val="000000" w:themeColor="text1"/>
          <w:kern w:val="0"/>
          <w:sz w:val="22"/>
          <w:szCs w:val="22"/>
          <w:lang w:val="en-US"/>
        </w:rPr>
        <w:t>Noller</w:t>
      </w:r>
      <w:proofErr w:type="spellEnd"/>
      <w:r w:rsidRPr="002C7C87">
        <w:rPr>
          <w:rFonts w:ascii="Times New Roman" w:hAnsi="Times New Roman" w:cs="Times New Roman"/>
          <w:color w:val="000000" w:themeColor="text1"/>
          <w:kern w:val="0"/>
          <w:sz w:val="22"/>
          <w:szCs w:val="22"/>
          <w:lang w:val="en-US"/>
        </w:rPr>
        <w:t xml:space="preserve">, A. C., &amp; </w:t>
      </w:r>
      <w:proofErr w:type="spellStart"/>
      <w:r w:rsidRPr="002C7C87">
        <w:rPr>
          <w:rFonts w:ascii="Times New Roman" w:hAnsi="Times New Roman" w:cs="Times New Roman"/>
          <w:color w:val="000000" w:themeColor="text1"/>
          <w:kern w:val="0"/>
          <w:sz w:val="22"/>
          <w:szCs w:val="22"/>
          <w:lang w:val="en-US"/>
        </w:rPr>
        <w:t>McEllistrem</w:t>
      </w:r>
      <w:proofErr w:type="spellEnd"/>
      <w:r w:rsidRPr="002C7C87">
        <w:rPr>
          <w:rFonts w:ascii="Times New Roman" w:hAnsi="Times New Roman" w:cs="Times New Roman"/>
          <w:color w:val="000000" w:themeColor="text1"/>
          <w:kern w:val="0"/>
          <w:sz w:val="22"/>
          <w:szCs w:val="22"/>
          <w:lang w:val="en-US"/>
        </w:rPr>
        <w:t xml:space="preserve">, M. C. (2014). Evolution and diversity of hypervariable minisatellite loci in regional isolates. Journal of Applied Genetics, 55(2), 181–189. </w:t>
      </w:r>
      <w:hyperlink r:id="rId20" w:history="1">
        <w:r w:rsidRPr="00327DD7">
          <w:rPr>
            <w:rStyle w:val="Hyperlink"/>
            <w:rFonts w:ascii="Times New Roman" w:hAnsi="Times New Roman" w:cs="Times New Roman"/>
            <w:color w:val="000000" w:themeColor="text1"/>
            <w:kern w:val="0"/>
            <w:sz w:val="22"/>
            <w:szCs w:val="22"/>
            <w:u w:val="none"/>
            <w:lang w:val="en-US"/>
          </w:rPr>
          <w:t>https://doi.org/10.1007/s13353-013-0186-5</w:t>
        </w:r>
      </w:hyperlink>
    </w:p>
    <w:p w:rsidR="002C7C87" w:rsidRPr="00327DD7" w:rsidRDefault="002C7C87" w:rsidP="00F81FC0">
      <w:pPr>
        <w:pStyle w:val="ListParagraph"/>
        <w:numPr>
          <w:ilvl w:val="0"/>
          <w:numId w:val="4"/>
        </w:numPr>
        <w:autoSpaceDE w:val="0"/>
        <w:autoSpaceDN w:val="0"/>
        <w:adjustRightInd w:val="0"/>
        <w:spacing w:after="240"/>
        <w:jc w:val="both"/>
        <w:rPr>
          <w:rFonts w:ascii="Times New Roman" w:hAnsi="Times New Roman" w:cs="Times New Roman"/>
          <w:color w:val="000000" w:themeColor="text1"/>
          <w:kern w:val="0"/>
          <w:sz w:val="22"/>
          <w:szCs w:val="22"/>
          <w:lang w:val="en-US"/>
        </w:rPr>
      </w:pPr>
      <w:r w:rsidRPr="002C7C87">
        <w:rPr>
          <w:rFonts w:ascii="Times New Roman" w:hAnsi="Times New Roman" w:cs="Times New Roman"/>
          <w:color w:val="000000" w:themeColor="text1"/>
          <w:kern w:val="0"/>
          <w:sz w:val="22"/>
          <w:szCs w:val="22"/>
          <w:lang w:val="en-US"/>
        </w:rPr>
        <w:t xml:space="preserve">Turton, J. F., Perry, C., &amp; </w:t>
      </w:r>
      <w:proofErr w:type="spellStart"/>
      <w:r w:rsidRPr="002C7C87">
        <w:rPr>
          <w:rFonts w:ascii="Times New Roman" w:hAnsi="Times New Roman" w:cs="Times New Roman"/>
          <w:color w:val="000000" w:themeColor="text1"/>
          <w:kern w:val="0"/>
          <w:sz w:val="22"/>
          <w:szCs w:val="22"/>
          <w:lang w:val="en-US"/>
        </w:rPr>
        <w:t>Elgohari</w:t>
      </w:r>
      <w:proofErr w:type="spellEnd"/>
      <w:r w:rsidRPr="002C7C87">
        <w:rPr>
          <w:rFonts w:ascii="Times New Roman" w:hAnsi="Times New Roman" w:cs="Times New Roman"/>
          <w:color w:val="000000" w:themeColor="text1"/>
          <w:kern w:val="0"/>
          <w:sz w:val="22"/>
          <w:szCs w:val="22"/>
          <w:lang w:val="en-US"/>
        </w:rPr>
        <w:t xml:space="preserve">, S. (2011). PCR characterization and typing of Klebsiella pneumoniae using capsular type-specific and variable number tandem repeat targets. Journal of Medical Microbiology, 60(3), 314–322. </w:t>
      </w:r>
      <w:hyperlink r:id="rId21" w:history="1">
        <w:r w:rsidRPr="00327DD7">
          <w:rPr>
            <w:rStyle w:val="Hyperlink"/>
            <w:rFonts w:ascii="Times New Roman" w:hAnsi="Times New Roman" w:cs="Times New Roman"/>
            <w:color w:val="000000" w:themeColor="text1"/>
            <w:kern w:val="0"/>
            <w:sz w:val="22"/>
            <w:szCs w:val="22"/>
            <w:u w:val="none"/>
            <w:lang w:val="en-US"/>
          </w:rPr>
          <w:t>https://doi.org/10.1099/jmm.0.023887-0</w:t>
        </w:r>
      </w:hyperlink>
    </w:p>
    <w:p w:rsidR="002C7C87" w:rsidRPr="00327DD7" w:rsidRDefault="002C7C87" w:rsidP="00F81FC0">
      <w:pPr>
        <w:pStyle w:val="ListParagraph"/>
        <w:numPr>
          <w:ilvl w:val="0"/>
          <w:numId w:val="4"/>
        </w:numPr>
        <w:autoSpaceDE w:val="0"/>
        <w:autoSpaceDN w:val="0"/>
        <w:adjustRightInd w:val="0"/>
        <w:spacing w:after="240"/>
        <w:jc w:val="both"/>
        <w:rPr>
          <w:rFonts w:ascii="Times New Roman" w:hAnsi="Times New Roman" w:cs="Times New Roman"/>
          <w:color w:val="000000" w:themeColor="text1"/>
          <w:kern w:val="0"/>
          <w:sz w:val="22"/>
          <w:szCs w:val="22"/>
          <w:lang w:val="en-US"/>
        </w:rPr>
      </w:pPr>
      <w:proofErr w:type="spellStart"/>
      <w:r w:rsidRPr="002C7C87">
        <w:rPr>
          <w:rFonts w:ascii="Times New Roman" w:hAnsi="Times New Roman" w:cs="Times New Roman"/>
          <w:color w:val="000000" w:themeColor="text1"/>
          <w:kern w:val="0"/>
          <w:sz w:val="22"/>
          <w:szCs w:val="22"/>
          <w:lang w:val="en-US"/>
        </w:rPr>
        <w:t>Matuszewska</w:t>
      </w:r>
      <w:proofErr w:type="spellEnd"/>
      <w:r w:rsidRPr="002C7C87">
        <w:rPr>
          <w:rFonts w:ascii="Times New Roman" w:hAnsi="Times New Roman" w:cs="Times New Roman"/>
          <w:color w:val="000000" w:themeColor="text1"/>
          <w:kern w:val="0"/>
          <w:sz w:val="22"/>
          <w:szCs w:val="22"/>
          <w:lang w:val="en-US"/>
        </w:rPr>
        <w:t xml:space="preserve">, M., &amp; </w:t>
      </w:r>
      <w:proofErr w:type="spellStart"/>
      <w:r w:rsidRPr="002C7C87">
        <w:rPr>
          <w:rFonts w:ascii="Times New Roman" w:hAnsi="Times New Roman" w:cs="Times New Roman"/>
          <w:color w:val="000000" w:themeColor="text1"/>
          <w:kern w:val="0"/>
          <w:sz w:val="22"/>
          <w:szCs w:val="22"/>
          <w:lang w:val="en-US"/>
        </w:rPr>
        <w:t>Zawielska</w:t>
      </w:r>
      <w:proofErr w:type="spellEnd"/>
      <w:r w:rsidRPr="002C7C87">
        <w:rPr>
          <w:rFonts w:ascii="Times New Roman" w:hAnsi="Times New Roman" w:cs="Times New Roman"/>
          <w:color w:val="000000" w:themeColor="text1"/>
          <w:kern w:val="0"/>
          <w:sz w:val="22"/>
          <w:szCs w:val="22"/>
          <w:lang w:val="en-US"/>
        </w:rPr>
        <w:t xml:space="preserve">, K. (2015). Studying Bordetella pertussis populations by use of multi-locus variable-number tandem repeat analysis. Journal of Clinical Microbiology, 53(4), 1210–1218. </w:t>
      </w:r>
      <w:hyperlink r:id="rId22" w:history="1">
        <w:r w:rsidRPr="00327DD7">
          <w:rPr>
            <w:rStyle w:val="Hyperlink"/>
            <w:rFonts w:ascii="Times New Roman" w:hAnsi="Times New Roman" w:cs="Times New Roman"/>
            <w:color w:val="000000" w:themeColor="text1"/>
            <w:kern w:val="0"/>
            <w:sz w:val="22"/>
            <w:szCs w:val="22"/>
            <w:u w:val="none"/>
            <w:lang w:val="en-US"/>
          </w:rPr>
          <w:t>https://doi.org/10.1128/JCM.03153-14</w:t>
        </w:r>
      </w:hyperlink>
    </w:p>
    <w:p w:rsidR="002C7C87" w:rsidRDefault="002C7C87" w:rsidP="00F81FC0">
      <w:pPr>
        <w:pStyle w:val="ListParagraph"/>
        <w:numPr>
          <w:ilvl w:val="0"/>
          <w:numId w:val="4"/>
        </w:numPr>
        <w:autoSpaceDE w:val="0"/>
        <w:autoSpaceDN w:val="0"/>
        <w:adjustRightInd w:val="0"/>
        <w:spacing w:after="240"/>
        <w:jc w:val="both"/>
        <w:rPr>
          <w:rFonts w:ascii="Times New Roman" w:hAnsi="Times New Roman" w:cs="Times New Roman"/>
          <w:color w:val="000000" w:themeColor="text1"/>
          <w:kern w:val="0"/>
          <w:sz w:val="22"/>
          <w:szCs w:val="22"/>
          <w:lang w:val="en-US"/>
        </w:rPr>
      </w:pPr>
      <w:proofErr w:type="spellStart"/>
      <w:r w:rsidRPr="002C7C87">
        <w:rPr>
          <w:rFonts w:ascii="Times New Roman" w:hAnsi="Times New Roman" w:cs="Times New Roman"/>
          <w:color w:val="000000" w:themeColor="text1"/>
          <w:kern w:val="0"/>
          <w:sz w:val="22"/>
          <w:szCs w:val="22"/>
          <w:lang w:val="en-US"/>
        </w:rPr>
        <w:t>Allix-Béguec</w:t>
      </w:r>
      <w:proofErr w:type="spellEnd"/>
      <w:r w:rsidRPr="002C7C87">
        <w:rPr>
          <w:rFonts w:ascii="Times New Roman" w:hAnsi="Times New Roman" w:cs="Times New Roman"/>
          <w:color w:val="000000" w:themeColor="text1"/>
          <w:kern w:val="0"/>
          <w:sz w:val="22"/>
          <w:szCs w:val="22"/>
          <w:lang w:val="en-US"/>
        </w:rPr>
        <w:t xml:space="preserve">, C., &amp; Supply, P. (2016). Standardized molecular typing of Mycobacterium tuberculosis by multi-locus variable-number tandem repeat analysis (MLVA). Methods in Molecular Biology, 1382, 193–211. </w:t>
      </w:r>
      <w:hyperlink r:id="rId23" w:history="1">
        <w:r w:rsidRPr="00327DD7">
          <w:rPr>
            <w:rStyle w:val="Hyperlink"/>
            <w:rFonts w:ascii="Times New Roman" w:hAnsi="Times New Roman" w:cs="Times New Roman"/>
            <w:color w:val="000000" w:themeColor="text1"/>
            <w:kern w:val="0"/>
            <w:sz w:val="22"/>
            <w:szCs w:val="22"/>
            <w:u w:val="none"/>
            <w:lang w:val="en-US"/>
          </w:rPr>
          <w:t>https://doi.org/10.1007/978-1-4939-3252-8_14</w:t>
        </w:r>
      </w:hyperlink>
    </w:p>
    <w:p w:rsidR="002C7C87" w:rsidRDefault="002C7C87" w:rsidP="00F81FC0">
      <w:pPr>
        <w:pStyle w:val="ListParagraph"/>
        <w:numPr>
          <w:ilvl w:val="0"/>
          <w:numId w:val="4"/>
        </w:numPr>
        <w:autoSpaceDE w:val="0"/>
        <w:autoSpaceDN w:val="0"/>
        <w:adjustRightInd w:val="0"/>
        <w:spacing w:after="240"/>
        <w:jc w:val="both"/>
        <w:rPr>
          <w:rFonts w:ascii="Times New Roman" w:hAnsi="Times New Roman" w:cs="Times New Roman"/>
          <w:color w:val="000000" w:themeColor="text1"/>
          <w:kern w:val="0"/>
          <w:sz w:val="22"/>
          <w:szCs w:val="22"/>
          <w:lang w:val="en-US"/>
        </w:rPr>
      </w:pPr>
      <w:proofErr w:type="spellStart"/>
      <w:r w:rsidRPr="002C7C87">
        <w:rPr>
          <w:rFonts w:ascii="Times New Roman" w:hAnsi="Times New Roman" w:cs="Times New Roman"/>
          <w:color w:val="000000" w:themeColor="text1"/>
          <w:kern w:val="0"/>
          <w:sz w:val="22"/>
          <w:szCs w:val="22"/>
          <w:lang w:val="en-US"/>
        </w:rPr>
        <w:t>Rasekh</w:t>
      </w:r>
      <w:proofErr w:type="spellEnd"/>
      <w:r w:rsidRPr="002C7C87">
        <w:rPr>
          <w:rFonts w:ascii="Times New Roman" w:hAnsi="Times New Roman" w:cs="Times New Roman"/>
          <w:color w:val="000000" w:themeColor="text1"/>
          <w:kern w:val="0"/>
          <w:sz w:val="22"/>
          <w:szCs w:val="22"/>
          <w:lang w:val="en-US"/>
        </w:rPr>
        <w:t xml:space="preserve">, M. E., Hernandez, Y., Drinan, S. D., Bass, J. I. F., &amp; Benson, G. (2021). Genome-wide characterization of human minisatellite VNTRs: population-specific alleles and gene expression differences. Nucleic Acids Research, 49(8), 4308–4322. </w:t>
      </w:r>
      <w:hyperlink r:id="rId24" w:history="1">
        <w:r w:rsidRPr="00327DD7">
          <w:rPr>
            <w:rStyle w:val="Hyperlink"/>
            <w:rFonts w:ascii="Times New Roman" w:hAnsi="Times New Roman" w:cs="Times New Roman"/>
            <w:color w:val="000000" w:themeColor="text1"/>
            <w:kern w:val="0"/>
            <w:sz w:val="22"/>
            <w:szCs w:val="22"/>
            <w:u w:val="none"/>
            <w:lang w:val="en-US"/>
          </w:rPr>
          <w:t>https://doi.org/10.1093/nar/gkab180</w:t>
        </w:r>
      </w:hyperlink>
    </w:p>
    <w:p w:rsidR="002C7C87" w:rsidRDefault="002C7C87" w:rsidP="00F81FC0">
      <w:pPr>
        <w:pStyle w:val="ListParagraph"/>
        <w:numPr>
          <w:ilvl w:val="0"/>
          <w:numId w:val="4"/>
        </w:numPr>
        <w:autoSpaceDE w:val="0"/>
        <w:autoSpaceDN w:val="0"/>
        <w:adjustRightInd w:val="0"/>
        <w:spacing w:after="240"/>
        <w:jc w:val="both"/>
        <w:rPr>
          <w:rFonts w:ascii="Times New Roman" w:hAnsi="Times New Roman" w:cs="Times New Roman"/>
          <w:color w:val="000000" w:themeColor="text1"/>
          <w:kern w:val="0"/>
          <w:sz w:val="22"/>
          <w:szCs w:val="22"/>
          <w:lang w:val="en-US"/>
        </w:rPr>
      </w:pPr>
      <w:proofErr w:type="spellStart"/>
      <w:r w:rsidRPr="002C7C87">
        <w:rPr>
          <w:rFonts w:ascii="Times New Roman" w:hAnsi="Times New Roman" w:cs="Times New Roman"/>
          <w:color w:val="000000" w:themeColor="text1"/>
          <w:kern w:val="0"/>
          <w:sz w:val="22"/>
          <w:szCs w:val="22"/>
          <w:lang w:val="en-US"/>
        </w:rPr>
        <w:t>Gymrek</w:t>
      </w:r>
      <w:proofErr w:type="spellEnd"/>
      <w:r w:rsidRPr="002C7C87">
        <w:rPr>
          <w:rFonts w:ascii="Times New Roman" w:hAnsi="Times New Roman" w:cs="Times New Roman"/>
          <w:color w:val="000000" w:themeColor="text1"/>
          <w:kern w:val="0"/>
          <w:sz w:val="22"/>
          <w:szCs w:val="22"/>
          <w:lang w:val="en-US"/>
        </w:rPr>
        <w:t xml:space="preserve">, M., et al. (2016). Abundant contribution of short tandem repeats to human gene expression. Nature Genetics, 48(3), 254–259. </w:t>
      </w:r>
      <w:hyperlink r:id="rId25" w:history="1">
        <w:r w:rsidRPr="00327DD7">
          <w:rPr>
            <w:rStyle w:val="Hyperlink"/>
            <w:rFonts w:ascii="Times New Roman" w:hAnsi="Times New Roman" w:cs="Times New Roman"/>
            <w:color w:val="000000" w:themeColor="text1"/>
            <w:kern w:val="0"/>
            <w:sz w:val="22"/>
            <w:szCs w:val="22"/>
            <w:u w:val="none"/>
            <w:lang w:val="en-US"/>
          </w:rPr>
          <w:t>https://doi.org/10.1038/ng.3505</w:t>
        </w:r>
      </w:hyperlink>
    </w:p>
    <w:p w:rsidR="002C7C87" w:rsidRDefault="002C7C87" w:rsidP="00F81FC0">
      <w:pPr>
        <w:pStyle w:val="ListParagraph"/>
        <w:numPr>
          <w:ilvl w:val="0"/>
          <w:numId w:val="4"/>
        </w:numPr>
        <w:autoSpaceDE w:val="0"/>
        <w:autoSpaceDN w:val="0"/>
        <w:adjustRightInd w:val="0"/>
        <w:spacing w:after="240"/>
        <w:jc w:val="both"/>
        <w:rPr>
          <w:rFonts w:ascii="Times New Roman" w:hAnsi="Times New Roman" w:cs="Times New Roman"/>
          <w:color w:val="000000" w:themeColor="text1"/>
          <w:kern w:val="0"/>
          <w:sz w:val="22"/>
          <w:szCs w:val="22"/>
          <w:lang w:val="en-US"/>
        </w:rPr>
      </w:pPr>
      <w:r w:rsidRPr="002C7C87">
        <w:rPr>
          <w:rFonts w:ascii="Times New Roman" w:hAnsi="Times New Roman" w:cs="Times New Roman"/>
          <w:color w:val="000000" w:themeColor="text1"/>
          <w:kern w:val="0"/>
          <w:sz w:val="22"/>
          <w:szCs w:val="22"/>
          <w:lang w:val="en-US"/>
        </w:rPr>
        <w:t xml:space="preserve">Hannon, E., Dempster, E., &amp; Mill, J. (2013). Characterization of the inflammatory gene VNTR polymorphisms and their associated risk with complex phenotypes. PLOS ONE, 8(9), e74351. </w:t>
      </w:r>
      <w:hyperlink r:id="rId26" w:history="1">
        <w:r w:rsidRPr="00327DD7">
          <w:rPr>
            <w:rStyle w:val="Hyperlink"/>
            <w:rFonts w:ascii="Times New Roman" w:hAnsi="Times New Roman" w:cs="Times New Roman"/>
            <w:color w:val="000000" w:themeColor="text1"/>
            <w:kern w:val="0"/>
            <w:sz w:val="22"/>
            <w:szCs w:val="22"/>
            <w:u w:val="none"/>
            <w:lang w:val="en-US"/>
          </w:rPr>
          <w:t>https://doi.org/10.1371/journal.pone.0074351</w:t>
        </w:r>
      </w:hyperlink>
    </w:p>
    <w:p w:rsidR="002C7C87" w:rsidRDefault="002C7C87" w:rsidP="00F81FC0">
      <w:pPr>
        <w:pStyle w:val="ListParagraph"/>
        <w:numPr>
          <w:ilvl w:val="0"/>
          <w:numId w:val="4"/>
        </w:numPr>
        <w:autoSpaceDE w:val="0"/>
        <w:autoSpaceDN w:val="0"/>
        <w:adjustRightInd w:val="0"/>
        <w:spacing w:after="240"/>
        <w:jc w:val="both"/>
        <w:rPr>
          <w:rFonts w:ascii="Times New Roman" w:hAnsi="Times New Roman" w:cs="Times New Roman"/>
          <w:color w:val="000000" w:themeColor="text1"/>
          <w:kern w:val="0"/>
          <w:sz w:val="22"/>
          <w:szCs w:val="22"/>
          <w:lang w:val="en-US"/>
        </w:rPr>
      </w:pPr>
      <w:r w:rsidRPr="002C7C87">
        <w:rPr>
          <w:rFonts w:ascii="Times New Roman" w:hAnsi="Times New Roman" w:cs="Times New Roman"/>
          <w:color w:val="000000" w:themeColor="text1"/>
          <w:kern w:val="0"/>
          <w:sz w:val="22"/>
          <w:szCs w:val="22"/>
          <w:lang w:val="en-US"/>
        </w:rPr>
        <w:t xml:space="preserve">Gelfand, Y., et al. (2021). Genome-wide characterization of human minisatellite VNTRs: population-specific alleles and gene expression differences. Nucleic Acids Research, 49(8), 4308–4322. </w:t>
      </w:r>
      <w:hyperlink r:id="rId27" w:history="1">
        <w:r w:rsidRPr="00327DD7">
          <w:rPr>
            <w:rStyle w:val="Hyperlink"/>
            <w:rFonts w:ascii="Times New Roman" w:hAnsi="Times New Roman" w:cs="Times New Roman"/>
            <w:color w:val="000000" w:themeColor="text1"/>
            <w:kern w:val="0"/>
            <w:sz w:val="22"/>
            <w:szCs w:val="22"/>
            <w:u w:val="none"/>
            <w:lang w:val="en-US"/>
          </w:rPr>
          <w:t>https://doi.org/10.1093/nar/gkab180</w:t>
        </w:r>
      </w:hyperlink>
    </w:p>
    <w:p w:rsidR="002C7C87" w:rsidRDefault="002C7C87" w:rsidP="00F81FC0">
      <w:pPr>
        <w:pStyle w:val="ListParagraph"/>
        <w:numPr>
          <w:ilvl w:val="0"/>
          <w:numId w:val="4"/>
        </w:numPr>
        <w:autoSpaceDE w:val="0"/>
        <w:autoSpaceDN w:val="0"/>
        <w:adjustRightInd w:val="0"/>
        <w:spacing w:after="240"/>
        <w:jc w:val="both"/>
        <w:rPr>
          <w:rFonts w:ascii="Times New Roman" w:hAnsi="Times New Roman" w:cs="Times New Roman"/>
          <w:color w:val="000000" w:themeColor="text1"/>
          <w:kern w:val="0"/>
          <w:sz w:val="22"/>
          <w:szCs w:val="22"/>
          <w:lang w:val="en-US"/>
        </w:rPr>
      </w:pPr>
      <w:r w:rsidRPr="002C7C87">
        <w:rPr>
          <w:rFonts w:ascii="Times New Roman" w:hAnsi="Times New Roman" w:cs="Times New Roman"/>
          <w:color w:val="000000" w:themeColor="text1"/>
          <w:kern w:val="0"/>
          <w:sz w:val="22"/>
          <w:szCs w:val="22"/>
          <w:lang w:val="en-US"/>
        </w:rPr>
        <w:t xml:space="preserve">Bakhtiari, M., Park, J., Ding, Y. C., </w:t>
      </w:r>
      <w:proofErr w:type="spellStart"/>
      <w:r w:rsidRPr="002C7C87">
        <w:rPr>
          <w:rFonts w:ascii="Times New Roman" w:hAnsi="Times New Roman" w:cs="Times New Roman"/>
          <w:color w:val="000000" w:themeColor="text1"/>
          <w:kern w:val="0"/>
          <w:sz w:val="22"/>
          <w:szCs w:val="22"/>
          <w:lang w:val="en-US"/>
        </w:rPr>
        <w:t>Shleizer-Burko</w:t>
      </w:r>
      <w:proofErr w:type="spellEnd"/>
      <w:r w:rsidRPr="002C7C87">
        <w:rPr>
          <w:rFonts w:ascii="Times New Roman" w:hAnsi="Times New Roman" w:cs="Times New Roman"/>
          <w:color w:val="000000" w:themeColor="text1"/>
          <w:kern w:val="0"/>
          <w:sz w:val="22"/>
          <w:szCs w:val="22"/>
          <w:lang w:val="en-US"/>
        </w:rPr>
        <w:t xml:space="preserve">, S., </w:t>
      </w:r>
      <w:proofErr w:type="spellStart"/>
      <w:r w:rsidRPr="002C7C87">
        <w:rPr>
          <w:rFonts w:ascii="Times New Roman" w:hAnsi="Times New Roman" w:cs="Times New Roman"/>
          <w:color w:val="000000" w:themeColor="text1"/>
          <w:kern w:val="0"/>
          <w:sz w:val="22"/>
          <w:szCs w:val="22"/>
          <w:lang w:val="en-US"/>
        </w:rPr>
        <w:t>Neuhausen</w:t>
      </w:r>
      <w:proofErr w:type="spellEnd"/>
      <w:r w:rsidRPr="002C7C87">
        <w:rPr>
          <w:rFonts w:ascii="Times New Roman" w:hAnsi="Times New Roman" w:cs="Times New Roman"/>
          <w:color w:val="000000" w:themeColor="text1"/>
          <w:kern w:val="0"/>
          <w:sz w:val="22"/>
          <w:szCs w:val="22"/>
          <w:lang w:val="en-US"/>
        </w:rPr>
        <w:t xml:space="preserve">, S. L., </w:t>
      </w:r>
      <w:proofErr w:type="spellStart"/>
      <w:r w:rsidRPr="002C7C87">
        <w:rPr>
          <w:rFonts w:ascii="Times New Roman" w:hAnsi="Times New Roman" w:cs="Times New Roman"/>
          <w:color w:val="000000" w:themeColor="text1"/>
          <w:kern w:val="0"/>
          <w:sz w:val="22"/>
          <w:szCs w:val="22"/>
          <w:lang w:val="en-US"/>
        </w:rPr>
        <w:t>Halldórsson</w:t>
      </w:r>
      <w:proofErr w:type="spellEnd"/>
      <w:r w:rsidRPr="002C7C87">
        <w:rPr>
          <w:rFonts w:ascii="Times New Roman" w:hAnsi="Times New Roman" w:cs="Times New Roman"/>
          <w:color w:val="000000" w:themeColor="text1"/>
          <w:kern w:val="0"/>
          <w:sz w:val="22"/>
          <w:szCs w:val="22"/>
          <w:lang w:val="en-US"/>
        </w:rPr>
        <w:t xml:space="preserve">, B. V., </w:t>
      </w:r>
      <w:proofErr w:type="spellStart"/>
      <w:r w:rsidRPr="002C7C87">
        <w:rPr>
          <w:rFonts w:ascii="Times New Roman" w:hAnsi="Times New Roman" w:cs="Times New Roman"/>
          <w:color w:val="000000" w:themeColor="text1"/>
          <w:kern w:val="0"/>
          <w:sz w:val="22"/>
          <w:szCs w:val="22"/>
          <w:lang w:val="en-US"/>
        </w:rPr>
        <w:t>Stefánsson</w:t>
      </w:r>
      <w:proofErr w:type="spellEnd"/>
      <w:r w:rsidRPr="002C7C87">
        <w:rPr>
          <w:rFonts w:ascii="Times New Roman" w:hAnsi="Times New Roman" w:cs="Times New Roman"/>
          <w:color w:val="000000" w:themeColor="text1"/>
          <w:kern w:val="0"/>
          <w:sz w:val="22"/>
          <w:szCs w:val="22"/>
          <w:lang w:val="en-US"/>
        </w:rPr>
        <w:t xml:space="preserve">, K., </w:t>
      </w:r>
      <w:proofErr w:type="spellStart"/>
      <w:r w:rsidRPr="002C7C87">
        <w:rPr>
          <w:rFonts w:ascii="Times New Roman" w:hAnsi="Times New Roman" w:cs="Times New Roman"/>
          <w:color w:val="000000" w:themeColor="text1"/>
          <w:kern w:val="0"/>
          <w:sz w:val="22"/>
          <w:szCs w:val="22"/>
          <w:lang w:val="en-US"/>
        </w:rPr>
        <w:t>Gymrek</w:t>
      </w:r>
      <w:proofErr w:type="spellEnd"/>
      <w:r w:rsidRPr="002C7C87">
        <w:rPr>
          <w:rFonts w:ascii="Times New Roman" w:hAnsi="Times New Roman" w:cs="Times New Roman"/>
          <w:color w:val="000000" w:themeColor="text1"/>
          <w:kern w:val="0"/>
          <w:sz w:val="22"/>
          <w:szCs w:val="22"/>
          <w:lang w:val="en-US"/>
        </w:rPr>
        <w:t xml:space="preserve">, M., &amp; </w:t>
      </w:r>
      <w:proofErr w:type="spellStart"/>
      <w:r w:rsidRPr="002C7C87">
        <w:rPr>
          <w:rFonts w:ascii="Times New Roman" w:hAnsi="Times New Roman" w:cs="Times New Roman"/>
          <w:color w:val="000000" w:themeColor="text1"/>
          <w:kern w:val="0"/>
          <w:sz w:val="22"/>
          <w:szCs w:val="22"/>
          <w:lang w:val="en-US"/>
        </w:rPr>
        <w:t>Bafna</w:t>
      </w:r>
      <w:proofErr w:type="spellEnd"/>
      <w:r w:rsidRPr="002C7C87">
        <w:rPr>
          <w:rFonts w:ascii="Times New Roman" w:hAnsi="Times New Roman" w:cs="Times New Roman"/>
          <w:color w:val="000000" w:themeColor="text1"/>
          <w:kern w:val="0"/>
          <w:sz w:val="22"/>
          <w:szCs w:val="22"/>
          <w:lang w:val="en-US"/>
        </w:rPr>
        <w:t xml:space="preserve">, V. (2021). Variable number tandem repeats mediate the expression of proximal genes. Nature Communications, 12, Article 2075. </w:t>
      </w:r>
      <w:hyperlink r:id="rId28" w:history="1">
        <w:r w:rsidRPr="00327DD7">
          <w:rPr>
            <w:rStyle w:val="Hyperlink"/>
            <w:rFonts w:ascii="Times New Roman" w:hAnsi="Times New Roman" w:cs="Times New Roman"/>
            <w:color w:val="000000" w:themeColor="text1"/>
            <w:kern w:val="0"/>
            <w:sz w:val="22"/>
            <w:szCs w:val="22"/>
            <w:u w:val="none"/>
            <w:lang w:val="en-US"/>
          </w:rPr>
          <w:t>https://doi.org/10.1038/s41467-021-22206-z</w:t>
        </w:r>
      </w:hyperlink>
    </w:p>
    <w:p w:rsidR="002C7C87" w:rsidRDefault="002C7C87" w:rsidP="00F81FC0">
      <w:pPr>
        <w:pStyle w:val="ListParagraph"/>
        <w:numPr>
          <w:ilvl w:val="0"/>
          <w:numId w:val="4"/>
        </w:numPr>
        <w:autoSpaceDE w:val="0"/>
        <w:autoSpaceDN w:val="0"/>
        <w:adjustRightInd w:val="0"/>
        <w:spacing w:after="240"/>
        <w:jc w:val="both"/>
        <w:rPr>
          <w:rFonts w:ascii="Times New Roman" w:hAnsi="Times New Roman" w:cs="Times New Roman"/>
          <w:color w:val="000000" w:themeColor="text1"/>
          <w:kern w:val="0"/>
          <w:sz w:val="22"/>
          <w:szCs w:val="22"/>
          <w:lang w:val="en-US"/>
        </w:rPr>
      </w:pPr>
      <w:r w:rsidRPr="002C7C87">
        <w:rPr>
          <w:rFonts w:ascii="Times New Roman" w:hAnsi="Times New Roman" w:cs="Times New Roman"/>
          <w:color w:val="000000" w:themeColor="text1"/>
          <w:kern w:val="0"/>
          <w:sz w:val="22"/>
          <w:szCs w:val="22"/>
          <w:lang w:val="en-US"/>
        </w:rPr>
        <w:t xml:space="preserve">Bakhtiari, M., et al. (2021). Targeted genotyping of variable number tandem repeats with </w:t>
      </w:r>
      <w:proofErr w:type="spellStart"/>
      <w:r w:rsidRPr="002C7C87">
        <w:rPr>
          <w:rFonts w:ascii="Times New Roman" w:hAnsi="Times New Roman" w:cs="Times New Roman"/>
          <w:color w:val="000000" w:themeColor="text1"/>
          <w:kern w:val="0"/>
          <w:sz w:val="22"/>
          <w:szCs w:val="22"/>
          <w:lang w:val="en-US"/>
        </w:rPr>
        <w:t>adVNTR</w:t>
      </w:r>
      <w:proofErr w:type="spellEnd"/>
      <w:r w:rsidRPr="002C7C87">
        <w:rPr>
          <w:rFonts w:ascii="Times New Roman" w:hAnsi="Times New Roman" w:cs="Times New Roman"/>
          <w:color w:val="000000" w:themeColor="text1"/>
          <w:kern w:val="0"/>
          <w:sz w:val="22"/>
          <w:szCs w:val="22"/>
          <w:lang w:val="en-US"/>
        </w:rPr>
        <w:t xml:space="preserve">. Genome Research, 31(2), 301–311. </w:t>
      </w:r>
      <w:hyperlink r:id="rId29" w:history="1">
        <w:r w:rsidRPr="00327DD7">
          <w:rPr>
            <w:rStyle w:val="Hyperlink"/>
            <w:rFonts w:ascii="Times New Roman" w:hAnsi="Times New Roman" w:cs="Times New Roman"/>
            <w:color w:val="000000" w:themeColor="text1"/>
            <w:kern w:val="0"/>
            <w:sz w:val="22"/>
            <w:szCs w:val="22"/>
            <w:u w:val="none"/>
            <w:lang w:val="en-US"/>
          </w:rPr>
          <w:t>https://doi.org/10.1101/gr.262691.120</w:t>
        </w:r>
      </w:hyperlink>
    </w:p>
    <w:p w:rsidR="002C7C87" w:rsidRDefault="002C7C87" w:rsidP="00F81FC0">
      <w:pPr>
        <w:pStyle w:val="ListParagraph"/>
        <w:numPr>
          <w:ilvl w:val="0"/>
          <w:numId w:val="4"/>
        </w:numPr>
        <w:autoSpaceDE w:val="0"/>
        <w:autoSpaceDN w:val="0"/>
        <w:adjustRightInd w:val="0"/>
        <w:spacing w:after="240"/>
        <w:jc w:val="both"/>
        <w:rPr>
          <w:rFonts w:ascii="Times New Roman" w:hAnsi="Times New Roman" w:cs="Times New Roman"/>
          <w:color w:val="000000" w:themeColor="text1"/>
          <w:kern w:val="0"/>
          <w:sz w:val="22"/>
          <w:szCs w:val="22"/>
          <w:lang w:val="en-US"/>
        </w:rPr>
      </w:pPr>
      <w:proofErr w:type="spellStart"/>
      <w:r w:rsidRPr="002C7C87">
        <w:rPr>
          <w:rFonts w:ascii="Times New Roman" w:hAnsi="Times New Roman" w:cs="Times New Roman"/>
          <w:color w:val="000000" w:themeColor="text1"/>
          <w:kern w:val="0"/>
          <w:sz w:val="22"/>
          <w:szCs w:val="22"/>
          <w:lang w:val="en-US"/>
        </w:rPr>
        <w:t>Sulovari</w:t>
      </w:r>
      <w:proofErr w:type="spellEnd"/>
      <w:r w:rsidRPr="002C7C87">
        <w:rPr>
          <w:rFonts w:ascii="Times New Roman" w:hAnsi="Times New Roman" w:cs="Times New Roman"/>
          <w:color w:val="000000" w:themeColor="text1"/>
          <w:kern w:val="0"/>
          <w:sz w:val="22"/>
          <w:szCs w:val="22"/>
          <w:lang w:val="en-US"/>
        </w:rPr>
        <w:t xml:space="preserve">, A., et al. (2019). Human-specific tandem repeat expansions and copy number variation in the human genome. Proceedings of the National Academy of Sciences, 116(46), 23243–23253. </w:t>
      </w:r>
      <w:hyperlink r:id="rId30" w:history="1">
        <w:r w:rsidR="00146C4F" w:rsidRPr="00327DD7">
          <w:rPr>
            <w:rStyle w:val="Hyperlink"/>
            <w:rFonts w:ascii="Times New Roman" w:hAnsi="Times New Roman" w:cs="Times New Roman"/>
            <w:color w:val="000000" w:themeColor="text1"/>
            <w:kern w:val="0"/>
            <w:sz w:val="22"/>
            <w:szCs w:val="22"/>
            <w:u w:val="none"/>
            <w:lang w:val="en-US"/>
          </w:rPr>
          <w:t>https://doi.org/10.1073/pnas.1910006116</w:t>
        </w:r>
      </w:hyperlink>
    </w:p>
    <w:p w:rsidR="00146C4F" w:rsidRPr="00327DD7" w:rsidRDefault="00146C4F" w:rsidP="00F81FC0">
      <w:pPr>
        <w:pStyle w:val="ListParagraph"/>
        <w:numPr>
          <w:ilvl w:val="0"/>
          <w:numId w:val="4"/>
        </w:numPr>
        <w:autoSpaceDE w:val="0"/>
        <w:autoSpaceDN w:val="0"/>
        <w:adjustRightInd w:val="0"/>
        <w:spacing w:after="240"/>
        <w:jc w:val="both"/>
        <w:rPr>
          <w:rFonts w:ascii="Times New Roman" w:hAnsi="Times New Roman" w:cs="Times New Roman"/>
          <w:color w:val="000000" w:themeColor="text1"/>
          <w:kern w:val="0"/>
          <w:sz w:val="22"/>
          <w:szCs w:val="22"/>
          <w:lang w:val="en-US"/>
        </w:rPr>
      </w:pPr>
      <w:proofErr w:type="spellStart"/>
      <w:r w:rsidRPr="00146C4F">
        <w:rPr>
          <w:rFonts w:ascii="Times New Roman" w:hAnsi="Times New Roman" w:cs="Times New Roman"/>
          <w:color w:val="000000" w:themeColor="text1"/>
          <w:kern w:val="0"/>
          <w:sz w:val="22"/>
          <w:szCs w:val="22"/>
          <w:lang w:val="en-US"/>
        </w:rPr>
        <w:t>Sanyal</w:t>
      </w:r>
      <w:proofErr w:type="spellEnd"/>
      <w:r w:rsidRPr="00146C4F">
        <w:rPr>
          <w:rFonts w:ascii="Times New Roman" w:hAnsi="Times New Roman" w:cs="Times New Roman"/>
          <w:color w:val="000000" w:themeColor="text1"/>
          <w:kern w:val="0"/>
          <w:sz w:val="22"/>
          <w:szCs w:val="22"/>
          <w:lang w:val="en-US"/>
        </w:rPr>
        <w:t xml:space="preserve">, J., et al. (2011). Investigating the association of dopamine transporter (DAT1) VNTR polymorphism with Parkinson's disease. Journal of Clinical Neuroscience, 18(6), 789–793. </w:t>
      </w:r>
      <w:hyperlink r:id="rId31" w:history="1">
        <w:r w:rsidRPr="00327DD7">
          <w:rPr>
            <w:rStyle w:val="Hyperlink"/>
            <w:rFonts w:ascii="Times New Roman" w:hAnsi="Times New Roman" w:cs="Times New Roman"/>
            <w:color w:val="000000" w:themeColor="text1"/>
            <w:kern w:val="0"/>
            <w:sz w:val="22"/>
            <w:szCs w:val="22"/>
            <w:u w:val="none"/>
            <w:lang w:val="en-US"/>
          </w:rPr>
          <w:t>https://doi.org/10.1016/j.jocn.2010.11.008</w:t>
        </w:r>
      </w:hyperlink>
    </w:p>
    <w:p w:rsidR="00146C4F" w:rsidRDefault="00146C4F" w:rsidP="00F81FC0">
      <w:pPr>
        <w:pStyle w:val="ListParagraph"/>
        <w:numPr>
          <w:ilvl w:val="0"/>
          <w:numId w:val="4"/>
        </w:numPr>
        <w:autoSpaceDE w:val="0"/>
        <w:autoSpaceDN w:val="0"/>
        <w:adjustRightInd w:val="0"/>
        <w:spacing w:after="240"/>
        <w:jc w:val="both"/>
        <w:rPr>
          <w:rFonts w:ascii="Times New Roman" w:hAnsi="Times New Roman" w:cs="Times New Roman"/>
          <w:color w:val="000000" w:themeColor="text1"/>
          <w:kern w:val="0"/>
          <w:sz w:val="22"/>
          <w:szCs w:val="22"/>
          <w:lang w:val="en-US"/>
        </w:rPr>
      </w:pPr>
      <w:r w:rsidRPr="00146C4F">
        <w:rPr>
          <w:rFonts w:ascii="Times New Roman" w:hAnsi="Times New Roman" w:cs="Times New Roman"/>
          <w:color w:val="000000" w:themeColor="text1"/>
          <w:kern w:val="0"/>
          <w:sz w:val="22"/>
          <w:szCs w:val="22"/>
          <w:lang w:val="en-US"/>
        </w:rPr>
        <w:lastRenderedPageBreak/>
        <w:t xml:space="preserve">Garg, P., et al. (2023). A genome-wide scan of variable number tandem repeats associated with late-onset Alzheimer disease. Neurology Genetics, 9(5), e200241. </w:t>
      </w:r>
      <w:hyperlink r:id="rId32" w:history="1">
        <w:r w:rsidRPr="00327DD7">
          <w:rPr>
            <w:rStyle w:val="Hyperlink"/>
            <w:rFonts w:ascii="Times New Roman" w:hAnsi="Times New Roman" w:cs="Times New Roman"/>
            <w:color w:val="000000" w:themeColor="text1"/>
            <w:kern w:val="0"/>
            <w:sz w:val="22"/>
            <w:szCs w:val="22"/>
            <w:u w:val="none"/>
            <w:lang w:val="en-US"/>
          </w:rPr>
          <w:t>https://doi.org/10.1212/NXG.0000000000200241</w:t>
        </w:r>
      </w:hyperlink>
    </w:p>
    <w:p w:rsidR="00146C4F" w:rsidRPr="00327DD7" w:rsidRDefault="00146C4F" w:rsidP="00F81FC0">
      <w:pPr>
        <w:pStyle w:val="ListParagraph"/>
        <w:numPr>
          <w:ilvl w:val="0"/>
          <w:numId w:val="4"/>
        </w:numPr>
        <w:autoSpaceDE w:val="0"/>
        <w:autoSpaceDN w:val="0"/>
        <w:adjustRightInd w:val="0"/>
        <w:spacing w:after="240"/>
        <w:jc w:val="both"/>
        <w:rPr>
          <w:rFonts w:ascii="Times New Roman" w:hAnsi="Times New Roman" w:cs="Times New Roman"/>
          <w:color w:val="000000" w:themeColor="text1"/>
          <w:kern w:val="0"/>
          <w:sz w:val="22"/>
          <w:szCs w:val="22"/>
          <w:lang w:val="en-US"/>
        </w:rPr>
      </w:pPr>
      <w:r w:rsidRPr="00146C4F">
        <w:rPr>
          <w:rFonts w:ascii="Times New Roman" w:hAnsi="Times New Roman" w:cs="Times New Roman"/>
          <w:color w:val="000000" w:themeColor="text1"/>
          <w:kern w:val="0"/>
          <w:sz w:val="22"/>
          <w:szCs w:val="22"/>
          <w:lang w:val="en-US"/>
        </w:rPr>
        <w:t xml:space="preserve">Ross, K. A. (2014). Coherent somatic mutation in autoimmune disease. </w:t>
      </w:r>
      <w:proofErr w:type="spellStart"/>
      <w:r w:rsidRPr="00146C4F">
        <w:rPr>
          <w:rFonts w:ascii="Times New Roman" w:hAnsi="Times New Roman" w:cs="Times New Roman"/>
          <w:color w:val="000000" w:themeColor="text1"/>
          <w:kern w:val="0"/>
          <w:sz w:val="22"/>
          <w:szCs w:val="22"/>
          <w:lang w:val="en-US"/>
        </w:rPr>
        <w:t>PLoS</w:t>
      </w:r>
      <w:proofErr w:type="spellEnd"/>
      <w:r w:rsidRPr="00146C4F">
        <w:rPr>
          <w:rFonts w:ascii="Times New Roman" w:hAnsi="Times New Roman" w:cs="Times New Roman"/>
          <w:color w:val="000000" w:themeColor="text1"/>
          <w:kern w:val="0"/>
          <w:sz w:val="22"/>
          <w:szCs w:val="22"/>
          <w:lang w:val="en-US"/>
        </w:rPr>
        <w:t xml:space="preserve"> ONE, 9(7), e101093. </w:t>
      </w:r>
      <w:hyperlink r:id="rId33" w:history="1">
        <w:r w:rsidRPr="00327DD7">
          <w:rPr>
            <w:rStyle w:val="Hyperlink"/>
            <w:rFonts w:ascii="Times New Roman" w:hAnsi="Times New Roman" w:cs="Times New Roman"/>
            <w:color w:val="000000" w:themeColor="text1"/>
            <w:kern w:val="0"/>
            <w:sz w:val="22"/>
            <w:szCs w:val="22"/>
            <w:u w:val="none"/>
            <w:lang w:val="en-US"/>
          </w:rPr>
          <w:t>https://doi.org/10.1371/journal.pone.0101093</w:t>
        </w:r>
      </w:hyperlink>
    </w:p>
    <w:p w:rsidR="00146C4F" w:rsidRPr="00327DD7" w:rsidRDefault="00146C4F" w:rsidP="00F81FC0">
      <w:pPr>
        <w:pStyle w:val="ListParagraph"/>
        <w:numPr>
          <w:ilvl w:val="0"/>
          <w:numId w:val="4"/>
        </w:numPr>
        <w:autoSpaceDE w:val="0"/>
        <w:autoSpaceDN w:val="0"/>
        <w:adjustRightInd w:val="0"/>
        <w:spacing w:after="240"/>
        <w:jc w:val="both"/>
        <w:rPr>
          <w:rFonts w:ascii="Times New Roman" w:hAnsi="Times New Roman" w:cs="Times New Roman"/>
          <w:color w:val="000000" w:themeColor="text1"/>
          <w:kern w:val="0"/>
          <w:sz w:val="22"/>
          <w:szCs w:val="22"/>
          <w:lang w:val="en-US"/>
        </w:rPr>
      </w:pPr>
      <w:r w:rsidRPr="00146C4F">
        <w:rPr>
          <w:rFonts w:ascii="Times New Roman" w:hAnsi="Times New Roman" w:cs="Times New Roman"/>
          <w:color w:val="000000" w:themeColor="text1"/>
          <w:kern w:val="0"/>
          <w:sz w:val="22"/>
          <w:szCs w:val="22"/>
          <w:lang w:val="en-US"/>
        </w:rPr>
        <w:t xml:space="preserve">Bakhtiari, M., </w:t>
      </w:r>
      <w:proofErr w:type="spellStart"/>
      <w:r w:rsidRPr="00146C4F">
        <w:rPr>
          <w:rFonts w:ascii="Times New Roman" w:hAnsi="Times New Roman" w:cs="Times New Roman"/>
          <w:color w:val="000000" w:themeColor="text1"/>
          <w:kern w:val="0"/>
          <w:sz w:val="22"/>
          <w:szCs w:val="22"/>
          <w:lang w:val="en-US"/>
        </w:rPr>
        <w:t>Shleizer-Burko</w:t>
      </w:r>
      <w:proofErr w:type="spellEnd"/>
      <w:r w:rsidRPr="00146C4F">
        <w:rPr>
          <w:rFonts w:ascii="Times New Roman" w:hAnsi="Times New Roman" w:cs="Times New Roman"/>
          <w:color w:val="000000" w:themeColor="text1"/>
          <w:kern w:val="0"/>
          <w:sz w:val="22"/>
          <w:szCs w:val="22"/>
          <w:lang w:val="en-US"/>
        </w:rPr>
        <w:t xml:space="preserve">, S., &amp; </w:t>
      </w:r>
      <w:proofErr w:type="spellStart"/>
      <w:r w:rsidRPr="00146C4F">
        <w:rPr>
          <w:rFonts w:ascii="Times New Roman" w:hAnsi="Times New Roman" w:cs="Times New Roman"/>
          <w:color w:val="000000" w:themeColor="text1"/>
          <w:kern w:val="0"/>
          <w:sz w:val="22"/>
          <w:szCs w:val="22"/>
          <w:lang w:val="en-US"/>
        </w:rPr>
        <w:t>Bafna</w:t>
      </w:r>
      <w:proofErr w:type="spellEnd"/>
      <w:r w:rsidRPr="00146C4F">
        <w:rPr>
          <w:rFonts w:ascii="Times New Roman" w:hAnsi="Times New Roman" w:cs="Times New Roman"/>
          <w:color w:val="000000" w:themeColor="text1"/>
          <w:kern w:val="0"/>
          <w:sz w:val="22"/>
          <w:szCs w:val="22"/>
          <w:lang w:val="en-US"/>
        </w:rPr>
        <w:t xml:space="preserve">, V. (2018). Variable number tandem repeats profiling via single-molecule real-time sequencing. Bioinformatics, 34(13), 209–217. </w:t>
      </w:r>
      <w:hyperlink r:id="rId34" w:history="1">
        <w:r w:rsidRPr="00327DD7">
          <w:rPr>
            <w:rStyle w:val="Hyperlink"/>
            <w:rFonts w:ascii="Times New Roman" w:hAnsi="Times New Roman" w:cs="Times New Roman"/>
            <w:color w:val="000000" w:themeColor="text1"/>
            <w:kern w:val="0"/>
            <w:sz w:val="22"/>
            <w:szCs w:val="22"/>
            <w:u w:val="none"/>
            <w:lang w:val="en-US"/>
          </w:rPr>
          <w:t>https://doi.org/10.1093/bioinformatics/bty268</w:t>
        </w:r>
      </w:hyperlink>
    </w:p>
    <w:p w:rsidR="00146C4F" w:rsidRDefault="00146C4F" w:rsidP="00F81FC0">
      <w:pPr>
        <w:pStyle w:val="ListParagraph"/>
        <w:numPr>
          <w:ilvl w:val="0"/>
          <w:numId w:val="4"/>
        </w:numPr>
        <w:autoSpaceDE w:val="0"/>
        <w:autoSpaceDN w:val="0"/>
        <w:adjustRightInd w:val="0"/>
        <w:spacing w:after="240"/>
        <w:jc w:val="both"/>
        <w:rPr>
          <w:rFonts w:ascii="Times New Roman" w:hAnsi="Times New Roman" w:cs="Times New Roman"/>
          <w:color w:val="000000" w:themeColor="text1"/>
          <w:kern w:val="0"/>
          <w:sz w:val="22"/>
          <w:szCs w:val="22"/>
          <w:lang w:val="en-US"/>
        </w:rPr>
      </w:pPr>
      <w:proofErr w:type="spellStart"/>
      <w:r w:rsidRPr="00146C4F">
        <w:rPr>
          <w:rFonts w:ascii="Times New Roman" w:hAnsi="Times New Roman" w:cs="Times New Roman"/>
          <w:color w:val="000000" w:themeColor="text1"/>
          <w:kern w:val="0"/>
          <w:sz w:val="22"/>
          <w:szCs w:val="22"/>
          <w:lang w:val="en-US"/>
        </w:rPr>
        <w:t>Dolzhenko</w:t>
      </w:r>
      <w:proofErr w:type="spellEnd"/>
      <w:r w:rsidRPr="00146C4F">
        <w:rPr>
          <w:rFonts w:ascii="Times New Roman" w:hAnsi="Times New Roman" w:cs="Times New Roman"/>
          <w:color w:val="000000" w:themeColor="text1"/>
          <w:kern w:val="0"/>
          <w:sz w:val="22"/>
          <w:szCs w:val="22"/>
          <w:lang w:val="en-US"/>
        </w:rPr>
        <w:t>, E., et al. (2019). Expansion</w:t>
      </w:r>
      <w:r>
        <w:rPr>
          <w:rFonts w:ascii="Times New Roman" w:hAnsi="Times New Roman" w:cs="Times New Roman"/>
          <w:color w:val="000000" w:themeColor="text1"/>
          <w:kern w:val="0"/>
          <w:sz w:val="22"/>
          <w:szCs w:val="22"/>
          <w:lang w:val="en-US"/>
        </w:rPr>
        <w:t xml:space="preserve"> </w:t>
      </w:r>
      <w:r w:rsidRPr="00146C4F">
        <w:rPr>
          <w:rFonts w:ascii="Times New Roman" w:hAnsi="Times New Roman" w:cs="Times New Roman"/>
          <w:color w:val="000000" w:themeColor="text1"/>
          <w:kern w:val="0"/>
          <w:sz w:val="22"/>
          <w:szCs w:val="22"/>
          <w:lang w:val="en-US"/>
        </w:rPr>
        <w:t xml:space="preserve">Hunter: a tool for analyzing variation in short tandem repeat regions. Bioinformatics, 35(22), 4754–4756. </w:t>
      </w:r>
      <w:hyperlink r:id="rId35" w:history="1">
        <w:r w:rsidRPr="00327DD7">
          <w:rPr>
            <w:rStyle w:val="Hyperlink"/>
            <w:rFonts w:ascii="Times New Roman" w:hAnsi="Times New Roman" w:cs="Times New Roman"/>
            <w:color w:val="000000" w:themeColor="text1"/>
            <w:kern w:val="0"/>
            <w:sz w:val="22"/>
            <w:szCs w:val="22"/>
            <w:u w:val="none"/>
            <w:lang w:val="en-US"/>
          </w:rPr>
          <w:t>https://doi.org/10.1093/bioinformatics/btz431</w:t>
        </w:r>
      </w:hyperlink>
    </w:p>
    <w:p w:rsidR="00146C4F" w:rsidRPr="00146C4F" w:rsidRDefault="00146C4F" w:rsidP="00F81FC0">
      <w:pPr>
        <w:pStyle w:val="ListParagraph"/>
        <w:numPr>
          <w:ilvl w:val="0"/>
          <w:numId w:val="4"/>
        </w:numPr>
        <w:autoSpaceDE w:val="0"/>
        <w:autoSpaceDN w:val="0"/>
        <w:adjustRightInd w:val="0"/>
        <w:spacing w:after="240"/>
        <w:jc w:val="both"/>
        <w:rPr>
          <w:rFonts w:ascii="Times New Roman" w:hAnsi="Times New Roman" w:cs="Times New Roman"/>
          <w:color w:val="000000" w:themeColor="text1"/>
          <w:kern w:val="0"/>
          <w:sz w:val="22"/>
          <w:szCs w:val="22"/>
          <w:lang w:val="en-US"/>
        </w:rPr>
      </w:pPr>
      <w:r w:rsidRPr="00146C4F">
        <w:rPr>
          <w:rFonts w:ascii="Times New Roman" w:hAnsi="Times New Roman" w:cs="Times New Roman"/>
          <w:color w:val="000000" w:themeColor="text1"/>
          <w:kern w:val="0"/>
          <w:sz w:val="22"/>
          <w:szCs w:val="22"/>
          <w:lang w:val="en-US"/>
        </w:rPr>
        <w:t>Forensics Lab Analysis of the D1S80 VNTR KT-1009-01</w:t>
      </w:r>
      <w:r w:rsidRPr="00146C4F">
        <w:t xml:space="preserve"> </w:t>
      </w:r>
      <w:r w:rsidRPr="00146C4F">
        <w:rPr>
          <w:rFonts w:ascii="Times New Roman" w:hAnsi="Times New Roman" w:cs="Times New Roman"/>
          <w:color w:val="000000" w:themeColor="text1"/>
          <w:kern w:val="0"/>
          <w:sz w:val="22"/>
          <w:szCs w:val="22"/>
          <w:lang w:val="en-US"/>
        </w:rPr>
        <w:t>Version: 2.3 Release: December 2025</w:t>
      </w:r>
    </w:p>
    <w:p w:rsidR="00146C4F" w:rsidRDefault="00146C4F" w:rsidP="00F81FC0">
      <w:pPr>
        <w:pStyle w:val="ListParagraph"/>
        <w:autoSpaceDE w:val="0"/>
        <w:autoSpaceDN w:val="0"/>
        <w:adjustRightInd w:val="0"/>
        <w:spacing w:after="240"/>
        <w:jc w:val="both"/>
        <w:rPr>
          <w:rFonts w:ascii="Times New Roman" w:hAnsi="Times New Roman" w:cs="Times New Roman"/>
          <w:color w:val="000000" w:themeColor="text1"/>
          <w:kern w:val="0"/>
          <w:sz w:val="22"/>
          <w:szCs w:val="22"/>
          <w:lang w:val="en-US"/>
        </w:rPr>
      </w:pPr>
      <w:r w:rsidRPr="00146C4F">
        <w:rPr>
          <w:rFonts w:ascii="Times New Roman" w:hAnsi="Times New Roman" w:cs="Times New Roman"/>
          <w:color w:val="000000" w:themeColor="text1"/>
          <w:kern w:val="0"/>
          <w:sz w:val="22"/>
          <w:szCs w:val="22"/>
          <w:lang w:val="en-US"/>
        </w:rPr>
        <w:t xml:space="preserve">©2018-2025 by </w:t>
      </w:r>
      <w:proofErr w:type="spellStart"/>
      <w:r w:rsidRPr="00146C4F">
        <w:rPr>
          <w:rFonts w:ascii="Times New Roman" w:hAnsi="Times New Roman" w:cs="Times New Roman"/>
          <w:color w:val="000000" w:themeColor="text1"/>
          <w:kern w:val="0"/>
          <w:sz w:val="22"/>
          <w:szCs w:val="22"/>
          <w:lang w:val="en-US"/>
        </w:rPr>
        <w:t>miniPCR</w:t>
      </w:r>
      <w:proofErr w:type="spellEnd"/>
      <w:r w:rsidRPr="00146C4F">
        <w:rPr>
          <w:rFonts w:ascii="Times New Roman" w:hAnsi="Times New Roman" w:cs="Times New Roman"/>
          <w:color w:val="000000" w:themeColor="text1"/>
          <w:kern w:val="0"/>
          <w:sz w:val="22"/>
          <w:szCs w:val="22"/>
          <w:lang w:val="en-US"/>
        </w:rPr>
        <w:t xml:space="preserve"> </w:t>
      </w:r>
      <w:proofErr w:type="spellStart"/>
      <w:r w:rsidRPr="00146C4F">
        <w:rPr>
          <w:rFonts w:ascii="Times New Roman" w:hAnsi="Times New Roman" w:cs="Times New Roman"/>
          <w:color w:val="000000" w:themeColor="text1"/>
          <w:kern w:val="0"/>
          <w:sz w:val="22"/>
          <w:szCs w:val="22"/>
          <w:lang w:val="en-US"/>
        </w:rPr>
        <w:t>bioTM</w:t>
      </w:r>
      <w:proofErr w:type="spellEnd"/>
    </w:p>
    <w:p w:rsidR="00C47463" w:rsidRDefault="00C47463" w:rsidP="00F81FC0">
      <w:pPr>
        <w:pStyle w:val="ListParagraph"/>
        <w:numPr>
          <w:ilvl w:val="0"/>
          <w:numId w:val="4"/>
        </w:numPr>
        <w:autoSpaceDE w:val="0"/>
        <w:autoSpaceDN w:val="0"/>
        <w:adjustRightInd w:val="0"/>
        <w:spacing w:after="240"/>
        <w:jc w:val="both"/>
        <w:rPr>
          <w:rFonts w:ascii="Times New Roman" w:hAnsi="Times New Roman" w:cs="Times New Roman"/>
          <w:color w:val="000000" w:themeColor="text1"/>
          <w:kern w:val="0"/>
          <w:sz w:val="22"/>
          <w:szCs w:val="22"/>
          <w:lang w:val="en-US"/>
        </w:rPr>
      </w:pPr>
      <w:r w:rsidRPr="00C47463">
        <w:rPr>
          <w:rFonts w:ascii="Times New Roman" w:hAnsi="Times New Roman" w:cs="Times New Roman"/>
          <w:color w:val="000000" w:themeColor="text1"/>
          <w:kern w:val="0"/>
          <w:sz w:val="22"/>
          <w:szCs w:val="22"/>
          <w:lang w:val="en-US"/>
        </w:rPr>
        <w:t>Duncan, G., Thomas, E., Gallo, J. C., Burbank, J., &amp; Rose, A. (1997). D1S80 locus genotype age frequencies in a population sample from South Florida. Journal of Forensic Sciences, 42(3), 498-501.</w:t>
      </w:r>
    </w:p>
    <w:p w:rsidR="00C47463" w:rsidRDefault="00C47463" w:rsidP="00F81FC0">
      <w:pPr>
        <w:pStyle w:val="ListParagraph"/>
        <w:numPr>
          <w:ilvl w:val="0"/>
          <w:numId w:val="4"/>
        </w:numPr>
        <w:autoSpaceDE w:val="0"/>
        <w:autoSpaceDN w:val="0"/>
        <w:adjustRightInd w:val="0"/>
        <w:spacing w:after="240"/>
        <w:jc w:val="both"/>
        <w:rPr>
          <w:rFonts w:ascii="Times New Roman" w:hAnsi="Times New Roman" w:cs="Times New Roman"/>
          <w:color w:val="000000" w:themeColor="text1"/>
          <w:kern w:val="0"/>
          <w:sz w:val="22"/>
          <w:szCs w:val="22"/>
          <w:lang w:val="en-US"/>
        </w:rPr>
      </w:pPr>
      <w:proofErr w:type="spellStart"/>
      <w:r w:rsidRPr="00C47463">
        <w:rPr>
          <w:rFonts w:ascii="Times New Roman" w:hAnsi="Times New Roman" w:cs="Times New Roman"/>
          <w:color w:val="000000" w:themeColor="text1"/>
          <w:kern w:val="0"/>
          <w:sz w:val="22"/>
          <w:szCs w:val="22"/>
          <w:lang w:val="en-US"/>
        </w:rPr>
        <w:t>Kloosterman</w:t>
      </w:r>
      <w:proofErr w:type="spellEnd"/>
      <w:r w:rsidRPr="00C47463">
        <w:rPr>
          <w:rFonts w:ascii="Times New Roman" w:hAnsi="Times New Roman" w:cs="Times New Roman"/>
          <w:color w:val="000000" w:themeColor="text1"/>
          <w:kern w:val="0"/>
          <w:sz w:val="22"/>
          <w:szCs w:val="22"/>
          <w:lang w:val="en-US"/>
        </w:rPr>
        <w:t xml:space="preserve">, A. D., </w:t>
      </w:r>
      <w:proofErr w:type="spellStart"/>
      <w:r w:rsidRPr="00C47463">
        <w:rPr>
          <w:rFonts w:ascii="Times New Roman" w:hAnsi="Times New Roman" w:cs="Times New Roman"/>
          <w:color w:val="000000" w:themeColor="text1"/>
          <w:kern w:val="0"/>
          <w:sz w:val="22"/>
          <w:szCs w:val="22"/>
          <w:lang w:val="en-US"/>
        </w:rPr>
        <w:t>Budowle</w:t>
      </w:r>
      <w:proofErr w:type="spellEnd"/>
      <w:r w:rsidRPr="00C47463">
        <w:rPr>
          <w:rFonts w:ascii="Times New Roman" w:hAnsi="Times New Roman" w:cs="Times New Roman"/>
          <w:color w:val="000000" w:themeColor="text1"/>
          <w:kern w:val="0"/>
          <w:sz w:val="22"/>
          <w:szCs w:val="22"/>
          <w:lang w:val="en-US"/>
        </w:rPr>
        <w:t xml:space="preserve">, B., &amp; </w:t>
      </w:r>
      <w:proofErr w:type="spellStart"/>
      <w:r w:rsidRPr="00C47463">
        <w:rPr>
          <w:rFonts w:ascii="Times New Roman" w:hAnsi="Times New Roman" w:cs="Times New Roman"/>
          <w:color w:val="000000" w:themeColor="text1"/>
          <w:kern w:val="0"/>
          <w:sz w:val="22"/>
          <w:szCs w:val="22"/>
          <w:lang w:val="en-US"/>
        </w:rPr>
        <w:t>Daselaar</w:t>
      </w:r>
      <w:proofErr w:type="spellEnd"/>
      <w:r w:rsidRPr="00C47463">
        <w:rPr>
          <w:rFonts w:ascii="Times New Roman" w:hAnsi="Times New Roman" w:cs="Times New Roman"/>
          <w:color w:val="000000" w:themeColor="text1"/>
          <w:kern w:val="0"/>
          <w:sz w:val="22"/>
          <w:szCs w:val="22"/>
          <w:lang w:val="en-US"/>
        </w:rPr>
        <w:t>, P. (1993). Population-genetics of the D1S80 locus in the Netherlands. International Journal of Legal Medicine, 105(4), 233-238.</w:t>
      </w:r>
    </w:p>
    <w:p w:rsidR="00B6719B" w:rsidRDefault="00B6719B" w:rsidP="00F81FC0">
      <w:pPr>
        <w:pStyle w:val="ListParagraph"/>
        <w:numPr>
          <w:ilvl w:val="0"/>
          <w:numId w:val="4"/>
        </w:numPr>
        <w:autoSpaceDE w:val="0"/>
        <w:autoSpaceDN w:val="0"/>
        <w:adjustRightInd w:val="0"/>
        <w:spacing w:after="240"/>
        <w:jc w:val="both"/>
        <w:rPr>
          <w:rFonts w:ascii="Times New Roman" w:hAnsi="Times New Roman" w:cs="Times New Roman"/>
          <w:color w:val="000000" w:themeColor="text1"/>
          <w:kern w:val="0"/>
          <w:sz w:val="22"/>
          <w:szCs w:val="22"/>
          <w:lang w:val="en-US"/>
        </w:rPr>
      </w:pPr>
      <w:r w:rsidRPr="00B6719B">
        <w:rPr>
          <w:rFonts w:ascii="Times New Roman" w:hAnsi="Times New Roman" w:cs="Times New Roman"/>
          <w:color w:val="000000" w:themeColor="text1"/>
          <w:kern w:val="0"/>
          <w:sz w:val="22"/>
          <w:szCs w:val="22"/>
          <w:lang w:val="en-US"/>
        </w:rPr>
        <w:t xml:space="preserve">Halos, S. C., Agno, C. N., &amp; de </w:t>
      </w:r>
      <w:proofErr w:type="spellStart"/>
      <w:r w:rsidRPr="00B6719B">
        <w:rPr>
          <w:rFonts w:ascii="Times New Roman" w:hAnsi="Times New Roman" w:cs="Times New Roman"/>
          <w:color w:val="000000" w:themeColor="text1"/>
          <w:kern w:val="0"/>
          <w:sz w:val="22"/>
          <w:szCs w:val="22"/>
          <w:lang w:val="en-US"/>
        </w:rPr>
        <w:t>Ungria</w:t>
      </w:r>
      <w:proofErr w:type="spellEnd"/>
      <w:r w:rsidRPr="00B6719B">
        <w:rPr>
          <w:rFonts w:ascii="Times New Roman" w:hAnsi="Times New Roman" w:cs="Times New Roman"/>
          <w:color w:val="000000" w:themeColor="text1"/>
          <w:kern w:val="0"/>
          <w:sz w:val="22"/>
          <w:szCs w:val="22"/>
          <w:lang w:val="en-US"/>
        </w:rPr>
        <w:t xml:space="preserve">, M. C. (1999). Philippine population database at nine microsatellite loci for forensic and paternity applications. Forensic Science International, 101(3), 197–202. </w:t>
      </w:r>
      <w:hyperlink r:id="rId36" w:history="1">
        <w:r w:rsidRPr="00327DD7">
          <w:rPr>
            <w:rStyle w:val="Hyperlink"/>
            <w:rFonts w:ascii="Times New Roman" w:hAnsi="Times New Roman" w:cs="Times New Roman"/>
            <w:color w:val="000000" w:themeColor="text1"/>
            <w:kern w:val="0"/>
            <w:sz w:val="22"/>
            <w:szCs w:val="22"/>
            <w:u w:val="none"/>
            <w:lang w:val="en-US"/>
          </w:rPr>
          <w:t>https://doi.org/10.1016/s0379-0738(99)00008-0</w:t>
        </w:r>
      </w:hyperlink>
    </w:p>
    <w:p w:rsidR="00B6719B" w:rsidRDefault="00B6719B" w:rsidP="00F81FC0">
      <w:pPr>
        <w:pStyle w:val="ListParagraph"/>
        <w:numPr>
          <w:ilvl w:val="0"/>
          <w:numId w:val="4"/>
        </w:numPr>
        <w:autoSpaceDE w:val="0"/>
        <w:autoSpaceDN w:val="0"/>
        <w:adjustRightInd w:val="0"/>
        <w:spacing w:after="240"/>
        <w:jc w:val="both"/>
        <w:rPr>
          <w:rFonts w:ascii="Times New Roman" w:hAnsi="Times New Roman" w:cs="Times New Roman"/>
          <w:color w:val="000000" w:themeColor="text1"/>
          <w:kern w:val="0"/>
          <w:sz w:val="22"/>
          <w:szCs w:val="22"/>
          <w:lang w:val="en-US"/>
        </w:rPr>
      </w:pPr>
      <w:proofErr w:type="spellStart"/>
      <w:r w:rsidRPr="00B6719B">
        <w:rPr>
          <w:rFonts w:ascii="Times New Roman" w:hAnsi="Times New Roman" w:cs="Times New Roman"/>
          <w:color w:val="000000" w:themeColor="text1"/>
          <w:kern w:val="0"/>
          <w:sz w:val="22"/>
          <w:szCs w:val="22"/>
          <w:lang w:val="en-US"/>
        </w:rPr>
        <w:t>Budowle</w:t>
      </w:r>
      <w:proofErr w:type="spellEnd"/>
      <w:r w:rsidRPr="00B6719B">
        <w:rPr>
          <w:rFonts w:ascii="Times New Roman" w:hAnsi="Times New Roman" w:cs="Times New Roman"/>
          <w:color w:val="000000" w:themeColor="text1"/>
          <w:kern w:val="0"/>
          <w:sz w:val="22"/>
          <w:szCs w:val="22"/>
          <w:lang w:val="en-US"/>
        </w:rPr>
        <w:t xml:space="preserve">, B., Moretti, T. R., </w:t>
      </w:r>
      <w:proofErr w:type="spellStart"/>
      <w:r w:rsidRPr="00B6719B">
        <w:rPr>
          <w:rFonts w:ascii="Times New Roman" w:hAnsi="Times New Roman" w:cs="Times New Roman"/>
          <w:color w:val="000000" w:themeColor="text1"/>
          <w:kern w:val="0"/>
          <w:sz w:val="22"/>
          <w:szCs w:val="22"/>
          <w:lang w:val="en-US"/>
        </w:rPr>
        <w:t>Baumstark</w:t>
      </w:r>
      <w:proofErr w:type="spellEnd"/>
      <w:r w:rsidRPr="00B6719B">
        <w:rPr>
          <w:rFonts w:ascii="Times New Roman" w:hAnsi="Times New Roman" w:cs="Times New Roman"/>
          <w:color w:val="000000" w:themeColor="text1"/>
          <w:kern w:val="0"/>
          <w:sz w:val="22"/>
          <w:szCs w:val="22"/>
          <w:lang w:val="en-US"/>
        </w:rPr>
        <w:t xml:space="preserve">, A. L., Gibson, P. F., Monson, K. L., &amp; </w:t>
      </w:r>
      <w:proofErr w:type="spellStart"/>
      <w:r w:rsidRPr="00B6719B">
        <w:rPr>
          <w:rFonts w:ascii="Times New Roman" w:hAnsi="Times New Roman" w:cs="Times New Roman"/>
          <w:color w:val="000000" w:themeColor="text1"/>
          <w:kern w:val="0"/>
          <w:sz w:val="22"/>
          <w:szCs w:val="22"/>
          <w:lang w:val="en-US"/>
        </w:rPr>
        <w:t>Foran</w:t>
      </w:r>
      <w:proofErr w:type="spellEnd"/>
      <w:r w:rsidRPr="00B6719B">
        <w:rPr>
          <w:rFonts w:ascii="Times New Roman" w:hAnsi="Times New Roman" w:cs="Times New Roman"/>
          <w:color w:val="000000" w:themeColor="text1"/>
          <w:kern w:val="0"/>
          <w:sz w:val="22"/>
          <w:szCs w:val="22"/>
          <w:lang w:val="en-US"/>
        </w:rPr>
        <w:t xml:space="preserve">, D. J. (1998). </w:t>
      </w:r>
      <w:proofErr w:type="spellStart"/>
      <w:r w:rsidRPr="00B6719B">
        <w:rPr>
          <w:rFonts w:ascii="Times New Roman" w:hAnsi="Times New Roman" w:cs="Times New Roman"/>
          <w:color w:val="000000" w:themeColor="text1"/>
          <w:kern w:val="0"/>
          <w:sz w:val="22"/>
          <w:szCs w:val="22"/>
          <w:lang w:val="en-US"/>
        </w:rPr>
        <w:t>Polymarker</w:t>
      </w:r>
      <w:proofErr w:type="spellEnd"/>
      <w:r w:rsidRPr="00B6719B">
        <w:rPr>
          <w:rFonts w:ascii="Times New Roman" w:hAnsi="Times New Roman" w:cs="Times New Roman"/>
          <w:color w:val="000000" w:themeColor="text1"/>
          <w:kern w:val="0"/>
          <w:sz w:val="22"/>
          <w:szCs w:val="22"/>
          <w:lang w:val="en-US"/>
        </w:rPr>
        <w:t>, HLA-DQA1, and D1S80 allele frequency data in Chamorro and Filipino populations from Guam. Journal of Forensic Sciences, 43(6), 1184–1188. PMID: 9846397.</w:t>
      </w:r>
    </w:p>
    <w:p w:rsidR="00B6719B" w:rsidRDefault="00B6719B" w:rsidP="00F81FC0">
      <w:pPr>
        <w:pStyle w:val="ListParagraph"/>
        <w:numPr>
          <w:ilvl w:val="0"/>
          <w:numId w:val="4"/>
        </w:numPr>
        <w:autoSpaceDE w:val="0"/>
        <w:autoSpaceDN w:val="0"/>
        <w:adjustRightInd w:val="0"/>
        <w:spacing w:after="240"/>
        <w:jc w:val="both"/>
        <w:rPr>
          <w:rFonts w:ascii="Times New Roman" w:hAnsi="Times New Roman" w:cs="Times New Roman"/>
          <w:color w:val="000000" w:themeColor="text1"/>
          <w:kern w:val="0"/>
          <w:sz w:val="22"/>
          <w:szCs w:val="22"/>
          <w:lang w:val="en-US"/>
        </w:rPr>
      </w:pPr>
      <w:r w:rsidRPr="00B6719B">
        <w:rPr>
          <w:rFonts w:ascii="Times New Roman" w:hAnsi="Times New Roman" w:cs="Times New Roman"/>
          <w:color w:val="000000" w:themeColor="text1"/>
          <w:kern w:val="0"/>
          <w:sz w:val="22"/>
          <w:szCs w:val="22"/>
          <w:lang w:val="en-US"/>
        </w:rPr>
        <w:t xml:space="preserve">Halos, S. C., Agno, C. N., &amp; de </w:t>
      </w:r>
      <w:proofErr w:type="spellStart"/>
      <w:r w:rsidRPr="00B6719B">
        <w:rPr>
          <w:rFonts w:ascii="Times New Roman" w:hAnsi="Times New Roman" w:cs="Times New Roman"/>
          <w:color w:val="000000" w:themeColor="text1"/>
          <w:kern w:val="0"/>
          <w:sz w:val="22"/>
          <w:szCs w:val="22"/>
          <w:lang w:val="en-US"/>
        </w:rPr>
        <w:t>Ungria</w:t>
      </w:r>
      <w:proofErr w:type="spellEnd"/>
      <w:r w:rsidRPr="00B6719B">
        <w:rPr>
          <w:rFonts w:ascii="Times New Roman" w:hAnsi="Times New Roman" w:cs="Times New Roman"/>
          <w:color w:val="000000" w:themeColor="text1"/>
          <w:kern w:val="0"/>
          <w:sz w:val="22"/>
          <w:szCs w:val="22"/>
          <w:lang w:val="en-US"/>
        </w:rPr>
        <w:t xml:space="preserve">, M. C. (1998). Allele frequency distributions of the polymorphic STR loci HUMVWA, HUMFES, HUMF13A01 and the VNTR D1S80 in a Filipino population from Metro Manila. International Journal of Legal Medicine, 111(4), 220–222. </w:t>
      </w:r>
      <w:hyperlink r:id="rId37" w:history="1">
        <w:r w:rsidRPr="00F81FC0">
          <w:rPr>
            <w:rStyle w:val="Hyperlink"/>
            <w:rFonts w:ascii="Times New Roman" w:hAnsi="Times New Roman" w:cs="Times New Roman"/>
            <w:color w:val="000000" w:themeColor="text1"/>
            <w:kern w:val="0"/>
            <w:sz w:val="22"/>
            <w:szCs w:val="22"/>
            <w:u w:val="none"/>
            <w:lang w:val="en-US"/>
          </w:rPr>
          <w:t>https://doi.org/10.1007/s004140050157</w:t>
        </w:r>
      </w:hyperlink>
    </w:p>
    <w:p w:rsidR="00B6719B" w:rsidRDefault="00A6323C" w:rsidP="00F81FC0">
      <w:pPr>
        <w:pStyle w:val="ListParagraph"/>
        <w:numPr>
          <w:ilvl w:val="0"/>
          <w:numId w:val="4"/>
        </w:numPr>
        <w:autoSpaceDE w:val="0"/>
        <w:autoSpaceDN w:val="0"/>
        <w:adjustRightInd w:val="0"/>
        <w:spacing w:after="240"/>
        <w:jc w:val="both"/>
        <w:rPr>
          <w:rFonts w:ascii="Times New Roman" w:hAnsi="Times New Roman" w:cs="Times New Roman"/>
          <w:color w:val="000000" w:themeColor="text1"/>
          <w:kern w:val="0"/>
          <w:sz w:val="22"/>
          <w:szCs w:val="22"/>
          <w:lang w:val="en-US"/>
        </w:rPr>
      </w:pPr>
      <w:proofErr w:type="spellStart"/>
      <w:r w:rsidRPr="00A6323C">
        <w:rPr>
          <w:rFonts w:ascii="Times New Roman" w:hAnsi="Times New Roman" w:cs="Times New Roman"/>
          <w:color w:val="000000" w:themeColor="text1"/>
          <w:kern w:val="0"/>
          <w:sz w:val="22"/>
          <w:szCs w:val="22"/>
          <w:lang w:val="en-US"/>
        </w:rPr>
        <w:t>Latorra</w:t>
      </w:r>
      <w:proofErr w:type="spellEnd"/>
      <w:r w:rsidRPr="00A6323C">
        <w:rPr>
          <w:rFonts w:ascii="Times New Roman" w:hAnsi="Times New Roman" w:cs="Times New Roman"/>
          <w:color w:val="000000" w:themeColor="text1"/>
          <w:kern w:val="0"/>
          <w:sz w:val="22"/>
          <w:szCs w:val="22"/>
          <w:lang w:val="en-US"/>
        </w:rPr>
        <w:t xml:space="preserve">, D., Stern, C. M., &amp; </w:t>
      </w:r>
      <w:proofErr w:type="spellStart"/>
      <w:r w:rsidRPr="00A6323C">
        <w:rPr>
          <w:rFonts w:ascii="Times New Roman" w:hAnsi="Times New Roman" w:cs="Times New Roman"/>
          <w:color w:val="000000" w:themeColor="text1"/>
          <w:kern w:val="0"/>
          <w:sz w:val="22"/>
          <w:szCs w:val="22"/>
          <w:lang w:val="en-US"/>
        </w:rPr>
        <w:t>Schanfield</w:t>
      </w:r>
      <w:proofErr w:type="spellEnd"/>
      <w:r w:rsidRPr="00A6323C">
        <w:rPr>
          <w:rFonts w:ascii="Times New Roman" w:hAnsi="Times New Roman" w:cs="Times New Roman"/>
          <w:color w:val="000000" w:themeColor="text1"/>
          <w:kern w:val="0"/>
          <w:sz w:val="22"/>
          <w:szCs w:val="22"/>
          <w:lang w:val="en-US"/>
        </w:rPr>
        <w:t>, M. S. (2000). Characterization of human VNTR locus D1S80 allele frequency distributions in diverse global populations. Human Biology, 72(4), 545-562.</w:t>
      </w:r>
    </w:p>
    <w:p w:rsidR="00146C4F" w:rsidRPr="00146C4F" w:rsidRDefault="00146C4F" w:rsidP="00146C4F">
      <w:pPr>
        <w:pStyle w:val="ListParagraph"/>
        <w:autoSpaceDE w:val="0"/>
        <w:autoSpaceDN w:val="0"/>
        <w:adjustRightInd w:val="0"/>
        <w:spacing w:after="240"/>
        <w:rPr>
          <w:rFonts w:ascii="Times New Roman" w:hAnsi="Times New Roman" w:cs="Times New Roman"/>
          <w:color w:val="000000" w:themeColor="text1"/>
          <w:kern w:val="0"/>
          <w:sz w:val="22"/>
          <w:szCs w:val="22"/>
          <w:lang w:val="en-US"/>
        </w:rPr>
      </w:pPr>
    </w:p>
    <w:p w:rsidR="00307698" w:rsidRPr="002A1F01" w:rsidRDefault="00307698" w:rsidP="00307698">
      <w:pPr>
        <w:autoSpaceDE w:val="0"/>
        <w:autoSpaceDN w:val="0"/>
        <w:adjustRightInd w:val="0"/>
        <w:spacing w:after="240"/>
        <w:rPr>
          <w:rFonts w:ascii="Times New Roman" w:hAnsi="Times New Roman" w:cs="Times New Roman"/>
          <w:color w:val="000000" w:themeColor="text1"/>
          <w:kern w:val="0"/>
          <w:sz w:val="22"/>
          <w:szCs w:val="22"/>
          <w:lang w:val="en-US"/>
        </w:rPr>
      </w:pPr>
    </w:p>
    <w:p w:rsidR="00307698" w:rsidRPr="00AF689A" w:rsidRDefault="00307698" w:rsidP="00AF689A">
      <w:pPr>
        <w:autoSpaceDE w:val="0"/>
        <w:autoSpaceDN w:val="0"/>
        <w:adjustRightInd w:val="0"/>
        <w:spacing w:after="240"/>
        <w:rPr>
          <w:rFonts w:ascii="Times New Roman" w:hAnsi="Times New Roman" w:cs="Times New Roman"/>
          <w:color w:val="000000" w:themeColor="text1"/>
          <w:kern w:val="0"/>
          <w:sz w:val="22"/>
          <w:szCs w:val="22"/>
          <w:lang w:val="en-US"/>
        </w:rPr>
      </w:pPr>
    </w:p>
    <w:p w:rsidR="00AF689A" w:rsidRPr="00A1543E" w:rsidRDefault="00AF689A" w:rsidP="00A1543E">
      <w:pPr>
        <w:rPr>
          <w:rFonts w:ascii="Times New Roman" w:hAnsi="Times New Roman" w:cs="Times New Roman"/>
          <w:sz w:val="22"/>
          <w:szCs w:val="22"/>
        </w:rPr>
      </w:pPr>
    </w:p>
    <w:p w:rsidR="00080983" w:rsidRPr="00116BD4" w:rsidRDefault="00080983">
      <w:pPr>
        <w:rPr>
          <w:rFonts w:ascii="Times New Roman" w:hAnsi="Times New Roman" w:cs="Times New Roman"/>
          <w:sz w:val="22"/>
          <w:szCs w:val="22"/>
        </w:rPr>
      </w:pPr>
    </w:p>
    <w:sectPr w:rsidR="00080983" w:rsidRPr="00116BD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66B5C"/>
    <w:multiLevelType w:val="multilevel"/>
    <w:tmpl w:val="0D548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57514D"/>
    <w:multiLevelType w:val="multilevel"/>
    <w:tmpl w:val="8EC23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FD35E91"/>
    <w:multiLevelType w:val="multilevel"/>
    <w:tmpl w:val="51A46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3734FA5"/>
    <w:multiLevelType w:val="hybridMultilevel"/>
    <w:tmpl w:val="C4A480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BD4"/>
    <w:rsid w:val="00037EC1"/>
    <w:rsid w:val="00080983"/>
    <w:rsid w:val="00087C0E"/>
    <w:rsid w:val="00116BD4"/>
    <w:rsid w:val="00146C4F"/>
    <w:rsid w:val="0015537C"/>
    <w:rsid w:val="00155F1A"/>
    <w:rsid w:val="00184B35"/>
    <w:rsid w:val="00196E8F"/>
    <w:rsid w:val="001A7FBC"/>
    <w:rsid w:val="00261ACD"/>
    <w:rsid w:val="002676FB"/>
    <w:rsid w:val="002A1F01"/>
    <w:rsid w:val="002C7C87"/>
    <w:rsid w:val="002E3B2E"/>
    <w:rsid w:val="002F7430"/>
    <w:rsid w:val="00307698"/>
    <w:rsid w:val="00322036"/>
    <w:rsid w:val="00327DD7"/>
    <w:rsid w:val="0033141C"/>
    <w:rsid w:val="00336307"/>
    <w:rsid w:val="00394A26"/>
    <w:rsid w:val="003D1A5A"/>
    <w:rsid w:val="003F4134"/>
    <w:rsid w:val="00406BE1"/>
    <w:rsid w:val="0041487C"/>
    <w:rsid w:val="004930ED"/>
    <w:rsid w:val="00515C9C"/>
    <w:rsid w:val="00530331"/>
    <w:rsid w:val="005E38DA"/>
    <w:rsid w:val="005E6329"/>
    <w:rsid w:val="005F6F8F"/>
    <w:rsid w:val="00627409"/>
    <w:rsid w:val="006401E9"/>
    <w:rsid w:val="006B4840"/>
    <w:rsid w:val="006C3EE6"/>
    <w:rsid w:val="006C61B2"/>
    <w:rsid w:val="00717F5E"/>
    <w:rsid w:val="00735371"/>
    <w:rsid w:val="00763EEE"/>
    <w:rsid w:val="007773E9"/>
    <w:rsid w:val="00781D89"/>
    <w:rsid w:val="007D06A8"/>
    <w:rsid w:val="00860401"/>
    <w:rsid w:val="00882804"/>
    <w:rsid w:val="008B4121"/>
    <w:rsid w:val="00901E50"/>
    <w:rsid w:val="00951749"/>
    <w:rsid w:val="009614CC"/>
    <w:rsid w:val="0098559D"/>
    <w:rsid w:val="009C3070"/>
    <w:rsid w:val="009F5C2A"/>
    <w:rsid w:val="00A1543E"/>
    <w:rsid w:val="00A16FD8"/>
    <w:rsid w:val="00A42687"/>
    <w:rsid w:val="00A6323C"/>
    <w:rsid w:val="00AC3541"/>
    <w:rsid w:val="00AF689A"/>
    <w:rsid w:val="00B4203F"/>
    <w:rsid w:val="00B5148E"/>
    <w:rsid w:val="00B6719B"/>
    <w:rsid w:val="00B95957"/>
    <w:rsid w:val="00BA4C1F"/>
    <w:rsid w:val="00BD6C9E"/>
    <w:rsid w:val="00BE1A30"/>
    <w:rsid w:val="00C32E8C"/>
    <w:rsid w:val="00C47463"/>
    <w:rsid w:val="00C54251"/>
    <w:rsid w:val="00C624F3"/>
    <w:rsid w:val="00C84633"/>
    <w:rsid w:val="00D146CA"/>
    <w:rsid w:val="00D23905"/>
    <w:rsid w:val="00D51A48"/>
    <w:rsid w:val="00D56F58"/>
    <w:rsid w:val="00D77FE1"/>
    <w:rsid w:val="00D93FC0"/>
    <w:rsid w:val="00D9561D"/>
    <w:rsid w:val="00E00710"/>
    <w:rsid w:val="00E20D8C"/>
    <w:rsid w:val="00E741F9"/>
    <w:rsid w:val="00E82C37"/>
    <w:rsid w:val="00E86EC4"/>
    <w:rsid w:val="00E96CD3"/>
    <w:rsid w:val="00EC1C0E"/>
    <w:rsid w:val="00ED3656"/>
    <w:rsid w:val="00F81FC0"/>
    <w:rsid w:val="00FA086F"/>
    <w:rsid w:val="00FB77DA"/>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93A97D"/>
  <w15:chartTrackingRefBased/>
  <w15:docId w15:val="{707EBB84-0C9D-004F-834B-9074BA4AA0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PH" w:eastAsia="en-US" w:bidi="ar-SA"/>
        <w14:ligatures w14:val="standardContextual"/>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th-inline">
    <w:name w:val="math-inline"/>
    <w:basedOn w:val="DefaultParagraphFont"/>
    <w:rsid w:val="00116BD4"/>
  </w:style>
  <w:style w:type="character" w:styleId="Hyperlink">
    <w:name w:val="Hyperlink"/>
    <w:basedOn w:val="DefaultParagraphFont"/>
    <w:uiPriority w:val="99"/>
    <w:unhideWhenUsed/>
    <w:rsid w:val="00AF689A"/>
    <w:rPr>
      <w:color w:val="0563C1" w:themeColor="hyperlink"/>
      <w:u w:val="single"/>
    </w:rPr>
  </w:style>
  <w:style w:type="character" w:styleId="UnresolvedMention">
    <w:name w:val="Unresolved Mention"/>
    <w:basedOn w:val="DefaultParagraphFont"/>
    <w:uiPriority w:val="99"/>
    <w:semiHidden/>
    <w:unhideWhenUsed/>
    <w:rsid w:val="00AF689A"/>
    <w:rPr>
      <w:color w:val="605E5C"/>
      <w:shd w:val="clear" w:color="auto" w:fill="E1DFDD"/>
    </w:rPr>
  </w:style>
  <w:style w:type="table" w:styleId="TableGrid">
    <w:name w:val="Table Grid"/>
    <w:basedOn w:val="TableNormal"/>
    <w:uiPriority w:val="39"/>
    <w:rsid w:val="008B41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01E50"/>
    <w:pPr>
      <w:ind w:left="720"/>
      <w:contextualSpacing/>
    </w:pPr>
  </w:style>
  <w:style w:type="character" w:styleId="FollowedHyperlink">
    <w:name w:val="FollowedHyperlink"/>
    <w:basedOn w:val="DefaultParagraphFont"/>
    <w:uiPriority w:val="99"/>
    <w:semiHidden/>
    <w:unhideWhenUsed/>
    <w:rsid w:val="002A1F0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49261">
      <w:bodyDiv w:val="1"/>
      <w:marLeft w:val="0"/>
      <w:marRight w:val="0"/>
      <w:marTop w:val="0"/>
      <w:marBottom w:val="0"/>
      <w:divBdr>
        <w:top w:val="none" w:sz="0" w:space="0" w:color="auto"/>
        <w:left w:val="none" w:sz="0" w:space="0" w:color="auto"/>
        <w:bottom w:val="none" w:sz="0" w:space="0" w:color="auto"/>
        <w:right w:val="none" w:sz="0" w:space="0" w:color="auto"/>
      </w:divBdr>
      <w:divsChild>
        <w:div w:id="824979563">
          <w:marLeft w:val="0"/>
          <w:marRight w:val="0"/>
          <w:marTop w:val="0"/>
          <w:marBottom w:val="0"/>
          <w:divBdr>
            <w:top w:val="none" w:sz="0" w:space="0" w:color="auto"/>
            <w:left w:val="none" w:sz="0" w:space="0" w:color="auto"/>
            <w:bottom w:val="none" w:sz="0" w:space="0" w:color="auto"/>
            <w:right w:val="none" w:sz="0" w:space="0" w:color="auto"/>
          </w:divBdr>
        </w:div>
      </w:divsChild>
    </w:div>
    <w:div w:id="201287558">
      <w:bodyDiv w:val="1"/>
      <w:marLeft w:val="0"/>
      <w:marRight w:val="0"/>
      <w:marTop w:val="0"/>
      <w:marBottom w:val="0"/>
      <w:divBdr>
        <w:top w:val="none" w:sz="0" w:space="0" w:color="auto"/>
        <w:left w:val="none" w:sz="0" w:space="0" w:color="auto"/>
        <w:bottom w:val="none" w:sz="0" w:space="0" w:color="auto"/>
        <w:right w:val="none" w:sz="0" w:space="0" w:color="auto"/>
      </w:divBdr>
    </w:div>
    <w:div w:id="235555114">
      <w:bodyDiv w:val="1"/>
      <w:marLeft w:val="0"/>
      <w:marRight w:val="0"/>
      <w:marTop w:val="0"/>
      <w:marBottom w:val="0"/>
      <w:divBdr>
        <w:top w:val="none" w:sz="0" w:space="0" w:color="auto"/>
        <w:left w:val="none" w:sz="0" w:space="0" w:color="auto"/>
        <w:bottom w:val="none" w:sz="0" w:space="0" w:color="auto"/>
        <w:right w:val="none" w:sz="0" w:space="0" w:color="auto"/>
      </w:divBdr>
      <w:divsChild>
        <w:div w:id="1405105356">
          <w:marLeft w:val="0"/>
          <w:marRight w:val="0"/>
          <w:marTop w:val="0"/>
          <w:marBottom w:val="0"/>
          <w:divBdr>
            <w:top w:val="none" w:sz="0" w:space="0" w:color="auto"/>
            <w:left w:val="none" w:sz="0" w:space="0" w:color="auto"/>
            <w:bottom w:val="none" w:sz="0" w:space="0" w:color="auto"/>
            <w:right w:val="none" w:sz="0" w:space="0" w:color="auto"/>
          </w:divBdr>
          <w:divsChild>
            <w:div w:id="1863978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8806568">
      <w:bodyDiv w:val="1"/>
      <w:marLeft w:val="0"/>
      <w:marRight w:val="0"/>
      <w:marTop w:val="0"/>
      <w:marBottom w:val="0"/>
      <w:divBdr>
        <w:top w:val="none" w:sz="0" w:space="0" w:color="auto"/>
        <w:left w:val="none" w:sz="0" w:space="0" w:color="auto"/>
        <w:bottom w:val="none" w:sz="0" w:space="0" w:color="auto"/>
        <w:right w:val="none" w:sz="0" w:space="0" w:color="auto"/>
      </w:divBdr>
    </w:div>
    <w:div w:id="331570268">
      <w:bodyDiv w:val="1"/>
      <w:marLeft w:val="0"/>
      <w:marRight w:val="0"/>
      <w:marTop w:val="0"/>
      <w:marBottom w:val="0"/>
      <w:divBdr>
        <w:top w:val="none" w:sz="0" w:space="0" w:color="auto"/>
        <w:left w:val="none" w:sz="0" w:space="0" w:color="auto"/>
        <w:bottom w:val="none" w:sz="0" w:space="0" w:color="auto"/>
        <w:right w:val="none" w:sz="0" w:space="0" w:color="auto"/>
      </w:divBdr>
      <w:divsChild>
        <w:div w:id="2030715299">
          <w:marLeft w:val="0"/>
          <w:marRight w:val="0"/>
          <w:marTop w:val="0"/>
          <w:marBottom w:val="0"/>
          <w:divBdr>
            <w:top w:val="none" w:sz="0" w:space="0" w:color="auto"/>
            <w:left w:val="none" w:sz="0" w:space="0" w:color="auto"/>
            <w:bottom w:val="none" w:sz="0" w:space="0" w:color="auto"/>
            <w:right w:val="none" w:sz="0" w:space="0" w:color="auto"/>
          </w:divBdr>
        </w:div>
      </w:divsChild>
    </w:div>
    <w:div w:id="338971650">
      <w:bodyDiv w:val="1"/>
      <w:marLeft w:val="0"/>
      <w:marRight w:val="0"/>
      <w:marTop w:val="0"/>
      <w:marBottom w:val="0"/>
      <w:divBdr>
        <w:top w:val="none" w:sz="0" w:space="0" w:color="auto"/>
        <w:left w:val="none" w:sz="0" w:space="0" w:color="auto"/>
        <w:bottom w:val="none" w:sz="0" w:space="0" w:color="auto"/>
        <w:right w:val="none" w:sz="0" w:space="0" w:color="auto"/>
      </w:divBdr>
    </w:div>
    <w:div w:id="381951516">
      <w:bodyDiv w:val="1"/>
      <w:marLeft w:val="0"/>
      <w:marRight w:val="0"/>
      <w:marTop w:val="0"/>
      <w:marBottom w:val="0"/>
      <w:divBdr>
        <w:top w:val="none" w:sz="0" w:space="0" w:color="auto"/>
        <w:left w:val="none" w:sz="0" w:space="0" w:color="auto"/>
        <w:bottom w:val="none" w:sz="0" w:space="0" w:color="auto"/>
        <w:right w:val="none" w:sz="0" w:space="0" w:color="auto"/>
      </w:divBdr>
    </w:div>
    <w:div w:id="608664350">
      <w:bodyDiv w:val="1"/>
      <w:marLeft w:val="0"/>
      <w:marRight w:val="0"/>
      <w:marTop w:val="0"/>
      <w:marBottom w:val="0"/>
      <w:divBdr>
        <w:top w:val="none" w:sz="0" w:space="0" w:color="auto"/>
        <w:left w:val="none" w:sz="0" w:space="0" w:color="auto"/>
        <w:bottom w:val="none" w:sz="0" w:space="0" w:color="auto"/>
        <w:right w:val="none" w:sz="0" w:space="0" w:color="auto"/>
      </w:divBdr>
      <w:divsChild>
        <w:div w:id="1659071376">
          <w:marLeft w:val="0"/>
          <w:marRight w:val="0"/>
          <w:marTop w:val="0"/>
          <w:marBottom w:val="0"/>
          <w:divBdr>
            <w:top w:val="none" w:sz="0" w:space="0" w:color="auto"/>
            <w:left w:val="none" w:sz="0" w:space="0" w:color="auto"/>
            <w:bottom w:val="none" w:sz="0" w:space="0" w:color="auto"/>
            <w:right w:val="none" w:sz="0" w:space="0" w:color="auto"/>
          </w:divBdr>
        </w:div>
      </w:divsChild>
    </w:div>
    <w:div w:id="666523446">
      <w:bodyDiv w:val="1"/>
      <w:marLeft w:val="0"/>
      <w:marRight w:val="0"/>
      <w:marTop w:val="0"/>
      <w:marBottom w:val="0"/>
      <w:divBdr>
        <w:top w:val="none" w:sz="0" w:space="0" w:color="auto"/>
        <w:left w:val="none" w:sz="0" w:space="0" w:color="auto"/>
        <w:bottom w:val="none" w:sz="0" w:space="0" w:color="auto"/>
        <w:right w:val="none" w:sz="0" w:space="0" w:color="auto"/>
      </w:divBdr>
    </w:div>
    <w:div w:id="708410773">
      <w:bodyDiv w:val="1"/>
      <w:marLeft w:val="0"/>
      <w:marRight w:val="0"/>
      <w:marTop w:val="0"/>
      <w:marBottom w:val="0"/>
      <w:divBdr>
        <w:top w:val="none" w:sz="0" w:space="0" w:color="auto"/>
        <w:left w:val="none" w:sz="0" w:space="0" w:color="auto"/>
        <w:bottom w:val="none" w:sz="0" w:space="0" w:color="auto"/>
        <w:right w:val="none" w:sz="0" w:space="0" w:color="auto"/>
      </w:divBdr>
    </w:div>
    <w:div w:id="789472518">
      <w:bodyDiv w:val="1"/>
      <w:marLeft w:val="0"/>
      <w:marRight w:val="0"/>
      <w:marTop w:val="0"/>
      <w:marBottom w:val="0"/>
      <w:divBdr>
        <w:top w:val="none" w:sz="0" w:space="0" w:color="auto"/>
        <w:left w:val="none" w:sz="0" w:space="0" w:color="auto"/>
        <w:bottom w:val="none" w:sz="0" w:space="0" w:color="auto"/>
        <w:right w:val="none" w:sz="0" w:space="0" w:color="auto"/>
      </w:divBdr>
    </w:div>
    <w:div w:id="810249889">
      <w:bodyDiv w:val="1"/>
      <w:marLeft w:val="0"/>
      <w:marRight w:val="0"/>
      <w:marTop w:val="0"/>
      <w:marBottom w:val="0"/>
      <w:divBdr>
        <w:top w:val="none" w:sz="0" w:space="0" w:color="auto"/>
        <w:left w:val="none" w:sz="0" w:space="0" w:color="auto"/>
        <w:bottom w:val="none" w:sz="0" w:space="0" w:color="auto"/>
        <w:right w:val="none" w:sz="0" w:space="0" w:color="auto"/>
      </w:divBdr>
    </w:div>
    <w:div w:id="815032803">
      <w:bodyDiv w:val="1"/>
      <w:marLeft w:val="0"/>
      <w:marRight w:val="0"/>
      <w:marTop w:val="0"/>
      <w:marBottom w:val="0"/>
      <w:divBdr>
        <w:top w:val="none" w:sz="0" w:space="0" w:color="auto"/>
        <w:left w:val="none" w:sz="0" w:space="0" w:color="auto"/>
        <w:bottom w:val="none" w:sz="0" w:space="0" w:color="auto"/>
        <w:right w:val="none" w:sz="0" w:space="0" w:color="auto"/>
      </w:divBdr>
    </w:div>
    <w:div w:id="938753402">
      <w:bodyDiv w:val="1"/>
      <w:marLeft w:val="0"/>
      <w:marRight w:val="0"/>
      <w:marTop w:val="0"/>
      <w:marBottom w:val="0"/>
      <w:divBdr>
        <w:top w:val="none" w:sz="0" w:space="0" w:color="auto"/>
        <w:left w:val="none" w:sz="0" w:space="0" w:color="auto"/>
        <w:bottom w:val="none" w:sz="0" w:space="0" w:color="auto"/>
        <w:right w:val="none" w:sz="0" w:space="0" w:color="auto"/>
      </w:divBdr>
    </w:div>
    <w:div w:id="961770426">
      <w:bodyDiv w:val="1"/>
      <w:marLeft w:val="0"/>
      <w:marRight w:val="0"/>
      <w:marTop w:val="0"/>
      <w:marBottom w:val="0"/>
      <w:divBdr>
        <w:top w:val="none" w:sz="0" w:space="0" w:color="auto"/>
        <w:left w:val="none" w:sz="0" w:space="0" w:color="auto"/>
        <w:bottom w:val="none" w:sz="0" w:space="0" w:color="auto"/>
        <w:right w:val="none" w:sz="0" w:space="0" w:color="auto"/>
      </w:divBdr>
    </w:div>
    <w:div w:id="1009798358">
      <w:bodyDiv w:val="1"/>
      <w:marLeft w:val="0"/>
      <w:marRight w:val="0"/>
      <w:marTop w:val="0"/>
      <w:marBottom w:val="0"/>
      <w:divBdr>
        <w:top w:val="none" w:sz="0" w:space="0" w:color="auto"/>
        <w:left w:val="none" w:sz="0" w:space="0" w:color="auto"/>
        <w:bottom w:val="none" w:sz="0" w:space="0" w:color="auto"/>
        <w:right w:val="none" w:sz="0" w:space="0" w:color="auto"/>
      </w:divBdr>
      <w:divsChild>
        <w:div w:id="1184979500">
          <w:marLeft w:val="0"/>
          <w:marRight w:val="0"/>
          <w:marTop w:val="0"/>
          <w:marBottom w:val="0"/>
          <w:divBdr>
            <w:top w:val="none" w:sz="0" w:space="0" w:color="auto"/>
            <w:left w:val="none" w:sz="0" w:space="0" w:color="auto"/>
            <w:bottom w:val="none" w:sz="0" w:space="0" w:color="auto"/>
            <w:right w:val="none" w:sz="0" w:space="0" w:color="auto"/>
          </w:divBdr>
          <w:divsChild>
            <w:div w:id="1827743735">
              <w:marLeft w:val="0"/>
              <w:marRight w:val="0"/>
              <w:marTop w:val="0"/>
              <w:marBottom w:val="0"/>
              <w:divBdr>
                <w:top w:val="none" w:sz="0" w:space="0" w:color="auto"/>
                <w:left w:val="none" w:sz="0" w:space="0" w:color="auto"/>
                <w:bottom w:val="none" w:sz="0" w:space="0" w:color="auto"/>
                <w:right w:val="none" w:sz="0" w:space="0" w:color="auto"/>
              </w:divBdr>
            </w:div>
          </w:divsChild>
        </w:div>
        <w:div w:id="1208302267">
          <w:marLeft w:val="0"/>
          <w:marRight w:val="0"/>
          <w:marTop w:val="0"/>
          <w:marBottom w:val="0"/>
          <w:divBdr>
            <w:top w:val="none" w:sz="0" w:space="0" w:color="auto"/>
            <w:left w:val="none" w:sz="0" w:space="0" w:color="auto"/>
            <w:bottom w:val="none" w:sz="0" w:space="0" w:color="auto"/>
            <w:right w:val="none" w:sz="0" w:space="0" w:color="auto"/>
          </w:divBdr>
          <w:divsChild>
            <w:div w:id="1568301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734028">
      <w:bodyDiv w:val="1"/>
      <w:marLeft w:val="0"/>
      <w:marRight w:val="0"/>
      <w:marTop w:val="0"/>
      <w:marBottom w:val="0"/>
      <w:divBdr>
        <w:top w:val="none" w:sz="0" w:space="0" w:color="auto"/>
        <w:left w:val="none" w:sz="0" w:space="0" w:color="auto"/>
        <w:bottom w:val="none" w:sz="0" w:space="0" w:color="auto"/>
        <w:right w:val="none" w:sz="0" w:space="0" w:color="auto"/>
      </w:divBdr>
    </w:div>
    <w:div w:id="1077438018">
      <w:bodyDiv w:val="1"/>
      <w:marLeft w:val="0"/>
      <w:marRight w:val="0"/>
      <w:marTop w:val="0"/>
      <w:marBottom w:val="0"/>
      <w:divBdr>
        <w:top w:val="none" w:sz="0" w:space="0" w:color="auto"/>
        <w:left w:val="none" w:sz="0" w:space="0" w:color="auto"/>
        <w:bottom w:val="none" w:sz="0" w:space="0" w:color="auto"/>
        <w:right w:val="none" w:sz="0" w:space="0" w:color="auto"/>
      </w:divBdr>
    </w:div>
    <w:div w:id="1097215589">
      <w:bodyDiv w:val="1"/>
      <w:marLeft w:val="0"/>
      <w:marRight w:val="0"/>
      <w:marTop w:val="0"/>
      <w:marBottom w:val="0"/>
      <w:divBdr>
        <w:top w:val="none" w:sz="0" w:space="0" w:color="auto"/>
        <w:left w:val="none" w:sz="0" w:space="0" w:color="auto"/>
        <w:bottom w:val="none" w:sz="0" w:space="0" w:color="auto"/>
        <w:right w:val="none" w:sz="0" w:space="0" w:color="auto"/>
      </w:divBdr>
      <w:divsChild>
        <w:div w:id="175316457">
          <w:marLeft w:val="0"/>
          <w:marRight w:val="0"/>
          <w:marTop w:val="0"/>
          <w:marBottom w:val="0"/>
          <w:divBdr>
            <w:top w:val="none" w:sz="0" w:space="0" w:color="auto"/>
            <w:left w:val="none" w:sz="0" w:space="0" w:color="auto"/>
            <w:bottom w:val="none" w:sz="0" w:space="0" w:color="auto"/>
            <w:right w:val="none" w:sz="0" w:space="0" w:color="auto"/>
          </w:divBdr>
          <w:divsChild>
            <w:div w:id="1159226635">
              <w:marLeft w:val="0"/>
              <w:marRight w:val="0"/>
              <w:marTop w:val="0"/>
              <w:marBottom w:val="0"/>
              <w:divBdr>
                <w:top w:val="none" w:sz="0" w:space="0" w:color="auto"/>
                <w:left w:val="none" w:sz="0" w:space="0" w:color="auto"/>
                <w:bottom w:val="none" w:sz="0" w:space="0" w:color="auto"/>
                <w:right w:val="none" w:sz="0" w:space="0" w:color="auto"/>
              </w:divBdr>
            </w:div>
          </w:divsChild>
        </w:div>
        <w:div w:id="2068799897">
          <w:marLeft w:val="0"/>
          <w:marRight w:val="0"/>
          <w:marTop w:val="0"/>
          <w:marBottom w:val="0"/>
          <w:divBdr>
            <w:top w:val="none" w:sz="0" w:space="0" w:color="auto"/>
            <w:left w:val="none" w:sz="0" w:space="0" w:color="auto"/>
            <w:bottom w:val="none" w:sz="0" w:space="0" w:color="auto"/>
            <w:right w:val="none" w:sz="0" w:space="0" w:color="auto"/>
          </w:divBdr>
          <w:divsChild>
            <w:div w:id="2009014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264431">
      <w:bodyDiv w:val="1"/>
      <w:marLeft w:val="0"/>
      <w:marRight w:val="0"/>
      <w:marTop w:val="0"/>
      <w:marBottom w:val="0"/>
      <w:divBdr>
        <w:top w:val="none" w:sz="0" w:space="0" w:color="auto"/>
        <w:left w:val="none" w:sz="0" w:space="0" w:color="auto"/>
        <w:bottom w:val="none" w:sz="0" w:space="0" w:color="auto"/>
        <w:right w:val="none" w:sz="0" w:space="0" w:color="auto"/>
      </w:divBdr>
    </w:div>
    <w:div w:id="1225604026">
      <w:bodyDiv w:val="1"/>
      <w:marLeft w:val="0"/>
      <w:marRight w:val="0"/>
      <w:marTop w:val="0"/>
      <w:marBottom w:val="0"/>
      <w:divBdr>
        <w:top w:val="none" w:sz="0" w:space="0" w:color="auto"/>
        <w:left w:val="none" w:sz="0" w:space="0" w:color="auto"/>
        <w:bottom w:val="none" w:sz="0" w:space="0" w:color="auto"/>
        <w:right w:val="none" w:sz="0" w:space="0" w:color="auto"/>
      </w:divBdr>
    </w:div>
    <w:div w:id="1234311437">
      <w:bodyDiv w:val="1"/>
      <w:marLeft w:val="0"/>
      <w:marRight w:val="0"/>
      <w:marTop w:val="0"/>
      <w:marBottom w:val="0"/>
      <w:divBdr>
        <w:top w:val="none" w:sz="0" w:space="0" w:color="auto"/>
        <w:left w:val="none" w:sz="0" w:space="0" w:color="auto"/>
        <w:bottom w:val="none" w:sz="0" w:space="0" w:color="auto"/>
        <w:right w:val="none" w:sz="0" w:space="0" w:color="auto"/>
      </w:divBdr>
    </w:div>
    <w:div w:id="1239708919">
      <w:bodyDiv w:val="1"/>
      <w:marLeft w:val="0"/>
      <w:marRight w:val="0"/>
      <w:marTop w:val="0"/>
      <w:marBottom w:val="0"/>
      <w:divBdr>
        <w:top w:val="none" w:sz="0" w:space="0" w:color="auto"/>
        <w:left w:val="none" w:sz="0" w:space="0" w:color="auto"/>
        <w:bottom w:val="none" w:sz="0" w:space="0" w:color="auto"/>
        <w:right w:val="none" w:sz="0" w:space="0" w:color="auto"/>
      </w:divBdr>
      <w:divsChild>
        <w:div w:id="1430733043">
          <w:marLeft w:val="0"/>
          <w:marRight w:val="0"/>
          <w:marTop w:val="0"/>
          <w:marBottom w:val="0"/>
          <w:divBdr>
            <w:top w:val="none" w:sz="0" w:space="0" w:color="auto"/>
            <w:left w:val="none" w:sz="0" w:space="0" w:color="auto"/>
            <w:bottom w:val="none" w:sz="0" w:space="0" w:color="auto"/>
            <w:right w:val="none" w:sz="0" w:space="0" w:color="auto"/>
          </w:divBdr>
          <w:divsChild>
            <w:div w:id="1247302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1252424">
      <w:bodyDiv w:val="1"/>
      <w:marLeft w:val="0"/>
      <w:marRight w:val="0"/>
      <w:marTop w:val="0"/>
      <w:marBottom w:val="0"/>
      <w:divBdr>
        <w:top w:val="none" w:sz="0" w:space="0" w:color="auto"/>
        <w:left w:val="none" w:sz="0" w:space="0" w:color="auto"/>
        <w:bottom w:val="none" w:sz="0" w:space="0" w:color="auto"/>
        <w:right w:val="none" w:sz="0" w:space="0" w:color="auto"/>
      </w:divBdr>
      <w:divsChild>
        <w:div w:id="256059495">
          <w:marLeft w:val="0"/>
          <w:marRight w:val="0"/>
          <w:marTop w:val="0"/>
          <w:marBottom w:val="0"/>
          <w:divBdr>
            <w:top w:val="none" w:sz="0" w:space="0" w:color="auto"/>
            <w:left w:val="none" w:sz="0" w:space="0" w:color="auto"/>
            <w:bottom w:val="none" w:sz="0" w:space="0" w:color="auto"/>
            <w:right w:val="none" w:sz="0" w:space="0" w:color="auto"/>
          </w:divBdr>
          <w:divsChild>
            <w:div w:id="627975638">
              <w:marLeft w:val="0"/>
              <w:marRight w:val="0"/>
              <w:marTop w:val="0"/>
              <w:marBottom w:val="0"/>
              <w:divBdr>
                <w:top w:val="none" w:sz="0" w:space="0" w:color="auto"/>
                <w:left w:val="none" w:sz="0" w:space="0" w:color="auto"/>
                <w:bottom w:val="none" w:sz="0" w:space="0" w:color="auto"/>
                <w:right w:val="none" w:sz="0" w:space="0" w:color="auto"/>
              </w:divBdr>
            </w:div>
          </w:divsChild>
        </w:div>
        <w:div w:id="1331833978">
          <w:marLeft w:val="0"/>
          <w:marRight w:val="0"/>
          <w:marTop w:val="0"/>
          <w:marBottom w:val="0"/>
          <w:divBdr>
            <w:top w:val="none" w:sz="0" w:space="0" w:color="auto"/>
            <w:left w:val="none" w:sz="0" w:space="0" w:color="auto"/>
            <w:bottom w:val="none" w:sz="0" w:space="0" w:color="auto"/>
            <w:right w:val="none" w:sz="0" w:space="0" w:color="auto"/>
          </w:divBdr>
          <w:divsChild>
            <w:div w:id="210120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124391">
      <w:bodyDiv w:val="1"/>
      <w:marLeft w:val="0"/>
      <w:marRight w:val="0"/>
      <w:marTop w:val="0"/>
      <w:marBottom w:val="0"/>
      <w:divBdr>
        <w:top w:val="none" w:sz="0" w:space="0" w:color="auto"/>
        <w:left w:val="none" w:sz="0" w:space="0" w:color="auto"/>
        <w:bottom w:val="none" w:sz="0" w:space="0" w:color="auto"/>
        <w:right w:val="none" w:sz="0" w:space="0" w:color="auto"/>
      </w:divBdr>
    </w:div>
    <w:div w:id="1375738457">
      <w:bodyDiv w:val="1"/>
      <w:marLeft w:val="0"/>
      <w:marRight w:val="0"/>
      <w:marTop w:val="0"/>
      <w:marBottom w:val="0"/>
      <w:divBdr>
        <w:top w:val="none" w:sz="0" w:space="0" w:color="auto"/>
        <w:left w:val="none" w:sz="0" w:space="0" w:color="auto"/>
        <w:bottom w:val="none" w:sz="0" w:space="0" w:color="auto"/>
        <w:right w:val="none" w:sz="0" w:space="0" w:color="auto"/>
      </w:divBdr>
    </w:div>
    <w:div w:id="1411393987">
      <w:bodyDiv w:val="1"/>
      <w:marLeft w:val="0"/>
      <w:marRight w:val="0"/>
      <w:marTop w:val="0"/>
      <w:marBottom w:val="0"/>
      <w:divBdr>
        <w:top w:val="none" w:sz="0" w:space="0" w:color="auto"/>
        <w:left w:val="none" w:sz="0" w:space="0" w:color="auto"/>
        <w:bottom w:val="none" w:sz="0" w:space="0" w:color="auto"/>
        <w:right w:val="none" w:sz="0" w:space="0" w:color="auto"/>
      </w:divBdr>
    </w:div>
    <w:div w:id="1416584340">
      <w:bodyDiv w:val="1"/>
      <w:marLeft w:val="0"/>
      <w:marRight w:val="0"/>
      <w:marTop w:val="0"/>
      <w:marBottom w:val="0"/>
      <w:divBdr>
        <w:top w:val="none" w:sz="0" w:space="0" w:color="auto"/>
        <w:left w:val="none" w:sz="0" w:space="0" w:color="auto"/>
        <w:bottom w:val="none" w:sz="0" w:space="0" w:color="auto"/>
        <w:right w:val="none" w:sz="0" w:space="0" w:color="auto"/>
      </w:divBdr>
    </w:div>
    <w:div w:id="1447121585">
      <w:bodyDiv w:val="1"/>
      <w:marLeft w:val="0"/>
      <w:marRight w:val="0"/>
      <w:marTop w:val="0"/>
      <w:marBottom w:val="0"/>
      <w:divBdr>
        <w:top w:val="none" w:sz="0" w:space="0" w:color="auto"/>
        <w:left w:val="none" w:sz="0" w:space="0" w:color="auto"/>
        <w:bottom w:val="none" w:sz="0" w:space="0" w:color="auto"/>
        <w:right w:val="none" w:sz="0" w:space="0" w:color="auto"/>
      </w:divBdr>
    </w:div>
    <w:div w:id="1482581846">
      <w:bodyDiv w:val="1"/>
      <w:marLeft w:val="0"/>
      <w:marRight w:val="0"/>
      <w:marTop w:val="0"/>
      <w:marBottom w:val="0"/>
      <w:divBdr>
        <w:top w:val="none" w:sz="0" w:space="0" w:color="auto"/>
        <w:left w:val="none" w:sz="0" w:space="0" w:color="auto"/>
        <w:bottom w:val="none" w:sz="0" w:space="0" w:color="auto"/>
        <w:right w:val="none" w:sz="0" w:space="0" w:color="auto"/>
      </w:divBdr>
    </w:div>
    <w:div w:id="1537036065">
      <w:bodyDiv w:val="1"/>
      <w:marLeft w:val="0"/>
      <w:marRight w:val="0"/>
      <w:marTop w:val="0"/>
      <w:marBottom w:val="0"/>
      <w:divBdr>
        <w:top w:val="none" w:sz="0" w:space="0" w:color="auto"/>
        <w:left w:val="none" w:sz="0" w:space="0" w:color="auto"/>
        <w:bottom w:val="none" w:sz="0" w:space="0" w:color="auto"/>
        <w:right w:val="none" w:sz="0" w:space="0" w:color="auto"/>
      </w:divBdr>
    </w:div>
    <w:div w:id="1586261595">
      <w:bodyDiv w:val="1"/>
      <w:marLeft w:val="0"/>
      <w:marRight w:val="0"/>
      <w:marTop w:val="0"/>
      <w:marBottom w:val="0"/>
      <w:divBdr>
        <w:top w:val="none" w:sz="0" w:space="0" w:color="auto"/>
        <w:left w:val="none" w:sz="0" w:space="0" w:color="auto"/>
        <w:bottom w:val="none" w:sz="0" w:space="0" w:color="auto"/>
        <w:right w:val="none" w:sz="0" w:space="0" w:color="auto"/>
      </w:divBdr>
      <w:divsChild>
        <w:div w:id="1382054793">
          <w:marLeft w:val="0"/>
          <w:marRight w:val="0"/>
          <w:marTop w:val="0"/>
          <w:marBottom w:val="0"/>
          <w:divBdr>
            <w:top w:val="none" w:sz="0" w:space="0" w:color="auto"/>
            <w:left w:val="none" w:sz="0" w:space="0" w:color="auto"/>
            <w:bottom w:val="none" w:sz="0" w:space="0" w:color="auto"/>
            <w:right w:val="none" w:sz="0" w:space="0" w:color="auto"/>
          </w:divBdr>
        </w:div>
      </w:divsChild>
    </w:div>
    <w:div w:id="1667975378">
      <w:bodyDiv w:val="1"/>
      <w:marLeft w:val="0"/>
      <w:marRight w:val="0"/>
      <w:marTop w:val="0"/>
      <w:marBottom w:val="0"/>
      <w:divBdr>
        <w:top w:val="none" w:sz="0" w:space="0" w:color="auto"/>
        <w:left w:val="none" w:sz="0" w:space="0" w:color="auto"/>
        <w:bottom w:val="none" w:sz="0" w:space="0" w:color="auto"/>
        <w:right w:val="none" w:sz="0" w:space="0" w:color="auto"/>
      </w:divBdr>
      <w:divsChild>
        <w:div w:id="1159151083">
          <w:marLeft w:val="0"/>
          <w:marRight w:val="0"/>
          <w:marTop w:val="0"/>
          <w:marBottom w:val="0"/>
          <w:divBdr>
            <w:top w:val="none" w:sz="0" w:space="0" w:color="auto"/>
            <w:left w:val="none" w:sz="0" w:space="0" w:color="auto"/>
            <w:bottom w:val="none" w:sz="0" w:space="0" w:color="auto"/>
            <w:right w:val="none" w:sz="0" w:space="0" w:color="auto"/>
          </w:divBdr>
          <w:divsChild>
            <w:div w:id="1954483353">
              <w:marLeft w:val="0"/>
              <w:marRight w:val="0"/>
              <w:marTop w:val="0"/>
              <w:marBottom w:val="0"/>
              <w:divBdr>
                <w:top w:val="none" w:sz="0" w:space="0" w:color="auto"/>
                <w:left w:val="none" w:sz="0" w:space="0" w:color="auto"/>
                <w:bottom w:val="none" w:sz="0" w:space="0" w:color="auto"/>
                <w:right w:val="none" w:sz="0" w:space="0" w:color="auto"/>
              </w:divBdr>
            </w:div>
          </w:divsChild>
        </w:div>
        <w:div w:id="80875937">
          <w:marLeft w:val="0"/>
          <w:marRight w:val="0"/>
          <w:marTop w:val="0"/>
          <w:marBottom w:val="0"/>
          <w:divBdr>
            <w:top w:val="none" w:sz="0" w:space="0" w:color="auto"/>
            <w:left w:val="none" w:sz="0" w:space="0" w:color="auto"/>
            <w:bottom w:val="none" w:sz="0" w:space="0" w:color="auto"/>
            <w:right w:val="none" w:sz="0" w:space="0" w:color="auto"/>
          </w:divBdr>
          <w:divsChild>
            <w:div w:id="2139646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014838">
      <w:bodyDiv w:val="1"/>
      <w:marLeft w:val="0"/>
      <w:marRight w:val="0"/>
      <w:marTop w:val="0"/>
      <w:marBottom w:val="0"/>
      <w:divBdr>
        <w:top w:val="none" w:sz="0" w:space="0" w:color="auto"/>
        <w:left w:val="none" w:sz="0" w:space="0" w:color="auto"/>
        <w:bottom w:val="none" w:sz="0" w:space="0" w:color="auto"/>
        <w:right w:val="none" w:sz="0" w:space="0" w:color="auto"/>
      </w:divBdr>
      <w:divsChild>
        <w:div w:id="1827234563">
          <w:marLeft w:val="0"/>
          <w:marRight w:val="0"/>
          <w:marTop w:val="0"/>
          <w:marBottom w:val="0"/>
          <w:divBdr>
            <w:top w:val="none" w:sz="0" w:space="0" w:color="auto"/>
            <w:left w:val="none" w:sz="0" w:space="0" w:color="auto"/>
            <w:bottom w:val="none" w:sz="0" w:space="0" w:color="auto"/>
            <w:right w:val="none" w:sz="0" w:space="0" w:color="auto"/>
          </w:divBdr>
          <w:divsChild>
            <w:div w:id="275990419">
              <w:marLeft w:val="0"/>
              <w:marRight w:val="0"/>
              <w:marTop w:val="0"/>
              <w:marBottom w:val="0"/>
              <w:divBdr>
                <w:top w:val="none" w:sz="0" w:space="0" w:color="auto"/>
                <w:left w:val="none" w:sz="0" w:space="0" w:color="auto"/>
                <w:bottom w:val="none" w:sz="0" w:space="0" w:color="auto"/>
                <w:right w:val="none" w:sz="0" w:space="0" w:color="auto"/>
              </w:divBdr>
            </w:div>
          </w:divsChild>
        </w:div>
        <w:div w:id="697588465">
          <w:marLeft w:val="0"/>
          <w:marRight w:val="0"/>
          <w:marTop w:val="0"/>
          <w:marBottom w:val="0"/>
          <w:divBdr>
            <w:top w:val="none" w:sz="0" w:space="0" w:color="auto"/>
            <w:left w:val="none" w:sz="0" w:space="0" w:color="auto"/>
            <w:bottom w:val="none" w:sz="0" w:space="0" w:color="auto"/>
            <w:right w:val="none" w:sz="0" w:space="0" w:color="auto"/>
          </w:divBdr>
          <w:divsChild>
            <w:div w:id="23335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87674">
      <w:bodyDiv w:val="1"/>
      <w:marLeft w:val="0"/>
      <w:marRight w:val="0"/>
      <w:marTop w:val="0"/>
      <w:marBottom w:val="0"/>
      <w:divBdr>
        <w:top w:val="none" w:sz="0" w:space="0" w:color="auto"/>
        <w:left w:val="none" w:sz="0" w:space="0" w:color="auto"/>
        <w:bottom w:val="none" w:sz="0" w:space="0" w:color="auto"/>
        <w:right w:val="none" w:sz="0" w:space="0" w:color="auto"/>
      </w:divBdr>
    </w:div>
    <w:div w:id="1737241959">
      <w:bodyDiv w:val="1"/>
      <w:marLeft w:val="0"/>
      <w:marRight w:val="0"/>
      <w:marTop w:val="0"/>
      <w:marBottom w:val="0"/>
      <w:divBdr>
        <w:top w:val="none" w:sz="0" w:space="0" w:color="auto"/>
        <w:left w:val="none" w:sz="0" w:space="0" w:color="auto"/>
        <w:bottom w:val="none" w:sz="0" w:space="0" w:color="auto"/>
        <w:right w:val="none" w:sz="0" w:space="0" w:color="auto"/>
      </w:divBdr>
    </w:div>
    <w:div w:id="1811243096">
      <w:bodyDiv w:val="1"/>
      <w:marLeft w:val="0"/>
      <w:marRight w:val="0"/>
      <w:marTop w:val="0"/>
      <w:marBottom w:val="0"/>
      <w:divBdr>
        <w:top w:val="none" w:sz="0" w:space="0" w:color="auto"/>
        <w:left w:val="none" w:sz="0" w:space="0" w:color="auto"/>
        <w:bottom w:val="none" w:sz="0" w:space="0" w:color="auto"/>
        <w:right w:val="none" w:sz="0" w:space="0" w:color="auto"/>
      </w:divBdr>
    </w:div>
    <w:div w:id="1891646032">
      <w:bodyDiv w:val="1"/>
      <w:marLeft w:val="0"/>
      <w:marRight w:val="0"/>
      <w:marTop w:val="0"/>
      <w:marBottom w:val="0"/>
      <w:divBdr>
        <w:top w:val="none" w:sz="0" w:space="0" w:color="auto"/>
        <w:left w:val="none" w:sz="0" w:space="0" w:color="auto"/>
        <w:bottom w:val="none" w:sz="0" w:space="0" w:color="auto"/>
        <w:right w:val="none" w:sz="0" w:space="0" w:color="auto"/>
      </w:divBdr>
    </w:div>
    <w:div w:id="1906257133">
      <w:bodyDiv w:val="1"/>
      <w:marLeft w:val="0"/>
      <w:marRight w:val="0"/>
      <w:marTop w:val="0"/>
      <w:marBottom w:val="0"/>
      <w:divBdr>
        <w:top w:val="none" w:sz="0" w:space="0" w:color="auto"/>
        <w:left w:val="none" w:sz="0" w:space="0" w:color="auto"/>
        <w:bottom w:val="none" w:sz="0" w:space="0" w:color="auto"/>
        <w:right w:val="none" w:sz="0" w:space="0" w:color="auto"/>
      </w:divBdr>
      <w:divsChild>
        <w:div w:id="427117690">
          <w:marLeft w:val="0"/>
          <w:marRight w:val="0"/>
          <w:marTop w:val="0"/>
          <w:marBottom w:val="0"/>
          <w:divBdr>
            <w:top w:val="none" w:sz="0" w:space="0" w:color="auto"/>
            <w:left w:val="none" w:sz="0" w:space="0" w:color="auto"/>
            <w:bottom w:val="none" w:sz="0" w:space="0" w:color="auto"/>
            <w:right w:val="none" w:sz="0" w:space="0" w:color="auto"/>
          </w:divBdr>
        </w:div>
      </w:divsChild>
    </w:div>
    <w:div w:id="1959753094">
      <w:bodyDiv w:val="1"/>
      <w:marLeft w:val="0"/>
      <w:marRight w:val="0"/>
      <w:marTop w:val="0"/>
      <w:marBottom w:val="0"/>
      <w:divBdr>
        <w:top w:val="none" w:sz="0" w:space="0" w:color="auto"/>
        <w:left w:val="none" w:sz="0" w:space="0" w:color="auto"/>
        <w:bottom w:val="none" w:sz="0" w:space="0" w:color="auto"/>
        <w:right w:val="none" w:sz="0" w:space="0" w:color="auto"/>
      </w:divBdr>
    </w:div>
    <w:div w:id="1965698141">
      <w:bodyDiv w:val="1"/>
      <w:marLeft w:val="0"/>
      <w:marRight w:val="0"/>
      <w:marTop w:val="0"/>
      <w:marBottom w:val="0"/>
      <w:divBdr>
        <w:top w:val="none" w:sz="0" w:space="0" w:color="auto"/>
        <w:left w:val="none" w:sz="0" w:space="0" w:color="auto"/>
        <w:bottom w:val="none" w:sz="0" w:space="0" w:color="auto"/>
        <w:right w:val="none" w:sz="0" w:space="0" w:color="auto"/>
      </w:divBdr>
    </w:div>
    <w:div w:id="2036536375">
      <w:bodyDiv w:val="1"/>
      <w:marLeft w:val="0"/>
      <w:marRight w:val="0"/>
      <w:marTop w:val="0"/>
      <w:marBottom w:val="0"/>
      <w:divBdr>
        <w:top w:val="none" w:sz="0" w:space="0" w:color="auto"/>
        <w:left w:val="none" w:sz="0" w:space="0" w:color="auto"/>
        <w:bottom w:val="none" w:sz="0" w:space="0" w:color="auto"/>
        <w:right w:val="none" w:sz="0" w:space="0" w:color="auto"/>
      </w:divBdr>
    </w:div>
    <w:div w:id="2117366650">
      <w:bodyDiv w:val="1"/>
      <w:marLeft w:val="0"/>
      <w:marRight w:val="0"/>
      <w:marTop w:val="0"/>
      <w:marBottom w:val="0"/>
      <w:divBdr>
        <w:top w:val="none" w:sz="0" w:space="0" w:color="auto"/>
        <w:left w:val="none" w:sz="0" w:space="0" w:color="auto"/>
        <w:bottom w:val="none" w:sz="0" w:space="0" w:color="auto"/>
        <w:right w:val="none" w:sz="0" w:space="0" w:color="auto"/>
      </w:divBdr>
    </w:div>
    <w:div w:id="2117407216">
      <w:bodyDiv w:val="1"/>
      <w:marLeft w:val="0"/>
      <w:marRight w:val="0"/>
      <w:marTop w:val="0"/>
      <w:marBottom w:val="0"/>
      <w:divBdr>
        <w:top w:val="none" w:sz="0" w:space="0" w:color="auto"/>
        <w:left w:val="none" w:sz="0" w:space="0" w:color="auto"/>
        <w:bottom w:val="none" w:sz="0" w:space="0" w:color="auto"/>
        <w:right w:val="none" w:sz="0" w:space="0" w:color="auto"/>
      </w:divBdr>
    </w:div>
    <w:div w:id="2138717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16/0379-0738(94)01671-P" TargetMode="External"/><Relationship Id="rId18" Type="http://schemas.openxmlformats.org/officeDocument/2006/relationships/hyperlink" Target="https://doi.org/10.3390/genes10030223" TargetMode="External"/><Relationship Id="rId26" Type="http://schemas.openxmlformats.org/officeDocument/2006/relationships/hyperlink" Target="https://doi.org/10.1371/journal.pone.0074351" TargetMode="External"/><Relationship Id="rId39" Type="http://schemas.openxmlformats.org/officeDocument/2006/relationships/theme" Target="theme/theme1.xml"/><Relationship Id="rId21" Type="http://schemas.openxmlformats.org/officeDocument/2006/relationships/hyperlink" Target="https://doi.org/10.1099/jmm.0.023887-0" TargetMode="External"/><Relationship Id="rId34" Type="http://schemas.openxmlformats.org/officeDocument/2006/relationships/hyperlink" Target="https://doi.org/10.1093/bioinformatics/bty268" TargetMode="External"/><Relationship Id="rId7" Type="http://schemas.openxmlformats.org/officeDocument/2006/relationships/diagramLayout" Target="diagrams/layout1.xml"/><Relationship Id="rId12" Type="http://schemas.openxmlformats.org/officeDocument/2006/relationships/hyperlink" Target="https://www.google.com/search?q=https://doi.org/10.1038/314067a0&amp;authuser=2" TargetMode="External"/><Relationship Id="rId17" Type="http://schemas.openxmlformats.org/officeDocument/2006/relationships/hyperlink" Target="https://doi.org/10.1186/2041-2223-4-23" TargetMode="External"/><Relationship Id="rId25" Type="http://schemas.openxmlformats.org/officeDocument/2006/relationships/hyperlink" Target="https://doi.org/10.1038/ng.3505" TargetMode="External"/><Relationship Id="rId33" Type="http://schemas.openxmlformats.org/officeDocument/2006/relationships/hyperlink" Target="https://doi.org/10.1371/journal.pone.0101093"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doi.org/10.1101/gr.574403" TargetMode="External"/><Relationship Id="rId20" Type="http://schemas.openxmlformats.org/officeDocument/2006/relationships/hyperlink" Target="https://doi.org/10.1007/s13353-013-0186-5" TargetMode="External"/><Relationship Id="rId29" Type="http://schemas.openxmlformats.org/officeDocument/2006/relationships/hyperlink" Target="https://doi.org/10.1101/gr.262691.120" TargetMode="External"/><Relationship Id="rId1" Type="http://schemas.openxmlformats.org/officeDocument/2006/relationships/customXml" Target="../customXml/item1.xml"/><Relationship Id="rId6" Type="http://schemas.openxmlformats.org/officeDocument/2006/relationships/diagramData" Target="diagrams/data1.xml"/><Relationship Id="rId11" Type="http://schemas.openxmlformats.org/officeDocument/2006/relationships/image" Target="media/image1.png"/><Relationship Id="rId24" Type="http://schemas.openxmlformats.org/officeDocument/2006/relationships/hyperlink" Target="https://doi.org/10.1093/nar/gkab180" TargetMode="External"/><Relationship Id="rId32" Type="http://schemas.openxmlformats.org/officeDocument/2006/relationships/hyperlink" Target="https://doi.org/10.1212/NXG.0000000000200241" TargetMode="External"/><Relationship Id="rId37" Type="http://schemas.openxmlformats.org/officeDocument/2006/relationships/hyperlink" Target="https://doi.org/10.1007/s004140050157" TargetMode="External"/><Relationship Id="rId5" Type="http://schemas.openxmlformats.org/officeDocument/2006/relationships/webSettings" Target="webSettings.xml"/><Relationship Id="rId15" Type="http://schemas.openxmlformats.org/officeDocument/2006/relationships/hyperlink" Target="https://www.google.com/search?q=https%3A%2F%2Fdoi.org%2F10.1590%2FS1415-47572003000300003&amp;authuser=2" TargetMode="External"/><Relationship Id="rId23" Type="http://schemas.openxmlformats.org/officeDocument/2006/relationships/hyperlink" Target="https://doi.org/10.1007/978-1-4939-3252-8_14" TargetMode="External"/><Relationship Id="rId28" Type="http://schemas.openxmlformats.org/officeDocument/2006/relationships/hyperlink" Target="https://doi.org/10.1038/s41467-021-22206-z" TargetMode="External"/><Relationship Id="rId36" Type="http://schemas.openxmlformats.org/officeDocument/2006/relationships/hyperlink" Target="https://doi.org/10.1016/s0379-0738(99)00008-0" TargetMode="External"/><Relationship Id="rId10" Type="http://schemas.microsoft.com/office/2007/relationships/diagramDrawing" Target="diagrams/drawing1.xml"/><Relationship Id="rId19" Type="http://schemas.openxmlformats.org/officeDocument/2006/relationships/hyperlink" Target="https://doi.org/10.4172/2157-7145.1000142" TargetMode="External"/><Relationship Id="rId31" Type="http://schemas.openxmlformats.org/officeDocument/2006/relationships/hyperlink" Target="https://doi.org/10.1016/j.jocn.2010.11.008" TargetMode="External"/><Relationship Id="rId4" Type="http://schemas.openxmlformats.org/officeDocument/2006/relationships/settings" Target="settings.xml"/><Relationship Id="rId9" Type="http://schemas.openxmlformats.org/officeDocument/2006/relationships/diagramColors" Target="diagrams/colors1.xml"/><Relationship Id="rId14" Type="http://schemas.openxmlformats.org/officeDocument/2006/relationships/hyperlink" Target="https://doi.org/10.1007/s10528-009-9250-6" TargetMode="External"/><Relationship Id="rId22" Type="http://schemas.openxmlformats.org/officeDocument/2006/relationships/hyperlink" Target="https://doi.org/10.1128/JCM.03153-14" TargetMode="External"/><Relationship Id="rId27" Type="http://schemas.openxmlformats.org/officeDocument/2006/relationships/hyperlink" Target="https://doi.org/10.1093/nar/gkab180" TargetMode="External"/><Relationship Id="rId30" Type="http://schemas.openxmlformats.org/officeDocument/2006/relationships/hyperlink" Target="https://doi.org/10.1073/pnas.1910006116" TargetMode="External"/><Relationship Id="rId35" Type="http://schemas.openxmlformats.org/officeDocument/2006/relationships/hyperlink" Target="https://doi.org/10.1093/bioinformatics/btz431" TargetMode="External"/><Relationship Id="rId8" Type="http://schemas.openxmlformats.org/officeDocument/2006/relationships/diagramQuickStyle" Target="diagrams/quickStyle1.xml"/><Relationship Id="rId3" Type="http://schemas.openxmlformats.org/officeDocument/2006/relationships/styles" Target="styles.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FDF3C6B-A29E-124A-8352-160AD8ED697F}" type="doc">
      <dgm:prSet loTypeId="urn:microsoft.com/office/officeart/2005/8/layout/chevron2" loCatId="" qsTypeId="urn:microsoft.com/office/officeart/2005/8/quickstyle/simple3" qsCatId="simple" csTypeId="urn:microsoft.com/office/officeart/2005/8/colors/accent1_2" csCatId="accent1" phldr="1"/>
      <dgm:spPr/>
      <dgm:t>
        <a:bodyPr/>
        <a:lstStyle/>
        <a:p>
          <a:endParaRPr lang="en-US"/>
        </a:p>
      </dgm:t>
    </dgm:pt>
    <dgm:pt modelId="{995DEAB2-698B-BD49-92AF-0B59204262B8}">
      <dgm:prSet phldrT="[Text]" custT="1"/>
      <dgm:spPr/>
      <dgm:t>
        <a:bodyPr/>
        <a:lstStyle/>
        <a:p>
          <a:r>
            <a:rPr lang="en-US" sz="1000"/>
            <a:t>Demographic mapping: Identification of bottleneck or allelic fixation</a:t>
          </a:r>
        </a:p>
      </dgm:t>
    </dgm:pt>
    <dgm:pt modelId="{EEDB9631-3E89-524E-8EA1-4E9CE8A8257B}">
      <dgm:prSet phldrT="[Text]" custT="1"/>
      <dgm:spPr/>
      <dgm:t>
        <a:bodyPr/>
        <a:lstStyle/>
        <a:p>
          <a:r>
            <a:rPr lang="en-US" sz="1000"/>
            <a:t>Observed D1S80 dimorphic split (400 and 500 bp)</a:t>
          </a:r>
        </a:p>
      </dgm:t>
    </dgm:pt>
    <dgm:pt modelId="{33DD91B8-1807-BD42-8E94-7C03D251E2A2}">
      <dgm:prSet phldrT="[Text]" custT="1"/>
      <dgm:spPr/>
      <dgm:t>
        <a:bodyPr/>
        <a:lstStyle/>
        <a:p>
          <a:r>
            <a:rPr lang="en-US" sz="1000"/>
            <a:t>OUTPUT</a:t>
          </a:r>
        </a:p>
      </dgm:t>
    </dgm:pt>
    <dgm:pt modelId="{41504B23-1682-1D41-B241-401507A58ED1}" type="sibTrans" cxnId="{0D5BA7E2-37D4-5D4D-9524-4ACE272E350A}">
      <dgm:prSet/>
      <dgm:spPr/>
      <dgm:t>
        <a:bodyPr/>
        <a:lstStyle/>
        <a:p>
          <a:endParaRPr lang="en-US" sz="1000"/>
        </a:p>
      </dgm:t>
    </dgm:pt>
    <dgm:pt modelId="{D6E1638D-FCB5-9746-B310-BF54F22B1BF2}" type="parTrans" cxnId="{0D5BA7E2-37D4-5D4D-9524-4ACE272E350A}">
      <dgm:prSet/>
      <dgm:spPr/>
      <dgm:t>
        <a:bodyPr/>
        <a:lstStyle/>
        <a:p>
          <a:endParaRPr lang="en-US" sz="1000"/>
        </a:p>
      </dgm:t>
    </dgm:pt>
    <dgm:pt modelId="{073C5EC5-B460-2142-A76B-F35FD6B4666A}" type="sibTrans" cxnId="{1EF9B92E-A621-994F-8F52-71ECBB9FD248}">
      <dgm:prSet/>
      <dgm:spPr/>
      <dgm:t>
        <a:bodyPr/>
        <a:lstStyle/>
        <a:p>
          <a:endParaRPr lang="en-US" sz="1000"/>
        </a:p>
      </dgm:t>
    </dgm:pt>
    <dgm:pt modelId="{0A1FA6C2-8BC0-A649-BE67-0379ED2F9E27}" type="parTrans" cxnId="{1EF9B92E-A621-994F-8F52-71ECBB9FD248}">
      <dgm:prSet/>
      <dgm:spPr/>
      <dgm:t>
        <a:bodyPr/>
        <a:lstStyle/>
        <a:p>
          <a:endParaRPr lang="en-US" sz="1000"/>
        </a:p>
      </dgm:t>
    </dgm:pt>
    <dgm:pt modelId="{38343D7D-ABD1-9340-BB35-ECB786287685}" type="sibTrans" cxnId="{B713D35E-0499-D344-BEC7-6B4ECB0D3E10}">
      <dgm:prSet/>
      <dgm:spPr/>
      <dgm:t>
        <a:bodyPr/>
        <a:lstStyle/>
        <a:p>
          <a:endParaRPr lang="en-US" sz="1000"/>
        </a:p>
      </dgm:t>
    </dgm:pt>
    <dgm:pt modelId="{5152898C-F7F6-9D44-8339-0B46BA710491}" type="parTrans" cxnId="{B713D35E-0499-D344-BEC7-6B4ECB0D3E10}">
      <dgm:prSet/>
      <dgm:spPr/>
      <dgm:t>
        <a:bodyPr/>
        <a:lstStyle/>
        <a:p>
          <a:endParaRPr lang="en-US" sz="1000"/>
        </a:p>
      </dgm:t>
    </dgm:pt>
    <dgm:pt modelId="{26D9AFD3-0046-D84D-954F-64B44A57B2B5}">
      <dgm:prSet phldrT="[Text]" custT="1"/>
      <dgm:spPr/>
      <dgm:t>
        <a:bodyPr/>
        <a:lstStyle/>
        <a:p>
          <a:r>
            <a:rPr lang="en-US" sz="1000"/>
            <a:t>Biostatistical analysis: Allele frequency calculation and Chi square test</a:t>
          </a:r>
        </a:p>
      </dgm:t>
    </dgm:pt>
    <dgm:pt modelId="{EE4E5C65-1ED1-E348-B391-3B39D0EDC0BA}">
      <dgm:prSet phldrT="[Text]" custT="1"/>
      <dgm:spPr/>
      <dgm:t>
        <a:bodyPr/>
        <a:lstStyle/>
        <a:p>
          <a:r>
            <a:rPr lang="en-US" sz="1000"/>
            <a:t>Molecular analysis: DNA Extraction, PCR and Gel Electrophoresis</a:t>
          </a:r>
        </a:p>
      </dgm:t>
    </dgm:pt>
    <dgm:pt modelId="{363B6F51-C4BE-5B43-8FF8-12B04D42A887}">
      <dgm:prSet phldrT="[Text]" custT="1"/>
      <dgm:spPr/>
      <dgm:t>
        <a:bodyPr/>
        <a:lstStyle/>
        <a:p>
          <a:r>
            <a:rPr lang="en-US" sz="1000"/>
            <a:t>PROCESS</a:t>
          </a:r>
        </a:p>
      </dgm:t>
    </dgm:pt>
    <dgm:pt modelId="{B43B36B4-4D7B-9A49-859A-7AC4BC176EAE}" type="sibTrans" cxnId="{F2FC40BA-9440-8546-81FA-FDF2CD28638C}">
      <dgm:prSet/>
      <dgm:spPr/>
      <dgm:t>
        <a:bodyPr/>
        <a:lstStyle/>
        <a:p>
          <a:endParaRPr lang="en-US" sz="1000"/>
        </a:p>
      </dgm:t>
    </dgm:pt>
    <dgm:pt modelId="{5E483DC6-34F0-EB46-8D38-9AE34D72D171}" type="parTrans" cxnId="{F2FC40BA-9440-8546-81FA-FDF2CD28638C}">
      <dgm:prSet/>
      <dgm:spPr/>
      <dgm:t>
        <a:bodyPr/>
        <a:lstStyle/>
        <a:p>
          <a:endParaRPr lang="en-US" sz="1000"/>
        </a:p>
      </dgm:t>
    </dgm:pt>
    <dgm:pt modelId="{967AAF6E-E87D-FE47-AC1B-AD49AA187A4E}" type="sibTrans" cxnId="{1FB24300-D628-CD48-9180-E1F550EDE07E}">
      <dgm:prSet/>
      <dgm:spPr/>
      <dgm:t>
        <a:bodyPr/>
        <a:lstStyle/>
        <a:p>
          <a:endParaRPr lang="en-US" sz="1000"/>
        </a:p>
      </dgm:t>
    </dgm:pt>
    <dgm:pt modelId="{1E6C36C9-7277-9047-9927-CE656102719C}" type="parTrans" cxnId="{1FB24300-D628-CD48-9180-E1F550EDE07E}">
      <dgm:prSet/>
      <dgm:spPr/>
      <dgm:t>
        <a:bodyPr/>
        <a:lstStyle/>
        <a:p>
          <a:endParaRPr lang="en-US" sz="1000"/>
        </a:p>
      </dgm:t>
    </dgm:pt>
    <dgm:pt modelId="{CAE92F50-005B-6B41-BDD9-E947F4C3B107}" type="sibTrans" cxnId="{1615E4D3-3418-EB47-B251-B281688DED1E}">
      <dgm:prSet/>
      <dgm:spPr/>
      <dgm:t>
        <a:bodyPr/>
        <a:lstStyle/>
        <a:p>
          <a:endParaRPr lang="en-US" sz="1000"/>
        </a:p>
      </dgm:t>
    </dgm:pt>
    <dgm:pt modelId="{076BD7A3-B726-D048-81D3-FDBEE20210E4}" type="parTrans" cxnId="{1615E4D3-3418-EB47-B251-B281688DED1E}">
      <dgm:prSet/>
      <dgm:spPr/>
      <dgm:t>
        <a:bodyPr/>
        <a:lstStyle/>
        <a:p>
          <a:endParaRPr lang="en-US" sz="1000"/>
        </a:p>
      </dgm:t>
    </dgm:pt>
    <dgm:pt modelId="{1F95B04C-0751-3440-9020-F8C120E3CFBA}">
      <dgm:prSet phldrT="[Text]" custT="1"/>
      <dgm:spPr/>
      <dgm:t>
        <a:bodyPr/>
        <a:lstStyle/>
        <a:p>
          <a:r>
            <a:rPr lang="en-US" sz="1000"/>
            <a:t>Forward and reverse primers for D1S80 locus</a:t>
          </a:r>
        </a:p>
      </dgm:t>
    </dgm:pt>
    <dgm:pt modelId="{0F3B96D3-1096-FF4A-8352-DDD58424CF22}">
      <dgm:prSet phldrT="[Text]" custT="1"/>
      <dgm:spPr/>
      <dgm:t>
        <a:bodyPr/>
        <a:lstStyle/>
        <a:p>
          <a:r>
            <a:rPr lang="en-US" sz="1000"/>
            <a:t>30 MLS student samples</a:t>
          </a:r>
        </a:p>
      </dgm:t>
    </dgm:pt>
    <dgm:pt modelId="{BD157F5D-25B3-9843-BD5A-D07F620FCFFC}">
      <dgm:prSet phldrT="[Text]" custT="1"/>
      <dgm:spPr/>
      <dgm:t>
        <a:bodyPr/>
        <a:lstStyle/>
        <a:p>
          <a:r>
            <a:rPr lang="en-US" sz="1000"/>
            <a:t>INPUT</a:t>
          </a:r>
        </a:p>
      </dgm:t>
    </dgm:pt>
    <dgm:pt modelId="{0599C646-FF72-3D4A-B875-F50CB4A777CB}" type="sibTrans" cxnId="{B98F0C8A-83D7-FF46-A6A8-F5BA346AC9D1}">
      <dgm:prSet/>
      <dgm:spPr/>
      <dgm:t>
        <a:bodyPr/>
        <a:lstStyle/>
        <a:p>
          <a:endParaRPr lang="en-US" sz="1000"/>
        </a:p>
      </dgm:t>
    </dgm:pt>
    <dgm:pt modelId="{88D64A3E-5FF7-534F-8324-3911F603E46F}" type="parTrans" cxnId="{B98F0C8A-83D7-FF46-A6A8-F5BA346AC9D1}">
      <dgm:prSet/>
      <dgm:spPr/>
      <dgm:t>
        <a:bodyPr/>
        <a:lstStyle/>
        <a:p>
          <a:endParaRPr lang="en-US" sz="1000"/>
        </a:p>
      </dgm:t>
    </dgm:pt>
    <dgm:pt modelId="{83FCA93C-EC39-ED46-893E-24560A86414C}" type="sibTrans" cxnId="{840CD287-03AE-AF41-AF40-074C3804B8D3}">
      <dgm:prSet/>
      <dgm:spPr/>
      <dgm:t>
        <a:bodyPr/>
        <a:lstStyle/>
        <a:p>
          <a:endParaRPr lang="en-US" sz="1000"/>
        </a:p>
      </dgm:t>
    </dgm:pt>
    <dgm:pt modelId="{8891CF0B-F930-C748-8B18-17D79857473B}" type="parTrans" cxnId="{840CD287-03AE-AF41-AF40-074C3804B8D3}">
      <dgm:prSet/>
      <dgm:spPr/>
      <dgm:t>
        <a:bodyPr/>
        <a:lstStyle/>
        <a:p>
          <a:endParaRPr lang="en-US" sz="1000"/>
        </a:p>
      </dgm:t>
    </dgm:pt>
    <dgm:pt modelId="{90965028-12F5-014B-A394-4A1D5379EB28}" type="sibTrans" cxnId="{6F44B602-2C19-E84B-BCDF-59AC66F873FD}">
      <dgm:prSet/>
      <dgm:spPr/>
      <dgm:t>
        <a:bodyPr/>
        <a:lstStyle/>
        <a:p>
          <a:endParaRPr lang="en-US" sz="1000"/>
        </a:p>
      </dgm:t>
    </dgm:pt>
    <dgm:pt modelId="{2E45F9EE-741F-5447-A0C1-BD49824AA53A}" type="parTrans" cxnId="{6F44B602-2C19-E84B-BCDF-59AC66F873FD}">
      <dgm:prSet/>
      <dgm:spPr/>
      <dgm:t>
        <a:bodyPr/>
        <a:lstStyle/>
        <a:p>
          <a:endParaRPr lang="en-US" sz="1000"/>
        </a:p>
      </dgm:t>
    </dgm:pt>
    <dgm:pt modelId="{91C2C372-1E7E-6F49-B8FE-0713B6313A65}">
      <dgm:prSet phldrT="[Text]" custT="1"/>
      <dgm:spPr/>
      <dgm:t>
        <a:bodyPr/>
        <a:lstStyle/>
        <a:p>
          <a:r>
            <a:rPr lang="en-US" sz="1000"/>
            <a:t>Global / National Reference Allelic Database</a:t>
          </a:r>
        </a:p>
      </dgm:t>
    </dgm:pt>
    <dgm:pt modelId="{6214FAEE-65D6-314E-B8D2-380BE8D5647D}" type="parTrans" cxnId="{1B16E106-8879-4749-B64A-C6A879354184}">
      <dgm:prSet/>
      <dgm:spPr/>
      <dgm:t>
        <a:bodyPr/>
        <a:lstStyle/>
        <a:p>
          <a:endParaRPr lang="en-US"/>
        </a:p>
      </dgm:t>
    </dgm:pt>
    <dgm:pt modelId="{A381BA8B-3537-DC45-AE3F-CAE3A62C8F0F}" type="sibTrans" cxnId="{1B16E106-8879-4749-B64A-C6A879354184}">
      <dgm:prSet/>
      <dgm:spPr/>
      <dgm:t>
        <a:bodyPr/>
        <a:lstStyle/>
        <a:p>
          <a:endParaRPr lang="en-US"/>
        </a:p>
      </dgm:t>
    </dgm:pt>
    <dgm:pt modelId="{C36035AD-7E08-3144-9AF5-A9052345AD53}" type="pres">
      <dgm:prSet presAssocID="{0FDF3C6B-A29E-124A-8352-160AD8ED697F}" presName="linearFlow" presStyleCnt="0">
        <dgm:presLayoutVars>
          <dgm:dir/>
          <dgm:animLvl val="lvl"/>
          <dgm:resizeHandles val="exact"/>
        </dgm:presLayoutVars>
      </dgm:prSet>
      <dgm:spPr/>
    </dgm:pt>
    <dgm:pt modelId="{DA228E4D-79DC-7B4A-9A7B-0623FCB827B6}" type="pres">
      <dgm:prSet presAssocID="{BD157F5D-25B3-9843-BD5A-D07F620FCFFC}" presName="composite" presStyleCnt="0"/>
      <dgm:spPr/>
    </dgm:pt>
    <dgm:pt modelId="{6D9524BD-D3C6-F44F-88F4-BCBDCFC7F382}" type="pres">
      <dgm:prSet presAssocID="{BD157F5D-25B3-9843-BD5A-D07F620FCFFC}" presName="parentText" presStyleLbl="alignNode1" presStyleIdx="0" presStyleCnt="3">
        <dgm:presLayoutVars>
          <dgm:chMax val="1"/>
          <dgm:bulletEnabled val="1"/>
        </dgm:presLayoutVars>
      </dgm:prSet>
      <dgm:spPr/>
    </dgm:pt>
    <dgm:pt modelId="{71D9D85A-CC32-954C-BF0C-58BA91ED9EDD}" type="pres">
      <dgm:prSet presAssocID="{BD157F5D-25B3-9843-BD5A-D07F620FCFFC}" presName="descendantText" presStyleLbl="alignAcc1" presStyleIdx="0" presStyleCnt="3" custLinFactNeighborX="0" custLinFactNeighborY="-9077">
        <dgm:presLayoutVars>
          <dgm:bulletEnabled val="1"/>
        </dgm:presLayoutVars>
      </dgm:prSet>
      <dgm:spPr/>
    </dgm:pt>
    <dgm:pt modelId="{47EC3A5B-9760-E148-A653-292C2A69B215}" type="pres">
      <dgm:prSet presAssocID="{0599C646-FF72-3D4A-B875-F50CB4A777CB}" presName="sp" presStyleCnt="0"/>
      <dgm:spPr/>
    </dgm:pt>
    <dgm:pt modelId="{CFA99738-CF5C-DB47-A29D-CB73C788050F}" type="pres">
      <dgm:prSet presAssocID="{363B6F51-C4BE-5B43-8FF8-12B04D42A887}" presName="composite" presStyleCnt="0"/>
      <dgm:spPr/>
    </dgm:pt>
    <dgm:pt modelId="{0557B69F-F653-414D-9EF1-84C406BFE9AD}" type="pres">
      <dgm:prSet presAssocID="{363B6F51-C4BE-5B43-8FF8-12B04D42A887}" presName="parentText" presStyleLbl="alignNode1" presStyleIdx="1" presStyleCnt="3">
        <dgm:presLayoutVars>
          <dgm:chMax val="1"/>
          <dgm:bulletEnabled val="1"/>
        </dgm:presLayoutVars>
      </dgm:prSet>
      <dgm:spPr/>
    </dgm:pt>
    <dgm:pt modelId="{8DA13157-260E-A143-9BB5-01667975A8F6}" type="pres">
      <dgm:prSet presAssocID="{363B6F51-C4BE-5B43-8FF8-12B04D42A887}" presName="descendantText" presStyleLbl="alignAcc1" presStyleIdx="1" presStyleCnt="3">
        <dgm:presLayoutVars>
          <dgm:bulletEnabled val="1"/>
        </dgm:presLayoutVars>
      </dgm:prSet>
      <dgm:spPr/>
    </dgm:pt>
    <dgm:pt modelId="{F9D5C733-FD02-D249-944F-E3E7F88AB94B}" type="pres">
      <dgm:prSet presAssocID="{B43B36B4-4D7B-9A49-859A-7AC4BC176EAE}" presName="sp" presStyleCnt="0"/>
      <dgm:spPr/>
    </dgm:pt>
    <dgm:pt modelId="{9C0C071C-91CA-0D40-8821-85B387730D69}" type="pres">
      <dgm:prSet presAssocID="{33DD91B8-1807-BD42-8E94-7C03D251E2A2}" presName="composite" presStyleCnt="0"/>
      <dgm:spPr/>
    </dgm:pt>
    <dgm:pt modelId="{ADE9515C-007F-AF44-8A06-259544219132}" type="pres">
      <dgm:prSet presAssocID="{33DD91B8-1807-BD42-8E94-7C03D251E2A2}" presName="parentText" presStyleLbl="alignNode1" presStyleIdx="2" presStyleCnt="3">
        <dgm:presLayoutVars>
          <dgm:chMax val="1"/>
          <dgm:bulletEnabled val="1"/>
        </dgm:presLayoutVars>
      </dgm:prSet>
      <dgm:spPr/>
    </dgm:pt>
    <dgm:pt modelId="{D04C6621-411E-FF49-BAF1-53B28C587D1B}" type="pres">
      <dgm:prSet presAssocID="{33DD91B8-1807-BD42-8E94-7C03D251E2A2}" presName="descendantText" presStyleLbl="alignAcc1" presStyleIdx="2" presStyleCnt="3">
        <dgm:presLayoutVars>
          <dgm:bulletEnabled val="1"/>
        </dgm:presLayoutVars>
      </dgm:prSet>
      <dgm:spPr/>
    </dgm:pt>
  </dgm:ptLst>
  <dgm:cxnLst>
    <dgm:cxn modelId="{1FB24300-D628-CD48-9180-E1F550EDE07E}" srcId="{363B6F51-C4BE-5B43-8FF8-12B04D42A887}" destId="{26D9AFD3-0046-D84D-954F-64B44A57B2B5}" srcOrd="1" destOrd="0" parTransId="{1E6C36C9-7277-9047-9927-CE656102719C}" sibTransId="{967AAF6E-E87D-FE47-AC1B-AD49AA187A4E}"/>
    <dgm:cxn modelId="{84DA0A02-1A66-E647-8D41-0FD01A04C2DE}" type="presOf" srcId="{26D9AFD3-0046-D84D-954F-64B44A57B2B5}" destId="{8DA13157-260E-A143-9BB5-01667975A8F6}" srcOrd="0" destOrd="1" presId="urn:microsoft.com/office/officeart/2005/8/layout/chevron2"/>
    <dgm:cxn modelId="{6F44B602-2C19-E84B-BCDF-59AC66F873FD}" srcId="{BD157F5D-25B3-9843-BD5A-D07F620FCFFC}" destId="{0F3B96D3-1096-FF4A-8352-DDD58424CF22}" srcOrd="0" destOrd="0" parTransId="{2E45F9EE-741F-5447-A0C1-BD49824AA53A}" sibTransId="{90965028-12F5-014B-A394-4A1D5379EB28}"/>
    <dgm:cxn modelId="{1B16E106-8879-4749-B64A-C6A879354184}" srcId="{BD157F5D-25B3-9843-BD5A-D07F620FCFFC}" destId="{91C2C372-1E7E-6F49-B8FE-0713B6313A65}" srcOrd="2" destOrd="0" parTransId="{6214FAEE-65D6-314E-B8D2-380BE8D5647D}" sibTransId="{A381BA8B-3537-DC45-AE3F-CAE3A62C8F0F}"/>
    <dgm:cxn modelId="{1EF9B92E-A621-994F-8F52-71ECBB9FD248}" srcId="{33DD91B8-1807-BD42-8E94-7C03D251E2A2}" destId="{995DEAB2-698B-BD49-92AF-0B59204262B8}" srcOrd="1" destOrd="0" parTransId="{0A1FA6C2-8BC0-A649-BE67-0379ED2F9E27}" sibTransId="{073C5EC5-B460-2142-A76B-F35FD6B4666A}"/>
    <dgm:cxn modelId="{5A661C33-4AA4-2244-93B2-47DF37374928}" type="presOf" srcId="{EEDB9631-3E89-524E-8EA1-4E9CE8A8257B}" destId="{D04C6621-411E-FF49-BAF1-53B28C587D1B}" srcOrd="0" destOrd="0" presId="urn:microsoft.com/office/officeart/2005/8/layout/chevron2"/>
    <dgm:cxn modelId="{B713D35E-0499-D344-BEC7-6B4ECB0D3E10}" srcId="{33DD91B8-1807-BD42-8E94-7C03D251E2A2}" destId="{EEDB9631-3E89-524E-8EA1-4E9CE8A8257B}" srcOrd="0" destOrd="0" parTransId="{5152898C-F7F6-9D44-8339-0B46BA710491}" sibTransId="{38343D7D-ABD1-9340-BB35-ECB786287685}"/>
    <dgm:cxn modelId="{2E9FF472-D4CC-9841-A067-B529881F29E9}" type="presOf" srcId="{0F3B96D3-1096-FF4A-8352-DDD58424CF22}" destId="{71D9D85A-CC32-954C-BF0C-58BA91ED9EDD}" srcOrd="0" destOrd="0" presId="urn:microsoft.com/office/officeart/2005/8/layout/chevron2"/>
    <dgm:cxn modelId="{840CD287-03AE-AF41-AF40-074C3804B8D3}" srcId="{BD157F5D-25B3-9843-BD5A-D07F620FCFFC}" destId="{1F95B04C-0751-3440-9020-F8C120E3CFBA}" srcOrd="1" destOrd="0" parTransId="{8891CF0B-F930-C748-8B18-17D79857473B}" sibTransId="{83FCA93C-EC39-ED46-893E-24560A86414C}"/>
    <dgm:cxn modelId="{B98F0C8A-83D7-FF46-A6A8-F5BA346AC9D1}" srcId="{0FDF3C6B-A29E-124A-8352-160AD8ED697F}" destId="{BD157F5D-25B3-9843-BD5A-D07F620FCFFC}" srcOrd="0" destOrd="0" parTransId="{88D64A3E-5FF7-534F-8324-3911F603E46F}" sibTransId="{0599C646-FF72-3D4A-B875-F50CB4A777CB}"/>
    <dgm:cxn modelId="{835B33A1-9478-DE4B-ADFF-FA2B6B97130D}" type="presOf" srcId="{33DD91B8-1807-BD42-8E94-7C03D251E2A2}" destId="{ADE9515C-007F-AF44-8A06-259544219132}" srcOrd="0" destOrd="0" presId="urn:microsoft.com/office/officeart/2005/8/layout/chevron2"/>
    <dgm:cxn modelId="{DAE30DA8-2AC2-DA4C-9967-0CABFEC3AC21}" type="presOf" srcId="{91C2C372-1E7E-6F49-B8FE-0713B6313A65}" destId="{71D9D85A-CC32-954C-BF0C-58BA91ED9EDD}" srcOrd="0" destOrd="2" presId="urn:microsoft.com/office/officeart/2005/8/layout/chevron2"/>
    <dgm:cxn modelId="{CFC328A8-5901-BF4A-BCA3-E1F02DFEE9F3}" type="presOf" srcId="{995DEAB2-698B-BD49-92AF-0B59204262B8}" destId="{D04C6621-411E-FF49-BAF1-53B28C587D1B}" srcOrd="0" destOrd="1" presId="urn:microsoft.com/office/officeart/2005/8/layout/chevron2"/>
    <dgm:cxn modelId="{F2FC40BA-9440-8546-81FA-FDF2CD28638C}" srcId="{0FDF3C6B-A29E-124A-8352-160AD8ED697F}" destId="{363B6F51-C4BE-5B43-8FF8-12B04D42A887}" srcOrd="1" destOrd="0" parTransId="{5E483DC6-34F0-EB46-8D38-9AE34D72D171}" sibTransId="{B43B36B4-4D7B-9A49-859A-7AC4BC176EAE}"/>
    <dgm:cxn modelId="{C7E53FC0-84F2-1B41-AB5C-4A68CB31EFD2}" type="presOf" srcId="{BD157F5D-25B3-9843-BD5A-D07F620FCFFC}" destId="{6D9524BD-D3C6-F44F-88F4-BCBDCFC7F382}" srcOrd="0" destOrd="0" presId="urn:microsoft.com/office/officeart/2005/8/layout/chevron2"/>
    <dgm:cxn modelId="{1615E4D3-3418-EB47-B251-B281688DED1E}" srcId="{363B6F51-C4BE-5B43-8FF8-12B04D42A887}" destId="{EE4E5C65-1ED1-E348-B391-3B39D0EDC0BA}" srcOrd="0" destOrd="0" parTransId="{076BD7A3-B726-D048-81D3-FDBEE20210E4}" sibTransId="{CAE92F50-005B-6B41-BDD9-E947F4C3B107}"/>
    <dgm:cxn modelId="{E74DC7DA-DFD7-894F-A444-BBA35B4D28B1}" type="presOf" srcId="{1F95B04C-0751-3440-9020-F8C120E3CFBA}" destId="{71D9D85A-CC32-954C-BF0C-58BA91ED9EDD}" srcOrd="0" destOrd="1" presId="urn:microsoft.com/office/officeart/2005/8/layout/chevron2"/>
    <dgm:cxn modelId="{0D5BA7E2-37D4-5D4D-9524-4ACE272E350A}" srcId="{0FDF3C6B-A29E-124A-8352-160AD8ED697F}" destId="{33DD91B8-1807-BD42-8E94-7C03D251E2A2}" srcOrd="2" destOrd="0" parTransId="{D6E1638D-FCB5-9746-B310-BF54F22B1BF2}" sibTransId="{41504B23-1682-1D41-B241-401507A58ED1}"/>
    <dgm:cxn modelId="{DF9761E6-B93A-7B42-8626-5F9DD09C0361}" type="presOf" srcId="{0FDF3C6B-A29E-124A-8352-160AD8ED697F}" destId="{C36035AD-7E08-3144-9AF5-A9052345AD53}" srcOrd="0" destOrd="0" presId="urn:microsoft.com/office/officeart/2005/8/layout/chevron2"/>
    <dgm:cxn modelId="{0FB78FF2-D45E-CD43-8301-8D737F65EAFF}" type="presOf" srcId="{EE4E5C65-1ED1-E348-B391-3B39D0EDC0BA}" destId="{8DA13157-260E-A143-9BB5-01667975A8F6}" srcOrd="0" destOrd="0" presId="urn:microsoft.com/office/officeart/2005/8/layout/chevron2"/>
    <dgm:cxn modelId="{4FAF9DF5-96AC-044E-837E-FB7551E52858}" type="presOf" srcId="{363B6F51-C4BE-5B43-8FF8-12B04D42A887}" destId="{0557B69F-F653-414D-9EF1-84C406BFE9AD}" srcOrd="0" destOrd="0" presId="urn:microsoft.com/office/officeart/2005/8/layout/chevron2"/>
    <dgm:cxn modelId="{3E40F223-EFF2-4D43-9A66-766C34C87740}" type="presParOf" srcId="{C36035AD-7E08-3144-9AF5-A9052345AD53}" destId="{DA228E4D-79DC-7B4A-9A7B-0623FCB827B6}" srcOrd="0" destOrd="0" presId="urn:microsoft.com/office/officeart/2005/8/layout/chevron2"/>
    <dgm:cxn modelId="{0809EAE8-E74C-4744-B314-6B2E32039F8A}" type="presParOf" srcId="{DA228E4D-79DC-7B4A-9A7B-0623FCB827B6}" destId="{6D9524BD-D3C6-F44F-88F4-BCBDCFC7F382}" srcOrd="0" destOrd="0" presId="urn:microsoft.com/office/officeart/2005/8/layout/chevron2"/>
    <dgm:cxn modelId="{1A058D05-EA38-0E49-9860-FDD4AB48C49D}" type="presParOf" srcId="{DA228E4D-79DC-7B4A-9A7B-0623FCB827B6}" destId="{71D9D85A-CC32-954C-BF0C-58BA91ED9EDD}" srcOrd="1" destOrd="0" presId="urn:microsoft.com/office/officeart/2005/8/layout/chevron2"/>
    <dgm:cxn modelId="{BF517231-4577-994F-9F55-E9EF386A874D}" type="presParOf" srcId="{C36035AD-7E08-3144-9AF5-A9052345AD53}" destId="{47EC3A5B-9760-E148-A653-292C2A69B215}" srcOrd="1" destOrd="0" presId="urn:microsoft.com/office/officeart/2005/8/layout/chevron2"/>
    <dgm:cxn modelId="{C5DEC25C-83AC-0C44-867C-6764C3DAD081}" type="presParOf" srcId="{C36035AD-7E08-3144-9AF5-A9052345AD53}" destId="{CFA99738-CF5C-DB47-A29D-CB73C788050F}" srcOrd="2" destOrd="0" presId="urn:microsoft.com/office/officeart/2005/8/layout/chevron2"/>
    <dgm:cxn modelId="{6F54A7D1-EF39-1B48-841E-61FFFB8FAA09}" type="presParOf" srcId="{CFA99738-CF5C-DB47-A29D-CB73C788050F}" destId="{0557B69F-F653-414D-9EF1-84C406BFE9AD}" srcOrd="0" destOrd="0" presId="urn:microsoft.com/office/officeart/2005/8/layout/chevron2"/>
    <dgm:cxn modelId="{8107689B-00D4-EE44-9606-591BB1DD1D12}" type="presParOf" srcId="{CFA99738-CF5C-DB47-A29D-CB73C788050F}" destId="{8DA13157-260E-A143-9BB5-01667975A8F6}" srcOrd="1" destOrd="0" presId="urn:microsoft.com/office/officeart/2005/8/layout/chevron2"/>
    <dgm:cxn modelId="{EED04468-3DD9-8F40-B802-D64084108FF9}" type="presParOf" srcId="{C36035AD-7E08-3144-9AF5-A9052345AD53}" destId="{F9D5C733-FD02-D249-944F-E3E7F88AB94B}" srcOrd="3" destOrd="0" presId="urn:microsoft.com/office/officeart/2005/8/layout/chevron2"/>
    <dgm:cxn modelId="{99DE35AE-E4B0-9744-9824-B905DDD5A408}" type="presParOf" srcId="{C36035AD-7E08-3144-9AF5-A9052345AD53}" destId="{9C0C071C-91CA-0D40-8821-85B387730D69}" srcOrd="4" destOrd="0" presId="urn:microsoft.com/office/officeart/2005/8/layout/chevron2"/>
    <dgm:cxn modelId="{964A0747-7652-EC4F-9EB9-A3362FC6467F}" type="presParOf" srcId="{9C0C071C-91CA-0D40-8821-85B387730D69}" destId="{ADE9515C-007F-AF44-8A06-259544219132}" srcOrd="0" destOrd="0" presId="urn:microsoft.com/office/officeart/2005/8/layout/chevron2"/>
    <dgm:cxn modelId="{E7411084-F1EE-FE4F-AFA0-6529F94B4DC9}" type="presParOf" srcId="{9C0C071C-91CA-0D40-8821-85B387730D69}" destId="{D04C6621-411E-FF49-BAF1-53B28C587D1B}" srcOrd="1" destOrd="0" presId="urn:microsoft.com/office/officeart/2005/8/layout/chevron2"/>
  </dgm:cxnLst>
  <dgm:bg/>
  <dgm:whole/>
  <dgm:extLst>
    <a:ext uri="http://schemas.microsoft.com/office/drawing/2008/diagram">
      <dsp:dataModelExt xmlns:dsp="http://schemas.microsoft.com/office/drawing/2008/diagram" relId="rId1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D9524BD-D3C6-F44F-88F4-BCBDCFC7F382}">
      <dsp:nvSpPr>
        <dsp:cNvPr id="0" name=""/>
        <dsp:cNvSpPr/>
      </dsp:nvSpPr>
      <dsp:spPr>
        <a:xfrm rot="5400000">
          <a:off x="-104630" y="105434"/>
          <a:ext cx="697534" cy="488273"/>
        </a:xfrm>
        <a:prstGeom prst="chevron">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w="6350" cap="flat" cmpd="sng" algn="ctr">
          <a:solidFill>
            <a:schemeClr val="accent1">
              <a:hueOff val="0"/>
              <a:satOff val="0"/>
              <a:lumOff val="0"/>
              <a:alphaOff val="0"/>
            </a:schemeClr>
          </a:solidFill>
          <a:prstDash val="solid"/>
          <a:miter lim="800000"/>
        </a:ln>
        <a:effectLst/>
      </dsp:spPr>
      <dsp:style>
        <a:lnRef idx="1">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kern="1200"/>
            <a:t>INPUT</a:t>
          </a:r>
        </a:p>
      </dsp:txBody>
      <dsp:txXfrm rot="-5400000">
        <a:off x="1" y="244941"/>
        <a:ext cx="488273" cy="209261"/>
      </dsp:txXfrm>
    </dsp:sp>
    <dsp:sp modelId="{71D9D85A-CC32-954C-BF0C-58BA91ED9EDD}">
      <dsp:nvSpPr>
        <dsp:cNvPr id="0" name=""/>
        <dsp:cNvSpPr/>
      </dsp:nvSpPr>
      <dsp:spPr>
        <a:xfrm rot="5400000">
          <a:off x="2192119" y="-1703846"/>
          <a:ext cx="453397" cy="3861089"/>
        </a:xfrm>
        <a:prstGeom prst="round2SameRect">
          <a:avLst/>
        </a:prstGeom>
        <a:solidFill>
          <a:schemeClr val="lt1">
            <a:alpha val="90000"/>
            <a:hueOff val="0"/>
            <a:satOff val="0"/>
            <a:lumOff val="0"/>
            <a:alphaOff val="0"/>
          </a:schemeClr>
        </a:solidFill>
        <a:ln w="6350" cap="flat" cmpd="sng" algn="ctr">
          <a:solidFill>
            <a:schemeClr val="accent1">
              <a:hueOff val="0"/>
              <a:satOff val="0"/>
              <a:lumOff val="0"/>
              <a:alphaOff val="0"/>
            </a:scheme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71120" tIns="6350" rIns="6350" bIns="6350" numCol="1" spcCol="1270" anchor="ctr" anchorCtr="0">
          <a:noAutofit/>
        </a:bodyPr>
        <a:lstStyle/>
        <a:p>
          <a:pPr marL="57150" lvl="1" indent="-57150" algn="l" defTabSz="444500">
            <a:lnSpc>
              <a:spcPct val="90000"/>
            </a:lnSpc>
            <a:spcBef>
              <a:spcPct val="0"/>
            </a:spcBef>
            <a:spcAft>
              <a:spcPct val="15000"/>
            </a:spcAft>
            <a:buChar char="•"/>
          </a:pPr>
          <a:r>
            <a:rPr lang="en-US" sz="1000" kern="1200"/>
            <a:t>30 MLS student samples</a:t>
          </a:r>
        </a:p>
        <a:p>
          <a:pPr marL="57150" lvl="1" indent="-57150" algn="l" defTabSz="444500">
            <a:lnSpc>
              <a:spcPct val="90000"/>
            </a:lnSpc>
            <a:spcBef>
              <a:spcPct val="0"/>
            </a:spcBef>
            <a:spcAft>
              <a:spcPct val="15000"/>
            </a:spcAft>
            <a:buChar char="•"/>
          </a:pPr>
          <a:r>
            <a:rPr lang="en-US" sz="1000" kern="1200"/>
            <a:t>Forward and reverse primers for D1S80 locus</a:t>
          </a:r>
        </a:p>
        <a:p>
          <a:pPr marL="57150" lvl="1" indent="-57150" algn="l" defTabSz="444500">
            <a:lnSpc>
              <a:spcPct val="90000"/>
            </a:lnSpc>
            <a:spcBef>
              <a:spcPct val="0"/>
            </a:spcBef>
            <a:spcAft>
              <a:spcPct val="15000"/>
            </a:spcAft>
            <a:buChar char="•"/>
          </a:pPr>
          <a:r>
            <a:rPr lang="en-US" sz="1000" kern="1200"/>
            <a:t>Global / National Reference Allelic Database</a:t>
          </a:r>
        </a:p>
      </dsp:txBody>
      <dsp:txXfrm rot="-5400000">
        <a:off x="488274" y="22132"/>
        <a:ext cx="3838956" cy="409131"/>
      </dsp:txXfrm>
    </dsp:sp>
    <dsp:sp modelId="{0557B69F-F653-414D-9EF1-84C406BFE9AD}">
      <dsp:nvSpPr>
        <dsp:cNvPr id="0" name=""/>
        <dsp:cNvSpPr/>
      </dsp:nvSpPr>
      <dsp:spPr>
        <a:xfrm rot="5400000">
          <a:off x="-104630" y="574847"/>
          <a:ext cx="697534" cy="488273"/>
        </a:xfrm>
        <a:prstGeom prst="chevron">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w="6350" cap="flat" cmpd="sng" algn="ctr">
          <a:solidFill>
            <a:schemeClr val="accent1">
              <a:hueOff val="0"/>
              <a:satOff val="0"/>
              <a:lumOff val="0"/>
              <a:alphaOff val="0"/>
            </a:schemeClr>
          </a:solidFill>
          <a:prstDash val="solid"/>
          <a:miter lim="800000"/>
        </a:ln>
        <a:effectLst/>
      </dsp:spPr>
      <dsp:style>
        <a:lnRef idx="1">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kern="1200"/>
            <a:t>PROCESS</a:t>
          </a:r>
        </a:p>
      </dsp:txBody>
      <dsp:txXfrm rot="-5400000">
        <a:off x="1" y="714354"/>
        <a:ext cx="488273" cy="209261"/>
      </dsp:txXfrm>
    </dsp:sp>
    <dsp:sp modelId="{8DA13157-260E-A143-9BB5-01667975A8F6}">
      <dsp:nvSpPr>
        <dsp:cNvPr id="0" name=""/>
        <dsp:cNvSpPr/>
      </dsp:nvSpPr>
      <dsp:spPr>
        <a:xfrm rot="5400000">
          <a:off x="2192119" y="-1233629"/>
          <a:ext cx="453397" cy="3861089"/>
        </a:xfrm>
        <a:prstGeom prst="round2SameRect">
          <a:avLst/>
        </a:prstGeom>
        <a:solidFill>
          <a:schemeClr val="lt1">
            <a:alpha val="90000"/>
            <a:hueOff val="0"/>
            <a:satOff val="0"/>
            <a:lumOff val="0"/>
            <a:alphaOff val="0"/>
          </a:schemeClr>
        </a:solidFill>
        <a:ln w="6350" cap="flat" cmpd="sng" algn="ctr">
          <a:solidFill>
            <a:schemeClr val="accent1">
              <a:hueOff val="0"/>
              <a:satOff val="0"/>
              <a:lumOff val="0"/>
              <a:alphaOff val="0"/>
            </a:scheme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71120" tIns="6350" rIns="6350" bIns="6350" numCol="1" spcCol="1270" anchor="ctr" anchorCtr="0">
          <a:noAutofit/>
        </a:bodyPr>
        <a:lstStyle/>
        <a:p>
          <a:pPr marL="57150" lvl="1" indent="-57150" algn="l" defTabSz="444500">
            <a:lnSpc>
              <a:spcPct val="90000"/>
            </a:lnSpc>
            <a:spcBef>
              <a:spcPct val="0"/>
            </a:spcBef>
            <a:spcAft>
              <a:spcPct val="15000"/>
            </a:spcAft>
            <a:buChar char="•"/>
          </a:pPr>
          <a:r>
            <a:rPr lang="en-US" sz="1000" kern="1200"/>
            <a:t>Molecular analysis: DNA Extraction, PCR and Gel Electrophoresis</a:t>
          </a:r>
        </a:p>
        <a:p>
          <a:pPr marL="57150" lvl="1" indent="-57150" algn="l" defTabSz="444500">
            <a:lnSpc>
              <a:spcPct val="90000"/>
            </a:lnSpc>
            <a:spcBef>
              <a:spcPct val="0"/>
            </a:spcBef>
            <a:spcAft>
              <a:spcPct val="15000"/>
            </a:spcAft>
            <a:buChar char="•"/>
          </a:pPr>
          <a:r>
            <a:rPr lang="en-US" sz="1000" kern="1200"/>
            <a:t>Biostatistical analysis: Allele frequency calculation and Chi square test</a:t>
          </a:r>
        </a:p>
      </dsp:txBody>
      <dsp:txXfrm rot="-5400000">
        <a:off x="488274" y="492349"/>
        <a:ext cx="3838956" cy="409131"/>
      </dsp:txXfrm>
    </dsp:sp>
    <dsp:sp modelId="{ADE9515C-007F-AF44-8A06-259544219132}">
      <dsp:nvSpPr>
        <dsp:cNvPr id="0" name=""/>
        <dsp:cNvSpPr/>
      </dsp:nvSpPr>
      <dsp:spPr>
        <a:xfrm rot="5400000">
          <a:off x="-104630" y="1044260"/>
          <a:ext cx="697534" cy="488273"/>
        </a:xfrm>
        <a:prstGeom prst="chevron">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w="6350" cap="flat" cmpd="sng" algn="ctr">
          <a:solidFill>
            <a:schemeClr val="accent1">
              <a:hueOff val="0"/>
              <a:satOff val="0"/>
              <a:lumOff val="0"/>
              <a:alphaOff val="0"/>
            </a:schemeClr>
          </a:solidFill>
          <a:prstDash val="solid"/>
          <a:miter lim="800000"/>
        </a:ln>
        <a:effectLst/>
      </dsp:spPr>
      <dsp:style>
        <a:lnRef idx="1">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kern="1200"/>
            <a:t>OUTPUT</a:t>
          </a:r>
        </a:p>
      </dsp:txBody>
      <dsp:txXfrm rot="-5400000">
        <a:off x="1" y="1183767"/>
        <a:ext cx="488273" cy="209261"/>
      </dsp:txXfrm>
    </dsp:sp>
    <dsp:sp modelId="{D04C6621-411E-FF49-BAF1-53B28C587D1B}">
      <dsp:nvSpPr>
        <dsp:cNvPr id="0" name=""/>
        <dsp:cNvSpPr/>
      </dsp:nvSpPr>
      <dsp:spPr>
        <a:xfrm rot="5400000">
          <a:off x="2192119" y="-764216"/>
          <a:ext cx="453397" cy="3861089"/>
        </a:xfrm>
        <a:prstGeom prst="round2SameRect">
          <a:avLst/>
        </a:prstGeom>
        <a:solidFill>
          <a:schemeClr val="lt1">
            <a:alpha val="90000"/>
            <a:hueOff val="0"/>
            <a:satOff val="0"/>
            <a:lumOff val="0"/>
            <a:alphaOff val="0"/>
          </a:schemeClr>
        </a:solidFill>
        <a:ln w="6350" cap="flat" cmpd="sng" algn="ctr">
          <a:solidFill>
            <a:schemeClr val="accent1">
              <a:hueOff val="0"/>
              <a:satOff val="0"/>
              <a:lumOff val="0"/>
              <a:alphaOff val="0"/>
            </a:scheme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71120" tIns="6350" rIns="6350" bIns="6350" numCol="1" spcCol="1270" anchor="ctr" anchorCtr="0">
          <a:noAutofit/>
        </a:bodyPr>
        <a:lstStyle/>
        <a:p>
          <a:pPr marL="57150" lvl="1" indent="-57150" algn="l" defTabSz="444500">
            <a:lnSpc>
              <a:spcPct val="90000"/>
            </a:lnSpc>
            <a:spcBef>
              <a:spcPct val="0"/>
            </a:spcBef>
            <a:spcAft>
              <a:spcPct val="15000"/>
            </a:spcAft>
            <a:buChar char="•"/>
          </a:pPr>
          <a:r>
            <a:rPr lang="en-US" sz="1000" kern="1200"/>
            <a:t>Observed D1S80 dimorphic split (400 and 500 bp)</a:t>
          </a:r>
        </a:p>
        <a:p>
          <a:pPr marL="57150" lvl="1" indent="-57150" algn="l" defTabSz="444500">
            <a:lnSpc>
              <a:spcPct val="90000"/>
            </a:lnSpc>
            <a:spcBef>
              <a:spcPct val="0"/>
            </a:spcBef>
            <a:spcAft>
              <a:spcPct val="15000"/>
            </a:spcAft>
            <a:buChar char="•"/>
          </a:pPr>
          <a:r>
            <a:rPr lang="en-US" sz="1000" kern="1200"/>
            <a:t>Demographic mapping: Identification of bottleneck or allelic fixation</a:t>
          </a:r>
        </a:p>
      </dsp:txBody>
      <dsp:txXfrm rot="-5400000">
        <a:off x="488274" y="961762"/>
        <a:ext cx="3838956" cy="409131"/>
      </dsp:txXfrm>
    </dsp:sp>
  </dsp:spTree>
</dsp:drawing>
</file>

<file path=word/diagrams/layout1.xml><?xml version="1.0" encoding="utf-8"?>
<dgm:layoutDef xmlns:dgm="http://schemas.openxmlformats.org/drawingml/2006/diagram" xmlns:a="http://schemas.openxmlformats.org/drawingml/2006/main" uniqueId="urn:microsoft.com/office/officeart/2005/8/layout/chevron2">
  <dgm:title val=""/>
  <dgm:desc val=""/>
  <dgm:catLst>
    <dgm:cat type="process" pri="12000"/>
    <dgm:cat type="list" pri="16000"/>
    <dgm:cat type="convert" pri="11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Lst>
      <dgm:cxnLst>
        <dgm:cxn modelId="4" srcId="0" destId="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alg type="lin">
      <dgm:param type="linDir" val="fromT"/>
      <dgm:param type="nodeHorzAlign" val="l"/>
    </dgm:alg>
    <dgm:shape xmlns:r="http://schemas.openxmlformats.org/officeDocument/2006/relationships" r:blip="">
      <dgm:adjLst/>
    </dgm:shape>
    <dgm:presOf/>
    <dgm:constrLst>
      <dgm:constr type="h" for="ch" forName="composite" refType="h"/>
      <dgm:constr type="w" for="ch" forName="composite" refType="w"/>
      <dgm:constr type="h" for="des" forName="parentText" op="equ"/>
      <dgm:constr type="h" for="ch" forName="sp" val="-14.88"/>
      <dgm:constr type="h" for="ch" forName="sp" refType="w" refFor="des" refForName="parentText" op="gte" fact="-0.3"/>
      <dgm:constr type="primFontSz" for="des" forName="parentText" op="equ" val="65"/>
      <dgm:constr type="primFontSz" for="des" forName="descendantText"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t" for="ch" forName="parentText"/>
              <dgm:constr type="l" for="ch" forName="parentText"/>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refType="w" refFor="ch" refForName="pare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if>
          <dgm:else name="Name3">
            <dgm:constrLst>
              <dgm:constr type="t" for="ch" forName="parentText"/>
              <dgm:constr type="r" for="ch" forName="parentText" refType="w"/>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else>
        </dgm:choose>
        <dgm:ruleLst/>
        <dgm:layoutNode name="parentText" styleLbl="alignNode1">
          <dgm:varLst>
            <dgm:chMax val="1"/>
            <dgm:bulletEnabled val="1"/>
          </dgm:varLst>
          <dgm:alg type="tx"/>
          <dgm:shape xmlns:r="http://schemas.openxmlformats.org/officeDocument/2006/relationships" rot="90" type="chevron"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h" val="100" fact="NaN" max="NaN"/>
            <dgm:rule type="primFontSz" val="24" fact="NaN" max="NaN"/>
            <dgm:rule type="h" val="110" fact="NaN" max="NaN"/>
            <dgm:rule type="primFontSz" val="18" fact="NaN" max="NaN"/>
            <dgm:rule type="h" val="INF" fact="NaN" max="NaN"/>
            <dgm:rule type="primFontSz" val="5" fact="NaN" max="NaN"/>
          </dgm:ruleLst>
        </dgm:layoutNode>
        <dgm:layoutNode name="descendantText" styleLbl="alignAcc1">
          <dgm:varLst>
            <dgm:bulletEnabled val="1"/>
          </dgm:varLst>
          <dgm:choose name="Name4">
            <dgm:if name="Name5" func="var" arg="dir" op="equ" val="norm">
              <dgm:alg type="tx">
                <dgm:param type="stBulletLvl" val="1"/>
                <dgm:param type="txAnchorVertCh" val="mid"/>
              </dgm:alg>
              <dgm:shape xmlns:r="http://schemas.openxmlformats.org/officeDocument/2006/relationships" rot="90" type="round2SameRect" r:blip="">
                <dgm:adjLst/>
              </dgm:shape>
            </dgm:if>
            <dgm:else name="Name6">
              <dgm:alg type="tx">
                <dgm:param type="stBulletLvl" val="1"/>
                <dgm:param type="txAnchorVertCh" val="mid"/>
              </dgm:alg>
              <dgm:shape xmlns:r="http://schemas.openxmlformats.org/officeDocument/2006/relationships" rot="-90" type="round2SameRect" r:blip="">
                <dgm:adjLst/>
              </dgm:shape>
            </dgm:else>
          </dgm:choose>
          <dgm:presOf axis="des" ptType="node"/>
          <dgm:choose name="Name7">
            <dgm:if name="Name8" func="var" arg="dir" op="equ" val="norm">
              <dgm:constrLst>
                <dgm:constr type="secFontSz" refType="primFontSz"/>
                <dgm:constr type="tMarg" refType="primFontSz" fact="0.05"/>
                <dgm:constr type="bMarg" refType="primFontSz" fact="0.05"/>
                <dgm:constr type="rMarg" refType="primFontSz" fact="0.05"/>
              </dgm:constrLst>
            </dgm:if>
            <dgm:else name="Name9">
              <dgm:constrLst>
                <dgm:constr type="secFontSz" refType="primFontSz"/>
                <dgm:constr type="tMarg" refType="primFontSz" fact="0.05"/>
                <dgm:constr type="bMarg" refType="primFontSz" fact="0.05"/>
                <dgm:constr type="lMarg" refType="primFontSz" fact="0.05"/>
              </dgm:constrLst>
            </dgm:else>
          </dgm:choose>
          <dgm:ruleLst>
            <dgm:rule type="primFontSz" val="5" fact="NaN" max="NaN"/>
          </dgm:ruleLst>
        </dgm:layoutNode>
      </dgm:layoutNode>
      <dgm:forEach name="Name10" axis="followSib" ptType="sibTrans" cnt="1">
        <dgm:layoutNode name="sp">
          <dgm:alg type="sp"/>
          <dgm:shape xmlns:r="http://schemas.openxmlformats.org/officeDocument/2006/relationships" r:blip="">
            <dgm:adjLst/>
          </dgm:shape>
          <dgm:presOf axis="self"/>
          <dgm:constrLst>
            <dgm:constr type="w" val="1"/>
            <dgm:constr type="h" val="37.5"/>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52344E-5FF6-4593-A00A-506B363D08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588</TotalTime>
  <Pages>10</Pages>
  <Words>5716</Words>
  <Characters>32586</Characters>
  <Application>Microsoft Office Word</Application>
  <DocSecurity>0</DocSecurity>
  <Lines>271</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Sherwin Toriano</dc:creator>
  <cp:keywords/>
  <dc:description/>
  <cp:lastModifiedBy>Administrator</cp:lastModifiedBy>
  <cp:revision>30</cp:revision>
  <dcterms:created xsi:type="dcterms:W3CDTF">2026-07-01T12:32:00Z</dcterms:created>
  <dcterms:modified xsi:type="dcterms:W3CDTF">2026-07-05T15:10:00Z</dcterms:modified>
</cp:coreProperties>
</file>