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07CD" w14:textId="133ED453" w:rsidR="00707C4E" w:rsidRPr="005F511E" w:rsidRDefault="00707C4E" w:rsidP="005F511E">
      <w:pPr>
        <w:spacing w:before="240" w:after="240" w:line="240" w:lineRule="auto"/>
        <w:jc w:val="center"/>
        <w:rPr>
          <w:rFonts w:ascii="Times New Roman" w:hAnsi="Times New Roman" w:cs="Times New Roman"/>
          <w:b/>
          <w:bCs/>
          <w:sz w:val="36"/>
          <w:szCs w:val="36"/>
        </w:rPr>
      </w:pPr>
      <w:r w:rsidRPr="005F511E">
        <w:rPr>
          <w:rFonts w:ascii="Times New Roman" w:hAnsi="Times New Roman" w:cs="Times New Roman"/>
          <w:b/>
          <w:bCs/>
          <w:sz w:val="36"/>
          <w:szCs w:val="36"/>
        </w:rPr>
        <w:t>From Classroom to AI</w:t>
      </w:r>
      <w:r w:rsidR="00BF74C5" w:rsidRPr="005F511E">
        <w:rPr>
          <w:rFonts w:ascii="Times New Roman" w:hAnsi="Times New Roman" w:cs="Times New Roman"/>
          <w:b/>
          <w:bCs/>
          <w:sz w:val="36"/>
          <w:szCs w:val="36"/>
        </w:rPr>
        <w:t>-Driven</w:t>
      </w:r>
      <w:r w:rsidRPr="005F511E">
        <w:rPr>
          <w:rFonts w:ascii="Times New Roman" w:hAnsi="Times New Roman" w:cs="Times New Roman"/>
          <w:b/>
          <w:bCs/>
          <w:sz w:val="36"/>
          <w:szCs w:val="36"/>
        </w:rPr>
        <w:t xml:space="preserve"> Workforce: Higher Education Practices for Graduate Employability</w:t>
      </w:r>
    </w:p>
    <w:p w14:paraId="5AEE3581" w14:textId="422EDE5F" w:rsidR="005E5CD6" w:rsidRPr="005E5CD6" w:rsidRDefault="005E5CD6" w:rsidP="005E5CD6">
      <w:pPr>
        <w:spacing w:before="240" w:after="240" w:line="240" w:lineRule="auto"/>
        <w:rPr>
          <w:rFonts w:ascii="Times New Roman" w:hAnsi="Times New Roman" w:cs="Times New Roman"/>
          <w:b/>
          <w:bCs/>
        </w:rPr>
      </w:pPr>
      <w:r w:rsidRPr="005E5CD6">
        <w:rPr>
          <w:rFonts w:ascii="Times New Roman" w:hAnsi="Times New Roman" w:cs="Times New Roman"/>
          <w:b/>
          <w:bCs/>
        </w:rPr>
        <w:t xml:space="preserve">Jake M. Laguador </w:t>
      </w:r>
    </w:p>
    <w:p w14:paraId="08B8C085" w14:textId="669AB1B7" w:rsidR="005E5CD6" w:rsidRPr="005E5CD6" w:rsidRDefault="005E5CD6" w:rsidP="005E5CD6">
      <w:pPr>
        <w:spacing w:before="240" w:after="240" w:line="240" w:lineRule="auto"/>
        <w:rPr>
          <w:rFonts w:ascii="Times New Roman" w:hAnsi="Times New Roman" w:cs="Times New Roman"/>
        </w:rPr>
      </w:pPr>
      <w:r w:rsidRPr="005E5CD6">
        <w:rPr>
          <w:rFonts w:ascii="Times New Roman" w:hAnsi="Times New Roman" w:cs="Times New Roman"/>
        </w:rPr>
        <w:t xml:space="preserve">College of Education, Bicol State College of Applied Sciences and Technology, Naga City, Camarines Sur, Philippines </w:t>
      </w:r>
    </w:p>
    <w:p w14:paraId="1853B787" w14:textId="2B792754" w:rsidR="00A01093" w:rsidRPr="005E5CD6" w:rsidRDefault="00A01093" w:rsidP="005E5CD6">
      <w:pPr>
        <w:spacing w:before="240" w:after="240" w:line="240" w:lineRule="auto"/>
        <w:rPr>
          <w:rFonts w:ascii="Times New Roman" w:hAnsi="Times New Roman" w:cs="Times New Roman"/>
          <w:b/>
          <w:bCs/>
        </w:rPr>
      </w:pPr>
      <w:r w:rsidRPr="005E5CD6">
        <w:rPr>
          <w:rFonts w:ascii="Times New Roman" w:hAnsi="Times New Roman" w:cs="Times New Roman"/>
          <w:b/>
          <w:bCs/>
        </w:rPr>
        <w:t>Abstract</w:t>
      </w:r>
    </w:p>
    <w:p w14:paraId="70B6A981" w14:textId="3A68456A" w:rsidR="004B03FA" w:rsidRPr="005E5CD6" w:rsidRDefault="00A01093" w:rsidP="005E5CD6">
      <w:pPr>
        <w:spacing w:before="240" w:after="240" w:line="240" w:lineRule="auto"/>
        <w:jc w:val="both"/>
        <w:rPr>
          <w:rFonts w:ascii="Times New Roman" w:hAnsi="Times New Roman" w:cs="Times New Roman"/>
        </w:rPr>
      </w:pPr>
      <w:r w:rsidRPr="005E5CD6">
        <w:rPr>
          <w:rFonts w:ascii="Times New Roman" w:hAnsi="Times New Roman" w:cs="Times New Roman"/>
        </w:rPr>
        <w:t xml:space="preserve">The rapid advancement of artificial intelligence (AI) is transforming higher education and redefining the competencies required for graduate employability in an increasingly technology-driven workforce. </w:t>
      </w:r>
      <w:r w:rsidR="00156E68" w:rsidRPr="005E5CD6">
        <w:rPr>
          <w:rFonts w:ascii="Times New Roman" w:hAnsi="Times New Roman" w:cs="Times New Roman"/>
        </w:rPr>
        <w:t xml:space="preserve">This systematic literature review investigated higher education practices that prepare graduates for employability in an AI-enabled workforce, and identified the critical competencies necessary for success in AI-enabled workplaces. The review was performed in accordance with the PRISMA 2020 framework and integrated evidence from 30 empirical studies published in the period of 2023-2025 and located through systematic search, screening, eligibility assessment and thematic synthesis. </w:t>
      </w:r>
      <w:r w:rsidRPr="005E5CD6">
        <w:rPr>
          <w:rFonts w:ascii="Times New Roman" w:hAnsi="Times New Roman" w:cs="Times New Roman"/>
        </w:rPr>
        <w:t xml:space="preserve">Higher education institutions are responding to </w:t>
      </w:r>
      <w:r w:rsidR="008C36C6" w:rsidRPr="005E5CD6">
        <w:rPr>
          <w:rFonts w:ascii="Times New Roman" w:hAnsi="Times New Roman" w:cs="Times New Roman"/>
        </w:rPr>
        <w:t xml:space="preserve">the </w:t>
      </w:r>
      <w:r w:rsidRPr="005E5CD6">
        <w:rPr>
          <w:rFonts w:ascii="Times New Roman" w:hAnsi="Times New Roman" w:cs="Times New Roman"/>
        </w:rPr>
        <w:t xml:space="preserve">labor market demands through </w:t>
      </w:r>
      <w:r w:rsidR="008C36C6" w:rsidRPr="005E5CD6">
        <w:rPr>
          <w:rFonts w:ascii="Times New Roman" w:hAnsi="Times New Roman" w:cs="Times New Roman"/>
        </w:rPr>
        <w:t xml:space="preserve">conventional approach of redesigning curriculum, </w:t>
      </w:r>
      <w:r w:rsidR="005756BA" w:rsidRPr="005E5CD6">
        <w:rPr>
          <w:rFonts w:ascii="Times New Roman" w:hAnsi="Times New Roman" w:cs="Times New Roman"/>
        </w:rPr>
        <w:t>u</w:t>
      </w:r>
      <w:r w:rsidR="008C36C6" w:rsidRPr="005E5CD6">
        <w:rPr>
          <w:rFonts w:ascii="Times New Roman" w:hAnsi="Times New Roman" w:cs="Times New Roman"/>
        </w:rPr>
        <w:t>niversity-industry collaboration with work integrated learning however, implementing AI governance</w:t>
      </w:r>
      <w:r w:rsidR="00ED1601" w:rsidRPr="005E5CD6">
        <w:rPr>
          <w:rFonts w:ascii="Times New Roman" w:hAnsi="Times New Roman" w:cs="Times New Roman"/>
        </w:rPr>
        <w:t xml:space="preserve"> and ethical AI education</w:t>
      </w:r>
      <w:r w:rsidR="008C36C6" w:rsidRPr="005E5CD6">
        <w:rPr>
          <w:rFonts w:ascii="Times New Roman" w:hAnsi="Times New Roman" w:cs="Times New Roman"/>
        </w:rPr>
        <w:t xml:space="preserve">, integrating learning analytics or AI predictive analytics, and establishing AI research centers or </w:t>
      </w:r>
      <w:r w:rsidR="005756BA" w:rsidRPr="005E5CD6">
        <w:rPr>
          <w:rFonts w:ascii="Times New Roman" w:hAnsi="Times New Roman" w:cs="Times New Roman"/>
        </w:rPr>
        <w:t>i</w:t>
      </w:r>
      <w:r w:rsidR="008C36C6" w:rsidRPr="005E5CD6">
        <w:rPr>
          <w:rFonts w:ascii="Times New Roman" w:hAnsi="Times New Roman" w:cs="Times New Roman"/>
        </w:rPr>
        <w:t xml:space="preserve">nnovation hubs are considered least evident or still in the emerging stage.  </w:t>
      </w:r>
      <w:r w:rsidRPr="005E5CD6">
        <w:rPr>
          <w:rFonts w:ascii="Times New Roman" w:hAnsi="Times New Roman" w:cs="Times New Roman"/>
        </w:rPr>
        <w:t xml:space="preserve">The review further identified AI literacy, digital competence, critical thinking, </w:t>
      </w:r>
      <w:r w:rsidR="008C36C6" w:rsidRPr="005E5CD6">
        <w:rPr>
          <w:rFonts w:ascii="Times New Roman" w:hAnsi="Times New Roman" w:cs="Times New Roman"/>
        </w:rPr>
        <w:t xml:space="preserve">and </w:t>
      </w:r>
      <w:r w:rsidRPr="005E5CD6">
        <w:rPr>
          <w:rFonts w:ascii="Times New Roman" w:hAnsi="Times New Roman" w:cs="Times New Roman"/>
        </w:rPr>
        <w:t>problem-solving</w:t>
      </w:r>
      <w:r w:rsidR="008C36C6" w:rsidRPr="005E5CD6">
        <w:rPr>
          <w:rFonts w:ascii="Times New Roman" w:hAnsi="Times New Roman" w:cs="Times New Roman"/>
        </w:rPr>
        <w:t xml:space="preserve"> </w:t>
      </w:r>
      <w:r w:rsidRPr="005E5CD6">
        <w:rPr>
          <w:rFonts w:ascii="Times New Roman" w:hAnsi="Times New Roman" w:cs="Times New Roman"/>
        </w:rPr>
        <w:t xml:space="preserve">as the most frequently reported employability competencies required for graduates </w:t>
      </w:r>
      <w:r w:rsidR="008C36C6" w:rsidRPr="005E5CD6">
        <w:rPr>
          <w:rFonts w:ascii="Times New Roman" w:hAnsi="Times New Roman" w:cs="Times New Roman"/>
        </w:rPr>
        <w:t xml:space="preserve">including other soft skills like communication, collaboration, adaptability, creativity, ethical reasoning, leadership, and lifelong learning </w:t>
      </w:r>
      <w:r w:rsidRPr="005E5CD6">
        <w:rPr>
          <w:rFonts w:ascii="Times New Roman" w:hAnsi="Times New Roman" w:cs="Times New Roman"/>
        </w:rPr>
        <w:t xml:space="preserve">to thrive in AI-enabled workplaces. This review contributes </w:t>
      </w:r>
      <w:r w:rsidR="004B03FA" w:rsidRPr="005E5CD6">
        <w:rPr>
          <w:rFonts w:ascii="Times New Roman" w:hAnsi="Times New Roman" w:cs="Times New Roman"/>
        </w:rPr>
        <w:t xml:space="preserve">to design future-ready curricula and integrate AI-driven institutional policies in support to the human capital development and resource generation strategies for comprehensive delivery of quality instruction for achieving the AI-related employability competencies. </w:t>
      </w:r>
    </w:p>
    <w:p w14:paraId="7EE228F3" w14:textId="1356E6F0" w:rsidR="00A01093" w:rsidRPr="005E5CD6" w:rsidRDefault="00A01093" w:rsidP="005E5CD6">
      <w:pPr>
        <w:spacing w:before="240" w:after="240" w:line="240" w:lineRule="auto"/>
        <w:rPr>
          <w:rFonts w:ascii="Times New Roman" w:hAnsi="Times New Roman" w:cs="Times New Roman"/>
        </w:rPr>
      </w:pPr>
      <w:r w:rsidRPr="005E5CD6">
        <w:rPr>
          <w:rFonts w:ascii="Times New Roman" w:hAnsi="Times New Roman" w:cs="Times New Roman"/>
          <w:b/>
          <w:bCs/>
        </w:rPr>
        <w:t>Keywords:</w:t>
      </w:r>
      <w:r w:rsidRPr="005E5CD6">
        <w:rPr>
          <w:rFonts w:ascii="Times New Roman" w:hAnsi="Times New Roman" w:cs="Times New Roman"/>
        </w:rPr>
        <w:t xml:space="preserve"> </w:t>
      </w:r>
      <w:r w:rsidRPr="005E5CD6">
        <w:rPr>
          <w:rFonts w:ascii="Times New Roman" w:hAnsi="Times New Roman" w:cs="Times New Roman"/>
          <w:i/>
          <w:iCs/>
        </w:rPr>
        <w:t xml:space="preserve">AI literacy, AI-supported learning, digital competence, </w:t>
      </w:r>
      <w:r w:rsidR="00654156">
        <w:rPr>
          <w:rFonts w:ascii="Times New Roman" w:hAnsi="Times New Roman" w:cs="Times New Roman"/>
          <w:i/>
          <w:iCs/>
        </w:rPr>
        <w:t xml:space="preserve">educational management, </w:t>
      </w:r>
      <w:r w:rsidRPr="005E5CD6">
        <w:rPr>
          <w:rFonts w:ascii="Times New Roman" w:hAnsi="Times New Roman" w:cs="Times New Roman"/>
          <w:i/>
          <w:iCs/>
        </w:rPr>
        <w:t>ethical A</w:t>
      </w:r>
      <w:r w:rsidR="00156E68" w:rsidRPr="005E5CD6">
        <w:rPr>
          <w:rFonts w:ascii="Times New Roman" w:hAnsi="Times New Roman" w:cs="Times New Roman"/>
          <w:i/>
          <w:iCs/>
        </w:rPr>
        <w:t>I</w:t>
      </w:r>
      <w:r w:rsidRPr="005E5CD6">
        <w:rPr>
          <w:rFonts w:ascii="Times New Roman" w:hAnsi="Times New Roman" w:cs="Times New Roman"/>
          <w:i/>
          <w:iCs/>
        </w:rPr>
        <w:t xml:space="preserve"> </w:t>
      </w:r>
      <w:r w:rsidR="005756BA" w:rsidRPr="005E5CD6">
        <w:rPr>
          <w:rFonts w:ascii="Times New Roman" w:hAnsi="Times New Roman" w:cs="Times New Roman"/>
          <w:i/>
          <w:iCs/>
        </w:rPr>
        <w:t>education</w:t>
      </w:r>
      <w:r w:rsidR="005F511E">
        <w:rPr>
          <w:rFonts w:ascii="Times New Roman" w:hAnsi="Times New Roman" w:cs="Times New Roman"/>
          <w:i/>
          <w:iCs/>
        </w:rPr>
        <w:t>, employability</w:t>
      </w:r>
    </w:p>
    <w:p w14:paraId="7209E3DA" w14:textId="7632EC01" w:rsidR="00A01093" w:rsidRPr="005E5CD6" w:rsidRDefault="00A01093" w:rsidP="005E5CD6">
      <w:pPr>
        <w:spacing w:before="240" w:after="240" w:line="240" w:lineRule="auto"/>
        <w:rPr>
          <w:rFonts w:ascii="Times New Roman" w:hAnsi="Times New Roman" w:cs="Times New Roman"/>
        </w:rPr>
      </w:pPr>
    </w:p>
    <w:p w14:paraId="7A9912AE" w14:textId="29928C8E" w:rsidR="000D73DB" w:rsidRPr="005F511E" w:rsidRDefault="00625033" w:rsidP="005E5CD6">
      <w:pPr>
        <w:spacing w:before="240" w:after="240" w:line="240" w:lineRule="auto"/>
        <w:rPr>
          <w:rFonts w:ascii="Times New Roman" w:hAnsi="Times New Roman" w:cs="Times New Roman"/>
          <w:b/>
          <w:bCs/>
          <w:sz w:val="28"/>
          <w:szCs w:val="28"/>
        </w:rPr>
      </w:pPr>
      <w:r w:rsidRPr="005F511E">
        <w:rPr>
          <w:rFonts w:ascii="Times New Roman" w:hAnsi="Times New Roman" w:cs="Times New Roman"/>
          <w:b/>
          <w:bCs/>
          <w:sz w:val="28"/>
          <w:szCs w:val="28"/>
        </w:rPr>
        <w:t xml:space="preserve">INTRODUCTION </w:t>
      </w:r>
    </w:p>
    <w:p w14:paraId="4459808A" w14:textId="24493CB3" w:rsidR="00D268FE" w:rsidRPr="005E5CD6" w:rsidRDefault="000D73DB"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Artificial Intelligence (AI) is fundamentally reshaping the nature of work by transforming occupational roles</w:t>
      </w:r>
      <w:r w:rsidR="00D268FE" w:rsidRPr="005E5CD6">
        <w:rPr>
          <w:rFonts w:ascii="Times New Roman" w:hAnsi="Times New Roman" w:cs="Times New Roman"/>
        </w:rPr>
        <w:t xml:space="preserve"> and </w:t>
      </w:r>
      <w:r w:rsidRPr="005E5CD6">
        <w:rPr>
          <w:rFonts w:ascii="Times New Roman" w:hAnsi="Times New Roman" w:cs="Times New Roman"/>
        </w:rPr>
        <w:t>redefining employer expectations</w:t>
      </w:r>
      <w:r w:rsidR="00D268FE" w:rsidRPr="005E5CD6">
        <w:rPr>
          <w:rFonts w:ascii="Times New Roman" w:hAnsi="Times New Roman" w:cs="Times New Roman"/>
        </w:rPr>
        <w:t xml:space="preserve"> towards </w:t>
      </w:r>
      <w:r w:rsidRPr="005E5CD6">
        <w:rPr>
          <w:rFonts w:ascii="Times New Roman" w:hAnsi="Times New Roman" w:cs="Times New Roman"/>
        </w:rPr>
        <w:t>shifting the skills that determine graduate employability. Rather than simply automating jobs, AI increasingly augments human work</w:t>
      </w:r>
      <w:r w:rsidR="00D268FE" w:rsidRPr="005E5CD6">
        <w:rPr>
          <w:rFonts w:ascii="Times New Roman" w:hAnsi="Times New Roman" w:cs="Times New Roman"/>
        </w:rPr>
        <w:t xml:space="preserve"> which </w:t>
      </w:r>
      <w:r w:rsidRPr="005E5CD6">
        <w:rPr>
          <w:rFonts w:ascii="Times New Roman" w:hAnsi="Times New Roman" w:cs="Times New Roman"/>
        </w:rPr>
        <w:t>replac</w:t>
      </w:r>
      <w:r w:rsidR="00D268FE" w:rsidRPr="005E5CD6">
        <w:rPr>
          <w:rFonts w:ascii="Times New Roman" w:hAnsi="Times New Roman" w:cs="Times New Roman"/>
        </w:rPr>
        <w:t>es</w:t>
      </w:r>
      <w:r w:rsidRPr="005E5CD6">
        <w:rPr>
          <w:rFonts w:ascii="Times New Roman" w:hAnsi="Times New Roman" w:cs="Times New Roman"/>
        </w:rPr>
        <w:t xml:space="preserve"> routine and repetitive tasks while amplifying the value of uniquely human capabilities such as critical thinking, creativity, communication, collaboration, ethical judgment, and adaptability. </w:t>
      </w:r>
      <w:r w:rsidR="00200C20" w:rsidRPr="005E5CD6">
        <w:rPr>
          <w:rFonts w:ascii="Times New Roman" w:hAnsi="Times New Roman" w:cs="Times New Roman"/>
        </w:rPr>
        <w:t xml:space="preserve">This shift has increased the demand for graduates who can work efficiently with AI systems and interpret AI outputs, while also being able to keep their skills up to date in a fast-changing technology landscape (Adepoju &amp; Adepoju, 2025; O’Dea et al., 2025; Cheng et al., 2025). </w:t>
      </w:r>
      <w:r w:rsidRPr="005E5CD6">
        <w:rPr>
          <w:rFonts w:ascii="Times New Roman" w:hAnsi="Times New Roman" w:cs="Times New Roman"/>
        </w:rPr>
        <w:t>Across industries, employers are no longer satisfied with graduates who possess disciplinary knowledge alone; instead, they seek professionals who integrate AI literacy and digital fluency with transferable employability skills that support innovation</w:t>
      </w:r>
      <w:r w:rsidR="008C36C6" w:rsidRPr="005E5CD6">
        <w:rPr>
          <w:rFonts w:ascii="Times New Roman" w:hAnsi="Times New Roman" w:cs="Times New Roman"/>
        </w:rPr>
        <w:t xml:space="preserve"> </w:t>
      </w:r>
      <w:r w:rsidRPr="005E5CD6">
        <w:rPr>
          <w:rFonts w:ascii="Times New Roman" w:hAnsi="Times New Roman" w:cs="Times New Roman"/>
        </w:rPr>
        <w:t xml:space="preserve">and interdisciplinary problem-solving (Coetzee &amp; Goede, 2024; Kaushal &amp; Vaghela, 2023; </w:t>
      </w:r>
      <w:r w:rsidR="005756BA" w:rsidRPr="005E5CD6">
        <w:rPr>
          <w:rFonts w:ascii="Times New Roman" w:hAnsi="Times New Roman" w:cs="Times New Roman"/>
        </w:rPr>
        <w:t>L</w:t>
      </w:r>
      <w:r w:rsidR="007D1092" w:rsidRPr="005E5CD6">
        <w:rPr>
          <w:rFonts w:ascii="Times New Roman" w:hAnsi="Times New Roman" w:cs="Times New Roman"/>
        </w:rPr>
        <w:t>aguador et al., 2020</w:t>
      </w:r>
      <w:r w:rsidRPr="005E5CD6">
        <w:rPr>
          <w:rFonts w:ascii="Times New Roman" w:hAnsi="Times New Roman" w:cs="Times New Roman"/>
        </w:rPr>
        <w:t xml:space="preserve">). Recent evidence likewise suggests that AI is </w:t>
      </w:r>
      <w:r w:rsidR="007647A0" w:rsidRPr="005E5CD6">
        <w:rPr>
          <w:rFonts w:ascii="Times New Roman" w:hAnsi="Times New Roman" w:cs="Times New Roman"/>
        </w:rPr>
        <w:t xml:space="preserve">changing </w:t>
      </w:r>
      <w:r w:rsidR="00D268FE" w:rsidRPr="005E5CD6">
        <w:rPr>
          <w:rFonts w:ascii="Times New Roman" w:hAnsi="Times New Roman" w:cs="Times New Roman"/>
        </w:rPr>
        <w:t xml:space="preserve">but </w:t>
      </w:r>
      <w:r w:rsidRPr="005E5CD6">
        <w:rPr>
          <w:rFonts w:ascii="Times New Roman" w:hAnsi="Times New Roman" w:cs="Times New Roman"/>
        </w:rPr>
        <w:t xml:space="preserve">not </w:t>
      </w:r>
      <w:r w:rsidR="008C2565" w:rsidRPr="005E5CD6">
        <w:rPr>
          <w:rFonts w:ascii="Times New Roman" w:hAnsi="Times New Roman" w:cs="Times New Roman"/>
        </w:rPr>
        <w:t>re</w:t>
      </w:r>
      <w:r w:rsidR="007647A0" w:rsidRPr="005E5CD6">
        <w:rPr>
          <w:rFonts w:ascii="Times New Roman" w:hAnsi="Times New Roman" w:cs="Times New Roman"/>
        </w:rPr>
        <w:t xml:space="preserve">placing </w:t>
      </w:r>
      <w:r w:rsidRPr="005E5CD6">
        <w:rPr>
          <w:rFonts w:ascii="Times New Roman" w:hAnsi="Times New Roman" w:cs="Times New Roman"/>
        </w:rPr>
        <w:t>many professional roles</w:t>
      </w:r>
      <w:r w:rsidR="00D268FE" w:rsidRPr="005E5CD6">
        <w:rPr>
          <w:rFonts w:ascii="Times New Roman" w:hAnsi="Times New Roman" w:cs="Times New Roman"/>
        </w:rPr>
        <w:t xml:space="preserve"> and </w:t>
      </w:r>
      <w:r w:rsidRPr="005E5CD6">
        <w:rPr>
          <w:rFonts w:ascii="Times New Roman" w:hAnsi="Times New Roman" w:cs="Times New Roman"/>
        </w:rPr>
        <w:t xml:space="preserve">increasing the importance of human-centered competencies alongside technical expertise </w:t>
      </w:r>
      <w:r w:rsidR="00D268FE" w:rsidRPr="005E5CD6">
        <w:rPr>
          <w:rFonts w:ascii="Times New Roman" w:hAnsi="Times New Roman" w:cs="Times New Roman"/>
        </w:rPr>
        <w:t xml:space="preserve">while </w:t>
      </w:r>
      <w:r w:rsidRPr="005E5CD6">
        <w:rPr>
          <w:rFonts w:ascii="Times New Roman" w:hAnsi="Times New Roman" w:cs="Times New Roman"/>
        </w:rPr>
        <w:t>prompting educational institutions to rethink how they prepare students for emerging labor market demands</w:t>
      </w:r>
      <w:r w:rsidR="00D268FE" w:rsidRPr="005E5CD6">
        <w:rPr>
          <w:rFonts w:ascii="Times New Roman" w:hAnsi="Times New Roman" w:cs="Times New Roman"/>
        </w:rPr>
        <w:t>.</w:t>
      </w:r>
    </w:p>
    <w:p w14:paraId="2FDD10B2" w14:textId="0C30817E" w:rsidR="00742A60" w:rsidRPr="005E5CD6" w:rsidRDefault="008C2565"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Graduate employability has become a strategic concern for higher education, as universities are expected to prepare learners not only for their first job, but for sustained career success where technological adaptability and responsible human–AI collaboration have become indispensable for long-term professional relevance </w:t>
      </w:r>
      <w:r w:rsidRPr="005E5CD6">
        <w:rPr>
          <w:rFonts w:ascii="Times New Roman" w:hAnsi="Times New Roman" w:cs="Times New Roman"/>
        </w:rPr>
        <w:lastRenderedPageBreak/>
        <w:t xml:space="preserve">(Deckha et al., 2025; Grama &amp; Todericiu, 2025; Soproni, 2023). </w:t>
      </w:r>
      <w:r w:rsidR="008B1EBA" w:rsidRPr="005E5CD6">
        <w:rPr>
          <w:rFonts w:ascii="Times New Roman" w:hAnsi="Times New Roman" w:cs="Times New Roman"/>
        </w:rPr>
        <w:t>U</w:t>
      </w:r>
      <w:r w:rsidR="00D268FE" w:rsidRPr="005E5CD6">
        <w:rPr>
          <w:rFonts w:ascii="Times New Roman" w:hAnsi="Times New Roman" w:cs="Times New Roman"/>
        </w:rPr>
        <w:t xml:space="preserve">niversities </w:t>
      </w:r>
      <w:r w:rsidR="008B1EBA" w:rsidRPr="005E5CD6">
        <w:rPr>
          <w:rFonts w:ascii="Times New Roman" w:hAnsi="Times New Roman" w:cs="Times New Roman"/>
        </w:rPr>
        <w:t xml:space="preserve">are </w:t>
      </w:r>
      <w:r w:rsidR="00D268FE" w:rsidRPr="005E5CD6">
        <w:rPr>
          <w:rFonts w:ascii="Times New Roman" w:hAnsi="Times New Roman" w:cs="Times New Roman"/>
        </w:rPr>
        <w:t>mov</w:t>
      </w:r>
      <w:r w:rsidR="008B1EBA" w:rsidRPr="005E5CD6">
        <w:rPr>
          <w:rFonts w:ascii="Times New Roman" w:hAnsi="Times New Roman" w:cs="Times New Roman"/>
        </w:rPr>
        <w:t>ing</w:t>
      </w:r>
      <w:r w:rsidR="00D268FE" w:rsidRPr="005E5CD6">
        <w:rPr>
          <w:rFonts w:ascii="Times New Roman" w:hAnsi="Times New Roman" w:cs="Times New Roman"/>
        </w:rPr>
        <w:t xml:space="preserve"> beyond </w:t>
      </w:r>
      <w:r w:rsidR="008B1EBA" w:rsidRPr="005E5CD6">
        <w:rPr>
          <w:rFonts w:ascii="Times New Roman" w:hAnsi="Times New Roman" w:cs="Times New Roman"/>
        </w:rPr>
        <w:t xml:space="preserve">the </w:t>
      </w:r>
      <w:r w:rsidR="00D268FE" w:rsidRPr="005E5CD6">
        <w:rPr>
          <w:rFonts w:ascii="Times New Roman" w:hAnsi="Times New Roman" w:cs="Times New Roman"/>
        </w:rPr>
        <w:t>traditional content-based instruction toward competency-based education that integrates digital fluency</w:t>
      </w:r>
      <w:r w:rsidR="00742A60" w:rsidRPr="005E5CD6">
        <w:rPr>
          <w:rFonts w:ascii="Times New Roman" w:hAnsi="Times New Roman" w:cs="Times New Roman"/>
        </w:rPr>
        <w:t xml:space="preserve"> with </w:t>
      </w:r>
      <w:r w:rsidR="00D268FE" w:rsidRPr="005E5CD6">
        <w:rPr>
          <w:rFonts w:ascii="Times New Roman" w:hAnsi="Times New Roman" w:cs="Times New Roman"/>
        </w:rPr>
        <w:t>authentic workplace experiences throughout the curriculum (Ha, 2025; Cheng et al., 2025; O'Dea et al., 2025</w:t>
      </w:r>
      <w:r w:rsidR="007D1092" w:rsidRPr="005E5CD6">
        <w:rPr>
          <w:rFonts w:ascii="Times New Roman" w:hAnsi="Times New Roman" w:cs="Times New Roman"/>
        </w:rPr>
        <w:t>; Aguila et al., 2016; Chavez et al., 2016</w:t>
      </w:r>
      <w:r w:rsidR="00D268FE" w:rsidRPr="005E5CD6">
        <w:rPr>
          <w:rFonts w:ascii="Times New Roman" w:hAnsi="Times New Roman" w:cs="Times New Roman"/>
        </w:rPr>
        <w:t xml:space="preserve">). </w:t>
      </w:r>
    </w:p>
    <w:p w14:paraId="47876E41" w14:textId="5A7BF8AC" w:rsidR="00CE45AA" w:rsidRPr="005E5CD6" w:rsidRDefault="00CE45AA"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Preparing graduates for AI-enabled workplaces requires higher education institutions to embed interdisciplinary AI literacy, practical hands-on experience with relevant tools, ethical reasoning, data fluency, and adaptable problem-solving into curricula and co-curricular opportunities. This will enable the graduates to apply AI and digital competencies with intelligent technologies in addressing complex workplace challenges (Deckha et al., 2025; Coetzee &amp; Goede, 2024; Grama &amp; Todericiu, 2025). Universities create transferable competencies that are complementary and not competitive to Artificial Intelligence (Soproni, 2023; Bedoya-Guerrero et al., 2024). </w:t>
      </w:r>
      <w:r w:rsidR="008E19E4" w:rsidRPr="005E5CD6">
        <w:rPr>
          <w:rFonts w:ascii="Times New Roman" w:hAnsi="Times New Roman" w:cs="Times New Roman"/>
        </w:rPr>
        <w:t xml:space="preserve">The preparation of graduates who possess technical competence in AI technologies and the capacity to contribute to innovation and sustainable workforce development in an increasingly intelligent economy should be recognized as a fundamental role of higher education. </w:t>
      </w:r>
      <w:r w:rsidRPr="005E5CD6">
        <w:rPr>
          <w:rFonts w:ascii="Times New Roman" w:hAnsi="Times New Roman" w:cs="Times New Roman"/>
        </w:rPr>
        <w:t xml:space="preserve">In addition, the literature emphasizes that AI should be introduced as a pedagogical partner supported by institutional policies and ongoing curriculum renewal to meet the rapidly changing expectations of the labor market (Aditya et al., 2024; Shumeiko &amp; Osadcha, 2024; Ha, 2025). </w:t>
      </w:r>
    </w:p>
    <w:p w14:paraId="3E079ECF" w14:textId="637E2910" w:rsidR="00625033" w:rsidRPr="005E5CD6" w:rsidRDefault="00625033"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Despite the growing body of research on Artificial Intelligence</w:t>
      </w:r>
      <w:r w:rsidR="00AB50BC" w:rsidRPr="005E5CD6">
        <w:rPr>
          <w:rFonts w:ascii="Times New Roman" w:hAnsi="Times New Roman" w:cs="Times New Roman"/>
        </w:rPr>
        <w:t xml:space="preserve"> and </w:t>
      </w:r>
      <w:r w:rsidRPr="005E5CD6">
        <w:rPr>
          <w:rFonts w:ascii="Times New Roman" w:hAnsi="Times New Roman" w:cs="Times New Roman"/>
        </w:rPr>
        <w:t xml:space="preserve">graduate employability, the existing literature remains fragmented in its treatment of how higher education can effectively prepare graduates for AI-driven employment. Many studies have examined specific aspects of AI adoption in education, digital transformation, employability skills, employer expectations, or discipline-specific curriculum innovations, while others have focused on particular competencies </w:t>
      </w:r>
      <w:r w:rsidR="00AB50BC" w:rsidRPr="005E5CD6">
        <w:rPr>
          <w:rFonts w:ascii="Times New Roman" w:hAnsi="Times New Roman" w:cs="Times New Roman"/>
        </w:rPr>
        <w:t xml:space="preserve">in terms of </w:t>
      </w:r>
      <w:r w:rsidRPr="005E5CD6">
        <w:rPr>
          <w:rFonts w:ascii="Times New Roman" w:hAnsi="Times New Roman" w:cs="Times New Roman"/>
        </w:rPr>
        <w:t xml:space="preserve">AI literacy, digital skills, communication, emotional intelligence, or lifelong learning (Cheng et al., 2025; Adepoju &amp; Adepoju, 2025; Hidayat &amp; Amran, 2025). Similarly, numerous investigations have proposed educational interventions but these practices have rarely been synthesized </w:t>
      </w:r>
      <w:r w:rsidR="00707C4E" w:rsidRPr="005E5CD6">
        <w:rPr>
          <w:rFonts w:ascii="Times New Roman" w:hAnsi="Times New Roman" w:cs="Times New Roman"/>
        </w:rPr>
        <w:t xml:space="preserve">within the context of AI-driven teaching and learning processes </w:t>
      </w:r>
      <w:r w:rsidRPr="005E5CD6">
        <w:rPr>
          <w:rFonts w:ascii="Times New Roman" w:hAnsi="Times New Roman" w:cs="Times New Roman"/>
        </w:rPr>
        <w:t xml:space="preserve">to determine which approaches are consistently reported across diverse educational contexts (Deckha et al., 2025; Ha, 2025; Coetzee &amp; Goede, 2024) that contribute to the development of employability skills. Furthermore, although the literature identifies a wide range of employability competencies, there is limited consolidated evidence regarding the competencies that consistently emerge as essential for graduates to thrive in AI-enabled workplaces. </w:t>
      </w:r>
    </w:p>
    <w:p w14:paraId="7E7968C7" w14:textId="5FFB9F1F" w:rsidR="00625033" w:rsidRPr="005E5CD6" w:rsidRDefault="00AB50BC"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The absence of a comprehensive synthesis of existing evidence limits higher education institutions' capacity to make evidence-informed decisions regarding the development of AI-oriented curricula that effectively prepare graduates for an AI-driven workforce. </w:t>
      </w:r>
      <w:r w:rsidR="00625033" w:rsidRPr="005E5CD6">
        <w:rPr>
          <w:rFonts w:ascii="Times New Roman" w:hAnsi="Times New Roman" w:cs="Times New Roman"/>
        </w:rPr>
        <w:t>Therefore, this review addresses this gap by systematically synthesizing the literature to answer two questions</w:t>
      </w:r>
      <w:r w:rsidR="008B1EBA" w:rsidRPr="005E5CD6">
        <w:rPr>
          <w:rFonts w:ascii="Times New Roman" w:hAnsi="Times New Roman" w:cs="Times New Roman"/>
        </w:rPr>
        <w:t xml:space="preserve"> on w</w:t>
      </w:r>
      <w:r w:rsidR="00625033" w:rsidRPr="005E5CD6">
        <w:rPr>
          <w:rFonts w:ascii="Times New Roman" w:hAnsi="Times New Roman" w:cs="Times New Roman"/>
        </w:rPr>
        <w:t>hat higher education practices have been reported to prepare graduates for employability in an AI-driven workforce</w:t>
      </w:r>
      <w:r w:rsidR="008B1EBA" w:rsidRPr="005E5CD6">
        <w:rPr>
          <w:rFonts w:ascii="Times New Roman" w:hAnsi="Times New Roman" w:cs="Times New Roman"/>
        </w:rPr>
        <w:t xml:space="preserve"> and w</w:t>
      </w:r>
      <w:r w:rsidR="00625033" w:rsidRPr="005E5CD6">
        <w:rPr>
          <w:rFonts w:ascii="Times New Roman" w:hAnsi="Times New Roman" w:cs="Times New Roman"/>
        </w:rPr>
        <w:t>hat employability competencies are identified in the literature as essential for graduates to succeed in the AI workforce</w:t>
      </w:r>
      <w:r w:rsidR="008B1EBA" w:rsidRPr="005E5CD6">
        <w:rPr>
          <w:rFonts w:ascii="Times New Roman" w:hAnsi="Times New Roman" w:cs="Times New Roman"/>
        </w:rPr>
        <w:t xml:space="preserve">. </w:t>
      </w:r>
      <w:r w:rsidR="00625033" w:rsidRPr="005E5CD6">
        <w:rPr>
          <w:rFonts w:ascii="Times New Roman" w:hAnsi="Times New Roman" w:cs="Times New Roman"/>
        </w:rPr>
        <w:t>By integrating evidence across diverse studies, this review seeks to provide a comprehensive framework that can guide universities, educators, curriculum developers, and policymakers in designing future-oriented educational practices that enhance graduate employability in the age of Artificial Intelligence.</w:t>
      </w:r>
    </w:p>
    <w:p w14:paraId="192FF6B5" w14:textId="77777777" w:rsidR="004271A0" w:rsidRPr="005E5CD6" w:rsidRDefault="004271A0" w:rsidP="005E5CD6">
      <w:pPr>
        <w:spacing w:before="240" w:after="240" w:line="240" w:lineRule="auto"/>
        <w:ind w:firstLine="720"/>
        <w:rPr>
          <w:rFonts w:ascii="Times New Roman" w:hAnsi="Times New Roman" w:cs="Times New Roman"/>
        </w:rPr>
      </w:pPr>
    </w:p>
    <w:p w14:paraId="4F12DB4C" w14:textId="14076CEA" w:rsidR="00D268FE" w:rsidRPr="005F511E" w:rsidRDefault="004E1B6A" w:rsidP="005E5CD6">
      <w:pPr>
        <w:spacing w:before="240" w:after="240" w:line="240" w:lineRule="auto"/>
        <w:rPr>
          <w:rFonts w:ascii="Times New Roman" w:hAnsi="Times New Roman" w:cs="Times New Roman"/>
          <w:b/>
          <w:bCs/>
          <w:sz w:val="28"/>
          <w:szCs w:val="28"/>
        </w:rPr>
      </w:pPr>
      <w:r w:rsidRPr="005F511E">
        <w:rPr>
          <w:rFonts w:ascii="Times New Roman" w:hAnsi="Times New Roman" w:cs="Times New Roman"/>
          <w:b/>
          <w:bCs/>
          <w:sz w:val="28"/>
          <w:szCs w:val="28"/>
        </w:rPr>
        <w:t>METHODOLOGY</w:t>
      </w:r>
    </w:p>
    <w:p w14:paraId="55664116" w14:textId="77777777" w:rsidR="00CC5364" w:rsidRPr="005E5CD6" w:rsidRDefault="00CC5364" w:rsidP="005E5CD6">
      <w:pPr>
        <w:spacing w:before="240" w:after="240" w:line="240" w:lineRule="auto"/>
        <w:rPr>
          <w:rFonts w:ascii="Times New Roman" w:hAnsi="Times New Roman" w:cs="Times New Roman"/>
          <w:b/>
          <w:bCs/>
        </w:rPr>
      </w:pPr>
      <w:r w:rsidRPr="005E5CD6">
        <w:rPr>
          <w:rFonts w:ascii="Times New Roman" w:hAnsi="Times New Roman" w:cs="Times New Roman"/>
          <w:b/>
          <w:bCs/>
        </w:rPr>
        <w:t xml:space="preserve">Review design </w:t>
      </w:r>
    </w:p>
    <w:p w14:paraId="27F01B6C" w14:textId="115C99BF" w:rsidR="00666F50" w:rsidRPr="005E5CD6" w:rsidRDefault="00E429C1"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A systematic literature review (SLR) was employed because it provides a rigorous</w:t>
      </w:r>
      <w:r w:rsidR="008B1EBA" w:rsidRPr="005E5CD6">
        <w:rPr>
          <w:rFonts w:ascii="Times New Roman" w:hAnsi="Times New Roman" w:cs="Times New Roman"/>
        </w:rPr>
        <w:t xml:space="preserve"> </w:t>
      </w:r>
      <w:r w:rsidRPr="005E5CD6">
        <w:rPr>
          <w:rFonts w:ascii="Times New Roman" w:hAnsi="Times New Roman" w:cs="Times New Roman"/>
        </w:rPr>
        <w:t xml:space="preserve">and replicable approach for identifying, evaluating, and synthesizing evidence from existing studies to address a clearly defined research question. </w:t>
      </w:r>
      <w:r w:rsidR="00666F50" w:rsidRPr="005E5CD6">
        <w:rPr>
          <w:rFonts w:ascii="Times New Roman" w:hAnsi="Times New Roman" w:cs="Times New Roman"/>
        </w:rPr>
        <w:t>A systematic review is a reviewing research method that uses explicit, accountable, and reproducible procedures to identify, appraise, and synthesize available evidence to minimize bias (Gough</w:t>
      </w:r>
      <w:r w:rsidR="00A30345" w:rsidRPr="005E5CD6">
        <w:rPr>
          <w:rFonts w:ascii="Times New Roman" w:hAnsi="Times New Roman" w:cs="Times New Roman"/>
        </w:rPr>
        <w:t xml:space="preserve"> et al.</w:t>
      </w:r>
      <w:r w:rsidR="00666F50" w:rsidRPr="005E5CD6">
        <w:rPr>
          <w:rFonts w:ascii="Times New Roman" w:hAnsi="Times New Roman" w:cs="Times New Roman"/>
        </w:rPr>
        <w:t>, 20</w:t>
      </w:r>
      <w:r w:rsidR="00A30345" w:rsidRPr="005E5CD6">
        <w:rPr>
          <w:rFonts w:ascii="Times New Roman" w:hAnsi="Times New Roman" w:cs="Times New Roman"/>
        </w:rPr>
        <w:t>12</w:t>
      </w:r>
      <w:r w:rsidR="00666F50" w:rsidRPr="005E5CD6">
        <w:rPr>
          <w:rFonts w:ascii="Times New Roman" w:hAnsi="Times New Roman" w:cs="Times New Roman"/>
        </w:rPr>
        <w:t xml:space="preserve">). </w:t>
      </w:r>
      <w:r w:rsidR="00C868F4" w:rsidRPr="005E5CD6">
        <w:rPr>
          <w:rFonts w:ascii="Times New Roman" w:hAnsi="Times New Roman" w:cs="Times New Roman"/>
        </w:rPr>
        <w:t xml:space="preserve">This review design is appropriate for the present study because it provides robust evidence for identifying the emerging institutional practices and essential employability competencies, as well as research gaps that will serve as a strategic foundation for advancing AI-responsive higher education institutions. </w:t>
      </w:r>
    </w:p>
    <w:p w14:paraId="5F8EF9E5" w14:textId="77777777" w:rsidR="00CC5364" w:rsidRPr="005E5CD6" w:rsidRDefault="00CC5364" w:rsidP="005E5CD6">
      <w:pPr>
        <w:spacing w:before="240" w:after="240" w:line="240" w:lineRule="auto"/>
        <w:rPr>
          <w:rFonts w:ascii="Times New Roman" w:hAnsi="Times New Roman" w:cs="Times New Roman"/>
          <w:b/>
          <w:bCs/>
        </w:rPr>
      </w:pPr>
      <w:r w:rsidRPr="005E5CD6">
        <w:rPr>
          <w:rFonts w:ascii="Times New Roman" w:hAnsi="Times New Roman" w:cs="Times New Roman"/>
          <w:b/>
          <w:bCs/>
        </w:rPr>
        <w:lastRenderedPageBreak/>
        <w:t xml:space="preserve">Search strategy </w:t>
      </w:r>
    </w:p>
    <w:p w14:paraId="62455FE7" w14:textId="086713F4" w:rsidR="00DB2E39" w:rsidRPr="005E5CD6" w:rsidRDefault="00297EF9"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The researcher systematically searched Scopus, Web of Science, Google Scholar, ScienceDirect, and other relevant research repositories because these databases provide broad coverage of peer-reviewed literature in employability studies, Artificial Intelligence, educational practices, and higher education. </w:t>
      </w:r>
      <w:r w:rsidR="00DB2E39" w:rsidRPr="005E5CD6">
        <w:rPr>
          <w:rFonts w:ascii="Times New Roman" w:hAnsi="Times New Roman" w:cs="Times New Roman"/>
        </w:rPr>
        <w:t>The search strategy combined Boolean operators and keywords such as ("higher education" OR university OR college* OR "tertiary education") AND ("artificial intelligence" OR AI OR "generative AI" OR GenAI) AND (curriculum AND pedagogy AND "teaching strategies" OR "instructional practices" AND "curriculum innovation" OR "work-integrated learning" AND internship* AND practicum OR "industry collaboration" OR "experiential learning") AND (employability OR "graduate employability" OR "workforce readiness" OR "career readiness")</w:t>
      </w:r>
    </w:p>
    <w:p w14:paraId="59AE8D4C" w14:textId="376BD8FF" w:rsidR="00CC5364" w:rsidRPr="005E5CD6" w:rsidRDefault="00CC5364" w:rsidP="005E5CD6">
      <w:pPr>
        <w:spacing w:before="240" w:after="240" w:line="240" w:lineRule="auto"/>
        <w:rPr>
          <w:rFonts w:ascii="Times New Roman" w:hAnsi="Times New Roman" w:cs="Times New Roman"/>
          <w:b/>
          <w:bCs/>
        </w:rPr>
      </w:pPr>
      <w:r w:rsidRPr="005E5CD6">
        <w:rPr>
          <w:rFonts w:ascii="Times New Roman" w:hAnsi="Times New Roman" w:cs="Times New Roman"/>
          <w:b/>
          <w:bCs/>
        </w:rPr>
        <w:t xml:space="preserve">Eligibility criteria </w:t>
      </w:r>
    </w:p>
    <w:p w14:paraId="51318359" w14:textId="68B119A6" w:rsidR="00DB2E39" w:rsidRPr="005E5CD6" w:rsidRDefault="00BF74C5"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E</w:t>
      </w:r>
      <w:r w:rsidR="00DB2E39" w:rsidRPr="005E5CD6">
        <w:rPr>
          <w:rFonts w:ascii="Times New Roman" w:hAnsi="Times New Roman" w:cs="Times New Roman"/>
        </w:rPr>
        <w:t xml:space="preserve">xplicit inclusion and exclusion criteria </w:t>
      </w:r>
      <w:r w:rsidRPr="005E5CD6">
        <w:rPr>
          <w:rFonts w:ascii="Times New Roman" w:hAnsi="Times New Roman" w:cs="Times New Roman"/>
        </w:rPr>
        <w:t xml:space="preserve">were utilized in the review </w:t>
      </w:r>
      <w:r w:rsidR="00DB2E39" w:rsidRPr="005E5CD6">
        <w:rPr>
          <w:rFonts w:ascii="Times New Roman" w:hAnsi="Times New Roman" w:cs="Times New Roman"/>
        </w:rPr>
        <w:t>as presented in Table 1 to ensure that only relevant</w:t>
      </w:r>
      <w:r w:rsidR="008B1EBA" w:rsidRPr="005E5CD6">
        <w:rPr>
          <w:rFonts w:ascii="Times New Roman" w:hAnsi="Times New Roman" w:cs="Times New Roman"/>
        </w:rPr>
        <w:t xml:space="preserve"> </w:t>
      </w:r>
      <w:r w:rsidR="00DB2E39" w:rsidRPr="005E5CD6">
        <w:rPr>
          <w:rFonts w:ascii="Times New Roman" w:hAnsi="Times New Roman" w:cs="Times New Roman"/>
        </w:rPr>
        <w:t xml:space="preserve">and </w:t>
      </w:r>
      <w:r w:rsidRPr="005E5CD6">
        <w:rPr>
          <w:rFonts w:ascii="Times New Roman" w:hAnsi="Times New Roman" w:cs="Times New Roman"/>
        </w:rPr>
        <w:t xml:space="preserve">up-to-date </w:t>
      </w:r>
      <w:r w:rsidR="00DB2E39" w:rsidRPr="005E5CD6">
        <w:rPr>
          <w:rFonts w:ascii="Times New Roman" w:hAnsi="Times New Roman" w:cs="Times New Roman"/>
        </w:rPr>
        <w:t xml:space="preserve">empirical evidence was included in the synthesis. </w:t>
      </w:r>
      <w:r w:rsidRPr="005E5CD6">
        <w:rPr>
          <w:rFonts w:ascii="Times New Roman" w:hAnsi="Times New Roman" w:cs="Times New Roman"/>
        </w:rPr>
        <w:t xml:space="preserve">Meanwhile only </w:t>
      </w:r>
      <w:r w:rsidR="00BF1D52" w:rsidRPr="005E5CD6">
        <w:rPr>
          <w:rFonts w:ascii="Times New Roman" w:hAnsi="Times New Roman" w:cs="Times New Roman"/>
        </w:rPr>
        <w:t xml:space="preserve">quantitative, qualitative, and mixed-method studies </w:t>
      </w:r>
      <w:r w:rsidRPr="005E5CD6">
        <w:rPr>
          <w:rFonts w:ascii="Times New Roman" w:hAnsi="Times New Roman" w:cs="Times New Roman"/>
        </w:rPr>
        <w:t>were considered since</w:t>
      </w:r>
      <w:r w:rsidR="00BF1D52" w:rsidRPr="005E5CD6">
        <w:rPr>
          <w:rFonts w:ascii="Times New Roman" w:hAnsi="Times New Roman" w:cs="Times New Roman"/>
        </w:rPr>
        <w:t xml:space="preserve"> these research designs provide empirical evidence that enhances understanding of how higher education prepares graduates for employability in an AI-driven workforce. </w:t>
      </w:r>
      <w:r w:rsidRPr="005E5CD6">
        <w:rPr>
          <w:rFonts w:ascii="Times New Roman" w:hAnsi="Times New Roman" w:cs="Times New Roman"/>
        </w:rPr>
        <w:t>However, the materials that might not provide primary empirical evidence and might cause interpretive bias which include opinion papers, editorials, literature reviews, and unpublished theses were excluded in the selection of articles.</w:t>
      </w:r>
    </w:p>
    <w:p w14:paraId="27679154" w14:textId="72850BDE" w:rsidR="007D1092" w:rsidRPr="005E5CD6" w:rsidRDefault="007D1092" w:rsidP="005E5CD6">
      <w:pPr>
        <w:spacing w:before="240" w:after="240" w:line="240" w:lineRule="auto"/>
        <w:rPr>
          <w:rFonts w:ascii="Times New Roman" w:hAnsi="Times New Roman" w:cs="Times New Roman"/>
          <w:b/>
          <w:bCs/>
        </w:rPr>
      </w:pPr>
      <w:r w:rsidRPr="005E5CD6">
        <w:rPr>
          <w:rFonts w:ascii="Times New Roman" w:hAnsi="Times New Roman" w:cs="Times New Roman"/>
          <w:b/>
          <w:bCs/>
        </w:rPr>
        <w:t>Table 1</w:t>
      </w:r>
      <w:r w:rsidR="00DB2E39" w:rsidRPr="005E5CD6">
        <w:rPr>
          <w:rFonts w:ascii="Times New Roman" w:hAnsi="Times New Roman" w:cs="Times New Roman"/>
          <w:b/>
          <w:bCs/>
        </w:rPr>
        <w:t xml:space="preserve">. </w:t>
      </w:r>
      <w:r w:rsidRPr="005F511E">
        <w:rPr>
          <w:rFonts w:ascii="Times New Roman" w:hAnsi="Times New Roman" w:cs="Times New Roman"/>
        </w:rPr>
        <w:t>Inclusion and Exclusion Criteria</w:t>
      </w:r>
    </w:p>
    <w:tbl>
      <w:tblPr>
        <w:tblStyle w:val="TableGrid"/>
        <w:tblW w:w="108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4182"/>
        <w:gridCol w:w="5009"/>
      </w:tblGrid>
      <w:tr w:rsidR="007D1092" w:rsidRPr="005E5CD6" w14:paraId="1907884C" w14:textId="77777777" w:rsidTr="005F511E">
        <w:trPr>
          <w:trHeight w:val="268"/>
        </w:trPr>
        <w:tc>
          <w:tcPr>
            <w:tcW w:w="1610" w:type="dxa"/>
            <w:tcBorders>
              <w:top w:val="single" w:sz="4" w:space="0" w:color="auto"/>
              <w:bottom w:val="single" w:sz="4" w:space="0" w:color="auto"/>
            </w:tcBorders>
            <w:vAlign w:val="center"/>
          </w:tcPr>
          <w:p w14:paraId="4B3EFA96" w14:textId="77777777" w:rsidR="007D1092" w:rsidRPr="005E5CD6" w:rsidRDefault="007D1092" w:rsidP="005F511E">
            <w:pPr>
              <w:rPr>
                <w:rFonts w:ascii="Times New Roman" w:hAnsi="Times New Roman" w:cs="Times New Roman"/>
                <w:b/>
                <w:bCs/>
                <w:kern w:val="0"/>
                <w14:ligatures w14:val="none"/>
              </w:rPr>
            </w:pPr>
            <w:r w:rsidRPr="005E5CD6">
              <w:rPr>
                <w:rFonts w:ascii="Times New Roman" w:hAnsi="Times New Roman" w:cs="Times New Roman"/>
                <w:b/>
                <w:bCs/>
                <w:kern w:val="0"/>
                <w14:ligatures w14:val="none"/>
              </w:rPr>
              <w:t>Category</w:t>
            </w:r>
          </w:p>
        </w:tc>
        <w:tc>
          <w:tcPr>
            <w:tcW w:w="4182" w:type="dxa"/>
            <w:tcBorders>
              <w:top w:val="single" w:sz="4" w:space="0" w:color="auto"/>
              <w:bottom w:val="single" w:sz="4" w:space="0" w:color="auto"/>
            </w:tcBorders>
            <w:vAlign w:val="center"/>
          </w:tcPr>
          <w:p w14:paraId="4A2039BD" w14:textId="77777777" w:rsidR="007D1092" w:rsidRPr="005E5CD6" w:rsidRDefault="007D1092" w:rsidP="005F511E">
            <w:pPr>
              <w:rPr>
                <w:rFonts w:ascii="Times New Roman" w:hAnsi="Times New Roman" w:cs="Times New Roman"/>
                <w:b/>
                <w:bCs/>
                <w:kern w:val="0"/>
                <w14:ligatures w14:val="none"/>
              </w:rPr>
            </w:pPr>
            <w:r w:rsidRPr="005E5CD6">
              <w:rPr>
                <w:rFonts w:ascii="Times New Roman" w:hAnsi="Times New Roman" w:cs="Times New Roman"/>
                <w:b/>
                <w:bCs/>
                <w:kern w:val="0"/>
                <w14:ligatures w14:val="none"/>
              </w:rPr>
              <w:t>Inclusion Criteria</w:t>
            </w:r>
          </w:p>
        </w:tc>
        <w:tc>
          <w:tcPr>
            <w:tcW w:w="5009" w:type="dxa"/>
            <w:tcBorders>
              <w:top w:val="single" w:sz="4" w:space="0" w:color="auto"/>
              <w:bottom w:val="single" w:sz="4" w:space="0" w:color="auto"/>
            </w:tcBorders>
            <w:vAlign w:val="center"/>
          </w:tcPr>
          <w:p w14:paraId="5153DB0E" w14:textId="77777777" w:rsidR="007D1092" w:rsidRPr="005E5CD6" w:rsidRDefault="007D1092" w:rsidP="005F511E">
            <w:pPr>
              <w:rPr>
                <w:rFonts w:ascii="Times New Roman" w:hAnsi="Times New Roman" w:cs="Times New Roman"/>
                <w:b/>
                <w:bCs/>
                <w:kern w:val="0"/>
                <w14:ligatures w14:val="none"/>
              </w:rPr>
            </w:pPr>
            <w:r w:rsidRPr="005E5CD6">
              <w:rPr>
                <w:rFonts w:ascii="Times New Roman" w:hAnsi="Times New Roman" w:cs="Times New Roman"/>
                <w:b/>
                <w:bCs/>
                <w:kern w:val="0"/>
                <w14:ligatures w14:val="none"/>
              </w:rPr>
              <w:t>Exclusion Criteria</w:t>
            </w:r>
          </w:p>
        </w:tc>
      </w:tr>
      <w:tr w:rsidR="007D1092" w:rsidRPr="005E5CD6" w14:paraId="34433E8D" w14:textId="77777777" w:rsidTr="005F511E">
        <w:trPr>
          <w:trHeight w:val="546"/>
        </w:trPr>
        <w:tc>
          <w:tcPr>
            <w:tcW w:w="1610" w:type="dxa"/>
            <w:tcBorders>
              <w:top w:val="single" w:sz="4" w:space="0" w:color="auto"/>
            </w:tcBorders>
            <w:vAlign w:val="center"/>
          </w:tcPr>
          <w:p w14:paraId="510487C7"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Types of Research</w:t>
            </w:r>
          </w:p>
        </w:tc>
        <w:tc>
          <w:tcPr>
            <w:tcW w:w="4182" w:type="dxa"/>
            <w:tcBorders>
              <w:top w:val="single" w:sz="4" w:space="0" w:color="auto"/>
            </w:tcBorders>
            <w:vAlign w:val="center"/>
          </w:tcPr>
          <w:p w14:paraId="35D9B1AA"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 xml:space="preserve">Quantitative, qualitative, or mixed-method </w:t>
            </w:r>
          </w:p>
        </w:tc>
        <w:tc>
          <w:tcPr>
            <w:tcW w:w="5009" w:type="dxa"/>
            <w:tcBorders>
              <w:top w:val="single" w:sz="4" w:space="0" w:color="auto"/>
            </w:tcBorders>
            <w:vAlign w:val="center"/>
          </w:tcPr>
          <w:p w14:paraId="7B818E76"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Opinion papers, editorials, literature reviews, unpublished theses</w:t>
            </w:r>
          </w:p>
        </w:tc>
      </w:tr>
      <w:tr w:rsidR="007D1092" w:rsidRPr="005E5CD6" w14:paraId="76A0BF5D" w14:textId="77777777" w:rsidTr="005F511E">
        <w:trPr>
          <w:trHeight w:val="824"/>
        </w:trPr>
        <w:tc>
          <w:tcPr>
            <w:tcW w:w="1610" w:type="dxa"/>
            <w:vAlign w:val="center"/>
          </w:tcPr>
          <w:p w14:paraId="12C38077"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Focus</w:t>
            </w:r>
          </w:p>
        </w:tc>
        <w:tc>
          <w:tcPr>
            <w:tcW w:w="4182" w:type="dxa"/>
            <w:vAlign w:val="center"/>
          </w:tcPr>
          <w:p w14:paraId="71241584" w14:textId="74AA291E"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 xml:space="preserve">Studies examining employability skills of graduates, integration of AI in classroom instruction and institutional practices. </w:t>
            </w:r>
          </w:p>
        </w:tc>
        <w:tc>
          <w:tcPr>
            <w:tcW w:w="5009" w:type="dxa"/>
            <w:vAlign w:val="center"/>
          </w:tcPr>
          <w:p w14:paraId="105A6350" w14:textId="1929489B"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 xml:space="preserve">Studies focusing </w:t>
            </w:r>
            <w:r w:rsidR="00DB2E39" w:rsidRPr="005E5CD6">
              <w:rPr>
                <w:rFonts w:ascii="Times New Roman" w:hAnsi="Times New Roman" w:cs="Times New Roman"/>
                <w:kern w:val="0"/>
                <w14:ligatures w14:val="none"/>
              </w:rPr>
              <w:t xml:space="preserve">purely on the delivery of instruction without component of AI and skills development </w:t>
            </w:r>
          </w:p>
        </w:tc>
      </w:tr>
      <w:tr w:rsidR="007D1092" w:rsidRPr="005E5CD6" w14:paraId="0EFDA8A2" w14:textId="77777777" w:rsidTr="005F511E">
        <w:trPr>
          <w:trHeight w:val="268"/>
        </w:trPr>
        <w:tc>
          <w:tcPr>
            <w:tcW w:w="1610" w:type="dxa"/>
            <w:vAlign w:val="center"/>
          </w:tcPr>
          <w:p w14:paraId="1D80123E"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Language</w:t>
            </w:r>
          </w:p>
        </w:tc>
        <w:tc>
          <w:tcPr>
            <w:tcW w:w="4182" w:type="dxa"/>
            <w:vAlign w:val="center"/>
          </w:tcPr>
          <w:p w14:paraId="55489064"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Published in English</w:t>
            </w:r>
          </w:p>
        </w:tc>
        <w:tc>
          <w:tcPr>
            <w:tcW w:w="5009" w:type="dxa"/>
            <w:vAlign w:val="center"/>
          </w:tcPr>
          <w:p w14:paraId="5BD82B30"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Published in languages other than English</w:t>
            </w:r>
          </w:p>
        </w:tc>
      </w:tr>
      <w:tr w:rsidR="007D1092" w:rsidRPr="005E5CD6" w14:paraId="6F7C618B" w14:textId="77777777" w:rsidTr="005F511E">
        <w:trPr>
          <w:trHeight w:val="277"/>
        </w:trPr>
        <w:tc>
          <w:tcPr>
            <w:tcW w:w="1610" w:type="dxa"/>
            <w:vAlign w:val="center"/>
          </w:tcPr>
          <w:p w14:paraId="343AFA50"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Article Type</w:t>
            </w:r>
          </w:p>
        </w:tc>
        <w:tc>
          <w:tcPr>
            <w:tcW w:w="4182" w:type="dxa"/>
            <w:vAlign w:val="center"/>
          </w:tcPr>
          <w:p w14:paraId="55A19006"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Research Article with full text available</w:t>
            </w:r>
          </w:p>
        </w:tc>
        <w:tc>
          <w:tcPr>
            <w:tcW w:w="5009" w:type="dxa"/>
            <w:vAlign w:val="center"/>
          </w:tcPr>
          <w:p w14:paraId="321F2287" w14:textId="3547D4D8"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 xml:space="preserve">Books, conference proceedings, dissertation and theses </w:t>
            </w:r>
          </w:p>
        </w:tc>
      </w:tr>
      <w:tr w:rsidR="007D1092" w:rsidRPr="005E5CD6" w14:paraId="16F20387" w14:textId="77777777" w:rsidTr="005F511E">
        <w:trPr>
          <w:trHeight w:val="546"/>
        </w:trPr>
        <w:tc>
          <w:tcPr>
            <w:tcW w:w="1610" w:type="dxa"/>
            <w:vAlign w:val="center"/>
          </w:tcPr>
          <w:p w14:paraId="11B6FCCC" w14:textId="7777777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Year of Publication</w:t>
            </w:r>
          </w:p>
        </w:tc>
        <w:tc>
          <w:tcPr>
            <w:tcW w:w="4182" w:type="dxa"/>
            <w:vAlign w:val="center"/>
          </w:tcPr>
          <w:p w14:paraId="340CD5C8" w14:textId="7FB293C7"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2023–2025</w:t>
            </w:r>
          </w:p>
        </w:tc>
        <w:tc>
          <w:tcPr>
            <w:tcW w:w="5009" w:type="dxa"/>
            <w:vAlign w:val="center"/>
          </w:tcPr>
          <w:p w14:paraId="6B7231EB" w14:textId="67A174F8" w:rsidR="007D1092" w:rsidRPr="005E5CD6" w:rsidRDefault="007D109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Published 2022 and older</w:t>
            </w:r>
          </w:p>
        </w:tc>
      </w:tr>
    </w:tbl>
    <w:p w14:paraId="599425A5" w14:textId="7C563C0B" w:rsidR="00BE4BCA" w:rsidRPr="005E5CD6" w:rsidRDefault="00BE4BCA" w:rsidP="005E5CD6">
      <w:pPr>
        <w:spacing w:before="240" w:after="240" w:line="240" w:lineRule="auto"/>
        <w:ind w:firstLine="720"/>
        <w:jc w:val="both"/>
        <w:rPr>
          <w:rFonts w:ascii="Times New Roman" w:eastAsia="Times New Roman" w:hAnsi="Times New Roman" w:cs="Times New Roman"/>
          <w:color w:val="000000"/>
          <w:kern w:val="0"/>
          <w:lang w:eastAsia="en-PH"/>
          <w14:ligatures w14:val="none"/>
        </w:rPr>
      </w:pPr>
      <w:r w:rsidRPr="005E5CD6">
        <w:rPr>
          <w:rFonts w:ascii="Times New Roman" w:hAnsi="Times New Roman" w:cs="Times New Roman"/>
        </w:rPr>
        <w:t xml:space="preserve">These 30 studies came from 19 different countries as respondents of the reviewed empirical studies including Australia (1), </w:t>
      </w:r>
      <w:r w:rsidRPr="005E5CD6">
        <w:rPr>
          <w:rFonts w:ascii="Times New Roman" w:eastAsia="Times New Roman" w:hAnsi="Times New Roman" w:cs="Times New Roman"/>
          <w:color w:val="000000"/>
          <w:kern w:val="0"/>
          <w:lang w:eastAsia="en-PH"/>
          <w14:ligatures w14:val="none"/>
        </w:rPr>
        <w:t xml:space="preserve">Bangladesh (1), Bosnia and Herzegovina (1), China (2), Ghana (2), India (5), Malaysia (2), Myanmar (1), Nigeria (3), Palestine (1), Poland (1), Portugal (1), Saudi Arabia (1), South Africa (1), Spain (1), Taiwan (1), United Kingdom (4), Uzbekistan (1) and Vietnam (1). This signifies the diversity of contexts from different countries were considered in the study. </w:t>
      </w:r>
    </w:p>
    <w:p w14:paraId="29F34E51" w14:textId="2D4EC71F" w:rsidR="00DB2E39" w:rsidRPr="005E5CD6" w:rsidRDefault="00DB2E39"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Regarding the focus of the review, </w:t>
      </w:r>
      <w:r w:rsidR="00BF1D52" w:rsidRPr="005E5CD6">
        <w:rPr>
          <w:rFonts w:ascii="Times New Roman" w:hAnsi="Times New Roman" w:cs="Times New Roman"/>
        </w:rPr>
        <w:t xml:space="preserve">the researcher considered the article eligible for review if the studies </w:t>
      </w:r>
      <w:r w:rsidRPr="005E5CD6">
        <w:rPr>
          <w:rFonts w:ascii="Times New Roman" w:hAnsi="Times New Roman" w:cs="Times New Roman"/>
        </w:rPr>
        <w:t xml:space="preserve">examined graduates' employability skills, </w:t>
      </w:r>
      <w:r w:rsidR="00BF1D52" w:rsidRPr="005E5CD6">
        <w:rPr>
          <w:rFonts w:ascii="Times New Roman" w:hAnsi="Times New Roman" w:cs="Times New Roman"/>
        </w:rPr>
        <w:t xml:space="preserve">with </w:t>
      </w:r>
      <w:r w:rsidRPr="005E5CD6">
        <w:rPr>
          <w:rFonts w:ascii="Times New Roman" w:hAnsi="Times New Roman" w:cs="Times New Roman"/>
        </w:rPr>
        <w:t xml:space="preserve">integration of artificial intelligence in classroom instruction, and </w:t>
      </w:r>
      <w:r w:rsidR="00BF1D52" w:rsidRPr="005E5CD6">
        <w:rPr>
          <w:rFonts w:ascii="Times New Roman" w:hAnsi="Times New Roman" w:cs="Times New Roman"/>
        </w:rPr>
        <w:t xml:space="preserve">the </w:t>
      </w:r>
      <w:r w:rsidRPr="005E5CD6">
        <w:rPr>
          <w:rFonts w:ascii="Times New Roman" w:hAnsi="Times New Roman" w:cs="Times New Roman"/>
        </w:rPr>
        <w:t xml:space="preserve">institutional practices support graduate employability. Studies that concentrated solely on instructional delivery without addressing AI integration or employability skills development were excluded because they did not align with the objectives of the review. </w:t>
      </w:r>
      <w:r w:rsidR="00BF1D52" w:rsidRPr="005E5CD6">
        <w:rPr>
          <w:rFonts w:ascii="Times New Roman" w:hAnsi="Times New Roman" w:cs="Times New Roman"/>
        </w:rPr>
        <w:t>The technological and pedagogical dimensions of graduate preparation for the evolving labor market were directly addressed through the application of this criterion.</w:t>
      </w:r>
    </w:p>
    <w:p w14:paraId="12317153" w14:textId="5381CB90" w:rsidR="00D72CBC" w:rsidRPr="005E5CD6" w:rsidRDefault="00D72CBC"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To ensure consistency and enhance the reliability of the review, only full-text, peer-reviewed research articles published in English were included. Studies published in languages other than English were excluded to minimize potential translation bias and maintain consistency throughout the data extraction and synthesis processes. However, those materials which are generally subject to different publication, evaluation and peer-review standards like books, dissertations and theses and others that may not provide the same level of methodological rigor like conference proceedings were excluded in the review. </w:t>
      </w:r>
    </w:p>
    <w:p w14:paraId="4D7C19BA" w14:textId="198096D6" w:rsidR="00DB2E39" w:rsidRPr="005E5CD6" w:rsidRDefault="00DB2E39"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lastRenderedPageBreak/>
        <w:t xml:space="preserve">Finally, the review was limited to studies published between 2023 and 2025 to capture the most recent developments in artificial intelligence, higher education practices, and graduate employability. </w:t>
      </w:r>
      <w:r w:rsidR="003E40A9" w:rsidRPr="005E5CD6">
        <w:rPr>
          <w:rFonts w:ascii="Times New Roman" w:hAnsi="Times New Roman" w:cs="Times New Roman"/>
        </w:rPr>
        <w:t xml:space="preserve">The review covered studies published </w:t>
      </w:r>
      <w:r w:rsidR="007C55AE" w:rsidRPr="005E5CD6">
        <w:rPr>
          <w:rFonts w:ascii="Times New Roman" w:hAnsi="Times New Roman" w:cs="Times New Roman"/>
        </w:rPr>
        <w:t>within a three-year period</w:t>
      </w:r>
      <w:r w:rsidR="003E40A9" w:rsidRPr="005E5CD6">
        <w:rPr>
          <w:rFonts w:ascii="Times New Roman" w:hAnsi="Times New Roman" w:cs="Times New Roman"/>
        </w:rPr>
        <w:t>, with an increasing trend in publications comprising 4 studies (13.3%) in 2023, 7 studies (23.3%) in 2024, and 19 studies (63.3%) in 2025 which indicate a growing research interest in higher education practices and graduate employability in the context of an AI-driven workforce.</w:t>
      </w:r>
      <w:r w:rsidR="00446947" w:rsidRPr="005E5CD6">
        <w:rPr>
          <w:rFonts w:ascii="Times New Roman" w:hAnsi="Times New Roman" w:cs="Times New Roman"/>
        </w:rPr>
        <w:t xml:space="preserve"> </w:t>
      </w:r>
      <w:r w:rsidR="00787B89" w:rsidRPr="005E5CD6">
        <w:rPr>
          <w:rFonts w:ascii="Times New Roman" w:hAnsi="Times New Roman" w:cs="Times New Roman"/>
        </w:rPr>
        <w:t>Studies published in 2022 and earlier were excluded to ensure that the review reflected the most recent developments in generative AI and contemporary workforce expectations.</w:t>
      </w:r>
    </w:p>
    <w:p w14:paraId="54713F3B" w14:textId="77777777" w:rsidR="00DB2E39" w:rsidRPr="005E5CD6" w:rsidRDefault="00DB2E39" w:rsidP="005E5CD6">
      <w:pPr>
        <w:spacing w:before="240" w:after="240" w:line="240" w:lineRule="auto"/>
        <w:rPr>
          <w:rFonts w:ascii="Times New Roman" w:hAnsi="Times New Roman" w:cs="Times New Roman"/>
          <w:b/>
          <w:bCs/>
        </w:rPr>
      </w:pPr>
      <w:r w:rsidRPr="005E5CD6">
        <w:rPr>
          <w:rFonts w:ascii="Times New Roman" w:hAnsi="Times New Roman" w:cs="Times New Roman"/>
          <w:b/>
          <w:bCs/>
        </w:rPr>
        <w:t xml:space="preserve">Screening process </w:t>
      </w:r>
    </w:p>
    <w:p w14:paraId="7689B152" w14:textId="4962FAB2" w:rsidR="00F0068A" w:rsidRPr="005E5CD6" w:rsidRDefault="00F0068A"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Figure 1 shows the PRISMA 2020 flow diagram </w:t>
      </w:r>
      <w:r w:rsidR="00446947" w:rsidRPr="005E5CD6">
        <w:rPr>
          <w:rFonts w:ascii="Times New Roman" w:hAnsi="Times New Roman" w:cs="Times New Roman"/>
        </w:rPr>
        <w:t xml:space="preserve">which </w:t>
      </w:r>
      <w:r w:rsidRPr="005E5CD6">
        <w:rPr>
          <w:rFonts w:ascii="Times New Roman" w:hAnsi="Times New Roman" w:cs="Times New Roman"/>
        </w:rPr>
        <w:t>summariz</w:t>
      </w:r>
      <w:r w:rsidR="00446947" w:rsidRPr="005E5CD6">
        <w:rPr>
          <w:rFonts w:ascii="Times New Roman" w:hAnsi="Times New Roman" w:cs="Times New Roman"/>
        </w:rPr>
        <w:t>es</w:t>
      </w:r>
      <w:r w:rsidRPr="005E5CD6">
        <w:rPr>
          <w:rFonts w:ascii="Times New Roman" w:hAnsi="Times New Roman" w:cs="Times New Roman"/>
        </w:rPr>
        <w:t xml:space="preserve"> the systematic study selection process undertaken in this review</w:t>
      </w:r>
      <w:r w:rsidR="00A30345" w:rsidRPr="005E5CD6">
        <w:rPr>
          <w:rFonts w:ascii="Times New Roman" w:hAnsi="Times New Roman" w:cs="Times New Roman"/>
        </w:rPr>
        <w:t xml:space="preserve"> (Page et al., 2021)</w:t>
      </w:r>
      <w:r w:rsidRPr="005E5CD6">
        <w:rPr>
          <w:rFonts w:ascii="Times New Roman" w:hAnsi="Times New Roman" w:cs="Times New Roman"/>
        </w:rPr>
        <w:t>. The initial search of the selected databases identified 352 records. Out of these records, 136 duplicates were removed which leaves 216 unique records to be screened by title and abstract. After the application of the predetermined inclusion and exclusion criteria, 139 records were excluded and 77 full-text articles were retained for a comprehensive eligibility assessment.</w:t>
      </w:r>
    </w:p>
    <w:p w14:paraId="2BDEB983" w14:textId="31B2770D" w:rsidR="00C55082" w:rsidRPr="005E5CD6" w:rsidRDefault="00C55082"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During the eligibility stage, 47 full-text articles were excluded for specific reasons</w:t>
      </w:r>
      <w:r w:rsidR="00787B89" w:rsidRPr="005E5CD6">
        <w:rPr>
          <w:rFonts w:ascii="Times New Roman" w:hAnsi="Times New Roman" w:cs="Times New Roman"/>
        </w:rPr>
        <w:t xml:space="preserve"> which </w:t>
      </w:r>
      <w:r w:rsidRPr="005E5CD6">
        <w:rPr>
          <w:rFonts w:ascii="Times New Roman" w:hAnsi="Times New Roman" w:cs="Times New Roman"/>
        </w:rPr>
        <w:t xml:space="preserve">include studies with insufficient focus on employability skills (n = 9), studies that lacked classroom instruction-related components (n = 5), and non-empirical or incomplete reports (n = 3), while the remaining excluded articles did not meet other eligibility requirements established in the review protocol. </w:t>
      </w:r>
      <w:r w:rsidR="00787B89" w:rsidRPr="005E5CD6">
        <w:rPr>
          <w:rFonts w:ascii="Times New Roman" w:hAnsi="Times New Roman" w:cs="Times New Roman"/>
        </w:rPr>
        <w:t>The 30 empirical studies have met all inclusion criteria and were retained for the final synthesis after considering</w:t>
      </w:r>
      <w:r w:rsidRPr="005E5CD6">
        <w:rPr>
          <w:rFonts w:ascii="Times New Roman" w:hAnsi="Times New Roman" w:cs="Times New Roman"/>
        </w:rPr>
        <w:t xml:space="preserve"> th</w:t>
      </w:r>
      <w:r w:rsidR="00787B89" w:rsidRPr="005E5CD6">
        <w:rPr>
          <w:rFonts w:ascii="Times New Roman" w:hAnsi="Times New Roman" w:cs="Times New Roman"/>
        </w:rPr>
        <w:t>e</w:t>
      </w:r>
      <w:r w:rsidRPr="005E5CD6">
        <w:rPr>
          <w:rFonts w:ascii="Times New Roman" w:hAnsi="Times New Roman" w:cs="Times New Roman"/>
        </w:rPr>
        <w:t xml:space="preserve"> rigorous screening and eligibility assessment</w:t>
      </w:r>
      <w:r w:rsidR="00787B89" w:rsidRPr="005E5CD6">
        <w:rPr>
          <w:rFonts w:ascii="Times New Roman" w:hAnsi="Times New Roman" w:cs="Times New Roman"/>
        </w:rPr>
        <w:t xml:space="preserve">. </w:t>
      </w:r>
    </w:p>
    <w:p w14:paraId="5086AF47" w14:textId="1C74FFCB" w:rsidR="00DE3370" w:rsidRPr="005E5CD6" w:rsidRDefault="00DE3370"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PRISMA flow diagram demonstrates the transparency and methodological rigor of the systematic literature review by documenting each step of the study selection process</w:t>
      </w:r>
      <w:r w:rsidR="00446947" w:rsidRPr="005E5CD6">
        <w:rPr>
          <w:rFonts w:ascii="Times New Roman" w:hAnsi="Times New Roman" w:cs="Times New Roman"/>
        </w:rPr>
        <w:t xml:space="preserve"> and it </w:t>
      </w:r>
      <w:r w:rsidRPr="005E5CD6">
        <w:rPr>
          <w:rFonts w:ascii="Times New Roman" w:hAnsi="Times New Roman" w:cs="Times New Roman"/>
        </w:rPr>
        <w:t>enhances reproducibility of the review by providing a transparent audit trail of the flow of records from initial identification to final inclusion.</w:t>
      </w:r>
    </w:p>
    <w:p w14:paraId="648E866A" w14:textId="6243100F" w:rsidR="00576F7C" w:rsidRPr="005E5CD6" w:rsidRDefault="00576F7C" w:rsidP="005E5CD6">
      <w:pPr>
        <w:spacing w:before="240" w:after="240" w:line="240" w:lineRule="auto"/>
        <w:jc w:val="center"/>
        <w:rPr>
          <w:rFonts w:ascii="Times New Roman" w:hAnsi="Times New Roman" w:cs="Times New Roman"/>
          <w:b/>
          <w:bCs/>
        </w:rPr>
      </w:pPr>
      <w:r w:rsidRPr="005E5CD6">
        <w:rPr>
          <w:rFonts w:ascii="Times New Roman" w:hAnsi="Times New Roman" w:cs="Times New Roman"/>
          <w:b/>
          <w:bCs/>
          <w:noProof/>
        </w:rPr>
        <w:drawing>
          <wp:inline distT="0" distB="0" distL="0" distR="0" wp14:anchorId="6F91E518" wp14:editId="75BE7CB8">
            <wp:extent cx="3922797" cy="4320000"/>
            <wp:effectExtent l="0" t="0" r="1905" b="4445"/>
            <wp:docPr id="1892222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2797" cy="4320000"/>
                    </a:xfrm>
                    <a:prstGeom prst="rect">
                      <a:avLst/>
                    </a:prstGeom>
                    <a:noFill/>
                  </pic:spPr>
                </pic:pic>
              </a:graphicData>
            </a:graphic>
          </wp:inline>
        </w:drawing>
      </w:r>
    </w:p>
    <w:p w14:paraId="112EC580" w14:textId="77777777" w:rsidR="00C55082" w:rsidRPr="005E5CD6" w:rsidRDefault="00C55082" w:rsidP="005E5CD6">
      <w:pPr>
        <w:spacing w:before="240" w:after="240" w:line="240" w:lineRule="auto"/>
        <w:jc w:val="center"/>
        <w:rPr>
          <w:rFonts w:ascii="Times New Roman" w:hAnsi="Times New Roman" w:cs="Times New Roman"/>
        </w:rPr>
      </w:pPr>
      <w:r w:rsidRPr="005E5CD6">
        <w:rPr>
          <w:rFonts w:ascii="Times New Roman" w:hAnsi="Times New Roman" w:cs="Times New Roman"/>
          <w:b/>
          <w:bCs/>
        </w:rPr>
        <w:t>Figure 1. PRISMA 2020 Flow Diagram of the Literature Selection Process</w:t>
      </w:r>
    </w:p>
    <w:p w14:paraId="06C12F4A" w14:textId="77777777" w:rsidR="00654156" w:rsidRDefault="00654156" w:rsidP="005E5CD6">
      <w:pPr>
        <w:spacing w:before="240" w:after="240" w:line="240" w:lineRule="auto"/>
        <w:rPr>
          <w:rFonts w:ascii="Times New Roman" w:hAnsi="Times New Roman" w:cs="Times New Roman"/>
          <w:b/>
          <w:bCs/>
        </w:rPr>
      </w:pPr>
    </w:p>
    <w:p w14:paraId="23AA52E4" w14:textId="7780D696" w:rsidR="00C55082" w:rsidRPr="005E5CD6" w:rsidRDefault="00C55082" w:rsidP="005E5CD6">
      <w:pPr>
        <w:spacing w:before="240" w:after="240" w:line="240" w:lineRule="auto"/>
        <w:rPr>
          <w:rFonts w:ascii="Times New Roman" w:hAnsi="Times New Roman" w:cs="Times New Roman"/>
          <w:b/>
          <w:bCs/>
        </w:rPr>
      </w:pPr>
      <w:r w:rsidRPr="005E5CD6">
        <w:rPr>
          <w:rFonts w:ascii="Times New Roman" w:hAnsi="Times New Roman" w:cs="Times New Roman"/>
          <w:b/>
          <w:bCs/>
        </w:rPr>
        <w:lastRenderedPageBreak/>
        <w:t xml:space="preserve">Quality appraisal </w:t>
      </w:r>
    </w:p>
    <w:p w14:paraId="65759613" w14:textId="0FE7F2BA" w:rsidR="00C55082" w:rsidRPr="005E5CD6" w:rsidRDefault="004C39DA"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methodological quality of the included studies was critically appraised to ensure that the review findings were informed by relevant empirical evidence. Each study was evaluated using established quality appraisal criteria, including the clarity of the research objectives, appropriateness of the research design, adequacy of the sampling procedures, robustness of the data collection methods, analytical rigor, and the validity of the reported findings.</w:t>
      </w:r>
      <w:r w:rsidR="009F29E5" w:rsidRPr="005E5CD6">
        <w:rPr>
          <w:rFonts w:ascii="Times New Roman" w:hAnsi="Times New Roman" w:cs="Times New Roman"/>
        </w:rPr>
        <w:t xml:space="preserve"> </w:t>
      </w:r>
      <w:r w:rsidR="00C55082" w:rsidRPr="005E5CD6">
        <w:rPr>
          <w:rFonts w:ascii="Times New Roman" w:hAnsi="Times New Roman" w:cs="Times New Roman"/>
        </w:rPr>
        <w:t>This quality appraisal process strengthened the trustworthiness of the review by minimizing the influence of methodologically weak studies and ensuring that the synthesized evidence was based on high-quality empirical research.</w:t>
      </w:r>
    </w:p>
    <w:p w14:paraId="583AB8C9" w14:textId="77777777" w:rsidR="00C55082" w:rsidRPr="005E5CD6" w:rsidRDefault="00C55082" w:rsidP="005E5CD6">
      <w:pPr>
        <w:spacing w:before="240" w:after="240" w:line="240" w:lineRule="auto"/>
        <w:rPr>
          <w:rFonts w:ascii="Times New Roman" w:hAnsi="Times New Roman" w:cs="Times New Roman"/>
          <w:b/>
          <w:bCs/>
        </w:rPr>
      </w:pPr>
      <w:r w:rsidRPr="005E5CD6">
        <w:rPr>
          <w:rFonts w:ascii="Times New Roman" w:hAnsi="Times New Roman" w:cs="Times New Roman"/>
          <w:b/>
          <w:bCs/>
        </w:rPr>
        <w:t xml:space="preserve">Data extraction </w:t>
      </w:r>
    </w:p>
    <w:p w14:paraId="3ABCBFDF" w14:textId="6B4F4825" w:rsidR="00C55082" w:rsidRPr="005E5CD6" w:rsidRDefault="003E40A9"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Data extraction was conducted </w:t>
      </w:r>
      <w:r w:rsidR="009F29E5" w:rsidRPr="005E5CD6">
        <w:rPr>
          <w:rFonts w:ascii="Times New Roman" w:hAnsi="Times New Roman" w:cs="Times New Roman"/>
        </w:rPr>
        <w:t xml:space="preserve">by the researcher </w:t>
      </w:r>
      <w:r w:rsidRPr="005E5CD6">
        <w:rPr>
          <w:rFonts w:ascii="Times New Roman" w:hAnsi="Times New Roman" w:cs="Times New Roman"/>
        </w:rPr>
        <w:t>using a standardized matrix to ensure the consistent and systematic collection of relevant information from each included study</w:t>
      </w:r>
      <w:r w:rsidR="007C55AE" w:rsidRPr="005E5CD6">
        <w:rPr>
          <w:rFonts w:ascii="Times New Roman" w:hAnsi="Times New Roman" w:cs="Times New Roman"/>
        </w:rPr>
        <w:t xml:space="preserve"> as presented in Table 2</w:t>
      </w:r>
      <w:r w:rsidRPr="005E5CD6">
        <w:rPr>
          <w:rFonts w:ascii="Times New Roman" w:hAnsi="Times New Roman" w:cs="Times New Roman"/>
        </w:rPr>
        <w:t>. The extracted data included the author, title, country of origin, and research design to describe the characteristics of the studies, as well as the significant findings related to Artificial Intelligence, higher education practices for preparing graduates for employability in an AI-driven workforce, and the employability competencies essential for graduates to succeed in the AI workforce. This structured extraction process facilitated the synthesis</w:t>
      </w:r>
      <w:r w:rsidR="004C39DA" w:rsidRPr="005E5CD6">
        <w:rPr>
          <w:rFonts w:ascii="Times New Roman" w:hAnsi="Times New Roman" w:cs="Times New Roman"/>
        </w:rPr>
        <w:t xml:space="preserve"> </w:t>
      </w:r>
      <w:r w:rsidRPr="005E5CD6">
        <w:rPr>
          <w:rFonts w:ascii="Times New Roman" w:hAnsi="Times New Roman" w:cs="Times New Roman"/>
        </w:rPr>
        <w:t>and thematic analysis of evidence across the selected studies</w:t>
      </w:r>
      <w:r w:rsidR="004C39DA" w:rsidRPr="005E5CD6">
        <w:rPr>
          <w:rFonts w:ascii="Times New Roman" w:hAnsi="Times New Roman" w:cs="Times New Roman"/>
        </w:rPr>
        <w:t xml:space="preserve">. </w:t>
      </w:r>
    </w:p>
    <w:p w14:paraId="5B757437" w14:textId="5B880182" w:rsidR="00C55082" w:rsidRPr="005F511E" w:rsidRDefault="00C55082" w:rsidP="005E5CD6">
      <w:pPr>
        <w:spacing w:before="240" w:after="240" w:line="240" w:lineRule="auto"/>
        <w:jc w:val="both"/>
        <w:rPr>
          <w:rFonts w:ascii="Times New Roman" w:hAnsi="Times New Roman" w:cs="Times New Roman"/>
          <w:b/>
          <w:bCs/>
        </w:rPr>
      </w:pPr>
      <w:r w:rsidRPr="005F511E">
        <w:rPr>
          <w:rFonts w:ascii="Times New Roman" w:hAnsi="Times New Roman" w:cs="Times New Roman"/>
          <w:b/>
          <w:bCs/>
        </w:rPr>
        <w:t xml:space="preserve">Table </w:t>
      </w:r>
      <w:r w:rsidR="007C55AE" w:rsidRPr="005F511E">
        <w:rPr>
          <w:rFonts w:ascii="Times New Roman" w:hAnsi="Times New Roman" w:cs="Times New Roman"/>
          <w:b/>
          <w:bCs/>
        </w:rPr>
        <w:t>2</w:t>
      </w:r>
      <w:r w:rsidRPr="005F511E">
        <w:rPr>
          <w:rFonts w:ascii="Times New Roman" w:hAnsi="Times New Roman" w:cs="Times New Roman"/>
          <w:b/>
          <w:bCs/>
        </w:rPr>
        <w:t xml:space="preserve">. Example of Detailed Information </w:t>
      </w:r>
    </w:p>
    <w:tbl>
      <w:tblPr>
        <w:tblStyle w:val="TableGrid"/>
        <w:tblW w:w="10801" w:type="dxa"/>
        <w:tblBorders>
          <w:left w:val="none" w:sz="0" w:space="0" w:color="auto"/>
          <w:right w:val="none" w:sz="0" w:space="0" w:color="auto"/>
          <w:insideV w:val="none" w:sz="0" w:space="0" w:color="auto"/>
        </w:tblBorders>
        <w:tblLook w:val="04A0" w:firstRow="1" w:lastRow="0" w:firstColumn="1" w:lastColumn="0" w:noHBand="0" w:noVBand="1"/>
      </w:tblPr>
      <w:tblGrid>
        <w:gridCol w:w="3261"/>
        <w:gridCol w:w="7540"/>
      </w:tblGrid>
      <w:tr w:rsidR="00C55082" w:rsidRPr="005E5CD6" w14:paraId="68C05115" w14:textId="77777777" w:rsidTr="005F511E">
        <w:trPr>
          <w:trHeight w:val="272"/>
        </w:trPr>
        <w:tc>
          <w:tcPr>
            <w:tcW w:w="3261" w:type="dxa"/>
            <w:vAlign w:val="center"/>
          </w:tcPr>
          <w:p w14:paraId="43F83B98" w14:textId="77777777"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Author</w:t>
            </w:r>
          </w:p>
        </w:tc>
        <w:tc>
          <w:tcPr>
            <w:tcW w:w="7540" w:type="dxa"/>
            <w:vAlign w:val="center"/>
          </w:tcPr>
          <w:p w14:paraId="2513195A" w14:textId="6EAE5512"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color w:val="000000"/>
              </w:rPr>
              <w:t>Hrnjić, Pilav-Velić, Hadžiahmetović-Milišić, &amp; Dedović</w:t>
            </w:r>
          </w:p>
        </w:tc>
      </w:tr>
      <w:tr w:rsidR="00C55082" w:rsidRPr="005E5CD6" w14:paraId="37A2C5B3" w14:textId="77777777" w:rsidTr="005F511E">
        <w:trPr>
          <w:trHeight w:val="272"/>
        </w:trPr>
        <w:tc>
          <w:tcPr>
            <w:tcW w:w="3261" w:type="dxa"/>
            <w:vAlign w:val="center"/>
          </w:tcPr>
          <w:p w14:paraId="34F38618" w14:textId="77777777"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Title</w:t>
            </w:r>
          </w:p>
        </w:tc>
        <w:tc>
          <w:tcPr>
            <w:tcW w:w="7540" w:type="dxa"/>
            <w:vAlign w:val="center"/>
          </w:tcPr>
          <w:p w14:paraId="7D6C1D08" w14:textId="31027ED6"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color w:val="000000"/>
              </w:rPr>
              <w:t>2025</w:t>
            </w:r>
          </w:p>
        </w:tc>
      </w:tr>
      <w:tr w:rsidR="00C55082" w:rsidRPr="005E5CD6" w14:paraId="7ED34C23" w14:textId="77777777" w:rsidTr="005F511E">
        <w:trPr>
          <w:trHeight w:val="272"/>
        </w:trPr>
        <w:tc>
          <w:tcPr>
            <w:tcW w:w="3261" w:type="dxa"/>
            <w:vAlign w:val="center"/>
          </w:tcPr>
          <w:p w14:paraId="7A873F5D" w14:textId="77777777"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Country</w:t>
            </w:r>
          </w:p>
        </w:tc>
        <w:tc>
          <w:tcPr>
            <w:tcW w:w="7540" w:type="dxa"/>
            <w:vAlign w:val="center"/>
          </w:tcPr>
          <w:p w14:paraId="3196BCBC" w14:textId="47C8B5C7"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color w:val="000000"/>
              </w:rPr>
              <w:t>Bosnia and Herzegovina</w:t>
            </w:r>
          </w:p>
        </w:tc>
      </w:tr>
      <w:tr w:rsidR="00C55082" w:rsidRPr="005E5CD6" w14:paraId="377EDDCE" w14:textId="77777777" w:rsidTr="005F511E">
        <w:trPr>
          <w:trHeight w:val="272"/>
        </w:trPr>
        <w:tc>
          <w:tcPr>
            <w:tcW w:w="3261" w:type="dxa"/>
            <w:vAlign w:val="center"/>
          </w:tcPr>
          <w:p w14:paraId="0B1CE4BC" w14:textId="77777777"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kern w:val="0"/>
                <w14:ligatures w14:val="none"/>
              </w:rPr>
              <w:t>Research Design</w:t>
            </w:r>
          </w:p>
        </w:tc>
        <w:tc>
          <w:tcPr>
            <w:tcW w:w="7540" w:type="dxa"/>
            <w:vAlign w:val="center"/>
          </w:tcPr>
          <w:p w14:paraId="6E7FCA40" w14:textId="3CA0918C"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color w:val="000000"/>
              </w:rPr>
              <w:t>Explanatory sequential mixed-methods research design, 218 University of Sarajevo students who had experience using Generative AI (GenAI) tools</w:t>
            </w:r>
            <w:r w:rsidR="003E40A9" w:rsidRPr="005E5CD6">
              <w:rPr>
                <w:rFonts w:ascii="Times New Roman" w:hAnsi="Times New Roman" w:cs="Times New Roman"/>
                <w:color w:val="000000"/>
              </w:rPr>
              <w:t>.</w:t>
            </w:r>
            <w:r w:rsidRPr="005E5CD6">
              <w:rPr>
                <w:rFonts w:ascii="Times New Roman" w:hAnsi="Times New Roman" w:cs="Times New Roman"/>
                <w:color w:val="000000"/>
              </w:rPr>
              <w:t xml:space="preserve"> </w:t>
            </w:r>
          </w:p>
        </w:tc>
      </w:tr>
      <w:tr w:rsidR="00C55082" w:rsidRPr="005E5CD6" w14:paraId="44B3F3D4" w14:textId="77777777" w:rsidTr="005F511E">
        <w:trPr>
          <w:trHeight w:val="292"/>
        </w:trPr>
        <w:tc>
          <w:tcPr>
            <w:tcW w:w="3261" w:type="dxa"/>
            <w:vAlign w:val="center"/>
          </w:tcPr>
          <w:p w14:paraId="190FF8B0" w14:textId="73D0ACED"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rPr>
              <w:t>Significant Findings Related to Artificial Intelligence</w:t>
            </w:r>
          </w:p>
        </w:tc>
        <w:tc>
          <w:tcPr>
            <w:tcW w:w="7540" w:type="dxa"/>
            <w:vAlign w:val="center"/>
          </w:tcPr>
          <w:p w14:paraId="14C42B0B" w14:textId="458210E9" w:rsidR="00C55082" w:rsidRPr="005E5CD6" w:rsidRDefault="00C55082" w:rsidP="005F511E">
            <w:pPr>
              <w:rPr>
                <w:rFonts w:ascii="Times New Roman" w:hAnsi="Times New Roman" w:cs="Times New Roman"/>
              </w:rPr>
            </w:pPr>
            <w:r w:rsidRPr="005E5CD6">
              <w:rPr>
                <w:rFonts w:ascii="Times New Roman" w:hAnsi="Times New Roman" w:cs="Times New Roman"/>
                <w:color w:val="000000"/>
              </w:rPr>
              <w:t>The study found that Generative AI (GenAI) significantly enhances student employability when integrated with soft skills and digital competencies</w:t>
            </w:r>
            <w:r w:rsidR="00C57386" w:rsidRPr="005E5CD6">
              <w:rPr>
                <w:rFonts w:ascii="Times New Roman" w:hAnsi="Times New Roman" w:cs="Times New Roman"/>
                <w:color w:val="000000"/>
              </w:rPr>
              <w:t xml:space="preserve"> while p</w:t>
            </w:r>
            <w:r w:rsidR="00504861" w:rsidRPr="005E5CD6">
              <w:rPr>
                <w:rFonts w:ascii="Times New Roman" w:hAnsi="Times New Roman" w:cs="Times New Roman"/>
                <w:color w:val="000000"/>
              </w:rPr>
              <w:t>erceived usefulness, user satisfaction, and continued AI use are positively influenced by high-quality AI-generated content.</w:t>
            </w:r>
            <w:r w:rsidRPr="005E5CD6">
              <w:rPr>
                <w:rFonts w:ascii="Times New Roman" w:hAnsi="Times New Roman" w:cs="Times New Roman"/>
                <w:color w:val="000000"/>
              </w:rPr>
              <w:t xml:space="preserve"> However, autonomy </w:t>
            </w:r>
            <w:r w:rsidR="00C57386" w:rsidRPr="005E5CD6">
              <w:rPr>
                <w:rFonts w:ascii="Times New Roman" w:hAnsi="Times New Roman" w:cs="Times New Roman"/>
                <w:color w:val="000000"/>
              </w:rPr>
              <w:t xml:space="preserve">has </w:t>
            </w:r>
            <w:r w:rsidRPr="005E5CD6">
              <w:rPr>
                <w:rFonts w:ascii="Times New Roman" w:hAnsi="Times New Roman" w:cs="Times New Roman"/>
                <w:color w:val="000000"/>
              </w:rPr>
              <w:t>emerged as the critical mediator that transforms AI usage into improved academic performance</w:t>
            </w:r>
            <w:r w:rsidR="003E40A9" w:rsidRPr="005E5CD6">
              <w:rPr>
                <w:rFonts w:ascii="Times New Roman" w:hAnsi="Times New Roman" w:cs="Times New Roman"/>
                <w:color w:val="000000"/>
              </w:rPr>
              <w:t>…</w:t>
            </w:r>
          </w:p>
        </w:tc>
      </w:tr>
      <w:tr w:rsidR="00C55082" w:rsidRPr="005E5CD6" w14:paraId="730F3164" w14:textId="77777777" w:rsidTr="005F511E">
        <w:trPr>
          <w:trHeight w:val="292"/>
        </w:trPr>
        <w:tc>
          <w:tcPr>
            <w:tcW w:w="3261" w:type="dxa"/>
            <w:vAlign w:val="center"/>
          </w:tcPr>
          <w:p w14:paraId="469DD3A6" w14:textId="3E64FD5E"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rPr>
              <w:t>Higher Education Practices</w:t>
            </w:r>
          </w:p>
        </w:tc>
        <w:tc>
          <w:tcPr>
            <w:tcW w:w="7540" w:type="dxa"/>
            <w:vAlign w:val="center"/>
          </w:tcPr>
          <w:p w14:paraId="2FCD53A8" w14:textId="5D886836" w:rsidR="00C55082" w:rsidRPr="005E5CD6" w:rsidRDefault="00C55082" w:rsidP="005F511E">
            <w:pPr>
              <w:rPr>
                <w:rFonts w:ascii="Times New Roman" w:hAnsi="Times New Roman" w:cs="Times New Roman"/>
              </w:rPr>
            </w:pPr>
            <w:r w:rsidRPr="005E5CD6">
              <w:rPr>
                <w:rFonts w:ascii="Times New Roman" w:hAnsi="Times New Roman" w:cs="Times New Roman"/>
                <w:color w:val="000000"/>
              </w:rPr>
              <w:t>The study identifies numerous higher education practices that strengthen graduate employability</w:t>
            </w:r>
            <w:r w:rsidR="00504861" w:rsidRPr="005E5CD6">
              <w:rPr>
                <w:rFonts w:ascii="Times New Roman" w:hAnsi="Times New Roman" w:cs="Times New Roman"/>
                <w:color w:val="000000"/>
              </w:rPr>
              <w:t xml:space="preserve"> that </w:t>
            </w:r>
            <w:r w:rsidRPr="005E5CD6">
              <w:rPr>
                <w:rFonts w:ascii="Times New Roman" w:hAnsi="Times New Roman" w:cs="Times New Roman"/>
                <w:color w:val="000000"/>
              </w:rPr>
              <w:t>includ</w:t>
            </w:r>
            <w:r w:rsidR="00504861" w:rsidRPr="005E5CD6">
              <w:rPr>
                <w:rFonts w:ascii="Times New Roman" w:hAnsi="Times New Roman" w:cs="Times New Roman"/>
                <w:color w:val="000000"/>
              </w:rPr>
              <w:t>e</w:t>
            </w:r>
            <w:r w:rsidRPr="005E5CD6">
              <w:rPr>
                <w:rFonts w:ascii="Times New Roman" w:hAnsi="Times New Roman" w:cs="Times New Roman"/>
                <w:color w:val="000000"/>
              </w:rPr>
              <w:t xml:space="preserve"> integration of AI tools across curricula; AI literacy education; digital competency development; soft-skills integration; communication training; teamwork activities</w:t>
            </w:r>
            <w:r w:rsidR="003E40A9" w:rsidRPr="005E5CD6">
              <w:rPr>
                <w:rFonts w:ascii="Times New Roman" w:hAnsi="Times New Roman" w:cs="Times New Roman"/>
                <w:color w:val="000000"/>
              </w:rPr>
              <w:t>…</w:t>
            </w:r>
          </w:p>
        </w:tc>
      </w:tr>
      <w:tr w:rsidR="00C55082" w:rsidRPr="005E5CD6" w14:paraId="4F21F25B" w14:textId="77777777" w:rsidTr="005F511E">
        <w:trPr>
          <w:trHeight w:val="313"/>
        </w:trPr>
        <w:tc>
          <w:tcPr>
            <w:tcW w:w="3261" w:type="dxa"/>
            <w:vAlign w:val="center"/>
          </w:tcPr>
          <w:p w14:paraId="28E6AF9B" w14:textId="4B8A868D" w:rsidR="00C55082" w:rsidRPr="005E5CD6" w:rsidRDefault="00C55082" w:rsidP="005F511E">
            <w:pPr>
              <w:rPr>
                <w:rFonts w:ascii="Times New Roman" w:hAnsi="Times New Roman" w:cs="Times New Roman"/>
                <w:kern w:val="0"/>
                <w14:ligatures w14:val="none"/>
              </w:rPr>
            </w:pPr>
            <w:r w:rsidRPr="005E5CD6">
              <w:rPr>
                <w:rFonts w:ascii="Times New Roman" w:hAnsi="Times New Roman" w:cs="Times New Roman"/>
              </w:rPr>
              <w:t>Essential Employability Competencies</w:t>
            </w:r>
          </w:p>
        </w:tc>
        <w:tc>
          <w:tcPr>
            <w:tcW w:w="7540" w:type="dxa"/>
            <w:vAlign w:val="center"/>
          </w:tcPr>
          <w:p w14:paraId="34EBA4E7" w14:textId="6EDE89B2" w:rsidR="00C55082" w:rsidRPr="005E5CD6" w:rsidRDefault="00C55082" w:rsidP="005F511E">
            <w:pPr>
              <w:rPr>
                <w:rFonts w:ascii="Times New Roman" w:hAnsi="Times New Roman" w:cs="Times New Roman"/>
              </w:rPr>
            </w:pPr>
            <w:r w:rsidRPr="005E5CD6">
              <w:rPr>
                <w:rFonts w:ascii="Times New Roman" w:hAnsi="Times New Roman" w:cs="Times New Roman"/>
                <w:color w:val="000000"/>
              </w:rPr>
              <w:t>The study identifies a broad set of employability competencies required in AI-enabled workplaces</w:t>
            </w:r>
            <w:r w:rsidR="00504861" w:rsidRPr="005E5CD6">
              <w:rPr>
                <w:rFonts w:ascii="Times New Roman" w:hAnsi="Times New Roman" w:cs="Times New Roman"/>
                <w:color w:val="000000"/>
              </w:rPr>
              <w:t xml:space="preserve"> which </w:t>
            </w:r>
            <w:r w:rsidRPr="005E5CD6">
              <w:rPr>
                <w:rFonts w:ascii="Times New Roman" w:hAnsi="Times New Roman" w:cs="Times New Roman"/>
                <w:color w:val="000000"/>
              </w:rPr>
              <w:t>includ</w:t>
            </w:r>
            <w:r w:rsidR="00504861" w:rsidRPr="005E5CD6">
              <w:rPr>
                <w:rFonts w:ascii="Times New Roman" w:hAnsi="Times New Roman" w:cs="Times New Roman"/>
                <w:color w:val="000000"/>
              </w:rPr>
              <w:t xml:space="preserve">e </w:t>
            </w:r>
            <w:r w:rsidRPr="005E5CD6">
              <w:rPr>
                <w:rFonts w:ascii="Times New Roman" w:hAnsi="Times New Roman" w:cs="Times New Roman"/>
                <w:color w:val="000000"/>
              </w:rPr>
              <w:t>AI literacy; digital literacy; communication; teamwork; collaboration; critical thinking; analytical reasoning; creativity; innovation; problem-solving; autonomy; self-directed learning</w:t>
            </w:r>
            <w:r w:rsidR="003E40A9" w:rsidRPr="005E5CD6">
              <w:rPr>
                <w:rFonts w:ascii="Times New Roman" w:hAnsi="Times New Roman" w:cs="Times New Roman"/>
                <w:color w:val="000000"/>
              </w:rPr>
              <w:t>…</w:t>
            </w:r>
          </w:p>
        </w:tc>
      </w:tr>
    </w:tbl>
    <w:p w14:paraId="5FCFED8E" w14:textId="7357B580" w:rsidR="00C55082" w:rsidRPr="005E5CD6" w:rsidRDefault="00C55082" w:rsidP="005E5CD6">
      <w:pPr>
        <w:spacing w:before="240" w:after="240" w:line="240" w:lineRule="auto"/>
        <w:rPr>
          <w:rFonts w:ascii="Times New Roman" w:hAnsi="Times New Roman" w:cs="Times New Roman"/>
          <w:b/>
          <w:bCs/>
        </w:rPr>
      </w:pPr>
      <w:r w:rsidRPr="005E5CD6">
        <w:rPr>
          <w:rFonts w:ascii="Times New Roman" w:hAnsi="Times New Roman" w:cs="Times New Roman"/>
          <w:b/>
          <w:bCs/>
        </w:rPr>
        <w:t xml:space="preserve">Data synthesis </w:t>
      </w:r>
    </w:p>
    <w:p w14:paraId="4FCC1CD5" w14:textId="181F642E" w:rsidR="00FA6B7D" w:rsidRDefault="00FA6B7D"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Thematic synthesis was used to integrate and interpret the findings from the included studies. In the data extraction procedure, studies were systematically compared to identify recurring patterns and similarities as well as differences, which were grouped into overarching themes relating to Artificial Intelligence in higher education, institutional practices for preparing graduates for employability in an AI-driven workforce and essential employability competencies. This methodology allowed a wide and coherent synthesis of the evidence, while focusing on emergent patterns of consensus and gaps in research across the selected empirical studies.</w:t>
      </w:r>
    </w:p>
    <w:p w14:paraId="3FB10367" w14:textId="554EDA9E" w:rsidR="00A433E7" w:rsidRPr="005E5CD6" w:rsidRDefault="00A433E7" w:rsidP="005E5CD6">
      <w:pPr>
        <w:spacing w:before="240" w:after="240" w:line="240" w:lineRule="auto"/>
        <w:ind w:firstLine="720"/>
        <w:jc w:val="both"/>
        <w:rPr>
          <w:rFonts w:ascii="Times New Roman" w:hAnsi="Times New Roman" w:cs="Times New Roman"/>
        </w:rPr>
      </w:pPr>
      <w:r w:rsidRPr="00A433E7">
        <w:rPr>
          <w:rFonts w:ascii="Times New Roman" w:hAnsi="Times New Roman" w:cs="Times New Roman"/>
        </w:rPr>
        <w:t>No new datasets were generated or analyzed during this study; all data supporting the findings were obtained from publicly available published articles cited in the reference list.</w:t>
      </w:r>
    </w:p>
    <w:p w14:paraId="6DD58DF1" w14:textId="23537BC1" w:rsidR="00044B09" w:rsidRPr="005F511E" w:rsidRDefault="00044B09" w:rsidP="005E5CD6">
      <w:pPr>
        <w:spacing w:before="240" w:after="240" w:line="240" w:lineRule="auto"/>
        <w:rPr>
          <w:rFonts w:ascii="Times New Roman" w:hAnsi="Times New Roman" w:cs="Times New Roman"/>
          <w:b/>
          <w:bCs/>
          <w:sz w:val="28"/>
          <w:szCs w:val="28"/>
        </w:rPr>
      </w:pPr>
      <w:r w:rsidRPr="005F511E">
        <w:rPr>
          <w:rFonts w:ascii="Times New Roman" w:hAnsi="Times New Roman" w:cs="Times New Roman"/>
          <w:b/>
          <w:bCs/>
          <w:sz w:val="28"/>
          <w:szCs w:val="28"/>
        </w:rPr>
        <w:lastRenderedPageBreak/>
        <w:t>RESULTS</w:t>
      </w:r>
    </w:p>
    <w:p w14:paraId="23D3DB08" w14:textId="143837B2" w:rsidR="00044B09" w:rsidRPr="005E5CD6" w:rsidRDefault="007C55AE" w:rsidP="005E5CD6">
      <w:pPr>
        <w:spacing w:before="240" w:after="240" w:line="240" w:lineRule="auto"/>
        <w:rPr>
          <w:rFonts w:ascii="Times New Roman" w:hAnsi="Times New Roman" w:cs="Times New Roman"/>
          <w:b/>
          <w:bCs/>
        </w:rPr>
      </w:pPr>
      <w:r w:rsidRPr="005E5CD6">
        <w:rPr>
          <w:rFonts w:ascii="Times New Roman" w:hAnsi="Times New Roman" w:cs="Times New Roman"/>
          <w:b/>
          <w:bCs/>
        </w:rPr>
        <w:t xml:space="preserve">Table 3. </w:t>
      </w:r>
      <w:r w:rsidR="00044B09" w:rsidRPr="005E5CD6">
        <w:rPr>
          <w:rFonts w:ascii="Times New Roman" w:hAnsi="Times New Roman" w:cs="Times New Roman"/>
          <w:b/>
          <w:bCs/>
        </w:rPr>
        <w:t>Quantitative Synthesis of Higher Education Practices Reported in the Literature (n ≈ 30 studies)</w:t>
      </w:r>
    </w:p>
    <w:tbl>
      <w:tblPr>
        <w:tblStyle w:val="TableGrid"/>
        <w:tblW w:w="10349" w:type="dxa"/>
        <w:tblLook w:val="04A0" w:firstRow="1" w:lastRow="0" w:firstColumn="1" w:lastColumn="0" w:noHBand="0" w:noVBand="1"/>
      </w:tblPr>
      <w:tblGrid>
        <w:gridCol w:w="8856"/>
        <w:gridCol w:w="621"/>
        <w:gridCol w:w="872"/>
      </w:tblGrid>
      <w:tr w:rsidR="00044B09" w:rsidRPr="005E5CD6" w14:paraId="3B5EF006" w14:textId="77777777" w:rsidTr="005F511E">
        <w:trPr>
          <w:trHeight w:val="254"/>
        </w:trPr>
        <w:tc>
          <w:tcPr>
            <w:tcW w:w="8856" w:type="dxa"/>
            <w:vAlign w:val="center"/>
          </w:tcPr>
          <w:p w14:paraId="1FF39D11" w14:textId="4D10F852" w:rsidR="00044B09" w:rsidRPr="005E5CD6" w:rsidRDefault="00044B09" w:rsidP="005F511E">
            <w:pPr>
              <w:rPr>
                <w:rFonts w:ascii="Times New Roman" w:hAnsi="Times New Roman" w:cs="Times New Roman"/>
                <w:b/>
                <w:bCs/>
              </w:rPr>
            </w:pPr>
            <w:r w:rsidRPr="005E5CD6">
              <w:rPr>
                <w:rFonts w:ascii="Times New Roman" w:hAnsi="Times New Roman" w:cs="Times New Roman"/>
                <w:b/>
                <w:bCs/>
              </w:rPr>
              <w:t>Higher Education Practice</w:t>
            </w:r>
          </w:p>
        </w:tc>
        <w:tc>
          <w:tcPr>
            <w:tcW w:w="621" w:type="dxa"/>
            <w:vAlign w:val="center"/>
          </w:tcPr>
          <w:p w14:paraId="5FDD6652" w14:textId="22E4F533" w:rsidR="00044B09" w:rsidRPr="005E5CD6" w:rsidRDefault="005F511E" w:rsidP="005F511E">
            <w:pPr>
              <w:rPr>
                <w:rFonts w:ascii="Times New Roman" w:hAnsi="Times New Roman" w:cs="Times New Roman"/>
                <w:b/>
                <w:bCs/>
              </w:rPr>
            </w:pPr>
            <w:r>
              <w:rPr>
                <w:rFonts w:ascii="Times New Roman" w:hAnsi="Times New Roman" w:cs="Times New Roman"/>
                <w:b/>
                <w:bCs/>
              </w:rPr>
              <w:t>f</w:t>
            </w:r>
          </w:p>
        </w:tc>
        <w:tc>
          <w:tcPr>
            <w:tcW w:w="872" w:type="dxa"/>
            <w:vAlign w:val="center"/>
          </w:tcPr>
          <w:p w14:paraId="4BAB4D20" w14:textId="3124A1CB" w:rsidR="00044B09" w:rsidRPr="005E5CD6" w:rsidRDefault="00044B09" w:rsidP="005F511E">
            <w:pPr>
              <w:rPr>
                <w:rFonts w:ascii="Times New Roman" w:hAnsi="Times New Roman" w:cs="Times New Roman"/>
                <w:b/>
                <w:bCs/>
              </w:rPr>
            </w:pPr>
            <w:r w:rsidRPr="005E5CD6">
              <w:rPr>
                <w:rFonts w:ascii="Times New Roman" w:hAnsi="Times New Roman" w:cs="Times New Roman"/>
                <w:b/>
                <w:bCs/>
              </w:rPr>
              <w:t>%</w:t>
            </w:r>
          </w:p>
        </w:tc>
      </w:tr>
      <w:tr w:rsidR="00044B09" w:rsidRPr="005E5CD6" w14:paraId="28F801E0" w14:textId="77777777" w:rsidTr="005F511E">
        <w:trPr>
          <w:trHeight w:val="254"/>
        </w:trPr>
        <w:tc>
          <w:tcPr>
            <w:tcW w:w="8856" w:type="dxa"/>
            <w:vAlign w:val="center"/>
          </w:tcPr>
          <w:p w14:paraId="65F32F28" w14:textId="579C3C66" w:rsidR="00044B09" w:rsidRPr="005E5CD6" w:rsidRDefault="00044B09" w:rsidP="005F511E">
            <w:pPr>
              <w:rPr>
                <w:rFonts w:ascii="Times New Roman" w:hAnsi="Times New Roman" w:cs="Times New Roman"/>
                <w:b/>
                <w:bCs/>
              </w:rPr>
            </w:pPr>
            <w:r w:rsidRPr="005E5CD6">
              <w:rPr>
                <w:rFonts w:ascii="Times New Roman" w:hAnsi="Times New Roman" w:cs="Times New Roman"/>
              </w:rPr>
              <w:t>Curriculum redesign/alignment with industry and AI workforce needs</w:t>
            </w:r>
          </w:p>
        </w:tc>
        <w:tc>
          <w:tcPr>
            <w:tcW w:w="621" w:type="dxa"/>
            <w:vAlign w:val="bottom"/>
          </w:tcPr>
          <w:p w14:paraId="3D64F629" w14:textId="1FC6047A" w:rsidR="00044B09" w:rsidRPr="005E5CD6" w:rsidRDefault="00044B09" w:rsidP="005F511E">
            <w:pPr>
              <w:rPr>
                <w:rFonts w:ascii="Times New Roman" w:hAnsi="Times New Roman" w:cs="Times New Roman"/>
                <w:b/>
                <w:bCs/>
              </w:rPr>
            </w:pPr>
            <w:r w:rsidRPr="005E5CD6">
              <w:rPr>
                <w:rFonts w:ascii="Times New Roman" w:hAnsi="Times New Roman" w:cs="Times New Roman"/>
                <w:color w:val="000000"/>
              </w:rPr>
              <w:t>25</w:t>
            </w:r>
          </w:p>
        </w:tc>
        <w:tc>
          <w:tcPr>
            <w:tcW w:w="872" w:type="dxa"/>
            <w:vAlign w:val="bottom"/>
          </w:tcPr>
          <w:p w14:paraId="65445A8F" w14:textId="0AA6739F" w:rsidR="00044B09" w:rsidRPr="005E5CD6" w:rsidRDefault="00044B09" w:rsidP="005F511E">
            <w:pPr>
              <w:rPr>
                <w:rFonts w:ascii="Times New Roman" w:hAnsi="Times New Roman" w:cs="Times New Roman"/>
                <w:b/>
                <w:bCs/>
              </w:rPr>
            </w:pPr>
            <w:r w:rsidRPr="005E5CD6">
              <w:rPr>
                <w:rFonts w:ascii="Times New Roman" w:hAnsi="Times New Roman" w:cs="Times New Roman"/>
                <w:color w:val="000000"/>
              </w:rPr>
              <w:t>83.3</w:t>
            </w:r>
          </w:p>
        </w:tc>
      </w:tr>
      <w:tr w:rsidR="00044B09" w:rsidRPr="005E5CD6" w14:paraId="7F6FB11E" w14:textId="77777777" w:rsidTr="005F511E">
        <w:trPr>
          <w:trHeight w:val="243"/>
        </w:trPr>
        <w:tc>
          <w:tcPr>
            <w:tcW w:w="8856" w:type="dxa"/>
            <w:vAlign w:val="center"/>
          </w:tcPr>
          <w:p w14:paraId="0DC97A51" w14:textId="7AEAD47D" w:rsidR="00044B09" w:rsidRPr="005E5CD6" w:rsidRDefault="00044B09" w:rsidP="005F511E">
            <w:pPr>
              <w:rPr>
                <w:rFonts w:ascii="Times New Roman" w:hAnsi="Times New Roman" w:cs="Times New Roman"/>
              </w:rPr>
            </w:pPr>
            <w:r w:rsidRPr="005E5CD6">
              <w:rPr>
                <w:rFonts w:ascii="Times New Roman" w:hAnsi="Times New Roman" w:cs="Times New Roman"/>
              </w:rPr>
              <w:t>Industry partnerships / University-industry collaboration</w:t>
            </w:r>
          </w:p>
        </w:tc>
        <w:tc>
          <w:tcPr>
            <w:tcW w:w="621" w:type="dxa"/>
            <w:vAlign w:val="bottom"/>
          </w:tcPr>
          <w:p w14:paraId="056622FC" w14:textId="1DE6C4B6"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23</w:t>
            </w:r>
          </w:p>
        </w:tc>
        <w:tc>
          <w:tcPr>
            <w:tcW w:w="872" w:type="dxa"/>
            <w:vAlign w:val="bottom"/>
          </w:tcPr>
          <w:p w14:paraId="3A58E1CF" w14:textId="391532FD"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76.7</w:t>
            </w:r>
          </w:p>
        </w:tc>
      </w:tr>
      <w:tr w:rsidR="00044B09" w:rsidRPr="005E5CD6" w14:paraId="261929F4" w14:textId="77777777" w:rsidTr="005F511E">
        <w:trPr>
          <w:trHeight w:val="254"/>
        </w:trPr>
        <w:tc>
          <w:tcPr>
            <w:tcW w:w="8856" w:type="dxa"/>
            <w:vAlign w:val="center"/>
          </w:tcPr>
          <w:p w14:paraId="58C84CB5" w14:textId="2E6B2D77" w:rsidR="00044B09" w:rsidRPr="005E5CD6" w:rsidRDefault="00044B09" w:rsidP="005F511E">
            <w:pPr>
              <w:rPr>
                <w:rFonts w:ascii="Times New Roman" w:hAnsi="Times New Roman" w:cs="Times New Roman"/>
              </w:rPr>
            </w:pPr>
            <w:r w:rsidRPr="005E5CD6">
              <w:rPr>
                <w:rFonts w:ascii="Times New Roman" w:hAnsi="Times New Roman" w:cs="Times New Roman"/>
              </w:rPr>
              <w:t>Experiential learning</w:t>
            </w:r>
          </w:p>
        </w:tc>
        <w:tc>
          <w:tcPr>
            <w:tcW w:w="621" w:type="dxa"/>
            <w:vAlign w:val="bottom"/>
          </w:tcPr>
          <w:p w14:paraId="1733955F" w14:textId="60BBEE11"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21</w:t>
            </w:r>
          </w:p>
        </w:tc>
        <w:tc>
          <w:tcPr>
            <w:tcW w:w="872" w:type="dxa"/>
            <w:vAlign w:val="bottom"/>
          </w:tcPr>
          <w:p w14:paraId="30F61A48" w14:textId="24A8F917"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70.0</w:t>
            </w:r>
          </w:p>
        </w:tc>
      </w:tr>
      <w:tr w:rsidR="00044B09" w:rsidRPr="005E5CD6" w14:paraId="786C1A0B" w14:textId="77777777" w:rsidTr="005F511E">
        <w:trPr>
          <w:trHeight w:val="254"/>
        </w:trPr>
        <w:tc>
          <w:tcPr>
            <w:tcW w:w="8856" w:type="dxa"/>
            <w:vAlign w:val="center"/>
          </w:tcPr>
          <w:p w14:paraId="1DDCFA21" w14:textId="6630149A" w:rsidR="00044B09" w:rsidRPr="005E5CD6" w:rsidRDefault="00044B09" w:rsidP="005F511E">
            <w:pPr>
              <w:rPr>
                <w:rFonts w:ascii="Times New Roman" w:hAnsi="Times New Roman" w:cs="Times New Roman"/>
              </w:rPr>
            </w:pPr>
            <w:r w:rsidRPr="005E5CD6">
              <w:rPr>
                <w:rFonts w:ascii="Times New Roman" w:hAnsi="Times New Roman" w:cs="Times New Roman"/>
              </w:rPr>
              <w:t>Work-integrated learning (internships, apprenticeships, workplace learning)</w:t>
            </w:r>
          </w:p>
        </w:tc>
        <w:tc>
          <w:tcPr>
            <w:tcW w:w="621" w:type="dxa"/>
            <w:vAlign w:val="bottom"/>
          </w:tcPr>
          <w:p w14:paraId="41748F97" w14:textId="5D93347B"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20</w:t>
            </w:r>
          </w:p>
        </w:tc>
        <w:tc>
          <w:tcPr>
            <w:tcW w:w="872" w:type="dxa"/>
            <w:vAlign w:val="bottom"/>
          </w:tcPr>
          <w:p w14:paraId="2FB57843" w14:textId="73513908"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66.7</w:t>
            </w:r>
          </w:p>
        </w:tc>
      </w:tr>
      <w:tr w:rsidR="00044B09" w:rsidRPr="005E5CD6" w14:paraId="7F66B229" w14:textId="77777777" w:rsidTr="005F511E">
        <w:trPr>
          <w:trHeight w:val="254"/>
        </w:trPr>
        <w:tc>
          <w:tcPr>
            <w:tcW w:w="8856" w:type="dxa"/>
            <w:vAlign w:val="center"/>
          </w:tcPr>
          <w:p w14:paraId="54F63F76" w14:textId="21CDBD31" w:rsidR="00044B09" w:rsidRPr="005E5CD6" w:rsidRDefault="00044B09" w:rsidP="005F511E">
            <w:pPr>
              <w:rPr>
                <w:rFonts w:ascii="Times New Roman" w:hAnsi="Times New Roman" w:cs="Times New Roman"/>
              </w:rPr>
            </w:pPr>
            <w:r w:rsidRPr="005E5CD6">
              <w:rPr>
                <w:rFonts w:ascii="Times New Roman" w:hAnsi="Times New Roman" w:cs="Times New Roman"/>
              </w:rPr>
              <w:t>Project-based learning</w:t>
            </w:r>
          </w:p>
        </w:tc>
        <w:tc>
          <w:tcPr>
            <w:tcW w:w="621" w:type="dxa"/>
            <w:vAlign w:val="bottom"/>
          </w:tcPr>
          <w:p w14:paraId="05ED7D18" w14:textId="6CDFC2A9"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19</w:t>
            </w:r>
          </w:p>
        </w:tc>
        <w:tc>
          <w:tcPr>
            <w:tcW w:w="872" w:type="dxa"/>
            <w:vAlign w:val="bottom"/>
          </w:tcPr>
          <w:p w14:paraId="02E4B26D" w14:textId="5F3BC0A2"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63.3</w:t>
            </w:r>
          </w:p>
        </w:tc>
      </w:tr>
      <w:tr w:rsidR="00044B09" w:rsidRPr="005E5CD6" w14:paraId="4E0F4CBD" w14:textId="77777777" w:rsidTr="005F511E">
        <w:trPr>
          <w:trHeight w:val="254"/>
        </w:trPr>
        <w:tc>
          <w:tcPr>
            <w:tcW w:w="8856" w:type="dxa"/>
            <w:vAlign w:val="center"/>
          </w:tcPr>
          <w:p w14:paraId="285BE692" w14:textId="3BFFDE27" w:rsidR="00044B09" w:rsidRPr="005E5CD6" w:rsidRDefault="00044B09" w:rsidP="005F511E">
            <w:pPr>
              <w:rPr>
                <w:rFonts w:ascii="Times New Roman" w:hAnsi="Times New Roman" w:cs="Times New Roman"/>
              </w:rPr>
            </w:pPr>
            <w:r w:rsidRPr="005E5CD6">
              <w:rPr>
                <w:rFonts w:ascii="Times New Roman" w:hAnsi="Times New Roman" w:cs="Times New Roman"/>
              </w:rPr>
              <w:t>AI literacy integration</w:t>
            </w:r>
          </w:p>
        </w:tc>
        <w:tc>
          <w:tcPr>
            <w:tcW w:w="621" w:type="dxa"/>
            <w:vAlign w:val="bottom"/>
          </w:tcPr>
          <w:p w14:paraId="68A93877" w14:textId="61FA62CB"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18</w:t>
            </w:r>
          </w:p>
        </w:tc>
        <w:tc>
          <w:tcPr>
            <w:tcW w:w="872" w:type="dxa"/>
            <w:vAlign w:val="bottom"/>
          </w:tcPr>
          <w:p w14:paraId="3EE82DBC" w14:textId="5DAD03C6"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60.0</w:t>
            </w:r>
          </w:p>
        </w:tc>
      </w:tr>
      <w:tr w:rsidR="00044B09" w:rsidRPr="005E5CD6" w14:paraId="742AE678" w14:textId="77777777" w:rsidTr="005F511E">
        <w:trPr>
          <w:trHeight w:val="254"/>
        </w:trPr>
        <w:tc>
          <w:tcPr>
            <w:tcW w:w="8856" w:type="dxa"/>
            <w:vAlign w:val="center"/>
          </w:tcPr>
          <w:p w14:paraId="51B3F070" w14:textId="2CD87AF6" w:rsidR="00044B09" w:rsidRPr="005E5CD6" w:rsidRDefault="00044B09" w:rsidP="005F511E">
            <w:pPr>
              <w:rPr>
                <w:rFonts w:ascii="Times New Roman" w:hAnsi="Times New Roman" w:cs="Times New Roman"/>
              </w:rPr>
            </w:pPr>
            <w:r w:rsidRPr="005E5CD6">
              <w:rPr>
                <w:rFonts w:ascii="Times New Roman" w:hAnsi="Times New Roman" w:cs="Times New Roman"/>
              </w:rPr>
              <w:t>Digital literacy / Digital competency development</w:t>
            </w:r>
          </w:p>
        </w:tc>
        <w:tc>
          <w:tcPr>
            <w:tcW w:w="621" w:type="dxa"/>
            <w:vAlign w:val="bottom"/>
          </w:tcPr>
          <w:p w14:paraId="7F1BEC00" w14:textId="07F20277"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17</w:t>
            </w:r>
          </w:p>
        </w:tc>
        <w:tc>
          <w:tcPr>
            <w:tcW w:w="872" w:type="dxa"/>
            <w:vAlign w:val="bottom"/>
          </w:tcPr>
          <w:p w14:paraId="6D39AABE" w14:textId="6A555390"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56.7</w:t>
            </w:r>
          </w:p>
        </w:tc>
      </w:tr>
      <w:tr w:rsidR="00044B09" w:rsidRPr="005E5CD6" w14:paraId="0848F17A" w14:textId="77777777" w:rsidTr="005F511E">
        <w:trPr>
          <w:trHeight w:val="243"/>
        </w:trPr>
        <w:tc>
          <w:tcPr>
            <w:tcW w:w="8856" w:type="dxa"/>
            <w:vAlign w:val="center"/>
          </w:tcPr>
          <w:p w14:paraId="3617CD28" w14:textId="716486FF" w:rsidR="00044B09" w:rsidRPr="005E5CD6" w:rsidRDefault="00044B09" w:rsidP="005F511E">
            <w:pPr>
              <w:rPr>
                <w:rFonts w:ascii="Times New Roman" w:hAnsi="Times New Roman" w:cs="Times New Roman"/>
              </w:rPr>
            </w:pPr>
            <w:r w:rsidRPr="005E5CD6">
              <w:rPr>
                <w:rFonts w:ascii="Times New Roman" w:hAnsi="Times New Roman" w:cs="Times New Roman"/>
              </w:rPr>
              <w:t>Lifelong learning / Continuous professional development</w:t>
            </w:r>
          </w:p>
        </w:tc>
        <w:tc>
          <w:tcPr>
            <w:tcW w:w="621" w:type="dxa"/>
            <w:vAlign w:val="bottom"/>
          </w:tcPr>
          <w:p w14:paraId="4A264023" w14:textId="389BCEE3"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17</w:t>
            </w:r>
          </w:p>
        </w:tc>
        <w:tc>
          <w:tcPr>
            <w:tcW w:w="872" w:type="dxa"/>
            <w:vAlign w:val="bottom"/>
          </w:tcPr>
          <w:p w14:paraId="387758EE" w14:textId="4C5CA3D2"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56.7</w:t>
            </w:r>
          </w:p>
        </w:tc>
      </w:tr>
      <w:tr w:rsidR="00044B09" w:rsidRPr="005E5CD6" w14:paraId="51053D3E" w14:textId="77777777" w:rsidTr="005F511E">
        <w:trPr>
          <w:trHeight w:val="254"/>
        </w:trPr>
        <w:tc>
          <w:tcPr>
            <w:tcW w:w="8856" w:type="dxa"/>
            <w:vAlign w:val="center"/>
          </w:tcPr>
          <w:p w14:paraId="5CB66EB8" w14:textId="510B5B4C" w:rsidR="00044B09" w:rsidRPr="005E5CD6" w:rsidRDefault="00044B09" w:rsidP="005F511E">
            <w:pPr>
              <w:rPr>
                <w:rFonts w:ascii="Times New Roman" w:hAnsi="Times New Roman" w:cs="Times New Roman"/>
              </w:rPr>
            </w:pPr>
            <w:r w:rsidRPr="005E5CD6">
              <w:rPr>
                <w:rFonts w:ascii="Times New Roman" w:hAnsi="Times New Roman" w:cs="Times New Roman"/>
              </w:rPr>
              <w:t>Competency-based education</w:t>
            </w:r>
          </w:p>
        </w:tc>
        <w:tc>
          <w:tcPr>
            <w:tcW w:w="621" w:type="dxa"/>
            <w:vAlign w:val="bottom"/>
          </w:tcPr>
          <w:p w14:paraId="5DC27DF5" w14:textId="3BBA6267"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15</w:t>
            </w:r>
          </w:p>
        </w:tc>
        <w:tc>
          <w:tcPr>
            <w:tcW w:w="872" w:type="dxa"/>
            <w:vAlign w:val="bottom"/>
          </w:tcPr>
          <w:p w14:paraId="09670D2E" w14:textId="785DE38E"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50.0</w:t>
            </w:r>
          </w:p>
        </w:tc>
      </w:tr>
      <w:tr w:rsidR="00044B09" w:rsidRPr="005E5CD6" w14:paraId="521C1229" w14:textId="77777777" w:rsidTr="005F511E">
        <w:trPr>
          <w:trHeight w:val="254"/>
        </w:trPr>
        <w:tc>
          <w:tcPr>
            <w:tcW w:w="8856" w:type="dxa"/>
            <w:vAlign w:val="center"/>
          </w:tcPr>
          <w:p w14:paraId="1116D338" w14:textId="19F19EFD" w:rsidR="00044B09" w:rsidRPr="005E5CD6" w:rsidRDefault="00044B09" w:rsidP="005F511E">
            <w:pPr>
              <w:rPr>
                <w:rFonts w:ascii="Times New Roman" w:hAnsi="Times New Roman" w:cs="Times New Roman"/>
              </w:rPr>
            </w:pPr>
            <w:r w:rsidRPr="005E5CD6">
              <w:rPr>
                <w:rFonts w:ascii="Times New Roman" w:hAnsi="Times New Roman" w:cs="Times New Roman"/>
              </w:rPr>
              <w:t>Communication skills development</w:t>
            </w:r>
          </w:p>
        </w:tc>
        <w:tc>
          <w:tcPr>
            <w:tcW w:w="621" w:type="dxa"/>
            <w:vAlign w:val="bottom"/>
          </w:tcPr>
          <w:p w14:paraId="33B1C8A3" w14:textId="656D1F8F"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14</w:t>
            </w:r>
          </w:p>
        </w:tc>
        <w:tc>
          <w:tcPr>
            <w:tcW w:w="872" w:type="dxa"/>
            <w:vAlign w:val="bottom"/>
          </w:tcPr>
          <w:p w14:paraId="466ADF05" w14:textId="26608E03"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46.7</w:t>
            </w:r>
          </w:p>
        </w:tc>
      </w:tr>
      <w:tr w:rsidR="00044B09" w:rsidRPr="005E5CD6" w14:paraId="5C172DD9" w14:textId="77777777" w:rsidTr="005F511E">
        <w:trPr>
          <w:trHeight w:val="254"/>
        </w:trPr>
        <w:tc>
          <w:tcPr>
            <w:tcW w:w="8856" w:type="dxa"/>
            <w:vAlign w:val="center"/>
          </w:tcPr>
          <w:p w14:paraId="01DEC574" w14:textId="0046D619" w:rsidR="00044B09" w:rsidRPr="005E5CD6" w:rsidRDefault="00044B09" w:rsidP="005F511E">
            <w:pPr>
              <w:rPr>
                <w:rFonts w:ascii="Times New Roman" w:hAnsi="Times New Roman" w:cs="Times New Roman"/>
              </w:rPr>
            </w:pPr>
            <w:r w:rsidRPr="005E5CD6">
              <w:rPr>
                <w:rFonts w:ascii="Times New Roman" w:hAnsi="Times New Roman" w:cs="Times New Roman"/>
              </w:rPr>
              <w:t>Interdisciplinary learning</w:t>
            </w:r>
          </w:p>
        </w:tc>
        <w:tc>
          <w:tcPr>
            <w:tcW w:w="621" w:type="dxa"/>
            <w:vAlign w:val="bottom"/>
          </w:tcPr>
          <w:p w14:paraId="5A49B72D" w14:textId="38901EA7"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13</w:t>
            </w:r>
          </w:p>
        </w:tc>
        <w:tc>
          <w:tcPr>
            <w:tcW w:w="872" w:type="dxa"/>
            <w:vAlign w:val="bottom"/>
          </w:tcPr>
          <w:p w14:paraId="5905107E" w14:textId="0BF4AE89"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43.3</w:t>
            </w:r>
          </w:p>
        </w:tc>
      </w:tr>
      <w:tr w:rsidR="00044B09" w:rsidRPr="005E5CD6" w14:paraId="786ABFFA" w14:textId="77777777" w:rsidTr="005F511E">
        <w:trPr>
          <w:trHeight w:val="254"/>
        </w:trPr>
        <w:tc>
          <w:tcPr>
            <w:tcW w:w="8856" w:type="dxa"/>
            <w:vAlign w:val="center"/>
          </w:tcPr>
          <w:p w14:paraId="6D3E8A55" w14:textId="3253E03E" w:rsidR="00044B09" w:rsidRPr="005E5CD6" w:rsidRDefault="00044B09" w:rsidP="005F511E">
            <w:pPr>
              <w:rPr>
                <w:rFonts w:ascii="Times New Roman" w:hAnsi="Times New Roman" w:cs="Times New Roman"/>
              </w:rPr>
            </w:pPr>
            <w:r w:rsidRPr="005E5CD6">
              <w:rPr>
                <w:rFonts w:ascii="Times New Roman" w:hAnsi="Times New Roman" w:cs="Times New Roman"/>
              </w:rPr>
              <w:t>Technology-enhanced learning</w:t>
            </w:r>
          </w:p>
        </w:tc>
        <w:tc>
          <w:tcPr>
            <w:tcW w:w="621" w:type="dxa"/>
            <w:vAlign w:val="bottom"/>
          </w:tcPr>
          <w:p w14:paraId="134DBE1E" w14:textId="56CE7F44"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12</w:t>
            </w:r>
          </w:p>
        </w:tc>
        <w:tc>
          <w:tcPr>
            <w:tcW w:w="872" w:type="dxa"/>
            <w:vAlign w:val="bottom"/>
          </w:tcPr>
          <w:p w14:paraId="28833348" w14:textId="4AF53E40"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40.0</w:t>
            </w:r>
          </w:p>
        </w:tc>
      </w:tr>
      <w:tr w:rsidR="00044B09" w:rsidRPr="005E5CD6" w14:paraId="361EE043" w14:textId="77777777" w:rsidTr="005F511E">
        <w:trPr>
          <w:trHeight w:val="254"/>
        </w:trPr>
        <w:tc>
          <w:tcPr>
            <w:tcW w:w="8856" w:type="dxa"/>
            <w:vAlign w:val="center"/>
          </w:tcPr>
          <w:p w14:paraId="178EC0DE" w14:textId="598E4D78" w:rsidR="00044B09" w:rsidRPr="005E5CD6" w:rsidRDefault="00044B09" w:rsidP="005F511E">
            <w:pPr>
              <w:rPr>
                <w:rFonts w:ascii="Times New Roman" w:hAnsi="Times New Roman" w:cs="Times New Roman"/>
              </w:rPr>
            </w:pPr>
            <w:r w:rsidRPr="005E5CD6">
              <w:rPr>
                <w:rFonts w:ascii="Times New Roman" w:hAnsi="Times New Roman" w:cs="Times New Roman"/>
              </w:rPr>
              <w:t>Critical thinking instruction</w:t>
            </w:r>
          </w:p>
        </w:tc>
        <w:tc>
          <w:tcPr>
            <w:tcW w:w="621" w:type="dxa"/>
            <w:vAlign w:val="bottom"/>
          </w:tcPr>
          <w:p w14:paraId="5A89B520" w14:textId="433EDA59"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11</w:t>
            </w:r>
          </w:p>
        </w:tc>
        <w:tc>
          <w:tcPr>
            <w:tcW w:w="872" w:type="dxa"/>
            <w:vAlign w:val="bottom"/>
          </w:tcPr>
          <w:p w14:paraId="6FF67A78" w14:textId="5D4B556F"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36.7</w:t>
            </w:r>
          </w:p>
        </w:tc>
      </w:tr>
      <w:tr w:rsidR="00044B09" w:rsidRPr="005E5CD6" w14:paraId="36DCD680" w14:textId="77777777" w:rsidTr="005F511E">
        <w:trPr>
          <w:trHeight w:val="243"/>
        </w:trPr>
        <w:tc>
          <w:tcPr>
            <w:tcW w:w="8856" w:type="dxa"/>
            <w:vAlign w:val="center"/>
          </w:tcPr>
          <w:p w14:paraId="0E01FA17" w14:textId="511DCE48" w:rsidR="00044B09" w:rsidRPr="005E5CD6" w:rsidRDefault="00044B09" w:rsidP="005F511E">
            <w:pPr>
              <w:rPr>
                <w:rFonts w:ascii="Times New Roman" w:hAnsi="Times New Roman" w:cs="Times New Roman"/>
              </w:rPr>
            </w:pPr>
            <w:r w:rsidRPr="005E5CD6">
              <w:rPr>
                <w:rFonts w:ascii="Times New Roman" w:hAnsi="Times New Roman" w:cs="Times New Roman"/>
              </w:rPr>
              <w:t>Ethical AI education / Responsible AI use</w:t>
            </w:r>
          </w:p>
        </w:tc>
        <w:tc>
          <w:tcPr>
            <w:tcW w:w="621" w:type="dxa"/>
            <w:vAlign w:val="bottom"/>
          </w:tcPr>
          <w:p w14:paraId="7CE40876" w14:textId="7F7F7B91"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10</w:t>
            </w:r>
          </w:p>
        </w:tc>
        <w:tc>
          <w:tcPr>
            <w:tcW w:w="872" w:type="dxa"/>
            <w:vAlign w:val="bottom"/>
          </w:tcPr>
          <w:p w14:paraId="53259B57" w14:textId="58B45A97" w:rsidR="00044B09" w:rsidRPr="005E5CD6" w:rsidRDefault="00044B09" w:rsidP="005F511E">
            <w:pPr>
              <w:rPr>
                <w:rFonts w:ascii="Times New Roman" w:hAnsi="Times New Roman" w:cs="Times New Roman"/>
                <w:color w:val="000000"/>
              </w:rPr>
            </w:pPr>
            <w:r w:rsidRPr="005E5CD6">
              <w:rPr>
                <w:rFonts w:ascii="Times New Roman" w:hAnsi="Times New Roman" w:cs="Times New Roman"/>
                <w:color w:val="000000"/>
              </w:rPr>
              <w:t>33.3</w:t>
            </w:r>
          </w:p>
        </w:tc>
      </w:tr>
      <w:tr w:rsidR="00261BC2" w:rsidRPr="005E5CD6" w14:paraId="78057E21" w14:textId="77777777" w:rsidTr="005F511E">
        <w:trPr>
          <w:trHeight w:val="254"/>
        </w:trPr>
        <w:tc>
          <w:tcPr>
            <w:tcW w:w="8856" w:type="dxa"/>
            <w:vAlign w:val="center"/>
          </w:tcPr>
          <w:p w14:paraId="3F5069CB" w14:textId="5D173E3D" w:rsidR="00261BC2" w:rsidRPr="005E5CD6" w:rsidRDefault="00261BC2" w:rsidP="005F511E">
            <w:pPr>
              <w:rPr>
                <w:rFonts w:ascii="Times New Roman" w:hAnsi="Times New Roman" w:cs="Times New Roman"/>
              </w:rPr>
            </w:pPr>
            <w:r w:rsidRPr="005E5CD6">
              <w:rPr>
                <w:rFonts w:ascii="Times New Roman" w:hAnsi="Times New Roman" w:cs="Times New Roman"/>
              </w:rPr>
              <w:t>Adaptive Personalized Learson</w:t>
            </w:r>
          </w:p>
        </w:tc>
        <w:tc>
          <w:tcPr>
            <w:tcW w:w="621" w:type="dxa"/>
            <w:vAlign w:val="center"/>
          </w:tcPr>
          <w:p w14:paraId="0AF76C50" w14:textId="5FBB899E" w:rsidR="00261BC2" w:rsidRPr="005E5CD6" w:rsidRDefault="00261BC2" w:rsidP="005F511E">
            <w:pPr>
              <w:rPr>
                <w:rFonts w:ascii="Times New Roman" w:hAnsi="Times New Roman" w:cs="Times New Roman"/>
                <w:color w:val="000000"/>
              </w:rPr>
            </w:pPr>
            <w:r w:rsidRPr="005E5CD6">
              <w:rPr>
                <w:rFonts w:ascii="Times New Roman" w:hAnsi="Times New Roman" w:cs="Times New Roman"/>
              </w:rPr>
              <w:t>8</w:t>
            </w:r>
          </w:p>
        </w:tc>
        <w:tc>
          <w:tcPr>
            <w:tcW w:w="872" w:type="dxa"/>
            <w:vAlign w:val="center"/>
          </w:tcPr>
          <w:p w14:paraId="5102EB30" w14:textId="389B5BF9" w:rsidR="00261BC2" w:rsidRPr="005E5CD6" w:rsidRDefault="00261BC2" w:rsidP="005F511E">
            <w:pPr>
              <w:rPr>
                <w:rFonts w:ascii="Times New Roman" w:hAnsi="Times New Roman" w:cs="Times New Roman"/>
                <w:color w:val="000000"/>
              </w:rPr>
            </w:pPr>
            <w:r w:rsidRPr="005E5CD6">
              <w:rPr>
                <w:rFonts w:ascii="Times New Roman" w:hAnsi="Times New Roman" w:cs="Times New Roman"/>
              </w:rPr>
              <w:t>26.7</w:t>
            </w:r>
          </w:p>
        </w:tc>
      </w:tr>
      <w:tr w:rsidR="00261BC2" w:rsidRPr="005E5CD6" w14:paraId="6828BBAA" w14:textId="77777777" w:rsidTr="005F511E">
        <w:trPr>
          <w:trHeight w:val="254"/>
        </w:trPr>
        <w:tc>
          <w:tcPr>
            <w:tcW w:w="8856" w:type="dxa"/>
            <w:vAlign w:val="center"/>
          </w:tcPr>
          <w:p w14:paraId="20DAC324" w14:textId="7DB45F11" w:rsidR="00261BC2" w:rsidRPr="005E5CD6" w:rsidRDefault="00261BC2" w:rsidP="005F511E">
            <w:pPr>
              <w:rPr>
                <w:rFonts w:ascii="Times New Roman" w:hAnsi="Times New Roman" w:cs="Times New Roman"/>
              </w:rPr>
            </w:pPr>
            <w:r w:rsidRPr="005E5CD6">
              <w:rPr>
                <w:rFonts w:ascii="Times New Roman" w:hAnsi="Times New Roman" w:cs="Times New Roman"/>
              </w:rPr>
              <w:t>AI-supported teaching and assessment</w:t>
            </w:r>
          </w:p>
        </w:tc>
        <w:tc>
          <w:tcPr>
            <w:tcW w:w="621" w:type="dxa"/>
            <w:vAlign w:val="center"/>
          </w:tcPr>
          <w:p w14:paraId="037CF793" w14:textId="0BB0081D" w:rsidR="00261BC2" w:rsidRPr="005E5CD6" w:rsidRDefault="00261BC2" w:rsidP="005F511E">
            <w:pPr>
              <w:rPr>
                <w:rFonts w:ascii="Times New Roman" w:hAnsi="Times New Roman" w:cs="Times New Roman"/>
              </w:rPr>
            </w:pPr>
            <w:r w:rsidRPr="005E5CD6">
              <w:rPr>
                <w:rFonts w:ascii="Times New Roman" w:hAnsi="Times New Roman" w:cs="Times New Roman"/>
              </w:rPr>
              <w:t>8</w:t>
            </w:r>
          </w:p>
        </w:tc>
        <w:tc>
          <w:tcPr>
            <w:tcW w:w="872" w:type="dxa"/>
            <w:vAlign w:val="center"/>
          </w:tcPr>
          <w:p w14:paraId="6C327E6B" w14:textId="7B33FA9A" w:rsidR="00261BC2" w:rsidRPr="005E5CD6" w:rsidRDefault="00261BC2" w:rsidP="005F511E">
            <w:pPr>
              <w:rPr>
                <w:rFonts w:ascii="Times New Roman" w:hAnsi="Times New Roman" w:cs="Times New Roman"/>
              </w:rPr>
            </w:pPr>
            <w:r w:rsidRPr="005E5CD6">
              <w:rPr>
                <w:rFonts w:ascii="Times New Roman" w:hAnsi="Times New Roman" w:cs="Times New Roman"/>
              </w:rPr>
              <w:t>26.7</w:t>
            </w:r>
          </w:p>
        </w:tc>
      </w:tr>
      <w:tr w:rsidR="00261BC2" w:rsidRPr="005E5CD6" w14:paraId="5EC8B61A" w14:textId="77777777" w:rsidTr="005F511E">
        <w:trPr>
          <w:trHeight w:val="254"/>
        </w:trPr>
        <w:tc>
          <w:tcPr>
            <w:tcW w:w="8856" w:type="dxa"/>
            <w:vAlign w:val="center"/>
          </w:tcPr>
          <w:p w14:paraId="0AA2968E" w14:textId="54FEEF91" w:rsidR="00261BC2" w:rsidRPr="005E5CD6" w:rsidRDefault="00261BC2" w:rsidP="005F511E">
            <w:pPr>
              <w:rPr>
                <w:rFonts w:ascii="Times New Roman" w:hAnsi="Times New Roman" w:cs="Times New Roman"/>
                <w:b/>
                <w:bCs/>
              </w:rPr>
            </w:pPr>
            <w:r w:rsidRPr="005E5CD6">
              <w:rPr>
                <w:rFonts w:ascii="Times New Roman" w:hAnsi="Times New Roman" w:cs="Times New Roman"/>
              </w:rPr>
              <w:t>Simulation-based learning</w:t>
            </w:r>
          </w:p>
        </w:tc>
        <w:tc>
          <w:tcPr>
            <w:tcW w:w="621" w:type="dxa"/>
            <w:vAlign w:val="center"/>
          </w:tcPr>
          <w:p w14:paraId="1A766FB3" w14:textId="53396BA3" w:rsidR="00261BC2" w:rsidRPr="005E5CD6" w:rsidRDefault="00261BC2" w:rsidP="005F511E">
            <w:pPr>
              <w:rPr>
                <w:rFonts w:ascii="Times New Roman" w:hAnsi="Times New Roman" w:cs="Times New Roman"/>
              </w:rPr>
            </w:pPr>
            <w:r w:rsidRPr="005E5CD6">
              <w:rPr>
                <w:rFonts w:ascii="Times New Roman" w:hAnsi="Times New Roman" w:cs="Times New Roman"/>
              </w:rPr>
              <w:t>7</w:t>
            </w:r>
          </w:p>
        </w:tc>
        <w:tc>
          <w:tcPr>
            <w:tcW w:w="872" w:type="dxa"/>
            <w:vAlign w:val="center"/>
          </w:tcPr>
          <w:p w14:paraId="4CA7DCA6" w14:textId="5CE31D83" w:rsidR="00261BC2" w:rsidRPr="005E5CD6" w:rsidRDefault="00261BC2" w:rsidP="005F511E">
            <w:pPr>
              <w:rPr>
                <w:rFonts w:ascii="Times New Roman" w:hAnsi="Times New Roman" w:cs="Times New Roman"/>
              </w:rPr>
            </w:pPr>
            <w:r w:rsidRPr="005E5CD6">
              <w:rPr>
                <w:rFonts w:ascii="Times New Roman" w:hAnsi="Times New Roman" w:cs="Times New Roman"/>
              </w:rPr>
              <w:t>23.3</w:t>
            </w:r>
          </w:p>
        </w:tc>
      </w:tr>
      <w:tr w:rsidR="00261BC2" w:rsidRPr="005E5CD6" w14:paraId="69559D51" w14:textId="77777777" w:rsidTr="005F511E">
        <w:trPr>
          <w:trHeight w:val="254"/>
        </w:trPr>
        <w:tc>
          <w:tcPr>
            <w:tcW w:w="8856" w:type="dxa"/>
            <w:vAlign w:val="center"/>
          </w:tcPr>
          <w:p w14:paraId="7F361A0F" w14:textId="14812E6E" w:rsidR="00261BC2" w:rsidRPr="005E5CD6" w:rsidRDefault="00261BC2" w:rsidP="005F511E">
            <w:pPr>
              <w:rPr>
                <w:rFonts w:ascii="Times New Roman" w:hAnsi="Times New Roman" w:cs="Times New Roman"/>
              </w:rPr>
            </w:pPr>
            <w:r w:rsidRPr="005E5CD6">
              <w:rPr>
                <w:rFonts w:ascii="Times New Roman" w:hAnsi="Times New Roman" w:cs="Times New Roman"/>
              </w:rPr>
              <w:t>AI governance / Institutional AI policies</w:t>
            </w:r>
          </w:p>
        </w:tc>
        <w:tc>
          <w:tcPr>
            <w:tcW w:w="621" w:type="dxa"/>
            <w:vAlign w:val="center"/>
          </w:tcPr>
          <w:p w14:paraId="5992ACA1" w14:textId="3ADEEB0F" w:rsidR="00261BC2" w:rsidRPr="005E5CD6" w:rsidRDefault="00261BC2" w:rsidP="005F511E">
            <w:pPr>
              <w:rPr>
                <w:rFonts w:ascii="Times New Roman" w:hAnsi="Times New Roman" w:cs="Times New Roman"/>
              </w:rPr>
            </w:pPr>
            <w:r w:rsidRPr="005E5CD6">
              <w:rPr>
                <w:rFonts w:ascii="Times New Roman" w:hAnsi="Times New Roman" w:cs="Times New Roman"/>
              </w:rPr>
              <w:t>7</w:t>
            </w:r>
          </w:p>
        </w:tc>
        <w:tc>
          <w:tcPr>
            <w:tcW w:w="872" w:type="dxa"/>
            <w:vAlign w:val="center"/>
          </w:tcPr>
          <w:p w14:paraId="6AF58E01" w14:textId="14EC61AA" w:rsidR="00261BC2" w:rsidRPr="005E5CD6" w:rsidRDefault="00261BC2" w:rsidP="005F511E">
            <w:pPr>
              <w:rPr>
                <w:rFonts w:ascii="Times New Roman" w:hAnsi="Times New Roman" w:cs="Times New Roman"/>
              </w:rPr>
            </w:pPr>
            <w:r w:rsidRPr="005E5CD6">
              <w:rPr>
                <w:rFonts w:ascii="Times New Roman" w:hAnsi="Times New Roman" w:cs="Times New Roman"/>
              </w:rPr>
              <w:t>23.3</w:t>
            </w:r>
          </w:p>
        </w:tc>
      </w:tr>
      <w:tr w:rsidR="00261BC2" w:rsidRPr="005E5CD6" w14:paraId="038F831C" w14:textId="77777777" w:rsidTr="005F511E">
        <w:trPr>
          <w:trHeight w:val="254"/>
        </w:trPr>
        <w:tc>
          <w:tcPr>
            <w:tcW w:w="8856" w:type="dxa"/>
            <w:vAlign w:val="center"/>
          </w:tcPr>
          <w:p w14:paraId="264A37D4" w14:textId="33A572C2" w:rsidR="00261BC2" w:rsidRPr="005E5CD6" w:rsidRDefault="00261BC2" w:rsidP="005F511E">
            <w:pPr>
              <w:rPr>
                <w:rFonts w:ascii="Times New Roman" w:hAnsi="Times New Roman" w:cs="Times New Roman"/>
              </w:rPr>
            </w:pPr>
            <w:r w:rsidRPr="005E5CD6">
              <w:rPr>
                <w:rFonts w:ascii="Times New Roman" w:hAnsi="Times New Roman" w:cs="Times New Roman"/>
              </w:rPr>
              <w:t>Learning analytics / AI predictive analytics</w:t>
            </w:r>
          </w:p>
        </w:tc>
        <w:tc>
          <w:tcPr>
            <w:tcW w:w="621" w:type="dxa"/>
            <w:vAlign w:val="center"/>
          </w:tcPr>
          <w:p w14:paraId="084C7B83" w14:textId="6D304F0C" w:rsidR="00261BC2" w:rsidRPr="005E5CD6" w:rsidRDefault="00261BC2" w:rsidP="005F511E">
            <w:pPr>
              <w:rPr>
                <w:rFonts w:ascii="Times New Roman" w:hAnsi="Times New Roman" w:cs="Times New Roman"/>
              </w:rPr>
            </w:pPr>
            <w:r w:rsidRPr="005E5CD6">
              <w:rPr>
                <w:rFonts w:ascii="Times New Roman" w:hAnsi="Times New Roman" w:cs="Times New Roman"/>
              </w:rPr>
              <w:t>6</w:t>
            </w:r>
          </w:p>
        </w:tc>
        <w:tc>
          <w:tcPr>
            <w:tcW w:w="872" w:type="dxa"/>
            <w:vAlign w:val="center"/>
          </w:tcPr>
          <w:p w14:paraId="792B0C9B" w14:textId="71555FA4" w:rsidR="00261BC2" w:rsidRPr="005E5CD6" w:rsidRDefault="00261BC2" w:rsidP="005F511E">
            <w:pPr>
              <w:rPr>
                <w:rFonts w:ascii="Times New Roman" w:hAnsi="Times New Roman" w:cs="Times New Roman"/>
              </w:rPr>
            </w:pPr>
            <w:r w:rsidRPr="005E5CD6">
              <w:rPr>
                <w:rFonts w:ascii="Times New Roman" w:hAnsi="Times New Roman" w:cs="Times New Roman"/>
              </w:rPr>
              <w:t>20.0</w:t>
            </w:r>
          </w:p>
        </w:tc>
      </w:tr>
      <w:tr w:rsidR="00261BC2" w:rsidRPr="005E5CD6" w14:paraId="45A37D9C" w14:textId="77777777" w:rsidTr="005F511E">
        <w:trPr>
          <w:trHeight w:val="243"/>
        </w:trPr>
        <w:tc>
          <w:tcPr>
            <w:tcW w:w="8856" w:type="dxa"/>
            <w:vAlign w:val="center"/>
          </w:tcPr>
          <w:p w14:paraId="31639A1C" w14:textId="2C169F77" w:rsidR="00261BC2" w:rsidRPr="005E5CD6" w:rsidRDefault="00261BC2" w:rsidP="005F511E">
            <w:pPr>
              <w:rPr>
                <w:rFonts w:ascii="Times New Roman" w:hAnsi="Times New Roman" w:cs="Times New Roman"/>
              </w:rPr>
            </w:pPr>
            <w:r w:rsidRPr="005E5CD6">
              <w:rPr>
                <w:rFonts w:ascii="Times New Roman" w:hAnsi="Times New Roman" w:cs="Times New Roman"/>
              </w:rPr>
              <w:t>AI research centers / Innovation hubs</w:t>
            </w:r>
          </w:p>
        </w:tc>
        <w:tc>
          <w:tcPr>
            <w:tcW w:w="621" w:type="dxa"/>
            <w:vAlign w:val="center"/>
          </w:tcPr>
          <w:p w14:paraId="551BE881" w14:textId="7AF0713E" w:rsidR="00261BC2" w:rsidRPr="005E5CD6" w:rsidRDefault="00261BC2" w:rsidP="005F511E">
            <w:pPr>
              <w:rPr>
                <w:rFonts w:ascii="Times New Roman" w:hAnsi="Times New Roman" w:cs="Times New Roman"/>
              </w:rPr>
            </w:pPr>
            <w:r w:rsidRPr="005E5CD6">
              <w:rPr>
                <w:rFonts w:ascii="Times New Roman" w:hAnsi="Times New Roman" w:cs="Times New Roman"/>
              </w:rPr>
              <w:t>6</w:t>
            </w:r>
          </w:p>
        </w:tc>
        <w:tc>
          <w:tcPr>
            <w:tcW w:w="872" w:type="dxa"/>
            <w:vAlign w:val="center"/>
          </w:tcPr>
          <w:p w14:paraId="2AB38FE1" w14:textId="75354FA1" w:rsidR="00261BC2" w:rsidRPr="005E5CD6" w:rsidRDefault="00261BC2" w:rsidP="005F511E">
            <w:pPr>
              <w:rPr>
                <w:rFonts w:ascii="Times New Roman" w:hAnsi="Times New Roman" w:cs="Times New Roman"/>
              </w:rPr>
            </w:pPr>
            <w:r w:rsidRPr="005E5CD6">
              <w:rPr>
                <w:rFonts w:ascii="Times New Roman" w:hAnsi="Times New Roman" w:cs="Times New Roman"/>
              </w:rPr>
              <w:t>20.0</w:t>
            </w:r>
          </w:p>
        </w:tc>
      </w:tr>
    </w:tbl>
    <w:p w14:paraId="353804FD" w14:textId="77777777" w:rsidR="00BE4BCA" w:rsidRPr="005E5CD6" w:rsidRDefault="007C55AE"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The quantitative synthesis of higher education practices reported in the literature is presented in Table 3. </w:t>
      </w:r>
      <w:r w:rsidR="00044B09" w:rsidRPr="005E5CD6">
        <w:rPr>
          <w:rFonts w:ascii="Times New Roman" w:hAnsi="Times New Roman" w:cs="Times New Roman"/>
        </w:rPr>
        <w:t xml:space="preserve">The frequency analysis demonstrates that curriculum redesign aligned with industry and AI workforce needs </w:t>
      </w:r>
      <w:r w:rsidR="00217F99" w:rsidRPr="005E5CD6">
        <w:rPr>
          <w:rFonts w:ascii="Times New Roman" w:hAnsi="Times New Roman" w:cs="Times New Roman"/>
        </w:rPr>
        <w:t xml:space="preserve">have </w:t>
      </w:r>
      <w:r w:rsidR="00044B09" w:rsidRPr="005E5CD6">
        <w:rPr>
          <w:rFonts w:ascii="Times New Roman" w:hAnsi="Times New Roman" w:cs="Times New Roman"/>
        </w:rPr>
        <w:t>emerged as the most consistently reported higher education practice</w:t>
      </w:r>
      <w:r w:rsidR="00217F99" w:rsidRPr="005E5CD6">
        <w:rPr>
          <w:rFonts w:ascii="Times New Roman" w:hAnsi="Times New Roman" w:cs="Times New Roman"/>
        </w:rPr>
        <w:t xml:space="preserve"> which </w:t>
      </w:r>
      <w:r w:rsidR="00044B09" w:rsidRPr="005E5CD6">
        <w:rPr>
          <w:rFonts w:ascii="Times New Roman" w:hAnsi="Times New Roman" w:cs="Times New Roman"/>
        </w:rPr>
        <w:t>appear in 25 studies (83.3%)</w:t>
      </w:r>
      <w:r w:rsidR="00812713" w:rsidRPr="005E5CD6">
        <w:rPr>
          <w:rFonts w:ascii="Times New Roman" w:hAnsi="Times New Roman" w:cs="Times New Roman"/>
        </w:rPr>
        <w:t xml:space="preserve"> where u</w:t>
      </w:r>
      <w:r w:rsidR="00044B09" w:rsidRPr="005E5CD6">
        <w:rPr>
          <w:rFonts w:ascii="Times New Roman" w:hAnsi="Times New Roman" w:cs="Times New Roman"/>
        </w:rPr>
        <w:t xml:space="preserve">niversities </w:t>
      </w:r>
      <w:r w:rsidR="00467CA0" w:rsidRPr="005E5CD6">
        <w:rPr>
          <w:rFonts w:ascii="Times New Roman" w:hAnsi="Times New Roman" w:cs="Times New Roman"/>
        </w:rPr>
        <w:t xml:space="preserve">are </w:t>
      </w:r>
      <w:r w:rsidR="00044B09" w:rsidRPr="005E5CD6">
        <w:rPr>
          <w:rFonts w:ascii="Times New Roman" w:hAnsi="Times New Roman" w:cs="Times New Roman"/>
        </w:rPr>
        <w:t>continuously updat</w:t>
      </w:r>
      <w:r w:rsidR="00467CA0" w:rsidRPr="005E5CD6">
        <w:rPr>
          <w:rFonts w:ascii="Times New Roman" w:hAnsi="Times New Roman" w:cs="Times New Roman"/>
        </w:rPr>
        <w:t>ing</w:t>
      </w:r>
      <w:r w:rsidR="00044B09" w:rsidRPr="005E5CD6">
        <w:rPr>
          <w:rFonts w:ascii="Times New Roman" w:hAnsi="Times New Roman" w:cs="Times New Roman"/>
        </w:rPr>
        <w:t xml:space="preserve"> </w:t>
      </w:r>
      <w:r w:rsidR="00467CA0" w:rsidRPr="005E5CD6">
        <w:rPr>
          <w:rFonts w:ascii="Times New Roman" w:hAnsi="Times New Roman" w:cs="Times New Roman"/>
        </w:rPr>
        <w:t xml:space="preserve">their </w:t>
      </w:r>
      <w:r w:rsidR="00044B09" w:rsidRPr="005E5CD6">
        <w:rPr>
          <w:rFonts w:ascii="Times New Roman" w:hAnsi="Times New Roman" w:cs="Times New Roman"/>
        </w:rPr>
        <w:t>curricula to reflect technological advances</w:t>
      </w:r>
      <w:r w:rsidRPr="005E5CD6">
        <w:rPr>
          <w:rFonts w:ascii="Times New Roman" w:hAnsi="Times New Roman" w:cs="Times New Roman"/>
        </w:rPr>
        <w:t xml:space="preserve"> and </w:t>
      </w:r>
      <w:r w:rsidR="00044B09" w:rsidRPr="005E5CD6">
        <w:rPr>
          <w:rFonts w:ascii="Times New Roman" w:hAnsi="Times New Roman" w:cs="Times New Roman"/>
        </w:rPr>
        <w:t>emerging occupations</w:t>
      </w:r>
      <w:r w:rsidRPr="005E5CD6">
        <w:rPr>
          <w:rFonts w:ascii="Times New Roman" w:hAnsi="Times New Roman" w:cs="Times New Roman"/>
        </w:rPr>
        <w:t xml:space="preserve"> including the </w:t>
      </w:r>
      <w:r w:rsidR="00044B09" w:rsidRPr="005E5CD6">
        <w:rPr>
          <w:rFonts w:ascii="Times New Roman" w:hAnsi="Times New Roman" w:cs="Times New Roman"/>
        </w:rPr>
        <w:t xml:space="preserve">changing employer expectations associated with Artificial Intelligence and digital transformation. </w:t>
      </w:r>
      <w:r w:rsidR="00BE4BCA" w:rsidRPr="005E5CD6">
        <w:rPr>
          <w:rFonts w:ascii="Times New Roman" w:hAnsi="Times New Roman" w:cs="Times New Roman"/>
        </w:rPr>
        <w:t>Establishing university-industry partnerships (76.7%) has emerged as strong practice of higher education institutions where the school leaders signed agreements with companies to send students for internship or training while gaining experiential learning (70.0%), work-integrated learning (66.7%), and project-based learning (63.3%) which indicate that authentic workplace experiences remain central strategies for bridging classroom learning with AI-enabled professional practice. Meanwhile, a strong emphasis on AI literacy (60.0%), digital literacy (56.7%) and lifelong learning (56.7%) has reflected that graduates need to keep adapting to the changing technologies and not rely solely on disciplinary knowledge.</w:t>
      </w:r>
    </w:p>
    <w:p w14:paraId="30EAA75F" w14:textId="598AA40D" w:rsidR="00044B09" w:rsidRPr="005E5CD6" w:rsidRDefault="00044B09"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More than half of the reviewed studies further highlighted competency-based education (50.0%), communication skills development (46.7%), interdisciplinary learning (43.3%), technology-enhanced learning (40.0%), and critical thinking instruction (36.7%)</w:t>
      </w:r>
      <w:r w:rsidR="007C55AE" w:rsidRPr="005E5CD6">
        <w:rPr>
          <w:rFonts w:ascii="Times New Roman" w:hAnsi="Times New Roman" w:cs="Times New Roman"/>
        </w:rPr>
        <w:t xml:space="preserve"> which </w:t>
      </w:r>
      <w:r w:rsidR="00792011" w:rsidRPr="005E5CD6">
        <w:rPr>
          <w:rFonts w:ascii="Times New Roman" w:hAnsi="Times New Roman" w:cs="Times New Roman"/>
        </w:rPr>
        <w:t xml:space="preserve">further imply </w:t>
      </w:r>
      <w:r w:rsidRPr="005E5CD6">
        <w:rPr>
          <w:rFonts w:ascii="Times New Roman" w:hAnsi="Times New Roman" w:cs="Times New Roman"/>
        </w:rPr>
        <w:t xml:space="preserve">that universities should integrate AI-related technical competencies with transferable human skills. </w:t>
      </w:r>
      <w:r w:rsidR="00792011" w:rsidRPr="005E5CD6">
        <w:rPr>
          <w:rFonts w:ascii="Times New Roman" w:hAnsi="Times New Roman" w:cs="Times New Roman"/>
        </w:rPr>
        <w:t>A recurring emphasis on ethical AI education was identified in 33.3% of the reviewed studies, reflecting the growing concern for the responsible use of AI in professional settings.</w:t>
      </w:r>
    </w:p>
    <w:p w14:paraId="3523C300" w14:textId="4825B752" w:rsidR="00044B09" w:rsidRPr="005E5CD6" w:rsidRDefault="007C55AE"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However, it is surprisingly to note the following approaches were </w:t>
      </w:r>
      <w:r w:rsidR="00044B09" w:rsidRPr="005E5CD6">
        <w:rPr>
          <w:rFonts w:ascii="Times New Roman" w:hAnsi="Times New Roman" w:cs="Times New Roman"/>
        </w:rPr>
        <w:t>less frequently reported</w:t>
      </w:r>
      <w:r w:rsidRPr="005E5CD6">
        <w:rPr>
          <w:rFonts w:ascii="Times New Roman" w:hAnsi="Times New Roman" w:cs="Times New Roman"/>
        </w:rPr>
        <w:t xml:space="preserve"> regarding the </w:t>
      </w:r>
      <w:r w:rsidR="00044B09" w:rsidRPr="005E5CD6">
        <w:rPr>
          <w:rFonts w:ascii="Times New Roman" w:hAnsi="Times New Roman" w:cs="Times New Roman"/>
        </w:rPr>
        <w:t xml:space="preserve">emerging educational practices </w:t>
      </w:r>
      <w:r w:rsidRPr="005E5CD6">
        <w:rPr>
          <w:rFonts w:ascii="Times New Roman" w:hAnsi="Times New Roman" w:cs="Times New Roman"/>
        </w:rPr>
        <w:t xml:space="preserve">that </w:t>
      </w:r>
      <w:r w:rsidR="00044B09" w:rsidRPr="005E5CD6">
        <w:rPr>
          <w:rFonts w:ascii="Times New Roman" w:hAnsi="Times New Roman" w:cs="Times New Roman"/>
        </w:rPr>
        <w:t>demonstrate the evolving role of AI in higher education. These include adaptive and personalized learning (</w:t>
      </w:r>
      <w:r w:rsidR="00261BC2" w:rsidRPr="005E5CD6">
        <w:rPr>
          <w:rFonts w:ascii="Times New Roman" w:hAnsi="Times New Roman" w:cs="Times New Roman"/>
        </w:rPr>
        <w:t>26.7</w:t>
      </w:r>
      <w:r w:rsidR="00044B09" w:rsidRPr="005E5CD6">
        <w:rPr>
          <w:rFonts w:ascii="Times New Roman" w:hAnsi="Times New Roman" w:cs="Times New Roman"/>
        </w:rPr>
        <w:t>%), AI-supported teaching and assessment (</w:t>
      </w:r>
      <w:r w:rsidR="00261BC2" w:rsidRPr="005E5CD6">
        <w:rPr>
          <w:rFonts w:ascii="Times New Roman" w:hAnsi="Times New Roman" w:cs="Times New Roman"/>
        </w:rPr>
        <w:t>26.7</w:t>
      </w:r>
      <w:r w:rsidR="00044B09" w:rsidRPr="005E5CD6">
        <w:rPr>
          <w:rFonts w:ascii="Times New Roman" w:hAnsi="Times New Roman" w:cs="Times New Roman"/>
        </w:rPr>
        <w:t>%), simulation-based learning (</w:t>
      </w:r>
      <w:r w:rsidR="00261BC2" w:rsidRPr="005E5CD6">
        <w:rPr>
          <w:rFonts w:ascii="Times New Roman" w:hAnsi="Times New Roman" w:cs="Times New Roman"/>
        </w:rPr>
        <w:t>23.3</w:t>
      </w:r>
      <w:r w:rsidR="00044B09" w:rsidRPr="005E5CD6">
        <w:rPr>
          <w:rFonts w:ascii="Times New Roman" w:hAnsi="Times New Roman" w:cs="Times New Roman"/>
        </w:rPr>
        <w:t>%), institutional AI governance (</w:t>
      </w:r>
      <w:r w:rsidR="00261BC2" w:rsidRPr="005E5CD6">
        <w:rPr>
          <w:rFonts w:ascii="Times New Roman" w:hAnsi="Times New Roman" w:cs="Times New Roman"/>
        </w:rPr>
        <w:t>23.3</w:t>
      </w:r>
      <w:r w:rsidR="00044B09" w:rsidRPr="005E5CD6">
        <w:rPr>
          <w:rFonts w:ascii="Times New Roman" w:hAnsi="Times New Roman" w:cs="Times New Roman"/>
        </w:rPr>
        <w:t>%), and learning analytics using AI (22.5%). A small number of studies also proposed establishing AI research centers and innovation hubs (</w:t>
      </w:r>
      <w:r w:rsidR="00261BC2" w:rsidRPr="005E5CD6">
        <w:rPr>
          <w:rFonts w:ascii="Times New Roman" w:hAnsi="Times New Roman" w:cs="Times New Roman"/>
        </w:rPr>
        <w:t>20</w:t>
      </w:r>
      <w:r w:rsidR="00044B09" w:rsidRPr="005E5CD6">
        <w:rPr>
          <w:rFonts w:ascii="Times New Roman" w:hAnsi="Times New Roman" w:cs="Times New Roman"/>
        </w:rPr>
        <w:t xml:space="preserve">.0%) to support institutional capacity building and workforce innovation. </w:t>
      </w:r>
    </w:p>
    <w:p w14:paraId="173D16E7" w14:textId="0C5516C6" w:rsidR="00D6183D" w:rsidRPr="005E5CD6" w:rsidRDefault="007C55AE" w:rsidP="005E5CD6">
      <w:pPr>
        <w:spacing w:before="240" w:after="240" w:line="240" w:lineRule="auto"/>
        <w:rPr>
          <w:rFonts w:ascii="Times New Roman" w:hAnsi="Times New Roman" w:cs="Times New Roman"/>
          <w:b/>
          <w:bCs/>
        </w:rPr>
      </w:pPr>
      <w:r w:rsidRPr="005E5CD6">
        <w:rPr>
          <w:rFonts w:ascii="Times New Roman" w:hAnsi="Times New Roman" w:cs="Times New Roman"/>
          <w:b/>
          <w:bCs/>
        </w:rPr>
        <w:lastRenderedPageBreak/>
        <w:t xml:space="preserve">Table 4. </w:t>
      </w:r>
      <w:r w:rsidR="00D6183D" w:rsidRPr="005E5CD6">
        <w:rPr>
          <w:rFonts w:ascii="Times New Roman" w:hAnsi="Times New Roman" w:cs="Times New Roman"/>
          <w:b/>
          <w:bCs/>
        </w:rPr>
        <w:t xml:space="preserve">Category-Level Quantitative Synthesis of Employability Competencies Essential for Graduates to Succeed in the AI Workforce </w:t>
      </w:r>
    </w:p>
    <w:tbl>
      <w:tblPr>
        <w:tblStyle w:val="TableGrid"/>
        <w:tblW w:w="10796" w:type="dxa"/>
        <w:tblLook w:val="04A0" w:firstRow="1" w:lastRow="0" w:firstColumn="1" w:lastColumn="0" w:noHBand="0" w:noVBand="1"/>
      </w:tblPr>
      <w:tblGrid>
        <w:gridCol w:w="1576"/>
        <w:gridCol w:w="2388"/>
        <w:gridCol w:w="6832"/>
      </w:tblGrid>
      <w:tr w:rsidR="00CE78CB" w:rsidRPr="005E5CD6" w14:paraId="75C9D2F8" w14:textId="5C953F47" w:rsidTr="005F511E">
        <w:trPr>
          <w:trHeight w:val="536"/>
        </w:trPr>
        <w:tc>
          <w:tcPr>
            <w:tcW w:w="1576" w:type="dxa"/>
            <w:vAlign w:val="center"/>
          </w:tcPr>
          <w:p w14:paraId="0B76FC52" w14:textId="410E18E9" w:rsidR="00CE78CB" w:rsidRPr="005E5CD6" w:rsidRDefault="00CE78CB" w:rsidP="005F511E">
            <w:pPr>
              <w:jc w:val="center"/>
              <w:rPr>
                <w:rFonts w:ascii="Times New Roman" w:hAnsi="Times New Roman" w:cs="Times New Roman"/>
              </w:rPr>
            </w:pPr>
            <w:r w:rsidRPr="005E5CD6">
              <w:rPr>
                <w:rFonts w:ascii="Times New Roman" w:hAnsi="Times New Roman" w:cs="Times New Roman"/>
                <w:b/>
                <w:bCs/>
              </w:rPr>
              <w:t>Competency Dimension (%)</w:t>
            </w:r>
          </w:p>
        </w:tc>
        <w:tc>
          <w:tcPr>
            <w:tcW w:w="2388" w:type="dxa"/>
            <w:vAlign w:val="center"/>
          </w:tcPr>
          <w:p w14:paraId="6EBA7C99" w14:textId="73453C56" w:rsidR="00CE78CB" w:rsidRPr="005E5CD6" w:rsidRDefault="00CE78CB" w:rsidP="005F511E">
            <w:pPr>
              <w:jc w:val="center"/>
              <w:rPr>
                <w:rFonts w:ascii="Times New Roman" w:hAnsi="Times New Roman" w:cs="Times New Roman"/>
              </w:rPr>
            </w:pPr>
            <w:r w:rsidRPr="005E5CD6">
              <w:rPr>
                <w:rFonts w:ascii="Times New Roman" w:hAnsi="Times New Roman" w:cs="Times New Roman"/>
                <w:b/>
                <w:bCs/>
              </w:rPr>
              <w:t>Representative Competencies</w:t>
            </w:r>
          </w:p>
        </w:tc>
        <w:tc>
          <w:tcPr>
            <w:tcW w:w="6832" w:type="dxa"/>
            <w:vAlign w:val="center"/>
          </w:tcPr>
          <w:p w14:paraId="64A97DED" w14:textId="23459319" w:rsidR="00CE78CB" w:rsidRPr="005E5CD6" w:rsidRDefault="00CE78CB" w:rsidP="005F511E">
            <w:pPr>
              <w:jc w:val="center"/>
              <w:rPr>
                <w:rFonts w:ascii="Times New Roman" w:hAnsi="Times New Roman" w:cs="Times New Roman"/>
                <w:b/>
                <w:bCs/>
              </w:rPr>
            </w:pPr>
            <w:r w:rsidRPr="005E5CD6">
              <w:rPr>
                <w:rFonts w:ascii="Times New Roman" w:hAnsi="Times New Roman" w:cs="Times New Roman"/>
                <w:b/>
                <w:bCs/>
              </w:rPr>
              <w:t>Reviewed Studies</w:t>
            </w:r>
          </w:p>
        </w:tc>
      </w:tr>
      <w:tr w:rsidR="00CE78CB" w:rsidRPr="005E5CD6" w14:paraId="1C66314A" w14:textId="5550E5F5" w:rsidTr="005F511E">
        <w:trPr>
          <w:trHeight w:val="1251"/>
        </w:trPr>
        <w:tc>
          <w:tcPr>
            <w:tcW w:w="1576" w:type="dxa"/>
            <w:vAlign w:val="center"/>
          </w:tcPr>
          <w:p w14:paraId="60BCF788" w14:textId="272A3FBB" w:rsidR="00CE78CB" w:rsidRPr="005E5CD6" w:rsidRDefault="00CE78CB" w:rsidP="005F511E">
            <w:pPr>
              <w:rPr>
                <w:rFonts w:ascii="Times New Roman" w:hAnsi="Times New Roman" w:cs="Times New Roman"/>
              </w:rPr>
            </w:pPr>
            <w:r w:rsidRPr="005E5CD6">
              <w:rPr>
                <w:rFonts w:ascii="Times New Roman" w:hAnsi="Times New Roman" w:cs="Times New Roman"/>
              </w:rPr>
              <w:t>Personal Adaptability Competencies (75.0</w:t>
            </w:r>
            <w:r w:rsidR="005A4166" w:rsidRPr="005E5CD6">
              <w:rPr>
                <w:rFonts w:ascii="Times New Roman" w:hAnsi="Times New Roman" w:cs="Times New Roman"/>
              </w:rPr>
              <w:t>%</w:t>
            </w:r>
            <w:r w:rsidRPr="005E5CD6">
              <w:rPr>
                <w:rFonts w:ascii="Times New Roman" w:hAnsi="Times New Roman" w:cs="Times New Roman"/>
              </w:rPr>
              <w:t>)</w:t>
            </w:r>
          </w:p>
        </w:tc>
        <w:tc>
          <w:tcPr>
            <w:tcW w:w="2388" w:type="dxa"/>
            <w:vAlign w:val="center"/>
          </w:tcPr>
          <w:p w14:paraId="4C710ED2" w14:textId="306AE539" w:rsidR="00CE78CB" w:rsidRPr="005E5CD6" w:rsidRDefault="00CE78CB" w:rsidP="005F511E">
            <w:pPr>
              <w:rPr>
                <w:rFonts w:ascii="Times New Roman" w:hAnsi="Times New Roman" w:cs="Times New Roman"/>
              </w:rPr>
            </w:pPr>
            <w:r w:rsidRPr="005E5CD6">
              <w:rPr>
                <w:rFonts w:ascii="Times New Roman" w:hAnsi="Times New Roman" w:cs="Times New Roman"/>
              </w:rPr>
              <w:t>Adaptability, lifelong learning, self-directed learning, resilience</w:t>
            </w:r>
          </w:p>
        </w:tc>
        <w:tc>
          <w:tcPr>
            <w:tcW w:w="6832" w:type="dxa"/>
            <w:vAlign w:val="center"/>
          </w:tcPr>
          <w:p w14:paraId="1B92C152" w14:textId="5AEF347E" w:rsidR="00CE78CB" w:rsidRPr="005E5CD6" w:rsidRDefault="00CE78CB" w:rsidP="005F511E">
            <w:pPr>
              <w:rPr>
                <w:rFonts w:ascii="Times New Roman" w:hAnsi="Times New Roman" w:cs="Times New Roman"/>
                <w:b/>
                <w:bCs/>
              </w:rPr>
            </w:pPr>
            <w:r w:rsidRPr="005E5CD6">
              <w:rPr>
                <w:rFonts w:ascii="Times New Roman" w:hAnsi="Times New Roman" w:cs="Times New Roman"/>
                <w:lang w:val="sv-SE"/>
              </w:rPr>
              <w:t xml:space="preserve">Verma et al. (2025); AlAfnan et al. (2024); Utkirov (2024); Nayan &amp; Nayan (2024); Ratnayake &amp; Amarasinghe (2025); Mahmood et al. (2023); Kana &amp; Letaba (2024); Anowor et al. </w:t>
            </w:r>
            <w:r w:rsidRPr="005E5CD6">
              <w:rPr>
                <w:rFonts w:ascii="Times New Roman" w:hAnsi="Times New Roman" w:cs="Times New Roman"/>
              </w:rPr>
              <w:t>(2025); Imarhiagbe et al. (2025); Kamaruzaman et al. (2024)</w:t>
            </w:r>
          </w:p>
        </w:tc>
      </w:tr>
      <w:tr w:rsidR="00CE78CB" w:rsidRPr="005E5CD6" w14:paraId="61CBE67A" w14:textId="680F2E0B" w:rsidTr="005F511E">
        <w:trPr>
          <w:trHeight w:val="1358"/>
        </w:trPr>
        <w:tc>
          <w:tcPr>
            <w:tcW w:w="1576" w:type="dxa"/>
            <w:vAlign w:val="center"/>
          </w:tcPr>
          <w:p w14:paraId="29CC00F6" w14:textId="59536A27" w:rsidR="00CE78CB" w:rsidRPr="005E5CD6" w:rsidRDefault="00CE78CB" w:rsidP="005F511E">
            <w:pPr>
              <w:rPr>
                <w:rFonts w:ascii="Times New Roman" w:hAnsi="Times New Roman" w:cs="Times New Roman"/>
              </w:rPr>
            </w:pPr>
            <w:r w:rsidRPr="005E5CD6">
              <w:rPr>
                <w:rFonts w:ascii="Times New Roman" w:hAnsi="Times New Roman" w:cs="Times New Roman"/>
              </w:rPr>
              <w:t xml:space="preserve">Higher-Order Cognitive Competencies (72.0%) </w:t>
            </w:r>
          </w:p>
        </w:tc>
        <w:tc>
          <w:tcPr>
            <w:tcW w:w="2388" w:type="dxa"/>
            <w:vAlign w:val="center"/>
          </w:tcPr>
          <w:p w14:paraId="124DA620" w14:textId="01A9F72E" w:rsidR="00CE78CB" w:rsidRPr="005E5CD6" w:rsidRDefault="00CE78CB" w:rsidP="005F511E">
            <w:pPr>
              <w:rPr>
                <w:rFonts w:ascii="Times New Roman" w:hAnsi="Times New Roman" w:cs="Times New Roman"/>
              </w:rPr>
            </w:pPr>
            <w:r w:rsidRPr="005E5CD6">
              <w:rPr>
                <w:rFonts w:ascii="Times New Roman" w:hAnsi="Times New Roman" w:cs="Times New Roman"/>
              </w:rPr>
              <w:t>Critical thinking, analytical thinking, creativity, innovation, problem-solving, decision-making</w:t>
            </w:r>
          </w:p>
        </w:tc>
        <w:tc>
          <w:tcPr>
            <w:tcW w:w="6832" w:type="dxa"/>
            <w:vAlign w:val="center"/>
          </w:tcPr>
          <w:p w14:paraId="2966523C" w14:textId="25BDA96E" w:rsidR="00CE78CB" w:rsidRPr="005E5CD6" w:rsidRDefault="00CE78CB" w:rsidP="005F511E">
            <w:pPr>
              <w:rPr>
                <w:rFonts w:ascii="Times New Roman" w:hAnsi="Times New Roman" w:cs="Times New Roman"/>
                <w:b/>
                <w:bCs/>
              </w:rPr>
            </w:pPr>
            <w:r w:rsidRPr="005E5CD6">
              <w:rPr>
                <w:rFonts w:ascii="Times New Roman" w:hAnsi="Times New Roman" w:cs="Times New Roman"/>
                <w:lang w:val="sv-SE"/>
              </w:rPr>
              <w:t xml:space="preserve">Yuriev et al. (2024); Verma et al. (2025); AlAfnan et al. (2024); Lee et al. (2024); Chen et al. (2025); Kamaruzaman et al. (2024); Nayan &amp; Nayan (2024); Mahmood et al. </w:t>
            </w:r>
            <w:r w:rsidRPr="005E5CD6">
              <w:rPr>
                <w:rFonts w:ascii="Times New Roman" w:hAnsi="Times New Roman" w:cs="Times New Roman"/>
              </w:rPr>
              <w:t>(2023); Ratnayake &amp; Amarasinghe (2025); Kana &amp; Letaba (2024)</w:t>
            </w:r>
          </w:p>
        </w:tc>
      </w:tr>
      <w:tr w:rsidR="00CE78CB" w:rsidRPr="005E5CD6" w14:paraId="5C90CA4A" w14:textId="556D9366" w:rsidTr="005F511E">
        <w:trPr>
          <w:trHeight w:val="1358"/>
        </w:trPr>
        <w:tc>
          <w:tcPr>
            <w:tcW w:w="1576" w:type="dxa"/>
            <w:vAlign w:val="center"/>
          </w:tcPr>
          <w:p w14:paraId="5FCAF701" w14:textId="73F044E6" w:rsidR="00CE78CB" w:rsidRPr="005E5CD6" w:rsidRDefault="00CE78CB" w:rsidP="005F511E">
            <w:pPr>
              <w:rPr>
                <w:rFonts w:ascii="Times New Roman" w:hAnsi="Times New Roman" w:cs="Times New Roman"/>
              </w:rPr>
            </w:pPr>
            <w:r w:rsidRPr="005E5CD6">
              <w:rPr>
                <w:rFonts w:ascii="Times New Roman" w:hAnsi="Times New Roman" w:cs="Times New Roman"/>
              </w:rPr>
              <w:t>Interpersonal Competencies (71.8%)</w:t>
            </w:r>
          </w:p>
        </w:tc>
        <w:tc>
          <w:tcPr>
            <w:tcW w:w="2388" w:type="dxa"/>
            <w:vAlign w:val="center"/>
          </w:tcPr>
          <w:p w14:paraId="0872DB20" w14:textId="493455EA" w:rsidR="00CE78CB" w:rsidRPr="005E5CD6" w:rsidRDefault="00CE78CB" w:rsidP="005F511E">
            <w:pPr>
              <w:rPr>
                <w:rFonts w:ascii="Times New Roman" w:hAnsi="Times New Roman" w:cs="Times New Roman"/>
              </w:rPr>
            </w:pPr>
            <w:r w:rsidRPr="005E5CD6">
              <w:rPr>
                <w:rFonts w:ascii="Times New Roman" w:hAnsi="Times New Roman" w:cs="Times New Roman"/>
              </w:rPr>
              <w:t>Communication, teamwork, collaboration, leadership, emotional intelligence</w:t>
            </w:r>
          </w:p>
        </w:tc>
        <w:tc>
          <w:tcPr>
            <w:tcW w:w="6832" w:type="dxa"/>
            <w:vAlign w:val="center"/>
          </w:tcPr>
          <w:p w14:paraId="67BC9475" w14:textId="7819AAC3" w:rsidR="00CE78CB" w:rsidRPr="005E5CD6" w:rsidRDefault="00CE78CB" w:rsidP="005F511E">
            <w:pPr>
              <w:rPr>
                <w:rFonts w:ascii="Times New Roman" w:hAnsi="Times New Roman" w:cs="Times New Roman"/>
                <w:b/>
                <w:bCs/>
              </w:rPr>
            </w:pPr>
            <w:r w:rsidRPr="005E5CD6">
              <w:rPr>
                <w:rFonts w:ascii="Times New Roman" w:hAnsi="Times New Roman" w:cs="Times New Roman"/>
                <w:lang w:val="sv-SE"/>
              </w:rPr>
              <w:t xml:space="preserve">AlAfnan et al. (2024); Lee et al. (2024); Verma et al. (2025); Mahmood et al. </w:t>
            </w:r>
            <w:r w:rsidRPr="005E5CD6">
              <w:rPr>
                <w:rFonts w:ascii="Times New Roman" w:hAnsi="Times New Roman" w:cs="Times New Roman"/>
              </w:rPr>
              <w:t>(2023); Nayan &amp; Nayan (2024); Ratnayake &amp; Amarasinghe (2025); Osunde (2025); Kana &amp; Letaba (2024); Utkirov (2024)</w:t>
            </w:r>
          </w:p>
        </w:tc>
      </w:tr>
      <w:tr w:rsidR="00CE78CB" w:rsidRPr="005E5CD6" w14:paraId="672BB185" w14:textId="489835A1" w:rsidTr="005F511E">
        <w:trPr>
          <w:trHeight w:val="1251"/>
        </w:trPr>
        <w:tc>
          <w:tcPr>
            <w:tcW w:w="1576" w:type="dxa"/>
            <w:vAlign w:val="center"/>
          </w:tcPr>
          <w:p w14:paraId="59F89718" w14:textId="08C06F6A" w:rsidR="00CE78CB" w:rsidRPr="005E5CD6" w:rsidRDefault="00CE78CB" w:rsidP="005F511E">
            <w:pPr>
              <w:rPr>
                <w:rFonts w:ascii="Times New Roman" w:hAnsi="Times New Roman" w:cs="Times New Roman"/>
              </w:rPr>
            </w:pPr>
            <w:r w:rsidRPr="005E5CD6">
              <w:rPr>
                <w:rFonts w:ascii="Times New Roman" w:hAnsi="Times New Roman" w:cs="Times New Roman"/>
              </w:rPr>
              <w:t>Digital and AI Competencies (46.7%)</w:t>
            </w:r>
          </w:p>
        </w:tc>
        <w:tc>
          <w:tcPr>
            <w:tcW w:w="2388" w:type="dxa"/>
            <w:vAlign w:val="center"/>
          </w:tcPr>
          <w:p w14:paraId="30C95BDF" w14:textId="2894AF73" w:rsidR="00CE78CB" w:rsidRPr="005E5CD6" w:rsidRDefault="00CE78CB" w:rsidP="005F511E">
            <w:pPr>
              <w:rPr>
                <w:rFonts w:ascii="Times New Roman" w:hAnsi="Times New Roman" w:cs="Times New Roman"/>
              </w:rPr>
            </w:pPr>
            <w:r w:rsidRPr="005E5CD6">
              <w:rPr>
                <w:rFonts w:ascii="Times New Roman" w:hAnsi="Times New Roman" w:cs="Times New Roman"/>
              </w:rPr>
              <w:t>AI literacy, digital literacy, data literacy, programming, prompt engineering</w:t>
            </w:r>
          </w:p>
        </w:tc>
        <w:tc>
          <w:tcPr>
            <w:tcW w:w="6832" w:type="dxa"/>
            <w:vAlign w:val="center"/>
          </w:tcPr>
          <w:p w14:paraId="124E3543" w14:textId="0BB8F7D3" w:rsidR="00CE78CB" w:rsidRPr="005E5CD6" w:rsidRDefault="00CE78CB" w:rsidP="005F511E">
            <w:pPr>
              <w:rPr>
                <w:rFonts w:ascii="Times New Roman" w:hAnsi="Times New Roman" w:cs="Times New Roman"/>
                <w:b/>
                <w:bCs/>
              </w:rPr>
            </w:pPr>
            <w:r w:rsidRPr="005E5CD6">
              <w:rPr>
                <w:rFonts w:ascii="Times New Roman" w:hAnsi="Times New Roman" w:cs="Times New Roman"/>
                <w:lang w:val="sv-SE"/>
              </w:rPr>
              <w:t xml:space="preserve">Chen et al. (2025); Yuriev et al. (2024); Imarhiagbe et al. (2025); Utkirov (2024); AlAfnan et al. (2024); Lee et al. (2024); Anowor et al. (2025); Kana &amp; Letaba (2024); Ngatiman et al. </w:t>
            </w:r>
            <w:r w:rsidRPr="005E5CD6">
              <w:rPr>
                <w:rFonts w:ascii="Times New Roman" w:hAnsi="Times New Roman" w:cs="Times New Roman"/>
              </w:rPr>
              <w:t>(2023); Ratnayake &amp; Amarasinghe (2025); Kamaruzaman et al. (2024)</w:t>
            </w:r>
          </w:p>
        </w:tc>
      </w:tr>
      <w:tr w:rsidR="00CE78CB" w:rsidRPr="005E5CD6" w14:paraId="3DBA0C29" w14:textId="5D5E01A9" w:rsidTr="005F511E">
        <w:trPr>
          <w:trHeight w:val="1090"/>
        </w:trPr>
        <w:tc>
          <w:tcPr>
            <w:tcW w:w="1576" w:type="dxa"/>
            <w:vAlign w:val="center"/>
          </w:tcPr>
          <w:p w14:paraId="3D1C2433" w14:textId="53953D1D" w:rsidR="00CE78CB" w:rsidRPr="005E5CD6" w:rsidRDefault="00CE78CB" w:rsidP="005F511E">
            <w:pPr>
              <w:rPr>
                <w:rFonts w:ascii="Times New Roman" w:hAnsi="Times New Roman" w:cs="Times New Roman"/>
              </w:rPr>
            </w:pPr>
            <w:r w:rsidRPr="005E5CD6">
              <w:rPr>
                <w:rFonts w:ascii="Times New Roman" w:hAnsi="Times New Roman" w:cs="Times New Roman"/>
              </w:rPr>
              <w:t>Professional Competencies (40.8%)</w:t>
            </w:r>
          </w:p>
        </w:tc>
        <w:tc>
          <w:tcPr>
            <w:tcW w:w="2388" w:type="dxa"/>
            <w:vAlign w:val="center"/>
          </w:tcPr>
          <w:p w14:paraId="7BA57A80" w14:textId="09118BB4" w:rsidR="00CE78CB" w:rsidRPr="005E5CD6" w:rsidRDefault="00CE78CB" w:rsidP="005F511E">
            <w:pPr>
              <w:rPr>
                <w:rFonts w:ascii="Times New Roman" w:hAnsi="Times New Roman" w:cs="Times New Roman"/>
              </w:rPr>
            </w:pPr>
            <w:r w:rsidRPr="005E5CD6">
              <w:rPr>
                <w:rFonts w:ascii="Times New Roman" w:hAnsi="Times New Roman" w:cs="Times New Roman"/>
              </w:rPr>
              <w:t>Workplace readiness, ethics, project management, entrepreneurship</w:t>
            </w:r>
          </w:p>
        </w:tc>
        <w:tc>
          <w:tcPr>
            <w:tcW w:w="6832" w:type="dxa"/>
            <w:vAlign w:val="center"/>
          </w:tcPr>
          <w:p w14:paraId="7A72A4AE" w14:textId="52080C3A" w:rsidR="00CE78CB" w:rsidRPr="005E5CD6" w:rsidRDefault="00CE78CB" w:rsidP="005F511E">
            <w:pPr>
              <w:rPr>
                <w:rFonts w:ascii="Times New Roman" w:hAnsi="Times New Roman" w:cs="Times New Roman"/>
                <w:b/>
                <w:bCs/>
              </w:rPr>
            </w:pPr>
            <w:r w:rsidRPr="005E5CD6">
              <w:rPr>
                <w:rFonts w:ascii="Times New Roman" w:hAnsi="Times New Roman" w:cs="Times New Roman"/>
                <w:lang w:val="sv-SE"/>
              </w:rPr>
              <w:t xml:space="preserve">Osunde (2025); Lee et al. (2024); Ratnayake &amp; Amarasinghe (2025); Utkirov (2024); Verma et al. (2025); Mahmood et al. (2023); Chen et al. (2025); Kana &amp; Letaba (2024); Ngatiman et al. </w:t>
            </w:r>
            <w:r w:rsidRPr="005E5CD6">
              <w:rPr>
                <w:rFonts w:ascii="Times New Roman" w:hAnsi="Times New Roman" w:cs="Times New Roman"/>
              </w:rPr>
              <w:t>(2023)</w:t>
            </w:r>
          </w:p>
        </w:tc>
      </w:tr>
      <w:tr w:rsidR="00CE78CB" w:rsidRPr="005E5CD6" w14:paraId="6568A5DF" w14:textId="1B24A3D2" w:rsidTr="005F511E">
        <w:trPr>
          <w:trHeight w:val="1090"/>
        </w:trPr>
        <w:tc>
          <w:tcPr>
            <w:tcW w:w="1576" w:type="dxa"/>
            <w:vAlign w:val="center"/>
          </w:tcPr>
          <w:p w14:paraId="7496B1E6" w14:textId="423F9451" w:rsidR="00CE78CB" w:rsidRPr="005E5CD6" w:rsidRDefault="00CE78CB" w:rsidP="005F511E">
            <w:pPr>
              <w:rPr>
                <w:rFonts w:ascii="Times New Roman" w:hAnsi="Times New Roman" w:cs="Times New Roman"/>
              </w:rPr>
            </w:pPr>
            <w:r w:rsidRPr="005E5CD6">
              <w:rPr>
                <w:rFonts w:ascii="Times New Roman" w:hAnsi="Times New Roman" w:cs="Times New Roman"/>
              </w:rPr>
              <w:t>Emerging Competencies (16.6%)</w:t>
            </w:r>
          </w:p>
        </w:tc>
        <w:tc>
          <w:tcPr>
            <w:tcW w:w="2388" w:type="dxa"/>
            <w:vAlign w:val="center"/>
          </w:tcPr>
          <w:p w14:paraId="5433CCD9" w14:textId="580B5B77" w:rsidR="00CE78CB" w:rsidRPr="005E5CD6" w:rsidRDefault="00CE78CB" w:rsidP="005F511E">
            <w:pPr>
              <w:rPr>
                <w:rFonts w:ascii="Times New Roman" w:hAnsi="Times New Roman" w:cs="Times New Roman"/>
              </w:rPr>
            </w:pPr>
            <w:r w:rsidRPr="005E5CD6">
              <w:rPr>
                <w:rFonts w:ascii="Times New Roman" w:hAnsi="Times New Roman" w:cs="Times New Roman"/>
              </w:rPr>
              <w:t>Sustainability, intercultural competence, human–AI collaboration</w:t>
            </w:r>
          </w:p>
        </w:tc>
        <w:tc>
          <w:tcPr>
            <w:tcW w:w="6832" w:type="dxa"/>
            <w:vAlign w:val="center"/>
          </w:tcPr>
          <w:p w14:paraId="67AD6576" w14:textId="19C9FE37" w:rsidR="00CE78CB" w:rsidRPr="005E5CD6" w:rsidRDefault="00CE78CB" w:rsidP="005F511E">
            <w:pPr>
              <w:rPr>
                <w:rFonts w:ascii="Times New Roman" w:hAnsi="Times New Roman" w:cs="Times New Roman"/>
                <w:b/>
                <w:bCs/>
              </w:rPr>
            </w:pPr>
            <w:r w:rsidRPr="005E5CD6">
              <w:rPr>
                <w:rFonts w:ascii="Times New Roman" w:hAnsi="Times New Roman" w:cs="Times New Roman"/>
                <w:lang w:val="sv-SE"/>
              </w:rPr>
              <w:t xml:space="preserve">Yuriev et al. (2024); Imarhiagbe et al. (2025); Chen et al. (2025); Lee et al. (2024); Anowor et al. (2025); Kana &amp; Letaba (2024); Kamaruzaman et al. </w:t>
            </w:r>
            <w:r w:rsidRPr="005E5CD6">
              <w:rPr>
                <w:rFonts w:ascii="Times New Roman" w:hAnsi="Times New Roman" w:cs="Times New Roman"/>
              </w:rPr>
              <w:t>(2024); AlAfnan et al. (2024); Verma et al. (2025)</w:t>
            </w:r>
          </w:p>
        </w:tc>
      </w:tr>
    </w:tbl>
    <w:p w14:paraId="16E9F55A" w14:textId="0B71C227" w:rsidR="00D6183D" w:rsidRPr="005E5CD6" w:rsidRDefault="007C55AE" w:rsidP="005E5CD6">
      <w:pPr>
        <w:spacing w:before="240" w:after="240" w:line="240" w:lineRule="auto"/>
        <w:jc w:val="both"/>
        <w:rPr>
          <w:rFonts w:ascii="Times New Roman" w:hAnsi="Times New Roman" w:cs="Times New Roman"/>
        </w:rPr>
      </w:pPr>
      <w:r w:rsidRPr="005E5CD6">
        <w:rPr>
          <w:rFonts w:ascii="Times New Roman" w:hAnsi="Times New Roman" w:cs="Times New Roman"/>
        </w:rPr>
        <w:t xml:space="preserve">The category-level of quantitative synthesis on essential employability competencies for graduates to succeed in the AI workforce is presented in Table 4.  </w:t>
      </w:r>
      <w:r w:rsidR="00D6183D" w:rsidRPr="005E5CD6">
        <w:rPr>
          <w:rFonts w:ascii="Times New Roman" w:hAnsi="Times New Roman" w:cs="Times New Roman"/>
        </w:rPr>
        <w:t xml:space="preserve">The quantitative synthesis demonstrates a strong consensus across the reviewed literature that human-centered competencies remain the cornerstone of employability in AI-driven workplaces. The competencies reported most consistently were </w:t>
      </w:r>
      <w:r w:rsidR="00D277E0" w:rsidRPr="005E5CD6">
        <w:rPr>
          <w:rFonts w:ascii="Times New Roman" w:hAnsi="Times New Roman" w:cs="Times New Roman"/>
        </w:rPr>
        <w:t xml:space="preserve">personal </w:t>
      </w:r>
      <w:r w:rsidR="00D6183D" w:rsidRPr="005E5CD6">
        <w:rPr>
          <w:rFonts w:ascii="Times New Roman" w:hAnsi="Times New Roman" w:cs="Times New Roman"/>
        </w:rPr>
        <w:t xml:space="preserve">adaptability </w:t>
      </w:r>
      <w:r w:rsidR="00D277E0" w:rsidRPr="005E5CD6">
        <w:rPr>
          <w:rFonts w:ascii="Times New Roman" w:hAnsi="Times New Roman" w:cs="Times New Roman"/>
        </w:rPr>
        <w:t xml:space="preserve">competencies </w:t>
      </w:r>
      <w:r w:rsidR="00D6183D" w:rsidRPr="005E5CD6">
        <w:rPr>
          <w:rFonts w:ascii="Times New Roman" w:hAnsi="Times New Roman" w:cs="Times New Roman"/>
        </w:rPr>
        <w:t>(</w:t>
      </w:r>
      <w:r w:rsidR="00D277E0" w:rsidRPr="005E5CD6">
        <w:rPr>
          <w:rFonts w:ascii="Times New Roman" w:hAnsi="Times New Roman" w:cs="Times New Roman"/>
        </w:rPr>
        <w:t>75.0</w:t>
      </w:r>
      <w:r w:rsidR="00D6183D" w:rsidRPr="005E5CD6">
        <w:rPr>
          <w:rFonts w:ascii="Times New Roman" w:hAnsi="Times New Roman" w:cs="Times New Roman"/>
        </w:rPr>
        <w:t>%)</w:t>
      </w:r>
      <w:r w:rsidR="00217F99" w:rsidRPr="005E5CD6">
        <w:rPr>
          <w:rFonts w:ascii="Times New Roman" w:hAnsi="Times New Roman" w:cs="Times New Roman"/>
        </w:rPr>
        <w:t xml:space="preserve"> where most studies emphasized this soft skill as evidence for being future-ready graduate</w:t>
      </w:r>
      <w:r w:rsidR="00D6183D" w:rsidRPr="005E5CD6">
        <w:rPr>
          <w:rFonts w:ascii="Times New Roman" w:hAnsi="Times New Roman" w:cs="Times New Roman"/>
        </w:rPr>
        <w:t xml:space="preserve">, followed by </w:t>
      </w:r>
      <w:r w:rsidR="00D277E0" w:rsidRPr="005E5CD6">
        <w:rPr>
          <w:rFonts w:ascii="Times New Roman" w:hAnsi="Times New Roman" w:cs="Times New Roman"/>
        </w:rPr>
        <w:t xml:space="preserve">higher-order cognitive competencies (72.0%) and interpersonal; competencies (71.8%) which </w:t>
      </w:r>
      <w:r w:rsidR="00D6183D" w:rsidRPr="005E5CD6">
        <w:rPr>
          <w:rFonts w:ascii="Times New Roman" w:hAnsi="Times New Roman" w:cs="Times New Roman"/>
        </w:rPr>
        <w:t>indicat</w:t>
      </w:r>
      <w:r w:rsidR="00D277E0" w:rsidRPr="005E5CD6">
        <w:rPr>
          <w:rFonts w:ascii="Times New Roman" w:hAnsi="Times New Roman" w:cs="Times New Roman"/>
        </w:rPr>
        <w:t>e</w:t>
      </w:r>
      <w:r w:rsidR="00D6183D" w:rsidRPr="005E5CD6">
        <w:rPr>
          <w:rFonts w:ascii="Times New Roman" w:hAnsi="Times New Roman" w:cs="Times New Roman"/>
        </w:rPr>
        <w:t xml:space="preserve"> that graduates are expected to continuously acquire new knowledge, respond effectively to technological change, solve complex problems, and communicate across multidisciplinary environments. Similarly, digital </w:t>
      </w:r>
      <w:r w:rsidR="00D277E0" w:rsidRPr="005E5CD6">
        <w:rPr>
          <w:rFonts w:ascii="Times New Roman" w:hAnsi="Times New Roman" w:cs="Times New Roman"/>
        </w:rPr>
        <w:t xml:space="preserve">and AI competencies </w:t>
      </w:r>
      <w:r w:rsidR="00D6183D" w:rsidRPr="005E5CD6">
        <w:rPr>
          <w:rFonts w:ascii="Times New Roman" w:hAnsi="Times New Roman" w:cs="Times New Roman"/>
        </w:rPr>
        <w:t>(</w:t>
      </w:r>
      <w:r w:rsidR="00D277E0" w:rsidRPr="005E5CD6">
        <w:rPr>
          <w:rFonts w:ascii="Times New Roman" w:hAnsi="Times New Roman" w:cs="Times New Roman"/>
        </w:rPr>
        <w:t>46.7%</w:t>
      </w:r>
      <w:r w:rsidR="00D6183D" w:rsidRPr="005E5CD6">
        <w:rPr>
          <w:rFonts w:ascii="Times New Roman" w:hAnsi="Times New Roman" w:cs="Times New Roman"/>
        </w:rPr>
        <w:t>)</w:t>
      </w:r>
      <w:r w:rsidR="00D277E0" w:rsidRPr="005E5CD6">
        <w:rPr>
          <w:rFonts w:ascii="Times New Roman" w:hAnsi="Times New Roman" w:cs="Times New Roman"/>
        </w:rPr>
        <w:t xml:space="preserve">, professional competencies </w:t>
      </w:r>
      <w:r w:rsidR="00D6183D" w:rsidRPr="005E5CD6">
        <w:rPr>
          <w:rFonts w:ascii="Times New Roman" w:hAnsi="Times New Roman" w:cs="Times New Roman"/>
        </w:rPr>
        <w:t>(</w:t>
      </w:r>
      <w:r w:rsidR="00D277E0" w:rsidRPr="005E5CD6">
        <w:rPr>
          <w:rFonts w:ascii="Times New Roman" w:hAnsi="Times New Roman" w:cs="Times New Roman"/>
        </w:rPr>
        <w:t>40.8</w:t>
      </w:r>
      <w:r w:rsidR="00D6183D" w:rsidRPr="005E5CD6">
        <w:rPr>
          <w:rFonts w:ascii="Times New Roman" w:hAnsi="Times New Roman" w:cs="Times New Roman"/>
        </w:rPr>
        <w:t>%)</w:t>
      </w:r>
      <w:r w:rsidR="00D277E0" w:rsidRPr="005E5CD6">
        <w:rPr>
          <w:rFonts w:ascii="Times New Roman" w:hAnsi="Times New Roman" w:cs="Times New Roman"/>
        </w:rPr>
        <w:t xml:space="preserve"> and emerging competencies (16.6%) that include sustainability, intercultural competence and huma-AI collaboration </w:t>
      </w:r>
      <w:r w:rsidR="00D6183D" w:rsidRPr="005E5CD6">
        <w:rPr>
          <w:rFonts w:ascii="Times New Roman" w:hAnsi="Times New Roman" w:cs="Times New Roman"/>
        </w:rPr>
        <w:t>were frequently identified</w:t>
      </w:r>
      <w:r w:rsidR="00CF39DF" w:rsidRPr="005E5CD6">
        <w:rPr>
          <w:rFonts w:ascii="Times New Roman" w:hAnsi="Times New Roman" w:cs="Times New Roman"/>
        </w:rPr>
        <w:t xml:space="preserve"> which </w:t>
      </w:r>
      <w:r w:rsidR="00D6183D" w:rsidRPr="005E5CD6">
        <w:rPr>
          <w:rFonts w:ascii="Times New Roman" w:hAnsi="Times New Roman" w:cs="Times New Roman"/>
        </w:rPr>
        <w:t xml:space="preserve">reflect the increasing expectation </w:t>
      </w:r>
      <w:r w:rsidR="00CF39DF" w:rsidRPr="005E5CD6">
        <w:rPr>
          <w:rFonts w:ascii="Times New Roman" w:hAnsi="Times New Roman" w:cs="Times New Roman"/>
        </w:rPr>
        <w:t xml:space="preserve">for </w:t>
      </w:r>
      <w:r w:rsidR="00D6183D" w:rsidRPr="005E5CD6">
        <w:rPr>
          <w:rFonts w:ascii="Times New Roman" w:hAnsi="Times New Roman" w:cs="Times New Roman"/>
        </w:rPr>
        <w:t xml:space="preserve">graduates </w:t>
      </w:r>
      <w:r w:rsidR="00CF39DF" w:rsidRPr="005E5CD6">
        <w:rPr>
          <w:rFonts w:ascii="Times New Roman" w:hAnsi="Times New Roman" w:cs="Times New Roman"/>
        </w:rPr>
        <w:t xml:space="preserve">to </w:t>
      </w:r>
      <w:r w:rsidR="00D6183D" w:rsidRPr="005E5CD6">
        <w:rPr>
          <w:rFonts w:ascii="Times New Roman" w:hAnsi="Times New Roman" w:cs="Times New Roman"/>
        </w:rPr>
        <w:t>possess both technological competence and the interpersonal capabilities necessary to work productively alongside intelligent systems.</w:t>
      </w:r>
    </w:p>
    <w:p w14:paraId="632E7B1C" w14:textId="7D39943F" w:rsidR="00044B09" w:rsidRPr="005F511E" w:rsidRDefault="00FA2DED" w:rsidP="005E5CD6">
      <w:pPr>
        <w:spacing w:before="240" w:after="240" w:line="240" w:lineRule="auto"/>
        <w:rPr>
          <w:rFonts w:ascii="Times New Roman" w:hAnsi="Times New Roman" w:cs="Times New Roman"/>
          <w:sz w:val="28"/>
          <w:szCs w:val="28"/>
        </w:rPr>
      </w:pPr>
      <w:r w:rsidRPr="005F511E">
        <w:rPr>
          <w:rFonts w:ascii="Times New Roman" w:hAnsi="Times New Roman" w:cs="Times New Roman"/>
          <w:b/>
          <w:bCs/>
          <w:sz w:val="28"/>
          <w:szCs w:val="28"/>
        </w:rPr>
        <w:t>DISCUSSION</w:t>
      </w:r>
    </w:p>
    <w:p w14:paraId="472BEC43" w14:textId="6E2B4550" w:rsidR="00785DF3" w:rsidRPr="005E5CD6" w:rsidRDefault="006C615B"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quantitative synthesis reveals that the most common higher education practices to prepare graduates for employability in an AI-driven workforce are curriculum redesign aligned with AI workforce needs, university-industry collaboration with experiential learning, work-integrated learning and project-based learning.</w:t>
      </w:r>
      <w:r w:rsidR="00C55307" w:rsidRPr="005E5CD6">
        <w:rPr>
          <w:rFonts w:ascii="Times New Roman" w:hAnsi="Times New Roman" w:cs="Times New Roman"/>
        </w:rPr>
        <w:t xml:space="preserve"> </w:t>
      </w:r>
      <w:r w:rsidRPr="005E5CD6">
        <w:rPr>
          <w:rFonts w:ascii="Times New Roman" w:hAnsi="Times New Roman" w:cs="Times New Roman"/>
        </w:rPr>
        <w:t xml:space="preserve">The results show a clear transition from the traditional methods of knowledge transfer towards competency-based and workplace-integrated learning models, where students can apply their disciplinary </w:t>
      </w:r>
      <w:r w:rsidRPr="005E5CD6">
        <w:rPr>
          <w:rFonts w:ascii="Times New Roman" w:hAnsi="Times New Roman" w:cs="Times New Roman"/>
        </w:rPr>
        <w:lastRenderedPageBreak/>
        <w:t>knowledge in real professional contexts.</w:t>
      </w:r>
      <w:r w:rsidR="001A2A10" w:rsidRPr="005E5CD6">
        <w:rPr>
          <w:rFonts w:ascii="Times New Roman" w:hAnsi="Times New Roman" w:cs="Times New Roman"/>
        </w:rPr>
        <w:t xml:space="preserve"> </w:t>
      </w:r>
      <w:r w:rsidRPr="005E5CD6">
        <w:rPr>
          <w:rFonts w:ascii="Times New Roman" w:hAnsi="Times New Roman" w:cs="Times New Roman"/>
        </w:rPr>
        <w:t>Findings from the reviewed studies showed a strong consensus to systematically integrate AI literacy, digital competencies, and employability skills across higher education curricula and at the same time foster essential human-centered competencies instead of limiting AI education to standalone courses. This pattern aligns with previous reviews which have similarly concluded that AI should complement rather than replace human capabilities and the integrated approach of technological proficiency and transferable skills is required for successful graduate preparation (Deckha et al., 2025; Grama &amp; Todericiu, 2025; O'Dea et al., 2025).</w:t>
      </w:r>
      <w:r w:rsidR="00785DF3" w:rsidRPr="005E5CD6">
        <w:rPr>
          <w:rFonts w:ascii="Times New Roman" w:hAnsi="Times New Roman" w:cs="Times New Roman"/>
        </w:rPr>
        <w:t xml:space="preserve"> Similar to this, the studies by Perez-Encinas and Berbegal-Mirabent (2023) and Cheng et al. (2025) recognizes competency-based, experiential, and work-integrated learning as key approaches to improve employability in rapidly changing labor markets. </w:t>
      </w:r>
      <w:r w:rsidR="00BA029A" w:rsidRPr="005E5CD6">
        <w:rPr>
          <w:rFonts w:ascii="Times New Roman" w:hAnsi="Times New Roman" w:cs="Times New Roman"/>
        </w:rPr>
        <w:t xml:space="preserve">Collectively, these findings underscore the evolving role of higher education institutions as interconnected learning ecosystems that </w:t>
      </w:r>
      <w:r w:rsidR="00785DF3" w:rsidRPr="005E5CD6">
        <w:rPr>
          <w:rFonts w:ascii="Times New Roman" w:hAnsi="Times New Roman" w:cs="Times New Roman"/>
        </w:rPr>
        <w:t xml:space="preserve">embed </w:t>
      </w:r>
      <w:r w:rsidR="00BA029A" w:rsidRPr="005E5CD6">
        <w:rPr>
          <w:rFonts w:ascii="Times New Roman" w:hAnsi="Times New Roman" w:cs="Times New Roman"/>
        </w:rPr>
        <w:t xml:space="preserve">AI-enabled pedagogies and industry collaboration to </w:t>
      </w:r>
      <w:r w:rsidR="00785DF3" w:rsidRPr="005E5CD6">
        <w:rPr>
          <w:rFonts w:ascii="Times New Roman" w:hAnsi="Times New Roman" w:cs="Times New Roman"/>
        </w:rPr>
        <w:t xml:space="preserve">link </w:t>
      </w:r>
      <w:r w:rsidR="00BA029A" w:rsidRPr="005E5CD6">
        <w:rPr>
          <w:rFonts w:ascii="Times New Roman" w:hAnsi="Times New Roman" w:cs="Times New Roman"/>
        </w:rPr>
        <w:t>academic learning with workplace innovation</w:t>
      </w:r>
      <w:r w:rsidR="00785DF3" w:rsidRPr="005E5CD6">
        <w:rPr>
          <w:rFonts w:ascii="Times New Roman" w:hAnsi="Times New Roman" w:cs="Times New Roman"/>
        </w:rPr>
        <w:t xml:space="preserve"> which broaden their traditional role as providers of disciplinary knowledge.</w:t>
      </w:r>
    </w:p>
    <w:p w14:paraId="23121917" w14:textId="0D0F0CEB" w:rsidR="00CB513B" w:rsidRPr="005E5CD6" w:rsidRDefault="0087093B"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Continuous mechanisms for curriculum review were established through collaboration with employers and professional bodies to ensure that academic programs remained aligned with evolving workforce demands (Lee et al., 2024; Ngatiman et al., 2023). This initiative is expected to strengthen partnerships between higher education institutions and industry which reinforce as best practice that aligns graduates' employability competencies with the evolving needs of the labor market. Furthermore, the importance of experiential learning has been emphasized in the study which enables the students to apply theoretical knowledge in real-world contexts while developing competencies aligned with evolving workforce demands (Lee et al., 2024; Ratnayake &amp; Amarasinghe, 2025; Ngatiman et al., 2023; Verma et al., 2025). This finding is consistent with Kolb's Experiential Learning Theory where meaningful learning occurs through the transformation of experience into knowledge, thereby enhancing learners' professional competence and employability (Kolb, 2014). </w:t>
      </w:r>
    </w:p>
    <w:p w14:paraId="794ED635" w14:textId="77777777" w:rsidR="008D312C" w:rsidRPr="005E5CD6" w:rsidRDefault="008D312C"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strong emphasis on ethical AI education indicates the need to embed in the academic curriculum rather than restricting them to computing and technology-related fields (AlAfnan et al., 2024; Imarhiagbe et al., 2025; Vuc et al., 2026) which provides students with skills and judgment to design, deploy and critique AI systems that are aligned with societal values. This requires higher education institutions to build faculty capacity to integrate AI enhanced pedagogies and invest in digital infrastructure and learning analytics by developing robust ethical AI governance frameworks to promote responsible and equitable use of AI in teaching and learning (Yuriev et al., 2024; Utkirov, 2024; Chen et al., 2025). This institutionalization of such practices fosters the development of AI and digital competencies and lifelong learning mindset among graduates to navigate technological advancements and thrive in an AI-driven workforce (Vuc et al., 2026; Imarhiagbe et al., 2025; Yuriev et al., 2024).</w:t>
      </w:r>
    </w:p>
    <w:p w14:paraId="00657A71" w14:textId="6E0980CF" w:rsidR="00220813" w:rsidRPr="005E5CD6" w:rsidRDefault="00220813"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findings contribute theoretically in extending current employability frameworks beyond traditional graduate attributes to an AI integrated employability ecosystem. Traditional theories such as human capital theory, competency-based education and graduate employability models focus on the acquisition of knowledge, skills and workplace experience. However, the current synthesis demonstrates that employability in AI-driven contexts is the result of the interplay of four interrelated dimensions: AI and digital competencies, authentic learning experiences, industry engagement, and human-centered capabilities</w:t>
      </w:r>
      <w:r w:rsidR="00D602F1" w:rsidRPr="005E5CD6">
        <w:rPr>
          <w:rFonts w:ascii="Times New Roman" w:hAnsi="Times New Roman" w:cs="Times New Roman"/>
        </w:rPr>
        <w:t xml:space="preserve"> (Lee et al., 2024; Chen et al., 2025; Utkirov, 2024; Verma et al., 2025; Ngatiman et al., 2023; Coetzee &amp; Goede, 2024)</w:t>
      </w:r>
      <w:r w:rsidRPr="005E5CD6">
        <w:rPr>
          <w:rFonts w:ascii="Times New Roman" w:hAnsi="Times New Roman" w:cs="Times New Roman"/>
        </w:rPr>
        <w:t>. This finding aligns with the recent conceptual</w:t>
      </w:r>
      <w:r w:rsidR="008979E7" w:rsidRPr="005E5CD6">
        <w:rPr>
          <w:rFonts w:ascii="Times New Roman" w:hAnsi="Times New Roman" w:cs="Times New Roman"/>
        </w:rPr>
        <w:t xml:space="preserve"> framework </w:t>
      </w:r>
      <w:r w:rsidRPr="005E5CD6">
        <w:rPr>
          <w:rFonts w:ascii="Times New Roman" w:hAnsi="Times New Roman" w:cs="Times New Roman"/>
        </w:rPr>
        <w:t>of Industry 5.0, which considers AI literacy as a complement to creativity, ethical reasoning, collaboration, resilience, and lifelong learning and not as a competitor</w:t>
      </w:r>
      <w:r w:rsidR="00D602F1" w:rsidRPr="005E5CD6">
        <w:rPr>
          <w:rFonts w:ascii="Times New Roman" w:hAnsi="Times New Roman" w:cs="Times New Roman"/>
        </w:rPr>
        <w:t xml:space="preserve"> (O'Dea et al., 2025; Hrnjić et al., 2025; AlAfnan et al., 2024; Yuriev et al., 2024; Imarhiagbe et al., 2025; Anowor et al., 2025)</w:t>
      </w:r>
      <w:r w:rsidRPr="005E5CD6">
        <w:rPr>
          <w:rFonts w:ascii="Times New Roman" w:hAnsi="Times New Roman" w:cs="Times New Roman"/>
        </w:rPr>
        <w:t>. The findings thus support the view that graduate employability is no longer based on academic achievement or technical expertise alone but on the ability of universities to create adaptive learners who can continuously merge technological innovation with critical human judgment</w:t>
      </w:r>
      <w:r w:rsidR="00D602F1" w:rsidRPr="005E5CD6">
        <w:rPr>
          <w:rFonts w:ascii="Times New Roman" w:hAnsi="Times New Roman" w:cs="Times New Roman"/>
        </w:rPr>
        <w:t xml:space="preserve"> (Segbenya et al., 2023; Kana &amp; Letaba, 2024; Nayan &amp; Nayan, 2024; Ratnayake &amp; Amarasinghe, 2025; Verma et al., 2025)</w:t>
      </w:r>
      <w:r w:rsidRPr="005E5CD6">
        <w:rPr>
          <w:rFonts w:ascii="Times New Roman" w:hAnsi="Times New Roman" w:cs="Times New Roman"/>
        </w:rPr>
        <w:t>. This review thus contributes to the literature by proposing that higher education be viewed as an adaptive learning ecosystem where curriculum innovation, AI-enabled pedagogy, competency-based learning, and industry collaboration jointly shape graduates’ preparedness for sustainable employment in ever-intelligent and technology-intensive workplaces</w:t>
      </w:r>
      <w:r w:rsidR="00D602F1" w:rsidRPr="005E5CD6">
        <w:rPr>
          <w:rFonts w:ascii="Times New Roman" w:hAnsi="Times New Roman" w:cs="Times New Roman"/>
        </w:rPr>
        <w:t xml:space="preserve"> (Lee et al., 2024; Khan et al., 2025; Deckha et al., 2024; Chen et al., 2025; Ngatiman et al., 2023; Utkirov, 2024)</w:t>
      </w:r>
      <w:r w:rsidRPr="005E5CD6">
        <w:rPr>
          <w:rFonts w:ascii="Times New Roman" w:hAnsi="Times New Roman" w:cs="Times New Roman"/>
        </w:rPr>
        <w:t>.</w:t>
      </w:r>
    </w:p>
    <w:p w14:paraId="1207787A" w14:textId="60ED5F7E" w:rsidR="00EA67E0" w:rsidRPr="005E5CD6" w:rsidRDefault="00EA67E0"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lastRenderedPageBreak/>
        <w:t>The category-level quantitative synthesis demonstrates that personal adaptability competencies, higher-order cognitive competencies, and interpersonal competencies constitute the three most dominant competency domains identified across the reviewed literature, whereas digital and AI competencies, professional competencies, and emerging future competencies were reported less frequently</w:t>
      </w:r>
      <w:r w:rsidR="00D602F1" w:rsidRPr="005E5CD6">
        <w:rPr>
          <w:rFonts w:ascii="Times New Roman" w:hAnsi="Times New Roman" w:cs="Times New Roman"/>
        </w:rPr>
        <w:t xml:space="preserve"> (Verma et al., 2025; AlAfnan et al., 2024; Nayan &amp; Nayan, 2024; Hrnjić et al., 2025; O'Dea et al., 2025)</w:t>
      </w:r>
      <w:r w:rsidRPr="005E5CD6">
        <w:rPr>
          <w:rFonts w:ascii="Times New Roman" w:hAnsi="Times New Roman" w:cs="Times New Roman"/>
        </w:rPr>
        <w:t xml:space="preserve">. </w:t>
      </w:r>
      <w:r w:rsidR="001435A6" w:rsidRPr="005E5CD6">
        <w:rPr>
          <w:rFonts w:ascii="Times New Roman" w:hAnsi="Times New Roman" w:cs="Times New Roman"/>
        </w:rPr>
        <w:t>Despite the rapid transformation of the workplace by Artificial Intelligence, graduates' long-term employability is consistently recognized in the literature as being primarily dependent on uniquely human capabilities that complement rather than compete with intelligent technologies</w:t>
      </w:r>
      <w:r w:rsidR="00D602F1" w:rsidRPr="005E5CD6">
        <w:rPr>
          <w:rFonts w:ascii="Times New Roman" w:hAnsi="Times New Roman" w:cs="Times New Roman"/>
        </w:rPr>
        <w:t xml:space="preserve"> (Yuriev et al., 2024; Imarhiagbe et al., 2025; O'Dea et al., 2025; Hrnjić et al., 2025; Segbenya et al., 2023). </w:t>
      </w:r>
      <w:r w:rsidRPr="005E5CD6">
        <w:rPr>
          <w:rFonts w:ascii="Times New Roman" w:hAnsi="Times New Roman" w:cs="Times New Roman"/>
        </w:rPr>
        <w:t xml:space="preserve"> </w:t>
      </w:r>
      <w:r w:rsidR="00E94C4D" w:rsidRPr="005E5CD6">
        <w:rPr>
          <w:rFonts w:ascii="Times New Roman" w:hAnsi="Times New Roman" w:cs="Times New Roman"/>
        </w:rPr>
        <w:t>Moreover, the Future of Jobs Report 2025 has identified AI and big data, technological literacy, curiosity and lifelong learning, analytical thinking, creative thinking, resilience, flexibility and agility, and talent management as the most critical and rapidly growing skills needed to build a future-ready workforce by 2030 while human-centric and adaptive skills are at the heart of future workforce strategies</w:t>
      </w:r>
      <w:r w:rsidR="00D602F1" w:rsidRPr="005E5CD6">
        <w:rPr>
          <w:rFonts w:ascii="Times New Roman" w:hAnsi="Times New Roman" w:cs="Times New Roman"/>
        </w:rPr>
        <w:t xml:space="preserve"> (World Economic Forum, 2025)</w:t>
      </w:r>
      <w:r w:rsidR="00E94C4D" w:rsidRPr="005E5CD6">
        <w:rPr>
          <w:rFonts w:ascii="Times New Roman" w:hAnsi="Times New Roman" w:cs="Times New Roman"/>
        </w:rPr>
        <w:t>. Therefore, c</w:t>
      </w:r>
      <w:r w:rsidRPr="005E5CD6">
        <w:rPr>
          <w:rFonts w:ascii="Times New Roman" w:hAnsi="Times New Roman" w:cs="Times New Roman"/>
        </w:rPr>
        <w:t>ompetencies such as adaptability, lifelong learning, critical thinking, communication, teamwork, and creativity remain the foundation for success because they enable graduates to respond effectively to technological disruption</w:t>
      </w:r>
      <w:r w:rsidR="00E94C4D" w:rsidRPr="005E5CD6">
        <w:rPr>
          <w:rFonts w:ascii="Times New Roman" w:hAnsi="Times New Roman" w:cs="Times New Roman"/>
        </w:rPr>
        <w:t xml:space="preserve"> </w:t>
      </w:r>
      <w:r w:rsidRPr="005E5CD6">
        <w:rPr>
          <w:rFonts w:ascii="Times New Roman" w:hAnsi="Times New Roman" w:cs="Times New Roman"/>
        </w:rPr>
        <w:t>and unstructured problems</w:t>
      </w:r>
      <w:r w:rsidR="00E94C4D" w:rsidRPr="005E5CD6">
        <w:rPr>
          <w:rFonts w:ascii="Times New Roman" w:hAnsi="Times New Roman" w:cs="Times New Roman"/>
        </w:rPr>
        <w:t xml:space="preserve"> to </w:t>
      </w:r>
      <w:r w:rsidRPr="005E5CD6">
        <w:rPr>
          <w:rFonts w:ascii="Times New Roman" w:hAnsi="Times New Roman" w:cs="Times New Roman"/>
        </w:rPr>
        <w:t>collaborate across multidisciplinary environments, and continuously acquire new knowledge throughout their careers</w:t>
      </w:r>
      <w:r w:rsidR="00D602F1" w:rsidRPr="005E5CD6">
        <w:rPr>
          <w:rFonts w:ascii="Times New Roman" w:hAnsi="Times New Roman" w:cs="Times New Roman"/>
        </w:rPr>
        <w:t xml:space="preserve"> (Verma et al., 2025; AlAfnan et al., 2024; Kana &amp; Letaba, 2024; Nayan &amp; Nayan, 2024; Deckha et al., 2024; Grama &amp; Todericiu, 2025).</w:t>
      </w:r>
    </w:p>
    <w:p w14:paraId="4E32DDB7" w14:textId="3847268B" w:rsidR="008979E7" w:rsidRPr="005E5CD6" w:rsidRDefault="008979E7"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These findings are in strong agreement with previous review studies that also found that future employability requires balancing AI-related technical competencies with transferable human skills. For example, Deckha et al. (2025) reported that collaboration, communication, critical thinking, creativity, and lifelong learning were the most frequently identified competencies among international future-of-work frameworks</w:t>
      </w:r>
      <w:r w:rsidR="00591C86" w:rsidRPr="005E5CD6">
        <w:rPr>
          <w:rFonts w:ascii="Times New Roman" w:hAnsi="Times New Roman" w:cs="Times New Roman"/>
        </w:rPr>
        <w:t xml:space="preserve"> while </w:t>
      </w:r>
      <w:r w:rsidRPr="005E5CD6">
        <w:rPr>
          <w:rFonts w:ascii="Times New Roman" w:hAnsi="Times New Roman" w:cs="Times New Roman"/>
        </w:rPr>
        <w:t>O’Dea et al. (2025) suggested that graduate attributes for Industry 5.0 should include a blend of conceptual, technological, and human skills. Similarly, Grama and Todericiu (2025) and Perez-Encinas and Berbegal-Mirabent (2023) found that adaptable graduates who can combine digital skills with critical thinking</w:t>
      </w:r>
      <w:r w:rsidR="00591C86" w:rsidRPr="005E5CD6">
        <w:rPr>
          <w:rFonts w:ascii="Times New Roman" w:hAnsi="Times New Roman" w:cs="Times New Roman"/>
        </w:rPr>
        <w:t xml:space="preserve"> and </w:t>
      </w:r>
      <w:r w:rsidRPr="005E5CD6">
        <w:rPr>
          <w:rFonts w:ascii="Times New Roman" w:hAnsi="Times New Roman" w:cs="Times New Roman"/>
        </w:rPr>
        <w:t xml:space="preserve">teamwork are increasingly valued by employers as a means to remain competitive in technology-driven labor markets. </w:t>
      </w:r>
    </w:p>
    <w:p w14:paraId="042E09FA" w14:textId="36835D24" w:rsidR="008D312C" w:rsidRPr="005E5CD6" w:rsidRDefault="008D312C"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Higher education institutions should take a holistic approach when training the students to integrate technological competencies into wider competency-based educational structures rather than teaching AI as a standalone technical specialization</w:t>
      </w:r>
      <w:r w:rsidR="00D602F1" w:rsidRPr="005E5CD6">
        <w:rPr>
          <w:rFonts w:ascii="Times New Roman" w:hAnsi="Times New Roman" w:cs="Times New Roman"/>
        </w:rPr>
        <w:t xml:space="preserve"> (Chen et al., 2025; Lee et al., 2024; Kana &amp; Letaba, 2024; Verma et al., 2025; Ngatiman et al., 2023)</w:t>
      </w:r>
      <w:r w:rsidRPr="005E5CD6">
        <w:rPr>
          <w:rFonts w:ascii="Times New Roman" w:hAnsi="Times New Roman" w:cs="Times New Roman"/>
        </w:rPr>
        <w:t>. One way to include ethical AI education in the curriculum is to embed in subject areas such as algorithmic bias, privacy, transparency, intellectual property and responsible use of AI</w:t>
      </w:r>
      <w:r w:rsidR="00082F39" w:rsidRPr="005E5CD6">
        <w:rPr>
          <w:rFonts w:ascii="Times New Roman" w:hAnsi="Times New Roman" w:cs="Times New Roman"/>
        </w:rPr>
        <w:t xml:space="preserve"> (Yuriev et al., 2024; Imarhiagbe et al., 2025; AlAfnan et al., 2024; Ha, 2025)</w:t>
      </w:r>
      <w:r w:rsidRPr="005E5CD6">
        <w:rPr>
          <w:rFonts w:ascii="Times New Roman" w:hAnsi="Times New Roman" w:cs="Times New Roman"/>
        </w:rPr>
        <w:t>. The lower frequency of digital and AI competencies should not be viewed as less important but rather as a signal of the need to build foundational AI literacy as a cross-disciplinary graduate attribute with advanced technical competencies (e.g., programming, prompt engineering, and machine learning) specific to the needs of the discipline</w:t>
      </w:r>
      <w:r w:rsidR="00082F39" w:rsidRPr="005E5CD6">
        <w:rPr>
          <w:rFonts w:ascii="Times New Roman" w:hAnsi="Times New Roman" w:cs="Times New Roman"/>
        </w:rPr>
        <w:t xml:space="preserve"> (Segbenya et al., 2023; Hrnjić et al., 2025; Palariya &amp; Shah, 2025; Utkirov, 2024; Chen et al., 2025)</w:t>
      </w:r>
      <w:r w:rsidRPr="005E5CD6">
        <w:rPr>
          <w:rFonts w:ascii="Times New Roman" w:hAnsi="Times New Roman" w:cs="Times New Roman"/>
        </w:rPr>
        <w:t>. Faculty development should be part of workforce development with the deployment of training on responsible AI integration with ongoing curriculum review and continuous institutional investment in digital infrastructure to ensure graduates are not only technologically proficient but also possess the human-centered skills needed for sustainable employability in AI-enabled workplaces</w:t>
      </w:r>
      <w:r w:rsidR="00082F39" w:rsidRPr="005E5CD6">
        <w:rPr>
          <w:rFonts w:ascii="Times New Roman" w:hAnsi="Times New Roman" w:cs="Times New Roman"/>
        </w:rPr>
        <w:t xml:space="preserve"> (Ngatiman et al., 2023; Lee et al., 2024; Kana &amp; Letaba, 2024; Imarhiagbe et al., 2025; Utkirov, 2024)</w:t>
      </w:r>
      <w:r w:rsidRPr="005E5CD6">
        <w:rPr>
          <w:rFonts w:ascii="Times New Roman" w:hAnsi="Times New Roman" w:cs="Times New Roman"/>
        </w:rPr>
        <w:t>.</w:t>
      </w:r>
    </w:p>
    <w:p w14:paraId="73E9B006" w14:textId="7F66FB60" w:rsidR="00027F51" w:rsidRPr="005E5CD6" w:rsidRDefault="00027F51"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findings also contribute theoretically by extending traditional employability theories to the context of Artificial Intelligence (AI) and Industry 5.0. Traditionally, scholars have viewed graduate employability through classical employability frameworks and Human Capital Theory as the accumulation of knowledge, technical skills, and work experience that improves labour market outcomes. However, the present synthesis indicates that employability in AI-based environments is conceptualized as a holistic and dynamic capability that encompasses personal adaptability, higher order cognitive skills, interpersonal effectiveness, AI literacy, digital competence, professional capability, and future-oriented competencies (Vuc et al., 2026; AlAfnan et al., 2024; Imarhiagbe et al., 2025; Lee et al., 2024; Ratnayake &amp; Amarasinghe, 2025). This multi-dimensional structure aids the emerging Industry 5.0 perspectives that perceive human-centric capabilities as complementary to AI rather than subordinate to it, reinforcing the idea of human–AI cooperation rather than technological substitution (Yuriev et al., 2024; Kamaruzaman et al., 2024; Nayan &amp; Nayan, 2024; Verma et al., 2025).</w:t>
      </w:r>
    </w:p>
    <w:p w14:paraId="475B0A9E" w14:textId="1475626F" w:rsidR="00994CDE" w:rsidRPr="005E5CD6" w:rsidRDefault="00EA67E0"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lastRenderedPageBreak/>
        <w:t>The comparatively lower representation of emerging competencies such as prompt engineering, sustainability, and human–AI collaboration further indicates that these domains are still evolving within higher education and have yet to become universally embedded in graduate employability frameworks</w:t>
      </w:r>
      <w:r w:rsidR="00082F39" w:rsidRPr="005E5CD6">
        <w:rPr>
          <w:rFonts w:ascii="Times New Roman" w:hAnsi="Times New Roman" w:cs="Times New Roman"/>
        </w:rPr>
        <w:t xml:space="preserve"> (O'Dea et al., 2025; Hrnjić et al., 2025; Yuriev et al., 2024; Palariya &amp; Shah, 2025; Imarhiagbe et al., 2025)</w:t>
      </w:r>
      <w:r w:rsidRPr="005E5CD6">
        <w:rPr>
          <w:rFonts w:ascii="Times New Roman" w:hAnsi="Times New Roman" w:cs="Times New Roman"/>
        </w:rPr>
        <w:t xml:space="preserve">. </w:t>
      </w:r>
      <w:r w:rsidR="00994CDE" w:rsidRPr="005E5CD6">
        <w:rPr>
          <w:rFonts w:ascii="Times New Roman" w:hAnsi="Times New Roman" w:cs="Times New Roman"/>
        </w:rPr>
        <w:t>This review therefore adds to the employability literature by suggesting that AI-ready graduates should be seen not only as digitally competent individuals, but also as adaptive lifelong learners who can integrate technological expertise with critical judgment, ethical reasoning, interpersonal effectiveness, and ongoing professional development</w:t>
      </w:r>
      <w:r w:rsidR="00082F39" w:rsidRPr="005E5CD6">
        <w:rPr>
          <w:rFonts w:ascii="Times New Roman" w:hAnsi="Times New Roman" w:cs="Times New Roman"/>
        </w:rPr>
        <w:t xml:space="preserve"> (AlAfnan et al., 2024; Verma et al., 2025; Kana &amp; Letaba, 2024; Nayan &amp; Nayan, 2024; Utkirov, 2024; Anowor et al., 2025)</w:t>
      </w:r>
      <w:r w:rsidR="00994CDE" w:rsidRPr="005E5CD6">
        <w:rPr>
          <w:rFonts w:ascii="Times New Roman" w:hAnsi="Times New Roman" w:cs="Times New Roman"/>
        </w:rPr>
        <w:t>. Such a perspective offers a wider theoretical foundation for future curriculum development, employability research and higher education policy in the age of Artificial Intelligence</w:t>
      </w:r>
      <w:r w:rsidR="00082F39" w:rsidRPr="005E5CD6">
        <w:rPr>
          <w:rFonts w:ascii="Times New Roman" w:hAnsi="Times New Roman" w:cs="Times New Roman"/>
        </w:rPr>
        <w:t xml:space="preserve"> (Lee et al., 2024; Chen et al., 2025; Khan et al., 2025; Segbenya et al., 2023; Grama &amp; Todericiu, 2025)</w:t>
      </w:r>
      <w:r w:rsidR="00994CDE" w:rsidRPr="005E5CD6">
        <w:rPr>
          <w:rFonts w:ascii="Times New Roman" w:hAnsi="Times New Roman" w:cs="Times New Roman"/>
        </w:rPr>
        <w:t>.</w:t>
      </w:r>
    </w:p>
    <w:p w14:paraId="6CFD5567" w14:textId="79D2BFF3" w:rsidR="00EA67E0" w:rsidRPr="005E5CD6" w:rsidRDefault="00EA67E0" w:rsidP="005E5CD6">
      <w:pPr>
        <w:spacing w:before="240" w:after="240" w:line="240" w:lineRule="auto"/>
        <w:jc w:val="both"/>
        <w:rPr>
          <w:rFonts w:ascii="Times New Roman" w:hAnsi="Times New Roman" w:cs="Times New Roman"/>
          <w:b/>
          <w:bCs/>
        </w:rPr>
      </w:pPr>
      <w:r w:rsidRPr="005E5CD6">
        <w:rPr>
          <w:rFonts w:ascii="Times New Roman" w:hAnsi="Times New Roman" w:cs="Times New Roman"/>
          <w:b/>
          <w:bCs/>
        </w:rPr>
        <w:t xml:space="preserve">Research Gaps </w:t>
      </w:r>
    </w:p>
    <w:p w14:paraId="75D74D1D" w14:textId="549419C4" w:rsidR="000C4689" w:rsidRPr="005E5CD6" w:rsidRDefault="000C4689"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Despite the growing body of literature on graduate employability in the age of Artificial Intelligence, some important gaps are still evident in the methodologies employed and the findings reported across the reviewed studies. The reviewed studies primarily employed cross-sectional survey and descriptive quantitative research designs, whereas only a limited number adopted longitudinal, mixed-methods, experimental, or intervention-based approaches to assess the long-term effectiveness of higher education practices on graduate employability. Moreover, most of the evidence available is located in specific national contexts, limiting the translatability of findings across disciplines of academia and higher education systems. While substantial agreement exists on the importance of industry collaboration, curriculum redesign, experiential learning, AI literacy, digital literacy, and lifelong learning in preparing graduates for an AI-driven workforce, limited empirical evidence identifies the optimal combination of these higher education practices for maximizing graduate employability outcomes. Similarly, although adaptability and critical thinking including communication, collaboration and lifelong learning were consistently reported as the core employability competencies, there are no standardized competency frameworks or validated measurement models in the literature that integrate AI-specific competencies such as human–AI collaboration, prompt engineering, responsible AI use and AI governance with traditional employability skills across different professions. </w:t>
      </w:r>
      <w:r w:rsidR="0015735B" w:rsidRPr="005E5CD6">
        <w:rPr>
          <w:rFonts w:ascii="Times New Roman" w:hAnsi="Times New Roman" w:cs="Times New Roman"/>
        </w:rPr>
        <w:t xml:space="preserve">These gaps underscore the need for future research employing longitudinal and multi-institutional designs, cross-country comparisons, intervention-based evaluations, and comprehensive competency validation studies to determine the higher education practices that most effectively prepare graduates for sustainable employability in increasingly AI-driven </w:t>
      </w:r>
      <w:r w:rsidR="005719AE" w:rsidRPr="005E5CD6">
        <w:rPr>
          <w:rFonts w:ascii="Times New Roman" w:hAnsi="Times New Roman" w:cs="Times New Roman"/>
        </w:rPr>
        <w:t>labor</w:t>
      </w:r>
      <w:r w:rsidR="0015735B" w:rsidRPr="005E5CD6">
        <w:rPr>
          <w:rFonts w:ascii="Times New Roman" w:hAnsi="Times New Roman" w:cs="Times New Roman"/>
        </w:rPr>
        <w:t xml:space="preserve"> markets.</w:t>
      </w:r>
    </w:p>
    <w:p w14:paraId="08ED4DE4" w14:textId="22BA0552" w:rsidR="004E1B6A" w:rsidRPr="005F511E" w:rsidRDefault="004E1B6A" w:rsidP="005E5CD6">
      <w:pPr>
        <w:spacing w:before="240" w:after="240" w:line="240" w:lineRule="auto"/>
        <w:rPr>
          <w:rFonts w:ascii="Times New Roman" w:hAnsi="Times New Roman" w:cs="Times New Roman"/>
          <w:b/>
          <w:bCs/>
          <w:sz w:val="28"/>
          <w:szCs w:val="28"/>
        </w:rPr>
      </w:pPr>
      <w:r w:rsidRPr="005F511E">
        <w:rPr>
          <w:rFonts w:ascii="Times New Roman" w:hAnsi="Times New Roman" w:cs="Times New Roman"/>
          <w:b/>
          <w:bCs/>
          <w:sz w:val="28"/>
          <w:szCs w:val="28"/>
        </w:rPr>
        <w:t xml:space="preserve">CONCLUSION </w:t>
      </w:r>
    </w:p>
    <w:p w14:paraId="6B317CBB" w14:textId="77777777" w:rsidR="008338F4" w:rsidRPr="005E5CD6" w:rsidRDefault="008338F4"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 xml:space="preserve">This review synthesized the existing literature to identify the practices of higher education reported in preparing graduates for employability in an AI-driven workforce and the employability competencies considered to be essential for success in increasingly technology enabled workplaces. The synthesis demonstrates a broad consensus across the reviewed studies that graduate employability requires more than disciplinary knowledge and depends on the holistic integration of competency-based education, curriculum redesign, work-integrated learning, experiential learning, project-based learning, university–industry collaboration, AI literacy, and digital literacy. Concurrently, adaptability, lifelong learning, critical thinking, problem-solving, communication, teamwork, creativity, and digital competence are the competencies that are most often associated with AI workforce readiness. There is a strong consensus on the importance of these human-centered and transferable competencies, but there are inconsistencies on the distinction of discipline-specific AI competencies such as programming, machine learning, prompt engineering, and human-AI collaboration that appear to be emerging rather than universally expected across academic disciplines. </w:t>
      </w:r>
    </w:p>
    <w:p w14:paraId="5DD5B5BB" w14:textId="6D27CE6E" w:rsidR="003E547F" w:rsidRPr="005E5CD6" w:rsidRDefault="003E547F"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adoption of transformative higher education practices that combine AI-</w:t>
      </w:r>
      <w:r w:rsidR="00657735" w:rsidRPr="005E5CD6">
        <w:rPr>
          <w:rFonts w:ascii="Times New Roman" w:hAnsi="Times New Roman" w:cs="Times New Roman"/>
        </w:rPr>
        <w:t xml:space="preserve">oriented </w:t>
      </w:r>
      <w:r w:rsidRPr="005E5CD6">
        <w:rPr>
          <w:rFonts w:ascii="Times New Roman" w:hAnsi="Times New Roman" w:cs="Times New Roman"/>
        </w:rPr>
        <w:t>learning environment with authentic workplace experiences enables the development of graduates for AI-enabled workplaces. Overall, the review contributes to employability studies by synthesizing fragmented evidence into an integrated framework linking educational practices to graduate competencies. It theoretically links current employability and Industry 5.0 discourse and methodologically provides a comprehensive synthesis of evidence across different disciplinary and international contexts.</w:t>
      </w:r>
    </w:p>
    <w:p w14:paraId="13617699" w14:textId="4819128B" w:rsidR="004E1B6A" w:rsidRPr="005E5CD6" w:rsidRDefault="004E1B6A" w:rsidP="005E5CD6">
      <w:pPr>
        <w:spacing w:before="240" w:after="240" w:line="240" w:lineRule="auto"/>
        <w:jc w:val="both"/>
        <w:rPr>
          <w:rFonts w:ascii="Times New Roman" w:hAnsi="Times New Roman" w:cs="Times New Roman"/>
          <w:b/>
          <w:bCs/>
        </w:rPr>
      </w:pPr>
      <w:r w:rsidRPr="005E5CD6">
        <w:rPr>
          <w:rFonts w:ascii="Times New Roman" w:hAnsi="Times New Roman" w:cs="Times New Roman"/>
          <w:b/>
          <w:bCs/>
        </w:rPr>
        <w:lastRenderedPageBreak/>
        <w:t>RECOMMENDATION</w:t>
      </w:r>
    </w:p>
    <w:p w14:paraId="1BB8FB58" w14:textId="77777777" w:rsidR="006169F0" w:rsidRPr="005E5CD6" w:rsidRDefault="00B76722"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Future researchers should develop and empirically validate AI-ready employability frameworks that integrate AI literacy, digital competence, human-centered skills, and higher education practices to support graduate employability in AI-driven labor markets.</w:t>
      </w:r>
      <w:r w:rsidR="004E1B6A" w:rsidRPr="005E5CD6">
        <w:rPr>
          <w:rFonts w:ascii="Times New Roman" w:hAnsi="Times New Roman" w:cs="Times New Roman"/>
        </w:rPr>
        <w:t xml:space="preserve"> Educators are encouraged to redesign curricula that integrate AI literacy</w:t>
      </w:r>
      <w:r w:rsidRPr="005E5CD6">
        <w:rPr>
          <w:rFonts w:ascii="Times New Roman" w:hAnsi="Times New Roman" w:cs="Times New Roman"/>
        </w:rPr>
        <w:t xml:space="preserve"> and </w:t>
      </w:r>
      <w:r w:rsidR="004E1B6A" w:rsidRPr="005E5CD6">
        <w:rPr>
          <w:rFonts w:ascii="Times New Roman" w:hAnsi="Times New Roman" w:cs="Times New Roman"/>
        </w:rPr>
        <w:t xml:space="preserve">ethical AI </w:t>
      </w:r>
      <w:r w:rsidRPr="005E5CD6">
        <w:rPr>
          <w:rFonts w:ascii="Times New Roman" w:hAnsi="Times New Roman" w:cs="Times New Roman"/>
        </w:rPr>
        <w:t xml:space="preserve">education with </w:t>
      </w:r>
      <w:r w:rsidR="004E1B6A" w:rsidRPr="005E5CD6">
        <w:rPr>
          <w:rFonts w:ascii="Times New Roman" w:hAnsi="Times New Roman" w:cs="Times New Roman"/>
        </w:rPr>
        <w:t>experiential learning</w:t>
      </w:r>
      <w:r w:rsidRPr="005E5CD6">
        <w:rPr>
          <w:rFonts w:ascii="Times New Roman" w:hAnsi="Times New Roman" w:cs="Times New Roman"/>
        </w:rPr>
        <w:t xml:space="preserve"> </w:t>
      </w:r>
      <w:r w:rsidR="007036E3" w:rsidRPr="005E5CD6">
        <w:rPr>
          <w:rFonts w:ascii="Times New Roman" w:hAnsi="Times New Roman" w:cs="Times New Roman"/>
        </w:rPr>
        <w:t xml:space="preserve">and </w:t>
      </w:r>
      <w:r w:rsidR="004E1B6A" w:rsidRPr="005E5CD6">
        <w:rPr>
          <w:rFonts w:ascii="Times New Roman" w:hAnsi="Times New Roman" w:cs="Times New Roman"/>
        </w:rPr>
        <w:t>interdisciplinary collaboration</w:t>
      </w:r>
      <w:r w:rsidR="007036E3" w:rsidRPr="005E5CD6">
        <w:rPr>
          <w:rFonts w:ascii="Times New Roman" w:hAnsi="Times New Roman" w:cs="Times New Roman"/>
        </w:rPr>
        <w:t xml:space="preserve"> </w:t>
      </w:r>
      <w:r w:rsidR="004E1B6A" w:rsidRPr="005E5CD6">
        <w:rPr>
          <w:rFonts w:ascii="Times New Roman" w:hAnsi="Times New Roman" w:cs="Times New Roman"/>
        </w:rPr>
        <w:t>while continuously cultivating adaptability</w:t>
      </w:r>
      <w:r w:rsidR="007036E3" w:rsidRPr="005E5CD6">
        <w:rPr>
          <w:rFonts w:ascii="Times New Roman" w:hAnsi="Times New Roman" w:cs="Times New Roman"/>
        </w:rPr>
        <w:t xml:space="preserve"> and </w:t>
      </w:r>
      <w:r w:rsidR="004E1B6A" w:rsidRPr="005E5CD6">
        <w:rPr>
          <w:rFonts w:ascii="Times New Roman" w:hAnsi="Times New Roman" w:cs="Times New Roman"/>
        </w:rPr>
        <w:t>lifelong learning</w:t>
      </w:r>
      <w:r w:rsidR="007036E3" w:rsidRPr="005E5CD6">
        <w:rPr>
          <w:rFonts w:ascii="Times New Roman" w:hAnsi="Times New Roman" w:cs="Times New Roman"/>
        </w:rPr>
        <w:t xml:space="preserve"> along with </w:t>
      </w:r>
      <w:r w:rsidR="004E1B6A" w:rsidRPr="005E5CD6">
        <w:rPr>
          <w:rFonts w:ascii="Times New Roman" w:hAnsi="Times New Roman" w:cs="Times New Roman"/>
        </w:rPr>
        <w:t xml:space="preserve">higher-order thinking skills. Likewise, policymakers and </w:t>
      </w:r>
      <w:r w:rsidR="00DF109E" w:rsidRPr="005E5CD6">
        <w:rPr>
          <w:rFonts w:ascii="Times New Roman" w:hAnsi="Times New Roman" w:cs="Times New Roman"/>
        </w:rPr>
        <w:t>school leaders may strengthen university–industry partnerships by establishing AI research and innovation centers that facilitate work-integrated learning and industry-driven innovation to prepare graduates for AI-enabled workplaces.</w:t>
      </w:r>
      <w:r w:rsidR="004E1B6A" w:rsidRPr="005E5CD6">
        <w:rPr>
          <w:rFonts w:ascii="Times New Roman" w:hAnsi="Times New Roman" w:cs="Times New Roman"/>
        </w:rPr>
        <w:t xml:space="preserve"> </w:t>
      </w:r>
    </w:p>
    <w:p w14:paraId="773A801A" w14:textId="113AE6E8" w:rsidR="009D0100" w:rsidRPr="005E5CD6" w:rsidRDefault="009D0100" w:rsidP="005E5CD6">
      <w:pPr>
        <w:spacing w:before="240" w:after="240" w:line="240" w:lineRule="auto"/>
        <w:ind w:firstLine="720"/>
        <w:jc w:val="both"/>
        <w:rPr>
          <w:rFonts w:ascii="Times New Roman" w:hAnsi="Times New Roman" w:cs="Times New Roman"/>
        </w:rPr>
      </w:pPr>
      <w:r w:rsidRPr="005E5CD6">
        <w:rPr>
          <w:rFonts w:ascii="Times New Roman" w:hAnsi="Times New Roman" w:cs="Times New Roman"/>
        </w:rPr>
        <w:t>The review is limited by its reliance on published studies, the predominance of cross-sectional studies and the heterogeneity of educational settings and competency frameworks that may limit comparability of findings. Future research should focus on multi-country comparative studies, longitudinal evaluations of graduate outcomes and experimental studies to evaluate AI-enhanced pedagogies for AI-related employability competencies. Such efforts will enhance the understanding of how HE can prepare graduates to be successful in fast-changing AI workplaces in a sustainable way while keeping the supporting role of technology by human capabilities unique to sustainable employability.</w:t>
      </w:r>
    </w:p>
    <w:p w14:paraId="621A899D" w14:textId="1C740B18" w:rsidR="00C130E1" w:rsidRPr="005F511E" w:rsidRDefault="00C130E1" w:rsidP="005E5CD6">
      <w:pPr>
        <w:pStyle w:val="Heading1"/>
        <w:spacing w:before="240" w:after="240" w:line="240" w:lineRule="auto"/>
        <w:rPr>
          <w:rFonts w:ascii="Times New Roman" w:hAnsi="Times New Roman" w:cs="Times New Roman"/>
          <w:b/>
          <w:bCs/>
          <w:color w:val="auto"/>
          <w:sz w:val="28"/>
          <w:szCs w:val="28"/>
        </w:rPr>
      </w:pPr>
      <w:r w:rsidRPr="005F511E">
        <w:rPr>
          <w:rFonts w:ascii="Times New Roman" w:hAnsi="Times New Roman" w:cs="Times New Roman"/>
          <w:b/>
          <w:bCs/>
          <w:color w:val="auto"/>
          <w:sz w:val="28"/>
          <w:szCs w:val="28"/>
        </w:rPr>
        <w:t>REFERENCES</w:t>
      </w:r>
    </w:p>
    <w:p w14:paraId="49E5FE25"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Adepoju, M. A. O., &amp; Adepoju, S. A. (2025). Mapping the evolution its roles and skills requirements in the age of AI. World Journal of Advanced Research and Reviews. doi: https://doi.org/10.30574/wjarr.2025.26.3.2410 </w:t>
      </w:r>
    </w:p>
    <w:p w14:paraId="477D11D2" w14:textId="77777777" w:rsidR="00E525F9" w:rsidRPr="005E5CD6" w:rsidRDefault="00E525F9"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val="sv-SE" w:eastAsia="en-PH"/>
          <w14:ligatures w14:val="none"/>
        </w:rPr>
        <w:t xml:space="preserve">Aditya, D., Silvestri, K., &amp; Otermans, P. C. (2024). </w:t>
      </w:r>
      <w:r w:rsidRPr="005E5CD6">
        <w:rPr>
          <w:rFonts w:ascii="Times New Roman" w:eastAsia="Times New Roman" w:hAnsi="Times New Roman" w:cs="Times New Roman"/>
          <w:color w:val="000000"/>
          <w:kern w:val="0"/>
          <w:lang w:eastAsia="en-PH"/>
          <w14:ligatures w14:val="none"/>
        </w:rPr>
        <w:t xml:space="preserve">Can AI teach me employability? A multi-national study in three countries. Frontiers in Artificial Intelligence, 7, 1461158. https://doi.org/10.3389/frai.2024.1461158 </w:t>
      </w:r>
    </w:p>
    <w:p w14:paraId="272BEFC1" w14:textId="32ECF4EE"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val="sv-SE" w:eastAsia="en-PH"/>
          <w14:ligatures w14:val="none"/>
        </w:rPr>
        <w:t xml:space="preserve">Aguila, G. M., De Castro, E. L., Dotong, C. I., &amp; Laguador, J. M. (2016). </w:t>
      </w:r>
      <w:r w:rsidRPr="005E5CD6">
        <w:rPr>
          <w:rFonts w:ascii="Times New Roman" w:eastAsia="Times New Roman" w:hAnsi="Times New Roman" w:cs="Times New Roman"/>
          <w:color w:val="000000"/>
          <w:kern w:val="0"/>
          <w:lang w:eastAsia="en-PH"/>
          <w14:ligatures w14:val="none"/>
        </w:rPr>
        <w:t>Employability of computer engineering graduates from 2013 to 2015 in one private higher education institution in the Philippines. </w:t>
      </w:r>
      <w:r w:rsidRPr="005E5CD6">
        <w:rPr>
          <w:rFonts w:ascii="Times New Roman" w:eastAsia="Times New Roman" w:hAnsi="Times New Roman" w:cs="Times New Roman"/>
          <w:i/>
          <w:iCs/>
          <w:color w:val="000000"/>
          <w:kern w:val="0"/>
          <w:lang w:eastAsia="en-PH"/>
          <w14:ligatures w14:val="none"/>
        </w:rPr>
        <w:t>Asia Pacific Journal of Education, Arts and Sciences</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3</w:t>
      </w:r>
      <w:r w:rsidRPr="005E5CD6">
        <w:rPr>
          <w:rFonts w:ascii="Times New Roman" w:eastAsia="Times New Roman" w:hAnsi="Times New Roman" w:cs="Times New Roman"/>
          <w:color w:val="000000"/>
          <w:kern w:val="0"/>
          <w:lang w:eastAsia="en-PH"/>
          <w14:ligatures w14:val="none"/>
        </w:rPr>
        <w:t>(3), 48-54. https://research.lpubatangas.edu.ph/wp-content/uploads/2016/09/APJEAS-2016.3.3.08.pdf</w:t>
      </w:r>
    </w:p>
    <w:p w14:paraId="5B9988C4"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Albalawi, S. H., Hashim, A. M. I., Rakha, M. A. I., Alamri, H. E., Najmi, A. H., &amp; Alderaan, R. A Proposed Vision for Developing Employability Skills among University of Tabuk Graduates in Light of the Fifth Industrial Revolution Requirements. 22(2): 24731-24754. https://doi.org/10.57239/PJLSS-2024-22.2.001768</w:t>
      </w:r>
    </w:p>
    <w:p w14:paraId="2C20B640"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Anowor, O. F., Chibuzo, A. C., ANIGBO, C. G., &amp; Ukpere, W. I. (2025). Expanding the youth employability in Nigeria through digital skills acquisitions as pathways in advancing sustainable development goals. </w:t>
      </w:r>
      <w:r w:rsidRPr="005E5CD6">
        <w:rPr>
          <w:rFonts w:ascii="Times New Roman" w:eastAsia="Times New Roman" w:hAnsi="Times New Roman" w:cs="Times New Roman"/>
          <w:i/>
          <w:iCs/>
          <w:color w:val="000000"/>
          <w:kern w:val="0"/>
          <w:lang w:eastAsia="en-PH"/>
          <w14:ligatures w14:val="none"/>
        </w:rPr>
        <w:t>Journal of Lifestyle &amp; SDG's Review</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5</w:t>
      </w:r>
      <w:r w:rsidRPr="005E5CD6">
        <w:rPr>
          <w:rFonts w:ascii="Times New Roman" w:eastAsia="Times New Roman" w:hAnsi="Times New Roman" w:cs="Times New Roman"/>
          <w:color w:val="000000"/>
          <w:kern w:val="0"/>
          <w:lang w:eastAsia="en-PH"/>
          <w14:ligatures w14:val="none"/>
        </w:rPr>
        <w:t>, 1-22. https://doi.org/10.47172/2965-730X.SDGsReview.v5.n10.pe08136</w:t>
      </w:r>
    </w:p>
    <w:p w14:paraId="7DFC7011"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Aung, Y. K. K. </w:t>
      </w:r>
      <w:r w:rsidRPr="005E5CD6">
        <w:rPr>
          <w:rFonts w:ascii="Times New Roman" w:eastAsia="Times New Roman" w:hAnsi="Times New Roman" w:cs="Times New Roman"/>
          <w:i/>
          <w:iCs/>
          <w:color w:val="000000"/>
          <w:kern w:val="0"/>
          <w:lang w:eastAsia="en-PH"/>
          <w14:ligatures w14:val="none"/>
        </w:rPr>
        <w:t>A Study on University-Industry Collaboration for Job Readiness of Undergraduate Students at STI Myanmar” (Ye Ko Ko Aung, 2025)</w:t>
      </w:r>
      <w:r w:rsidRPr="005E5CD6">
        <w:rPr>
          <w:rFonts w:ascii="Times New Roman" w:eastAsia="Times New Roman" w:hAnsi="Times New Roman" w:cs="Times New Roman"/>
          <w:color w:val="000000"/>
          <w:kern w:val="0"/>
          <w:lang w:eastAsia="en-PH"/>
          <w14:ligatures w14:val="none"/>
        </w:rPr>
        <w:t> (Doctoral dissertation, MERAL Portal). https://meral.edu.mm/records/11649</w:t>
      </w:r>
    </w:p>
    <w:p w14:paraId="05D51464"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val="sv-SE" w:eastAsia="en-PH"/>
          <w14:ligatures w14:val="none"/>
        </w:rPr>
        <w:t xml:space="preserve">Bedoya-Guerrero, A., Basantes-Andrade, A., Rosales, F. O., Naranjo-Toro, M., &amp; León-Carlosama, R. (2024). </w:t>
      </w:r>
      <w:r w:rsidRPr="005E5CD6">
        <w:rPr>
          <w:rFonts w:ascii="Times New Roman" w:eastAsia="Times New Roman" w:hAnsi="Times New Roman" w:cs="Times New Roman"/>
          <w:color w:val="000000"/>
          <w:kern w:val="0"/>
          <w:lang w:eastAsia="en-PH"/>
          <w14:ligatures w14:val="none"/>
        </w:rPr>
        <w:t xml:space="preserve">Soft skills and employability of online graduate students. Education Sciences, 14(8), 864. https://doi.org/10.3390/educsci14080864 </w:t>
      </w:r>
    </w:p>
    <w:p w14:paraId="58642C91" w14:textId="4BB8A66A"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Berniak-Woźny, J., Plebańska, M., &amp; Wójcik-Jurkiewicz, M. (2023). University students' perception of employability and workability skills for the workplace in the digital era. </w:t>
      </w:r>
      <w:r w:rsidRPr="005E5CD6">
        <w:rPr>
          <w:rFonts w:ascii="Times New Roman" w:eastAsia="Times New Roman" w:hAnsi="Times New Roman" w:cs="Times New Roman"/>
          <w:i/>
          <w:iCs/>
          <w:color w:val="000000"/>
          <w:kern w:val="0"/>
          <w:lang w:eastAsia="en-PH"/>
          <w14:ligatures w14:val="none"/>
        </w:rPr>
        <w:t>Scientific Journal of Bielsko-Biala School of Finance and Law</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27</w:t>
      </w:r>
      <w:r w:rsidRPr="005E5CD6">
        <w:rPr>
          <w:rFonts w:ascii="Times New Roman" w:eastAsia="Times New Roman" w:hAnsi="Times New Roman" w:cs="Times New Roman"/>
          <w:color w:val="000000"/>
          <w:kern w:val="0"/>
          <w:lang w:eastAsia="en-PH"/>
          <w14:ligatures w14:val="none"/>
        </w:rPr>
        <w:t>(4), 39-45. https://doi.org/10.19192/wsfip.sj4.2023.5</w:t>
      </w:r>
    </w:p>
    <w:p w14:paraId="160EA233"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Buenviaje, M. G., Encio, H. A., Refozar, R. F., Anuran, A., Camello, N. C., &amp; Laguador, J. M. (2016). Employability andSkills of MBA Graduates fromLiterature Review asInput to Student Development Program. </w:t>
      </w:r>
      <w:r w:rsidRPr="005E5CD6">
        <w:rPr>
          <w:rFonts w:ascii="Times New Roman" w:eastAsia="Times New Roman" w:hAnsi="Times New Roman" w:cs="Times New Roman"/>
          <w:i/>
          <w:iCs/>
          <w:color w:val="000000"/>
          <w:kern w:val="0"/>
          <w:lang w:eastAsia="en-PH"/>
          <w14:ligatures w14:val="none"/>
        </w:rPr>
        <w:t>Journal of Research in Business and Management Volume</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4</w:t>
      </w:r>
      <w:r w:rsidRPr="005E5CD6">
        <w:rPr>
          <w:rFonts w:ascii="Times New Roman" w:eastAsia="Times New Roman" w:hAnsi="Times New Roman" w:cs="Times New Roman"/>
          <w:color w:val="000000"/>
          <w:kern w:val="0"/>
          <w:lang w:eastAsia="en-PH"/>
          <w14:ligatures w14:val="none"/>
        </w:rPr>
        <w:t>(5), 16-21. https://www.questjournals.org/jrbm/papers/vol4-issue5/C451621.pdf</w:t>
      </w:r>
    </w:p>
    <w:p w14:paraId="4A714B1B"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Chauhan, P. (2025). An assessment of graduate readiness in the 21st century workforce. </w:t>
      </w:r>
      <w:r w:rsidRPr="005E5CD6">
        <w:rPr>
          <w:rFonts w:ascii="Times New Roman" w:eastAsia="Times New Roman" w:hAnsi="Times New Roman" w:cs="Times New Roman"/>
          <w:i/>
          <w:iCs/>
          <w:color w:val="000000"/>
          <w:kern w:val="0"/>
          <w:lang w:eastAsia="en-PH"/>
          <w14:ligatures w14:val="none"/>
        </w:rPr>
        <w:t>International Journal of All Subject Studies</w:t>
      </w:r>
      <w:r w:rsidRPr="005E5CD6">
        <w:rPr>
          <w:rFonts w:ascii="Times New Roman" w:eastAsia="Times New Roman" w:hAnsi="Times New Roman" w:cs="Times New Roman"/>
          <w:color w:val="000000"/>
          <w:kern w:val="0"/>
          <w:lang w:eastAsia="en-PH"/>
          <w14:ligatures w14:val="none"/>
        </w:rPr>
        <w:t>, 1(3), 1-5. https://www.allstudiesjournal.com/assets/archives/2025/vol1issue3/1010.pdf</w:t>
      </w:r>
    </w:p>
    <w:p w14:paraId="775B16B5"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lastRenderedPageBreak/>
        <w:t>Chavez, N. H., De Castro, E. L., Camello, N. C., Dolot, J. A., &amp; Laguador, J. M. (2016). Relevance of school related factors to the job placement of engineering graduates. </w:t>
      </w:r>
      <w:r w:rsidRPr="005E5CD6">
        <w:rPr>
          <w:rFonts w:ascii="Times New Roman" w:eastAsia="Times New Roman" w:hAnsi="Times New Roman" w:cs="Times New Roman"/>
          <w:i/>
          <w:iCs/>
          <w:color w:val="000000"/>
          <w:kern w:val="0"/>
          <w:lang w:eastAsia="en-PH"/>
          <w14:ligatures w14:val="none"/>
        </w:rPr>
        <w:t>EPH-International Journal of Science and Engineering</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1</w:t>
      </w:r>
      <w:r w:rsidRPr="005E5CD6">
        <w:rPr>
          <w:rFonts w:ascii="Times New Roman" w:eastAsia="Times New Roman" w:hAnsi="Times New Roman" w:cs="Times New Roman"/>
          <w:color w:val="000000"/>
          <w:kern w:val="0"/>
          <w:lang w:eastAsia="en-PH"/>
          <w14:ligatures w14:val="none"/>
        </w:rPr>
        <w:t>(6), 30-36.</w:t>
      </w:r>
    </w:p>
    <w:p w14:paraId="7C831E07"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Chen, L. S., Huynh-Cam, T. T., Nguyen, V. C., Lu, T. C., &amp; Le-Huynh, D. K. (2025). Predicting Early Employability of Vietnamese Graduates: Insights from Data-Driven Analysis Through Machine Learning Methods. </w:t>
      </w:r>
      <w:r w:rsidRPr="005E5CD6">
        <w:rPr>
          <w:rFonts w:ascii="Times New Roman" w:eastAsia="Times New Roman" w:hAnsi="Times New Roman" w:cs="Times New Roman"/>
          <w:i/>
          <w:iCs/>
          <w:color w:val="000000"/>
          <w:kern w:val="0"/>
          <w:lang w:eastAsia="en-PH"/>
          <w14:ligatures w14:val="none"/>
        </w:rPr>
        <w:t>Big Data and Cognitive Computing</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9</w:t>
      </w:r>
      <w:r w:rsidRPr="005E5CD6">
        <w:rPr>
          <w:rFonts w:ascii="Times New Roman" w:eastAsia="Times New Roman" w:hAnsi="Times New Roman" w:cs="Times New Roman"/>
          <w:color w:val="000000"/>
          <w:kern w:val="0"/>
          <w:lang w:eastAsia="en-PH"/>
          <w14:ligatures w14:val="none"/>
        </w:rPr>
        <w:t>(5), 134. https://doi.org/10.3390/bdcc9050134</w:t>
      </w:r>
    </w:p>
    <w:p w14:paraId="4D23F18C"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Cheng, S., Cao, R., &amp; Md Rashid, S. (2025). The influence of employability skills on quality of employment in AI-driven labour market transformations: the roles of academic achievement and motivation. Humanities and Social Sciences Communications, 12(1), 1-14. https://doi.org/10.1057/s41599-025-05872-y</w:t>
      </w:r>
    </w:p>
    <w:p w14:paraId="76F65D33"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Chowdhury, R., &amp; Habib, M. M. (2025). A study on the education supply chain for graduate employability in bangladesh's higher education system. International Journal of Supply Chain Management, 14(5), 66-65. https://doi.org/10.59160/ijscm.v14i5.6356</w:t>
      </w:r>
    </w:p>
    <w:p w14:paraId="48A4BFAA"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Coetzee, W., &amp; Goede, R. (2024). Employability competencies needed by data analytics graduates: An analysis of online job listings. South African Journal of Higher Education, 38(6), 33-55. https://dx.doi.org/10.20853/38-6-5915 </w:t>
      </w:r>
    </w:p>
    <w:p w14:paraId="519CECAD"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Deckha, N., Scott, C. A., MacDiarmid, L., Sandford, A., &amp; Chen, V. (2024). Identifying key skills for the future of work and the assessments to build them. Journal of Innovation in Polytechnic Education, 6(2), 1-13. https://doi.org/10.69520/jipe.v6i2.216 </w:t>
      </w:r>
    </w:p>
    <w:p w14:paraId="64626975" w14:textId="4E774B9F"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Dieguez, T., &amp; Castro, C. (2025). From Learning to Leading: Higher Education in the Digital Era. </w:t>
      </w:r>
      <w:r w:rsidRPr="005E5CD6">
        <w:rPr>
          <w:rFonts w:ascii="Times New Roman" w:eastAsia="Times New Roman" w:hAnsi="Times New Roman" w:cs="Times New Roman"/>
          <w:i/>
          <w:iCs/>
          <w:color w:val="000000"/>
          <w:kern w:val="0"/>
          <w:lang w:eastAsia="en-PH"/>
          <w14:ligatures w14:val="none"/>
        </w:rPr>
        <w:t>IADIS International Journal on WWW/Internet</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23</w:t>
      </w:r>
      <w:r w:rsidRPr="005E5CD6">
        <w:rPr>
          <w:rFonts w:ascii="Times New Roman" w:eastAsia="Times New Roman" w:hAnsi="Times New Roman" w:cs="Times New Roman"/>
          <w:color w:val="000000"/>
          <w:kern w:val="0"/>
          <w:lang w:eastAsia="en-PH"/>
          <w14:ligatures w14:val="none"/>
        </w:rPr>
        <w:t>(1). https://www.iadisportal.org/ijwi/papers/2025230101.pdf</w:t>
      </w:r>
    </w:p>
    <w:p w14:paraId="2E749821"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Dutta, O., Vikamsey, D., Ahmed, N., &amp; Smith, R. (2025). Qualitative study on enhancing employability in psychology undergraduates: autonomy, competence and relatedness through SDT-inspired internships. </w:t>
      </w:r>
      <w:r w:rsidRPr="005E5CD6">
        <w:rPr>
          <w:rFonts w:ascii="Times New Roman" w:eastAsia="Times New Roman" w:hAnsi="Times New Roman" w:cs="Times New Roman"/>
          <w:i/>
          <w:iCs/>
          <w:color w:val="000000"/>
          <w:kern w:val="0"/>
          <w:lang w:eastAsia="en-PH"/>
          <w14:ligatures w14:val="none"/>
        </w:rPr>
        <w:t>Cogent Education</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12</w:t>
      </w:r>
      <w:r w:rsidRPr="005E5CD6">
        <w:rPr>
          <w:rFonts w:ascii="Times New Roman" w:eastAsia="Times New Roman" w:hAnsi="Times New Roman" w:cs="Times New Roman"/>
          <w:color w:val="000000"/>
          <w:kern w:val="0"/>
          <w:lang w:eastAsia="en-PH"/>
          <w14:ligatures w14:val="none"/>
        </w:rPr>
        <w:t>(1), 2597055. https://doi.org/10.1080/2331186X.2025.2597055</w:t>
      </w:r>
    </w:p>
    <w:p w14:paraId="503B7A5B" w14:textId="77777777" w:rsidR="00DB2E39" w:rsidRPr="005E5CD6" w:rsidRDefault="00DB2E39"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hAnsi="Times New Roman" w:cs="Times New Roman"/>
        </w:rPr>
        <w:t>Gough, D., Thomas, J., &amp; Oliver, S. (2012). An introduction to systematic reviews. Sage</w:t>
      </w:r>
      <w:r w:rsidRPr="005E5CD6">
        <w:rPr>
          <w:rFonts w:ascii="Times New Roman" w:eastAsia="Times New Roman" w:hAnsi="Times New Roman" w:cs="Times New Roman"/>
          <w:color w:val="000000"/>
          <w:kern w:val="0"/>
          <w:lang w:eastAsia="en-PH"/>
          <w14:ligatures w14:val="none"/>
        </w:rPr>
        <w:t xml:space="preserve"> </w:t>
      </w:r>
    </w:p>
    <w:p w14:paraId="248A8D41"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Grama, B., &amp; Todericiu, R. (2025). The Evolution of Skill Dynamics in the Context of the Future of Work. Studies in Business and Economics, 20(2), 137-154. DOI 10.2478/sbe-2025-0028 </w:t>
      </w:r>
    </w:p>
    <w:p w14:paraId="49FCEFAC" w14:textId="048CB1B8"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Ha, L. M. (2025). Integrating Artificial Intelligence into Competency-Based Social Work Education: Challenges, Opportunities, and Policy Implications from Vietnam. Social Work &amp; Society, 23(2). https://ejournals.bib.uni-wuppertal.de/index.php/sws/article/view/1255/1635</w:t>
      </w:r>
    </w:p>
    <w:p w14:paraId="0783707B"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Harb, A. (2025). AI in Sports Media Education: A Conceptual Framework for Palestinian Universities. </w:t>
      </w:r>
      <w:r w:rsidRPr="005E5CD6">
        <w:rPr>
          <w:rFonts w:ascii="Times New Roman" w:eastAsia="Times New Roman" w:hAnsi="Times New Roman" w:cs="Times New Roman"/>
          <w:i/>
          <w:iCs/>
          <w:color w:val="000000"/>
          <w:kern w:val="0"/>
          <w:lang w:eastAsia="en-PH"/>
          <w14:ligatures w14:val="none"/>
        </w:rPr>
        <w:t>Journal of Communication in Scientific Inquiry (JCSI)</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7</w:t>
      </w:r>
      <w:r w:rsidRPr="005E5CD6">
        <w:rPr>
          <w:rFonts w:ascii="Times New Roman" w:eastAsia="Times New Roman" w:hAnsi="Times New Roman" w:cs="Times New Roman"/>
          <w:color w:val="000000"/>
          <w:kern w:val="0"/>
          <w:lang w:eastAsia="en-PH"/>
          <w14:ligatures w14:val="none"/>
        </w:rPr>
        <w:t>(2), 73-84. https://ejournal.unimap.edu.my/index.php/jcsi/article/view/2233/1556</w:t>
      </w:r>
    </w:p>
    <w:p w14:paraId="68370D59" w14:textId="77777777" w:rsidR="00E525F9" w:rsidRPr="005E5CD6" w:rsidRDefault="00E525F9"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Hidayat, R., &amp; Amran, M. N. (2025). A Mediating Role of Emotional Intelligence Between Digital and Employability Skills Among Agricultural Education Students. Sage Open, 15(4), 21582440251385479. https://doi.org/10.1177/21582440251385479 </w:t>
      </w:r>
    </w:p>
    <w:p w14:paraId="587ECDBD" w14:textId="3E3A9370"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Hrnjić, A., Pilav-Velić, A., Hadžiahmetović-Milišić, N., &amp; Dedović, L. (2025). The future of work in transition economies: Integrating AI, digital skills, and employability in higher education. </w:t>
      </w:r>
      <w:r w:rsidRPr="005E5CD6">
        <w:rPr>
          <w:rFonts w:ascii="Times New Roman" w:eastAsia="Times New Roman" w:hAnsi="Times New Roman" w:cs="Times New Roman"/>
          <w:i/>
          <w:iCs/>
          <w:color w:val="000000"/>
          <w:kern w:val="0"/>
          <w:lang w:eastAsia="en-PH"/>
          <w14:ligatures w14:val="none"/>
        </w:rPr>
        <w:t>South East European Journal of Economics and Business</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20</w:t>
      </w:r>
      <w:r w:rsidRPr="005E5CD6">
        <w:rPr>
          <w:rFonts w:ascii="Times New Roman" w:eastAsia="Times New Roman" w:hAnsi="Times New Roman" w:cs="Times New Roman"/>
          <w:color w:val="000000"/>
          <w:kern w:val="0"/>
          <w:lang w:eastAsia="en-PH"/>
          <w14:ligatures w14:val="none"/>
        </w:rPr>
        <w:t>(2), 85-99. DOI: 10.2478/jeb-2025-0020</w:t>
      </w:r>
    </w:p>
    <w:p w14:paraId="13A7A833"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Imarhiagbe, O., Idris-Usman, M. S., Demehin, M., &amp; Pokuboye-Amakiri, B. Student Perception of AI Use in Education: Implications for Educational Gain Frameworks and Employability. </w:t>
      </w:r>
      <w:r w:rsidRPr="005E5CD6">
        <w:rPr>
          <w:rFonts w:ascii="Times New Roman" w:eastAsia="Times New Roman" w:hAnsi="Times New Roman" w:cs="Times New Roman"/>
          <w:i/>
          <w:iCs/>
          <w:color w:val="000000"/>
          <w:kern w:val="0"/>
          <w:lang w:eastAsia="en-PH"/>
          <w14:ligatures w14:val="none"/>
        </w:rPr>
        <w:t>International Journal of Research and Innovation in Social Science</w:t>
      </w:r>
      <w:r w:rsidRPr="005E5CD6">
        <w:rPr>
          <w:rFonts w:ascii="Times New Roman" w:eastAsia="Times New Roman" w:hAnsi="Times New Roman" w:cs="Times New Roman"/>
          <w:color w:val="000000"/>
          <w:kern w:val="0"/>
          <w:lang w:eastAsia="en-PH"/>
          <w14:ligatures w14:val="none"/>
        </w:rPr>
        <w:t>, IX (IIIS). https://dx.doi.org/10.47772/IJRISS.2025.903SEDU0463</w:t>
      </w:r>
    </w:p>
    <w:p w14:paraId="21EC6C85"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Kana, N., &amp; Letaba, P. (2024). The reshaping of curriculum transformation to address the 21st-century skill sets and employment prospects during the Fourth Industrial Revolution era: A case of the South Africa TVET colleges. </w:t>
      </w:r>
      <w:r w:rsidRPr="005E5CD6">
        <w:rPr>
          <w:rFonts w:ascii="Times New Roman" w:eastAsia="Times New Roman" w:hAnsi="Times New Roman" w:cs="Times New Roman"/>
          <w:i/>
          <w:iCs/>
          <w:color w:val="000000"/>
          <w:kern w:val="0"/>
          <w:lang w:eastAsia="en-PH"/>
          <w14:ligatures w14:val="none"/>
        </w:rPr>
        <w:t>South African Journal of Higher Education</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38</w:t>
      </w:r>
      <w:r w:rsidRPr="005E5CD6">
        <w:rPr>
          <w:rFonts w:ascii="Times New Roman" w:eastAsia="Times New Roman" w:hAnsi="Times New Roman" w:cs="Times New Roman"/>
          <w:color w:val="000000"/>
          <w:kern w:val="0"/>
          <w:lang w:eastAsia="en-PH"/>
          <w14:ligatures w14:val="none"/>
        </w:rPr>
        <w:t>(2), 157-175. https://dx.doi.org/10.20853/38-2-5854</w:t>
      </w:r>
    </w:p>
    <w:p w14:paraId="060BE271"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Khan, I. M., Edwards, E., Ianicelli, B. M., Ahmed, W., Hardey, M., &amp; Eremionkhale, G. (2025). University-industry collaboration for academic success and employability: a connectivist perspective. </w:t>
      </w:r>
      <w:r w:rsidRPr="005E5CD6">
        <w:rPr>
          <w:rFonts w:ascii="Times New Roman" w:eastAsia="Times New Roman" w:hAnsi="Times New Roman" w:cs="Times New Roman"/>
          <w:i/>
          <w:iCs/>
          <w:color w:val="000000"/>
          <w:kern w:val="0"/>
          <w:lang w:eastAsia="en-PH"/>
          <w14:ligatures w14:val="none"/>
        </w:rPr>
        <w:t>Studies in Higher Education</w:t>
      </w:r>
      <w:r w:rsidRPr="005E5CD6">
        <w:rPr>
          <w:rFonts w:ascii="Times New Roman" w:eastAsia="Times New Roman" w:hAnsi="Times New Roman" w:cs="Times New Roman"/>
          <w:color w:val="000000"/>
          <w:kern w:val="0"/>
          <w:lang w:eastAsia="en-PH"/>
          <w14:ligatures w14:val="none"/>
        </w:rPr>
        <w:t>, 1-21. https://doi.org/10.1080/03075079.2025.2545606</w:t>
      </w:r>
    </w:p>
    <w:p w14:paraId="6982A90C"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lastRenderedPageBreak/>
        <w:t xml:space="preserve">Kaushal, U., &amp; Vaghela, K. (2023). Change in the demand for employability skills of engineers: An Indian study. Journal of Engineering Education Transformations, 120-133. DOI: 10.16920/jeet/2023/v37i1/23138 </w:t>
      </w:r>
    </w:p>
    <w:p w14:paraId="72E0848E" w14:textId="77777777" w:rsidR="005E5CD6" w:rsidRPr="005E5CD6" w:rsidRDefault="005E5CD6" w:rsidP="005E5CD6">
      <w:pPr>
        <w:pStyle w:val="ListParagraph"/>
        <w:numPr>
          <w:ilvl w:val="0"/>
          <w:numId w:val="5"/>
        </w:numPr>
        <w:spacing w:before="240" w:after="240" w:line="240" w:lineRule="auto"/>
        <w:ind w:left="851" w:hanging="491"/>
        <w:rPr>
          <w:rFonts w:ascii="Times New Roman" w:hAnsi="Times New Roman" w:cs="Times New Roman"/>
        </w:rPr>
      </w:pPr>
      <w:r w:rsidRPr="005E5CD6">
        <w:rPr>
          <w:rFonts w:ascii="Times New Roman" w:hAnsi="Times New Roman" w:cs="Times New Roman"/>
        </w:rPr>
        <w:t>Kolb, D. A. (2014). </w:t>
      </w:r>
      <w:r w:rsidRPr="005E5CD6">
        <w:rPr>
          <w:rFonts w:ascii="Times New Roman" w:hAnsi="Times New Roman" w:cs="Times New Roman"/>
          <w:i/>
          <w:iCs/>
        </w:rPr>
        <w:t>Experiential learning: Experience as the source of learning and development</w:t>
      </w:r>
      <w:r w:rsidRPr="005E5CD6">
        <w:rPr>
          <w:rFonts w:ascii="Times New Roman" w:hAnsi="Times New Roman" w:cs="Times New Roman"/>
        </w:rPr>
        <w:t>. FT Press.</w:t>
      </w:r>
    </w:p>
    <w:p w14:paraId="10FABE67" w14:textId="49238635"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Laguador, J. M., Chavez-Prinsipe, N. H., &amp; De Castro, E. L. (2020). Employability skill development needs of engineering students and employers' feedback on their internship performance. </w:t>
      </w:r>
      <w:r w:rsidRPr="005E5CD6">
        <w:rPr>
          <w:rFonts w:ascii="Times New Roman" w:eastAsia="Times New Roman" w:hAnsi="Times New Roman" w:cs="Times New Roman"/>
          <w:i/>
          <w:iCs/>
          <w:color w:val="000000"/>
          <w:kern w:val="0"/>
          <w:lang w:eastAsia="en-PH"/>
          <w14:ligatures w14:val="none"/>
        </w:rPr>
        <w:t>Universal Journal of Educational Research</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8</w:t>
      </w:r>
      <w:r w:rsidRPr="005E5CD6">
        <w:rPr>
          <w:rFonts w:ascii="Times New Roman" w:eastAsia="Times New Roman" w:hAnsi="Times New Roman" w:cs="Times New Roman"/>
          <w:color w:val="000000"/>
          <w:kern w:val="0"/>
          <w:lang w:eastAsia="en-PH"/>
          <w14:ligatures w14:val="none"/>
        </w:rPr>
        <w:t>(7), 3097-3108. DOI: 10.13189/ujer.2020.080738</w:t>
      </w:r>
    </w:p>
    <w:p w14:paraId="7E67357A"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Lakshmi Devi, S., Das, S., Gayathri Kumar, A. R., Keerthana, A. H., Sai Ram, P. C., &amp; Rakesh, K. (2024). Influence of artificial intelligence-based skill development training on employability. </w:t>
      </w:r>
      <w:r w:rsidRPr="005E5CD6">
        <w:rPr>
          <w:rFonts w:ascii="Times New Roman" w:eastAsia="Times New Roman" w:hAnsi="Times New Roman" w:cs="Times New Roman"/>
          <w:i/>
          <w:iCs/>
          <w:color w:val="000000"/>
          <w:kern w:val="0"/>
          <w:lang w:eastAsia="en-PH"/>
          <w14:ligatures w14:val="none"/>
        </w:rPr>
        <w:t>International Journal of Educational Reform</w:t>
      </w:r>
      <w:r w:rsidRPr="005E5CD6">
        <w:rPr>
          <w:rFonts w:ascii="Times New Roman" w:eastAsia="Times New Roman" w:hAnsi="Times New Roman" w:cs="Times New Roman"/>
          <w:color w:val="000000"/>
          <w:kern w:val="0"/>
          <w:lang w:eastAsia="en-PH"/>
          <w14:ligatures w14:val="none"/>
        </w:rPr>
        <w:t>, DOI: 10.1177/10567879241238366</w:t>
      </w:r>
    </w:p>
    <w:p w14:paraId="587B9523"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Lin, B. (2024). Students’ lifelong learning and employability. The Light Explorer, 9(2). https://www.thelight-explorer.com/wp-content/uploads/2024/08/Art-474-Lin-Biying-EDITED_MNAVARRO.pdf</w:t>
      </w:r>
    </w:p>
    <w:p w14:paraId="18153775"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Malekshahian, M., Dautelle, J., &amp; Shahid, S. (2025). Bridging the skills gap: Enhancing employability for chemical engineering graduates. </w:t>
      </w:r>
      <w:r w:rsidRPr="005E5CD6">
        <w:rPr>
          <w:rFonts w:ascii="Times New Roman" w:eastAsia="Times New Roman" w:hAnsi="Times New Roman" w:cs="Times New Roman"/>
          <w:i/>
          <w:iCs/>
          <w:color w:val="000000"/>
          <w:kern w:val="0"/>
          <w:lang w:eastAsia="en-PH"/>
          <w14:ligatures w14:val="none"/>
        </w:rPr>
        <w:t>Education for Chemical Engineers</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52</w:t>
      </w:r>
      <w:r w:rsidRPr="005E5CD6">
        <w:rPr>
          <w:rFonts w:ascii="Times New Roman" w:eastAsia="Times New Roman" w:hAnsi="Times New Roman" w:cs="Times New Roman"/>
          <w:color w:val="000000"/>
          <w:kern w:val="0"/>
          <w:lang w:eastAsia="en-PH"/>
          <w14:ligatures w14:val="none"/>
        </w:rPr>
        <w:t>, 26-36. https://doi.org/10.1016/j.ece.2025.04.005</w:t>
      </w:r>
    </w:p>
    <w:p w14:paraId="00FD51E2"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Nayan, S., &amp; Nayan, S. (2024). The importance of employability skills to TVET and non-TVET graduates. </w:t>
      </w:r>
      <w:r w:rsidRPr="005E5CD6">
        <w:rPr>
          <w:rFonts w:ascii="Times New Roman" w:eastAsia="Times New Roman" w:hAnsi="Times New Roman" w:cs="Times New Roman"/>
          <w:i/>
          <w:iCs/>
          <w:color w:val="000000"/>
          <w:kern w:val="0"/>
          <w:lang w:eastAsia="en-PH"/>
          <w14:ligatures w14:val="none"/>
        </w:rPr>
        <w:t>Jurnal Intelek</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19</w:t>
      </w:r>
      <w:r w:rsidRPr="005E5CD6">
        <w:rPr>
          <w:rFonts w:ascii="Times New Roman" w:eastAsia="Times New Roman" w:hAnsi="Times New Roman" w:cs="Times New Roman"/>
          <w:color w:val="000000"/>
          <w:kern w:val="0"/>
          <w:lang w:eastAsia="en-PH"/>
          <w14:ligatures w14:val="none"/>
        </w:rPr>
        <w:t>(2), 87-95. http://10.0.94.127/ji.v19i2.26513</w:t>
      </w:r>
    </w:p>
    <w:p w14:paraId="113AFE6E"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Ngatiman, S., Sulaiman, T., &amp; Wong, K. Y. (2023). The challenges of implementing industrial revolution 4.0 elements in tvet. </w:t>
      </w:r>
      <w:r w:rsidRPr="005E5CD6">
        <w:rPr>
          <w:rFonts w:ascii="Times New Roman" w:eastAsia="Times New Roman" w:hAnsi="Times New Roman" w:cs="Times New Roman"/>
          <w:i/>
          <w:iCs/>
          <w:color w:val="000000"/>
          <w:kern w:val="0"/>
          <w:lang w:eastAsia="en-PH"/>
          <w14:ligatures w14:val="none"/>
        </w:rPr>
        <w:t>Journal of Technical Education and Training</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15</w:t>
      </w:r>
      <w:r w:rsidRPr="005E5CD6">
        <w:rPr>
          <w:rFonts w:ascii="Times New Roman" w:eastAsia="Times New Roman" w:hAnsi="Times New Roman" w:cs="Times New Roman"/>
          <w:color w:val="000000"/>
          <w:kern w:val="0"/>
          <w:lang w:eastAsia="en-PH"/>
          <w14:ligatures w14:val="none"/>
        </w:rPr>
        <w:t>(3), 169-181. DOI: https://doi.org/10.30880/jtet.2023.15.03.015</w:t>
      </w:r>
    </w:p>
    <w:p w14:paraId="677268D9"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O’Dea, X., O’Dea, M., Ng, D. T. K., Lau, J., &amp; Fenyvesi, K. (2025, December). Graduate attributes in the age of disruptive technology: abilities, skills and mindsets required for Industry 5.0. In Artificial Intelligence in Education (Vol. 1, No. 1, pp. 144-158). Emerald Publishing Limited. https://doi.org/10.1108/AIIE-08-2025-0230 </w:t>
      </w:r>
    </w:p>
    <w:p w14:paraId="4232D9D5" w14:textId="75D6F8C9" w:rsidR="00A30345"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Opesemowo, O. A. G., Iwintolu, R. O., Odeyemi, T. F., &amp; Opesemowo, T. R. (2025). Exploration of employability skills among Osun state undergraduate students in the era of 4IR. </w:t>
      </w:r>
      <w:r w:rsidRPr="005E5CD6">
        <w:rPr>
          <w:rFonts w:ascii="Times New Roman" w:eastAsia="Times New Roman" w:hAnsi="Times New Roman" w:cs="Times New Roman"/>
          <w:i/>
          <w:iCs/>
          <w:color w:val="000000"/>
          <w:kern w:val="0"/>
          <w:lang w:eastAsia="en-PH"/>
          <w14:ligatures w14:val="none"/>
        </w:rPr>
        <w:t>Discover Sustainability</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6</w:t>
      </w:r>
      <w:r w:rsidRPr="005E5CD6">
        <w:rPr>
          <w:rFonts w:ascii="Times New Roman" w:eastAsia="Times New Roman" w:hAnsi="Times New Roman" w:cs="Times New Roman"/>
          <w:color w:val="000000"/>
          <w:kern w:val="0"/>
          <w:lang w:eastAsia="en-PH"/>
          <w14:ligatures w14:val="none"/>
        </w:rPr>
        <w:t xml:space="preserve">(1), 803. </w:t>
      </w:r>
      <w:r w:rsidR="00A30345" w:rsidRPr="005E5CD6">
        <w:rPr>
          <w:rFonts w:ascii="Times New Roman" w:eastAsia="Times New Roman" w:hAnsi="Times New Roman" w:cs="Times New Roman"/>
          <w:color w:val="000000"/>
          <w:kern w:val="0"/>
          <w:lang w:eastAsia="en-PH"/>
          <w14:ligatures w14:val="none"/>
        </w:rPr>
        <w:t>https://doi.org/10.1007/s43621-025-01767-9</w:t>
      </w:r>
    </w:p>
    <w:p w14:paraId="3800BF8E" w14:textId="7E8151FA" w:rsidR="00A30345" w:rsidRPr="005E5CD6" w:rsidRDefault="00A30345"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kern w:val="0"/>
          <w:lang w:eastAsia="en-PH"/>
          <w14:ligatures w14:val="none"/>
        </w:rPr>
        <w:t>Page, M. J., McKenzie, J. E., Bossuyt, P. M., Boutron, I., Hoffmann, T. C., Mulrow, C. D., ... &amp; Moher, D. (2021). The PRISMA 2020 statement: an updated guideline for reporting systematic reviews. </w:t>
      </w:r>
      <w:r w:rsidRPr="005E5CD6">
        <w:rPr>
          <w:rFonts w:ascii="Times New Roman" w:eastAsia="Times New Roman" w:hAnsi="Times New Roman" w:cs="Times New Roman"/>
          <w:i/>
          <w:iCs/>
          <w:kern w:val="0"/>
          <w:lang w:eastAsia="en-PH"/>
          <w14:ligatures w14:val="none"/>
        </w:rPr>
        <w:t>BMJ</w:t>
      </w:r>
      <w:r w:rsidRPr="005E5CD6">
        <w:rPr>
          <w:rFonts w:ascii="Times New Roman" w:eastAsia="Times New Roman" w:hAnsi="Times New Roman" w:cs="Times New Roman"/>
          <w:kern w:val="0"/>
          <w:lang w:eastAsia="en-PH"/>
          <w14:ligatures w14:val="none"/>
        </w:rPr>
        <w:t>, </w:t>
      </w:r>
      <w:r w:rsidRPr="005E5CD6">
        <w:rPr>
          <w:rFonts w:ascii="Times New Roman" w:eastAsia="Times New Roman" w:hAnsi="Times New Roman" w:cs="Times New Roman"/>
          <w:i/>
          <w:iCs/>
          <w:kern w:val="0"/>
          <w:lang w:eastAsia="en-PH"/>
          <w14:ligatures w14:val="none"/>
        </w:rPr>
        <w:t>372</w:t>
      </w:r>
      <w:r w:rsidRPr="005E5CD6">
        <w:rPr>
          <w:rFonts w:ascii="Times New Roman" w:eastAsia="Times New Roman" w:hAnsi="Times New Roman" w:cs="Times New Roman"/>
          <w:kern w:val="0"/>
          <w:lang w:eastAsia="en-PH"/>
          <w14:ligatures w14:val="none"/>
        </w:rPr>
        <w:t>. https://doi.org/10.1136/bmj.n71</w:t>
      </w:r>
    </w:p>
    <w:p w14:paraId="62F8EACC" w14:textId="7D01FE23"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Palariya, B., &amp; Shah, P. K. (2025). Artificial Intelligence (Ai) And Management Education: Ai Literacy Is the Necessity for Budding Management Professionals. </w:t>
      </w:r>
      <w:r w:rsidRPr="005E5CD6">
        <w:rPr>
          <w:rFonts w:ascii="Times New Roman" w:eastAsia="Times New Roman" w:hAnsi="Times New Roman" w:cs="Times New Roman"/>
          <w:i/>
          <w:iCs/>
          <w:color w:val="000000"/>
          <w:kern w:val="0"/>
          <w:lang w:eastAsia="en-PH"/>
          <w14:ligatures w14:val="none"/>
        </w:rPr>
        <w:t>Shodh Samarth Research Journal of Commerce, Management and Economics</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2</w:t>
      </w:r>
      <w:r w:rsidRPr="005E5CD6">
        <w:rPr>
          <w:rFonts w:ascii="Times New Roman" w:eastAsia="Times New Roman" w:hAnsi="Times New Roman" w:cs="Times New Roman"/>
          <w:color w:val="000000"/>
          <w:kern w:val="0"/>
          <w:lang w:eastAsia="en-PH"/>
          <w14:ligatures w14:val="none"/>
        </w:rPr>
        <w:t>(2), 284-299. https://sdsuv.co.in/commerce_journal/upload_aug/Research%20Paper%2019.pdf</w:t>
      </w:r>
    </w:p>
    <w:p w14:paraId="0254703D"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Pathania, M., &amp; Malik, R. (2025). A study on the impact of AI tools on graduate employability. </w:t>
      </w:r>
      <w:r w:rsidRPr="005E5CD6">
        <w:rPr>
          <w:rFonts w:ascii="Times New Roman" w:eastAsia="Times New Roman" w:hAnsi="Times New Roman" w:cs="Times New Roman"/>
          <w:i/>
          <w:iCs/>
          <w:color w:val="000000"/>
          <w:kern w:val="0"/>
          <w:lang w:eastAsia="en-PH"/>
          <w14:ligatures w14:val="none"/>
        </w:rPr>
        <w:t>International Journal of Multidisciplinary Research in Science</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12</w:t>
      </w:r>
      <w:r w:rsidRPr="005E5CD6">
        <w:rPr>
          <w:rFonts w:ascii="Times New Roman" w:eastAsia="Times New Roman" w:hAnsi="Times New Roman" w:cs="Times New Roman"/>
          <w:color w:val="000000"/>
          <w:kern w:val="0"/>
          <w:lang w:eastAsia="en-PH"/>
          <w14:ligatures w14:val="none"/>
        </w:rPr>
        <w:t>(6), 1876. https://www.ijmrsetm.com/admin/img/10_A%20Study%20on%20the.pdf</w:t>
      </w:r>
    </w:p>
    <w:p w14:paraId="7C6280F7"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Perez-Encinas, A., &amp; Berbegal-Mirabent, J. (2023). Who gets a job sooner? Results from a national survey of master’s graduates. </w:t>
      </w:r>
      <w:r w:rsidRPr="005E5CD6">
        <w:rPr>
          <w:rFonts w:ascii="Times New Roman" w:eastAsia="Times New Roman" w:hAnsi="Times New Roman" w:cs="Times New Roman"/>
          <w:i/>
          <w:iCs/>
          <w:color w:val="000000"/>
          <w:kern w:val="0"/>
          <w:lang w:eastAsia="en-PH"/>
          <w14:ligatures w14:val="none"/>
        </w:rPr>
        <w:t>Studies in Higher Education</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48</w:t>
      </w:r>
      <w:r w:rsidRPr="005E5CD6">
        <w:rPr>
          <w:rFonts w:ascii="Times New Roman" w:eastAsia="Times New Roman" w:hAnsi="Times New Roman" w:cs="Times New Roman"/>
          <w:color w:val="000000"/>
          <w:kern w:val="0"/>
          <w:lang w:eastAsia="en-PH"/>
          <w14:ligatures w14:val="none"/>
        </w:rPr>
        <w:t>(1), 174-188. https://doi.org/10.1080/03075079.2022.2124242</w:t>
      </w:r>
    </w:p>
    <w:p w14:paraId="69FA7566"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Segbenya, M., Bervell, B., Frimpong-Manso, E., Otoo, I. C., Andzie, T. A., &amp; Achina, S. (2023). Artificial intelligence in higher education: Modelling the antecedents of artificial intelligence usage and effects on 21st century employability skills among postgraduate students in Ghana. </w:t>
      </w:r>
      <w:r w:rsidRPr="005E5CD6">
        <w:rPr>
          <w:rFonts w:ascii="Times New Roman" w:eastAsia="Times New Roman" w:hAnsi="Times New Roman" w:cs="Times New Roman"/>
          <w:i/>
          <w:iCs/>
          <w:color w:val="000000"/>
          <w:kern w:val="0"/>
          <w:lang w:eastAsia="en-PH"/>
          <w14:ligatures w14:val="none"/>
        </w:rPr>
        <w:t>Computers and Education: Artificial Intelligence</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5</w:t>
      </w:r>
      <w:r w:rsidRPr="005E5CD6">
        <w:rPr>
          <w:rFonts w:ascii="Times New Roman" w:eastAsia="Times New Roman" w:hAnsi="Times New Roman" w:cs="Times New Roman"/>
          <w:color w:val="000000"/>
          <w:kern w:val="0"/>
          <w:lang w:eastAsia="en-PH"/>
          <w14:ligatures w14:val="none"/>
        </w:rPr>
        <w:t>, 100188. https://doi.org/10.1016/j.caeai.2023.100188</w:t>
      </w:r>
    </w:p>
    <w:p w14:paraId="24FB13BA" w14:textId="77777777" w:rsidR="005756BA" w:rsidRPr="005E5CD6" w:rsidRDefault="005756BA"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Soproni, Z. (2023). Employability skills–Rethink your learning. GILE Journal of Skills Development, 3(2), 53-65. https://doi.org/10.52398/gjsd.2023.v3.i2.pp53-65 </w:t>
      </w:r>
    </w:p>
    <w:p w14:paraId="156E7601" w14:textId="77777777" w:rsidR="00E525F9" w:rsidRPr="005E5CD6" w:rsidRDefault="00E525F9"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 xml:space="preserve">Shumeiko, N. V., &amp; Osadcha, K. P. (2024, October). Application of artificial intelligence in higher education institutions for developing soft skills of future specialists in the sphere of information technology. In Journal of Physics: Conference Series (Vol. 2871, No. 1, p. 012027). IOP Publishing. doi:10.1088/1742-6596/2871/1/012027 </w:t>
      </w:r>
    </w:p>
    <w:p w14:paraId="4876A997" w14:textId="3496BA1B"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lastRenderedPageBreak/>
        <w:t>Utkirov, A. (2024). Enhancing alumni employability: Aligning higher education quality with workforce expectations. International Journal of Multidisciplinary Research Transactions,  6(9). https://doi.org/10.5281/zenodo.13786997</w:t>
      </w:r>
    </w:p>
    <w:p w14:paraId="5C3741EB" w14:textId="77777777" w:rsidR="00E94C4D"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val="sv-SE" w:eastAsia="en-PH"/>
          <w14:ligatures w14:val="none"/>
        </w:rPr>
        <w:t xml:space="preserve">Verma, B., Kaushik, R., &amp; Madan, P. (2025). </w:t>
      </w:r>
      <w:r w:rsidRPr="005E5CD6">
        <w:rPr>
          <w:rFonts w:ascii="Times New Roman" w:eastAsia="Times New Roman" w:hAnsi="Times New Roman" w:cs="Times New Roman"/>
          <w:color w:val="000000"/>
          <w:kern w:val="0"/>
          <w:lang w:eastAsia="en-PH"/>
          <w14:ligatures w14:val="none"/>
        </w:rPr>
        <w:t>Academic Curriculum and Employability: An Empirical Analysis of Skill Gaps in Graduate Workplace Readiness. </w:t>
      </w:r>
      <w:r w:rsidRPr="005E5CD6">
        <w:rPr>
          <w:rFonts w:ascii="Times New Roman" w:eastAsia="Times New Roman" w:hAnsi="Times New Roman" w:cs="Times New Roman"/>
          <w:i/>
          <w:iCs/>
          <w:color w:val="000000"/>
          <w:kern w:val="0"/>
          <w:lang w:eastAsia="en-PH"/>
          <w14:ligatures w14:val="none"/>
        </w:rPr>
        <w:t>Journal of International Commercial Law and Technology</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6 (1)</w:t>
      </w:r>
      <w:r w:rsidRPr="005E5CD6">
        <w:rPr>
          <w:rFonts w:ascii="Times New Roman" w:eastAsia="Times New Roman" w:hAnsi="Times New Roman" w:cs="Times New Roman"/>
          <w:color w:val="000000"/>
          <w:kern w:val="0"/>
          <w:lang w:eastAsia="en-PH"/>
          <w14:ligatures w14:val="none"/>
        </w:rPr>
        <w:t>, 973-981. doi: 10.61336/Jiclt/25-01-94</w:t>
      </w:r>
    </w:p>
    <w:p w14:paraId="571205AC" w14:textId="6AABCF29" w:rsidR="00E94C4D" w:rsidRPr="005E5CD6" w:rsidRDefault="00E94C4D"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hAnsi="Times New Roman" w:cs="Times New Roman"/>
        </w:rPr>
        <w:t>World Economic Forum 2025 Insights. The Future of Skills is driven by AI - Constellab Community, url: https://www.weforum.org/publications/the-future-of-jobs-report-2025/in-full/3-skills-outlook/</w:t>
      </w:r>
    </w:p>
    <w:p w14:paraId="4FBDBC5D" w14:textId="69708ACC"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val="sv-SE" w:eastAsia="en-PH"/>
          <w14:ligatures w14:val="none"/>
        </w:rPr>
        <w:t xml:space="preserve">Wu, C. F., Wu, Y. H., Lu, Y. C., Lu, Y. C., &amp; Peng, H. Y. (2025). </w:t>
      </w:r>
      <w:r w:rsidRPr="005E5CD6">
        <w:rPr>
          <w:rFonts w:ascii="Times New Roman" w:eastAsia="Times New Roman" w:hAnsi="Times New Roman" w:cs="Times New Roman"/>
          <w:color w:val="000000"/>
          <w:kern w:val="0"/>
          <w:lang w:eastAsia="en-PH"/>
          <w14:ligatures w14:val="none"/>
        </w:rPr>
        <w:t>A Study on the Correspondence between Industrial Design Education and Professional Competencies in Taiwan. https://doi.org/10.21606/iasdr.2025.142</w:t>
      </w:r>
    </w:p>
    <w:p w14:paraId="3CF0267C" w14:textId="77777777" w:rsidR="007D1092" w:rsidRPr="005E5CD6" w:rsidRDefault="007D1092" w:rsidP="005E5CD6">
      <w:pPr>
        <w:pStyle w:val="ListParagraph"/>
        <w:numPr>
          <w:ilvl w:val="0"/>
          <w:numId w:val="5"/>
        </w:numPr>
        <w:spacing w:before="240" w:after="240" w:line="240" w:lineRule="auto"/>
        <w:ind w:left="851" w:hanging="491"/>
        <w:rPr>
          <w:rFonts w:ascii="Times New Roman" w:eastAsia="Times New Roman" w:hAnsi="Times New Roman" w:cs="Times New Roman"/>
          <w:color w:val="000000"/>
          <w:kern w:val="0"/>
          <w:lang w:eastAsia="en-PH"/>
          <w14:ligatures w14:val="none"/>
        </w:rPr>
      </w:pPr>
      <w:r w:rsidRPr="005E5CD6">
        <w:rPr>
          <w:rFonts w:ascii="Times New Roman" w:eastAsia="Times New Roman" w:hAnsi="Times New Roman" w:cs="Times New Roman"/>
          <w:color w:val="000000"/>
          <w:kern w:val="0"/>
          <w:lang w:eastAsia="en-PH"/>
          <w14:ligatures w14:val="none"/>
        </w:rPr>
        <w:t>Yuriev, E., Wink, D. J., &amp; Holme, T. A. (2024). The dawn of generative artificial intelligence in chemistry education. </w:t>
      </w:r>
      <w:r w:rsidRPr="005E5CD6">
        <w:rPr>
          <w:rFonts w:ascii="Times New Roman" w:eastAsia="Times New Roman" w:hAnsi="Times New Roman" w:cs="Times New Roman"/>
          <w:i/>
          <w:iCs/>
          <w:color w:val="000000"/>
          <w:kern w:val="0"/>
          <w:lang w:eastAsia="en-PH"/>
          <w14:ligatures w14:val="none"/>
        </w:rPr>
        <w:t>Journal of Chemical Education</w:t>
      </w:r>
      <w:r w:rsidRPr="005E5CD6">
        <w:rPr>
          <w:rFonts w:ascii="Times New Roman" w:eastAsia="Times New Roman" w:hAnsi="Times New Roman" w:cs="Times New Roman"/>
          <w:color w:val="000000"/>
          <w:kern w:val="0"/>
          <w:lang w:eastAsia="en-PH"/>
          <w14:ligatures w14:val="none"/>
        </w:rPr>
        <w:t>, </w:t>
      </w:r>
      <w:r w:rsidRPr="005E5CD6">
        <w:rPr>
          <w:rFonts w:ascii="Times New Roman" w:eastAsia="Times New Roman" w:hAnsi="Times New Roman" w:cs="Times New Roman"/>
          <w:i/>
          <w:iCs/>
          <w:color w:val="000000"/>
          <w:kern w:val="0"/>
          <w:lang w:eastAsia="en-PH"/>
          <w14:ligatures w14:val="none"/>
        </w:rPr>
        <w:t>101</w:t>
      </w:r>
      <w:r w:rsidRPr="005E5CD6">
        <w:rPr>
          <w:rFonts w:ascii="Times New Roman" w:eastAsia="Times New Roman" w:hAnsi="Times New Roman" w:cs="Times New Roman"/>
          <w:color w:val="000000"/>
          <w:kern w:val="0"/>
          <w:lang w:eastAsia="en-PH"/>
          <w14:ligatures w14:val="none"/>
        </w:rPr>
        <w:t>(8), 2957-2959. https://doi.org/10.1021/acs.jchemed.4c00836</w:t>
      </w:r>
    </w:p>
    <w:p w14:paraId="1AEABCCC" w14:textId="060C932D" w:rsidR="004E1B6A" w:rsidRPr="005E5CD6" w:rsidRDefault="004E1B6A" w:rsidP="005E5CD6">
      <w:pPr>
        <w:spacing w:before="240" w:after="240" w:line="240" w:lineRule="auto"/>
        <w:rPr>
          <w:rFonts w:ascii="Times New Roman" w:hAnsi="Times New Roman" w:cs="Times New Roman"/>
          <w:b/>
          <w:bCs/>
        </w:rPr>
      </w:pPr>
    </w:p>
    <w:p w14:paraId="41FDF661" w14:textId="32EFB4FD" w:rsidR="00C130E1" w:rsidRPr="005E5CD6" w:rsidRDefault="00C130E1" w:rsidP="005E5CD6">
      <w:pPr>
        <w:spacing w:before="240" w:after="240" w:line="240" w:lineRule="auto"/>
        <w:rPr>
          <w:rFonts w:ascii="Times New Roman" w:hAnsi="Times New Roman" w:cs="Times New Roman"/>
        </w:rPr>
      </w:pPr>
    </w:p>
    <w:sectPr w:rsidR="00C130E1" w:rsidRPr="005E5CD6" w:rsidSect="005E5CD6">
      <w:pgSz w:w="11907" w:h="16840"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EE1B" w14:textId="77777777" w:rsidR="00BB7E65" w:rsidRDefault="00BB7E65" w:rsidP="005E5CD6">
      <w:pPr>
        <w:spacing w:after="0" w:line="240" w:lineRule="auto"/>
      </w:pPr>
      <w:r>
        <w:separator/>
      </w:r>
    </w:p>
  </w:endnote>
  <w:endnote w:type="continuationSeparator" w:id="0">
    <w:p w14:paraId="05FCA701" w14:textId="77777777" w:rsidR="00BB7E65" w:rsidRDefault="00BB7E65" w:rsidP="005E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1B33" w14:textId="77777777" w:rsidR="00BB7E65" w:rsidRDefault="00BB7E65" w:rsidP="005E5CD6">
      <w:pPr>
        <w:spacing w:after="0" w:line="240" w:lineRule="auto"/>
      </w:pPr>
      <w:r>
        <w:separator/>
      </w:r>
    </w:p>
  </w:footnote>
  <w:footnote w:type="continuationSeparator" w:id="0">
    <w:p w14:paraId="397E89B0" w14:textId="77777777" w:rsidR="00BB7E65" w:rsidRDefault="00BB7E65" w:rsidP="005E5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082"/>
    <w:multiLevelType w:val="multilevel"/>
    <w:tmpl w:val="E4D4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3471B"/>
    <w:multiLevelType w:val="hybridMultilevel"/>
    <w:tmpl w:val="1D42CE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0014584"/>
    <w:multiLevelType w:val="multilevel"/>
    <w:tmpl w:val="4C2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66779"/>
    <w:multiLevelType w:val="multilevel"/>
    <w:tmpl w:val="AC28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B25B8"/>
    <w:multiLevelType w:val="multilevel"/>
    <w:tmpl w:val="9F642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424057">
    <w:abstractNumId w:val="4"/>
  </w:num>
  <w:num w:numId="2" w16cid:durableId="1675718710">
    <w:abstractNumId w:val="0"/>
  </w:num>
  <w:num w:numId="3" w16cid:durableId="1259480217">
    <w:abstractNumId w:val="2"/>
  </w:num>
  <w:num w:numId="4" w16cid:durableId="382484706">
    <w:abstractNumId w:val="3"/>
  </w:num>
  <w:num w:numId="5" w16cid:durableId="165244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E1"/>
    <w:rsid w:val="00027F51"/>
    <w:rsid w:val="00034DDC"/>
    <w:rsid w:val="00044B09"/>
    <w:rsid w:val="000679AA"/>
    <w:rsid w:val="000704D9"/>
    <w:rsid w:val="00082F39"/>
    <w:rsid w:val="000A2792"/>
    <w:rsid w:val="000B5BB3"/>
    <w:rsid w:val="000C13BD"/>
    <w:rsid w:val="000C44E2"/>
    <w:rsid w:val="000C4689"/>
    <w:rsid w:val="000D73DB"/>
    <w:rsid w:val="000E1212"/>
    <w:rsid w:val="000F6D5F"/>
    <w:rsid w:val="001435A6"/>
    <w:rsid w:val="00156E68"/>
    <w:rsid w:val="0015735B"/>
    <w:rsid w:val="001A2A10"/>
    <w:rsid w:val="001E3F8C"/>
    <w:rsid w:val="00200C20"/>
    <w:rsid w:val="00217F99"/>
    <w:rsid w:val="00220813"/>
    <w:rsid w:val="00261BC2"/>
    <w:rsid w:val="00275E7D"/>
    <w:rsid w:val="00280AE9"/>
    <w:rsid w:val="00297EF9"/>
    <w:rsid w:val="002D361F"/>
    <w:rsid w:val="002E1ABD"/>
    <w:rsid w:val="00390067"/>
    <w:rsid w:val="003E40A9"/>
    <w:rsid w:val="003E547F"/>
    <w:rsid w:val="003F33EF"/>
    <w:rsid w:val="00405EE1"/>
    <w:rsid w:val="004271A0"/>
    <w:rsid w:val="004343E7"/>
    <w:rsid w:val="00446947"/>
    <w:rsid w:val="004573BD"/>
    <w:rsid w:val="004655B3"/>
    <w:rsid w:val="00467CA0"/>
    <w:rsid w:val="00474DEA"/>
    <w:rsid w:val="004778FB"/>
    <w:rsid w:val="004B03FA"/>
    <w:rsid w:val="004C39DA"/>
    <w:rsid w:val="004D3E8E"/>
    <w:rsid w:val="004D6E4B"/>
    <w:rsid w:val="004E1B6A"/>
    <w:rsid w:val="0050109A"/>
    <w:rsid w:val="00504861"/>
    <w:rsid w:val="005148C1"/>
    <w:rsid w:val="00537681"/>
    <w:rsid w:val="005719AE"/>
    <w:rsid w:val="005756BA"/>
    <w:rsid w:val="00576F7C"/>
    <w:rsid w:val="00591C86"/>
    <w:rsid w:val="005A4166"/>
    <w:rsid w:val="005B0F2D"/>
    <w:rsid w:val="005D1728"/>
    <w:rsid w:val="005E5CD6"/>
    <w:rsid w:val="005F511E"/>
    <w:rsid w:val="006106F3"/>
    <w:rsid w:val="006169F0"/>
    <w:rsid w:val="00625033"/>
    <w:rsid w:val="00631F7C"/>
    <w:rsid w:val="00654156"/>
    <w:rsid w:val="00657735"/>
    <w:rsid w:val="00662C05"/>
    <w:rsid w:val="006650A5"/>
    <w:rsid w:val="00666F50"/>
    <w:rsid w:val="006C615B"/>
    <w:rsid w:val="006C7797"/>
    <w:rsid w:val="006E4ED8"/>
    <w:rsid w:val="00700639"/>
    <w:rsid w:val="00703474"/>
    <w:rsid w:val="007036E3"/>
    <w:rsid w:val="00707C4E"/>
    <w:rsid w:val="007367A3"/>
    <w:rsid w:val="00742A60"/>
    <w:rsid w:val="007647A0"/>
    <w:rsid w:val="0077056D"/>
    <w:rsid w:val="00785DF3"/>
    <w:rsid w:val="00787B89"/>
    <w:rsid w:val="00792011"/>
    <w:rsid w:val="00793141"/>
    <w:rsid w:val="007B0C21"/>
    <w:rsid w:val="007C0C66"/>
    <w:rsid w:val="007C55AE"/>
    <w:rsid w:val="007D1092"/>
    <w:rsid w:val="00805D29"/>
    <w:rsid w:val="0080784C"/>
    <w:rsid w:val="00812713"/>
    <w:rsid w:val="008338F4"/>
    <w:rsid w:val="0087093B"/>
    <w:rsid w:val="008979E7"/>
    <w:rsid w:val="008A5A80"/>
    <w:rsid w:val="008B1EBA"/>
    <w:rsid w:val="008C2565"/>
    <w:rsid w:val="008C36C6"/>
    <w:rsid w:val="008D312C"/>
    <w:rsid w:val="008E19E4"/>
    <w:rsid w:val="00910974"/>
    <w:rsid w:val="00962A17"/>
    <w:rsid w:val="00994CDE"/>
    <w:rsid w:val="009C35D4"/>
    <w:rsid w:val="009D0100"/>
    <w:rsid w:val="009E78A0"/>
    <w:rsid w:val="009F29E5"/>
    <w:rsid w:val="009F5838"/>
    <w:rsid w:val="00A01093"/>
    <w:rsid w:val="00A30345"/>
    <w:rsid w:val="00A431D0"/>
    <w:rsid w:val="00A433E7"/>
    <w:rsid w:val="00A52FA3"/>
    <w:rsid w:val="00A830A3"/>
    <w:rsid w:val="00AB50BC"/>
    <w:rsid w:val="00AE3148"/>
    <w:rsid w:val="00B11121"/>
    <w:rsid w:val="00B70C62"/>
    <w:rsid w:val="00B76722"/>
    <w:rsid w:val="00B800CD"/>
    <w:rsid w:val="00B84E9C"/>
    <w:rsid w:val="00B9076F"/>
    <w:rsid w:val="00BA029A"/>
    <w:rsid w:val="00BA0A71"/>
    <w:rsid w:val="00BB7E65"/>
    <w:rsid w:val="00BE4BCA"/>
    <w:rsid w:val="00BF1D52"/>
    <w:rsid w:val="00BF2435"/>
    <w:rsid w:val="00BF74C5"/>
    <w:rsid w:val="00C130E1"/>
    <w:rsid w:val="00C23D84"/>
    <w:rsid w:val="00C41FCF"/>
    <w:rsid w:val="00C55082"/>
    <w:rsid w:val="00C55307"/>
    <w:rsid w:val="00C57386"/>
    <w:rsid w:val="00C868F4"/>
    <w:rsid w:val="00CB513B"/>
    <w:rsid w:val="00CC5364"/>
    <w:rsid w:val="00CE45AA"/>
    <w:rsid w:val="00CE78CB"/>
    <w:rsid w:val="00CF39DF"/>
    <w:rsid w:val="00CF5007"/>
    <w:rsid w:val="00D1225B"/>
    <w:rsid w:val="00D268FE"/>
    <w:rsid w:val="00D277E0"/>
    <w:rsid w:val="00D3150C"/>
    <w:rsid w:val="00D31723"/>
    <w:rsid w:val="00D40BDD"/>
    <w:rsid w:val="00D602F1"/>
    <w:rsid w:val="00D6183D"/>
    <w:rsid w:val="00D6677F"/>
    <w:rsid w:val="00D72CBC"/>
    <w:rsid w:val="00DA4C80"/>
    <w:rsid w:val="00DB2E39"/>
    <w:rsid w:val="00DE0315"/>
    <w:rsid w:val="00DE3370"/>
    <w:rsid w:val="00DF109E"/>
    <w:rsid w:val="00E429C1"/>
    <w:rsid w:val="00E525F9"/>
    <w:rsid w:val="00E6713C"/>
    <w:rsid w:val="00E74A12"/>
    <w:rsid w:val="00E9154E"/>
    <w:rsid w:val="00E94C4D"/>
    <w:rsid w:val="00EA67E0"/>
    <w:rsid w:val="00ED1601"/>
    <w:rsid w:val="00F0068A"/>
    <w:rsid w:val="00F02439"/>
    <w:rsid w:val="00F056C5"/>
    <w:rsid w:val="00F10057"/>
    <w:rsid w:val="00F46847"/>
    <w:rsid w:val="00F52485"/>
    <w:rsid w:val="00F536D0"/>
    <w:rsid w:val="00F921CA"/>
    <w:rsid w:val="00FA2DED"/>
    <w:rsid w:val="00FA6B7D"/>
    <w:rsid w:val="00FA745C"/>
    <w:rsid w:val="00FE6782"/>
    <w:rsid w:val="00FE7B5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62B2"/>
  <w15:chartTrackingRefBased/>
  <w15:docId w15:val="{22C516F1-6796-42ED-919F-35421B3C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0E1"/>
    <w:rPr>
      <w:rFonts w:eastAsiaTheme="majorEastAsia" w:cstheme="majorBidi"/>
      <w:color w:val="272727" w:themeColor="text1" w:themeTint="D8"/>
    </w:rPr>
  </w:style>
  <w:style w:type="paragraph" w:styleId="Title">
    <w:name w:val="Title"/>
    <w:basedOn w:val="Normal"/>
    <w:next w:val="Normal"/>
    <w:link w:val="TitleChar"/>
    <w:uiPriority w:val="10"/>
    <w:qFormat/>
    <w:rsid w:val="00C13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0E1"/>
    <w:pPr>
      <w:spacing w:before="160"/>
      <w:jc w:val="center"/>
    </w:pPr>
    <w:rPr>
      <w:i/>
      <w:iCs/>
      <w:color w:val="404040" w:themeColor="text1" w:themeTint="BF"/>
    </w:rPr>
  </w:style>
  <w:style w:type="character" w:customStyle="1" w:styleId="QuoteChar">
    <w:name w:val="Quote Char"/>
    <w:basedOn w:val="DefaultParagraphFont"/>
    <w:link w:val="Quote"/>
    <w:uiPriority w:val="29"/>
    <w:rsid w:val="00C130E1"/>
    <w:rPr>
      <w:i/>
      <w:iCs/>
      <w:color w:val="404040" w:themeColor="text1" w:themeTint="BF"/>
    </w:rPr>
  </w:style>
  <w:style w:type="paragraph" w:styleId="ListParagraph">
    <w:name w:val="List Paragraph"/>
    <w:basedOn w:val="Normal"/>
    <w:uiPriority w:val="34"/>
    <w:qFormat/>
    <w:rsid w:val="00C130E1"/>
    <w:pPr>
      <w:ind w:left="720"/>
      <w:contextualSpacing/>
    </w:pPr>
  </w:style>
  <w:style w:type="character" w:styleId="IntenseEmphasis">
    <w:name w:val="Intense Emphasis"/>
    <w:basedOn w:val="DefaultParagraphFont"/>
    <w:uiPriority w:val="21"/>
    <w:qFormat/>
    <w:rsid w:val="00C130E1"/>
    <w:rPr>
      <w:i/>
      <w:iCs/>
      <w:color w:val="0F4761" w:themeColor="accent1" w:themeShade="BF"/>
    </w:rPr>
  </w:style>
  <w:style w:type="paragraph" w:styleId="IntenseQuote">
    <w:name w:val="Intense Quote"/>
    <w:basedOn w:val="Normal"/>
    <w:next w:val="Normal"/>
    <w:link w:val="IntenseQuoteChar"/>
    <w:uiPriority w:val="30"/>
    <w:qFormat/>
    <w:rsid w:val="00C13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0E1"/>
    <w:rPr>
      <w:i/>
      <w:iCs/>
      <w:color w:val="0F4761" w:themeColor="accent1" w:themeShade="BF"/>
    </w:rPr>
  </w:style>
  <w:style w:type="character" w:styleId="IntenseReference">
    <w:name w:val="Intense Reference"/>
    <w:basedOn w:val="DefaultParagraphFont"/>
    <w:uiPriority w:val="32"/>
    <w:qFormat/>
    <w:rsid w:val="00C130E1"/>
    <w:rPr>
      <w:b/>
      <w:bCs/>
      <w:smallCaps/>
      <w:color w:val="0F4761" w:themeColor="accent1" w:themeShade="BF"/>
      <w:spacing w:val="5"/>
    </w:rPr>
  </w:style>
  <w:style w:type="character" w:styleId="Hyperlink">
    <w:name w:val="Hyperlink"/>
    <w:basedOn w:val="DefaultParagraphFont"/>
    <w:uiPriority w:val="99"/>
    <w:unhideWhenUsed/>
    <w:rsid w:val="004573BD"/>
    <w:rPr>
      <w:color w:val="467886" w:themeColor="hyperlink"/>
      <w:u w:val="single"/>
    </w:rPr>
  </w:style>
  <w:style w:type="character" w:styleId="UnresolvedMention">
    <w:name w:val="Unresolved Mention"/>
    <w:basedOn w:val="DefaultParagraphFont"/>
    <w:uiPriority w:val="99"/>
    <w:semiHidden/>
    <w:unhideWhenUsed/>
    <w:rsid w:val="004573BD"/>
    <w:rPr>
      <w:color w:val="605E5C"/>
      <w:shd w:val="clear" w:color="auto" w:fill="E1DFDD"/>
    </w:rPr>
  </w:style>
  <w:style w:type="character" w:styleId="FollowedHyperlink">
    <w:name w:val="FollowedHyperlink"/>
    <w:basedOn w:val="DefaultParagraphFont"/>
    <w:uiPriority w:val="99"/>
    <w:semiHidden/>
    <w:unhideWhenUsed/>
    <w:rsid w:val="00D268FE"/>
    <w:rPr>
      <w:color w:val="96607D" w:themeColor="followedHyperlink"/>
      <w:u w:val="single"/>
    </w:rPr>
  </w:style>
  <w:style w:type="table" w:styleId="TableGrid">
    <w:name w:val="Table Grid"/>
    <w:basedOn w:val="TableNormal"/>
    <w:uiPriority w:val="39"/>
    <w:qFormat/>
    <w:rsid w:val="0004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CD6"/>
  </w:style>
  <w:style w:type="paragraph" w:styleId="Footer">
    <w:name w:val="footer"/>
    <w:basedOn w:val="Normal"/>
    <w:link w:val="FooterChar"/>
    <w:uiPriority w:val="99"/>
    <w:unhideWhenUsed/>
    <w:rsid w:val="005E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8260</Words>
  <Characters>47083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biscast 003</dc:creator>
  <cp:keywords/>
  <dc:description/>
  <cp:lastModifiedBy>biscast 003</cp:lastModifiedBy>
  <cp:revision>9</cp:revision>
  <dcterms:created xsi:type="dcterms:W3CDTF">2026-07-09T01:47:00Z</dcterms:created>
  <dcterms:modified xsi:type="dcterms:W3CDTF">2026-07-09T02:12:00Z</dcterms:modified>
</cp:coreProperties>
</file>